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DBB" w:rsidRPr="0016092F" w:rsidRDefault="00834DBB">
      <w:pPr>
        <w:spacing w:before="1000"/>
        <w:jc w:val="left"/>
        <w:rPr>
          <w:rFonts w:ascii="Times New Roman" w:hAnsi="Times New Roman" w:cs="Arial"/>
          <w:sz w:val="22"/>
        </w:rPr>
      </w:pPr>
    </w:p>
    <w:tbl>
      <w:tblPr>
        <w:tblW w:w="9360" w:type="dxa"/>
        <w:jc w:val="center"/>
        <w:tblLayout w:type="fixed"/>
        <w:tblLook w:val="0000" w:firstRow="0" w:lastRow="0" w:firstColumn="0" w:lastColumn="0" w:noHBand="0" w:noVBand="0"/>
      </w:tblPr>
      <w:tblGrid>
        <w:gridCol w:w="2160"/>
        <w:gridCol w:w="7200"/>
      </w:tblGrid>
      <w:tr w:rsidR="005C0735" w:rsidRPr="0016092F" w:rsidTr="00584EC9">
        <w:trPr>
          <w:trHeight w:val="530"/>
          <w:jc w:val="center"/>
        </w:trPr>
        <w:tc>
          <w:tcPr>
            <w:tcW w:w="9360" w:type="dxa"/>
            <w:gridSpan w:val="2"/>
            <w:vAlign w:val="center"/>
          </w:tcPr>
          <w:p w:rsidR="005C0735" w:rsidRPr="00820067" w:rsidRDefault="005C0735" w:rsidP="00584EC9">
            <w:pPr>
              <w:jc w:val="center"/>
              <w:rPr>
                <w:rFonts w:ascii="Times New Roman" w:hAnsi="Times New Roman"/>
                <w:b/>
                <w:bCs/>
                <w:iCs/>
                <w:sz w:val="22"/>
                <w:szCs w:val="22"/>
              </w:rPr>
            </w:pPr>
            <w:r w:rsidRPr="00820067">
              <w:rPr>
                <w:rFonts w:ascii="Times New Roman" w:hAnsi="Times New Roman"/>
                <w:b/>
                <w:bCs/>
                <w:iCs/>
                <w:sz w:val="22"/>
                <w:szCs w:val="22"/>
              </w:rPr>
              <w:t>SAŽETAK KARAKTERISTIKA LIJEKA</w:t>
            </w:r>
          </w:p>
        </w:tc>
      </w:tr>
      <w:tr w:rsidR="005C0735" w:rsidRPr="0016092F" w:rsidTr="00584EC9">
        <w:trPr>
          <w:trHeight w:val="1969"/>
          <w:jc w:val="center"/>
        </w:trPr>
        <w:tc>
          <w:tcPr>
            <w:tcW w:w="9360" w:type="dxa"/>
            <w:gridSpan w:val="2"/>
            <w:vAlign w:val="bottom"/>
          </w:tcPr>
          <w:p w:rsidR="005C0735" w:rsidRPr="0016092F" w:rsidRDefault="005C0735" w:rsidP="00584EC9">
            <w:pPr>
              <w:jc w:val="center"/>
              <w:rPr>
                <w:rFonts w:ascii="Times New Roman" w:hAnsi="Times New Roman"/>
                <w:b/>
                <w:bCs/>
                <w:sz w:val="22"/>
                <w:szCs w:val="22"/>
                <w:u w:val="single"/>
              </w:rPr>
            </w:pPr>
          </w:p>
        </w:tc>
      </w:tr>
      <w:tr w:rsidR="005C0735" w:rsidRPr="0016092F" w:rsidTr="00584EC9">
        <w:trPr>
          <w:trHeight w:val="1225"/>
          <w:jc w:val="center"/>
        </w:trPr>
        <w:tc>
          <w:tcPr>
            <w:tcW w:w="9360" w:type="dxa"/>
            <w:gridSpan w:val="2"/>
          </w:tcPr>
          <w:p w:rsidR="005C0735" w:rsidRPr="0016092F" w:rsidRDefault="005C0735" w:rsidP="00584EC9">
            <w:pPr>
              <w:jc w:val="center"/>
              <w:rPr>
                <w:rFonts w:ascii="Times New Roman" w:hAnsi="Times New Roman"/>
                <w:sz w:val="22"/>
                <w:szCs w:val="22"/>
              </w:rPr>
            </w:pPr>
            <w:r w:rsidRPr="0016092F">
              <w:rPr>
                <w:rFonts w:ascii="Times New Roman" w:hAnsi="Times New Roman"/>
                <w:b/>
                <w:sz w:val="22"/>
                <w:szCs w:val="22"/>
              </w:rPr>
              <w:t xml:space="preserve">Binocrit®, </w:t>
            </w:r>
            <w:r w:rsidRPr="0016092F">
              <w:rPr>
                <w:rFonts w:ascii="Times New Roman" w:hAnsi="Times New Roman"/>
                <w:sz w:val="22"/>
                <w:szCs w:val="22"/>
              </w:rPr>
              <w:t>rastvor za injekciju u napunjenom injekcionom špricu, 2,000 i.j./ml</w:t>
            </w:r>
            <w:r w:rsidR="00E90092" w:rsidRPr="0016092F">
              <w:rPr>
                <w:rFonts w:ascii="Times New Roman" w:hAnsi="Times New Roman"/>
                <w:sz w:val="22"/>
                <w:szCs w:val="22"/>
              </w:rPr>
              <w:t>,</w:t>
            </w:r>
          </w:p>
          <w:p w:rsidR="00E90092" w:rsidRPr="0016092F" w:rsidRDefault="00E90092" w:rsidP="00584EC9">
            <w:pPr>
              <w:jc w:val="center"/>
              <w:rPr>
                <w:rFonts w:ascii="Times New Roman" w:hAnsi="Times New Roman"/>
                <w:sz w:val="22"/>
                <w:szCs w:val="22"/>
              </w:rPr>
            </w:pPr>
            <w:r w:rsidRPr="0016092F">
              <w:rPr>
                <w:rFonts w:ascii="Times New Roman" w:hAnsi="Times New Roman"/>
                <w:sz w:val="22"/>
                <w:szCs w:val="22"/>
              </w:rPr>
              <w:t>napunjeni injekcioni špric, 6 x 1ml</w:t>
            </w:r>
          </w:p>
          <w:p w:rsidR="00E90092" w:rsidRPr="0016092F" w:rsidRDefault="00E90092" w:rsidP="00584EC9">
            <w:pPr>
              <w:jc w:val="center"/>
              <w:rPr>
                <w:rFonts w:ascii="Times New Roman" w:hAnsi="Times New Roman"/>
                <w:b/>
                <w:sz w:val="22"/>
                <w:szCs w:val="22"/>
              </w:rPr>
            </w:pPr>
          </w:p>
          <w:p w:rsidR="005C0735" w:rsidRPr="0016092F" w:rsidRDefault="005C0735" w:rsidP="00584EC9">
            <w:pPr>
              <w:jc w:val="center"/>
              <w:rPr>
                <w:rFonts w:ascii="Times New Roman" w:hAnsi="Times New Roman"/>
                <w:sz w:val="22"/>
                <w:szCs w:val="22"/>
              </w:rPr>
            </w:pPr>
            <w:r w:rsidRPr="0016092F">
              <w:rPr>
                <w:rFonts w:ascii="Times New Roman" w:hAnsi="Times New Roman"/>
                <w:b/>
                <w:sz w:val="22"/>
                <w:szCs w:val="22"/>
              </w:rPr>
              <w:t xml:space="preserve">Binocrit®, </w:t>
            </w:r>
            <w:r w:rsidRPr="0016092F">
              <w:rPr>
                <w:rFonts w:ascii="Times New Roman" w:hAnsi="Times New Roman"/>
                <w:sz w:val="22"/>
                <w:szCs w:val="22"/>
              </w:rPr>
              <w:t>rastvor za injekciju u napunjenom injekcionom špricu, 10,000 i.j./ml</w:t>
            </w:r>
            <w:r w:rsidR="00E90092" w:rsidRPr="0016092F">
              <w:rPr>
                <w:rFonts w:ascii="Times New Roman" w:hAnsi="Times New Roman"/>
                <w:sz w:val="22"/>
                <w:szCs w:val="22"/>
              </w:rPr>
              <w:t>,</w:t>
            </w:r>
          </w:p>
          <w:p w:rsidR="00E90092" w:rsidRPr="0016092F" w:rsidRDefault="00E90092" w:rsidP="00E90092">
            <w:pPr>
              <w:jc w:val="center"/>
              <w:rPr>
                <w:rFonts w:ascii="Times New Roman" w:hAnsi="Times New Roman"/>
                <w:sz w:val="22"/>
                <w:szCs w:val="22"/>
              </w:rPr>
            </w:pPr>
            <w:r w:rsidRPr="0016092F">
              <w:rPr>
                <w:rFonts w:ascii="Times New Roman" w:hAnsi="Times New Roman"/>
                <w:sz w:val="22"/>
                <w:szCs w:val="22"/>
              </w:rPr>
              <w:t>napunjeni injekcioni špric, 6 x 1ml</w:t>
            </w:r>
          </w:p>
          <w:p w:rsidR="005C0735" w:rsidRPr="0016092F" w:rsidRDefault="005C0735" w:rsidP="00584EC9">
            <w:pPr>
              <w:jc w:val="center"/>
            </w:pPr>
          </w:p>
          <w:p w:rsidR="006F146B" w:rsidRPr="0016092F" w:rsidRDefault="006F146B" w:rsidP="00584EC9">
            <w:pPr>
              <w:jc w:val="center"/>
            </w:pPr>
          </w:p>
          <w:p w:rsidR="006F146B" w:rsidRPr="0016092F" w:rsidRDefault="006F146B" w:rsidP="00584EC9">
            <w:pPr>
              <w:jc w:val="center"/>
            </w:pPr>
          </w:p>
        </w:tc>
      </w:tr>
      <w:tr w:rsidR="005C0735" w:rsidRPr="0016092F" w:rsidTr="00584EC9">
        <w:trPr>
          <w:trHeight w:val="435"/>
          <w:jc w:val="center"/>
        </w:trPr>
        <w:tc>
          <w:tcPr>
            <w:tcW w:w="2160" w:type="dxa"/>
            <w:vAlign w:val="bottom"/>
          </w:tcPr>
          <w:p w:rsidR="005C0735" w:rsidRPr="0016092F" w:rsidRDefault="005C0735" w:rsidP="00584EC9">
            <w:pPr>
              <w:jc w:val="right"/>
              <w:rPr>
                <w:rFonts w:ascii="Times New Roman" w:hAnsi="Times New Roman"/>
                <w:sz w:val="22"/>
                <w:szCs w:val="22"/>
              </w:rPr>
            </w:pPr>
            <w:r w:rsidRPr="0016092F">
              <w:rPr>
                <w:rFonts w:ascii="Times New Roman" w:hAnsi="Times New Roman"/>
                <w:sz w:val="22"/>
                <w:szCs w:val="22"/>
              </w:rPr>
              <w:t>Proizvođač:</w:t>
            </w:r>
          </w:p>
        </w:tc>
        <w:tc>
          <w:tcPr>
            <w:tcW w:w="7200" w:type="dxa"/>
            <w:vAlign w:val="bottom"/>
          </w:tcPr>
          <w:p w:rsidR="005C0735" w:rsidRPr="0016092F" w:rsidRDefault="005C0735" w:rsidP="00584EC9">
            <w:pPr>
              <w:tabs>
                <w:tab w:val="clear" w:pos="284"/>
              </w:tabs>
              <w:ind w:left="72" w:hanging="72"/>
              <w:jc w:val="left"/>
              <w:rPr>
                <w:rFonts w:ascii="Times New Roman" w:hAnsi="Times New Roman"/>
                <w:b/>
                <w:bCs/>
                <w:sz w:val="22"/>
                <w:szCs w:val="22"/>
              </w:rPr>
            </w:pPr>
            <w:r w:rsidRPr="0016092F">
              <w:rPr>
                <w:rFonts w:ascii="Times New Roman" w:hAnsi="Times New Roman"/>
                <w:b/>
                <w:bCs/>
                <w:sz w:val="22"/>
                <w:szCs w:val="22"/>
              </w:rPr>
              <w:t>Sandoz GmbH</w:t>
            </w:r>
          </w:p>
        </w:tc>
      </w:tr>
      <w:tr w:rsidR="005C0735" w:rsidRPr="0016092F" w:rsidTr="00584EC9">
        <w:trPr>
          <w:trHeight w:val="360"/>
          <w:jc w:val="center"/>
        </w:trPr>
        <w:tc>
          <w:tcPr>
            <w:tcW w:w="2160" w:type="dxa"/>
            <w:vAlign w:val="bottom"/>
          </w:tcPr>
          <w:p w:rsidR="005C0735" w:rsidRPr="0016092F" w:rsidRDefault="005C0735" w:rsidP="00584EC9">
            <w:pPr>
              <w:jc w:val="right"/>
              <w:rPr>
                <w:rFonts w:ascii="Times New Roman" w:hAnsi="Times New Roman"/>
                <w:sz w:val="22"/>
                <w:szCs w:val="22"/>
              </w:rPr>
            </w:pPr>
            <w:r w:rsidRPr="0016092F">
              <w:rPr>
                <w:rFonts w:ascii="Times New Roman" w:hAnsi="Times New Roman"/>
                <w:sz w:val="22"/>
                <w:szCs w:val="22"/>
              </w:rPr>
              <w:t>Adresa:</w:t>
            </w:r>
          </w:p>
        </w:tc>
        <w:tc>
          <w:tcPr>
            <w:tcW w:w="7200" w:type="dxa"/>
            <w:vAlign w:val="bottom"/>
          </w:tcPr>
          <w:p w:rsidR="005C0735" w:rsidRPr="0016092F" w:rsidRDefault="005C0735" w:rsidP="00584EC9">
            <w:pPr>
              <w:tabs>
                <w:tab w:val="clear" w:pos="284"/>
              </w:tabs>
              <w:ind w:left="72" w:hanging="72"/>
              <w:jc w:val="left"/>
              <w:rPr>
                <w:rFonts w:ascii="Times New Roman" w:hAnsi="Times New Roman"/>
                <w:b/>
                <w:bCs/>
                <w:sz w:val="22"/>
                <w:szCs w:val="22"/>
              </w:rPr>
            </w:pPr>
            <w:r w:rsidRPr="0016092F">
              <w:rPr>
                <w:rFonts w:ascii="Times New Roman" w:hAnsi="Times New Roman"/>
                <w:b/>
                <w:bCs/>
                <w:sz w:val="22"/>
                <w:szCs w:val="22"/>
              </w:rPr>
              <w:t>Biochemiestrasse 10, A-6250 Kundl, Austrija</w:t>
            </w:r>
          </w:p>
        </w:tc>
      </w:tr>
      <w:tr w:rsidR="005C0735" w:rsidRPr="0016092F" w:rsidTr="00584EC9">
        <w:trPr>
          <w:trHeight w:val="356"/>
          <w:jc w:val="center"/>
        </w:trPr>
        <w:tc>
          <w:tcPr>
            <w:tcW w:w="2160" w:type="dxa"/>
            <w:vAlign w:val="bottom"/>
          </w:tcPr>
          <w:p w:rsidR="005C0735" w:rsidRPr="0016092F" w:rsidRDefault="005C0735" w:rsidP="00584EC9">
            <w:pPr>
              <w:jc w:val="right"/>
              <w:rPr>
                <w:rFonts w:ascii="Times New Roman" w:hAnsi="Times New Roman"/>
                <w:sz w:val="22"/>
                <w:szCs w:val="22"/>
              </w:rPr>
            </w:pPr>
            <w:r w:rsidRPr="0016092F">
              <w:rPr>
                <w:rFonts w:ascii="Times New Roman" w:hAnsi="Times New Roman"/>
                <w:sz w:val="22"/>
                <w:szCs w:val="22"/>
              </w:rPr>
              <w:t>Podnosilac zahtjeva:</w:t>
            </w:r>
          </w:p>
        </w:tc>
        <w:tc>
          <w:tcPr>
            <w:tcW w:w="7200" w:type="dxa"/>
            <w:vAlign w:val="bottom"/>
          </w:tcPr>
          <w:p w:rsidR="005C0735" w:rsidRPr="0016092F" w:rsidRDefault="005C0735" w:rsidP="00E90092">
            <w:pPr>
              <w:tabs>
                <w:tab w:val="clear" w:pos="284"/>
              </w:tabs>
              <w:ind w:left="72" w:hanging="72"/>
              <w:jc w:val="left"/>
              <w:rPr>
                <w:rFonts w:ascii="Times New Roman" w:hAnsi="Times New Roman"/>
                <w:b/>
                <w:bCs/>
                <w:sz w:val="22"/>
                <w:szCs w:val="22"/>
              </w:rPr>
            </w:pPr>
            <w:r w:rsidRPr="0016092F">
              <w:rPr>
                <w:rFonts w:ascii="Times New Roman" w:hAnsi="Times New Roman"/>
                <w:b/>
                <w:bCs/>
                <w:sz w:val="22"/>
                <w:szCs w:val="22"/>
              </w:rPr>
              <w:t>Glosarij d</w:t>
            </w:r>
            <w:r w:rsidR="00E90092" w:rsidRPr="0016092F">
              <w:rPr>
                <w:rFonts w:ascii="Times New Roman" w:hAnsi="Times New Roman"/>
                <w:b/>
                <w:bCs/>
                <w:sz w:val="22"/>
                <w:szCs w:val="22"/>
              </w:rPr>
              <w:t>.</w:t>
            </w:r>
            <w:r w:rsidRPr="0016092F">
              <w:rPr>
                <w:rFonts w:ascii="Times New Roman" w:hAnsi="Times New Roman"/>
                <w:b/>
                <w:bCs/>
                <w:sz w:val="22"/>
                <w:szCs w:val="22"/>
              </w:rPr>
              <w:t>o</w:t>
            </w:r>
            <w:r w:rsidR="00E90092" w:rsidRPr="0016092F">
              <w:rPr>
                <w:rFonts w:ascii="Times New Roman" w:hAnsi="Times New Roman"/>
                <w:b/>
                <w:bCs/>
                <w:sz w:val="22"/>
                <w:szCs w:val="22"/>
              </w:rPr>
              <w:t>.</w:t>
            </w:r>
            <w:r w:rsidRPr="0016092F">
              <w:rPr>
                <w:rFonts w:ascii="Times New Roman" w:hAnsi="Times New Roman"/>
                <w:b/>
                <w:bCs/>
                <w:sz w:val="22"/>
                <w:szCs w:val="22"/>
              </w:rPr>
              <w:t>o</w:t>
            </w:r>
            <w:r w:rsidR="00E90092" w:rsidRPr="0016092F">
              <w:rPr>
                <w:rFonts w:ascii="Times New Roman" w:hAnsi="Times New Roman"/>
                <w:b/>
                <w:bCs/>
                <w:sz w:val="22"/>
                <w:szCs w:val="22"/>
              </w:rPr>
              <w:t>.</w:t>
            </w:r>
          </w:p>
        </w:tc>
      </w:tr>
      <w:tr w:rsidR="005C0735" w:rsidRPr="0016092F" w:rsidTr="00584EC9">
        <w:trPr>
          <w:trHeight w:val="353"/>
          <w:jc w:val="center"/>
        </w:trPr>
        <w:tc>
          <w:tcPr>
            <w:tcW w:w="2160" w:type="dxa"/>
            <w:vAlign w:val="bottom"/>
          </w:tcPr>
          <w:p w:rsidR="005C0735" w:rsidRPr="0016092F" w:rsidRDefault="005C0735" w:rsidP="00584EC9">
            <w:pPr>
              <w:jc w:val="right"/>
              <w:rPr>
                <w:rFonts w:ascii="Times New Roman" w:hAnsi="Times New Roman"/>
                <w:sz w:val="22"/>
                <w:szCs w:val="22"/>
              </w:rPr>
            </w:pPr>
            <w:r w:rsidRPr="0016092F">
              <w:rPr>
                <w:rFonts w:ascii="Times New Roman" w:hAnsi="Times New Roman"/>
                <w:sz w:val="22"/>
                <w:szCs w:val="22"/>
              </w:rPr>
              <w:t>Adresa:</w:t>
            </w:r>
          </w:p>
        </w:tc>
        <w:tc>
          <w:tcPr>
            <w:tcW w:w="7200" w:type="dxa"/>
            <w:vAlign w:val="bottom"/>
          </w:tcPr>
          <w:p w:rsidR="005C0735" w:rsidRPr="0016092F" w:rsidRDefault="005C0735" w:rsidP="00584EC9">
            <w:pPr>
              <w:tabs>
                <w:tab w:val="clear" w:pos="284"/>
              </w:tabs>
              <w:ind w:left="72" w:hanging="72"/>
              <w:jc w:val="left"/>
              <w:rPr>
                <w:rFonts w:ascii="Times New Roman" w:hAnsi="Times New Roman"/>
                <w:b/>
                <w:bCs/>
                <w:sz w:val="22"/>
                <w:szCs w:val="22"/>
              </w:rPr>
            </w:pPr>
            <w:r w:rsidRPr="0016092F">
              <w:rPr>
                <w:rFonts w:ascii="Times New Roman" w:hAnsi="Times New Roman"/>
                <w:b/>
                <w:bCs/>
                <w:sz w:val="22"/>
                <w:szCs w:val="22"/>
              </w:rPr>
              <w:t>Vojislavljevića 76, Podgorica, Crna Gora</w:t>
            </w:r>
          </w:p>
        </w:tc>
      </w:tr>
    </w:tbl>
    <w:p w:rsidR="00834DBB" w:rsidRPr="0016092F" w:rsidRDefault="00834DBB">
      <w:pPr>
        <w:pStyle w:val="Header"/>
        <w:tabs>
          <w:tab w:val="clear" w:pos="4536"/>
          <w:tab w:val="clear" w:pos="9072"/>
          <w:tab w:val="left" w:pos="284"/>
        </w:tabs>
        <w:spacing w:before="400"/>
        <w:rPr>
          <w:rFonts w:ascii="Times New Roman" w:hAnsi="Times New Roman"/>
          <w:sz w:val="22"/>
          <w:szCs w:val="22"/>
        </w:rPr>
      </w:pPr>
      <w:r w:rsidRPr="0016092F">
        <w:rPr>
          <w:rFonts w:ascii="Times New Roman" w:hAnsi="Times New Roman"/>
          <w:sz w:val="22"/>
          <w:szCs w:val="22"/>
        </w:rPr>
        <w:br w:type="page"/>
      </w:r>
    </w:p>
    <w:p w:rsidR="006F146B" w:rsidRPr="0016092F" w:rsidRDefault="006F146B">
      <w:pPr>
        <w:pStyle w:val="Header"/>
        <w:tabs>
          <w:tab w:val="clear" w:pos="4536"/>
          <w:tab w:val="clear" w:pos="9072"/>
          <w:tab w:val="left" w:pos="284"/>
        </w:tabs>
        <w:spacing w:before="400"/>
        <w:rPr>
          <w:rFonts w:ascii="Times New Roman" w:hAnsi="Times New Roman"/>
          <w:b/>
          <w:bCs/>
          <w:sz w:val="22"/>
          <w:szCs w:val="22"/>
        </w:rPr>
      </w:pPr>
    </w:p>
    <w:tbl>
      <w:tblPr>
        <w:tblW w:w="5000" w:type="pct"/>
        <w:tblLook w:val="0000" w:firstRow="0" w:lastRow="0" w:firstColumn="0" w:lastColumn="0" w:noHBand="0" w:noVBand="0"/>
      </w:tblPr>
      <w:tblGrid>
        <w:gridCol w:w="1039"/>
        <w:gridCol w:w="386"/>
        <w:gridCol w:w="1525"/>
        <w:gridCol w:w="6689"/>
      </w:tblGrid>
      <w:tr w:rsidR="00834DBB" w:rsidRPr="0016092F" w:rsidTr="006F146B">
        <w:trPr>
          <w:trHeight w:val="284"/>
        </w:trPr>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 xml:space="preserve">1. </w:t>
            </w:r>
            <w:r w:rsidR="005C0735" w:rsidRPr="0016092F">
              <w:rPr>
                <w:rFonts w:ascii="Times New Roman" w:hAnsi="Times New Roman"/>
                <w:b/>
                <w:bCs/>
                <w:sz w:val="22"/>
                <w:szCs w:val="22"/>
              </w:rPr>
              <w:t>NAZIV LIJEKA</w:t>
            </w:r>
          </w:p>
        </w:tc>
      </w:tr>
      <w:tr w:rsidR="00834DBB" w:rsidRPr="0016092F" w:rsidTr="006F146B">
        <w:trPr>
          <w:trHeight w:val="525"/>
        </w:trPr>
        <w:tc>
          <w:tcPr>
            <w:tcW w:w="5000" w:type="pct"/>
            <w:gridSpan w:val="4"/>
            <w:vAlign w:val="center"/>
          </w:tcPr>
          <w:p w:rsidR="006F146B" w:rsidRPr="0016092F" w:rsidRDefault="006F146B" w:rsidP="006F146B">
            <w:pPr>
              <w:jc w:val="left"/>
              <w:rPr>
                <w:rFonts w:ascii="Times New Roman" w:hAnsi="Times New Roman"/>
                <w:b/>
                <w:sz w:val="22"/>
                <w:szCs w:val="22"/>
              </w:rPr>
            </w:pPr>
          </w:p>
          <w:p w:rsidR="005C0735" w:rsidRPr="0016092F" w:rsidRDefault="005C0735" w:rsidP="006F146B">
            <w:pPr>
              <w:jc w:val="left"/>
              <w:rPr>
                <w:rFonts w:ascii="Times New Roman" w:hAnsi="Times New Roman"/>
                <w:b/>
                <w:sz w:val="22"/>
                <w:szCs w:val="22"/>
              </w:rPr>
            </w:pPr>
            <w:r w:rsidRPr="0016092F">
              <w:rPr>
                <w:rFonts w:ascii="Times New Roman" w:hAnsi="Times New Roman"/>
                <w:b/>
                <w:sz w:val="22"/>
                <w:szCs w:val="22"/>
              </w:rPr>
              <w:t>Binocrit 2,000 i.j./ml rastvor za injekcij</w:t>
            </w:r>
            <w:r w:rsidR="00D97781" w:rsidRPr="0016092F">
              <w:rPr>
                <w:rFonts w:ascii="Times New Roman" w:hAnsi="Times New Roman"/>
                <w:b/>
                <w:sz w:val="22"/>
                <w:szCs w:val="22"/>
              </w:rPr>
              <w:t>u u napunjenom injekcionom špricu</w:t>
            </w:r>
          </w:p>
          <w:p w:rsidR="00834DBB" w:rsidRPr="0016092F" w:rsidRDefault="005C0735" w:rsidP="006F146B">
            <w:pPr>
              <w:jc w:val="left"/>
              <w:rPr>
                <w:rFonts w:ascii="Times New Roman" w:hAnsi="Times New Roman"/>
                <w:b/>
                <w:sz w:val="22"/>
                <w:szCs w:val="22"/>
              </w:rPr>
            </w:pPr>
            <w:r w:rsidRPr="0016092F">
              <w:rPr>
                <w:rFonts w:ascii="Times New Roman" w:hAnsi="Times New Roman"/>
                <w:b/>
                <w:sz w:val="22"/>
                <w:szCs w:val="22"/>
              </w:rPr>
              <w:t>Binocrit 10,000 i.j./ml rastvor za injekcij</w:t>
            </w:r>
            <w:r w:rsidR="00D97781" w:rsidRPr="0016092F">
              <w:rPr>
                <w:rFonts w:ascii="Times New Roman" w:hAnsi="Times New Roman"/>
                <w:b/>
                <w:sz w:val="22"/>
                <w:szCs w:val="22"/>
              </w:rPr>
              <w:t>u u napunjenom injekcionom špricu</w:t>
            </w:r>
          </w:p>
        </w:tc>
      </w:tr>
      <w:tr w:rsidR="00834DBB" w:rsidRPr="0016092F" w:rsidTr="006F146B">
        <w:trPr>
          <w:trHeight w:val="697"/>
        </w:trPr>
        <w:tc>
          <w:tcPr>
            <w:tcW w:w="518" w:type="pct"/>
            <w:vAlign w:val="center"/>
          </w:tcPr>
          <w:p w:rsidR="00834DBB" w:rsidRPr="0016092F" w:rsidRDefault="00834DBB" w:rsidP="006F146B">
            <w:pPr>
              <w:pStyle w:val="Header"/>
              <w:tabs>
                <w:tab w:val="clear" w:pos="4536"/>
                <w:tab w:val="clear" w:pos="9072"/>
                <w:tab w:val="left" w:pos="284"/>
              </w:tabs>
              <w:jc w:val="left"/>
              <w:rPr>
                <w:rFonts w:ascii="Times New Roman" w:hAnsi="Times New Roman"/>
                <w:sz w:val="22"/>
                <w:szCs w:val="22"/>
              </w:rPr>
            </w:pPr>
            <w:r w:rsidRPr="0016092F">
              <w:rPr>
                <w:rFonts w:ascii="Times New Roman" w:hAnsi="Times New Roman"/>
                <w:sz w:val="22"/>
                <w:szCs w:val="22"/>
              </w:rPr>
              <w:t>INN:</w:t>
            </w:r>
          </w:p>
        </w:tc>
        <w:tc>
          <w:tcPr>
            <w:tcW w:w="4482" w:type="pct"/>
            <w:gridSpan w:val="3"/>
            <w:vAlign w:val="center"/>
          </w:tcPr>
          <w:p w:rsidR="005C0735" w:rsidRPr="0016092F" w:rsidRDefault="00BD214F" w:rsidP="006F146B">
            <w:pPr>
              <w:pStyle w:val="Header"/>
              <w:tabs>
                <w:tab w:val="clear" w:pos="4536"/>
                <w:tab w:val="clear" w:pos="9072"/>
                <w:tab w:val="left" w:pos="284"/>
              </w:tabs>
              <w:jc w:val="left"/>
              <w:rPr>
                <w:rFonts w:ascii="Times New Roman" w:hAnsi="Times New Roman"/>
                <w:sz w:val="22"/>
                <w:szCs w:val="22"/>
              </w:rPr>
            </w:pPr>
            <w:r w:rsidRPr="0016092F">
              <w:rPr>
                <w:rFonts w:ascii="Times New Roman" w:hAnsi="Times New Roman"/>
                <w:sz w:val="22"/>
                <w:szCs w:val="22"/>
              </w:rPr>
              <w:t>epoetin alfa</w:t>
            </w:r>
          </w:p>
        </w:tc>
      </w:tr>
      <w:tr w:rsidR="00834DBB" w:rsidRPr="0016092F" w:rsidTr="006F146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2. KVALITATIVNI I KVANTITATIVNI SASTAV</w:t>
            </w:r>
          </w:p>
        </w:tc>
      </w:tr>
      <w:tr w:rsidR="00834DBB" w:rsidRPr="0016092F" w:rsidTr="006F146B">
        <w:trPr>
          <w:trHeight w:val="360"/>
        </w:trPr>
        <w:tc>
          <w:tcPr>
            <w:tcW w:w="5000" w:type="pct"/>
            <w:gridSpan w:val="4"/>
            <w:vAlign w:val="center"/>
          </w:tcPr>
          <w:p w:rsidR="006F146B" w:rsidRPr="0016092F" w:rsidRDefault="006F146B" w:rsidP="006F146B">
            <w:pPr>
              <w:pStyle w:val="Header"/>
              <w:tabs>
                <w:tab w:val="clear" w:pos="4536"/>
                <w:tab w:val="clear" w:pos="9072"/>
                <w:tab w:val="left" w:pos="284"/>
              </w:tabs>
              <w:rPr>
                <w:rFonts w:ascii="Times New Roman" w:hAnsi="Times New Roman"/>
                <w:b/>
                <w:sz w:val="22"/>
                <w:szCs w:val="22"/>
              </w:rPr>
            </w:pPr>
          </w:p>
          <w:p w:rsidR="005C0735" w:rsidRPr="0016092F" w:rsidRDefault="005C07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b/>
                <w:sz w:val="22"/>
                <w:szCs w:val="22"/>
              </w:rPr>
              <w:t xml:space="preserve">Aktivna supstanca je: </w:t>
            </w:r>
            <w:r w:rsidRPr="0016092F">
              <w:rPr>
                <w:rFonts w:ascii="Times New Roman" w:hAnsi="Times New Roman"/>
                <w:sz w:val="22"/>
                <w:szCs w:val="22"/>
              </w:rPr>
              <w:t>epoetin alfa.</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5C0735" w:rsidRPr="0016092F" w:rsidRDefault="005C0735" w:rsidP="006F146B">
            <w:pPr>
              <w:rPr>
                <w:rFonts w:ascii="Times New Roman" w:hAnsi="Times New Roman"/>
                <w:sz w:val="22"/>
                <w:szCs w:val="22"/>
                <w:u w:val="single"/>
              </w:rPr>
            </w:pPr>
            <w:r w:rsidRPr="0016092F">
              <w:rPr>
                <w:rFonts w:ascii="Times New Roman" w:hAnsi="Times New Roman"/>
                <w:sz w:val="22"/>
                <w:szCs w:val="22"/>
                <w:u w:val="single"/>
              </w:rPr>
              <w:t>Binocrit rastvor za injekcije</w:t>
            </w:r>
            <w:r w:rsidR="00D97781" w:rsidRPr="0016092F">
              <w:rPr>
                <w:rFonts w:ascii="Times New Roman" w:hAnsi="Times New Roman"/>
                <w:sz w:val="22"/>
                <w:szCs w:val="22"/>
                <w:u w:val="single"/>
              </w:rPr>
              <w:t xml:space="preserve"> u napunjenom injekcionom špricu</w:t>
            </w:r>
            <w:r w:rsidRPr="0016092F">
              <w:rPr>
                <w:rFonts w:ascii="Times New Roman" w:hAnsi="Times New Roman"/>
                <w:sz w:val="22"/>
                <w:szCs w:val="22"/>
                <w:u w:val="single"/>
              </w:rPr>
              <w:t xml:space="preserve"> 2,000 i.j./ml</w:t>
            </w:r>
          </w:p>
          <w:p w:rsidR="005C0735" w:rsidRPr="0016092F" w:rsidRDefault="005C07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1 ml rastvora sadrži 2,000 i.j. epoetina alfa* što odgovara 16.8 μg/ml </w:t>
            </w:r>
          </w:p>
          <w:p w:rsidR="005C0735" w:rsidRPr="0016092F" w:rsidRDefault="005C07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1 napunjeni injekcioni špric od 1 ml sadrži 2,000 internacionalnih jedinica (i.j.) što odgovara 16.8 </w:t>
            </w:r>
            <w:r w:rsidR="00D97781" w:rsidRPr="0016092F">
              <w:rPr>
                <w:rFonts w:ascii="Times New Roman" w:hAnsi="Times New Roman"/>
                <w:sz w:val="22"/>
                <w:szCs w:val="22"/>
              </w:rPr>
              <w:t>mikrograma</w:t>
            </w:r>
            <w:r w:rsidRPr="0016092F">
              <w:rPr>
                <w:rFonts w:ascii="Times New Roman" w:hAnsi="Times New Roman"/>
                <w:sz w:val="22"/>
                <w:szCs w:val="22"/>
              </w:rPr>
              <w:t>epoetina alfa.</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5C0735" w:rsidRPr="0016092F" w:rsidRDefault="005C0735" w:rsidP="006F146B">
            <w:pPr>
              <w:rPr>
                <w:rFonts w:ascii="Times New Roman" w:hAnsi="Times New Roman"/>
                <w:sz w:val="22"/>
                <w:szCs w:val="22"/>
                <w:u w:val="single"/>
              </w:rPr>
            </w:pPr>
            <w:r w:rsidRPr="0016092F">
              <w:rPr>
                <w:rFonts w:ascii="Times New Roman" w:hAnsi="Times New Roman"/>
                <w:sz w:val="22"/>
                <w:szCs w:val="22"/>
                <w:u w:val="single"/>
              </w:rPr>
              <w:t>Binocrit rastvor za injekciju u napunjenom injekcionom špricu 10,000 i.j./ml</w:t>
            </w:r>
          </w:p>
          <w:p w:rsidR="005C0735" w:rsidRPr="0016092F" w:rsidRDefault="005C07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1 ml rastvora sadrži 10,000 i.j. epoetina alfa* što odgovara 84 μg/ml </w:t>
            </w:r>
          </w:p>
          <w:p w:rsidR="005C0735" w:rsidRPr="0016092F" w:rsidRDefault="005C07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1 napunjeni injekcioni špric od 1 ml sadrži 10,000 internacionalnih jedinica (i.j.) što odgovara 84 </w:t>
            </w:r>
            <w:r w:rsidR="00D97781" w:rsidRPr="0016092F">
              <w:rPr>
                <w:rFonts w:ascii="Times New Roman" w:hAnsi="Times New Roman"/>
                <w:sz w:val="22"/>
                <w:szCs w:val="22"/>
              </w:rPr>
              <w:t xml:space="preserve">mikrograma </w:t>
            </w:r>
            <w:r w:rsidRPr="0016092F">
              <w:rPr>
                <w:rFonts w:ascii="Times New Roman" w:hAnsi="Times New Roman"/>
                <w:sz w:val="22"/>
                <w:szCs w:val="22"/>
              </w:rPr>
              <w:t>epoetina alfa</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5C0735" w:rsidRPr="0016092F" w:rsidRDefault="005C07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*proizvedeno tehnologijom rekombinovane DNK u CHO (ovarijalne ćelije hrčka) ćelijskoj liniji.</w:t>
            </w:r>
          </w:p>
          <w:p w:rsidR="005C0735" w:rsidRPr="0016092F" w:rsidRDefault="005C0735" w:rsidP="006F146B">
            <w:pPr>
              <w:pStyle w:val="Header"/>
              <w:tabs>
                <w:tab w:val="clear" w:pos="4536"/>
                <w:tab w:val="clear" w:pos="9072"/>
                <w:tab w:val="left" w:pos="284"/>
              </w:tabs>
              <w:rPr>
                <w:rFonts w:ascii="Times New Roman" w:hAnsi="Times New Roman"/>
                <w:sz w:val="22"/>
                <w:szCs w:val="22"/>
              </w:rPr>
            </w:pPr>
          </w:p>
          <w:p w:rsidR="005C0735" w:rsidRPr="0016092F" w:rsidRDefault="00D97781" w:rsidP="006F146B">
            <w:pPr>
              <w:pStyle w:val="Header"/>
              <w:tabs>
                <w:tab w:val="clear" w:pos="4536"/>
                <w:tab w:val="clear" w:pos="9072"/>
                <w:tab w:val="left" w:pos="284"/>
              </w:tabs>
              <w:rPr>
                <w:rFonts w:ascii="Times New Roman" w:hAnsi="Times New Roman"/>
              </w:rPr>
            </w:pPr>
            <w:r w:rsidRPr="0016092F">
              <w:rPr>
                <w:rFonts w:ascii="Times New Roman" w:hAnsi="Times New Roman"/>
              </w:rPr>
              <w:t>Za spisak svih ekscipijenasa, pogledati dio 6.1</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3. FARMACEUTSKI OBLIK</w:t>
            </w:r>
          </w:p>
        </w:tc>
      </w:tr>
      <w:tr w:rsidR="00834DBB" w:rsidRPr="0016092F" w:rsidTr="006F146B">
        <w:trPr>
          <w:trHeight w:val="1289"/>
        </w:trPr>
        <w:tc>
          <w:tcPr>
            <w:tcW w:w="5000" w:type="pct"/>
            <w:gridSpan w:val="4"/>
            <w:vAlign w:val="center"/>
          </w:tcPr>
          <w:p w:rsidR="00591A40" w:rsidRPr="0016092F" w:rsidRDefault="00401FE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Rastvor za injekciju</w:t>
            </w:r>
            <w:r w:rsidR="00056D84" w:rsidRPr="0016092F">
              <w:rPr>
                <w:rFonts w:ascii="Times New Roman" w:hAnsi="Times New Roman"/>
                <w:sz w:val="22"/>
                <w:szCs w:val="22"/>
              </w:rPr>
              <w:t xml:space="preserve"> u napunjenom injekcionom špricu.</w:t>
            </w:r>
          </w:p>
          <w:p w:rsidR="00897414" w:rsidRPr="0016092F" w:rsidRDefault="00897414" w:rsidP="006F146B">
            <w:pPr>
              <w:pStyle w:val="Header"/>
              <w:tabs>
                <w:tab w:val="clear" w:pos="4536"/>
                <w:tab w:val="clear" w:pos="9072"/>
                <w:tab w:val="left" w:pos="284"/>
              </w:tabs>
              <w:rPr>
                <w:rFonts w:ascii="Times New Roman" w:hAnsi="Times New Roman"/>
                <w:sz w:val="22"/>
                <w:szCs w:val="22"/>
              </w:rPr>
            </w:pPr>
          </w:p>
          <w:p w:rsidR="00897414" w:rsidRPr="0016092F" w:rsidRDefault="00401FE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i/>
                <w:sz w:val="22"/>
                <w:szCs w:val="22"/>
              </w:rPr>
              <w:t>Opis:</w:t>
            </w:r>
            <w:r w:rsidRPr="0016092F">
              <w:rPr>
                <w:rFonts w:ascii="Times New Roman" w:hAnsi="Times New Roman"/>
                <w:sz w:val="22"/>
                <w:szCs w:val="22"/>
              </w:rPr>
              <w:t xml:space="preserve"> </w:t>
            </w:r>
            <w:r w:rsidR="00897414" w:rsidRPr="0016092F">
              <w:rPr>
                <w:rFonts w:ascii="Times New Roman" w:hAnsi="Times New Roman"/>
                <w:sz w:val="22"/>
                <w:szCs w:val="22"/>
              </w:rPr>
              <w:t>Bistar, bezbojni rastvor.</w:t>
            </w:r>
          </w:p>
        </w:tc>
      </w:tr>
      <w:tr w:rsidR="00834DBB" w:rsidRPr="0016092F" w:rsidTr="006F146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4. KLINIČKI PODACI</w:t>
            </w:r>
          </w:p>
        </w:tc>
      </w:tr>
      <w:tr w:rsidR="00834DBB" w:rsidRPr="0016092F" w:rsidTr="006F146B">
        <w:tc>
          <w:tcPr>
            <w:tcW w:w="5000" w:type="pct"/>
            <w:gridSpan w:val="4"/>
            <w:vAlign w:val="center"/>
          </w:tcPr>
          <w:p w:rsidR="006F146B" w:rsidRPr="0016092F" w:rsidRDefault="006F146B" w:rsidP="006F146B">
            <w:pPr>
              <w:pStyle w:val="Header"/>
              <w:tabs>
                <w:tab w:val="clear" w:pos="4536"/>
                <w:tab w:val="clear" w:pos="9072"/>
                <w:tab w:val="left" w:pos="284"/>
              </w:tabs>
              <w:spacing w:before="80" w:after="80"/>
              <w:rPr>
                <w:rFonts w:ascii="Times New Roman" w:hAnsi="Times New Roman"/>
                <w:b/>
                <w:bCs/>
                <w:sz w:val="22"/>
                <w:szCs w:val="22"/>
              </w:rPr>
            </w:pPr>
          </w:p>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t>4.1. Terapijske indikacije</w:t>
            </w:r>
          </w:p>
        </w:tc>
      </w:tr>
      <w:tr w:rsidR="00834DBB" w:rsidRPr="0016092F" w:rsidTr="006F146B">
        <w:trPr>
          <w:trHeight w:val="672"/>
        </w:trPr>
        <w:tc>
          <w:tcPr>
            <w:tcW w:w="5000" w:type="pct"/>
            <w:gridSpan w:val="4"/>
            <w:vAlign w:val="center"/>
          </w:tcPr>
          <w:p w:rsidR="00591A40" w:rsidRPr="0016092F" w:rsidRDefault="00591A40" w:rsidP="006F146B">
            <w:pPr>
              <w:pStyle w:val="Header"/>
              <w:tabs>
                <w:tab w:val="clear" w:pos="4536"/>
                <w:tab w:val="clear" w:pos="9072"/>
                <w:tab w:val="left" w:pos="284"/>
              </w:tabs>
              <w:rPr>
                <w:rFonts w:ascii="Times New Roman" w:hAnsi="Times New Roman"/>
                <w:sz w:val="22"/>
                <w:szCs w:val="22"/>
              </w:rPr>
            </w:pPr>
          </w:p>
          <w:p w:rsidR="00FB7388" w:rsidRPr="0016092F" w:rsidRDefault="0089741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Terapija simptomatske anemije koja se javlja kod hronične bubrežne insuficijencije</w:t>
            </w:r>
            <w:r w:rsidR="0029337A" w:rsidRPr="0016092F">
              <w:rPr>
                <w:rFonts w:ascii="Times New Roman" w:hAnsi="Times New Roman"/>
                <w:sz w:val="22"/>
                <w:szCs w:val="22"/>
              </w:rPr>
              <w:t>:</w:t>
            </w:r>
            <w:r w:rsidRPr="0016092F">
              <w:rPr>
                <w:rFonts w:ascii="Times New Roman" w:hAnsi="Times New Roman"/>
                <w:sz w:val="22"/>
                <w:szCs w:val="22"/>
              </w:rPr>
              <w:t xml:space="preserve"> </w:t>
            </w:r>
          </w:p>
          <w:p w:rsidR="00897414" w:rsidRPr="0016092F" w:rsidRDefault="0029337A"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odraslih i d</w:t>
            </w:r>
            <w:r w:rsidR="005C0735" w:rsidRPr="0016092F">
              <w:rPr>
                <w:rFonts w:ascii="Times New Roman" w:hAnsi="Times New Roman"/>
                <w:sz w:val="22"/>
                <w:szCs w:val="22"/>
              </w:rPr>
              <w:t>j</w:t>
            </w:r>
            <w:r w:rsidRPr="0016092F">
              <w:rPr>
                <w:rFonts w:ascii="Times New Roman" w:hAnsi="Times New Roman"/>
                <w:sz w:val="22"/>
                <w:szCs w:val="22"/>
              </w:rPr>
              <w:t xml:space="preserve">ece starosti od 1 do 18 godina </w:t>
            </w:r>
            <w:r w:rsidR="00897414" w:rsidRPr="0016092F">
              <w:rPr>
                <w:rFonts w:ascii="Times New Roman" w:hAnsi="Times New Roman"/>
                <w:sz w:val="22"/>
                <w:szCs w:val="22"/>
              </w:rPr>
              <w:t>na hemodijalizi i kod odraslih pacijenata na peritonealnoj hemodijalizi (vid</w:t>
            </w:r>
            <w:r w:rsidR="005C0735" w:rsidRPr="0016092F">
              <w:rPr>
                <w:rFonts w:ascii="Times New Roman" w:hAnsi="Times New Roman"/>
                <w:sz w:val="22"/>
                <w:szCs w:val="22"/>
              </w:rPr>
              <w:t>j</w:t>
            </w:r>
            <w:r w:rsidR="00897414" w:rsidRPr="0016092F">
              <w:rPr>
                <w:rFonts w:ascii="Times New Roman" w:hAnsi="Times New Roman"/>
                <w:sz w:val="22"/>
                <w:szCs w:val="22"/>
              </w:rPr>
              <w:t>eti od</w:t>
            </w:r>
            <w:r w:rsidR="005C0735" w:rsidRPr="0016092F">
              <w:rPr>
                <w:rFonts w:ascii="Times New Roman" w:hAnsi="Times New Roman"/>
                <w:sz w:val="22"/>
                <w:szCs w:val="22"/>
              </w:rPr>
              <w:t>j</w:t>
            </w:r>
            <w:r w:rsidR="00897414" w:rsidRPr="0016092F">
              <w:rPr>
                <w:rFonts w:ascii="Times New Roman" w:hAnsi="Times New Roman"/>
                <w:sz w:val="22"/>
                <w:szCs w:val="22"/>
              </w:rPr>
              <w:t>eljak 4.4)</w:t>
            </w:r>
          </w:p>
          <w:p w:rsidR="00897414" w:rsidRPr="0016092F" w:rsidRDefault="00897414"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Terapija teške anemije renalnog por</w:t>
            </w:r>
            <w:r w:rsidR="005C0735" w:rsidRPr="0016092F">
              <w:rPr>
                <w:rFonts w:ascii="Times New Roman" w:hAnsi="Times New Roman"/>
                <w:sz w:val="22"/>
                <w:szCs w:val="22"/>
              </w:rPr>
              <w:t>ij</w:t>
            </w:r>
            <w:r w:rsidRPr="0016092F">
              <w:rPr>
                <w:rFonts w:ascii="Times New Roman" w:hAnsi="Times New Roman"/>
                <w:sz w:val="22"/>
                <w:szCs w:val="22"/>
              </w:rPr>
              <w:t>ekla udružene sa kliničkim simptomima kod odraslih pacijenata sa bubrežnom insuficijencijom koji još uv</w:t>
            </w:r>
            <w:r w:rsidR="005C0735" w:rsidRPr="0016092F">
              <w:rPr>
                <w:rFonts w:ascii="Times New Roman" w:hAnsi="Times New Roman"/>
                <w:sz w:val="22"/>
                <w:szCs w:val="22"/>
              </w:rPr>
              <w:t>ij</w:t>
            </w:r>
            <w:r w:rsidRPr="0016092F">
              <w:rPr>
                <w:rFonts w:ascii="Times New Roman" w:hAnsi="Times New Roman"/>
                <w:sz w:val="22"/>
                <w:szCs w:val="22"/>
              </w:rPr>
              <w:t>ek ni</w:t>
            </w:r>
            <w:r w:rsidR="005C0735" w:rsidRPr="0016092F">
              <w:rPr>
                <w:rFonts w:ascii="Times New Roman" w:hAnsi="Times New Roman"/>
                <w:sz w:val="22"/>
                <w:szCs w:val="22"/>
              </w:rPr>
              <w:t>je</w:t>
            </w:r>
            <w:r w:rsidRPr="0016092F">
              <w:rPr>
                <w:rFonts w:ascii="Times New Roman" w:hAnsi="Times New Roman"/>
                <w:sz w:val="22"/>
                <w:szCs w:val="22"/>
              </w:rPr>
              <w:t>su na hemodijalizi (vid</w:t>
            </w:r>
            <w:r w:rsidR="005C0735" w:rsidRPr="0016092F">
              <w:rPr>
                <w:rFonts w:ascii="Times New Roman" w:hAnsi="Times New Roman"/>
                <w:sz w:val="22"/>
                <w:szCs w:val="22"/>
              </w:rPr>
              <w:t>j</w:t>
            </w:r>
            <w:r w:rsidRPr="0016092F">
              <w:rPr>
                <w:rFonts w:ascii="Times New Roman" w:hAnsi="Times New Roman"/>
                <w:sz w:val="22"/>
                <w:szCs w:val="22"/>
              </w:rPr>
              <w:t>eti od</w:t>
            </w:r>
            <w:r w:rsidR="005C0735" w:rsidRPr="0016092F">
              <w:rPr>
                <w:rFonts w:ascii="Times New Roman" w:hAnsi="Times New Roman"/>
                <w:sz w:val="22"/>
                <w:szCs w:val="22"/>
              </w:rPr>
              <w:t>j</w:t>
            </w:r>
            <w:r w:rsidRPr="0016092F">
              <w:rPr>
                <w:rFonts w:ascii="Times New Roman" w:hAnsi="Times New Roman"/>
                <w:sz w:val="22"/>
                <w:szCs w:val="22"/>
              </w:rPr>
              <w:t>eljak 4.4.)</w:t>
            </w:r>
          </w:p>
          <w:p w:rsidR="00897414" w:rsidRPr="0016092F" w:rsidRDefault="00897414" w:rsidP="006F146B">
            <w:pPr>
              <w:pStyle w:val="Header"/>
              <w:tabs>
                <w:tab w:val="clear" w:pos="4536"/>
                <w:tab w:val="clear" w:pos="9072"/>
                <w:tab w:val="left" w:pos="284"/>
              </w:tabs>
              <w:rPr>
                <w:rFonts w:ascii="Times New Roman" w:hAnsi="Times New Roman"/>
                <w:sz w:val="22"/>
                <w:szCs w:val="22"/>
              </w:rPr>
            </w:pPr>
          </w:p>
          <w:p w:rsidR="001C6386" w:rsidRPr="0016092F" w:rsidRDefault="0089741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Terapija anemije i smanjenje potreba za transfuzijom kod odraslih pacijenata koji su na hemoterapiji </w:t>
            </w:r>
            <w:r w:rsidR="009922C0" w:rsidRPr="0016092F">
              <w:rPr>
                <w:rFonts w:ascii="Times New Roman" w:hAnsi="Times New Roman"/>
                <w:sz w:val="22"/>
                <w:szCs w:val="22"/>
              </w:rPr>
              <w:t xml:space="preserve">zbog solidnih tumora, malignih limfoma ili multiplog mijeloma, i </w:t>
            </w:r>
            <w:r w:rsidR="004C53A0" w:rsidRPr="0016092F">
              <w:rPr>
                <w:rFonts w:ascii="Times New Roman" w:hAnsi="Times New Roman"/>
                <w:sz w:val="22"/>
                <w:szCs w:val="22"/>
              </w:rPr>
              <w:t>sa rizikom</w:t>
            </w:r>
            <w:r w:rsidR="009922C0" w:rsidRPr="0016092F">
              <w:rPr>
                <w:rFonts w:ascii="Times New Roman" w:hAnsi="Times New Roman"/>
                <w:sz w:val="22"/>
                <w:szCs w:val="22"/>
              </w:rPr>
              <w:t xml:space="preserve"> od transfuzije na osnovu proc</w:t>
            </w:r>
            <w:r w:rsidR="005C0735" w:rsidRPr="0016092F">
              <w:rPr>
                <w:rFonts w:ascii="Times New Roman" w:hAnsi="Times New Roman"/>
                <w:sz w:val="22"/>
                <w:szCs w:val="22"/>
              </w:rPr>
              <w:t>j</w:t>
            </w:r>
            <w:r w:rsidR="009922C0" w:rsidRPr="0016092F">
              <w:rPr>
                <w:rFonts w:ascii="Times New Roman" w:hAnsi="Times New Roman"/>
                <w:sz w:val="22"/>
                <w:szCs w:val="22"/>
              </w:rPr>
              <w:t>ene opšteg stanja pacijenta (npr. kardiovaskularni status, postojeća anemija na početku hemoterapije)</w:t>
            </w:r>
            <w:r w:rsidR="00847D42" w:rsidRPr="0016092F">
              <w:rPr>
                <w:rFonts w:ascii="Times New Roman" w:hAnsi="Times New Roman"/>
                <w:sz w:val="22"/>
                <w:szCs w:val="22"/>
              </w:rPr>
              <w:t>.</w:t>
            </w:r>
          </w:p>
          <w:p w:rsidR="0029337A" w:rsidRPr="0016092F" w:rsidRDefault="0029337A" w:rsidP="006F146B">
            <w:pPr>
              <w:pStyle w:val="Header"/>
              <w:tabs>
                <w:tab w:val="clear" w:pos="4536"/>
                <w:tab w:val="clear" w:pos="9072"/>
                <w:tab w:val="left" w:pos="284"/>
              </w:tabs>
              <w:rPr>
                <w:rFonts w:ascii="Times New Roman" w:hAnsi="Times New Roman"/>
                <w:sz w:val="22"/>
                <w:szCs w:val="22"/>
              </w:rPr>
            </w:pPr>
          </w:p>
          <w:p w:rsidR="009922C0" w:rsidRPr="0016092F" w:rsidRDefault="009922C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L</w:t>
            </w:r>
            <w:r w:rsidR="005C0735" w:rsidRPr="0016092F">
              <w:rPr>
                <w:rFonts w:ascii="Times New Roman" w:hAnsi="Times New Roman"/>
                <w:sz w:val="22"/>
                <w:szCs w:val="22"/>
              </w:rPr>
              <w:t>ij</w:t>
            </w:r>
            <w:r w:rsidRPr="0016092F">
              <w:rPr>
                <w:rFonts w:ascii="Times New Roman" w:hAnsi="Times New Roman"/>
                <w:sz w:val="22"/>
                <w:szCs w:val="22"/>
              </w:rPr>
              <w:t xml:space="preserve">ek </w:t>
            </w:r>
            <w:r w:rsidR="00627B6C" w:rsidRPr="0016092F">
              <w:rPr>
                <w:rFonts w:ascii="Times New Roman" w:hAnsi="Times New Roman"/>
                <w:sz w:val="22"/>
                <w:szCs w:val="22"/>
              </w:rPr>
              <w:t>Binocrit</w:t>
            </w:r>
            <w:r w:rsidRPr="0016092F">
              <w:rPr>
                <w:rFonts w:ascii="Times New Roman" w:hAnsi="Times New Roman"/>
                <w:sz w:val="22"/>
                <w:szCs w:val="22"/>
              </w:rPr>
              <w:t xml:space="preserve"> se može prim</w:t>
            </w:r>
            <w:r w:rsidR="005C0735" w:rsidRPr="0016092F">
              <w:rPr>
                <w:rFonts w:ascii="Times New Roman" w:hAnsi="Times New Roman"/>
                <w:sz w:val="22"/>
                <w:szCs w:val="22"/>
              </w:rPr>
              <w:t>j</w:t>
            </w:r>
            <w:r w:rsidRPr="0016092F">
              <w:rPr>
                <w:rFonts w:ascii="Times New Roman" w:hAnsi="Times New Roman"/>
                <w:sz w:val="22"/>
                <w:szCs w:val="22"/>
              </w:rPr>
              <w:t xml:space="preserve">enjivati  </w:t>
            </w:r>
            <w:r w:rsidR="001459D7" w:rsidRPr="0016092F">
              <w:rPr>
                <w:rFonts w:ascii="Times New Roman" w:hAnsi="Times New Roman"/>
                <w:sz w:val="22"/>
                <w:szCs w:val="22"/>
              </w:rPr>
              <w:t xml:space="preserve">u cilju </w:t>
            </w:r>
            <w:r w:rsidR="0048375F" w:rsidRPr="0016092F">
              <w:rPr>
                <w:rFonts w:ascii="Times New Roman" w:hAnsi="Times New Roman"/>
                <w:sz w:val="22"/>
                <w:szCs w:val="22"/>
              </w:rPr>
              <w:t>povećanog stvaranja</w:t>
            </w:r>
            <w:r w:rsidRPr="0016092F">
              <w:rPr>
                <w:rFonts w:ascii="Times New Roman" w:hAnsi="Times New Roman"/>
                <w:sz w:val="22"/>
                <w:szCs w:val="22"/>
              </w:rPr>
              <w:t xml:space="preserve"> autolog</w:t>
            </w:r>
            <w:r w:rsidR="0048375F" w:rsidRPr="0016092F">
              <w:rPr>
                <w:rFonts w:ascii="Times New Roman" w:hAnsi="Times New Roman"/>
                <w:sz w:val="22"/>
                <w:szCs w:val="22"/>
              </w:rPr>
              <w:t>n</w:t>
            </w:r>
            <w:r w:rsidRPr="0016092F">
              <w:rPr>
                <w:rFonts w:ascii="Times New Roman" w:hAnsi="Times New Roman"/>
                <w:sz w:val="22"/>
                <w:szCs w:val="22"/>
              </w:rPr>
              <w:t>e krvi kod pacijenata u programu</w:t>
            </w:r>
            <w:r w:rsidR="0048375F" w:rsidRPr="0016092F">
              <w:rPr>
                <w:rFonts w:ascii="Times New Roman" w:hAnsi="Times New Roman"/>
                <w:sz w:val="22"/>
                <w:szCs w:val="22"/>
              </w:rPr>
              <w:t xml:space="preserve"> preoperativne autologne kolekcije krvi (PAK)</w:t>
            </w:r>
            <w:r w:rsidRPr="0016092F">
              <w:rPr>
                <w:rFonts w:ascii="Times New Roman" w:hAnsi="Times New Roman"/>
                <w:sz w:val="22"/>
                <w:szCs w:val="22"/>
              </w:rPr>
              <w:t>. Terapiju treba prim</w:t>
            </w:r>
            <w:r w:rsidR="005C0735" w:rsidRPr="0016092F">
              <w:rPr>
                <w:rFonts w:ascii="Times New Roman" w:hAnsi="Times New Roman"/>
                <w:sz w:val="22"/>
                <w:szCs w:val="22"/>
              </w:rPr>
              <w:t>j</w:t>
            </w:r>
            <w:r w:rsidRPr="0016092F">
              <w:rPr>
                <w:rFonts w:ascii="Times New Roman" w:hAnsi="Times New Roman"/>
                <w:sz w:val="22"/>
                <w:szCs w:val="22"/>
              </w:rPr>
              <w:t xml:space="preserve">enjivati samo kod pacijenata </w:t>
            </w:r>
            <w:r w:rsidR="00EA4A84" w:rsidRPr="0016092F">
              <w:rPr>
                <w:rFonts w:ascii="Times New Roman" w:hAnsi="Times New Roman"/>
                <w:sz w:val="22"/>
                <w:szCs w:val="22"/>
              </w:rPr>
              <w:t>sa um</w:t>
            </w:r>
            <w:r w:rsidR="005C0735" w:rsidRPr="0016092F">
              <w:rPr>
                <w:rFonts w:ascii="Times New Roman" w:hAnsi="Times New Roman"/>
                <w:sz w:val="22"/>
                <w:szCs w:val="22"/>
              </w:rPr>
              <w:t>j</w:t>
            </w:r>
            <w:r w:rsidR="00EA4A84" w:rsidRPr="0016092F">
              <w:rPr>
                <w:rFonts w:ascii="Times New Roman" w:hAnsi="Times New Roman"/>
                <w:sz w:val="22"/>
                <w:szCs w:val="22"/>
              </w:rPr>
              <w:t xml:space="preserve">erenom anemijom bez </w:t>
            </w:r>
            <w:r w:rsidRPr="0016092F">
              <w:rPr>
                <w:rFonts w:ascii="Times New Roman" w:hAnsi="Times New Roman"/>
                <w:sz w:val="22"/>
                <w:szCs w:val="22"/>
              </w:rPr>
              <w:t>deficit</w:t>
            </w:r>
            <w:r w:rsidR="00EA4A84" w:rsidRPr="0016092F">
              <w:rPr>
                <w:rFonts w:ascii="Times New Roman" w:hAnsi="Times New Roman"/>
                <w:sz w:val="22"/>
                <w:szCs w:val="22"/>
              </w:rPr>
              <w:t>a</w:t>
            </w:r>
            <w:r w:rsidRPr="0016092F">
              <w:rPr>
                <w:rFonts w:ascii="Times New Roman" w:hAnsi="Times New Roman"/>
                <w:sz w:val="22"/>
                <w:szCs w:val="22"/>
              </w:rPr>
              <w:t xml:space="preserve"> gvožđa </w:t>
            </w:r>
            <w:r w:rsidR="004C53A0" w:rsidRPr="0016092F">
              <w:rPr>
                <w:rFonts w:ascii="Times New Roman" w:hAnsi="Times New Roman"/>
                <w:sz w:val="22"/>
                <w:szCs w:val="22"/>
              </w:rPr>
              <w:t>(Hb 10-13 g/dl (6.2-8.</w:t>
            </w:r>
            <w:r w:rsidR="00EA4A84" w:rsidRPr="0016092F">
              <w:rPr>
                <w:rFonts w:ascii="Times New Roman" w:hAnsi="Times New Roman"/>
                <w:sz w:val="22"/>
                <w:szCs w:val="22"/>
              </w:rPr>
              <w:t>1 mmol/l)), ako ni</w:t>
            </w:r>
            <w:r w:rsidR="005C0735" w:rsidRPr="0016092F">
              <w:rPr>
                <w:rFonts w:ascii="Times New Roman" w:hAnsi="Times New Roman"/>
                <w:sz w:val="22"/>
                <w:szCs w:val="22"/>
              </w:rPr>
              <w:t>je</w:t>
            </w:r>
            <w:r w:rsidR="00EA4A84" w:rsidRPr="0016092F">
              <w:rPr>
                <w:rFonts w:ascii="Times New Roman" w:hAnsi="Times New Roman"/>
                <w:sz w:val="22"/>
                <w:szCs w:val="22"/>
              </w:rPr>
              <w:t>su dostupne ili su nedovoljne procedure za čuvanje krvi kada je zakazan opsežan elektivni hir</w:t>
            </w:r>
            <w:r w:rsidR="001459D7" w:rsidRPr="0016092F">
              <w:rPr>
                <w:rFonts w:ascii="Times New Roman" w:hAnsi="Times New Roman"/>
                <w:sz w:val="22"/>
                <w:szCs w:val="22"/>
              </w:rPr>
              <w:t>urški zahvat kod koga se očekuje</w:t>
            </w:r>
            <w:r w:rsidR="00EA4A84" w:rsidRPr="0016092F">
              <w:rPr>
                <w:rFonts w:ascii="Times New Roman" w:hAnsi="Times New Roman"/>
                <w:sz w:val="22"/>
                <w:szCs w:val="22"/>
              </w:rPr>
              <w:t xml:space="preserve"> da će potrebe za krvlju biti veće (4 ili više jedinica krvi za žene ili 5 ili više jedinica za muškarce).</w:t>
            </w:r>
          </w:p>
          <w:p w:rsidR="0029337A" w:rsidRPr="0016092F" w:rsidRDefault="0029337A" w:rsidP="006F146B">
            <w:pPr>
              <w:pStyle w:val="Header"/>
              <w:tabs>
                <w:tab w:val="clear" w:pos="4536"/>
                <w:tab w:val="clear" w:pos="9072"/>
                <w:tab w:val="left" w:pos="284"/>
              </w:tabs>
              <w:rPr>
                <w:rFonts w:ascii="Times New Roman" w:hAnsi="Times New Roman"/>
                <w:sz w:val="22"/>
                <w:szCs w:val="22"/>
              </w:rPr>
            </w:pPr>
          </w:p>
          <w:p w:rsidR="00EA4A84" w:rsidRPr="0016092F" w:rsidRDefault="00EA4A8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L</w:t>
            </w:r>
            <w:r w:rsidR="005C0735" w:rsidRPr="0016092F">
              <w:rPr>
                <w:rFonts w:ascii="Times New Roman" w:hAnsi="Times New Roman"/>
                <w:sz w:val="22"/>
                <w:szCs w:val="22"/>
              </w:rPr>
              <w:t>ij</w:t>
            </w:r>
            <w:r w:rsidRPr="0016092F">
              <w:rPr>
                <w:rFonts w:ascii="Times New Roman" w:hAnsi="Times New Roman"/>
                <w:sz w:val="22"/>
                <w:szCs w:val="22"/>
              </w:rPr>
              <w:t xml:space="preserve">ek </w:t>
            </w:r>
            <w:r w:rsidR="00627B6C" w:rsidRPr="0016092F">
              <w:rPr>
                <w:rFonts w:ascii="Times New Roman" w:hAnsi="Times New Roman"/>
                <w:sz w:val="22"/>
                <w:szCs w:val="22"/>
              </w:rPr>
              <w:t>Binocrit</w:t>
            </w:r>
            <w:r w:rsidRPr="0016092F">
              <w:rPr>
                <w:rFonts w:ascii="Times New Roman" w:hAnsi="Times New Roman"/>
                <w:sz w:val="22"/>
                <w:szCs w:val="22"/>
              </w:rPr>
              <w:t xml:space="preserve"> se može prim</w:t>
            </w:r>
            <w:r w:rsidR="005C0735" w:rsidRPr="0016092F">
              <w:rPr>
                <w:rFonts w:ascii="Times New Roman" w:hAnsi="Times New Roman"/>
                <w:sz w:val="22"/>
                <w:szCs w:val="22"/>
              </w:rPr>
              <w:t>j</w:t>
            </w:r>
            <w:r w:rsidRPr="0016092F">
              <w:rPr>
                <w:rFonts w:ascii="Times New Roman" w:hAnsi="Times New Roman"/>
                <w:sz w:val="22"/>
                <w:szCs w:val="22"/>
              </w:rPr>
              <w:t xml:space="preserve">enjivati </w:t>
            </w:r>
            <w:r w:rsidR="001459D7" w:rsidRPr="0016092F">
              <w:rPr>
                <w:rFonts w:ascii="Times New Roman" w:hAnsi="Times New Roman"/>
                <w:sz w:val="22"/>
                <w:szCs w:val="22"/>
              </w:rPr>
              <w:t>u cilju</w:t>
            </w:r>
            <w:r w:rsidRPr="0016092F">
              <w:rPr>
                <w:rFonts w:ascii="Times New Roman" w:hAnsi="Times New Roman"/>
                <w:sz w:val="22"/>
                <w:szCs w:val="22"/>
              </w:rPr>
              <w:t xml:space="preserve"> smanjenja izlaganja alogenim transfuzijama krvi kod odraslih pacijenata bez deficita gvožđa </w:t>
            </w:r>
            <w:r w:rsidR="004C5530" w:rsidRPr="0016092F">
              <w:rPr>
                <w:rFonts w:ascii="Times New Roman" w:hAnsi="Times New Roman"/>
                <w:sz w:val="22"/>
                <w:szCs w:val="22"/>
              </w:rPr>
              <w:t>pr</w:t>
            </w:r>
            <w:r w:rsidR="005C0735" w:rsidRPr="0016092F">
              <w:rPr>
                <w:rFonts w:ascii="Times New Roman" w:hAnsi="Times New Roman"/>
                <w:sz w:val="22"/>
                <w:szCs w:val="22"/>
              </w:rPr>
              <w:t>ij</w:t>
            </w:r>
            <w:r w:rsidR="004C5530" w:rsidRPr="0016092F">
              <w:rPr>
                <w:rFonts w:ascii="Times New Roman" w:hAnsi="Times New Roman"/>
                <w:sz w:val="22"/>
                <w:szCs w:val="22"/>
              </w:rPr>
              <w:t xml:space="preserve">e opsežnog elektivnog ortopetskog hirurškog zahvata, </w:t>
            </w:r>
            <w:r w:rsidR="0029337A" w:rsidRPr="0016092F">
              <w:rPr>
                <w:rFonts w:ascii="Times New Roman" w:hAnsi="Times New Roman"/>
                <w:sz w:val="22"/>
                <w:szCs w:val="22"/>
              </w:rPr>
              <w:t xml:space="preserve">za koje se smatra da imaju </w:t>
            </w:r>
            <w:r w:rsidR="004C5530" w:rsidRPr="0016092F">
              <w:rPr>
                <w:rFonts w:ascii="Times New Roman" w:hAnsi="Times New Roman"/>
                <w:sz w:val="22"/>
                <w:szCs w:val="22"/>
              </w:rPr>
              <w:t>visok rizik od komplikacija transfuzije. Prim</w:t>
            </w:r>
            <w:r w:rsidR="005C0735" w:rsidRPr="0016092F">
              <w:rPr>
                <w:rFonts w:ascii="Times New Roman" w:hAnsi="Times New Roman"/>
                <w:sz w:val="22"/>
                <w:szCs w:val="22"/>
              </w:rPr>
              <w:t>j</w:t>
            </w:r>
            <w:r w:rsidR="004C5530" w:rsidRPr="0016092F">
              <w:rPr>
                <w:rFonts w:ascii="Times New Roman" w:hAnsi="Times New Roman"/>
                <w:sz w:val="22"/>
                <w:szCs w:val="22"/>
              </w:rPr>
              <w:t>enu treba ograničiti na pacijente sa um</w:t>
            </w:r>
            <w:r w:rsidR="005C0735" w:rsidRPr="0016092F">
              <w:rPr>
                <w:rFonts w:ascii="Times New Roman" w:hAnsi="Times New Roman"/>
                <w:sz w:val="22"/>
                <w:szCs w:val="22"/>
              </w:rPr>
              <w:t>j</w:t>
            </w:r>
            <w:r w:rsidR="004C5530" w:rsidRPr="0016092F">
              <w:rPr>
                <w:rFonts w:ascii="Times New Roman" w:hAnsi="Times New Roman"/>
                <w:sz w:val="22"/>
                <w:szCs w:val="22"/>
              </w:rPr>
              <w:t>erenom ane</w:t>
            </w:r>
            <w:r w:rsidR="001459D7" w:rsidRPr="0016092F">
              <w:rPr>
                <w:rFonts w:ascii="Times New Roman" w:hAnsi="Times New Roman"/>
                <w:sz w:val="22"/>
                <w:szCs w:val="22"/>
              </w:rPr>
              <w:t>mijom (npr. Hb 10-13 g/dl</w:t>
            </w:r>
            <w:r w:rsidR="0029337A" w:rsidRPr="0016092F">
              <w:rPr>
                <w:rFonts w:ascii="Times New Roman" w:hAnsi="Times New Roman"/>
                <w:sz w:val="22"/>
                <w:szCs w:val="22"/>
              </w:rPr>
              <w:t xml:space="preserve"> ili 6.2-8.1 mmol/l</w:t>
            </w:r>
            <w:r w:rsidR="001459D7" w:rsidRPr="0016092F">
              <w:rPr>
                <w:rFonts w:ascii="Times New Roman" w:hAnsi="Times New Roman"/>
                <w:sz w:val="22"/>
                <w:szCs w:val="22"/>
              </w:rPr>
              <w:t>) kojima nije dost</w:t>
            </w:r>
            <w:r w:rsidR="004C53A0" w:rsidRPr="0016092F">
              <w:rPr>
                <w:rFonts w:ascii="Times New Roman" w:hAnsi="Times New Roman"/>
                <w:sz w:val="22"/>
                <w:szCs w:val="22"/>
              </w:rPr>
              <w:t xml:space="preserve">upan program </w:t>
            </w:r>
            <w:r w:rsidR="00C4363D" w:rsidRPr="0016092F">
              <w:rPr>
                <w:rFonts w:ascii="Times New Roman" w:hAnsi="Times New Roman"/>
                <w:sz w:val="22"/>
                <w:szCs w:val="22"/>
              </w:rPr>
              <w:t xml:space="preserve">autologne </w:t>
            </w:r>
            <w:r w:rsidR="004C53A0" w:rsidRPr="0016092F">
              <w:rPr>
                <w:rFonts w:ascii="Times New Roman" w:hAnsi="Times New Roman"/>
                <w:sz w:val="22"/>
                <w:szCs w:val="22"/>
              </w:rPr>
              <w:t>predonacije krvi i</w:t>
            </w:r>
            <w:r w:rsidR="004C5530" w:rsidRPr="0016092F">
              <w:rPr>
                <w:rFonts w:ascii="Times New Roman" w:hAnsi="Times New Roman"/>
                <w:sz w:val="22"/>
                <w:szCs w:val="22"/>
              </w:rPr>
              <w:t xml:space="preserve"> kod kojih je očekivani gubitak krvi od 900</w:t>
            </w:r>
            <w:r w:rsidR="001459D7" w:rsidRPr="0016092F">
              <w:rPr>
                <w:rFonts w:ascii="Times New Roman" w:hAnsi="Times New Roman"/>
                <w:sz w:val="22"/>
                <w:szCs w:val="22"/>
              </w:rPr>
              <w:t xml:space="preserve"> do</w:t>
            </w:r>
            <w:r w:rsidR="004C5530" w:rsidRPr="0016092F">
              <w:rPr>
                <w:rFonts w:ascii="Times New Roman" w:hAnsi="Times New Roman"/>
                <w:sz w:val="22"/>
                <w:szCs w:val="22"/>
              </w:rPr>
              <w:t xml:space="preserve"> 1800 ml.</w:t>
            </w:r>
          </w:p>
          <w:p w:rsidR="000A5035" w:rsidRPr="0016092F" w:rsidRDefault="000A5035" w:rsidP="006F146B">
            <w:pPr>
              <w:pStyle w:val="Header"/>
              <w:tabs>
                <w:tab w:val="clear" w:pos="4536"/>
                <w:tab w:val="clear" w:pos="9072"/>
                <w:tab w:val="left" w:pos="284"/>
              </w:tabs>
              <w:rPr>
                <w:rFonts w:ascii="Times New Roman" w:hAnsi="Times New Roman"/>
                <w:bCs/>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lastRenderedPageBreak/>
              <w:t>4.2. Doziranje i način prim</w:t>
            </w:r>
            <w:r w:rsidR="005C0735" w:rsidRPr="0016092F">
              <w:rPr>
                <w:rFonts w:ascii="Times New Roman" w:hAnsi="Times New Roman"/>
                <w:b/>
                <w:bCs/>
                <w:sz w:val="22"/>
                <w:szCs w:val="22"/>
              </w:rPr>
              <w:t>j</w:t>
            </w:r>
            <w:r w:rsidRPr="0016092F">
              <w:rPr>
                <w:rFonts w:ascii="Times New Roman" w:hAnsi="Times New Roman"/>
                <w:b/>
                <w:bCs/>
                <w:sz w:val="22"/>
                <w:szCs w:val="22"/>
              </w:rPr>
              <w:t>ene</w:t>
            </w:r>
          </w:p>
        </w:tc>
      </w:tr>
      <w:tr w:rsidR="00834DBB" w:rsidRPr="0016092F" w:rsidTr="006F146B">
        <w:trPr>
          <w:trHeight w:val="1145"/>
        </w:trPr>
        <w:tc>
          <w:tcPr>
            <w:tcW w:w="5000" w:type="pct"/>
            <w:gridSpan w:val="4"/>
            <w:vAlign w:val="center"/>
          </w:tcPr>
          <w:p w:rsidR="003A596D" w:rsidRPr="0016092F" w:rsidRDefault="001459D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Terapija</w:t>
            </w:r>
            <w:r w:rsidR="004C5530" w:rsidRPr="0016092F">
              <w:rPr>
                <w:rFonts w:ascii="Times New Roman" w:hAnsi="Times New Roman"/>
                <w:sz w:val="22"/>
                <w:szCs w:val="22"/>
              </w:rPr>
              <w:t xml:space="preserve"> l</w:t>
            </w:r>
            <w:r w:rsidR="005C0735" w:rsidRPr="0016092F">
              <w:rPr>
                <w:rFonts w:ascii="Times New Roman" w:hAnsi="Times New Roman"/>
                <w:sz w:val="22"/>
                <w:szCs w:val="22"/>
              </w:rPr>
              <w:t>ij</w:t>
            </w:r>
            <w:r w:rsidR="004C5530" w:rsidRPr="0016092F">
              <w:rPr>
                <w:rFonts w:ascii="Times New Roman" w:hAnsi="Times New Roman"/>
                <w:sz w:val="22"/>
                <w:szCs w:val="22"/>
              </w:rPr>
              <w:t xml:space="preserve">ekom </w:t>
            </w:r>
            <w:r w:rsidR="00627B6C" w:rsidRPr="0016092F">
              <w:rPr>
                <w:rFonts w:ascii="Times New Roman" w:hAnsi="Times New Roman"/>
                <w:sz w:val="22"/>
                <w:szCs w:val="22"/>
              </w:rPr>
              <w:t>Binocrit</w:t>
            </w:r>
            <w:r w:rsidR="004C5530" w:rsidRPr="0016092F">
              <w:rPr>
                <w:rFonts w:ascii="Times New Roman" w:hAnsi="Times New Roman"/>
                <w:sz w:val="22"/>
                <w:szCs w:val="22"/>
              </w:rPr>
              <w:t xml:space="preserve"> mora biti započeta pod nadzorom l</w:t>
            </w:r>
            <w:r w:rsidR="005C0735" w:rsidRPr="0016092F">
              <w:rPr>
                <w:rFonts w:ascii="Times New Roman" w:hAnsi="Times New Roman"/>
                <w:sz w:val="22"/>
                <w:szCs w:val="22"/>
              </w:rPr>
              <w:t>j</w:t>
            </w:r>
            <w:r w:rsidR="004C5530" w:rsidRPr="0016092F">
              <w:rPr>
                <w:rFonts w:ascii="Times New Roman" w:hAnsi="Times New Roman"/>
                <w:sz w:val="22"/>
                <w:szCs w:val="22"/>
              </w:rPr>
              <w:t>ekara sa iskustvom u l</w:t>
            </w:r>
            <w:r w:rsidR="005C0735" w:rsidRPr="0016092F">
              <w:rPr>
                <w:rFonts w:ascii="Times New Roman" w:hAnsi="Times New Roman"/>
                <w:sz w:val="22"/>
                <w:szCs w:val="22"/>
              </w:rPr>
              <w:t>ij</w:t>
            </w:r>
            <w:r w:rsidR="004C5530" w:rsidRPr="0016092F">
              <w:rPr>
                <w:rFonts w:ascii="Times New Roman" w:hAnsi="Times New Roman"/>
                <w:sz w:val="22"/>
                <w:szCs w:val="22"/>
              </w:rPr>
              <w:t>ečenju pacijenata u gore navedenim indikacijama.</w:t>
            </w:r>
          </w:p>
          <w:p w:rsidR="004C5530" w:rsidRPr="0016092F" w:rsidRDefault="004C5530" w:rsidP="006F146B">
            <w:pPr>
              <w:pStyle w:val="Header"/>
              <w:tabs>
                <w:tab w:val="clear" w:pos="4536"/>
                <w:tab w:val="clear" w:pos="9072"/>
                <w:tab w:val="left" w:pos="284"/>
              </w:tabs>
              <w:rPr>
                <w:rFonts w:ascii="Times New Roman" w:hAnsi="Times New Roman"/>
                <w:sz w:val="22"/>
                <w:szCs w:val="22"/>
              </w:rPr>
            </w:pPr>
          </w:p>
          <w:p w:rsidR="004C5530" w:rsidRPr="0016092F" w:rsidRDefault="004C5530" w:rsidP="006F146B">
            <w:pPr>
              <w:pStyle w:val="Header"/>
              <w:tabs>
                <w:tab w:val="clear" w:pos="4536"/>
                <w:tab w:val="clear" w:pos="9072"/>
                <w:tab w:val="left" w:pos="284"/>
              </w:tabs>
              <w:rPr>
                <w:rFonts w:ascii="Times New Roman" w:hAnsi="Times New Roman"/>
                <w:b/>
                <w:sz w:val="22"/>
                <w:szCs w:val="22"/>
              </w:rPr>
            </w:pPr>
            <w:r w:rsidRPr="0016092F">
              <w:rPr>
                <w:rFonts w:ascii="Times New Roman" w:hAnsi="Times New Roman"/>
                <w:b/>
                <w:sz w:val="22"/>
                <w:szCs w:val="22"/>
              </w:rPr>
              <w:t>Doziranje</w:t>
            </w:r>
          </w:p>
          <w:p w:rsidR="00EB3C53" w:rsidRPr="0016092F" w:rsidRDefault="00EB3C53"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Potrebno je razmotriti sve druge uzroke anemije (nedostatak gvo</w:t>
            </w:r>
            <w:r w:rsidR="005C0735" w:rsidRPr="0016092F">
              <w:rPr>
                <w:rFonts w:ascii="Times New Roman" w:hAnsi="Times New Roman"/>
                <w:sz w:val="22"/>
                <w:szCs w:val="22"/>
              </w:rPr>
              <w:t>žđa, folata ili viatmina B12, tr</w:t>
            </w:r>
            <w:r w:rsidRPr="0016092F">
              <w:rPr>
                <w:rFonts w:ascii="Times New Roman" w:hAnsi="Times New Roman"/>
                <w:sz w:val="22"/>
                <w:szCs w:val="22"/>
              </w:rPr>
              <w:t>ovanje aluminijumom, infekcija ili upala, gubitak krvi, hemoliza i fibroza kostne srži bilo kog por</w:t>
            </w:r>
            <w:r w:rsidR="005C0735" w:rsidRPr="0016092F">
              <w:rPr>
                <w:rFonts w:ascii="Times New Roman" w:hAnsi="Times New Roman"/>
                <w:sz w:val="22"/>
                <w:szCs w:val="22"/>
              </w:rPr>
              <w:t>ij</w:t>
            </w:r>
            <w:r w:rsidRPr="0016092F">
              <w:rPr>
                <w:rFonts w:ascii="Times New Roman" w:hAnsi="Times New Roman"/>
                <w:sz w:val="22"/>
                <w:szCs w:val="22"/>
              </w:rPr>
              <w:t>ekla) i l</w:t>
            </w:r>
            <w:r w:rsidR="005C0735" w:rsidRPr="0016092F">
              <w:rPr>
                <w:rFonts w:ascii="Times New Roman" w:hAnsi="Times New Roman"/>
                <w:sz w:val="22"/>
                <w:szCs w:val="22"/>
              </w:rPr>
              <w:t>ij</w:t>
            </w:r>
            <w:r w:rsidRPr="0016092F">
              <w:rPr>
                <w:rFonts w:ascii="Times New Roman" w:hAnsi="Times New Roman"/>
                <w:sz w:val="22"/>
                <w:szCs w:val="22"/>
              </w:rPr>
              <w:t>ečiti ih pr</w:t>
            </w:r>
            <w:r w:rsidR="005C0735" w:rsidRPr="0016092F">
              <w:rPr>
                <w:rFonts w:ascii="Times New Roman" w:hAnsi="Times New Roman"/>
                <w:sz w:val="22"/>
                <w:szCs w:val="22"/>
              </w:rPr>
              <w:t>ij</w:t>
            </w:r>
            <w:r w:rsidRPr="0016092F">
              <w:rPr>
                <w:rFonts w:ascii="Times New Roman" w:hAnsi="Times New Roman"/>
                <w:sz w:val="22"/>
                <w:szCs w:val="22"/>
              </w:rPr>
              <w:t>e početka terapije epoetinom alfa i pr</w:t>
            </w:r>
            <w:r w:rsidR="005C0735" w:rsidRPr="0016092F">
              <w:rPr>
                <w:rFonts w:ascii="Times New Roman" w:hAnsi="Times New Roman"/>
                <w:sz w:val="22"/>
                <w:szCs w:val="22"/>
              </w:rPr>
              <w:t>ij</w:t>
            </w:r>
            <w:r w:rsidRPr="0016092F">
              <w:rPr>
                <w:rFonts w:ascii="Times New Roman" w:hAnsi="Times New Roman"/>
                <w:sz w:val="22"/>
                <w:szCs w:val="22"/>
              </w:rPr>
              <w:t>e donošenja odluke o povećanju doze. Kako bi se osigurao optimalan odgovor na epoetin alfa, treba osigurati odgovarajuće rezerve gvožđa i, ako je potrebno, uvesti suplemente gvožđa (vid</w:t>
            </w:r>
            <w:r w:rsidR="005C0735" w:rsidRPr="0016092F">
              <w:rPr>
                <w:rFonts w:ascii="Times New Roman" w:hAnsi="Times New Roman"/>
                <w:sz w:val="22"/>
                <w:szCs w:val="22"/>
              </w:rPr>
              <w:t>j</w:t>
            </w:r>
            <w:r w:rsidRPr="0016092F">
              <w:rPr>
                <w:rFonts w:ascii="Times New Roman" w:hAnsi="Times New Roman"/>
                <w:sz w:val="22"/>
                <w:szCs w:val="22"/>
              </w:rPr>
              <w:t>eti od</w:t>
            </w:r>
            <w:r w:rsidR="005C0735" w:rsidRPr="0016092F">
              <w:rPr>
                <w:rFonts w:ascii="Times New Roman" w:hAnsi="Times New Roman"/>
                <w:sz w:val="22"/>
                <w:szCs w:val="22"/>
              </w:rPr>
              <w:t>j</w:t>
            </w:r>
            <w:r w:rsidRPr="0016092F">
              <w:rPr>
                <w:rFonts w:ascii="Times New Roman" w:hAnsi="Times New Roman"/>
                <w:sz w:val="22"/>
                <w:szCs w:val="22"/>
              </w:rPr>
              <w:t>eljak 4.4).</w:t>
            </w:r>
          </w:p>
          <w:p w:rsidR="00EB3C53" w:rsidRPr="0016092F" w:rsidRDefault="00EB3C53" w:rsidP="006F146B">
            <w:pPr>
              <w:pStyle w:val="Header"/>
              <w:tabs>
                <w:tab w:val="clear" w:pos="4536"/>
                <w:tab w:val="clear" w:pos="9072"/>
                <w:tab w:val="left" w:pos="284"/>
              </w:tabs>
              <w:rPr>
                <w:rFonts w:ascii="Times New Roman" w:hAnsi="Times New Roman"/>
                <w:sz w:val="22"/>
                <w:szCs w:val="22"/>
                <w:u w:val="single"/>
              </w:rPr>
            </w:pPr>
          </w:p>
          <w:p w:rsidR="004C5530" w:rsidRPr="0016092F" w:rsidRDefault="004C5530"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 xml:space="preserve">Terapija simptomatske anemije kod odraslih pacijenata sa </w:t>
            </w:r>
            <w:r w:rsidR="004C53A0" w:rsidRPr="0016092F">
              <w:rPr>
                <w:rFonts w:ascii="Times New Roman" w:hAnsi="Times New Roman"/>
                <w:sz w:val="22"/>
                <w:szCs w:val="22"/>
                <w:u w:val="single"/>
              </w:rPr>
              <w:t xml:space="preserve">hroničnom </w:t>
            </w:r>
            <w:r w:rsidRPr="0016092F">
              <w:rPr>
                <w:rFonts w:ascii="Times New Roman" w:hAnsi="Times New Roman"/>
                <w:sz w:val="22"/>
                <w:szCs w:val="22"/>
                <w:u w:val="single"/>
              </w:rPr>
              <w:t>bubrežnom insufici</w:t>
            </w:r>
            <w:r w:rsidR="00CE5DC1" w:rsidRPr="0016092F">
              <w:rPr>
                <w:rFonts w:ascii="Times New Roman" w:hAnsi="Times New Roman"/>
                <w:sz w:val="22"/>
                <w:szCs w:val="22"/>
                <w:u w:val="single"/>
              </w:rPr>
              <w:t>jencijom</w:t>
            </w:r>
          </w:p>
          <w:p w:rsidR="004C5530" w:rsidRPr="0016092F" w:rsidRDefault="004C5530" w:rsidP="006F146B">
            <w:pPr>
              <w:pStyle w:val="Header"/>
              <w:tabs>
                <w:tab w:val="clear" w:pos="4536"/>
                <w:tab w:val="clear" w:pos="9072"/>
                <w:tab w:val="left" w:pos="284"/>
              </w:tabs>
              <w:rPr>
                <w:rFonts w:ascii="Times New Roman" w:hAnsi="Times New Roman"/>
                <w:sz w:val="22"/>
                <w:szCs w:val="22"/>
              </w:rPr>
            </w:pPr>
          </w:p>
          <w:p w:rsidR="004C5530" w:rsidRPr="0016092F" w:rsidRDefault="004C553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Simptomi i posl</w:t>
            </w:r>
            <w:r w:rsidR="005C0735" w:rsidRPr="0016092F">
              <w:rPr>
                <w:rFonts w:ascii="Times New Roman" w:hAnsi="Times New Roman"/>
                <w:sz w:val="22"/>
                <w:szCs w:val="22"/>
              </w:rPr>
              <w:t>j</w:t>
            </w:r>
            <w:r w:rsidRPr="0016092F">
              <w:rPr>
                <w:rFonts w:ascii="Times New Roman" w:hAnsi="Times New Roman"/>
                <w:sz w:val="22"/>
                <w:szCs w:val="22"/>
              </w:rPr>
              <w:t xml:space="preserve">edice anemije mogu se razlikovati u zavisnosti od starosti, pola i težine oboljenja; </w:t>
            </w:r>
            <w:r w:rsidR="00327913" w:rsidRPr="0016092F">
              <w:rPr>
                <w:rFonts w:ascii="Times New Roman" w:hAnsi="Times New Roman"/>
                <w:sz w:val="22"/>
                <w:szCs w:val="22"/>
              </w:rPr>
              <w:t>neophodno</w:t>
            </w:r>
            <w:r w:rsidRPr="0016092F">
              <w:rPr>
                <w:rFonts w:ascii="Times New Roman" w:hAnsi="Times New Roman"/>
                <w:sz w:val="22"/>
                <w:szCs w:val="22"/>
              </w:rPr>
              <w:t xml:space="preserve"> je</w:t>
            </w:r>
            <w:r w:rsidR="00327913" w:rsidRPr="0016092F">
              <w:rPr>
                <w:rFonts w:ascii="Times New Roman" w:hAnsi="Times New Roman"/>
                <w:sz w:val="22"/>
                <w:szCs w:val="22"/>
              </w:rPr>
              <w:t xml:space="preserve"> da l</w:t>
            </w:r>
            <w:r w:rsidR="005C0735" w:rsidRPr="0016092F">
              <w:rPr>
                <w:rFonts w:ascii="Times New Roman" w:hAnsi="Times New Roman"/>
                <w:sz w:val="22"/>
                <w:szCs w:val="22"/>
              </w:rPr>
              <w:t>j</w:t>
            </w:r>
            <w:r w:rsidR="00327913" w:rsidRPr="0016092F">
              <w:rPr>
                <w:rFonts w:ascii="Times New Roman" w:hAnsi="Times New Roman"/>
                <w:sz w:val="22"/>
                <w:szCs w:val="22"/>
              </w:rPr>
              <w:t>ekar</w:t>
            </w:r>
            <w:r w:rsidRPr="0016092F">
              <w:rPr>
                <w:rFonts w:ascii="Times New Roman" w:hAnsi="Times New Roman"/>
                <w:sz w:val="22"/>
                <w:szCs w:val="22"/>
              </w:rPr>
              <w:t xml:space="preserve"> </w:t>
            </w:r>
            <w:r w:rsidR="00327913" w:rsidRPr="0016092F">
              <w:rPr>
                <w:rFonts w:ascii="Times New Roman" w:hAnsi="Times New Roman"/>
                <w:sz w:val="22"/>
                <w:szCs w:val="22"/>
              </w:rPr>
              <w:t>proc</w:t>
            </w:r>
            <w:r w:rsidR="005C0735" w:rsidRPr="0016092F">
              <w:rPr>
                <w:rFonts w:ascii="Times New Roman" w:hAnsi="Times New Roman"/>
                <w:sz w:val="22"/>
                <w:szCs w:val="22"/>
              </w:rPr>
              <w:t>ij</w:t>
            </w:r>
            <w:r w:rsidR="00327913" w:rsidRPr="0016092F">
              <w:rPr>
                <w:rFonts w:ascii="Times New Roman" w:hAnsi="Times New Roman"/>
                <w:sz w:val="22"/>
                <w:szCs w:val="22"/>
              </w:rPr>
              <w:t xml:space="preserve">eni </w:t>
            </w:r>
            <w:r w:rsidRPr="0016092F">
              <w:rPr>
                <w:rFonts w:ascii="Times New Roman" w:hAnsi="Times New Roman"/>
                <w:sz w:val="22"/>
                <w:szCs w:val="22"/>
              </w:rPr>
              <w:t xml:space="preserve"> </w:t>
            </w:r>
            <w:r w:rsidR="00327913" w:rsidRPr="0016092F">
              <w:rPr>
                <w:rFonts w:ascii="Times New Roman" w:hAnsi="Times New Roman"/>
                <w:sz w:val="22"/>
                <w:szCs w:val="22"/>
              </w:rPr>
              <w:t xml:space="preserve">klinički tok i stanje </w:t>
            </w:r>
            <w:r w:rsidRPr="0016092F">
              <w:rPr>
                <w:rFonts w:ascii="Times New Roman" w:hAnsi="Times New Roman"/>
                <w:sz w:val="22"/>
                <w:szCs w:val="22"/>
              </w:rPr>
              <w:t>svakog pacijenta ponaosob</w:t>
            </w:r>
            <w:r w:rsidR="00327913" w:rsidRPr="0016092F">
              <w:rPr>
                <w:rFonts w:ascii="Times New Roman" w:hAnsi="Times New Roman"/>
                <w:sz w:val="22"/>
                <w:szCs w:val="22"/>
              </w:rPr>
              <w:t>.</w:t>
            </w:r>
          </w:p>
          <w:p w:rsidR="00327913" w:rsidRPr="0016092F" w:rsidRDefault="00327913" w:rsidP="006F146B">
            <w:pPr>
              <w:pStyle w:val="Header"/>
              <w:tabs>
                <w:tab w:val="clear" w:pos="4536"/>
                <w:tab w:val="clear" w:pos="9072"/>
                <w:tab w:val="left" w:pos="284"/>
              </w:tabs>
              <w:rPr>
                <w:rFonts w:ascii="Times New Roman" w:hAnsi="Times New Roman"/>
                <w:sz w:val="22"/>
                <w:szCs w:val="22"/>
              </w:rPr>
            </w:pPr>
          </w:p>
          <w:p w:rsidR="00CF6F69" w:rsidRPr="0016092F" w:rsidRDefault="00521DF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Preporučeni željeni raspon koncentracije hemoglobina je između 10 g/dl i 12 g/dl (6,2 i 7,5 mmmol/l). </w:t>
            </w:r>
            <w:r w:rsidR="00CF6F69" w:rsidRPr="0016092F">
              <w:rPr>
                <w:rFonts w:ascii="Times New Roman" w:hAnsi="Times New Roman"/>
                <w:sz w:val="22"/>
                <w:szCs w:val="22"/>
              </w:rPr>
              <w:t>Epoetin alfa treba prim</w:t>
            </w:r>
            <w:r w:rsidR="005C0735" w:rsidRPr="0016092F">
              <w:rPr>
                <w:rFonts w:ascii="Times New Roman" w:hAnsi="Times New Roman"/>
                <w:sz w:val="22"/>
                <w:szCs w:val="22"/>
              </w:rPr>
              <w:t>j</w:t>
            </w:r>
            <w:r w:rsidR="00CF6F69" w:rsidRPr="0016092F">
              <w:rPr>
                <w:rFonts w:ascii="Times New Roman" w:hAnsi="Times New Roman"/>
                <w:sz w:val="22"/>
                <w:szCs w:val="22"/>
              </w:rPr>
              <w:t>enjivati u cilju povećanja hemoglobina koje nije veće od 12 g/dl (7.5 mmol/l). Treba izb</w:t>
            </w:r>
            <w:r w:rsidR="005C0735" w:rsidRPr="0016092F">
              <w:rPr>
                <w:rFonts w:ascii="Times New Roman" w:hAnsi="Times New Roman"/>
                <w:sz w:val="22"/>
                <w:szCs w:val="22"/>
              </w:rPr>
              <w:t>j</w:t>
            </w:r>
            <w:r w:rsidR="00CF6F69" w:rsidRPr="0016092F">
              <w:rPr>
                <w:rFonts w:ascii="Times New Roman" w:hAnsi="Times New Roman"/>
                <w:sz w:val="22"/>
                <w:szCs w:val="22"/>
              </w:rPr>
              <w:t>egavati porast hemoglobina za više od 2 g/dl (1.25 mmol/l) tokom perioda od četiri nedelje. Ako se to desi, potrebno je prilagoditi dozu kako je objašnjeno.</w:t>
            </w:r>
          </w:p>
          <w:p w:rsidR="00327913" w:rsidRPr="0016092F" w:rsidRDefault="00327913" w:rsidP="006F146B">
            <w:pPr>
              <w:pStyle w:val="Header"/>
              <w:tabs>
                <w:tab w:val="clear" w:pos="4536"/>
                <w:tab w:val="clear" w:pos="9072"/>
                <w:tab w:val="left" w:pos="284"/>
              </w:tabs>
              <w:rPr>
                <w:rFonts w:ascii="Times New Roman" w:hAnsi="Times New Roman"/>
                <w:sz w:val="22"/>
                <w:szCs w:val="22"/>
              </w:rPr>
            </w:pPr>
          </w:p>
          <w:p w:rsidR="00C5543D" w:rsidRPr="0016092F" w:rsidRDefault="00C5543D"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Usl</w:t>
            </w:r>
            <w:r w:rsidR="005C0735" w:rsidRPr="0016092F">
              <w:rPr>
                <w:rFonts w:ascii="Times New Roman" w:hAnsi="Times New Roman"/>
                <w:sz w:val="22"/>
                <w:szCs w:val="22"/>
              </w:rPr>
              <w:t>j</w:t>
            </w:r>
            <w:r w:rsidRPr="0016092F">
              <w:rPr>
                <w:rFonts w:ascii="Times New Roman" w:hAnsi="Times New Roman"/>
                <w:sz w:val="22"/>
                <w:szCs w:val="22"/>
              </w:rPr>
              <w:t xml:space="preserve">ed inter-individualnih razlika pacijenata, </w:t>
            </w:r>
            <w:r w:rsidR="001459D7" w:rsidRPr="0016092F">
              <w:rPr>
                <w:rFonts w:ascii="Times New Roman" w:hAnsi="Times New Roman"/>
                <w:sz w:val="22"/>
                <w:szCs w:val="22"/>
              </w:rPr>
              <w:t>mogu se uočiti prom</w:t>
            </w:r>
            <w:r w:rsidR="009E0538" w:rsidRPr="0016092F">
              <w:rPr>
                <w:rFonts w:ascii="Times New Roman" w:hAnsi="Times New Roman"/>
                <w:sz w:val="22"/>
                <w:szCs w:val="22"/>
              </w:rPr>
              <w:t>j</w:t>
            </w:r>
            <w:r w:rsidR="001459D7" w:rsidRPr="0016092F">
              <w:rPr>
                <w:rFonts w:ascii="Times New Roman" w:hAnsi="Times New Roman"/>
                <w:sz w:val="22"/>
                <w:szCs w:val="22"/>
              </w:rPr>
              <w:t>ene vr</w:t>
            </w:r>
            <w:r w:rsidR="009E0538" w:rsidRPr="0016092F">
              <w:rPr>
                <w:rFonts w:ascii="Times New Roman" w:hAnsi="Times New Roman"/>
                <w:sz w:val="22"/>
                <w:szCs w:val="22"/>
              </w:rPr>
              <w:t>ij</w:t>
            </w:r>
            <w:r w:rsidR="001459D7" w:rsidRPr="0016092F">
              <w:rPr>
                <w:rFonts w:ascii="Times New Roman" w:hAnsi="Times New Roman"/>
                <w:sz w:val="22"/>
                <w:szCs w:val="22"/>
              </w:rPr>
              <w:t>ednosti hemoglobina koje su iznad i ispod željenih vr</w:t>
            </w:r>
            <w:r w:rsidR="009E0538" w:rsidRPr="0016092F">
              <w:rPr>
                <w:rFonts w:ascii="Times New Roman" w:hAnsi="Times New Roman"/>
                <w:sz w:val="22"/>
                <w:szCs w:val="22"/>
              </w:rPr>
              <w:t>ij</w:t>
            </w:r>
            <w:r w:rsidR="001459D7" w:rsidRPr="0016092F">
              <w:rPr>
                <w:rFonts w:ascii="Times New Roman" w:hAnsi="Times New Roman"/>
                <w:sz w:val="22"/>
                <w:szCs w:val="22"/>
              </w:rPr>
              <w:t>ednosti.</w:t>
            </w:r>
            <w:r w:rsidR="00CF6F69" w:rsidRPr="0016092F">
              <w:rPr>
                <w:rFonts w:ascii="Times New Roman" w:hAnsi="Times New Roman"/>
                <w:sz w:val="22"/>
                <w:szCs w:val="22"/>
              </w:rPr>
              <w:t xml:space="preserve"> Različite vr</w:t>
            </w:r>
            <w:r w:rsidR="009E0538" w:rsidRPr="0016092F">
              <w:rPr>
                <w:rFonts w:ascii="Times New Roman" w:hAnsi="Times New Roman"/>
                <w:sz w:val="22"/>
                <w:szCs w:val="22"/>
              </w:rPr>
              <w:t>ij</w:t>
            </w:r>
            <w:r w:rsidR="00CF6F69" w:rsidRPr="0016092F">
              <w:rPr>
                <w:rFonts w:ascii="Times New Roman" w:hAnsi="Times New Roman"/>
                <w:sz w:val="22"/>
                <w:szCs w:val="22"/>
              </w:rPr>
              <w:t>ednosti hemoglobina treba regulisati prom</w:t>
            </w:r>
            <w:r w:rsidR="009E0538" w:rsidRPr="0016092F">
              <w:rPr>
                <w:rFonts w:ascii="Times New Roman" w:hAnsi="Times New Roman"/>
                <w:sz w:val="22"/>
                <w:szCs w:val="22"/>
              </w:rPr>
              <w:t>j</w:t>
            </w:r>
            <w:r w:rsidR="00CF6F69" w:rsidRPr="0016092F">
              <w:rPr>
                <w:rFonts w:ascii="Times New Roman" w:hAnsi="Times New Roman"/>
                <w:sz w:val="22"/>
                <w:szCs w:val="22"/>
              </w:rPr>
              <w:t>enom doze, uzimajući u obzir da je cilj postići vr</w:t>
            </w:r>
            <w:r w:rsidR="009E0538" w:rsidRPr="0016092F">
              <w:rPr>
                <w:rFonts w:ascii="Times New Roman" w:hAnsi="Times New Roman"/>
                <w:sz w:val="22"/>
                <w:szCs w:val="22"/>
              </w:rPr>
              <w:t>ij</w:t>
            </w:r>
            <w:r w:rsidR="00CF6F69" w:rsidRPr="0016092F">
              <w:rPr>
                <w:rFonts w:ascii="Times New Roman" w:hAnsi="Times New Roman"/>
                <w:sz w:val="22"/>
                <w:szCs w:val="22"/>
              </w:rPr>
              <w:t xml:space="preserve">ednosti hemoglobina koje su u opsegu od 10 g/dl (6.2 mmol/l) do 12 g/dl (7.5 mmol/l). </w:t>
            </w:r>
          </w:p>
          <w:p w:rsidR="00521DF9" w:rsidRPr="0016092F" w:rsidRDefault="00521DF9"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Treba izb</w:t>
            </w:r>
            <w:r w:rsidR="009E0538" w:rsidRPr="0016092F">
              <w:rPr>
                <w:rFonts w:ascii="Times New Roman" w:hAnsi="Times New Roman"/>
                <w:sz w:val="22"/>
                <w:szCs w:val="22"/>
              </w:rPr>
              <w:t>j</w:t>
            </w:r>
            <w:r w:rsidRPr="0016092F">
              <w:rPr>
                <w:rFonts w:ascii="Times New Roman" w:hAnsi="Times New Roman"/>
                <w:sz w:val="22"/>
                <w:szCs w:val="22"/>
              </w:rPr>
              <w:t>egavati održavanje vr</w:t>
            </w:r>
            <w:r w:rsidR="009E0538" w:rsidRPr="0016092F">
              <w:rPr>
                <w:rFonts w:ascii="Times New Roman" w:hAnsi="Times New Roman"/>
                <w:sz w:val="22"/>
                <w:szCs w:val="22"/>
              </w:rPr>
              <w:t>ij</w:t>
            </w:r>
            <w:r w:rsidRPr="0016092F">
              <w:rPr>
                <w:rFonts w:ascii="Times New Roman" w:hAnsi="Times New Roman"/>
                <w:sz w:val="22"/>
                <w:szCs w:val="22"/>
              </w:rPr>
              <w:t>ednosti koncentracije hemoglobina veće od 12 g/dl (7.5 mmol/l). Ako se koncentracija hemoglobina povećava za više od 2 g/dl (1.25 mmol/l) za m</w:t>
            </w:r>
            <w:r w:rsidR="009E0538" w:rsidRPr="0016092F">
              <w:rPr>
                <w:rFonts w:ascii="Times New Roman" w:hAnsi="Times New Roman"/>
                <w:sz w:val="22"/>
                <w:szCs w:val="22"/>
              </w:rPr>
              <w:t>j</w:t>
            </w:r>
            <w:r w:rsidRPr="0016092F">
              <w:rPr>
                <w:rFonts w:ascii="Times New Roman" w:hAnsi="Times New Roman"/>
                <w:sz w:val="22"/>
                <w:szCs w:val="22"/>
              </w:rPr>
              <w:t>esec dana, ili ako se koncentracija hemoglobina održava iznad 12 g/dl (7.5 mmol/l), dozu epoetina alfa treba smanjiti za 25%. Ako vr</w:t>
            </w:r>
            <w:r w:rsidR="009E0538" w:rsidRPr="0016092F">
              <w:rPr>
                <w:rFonts w:ascii="Times New Roman" w:hAnsi="Times New Roman"/>
                <w:sz w:val="22"/>
                <w:szCs w:val="22"/>
              </w:rPr>
              <w:t>ij</w:t>
            </w:r>
            <w:r w:rsidRPr="0016092F">
              <w:rPr>
                <w:rFonts w:ascii="Times New Roman" w:hAnsi="Times New Roman"/>
                <w:sz w:val="22"/>
                <w:szCs w:val="22"/>
              </w:rPr>
              <w:t>ednosti hemoglobina premaše 13 g/dl (8.1 mmol/l), terapiju treba prekinuti dok hemoglobin ne padne ispod 12 g/dl (7.5 mmol/l), a zatim ponovo započeti terapiju epoetinom alfa u dozi koja je za 25% niža od predhodno prim</w:t>
            </w:r>
            <w:r w:rsidR="009E0538" w:rsidRPr="0016092F">
              <w:rPr>
                <w:rFonts w:ascii="Times New Roman" w:hAnsi="Times New Roman"/>
                <w:sz w:val="22"/>
                <w:szCs w:val="22"/>
              </w:rPr>
              <w:t>ij</w:t>
            </w:r>
            <w:r w:rsidRPr="0016092F">
              <w:rPr>
                <w:rFonts w:ascii="Times New Roman" w:hAnsi="Times New Roman"/>
                <w:sz w:val="22"/>
                <w:szCs w:val="22"/>
              </w:rPr>
              <w:t xml:space="preserve">enjene. </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Pacijente treba pažljivo pratiti da bi bili sigurni da se prim</w:t>
            </w:r>
            <w:r w:rsidR="009E0538" w:rsidRPr="0016092F">
              <w:rPr>
                <w:rFonts w:ascii="Times New Roman" w:hAnsi="Times New Roman"/>
                <w:sz w:val="22"/>
                <w:szCs w:val="22"/>
              </w:rPr>
              <w:t>j</w:t>
            </w:r>
            <w:r w:rsidRPr="0016092F">
              <w:rPr>
                <w:rFonts w:ascii="Times New Roman" w:hAnsi="Times New Roman"/>
                <w:sz w:val="22"/>
                <w:szCs w:val="22"/>
              </w:rPr>
              <w:t>enjuje najniža dozvoljena doza epoetina alfa koja omogućava odgovarajuću kontrolu simptoma anemije, uz</w:t>
            </w:r>
            <w:r w:rsidR="003251D3" w:rsidRPr="0016092F">
              <w:rPr>
                <w:rFonts w:ascii="Times New Roman" w:hAnsi="Times New Roman"/>
                <w:sz w:val="22"/>
                <w:szCs w:val="22"/>
              </w:rPr>
              <w:t xml:space="preserve"> istovremeno održavanje koncent</w:t>
            </w:r>
            <w:r w:rsidRPr="0016092F">
              <w:rPr>
                <w:rFonts w:ascii="Times New Roman" w:hAnsi="Times New Roman"/>
                <w:sz w:val="22"/>
                <w:szCs w:val="22"/>
              </w:rPr>
              <w:t>r</w:t>
            </w:r>
            <w:r w:rsidR="003251D3" w:rsidRPr="0016092F">
              <w:rPr>
                <w:rFonts w:ascii="Times New Roman" w:hAnsi="Times New Roman"/>
                <w:sz w:val="22"/>
                <w:szCs w:val="22"/>
              </w:rPr>
              <w:t>a</w:t>
            </w:r>
            <w:r w:rsidRPr="0016092F">
              <w:rPr>
                <w:rFonts w:ascii="Times New Roman" w:hAnsi="Times New Roman"/>
                <w:sz w:val="22"/>
                <w:szCs w:val="22"/>
              </w:rPr>
              <w:t>cije hemoglobina ispod ili na 12 g/dl (7,45 mmol/l).</w:t>
            </w:r>
          </w:p>
          <w:p w:rsidR="00521DF9" w:rsidRPr="0016092F" w:rsidRDefault="00521DF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Potreban je oprez prilikom povećanja doze epoetina alfa kod pacijenata sa hroničnom insuficijencijom bubrega. Kod pacijenata sa slabim odgovorom hemoglobina na Binocrit, potrebno je razmotriti druga moguća objašnjenja za slab odgovor (vid</w:t>
            </w:r>
            <w:r w:rsidR="009E0538" w:rsidRPr="0016092F">
              <w:rPr>
                <w:rFonts w:ascii="Times New Roman" w:hAnsi="Times New Roman"/>
                <w:sz w:val="22"/>
                <w:szCs w:val="22"/>
              </w:rPr>
              <w:t>j</w:t>
            </w:r>
            <w:r w:rsidRPr="0016092F">
              <w:rPr>
                <w:rFonts w:ascii="Times New Roman" w:hAnsi="Times New Roman"/>
                <w:sz w:val="22"/>
                <w:szCs w:val="22"/>
              </w:rPr>
              <w:t>eti od</w:t>
            </w:r>
            <w:r w:rsidR="009E0538" w:rsidRPr="0016092F">
              <w:rPr>
                <w:rFonts w:ascii="Times New Roman" w:hAnsi="Times New Roman"/>
                <w:sz w:val="22"/>
                <w:szCs w:val="22"/>
              </w:rPr>
              <w:t>j</w:t>
            </w:r>
            <w:r w:rsidRPr="0016092F">
              <w:rPr>
                <w:rFonts w:ascii="Times New Roman" w:hAnsi="Times New Roman"/>
                <w:sz w:val="22"/>
                <w:szCs w:val="22"/>
              </w:rPr>
              <w:t>eljak 4.4 i 5.1).</w:t>
            </w:r>
          </w:p>
          <w:p w:rsidR="00521DF9" w:rsidRPr="0016092F" w:rsidRDefault="00521DF9" w:rsidP="006F146B">
            <w:pPr>
              <w:pStyle w:val="Header"/>
              <w:tabs>
                <w:tab w:val="clear" w:pos="4536"/>
                <w:tab w:val="clear" w:pos="9072"/>
                <w:tab w:val="left" w:pos="284"/>
              </w:tabs>
              <w:rPr>
                <w:rFonts w:ascii="Times New Roman" w:hAnsi="Times New Roman"/>
                <w:sz w:val="22"/>
                <w:szCs w:val="22"/>
              </w:rPr>
            </w:pPr>
          </w:p>
          <w:p w:rsidR="00521DF9" w:rsidRPr="0016092F" w:rsidRDefault="00521DF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L</w:t>
            </w:r>
            <w:r w:rsidR="009E0538" w:rsidRPr="0016092F">
              <w:rPr>
                <w:rFonts w:ascii="Times New Roman" w:hAnsi="Times New Roman"/>
                <w:sz w:val="22"/>
                <w:szCs w:val="22"/>
              </w:rPr>
              <w:t>ij</w:t>
            </w:r>
            <w:r w:rsidRPr="0016092F">
              <w:rPr>
                <w:rFonts w:ascii="Times New Roman" w:hAnsi="Times New Roman"/>
                <w:sz w:val="22"/>
                <w:szCs w:val="22"/>
              </w:rPr>
              <w:t>ečenje epoetinom alfa pod</w:t>
            </w:r>
            <w:r w:rsidR="009E0538" w:rsidRPr="0016092F">
              <w:rPr>
                <w:rFonts w:ascii="Times New Roman" w:hAnsi="Times New Roman"/>
                <w:sz w:val="22"/>
                <w:szCs w:val="22"/>
              </w:rPr>
              <w:t>ij</w:t>
            </w:r>
            <w:r w:rsidRPr="0016092F">
              <w:rPr>
                <w:rFonts w:ascii="Times New Roman" w:hAnsi="Times New Roman"/>
                <w:sz w:val="22"/>
                <w:szCs w:val="22"/>
              </w:rPr>
              <w:t>eljeno je u dv</w:t>
            </w:r>
            <w:r w:rsidR="009E0538" w:rsidRPr="0016092F">
              <w:rPr>
                <w:rFonts w:ascii="Times New Roman" w:hAnsi="Times New Roman"/>
                <w:sz w:val="22"/>
                <w:szCs w:val="22"/>
              </w:rPr>
              <w:t>ij</w:t>
            </w:r>
            <w:r w:rsidRPr="0016092F">
              <w:rPr>
                <w:rFonts w:ascii="Times New Roman" w:hAnsi="Times New Roman"/>
                <w:sz w:val="22"/>
                <w:szCs w:val="22"/>
              </w:rPr>
              <w:t>e faze- fazu korekcije i fazu održavanja.</w:t>
            </w:r>
          </w:p>
          <w:p w:rsidR="00CE5DC1" w:rsidRPr="0016092F" w:rsidRDefault="00CE5DC1" w:rsidP="006F146B">
            <w:pPr>
              <w:pStyle w:val="Header"/>
              <w:tabs>
                <w:tab w:val="clear" w:pos="4536"/>
                <w:tab w:val="clear" w:pos="9072"/>
                <w:tab w:val="left" w:pos="284"/>
              </w:tabs>
              <w:rPr>
                <w:rFonts w:ascii="Times New Roman" w:hAnsi="Times New Roman"/>
                <w:sz w:val="22"/>
                <w:szCs w:val="22"/>
              </w:rPr>
            </w:pPr>
          </w:p>
          <w:p w:rsidR="00CE5DC1" w:rsidRPr="0016092F" w:rsidRDefault="00CE5DC1"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Odrasli pacijenti na hemodijalizi:</w:t>
            </w:r>
          </w:p>
          <w:p w:rsidR="00E84DA7" w:rsidRPr="0016092F" w:rsidRDefault="00E84DA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pacijenata na hemodijalizi kod kojih je intravenski put prim</w:t>
            </w:r>
            <w:r w:rsidR="009E0538" w:rsidRPr="0016092F">
              <w:rPr>
                <w:rFonts w:ascii="Times New Roman" w:hAnsi="Times New Roman"/>
                <w:sz w:val="22"/>
                <w:szCs w:val="22"/>
              </w:rPr>
              <w:t>j</w:t>
            </w:r>
            <w:r w:rsidRPr="0016092F">
              <w:rPr>
                <w:rFonts w:ascii="Times New Roman" w:hAnsi="Times New Roman"/>
                <w:sz w:val="22"/>
                <w:szCs w:val="22"/>
              </w:rPr>
              <w:t>ene jasno dostupan, poželjnije je prim</w:t>
            </w:r>
            <w:r w:rsidR="009E0538" w:rsidRPr="0016092F">
              <w:rPr>
                <w:rFonts w:ascii="Times New Roman" w:hAnsi="Times New Roman"/>
                <w:sz w:val="22"/>
                <w:szCs w:val="22"/>
              </w:rPr>
              <w:t>ij</w:t>
            </w:r>
            <w:r w:rsidRPr="0016092F">
              <w:rPr>
                <w:rFonts w:ascii="Times New Roman" w:hAnsi="Times New Roman"/>
                <w:sz w:val="22"/>
                <w:szCs w:val="22"/>
              </w:rPr>
              <w:t>eniti l</w:t>
            </w:r>
            <w:r w:rsidR="009E0538" w:rsidRPr="0016092F">
              <w:rPr>
                <w:rFonts w:ascii="Times New Roman" w:hAnsi="Times New Roman"/>
                <w:sz w:val="22"/>
                <w:szCs w:val="22"/>
              </w:rPr>
              <w:t>ij</w:t>
            </w:r>
            <w:r w:rsidRPr="0016092F">
              <w:rPr>
                <w:rFonts w:ascii="Times New Roman" w:hAnsi="Times New Roman"/>
                <w:sz w:val="22"/>
                <w:szCs w:val="22"/>
              </w:rPr>
              <w:t>ek intravenskim putem.</w:t>
            </w:r>
          </w:p>
          <w:p w:rsidR="00E84DA7" w:rsidRPr="0016092F" w:rsidRDefault="00E84DA7" w:rsidP="006F146B">
            <w:pPr>
              <w:pStyle w:val="Header"/>
              <w:tabs>
                <w:tab w:val="clear" w:pos="4536"/>
                <w:tab w:val="clear" w:pos="9072"/>
                <w:tab w:val="left" w:pos="284"/>
              </w:tabs>
              <w:rPr>
                <w:rFonts w:ascii="Times New Roman" w:hAnsi="Times New Roman"/>
                <w:sz w:val="22"/>
                <w:szCs w:val="22"/>
              </w:rPr>
            </w:pPr>
          </w:p>
          <w:p w:rsidR="00CE5DC1" w:rsidRPr="0016092F" w:rsidRDefault="00F32B2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Faza korekcije:</w:t>
            </w:r>
          </w:p>
          <w:p w:rsidR="00B87E95" w:rsidRPr="0016092F" w:rsidRDefault="00521DF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Početna doza je </w:t>
            </w:r>
            <w:r w:rsidR="00CE5DC1" w:rsidRPr="0016092F">
              <w:rPr>
                <w:rFonts w:ascii="Times New Roman" w:hAnsi="Times New Roman"/>
                <w:sz w:val="22"/>
                <w:szCs w:val="22"/>
              </w:rPr>
              <w:t>50 i.j./kg, 3 puta ned</w:t>
            </w:r>
            <w:r w:rsidR="009E0538" w:rsidRPr="0016092F">
              <w:rPr>
                <w:rFonts w:ascii="Times New Roman" w:hAnsi="Times New Roman"/>
                <w:sz w:val="22"/>
                <w:szCs w:val="22"/>
              </w:rPr>
              <w:t>j</w:t>
            </w:r>
            <w:r w:rsidR="00CE5DC1" w:rsidRPr="0016092F">
              <w:rPr>
                <w:rFonts w:ascii="Times New Roman" w:hAnsi="Times New Roman"/>
                <w:sz w:val="22"/>
                <w:szCs w:val="22"/>
              </w:rPr>
              <w:t xml:space="preserve">eljno. </w:t>
            </w:r>
          </w:p>
          <w:p w:rsidR="00CE5DC1" w:rsidRPr="0016092F" w:rsidRDefault="00CE5DC1"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Kada je potrebno prilagođavanje doze, dozu treba povećati ili smanjiti za 25 i.j./kg, 3 puta ned</w:t>
            </w:r>
            <w:r w:rsidR="009E0538" w:rsidRPr="0016092F">
              <w:rPr>
                <w:rFonts w:ascii="Times New Roman" w:hAnsi="Times New Roman"/>
                <w:sz w:val="22"/>
                <w:szCs w:val="22"/>
              </w:rPr>
              <w:t>j</w:t>
            </w:r>
            <w:r w:rsidRPr="0016092F">
              <w:rPr>
                <w:rFonts w:ascii="Times New Roman" w:hAnsi="Times New Roman"/>
                <w:sz w:val="22"/>
                <w:szCs w:val="22"/>
              </w:rPr>
              <w:t xml:space="preserve">eljno, </w:t>
            </w:r>
            <w:r w:rsidR="00521DF9" w:rsidRPr="0016092F">
              <w:rPr>
                <w:rFonts w:ascii="Times New Roman" w:hAnsi="Times New Roman"/>
                <w:sz w:val="22"/>
                <w:szCs w:val="22"/>
              </w:rPr>
              <w:t xml:space="preserve">dok se ne postigne željeni raspon koncentracije hemoglobina između 10 g/dl i 12 g/dl (6,2 i 7,5 mmol/l) (to treba  učiniti </w:t>
            </w:r>
            <w:r w:rsidRPr="0016092F">
              <w:rPr>
                <w:rFonts w:ascii="Times New Roman" w:hAnsi="Times New Roman"/>
                <w:sz w:val="22"/>
                <w:szCs w:val="22"/>
              </w:rPr>
              <w:t>u razmacima od najmanje 4 ned</w:t>
            </w:r>
            <w:r w:rsidR="009E0538" w:rsidRPr="0016092F">
              <w:rPr>
                <w:rFonts w:ascii="Times New Roman" w:hAnsi="Times New Roman"/>
                <w:sz w:val="22"/>
                <w:szCs w:val="22"/>
              </w:rPr>
              <w:t>j</w:t>
            </w:r>
            <w:r w:rsidRPr="0016092F">
              <w:rPr>
                <w:rFonts w:ascii="Times New Roman" w:hAnsi="Times New Roman"/>
                <w:sz w:val="22"/>
                <w:szCs w:val="22"/>
              </w:rPr>
              <w:t>elje</w:t>
            </w:r>
            <w:r w:rsidR="00521DF9" w:rsidRPr="0016092F">
              <w:rPr>
                <w:rFonts w:ascii="Times New Roman" w:hAnsi="Times New Roman"/>
                <w:sz w:val="22"/>
                <w:szCs w:val="22"/>
              </w:rPr>
              <w:t>)</w:t>
            </w:r>
            <w:r w:rsidRPr="0016092F">
              <w:rPr>
                <w:rFonts w:ascii="Times New Roman" w:hAnsi="Times New Roman"/>
                <w:sz w:val="22"/>
                <w:szCs w:val="22"/>
              </w:rPr>
              <w:t>.</w:t>
            </w:r>
          </w:p>
          <w:p w:rsidR="00CE5DC1" w:rsidRPr="0016092F" w:rsidRDefault="00CE5DC1" w:rsidP="006F146B">
            <w:pPr>
              <w:pStyle w:val="Header"/>
              <w:tabs>
                <w:tab w:val="clear" w:pos="4536"/>
                <w:tab w:val="clear" w:pos="9072"/>
                <w:tab w:val="left" w:pos="284"/>
              </w:tabs>
              <w:rPr>
                <w:rFonts w:ascii="Times New Roman" w:hAnsi="Times New Roman"/>
                <w:sz w:val="22"/>
                <w:szCs w:val="22"/>
              </w:rPr>
            </w:pPr>
          </w:p>
          <w:p w:rsidR="00CE5DC1" w:rsidRPr="0016092F" w:rsidRDefault="00CE5DC1"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Faza održavanja:</w:t>
            </w:r>
          </w:p>
          <w:p w:rsidR="00CE5DC1" w:rsidRPr="0016092F" w:rsidRDefault="00F32B2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Preporučena ukupna nedeljna doza je između 75 i 300 i.j/kg.</w:t>
            </w: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Prilagođavanje doze u cilju održavanja vr</w:t>
            </w:r>
            <w:r w:rsidR="009E0538" w:rsidRPr="0016092F">
              <w:rPr>
                <w:rFonts w:ascii="Times New Roman" w:hAnsi="Times New Roman"/>
                <w:sz w:val="22"/>
                <w:szCs w:val="22"/>
              </w:rPr>
              <w:t>ij</w:t>
            </w:r>
            <w:r w:rsidRPr="0016092F">
              <w:rPr>
                <w:rFonts w:ascii="Times New Roman" w:hAnsi="Times New Roman"/>
                <w:sz w:val="22"/>
                <w:szCs w:val="22"/>
              </w:rPr>
              <w:t>ednosti hemoglobina na željenom nivou: Hb između 10 i 12 g/dl (6.2-7.5 mmol/l).</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AE7C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w:t>
            </w:r>
            <w:r w:rsidR="00F32B26" w:rsidRPr="0016092F">
              <w:rPr>
                <w:rFonts w:ascii="Times New Roman" w:hAnsi="Times New Roman"/>
                <w:sz w:val="22"/>
                <w:szCs w:val="22"/>
              </w:rPr>
              <w:t>od pacijenata kod kojih je početna vr</w:t>
            </w:r>
            <w:r w:rsidR="009E0538" w:rsidRPr="0016092F">
              <w:rPr>
                <w:rFonts w:ascii="Times New Roman" w:hAnsi="Times New Roman"/>
                <w:sz w:val="22"/>
                <w:szCs w:val="22"/>
              </w:rPr>
              <w:t>ij</w:t>
            </w:r>
            <w:r w:rsidR="00F32B26" w:rsidRPr="0016092F">
              <w:rPr>
                <w:rFonts w:ascii="Times New Roman" w:hAnsi="Times New Roman"/>
                <w:sz w:val="22"/>
                <w:szCs w:val="22"/>
              </w:rPr>
              <w:t>ednost hemoglobi</w:t>
            </w:r>
            <w:r w:rsidR="00582717" w:rsidRPr="0016092F">
              <w:rPr>
                <w:rFonts w:ascii="Times New Roman" w:hAnsi="Times New Roman"/>
                <w:sz w:val="22"/>
                <w:szCs w:val="22"/>
              </w:rPr>
              <w:t>na veoma niska (&lt;6 g/dl ili &lt; 3.</w:t>
            </w:r>
            <w:r w:rsidR="00F32B26" w:rsidRPr="0016092F">
              <w:rPr>
                <w:rFonts w:ascii="Times New Roman" w:hAnsi="Times New Roman"/>
                <w:sz w:val="22"/>
                <w:szCs w:val="22"/>
              </w:rPr>
              <w:t>75 mmol/l) mogu biti potrebne više doze održavanja nego kod onih kod kojih je inicijalna anemija lakšeg stepena (Hb &gt;8 g/dl ili &gt;5 mmol/l).</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Odrasli pacijenti sa bubrežnom insuficijencijom koji još uvek ni</w:t>
            </w:r>
            <w:r w:rsidR="009E0538" w:rsidRPr="0016092F">
              <w:rPr>
                <w:rFonts w:ascii="Times New Roman" w:hAnsi="Times New Roman"/>
                <w:i/>
                <w:sz w:val="22"/>
                <w:szCs w:val="22"/>
              </w:rPr>
              <w:t>je</w:t>
            </w:r>
            <w:r w:rsidRPr="0016092F">
              <w:rPr>
                <w:rFonts w:ascii="Times New Roman" w:hAnsi="Times New Roman"/>
                <w:i/>
                <w:sz w:val="22"/>
                <w:szCs w:val="22"/>
              </w:rPr>
              <w:t>su na hemodijalizi:</w:t>
            </w: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Kad intravenski put prim</w:t>
            </w:r>
            <w:r w:rsidR="009E0538" w:rsidRPr="0016092F">
              <w:rPr>
                <w:rFonts w:ascii="Times New Roman" w:hAnsi="Times New Roman"/>
                <w:sz w:val="22"/>
                <w:szCs w:val="22"/>
              </w:rPr>
              <w:t>j</w:t>
            </w:r>
            <w:r w:rsidRPr="0016092F">
              <w:rPr>
                <w:rFonts w:ascii="Times New Roman" w:hAnsi="Times New Roman"/>
                <w:sz w:val="22"/>
                <w:szCs w:val="22"/>
              </w:rPr>
              <w:t>ene nije dostupan, epoetin alfa se može prim</w:t>
            </w:r>
            <w:r w:rsidR="009E0538" w:rsidRPr="0016092F">
              <w:rPr>
                <w:rFonts w:ascii="Times New Roman" w:hAnsi="Times New Roman"/>
                <w:sz w:val="22"/>
                <w:szCs w:val="22"/>
              </w:rPr>
              <w:t>ij</w:t>
            </w:r>
            <w:r w:rsidRPr="0016092F">
              <w:rPr>
                <w:rFonts w:ascii="Times New Roman" w:hAnsi="Times New Roman"/>
                <w:sz w:val="22"/>
                <w:szCs w:val="22"/>
              </w:rPr>
              <w:t>eniti i supkutano.</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Faza korekcije:</w:t>
            </w: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Početna doza je 50 i.j./kg, 3 puta ned</w:t>
            </w:r>
            <w:r w:rsidR="009E0538" w:rsidRPr="0016092F">
              <w:rPr>
                <w:rFonts w:ascii="Times New Roman" w:hAnsi="Times New Roman"/>
                <w:sz w:val="22"/>
                <w:szCs w:val="22"/>
              </w:rPr>
              <w:t>j</w:t>
            </w:r>
            <w:r w:rsidRPr="0016092F">
              <w:rPr>
                <w:rFonts w:ascii="Times New Roman" w:hAnsi="Times New Roman"/>
                <w:sz w:val="22"/>
                <w:szCs w:val="22"/>
              </w:rPr>
              <w:t>eljno, nakon toga, ako je potrebno, dozu treba povećati za 25 i.j./kg (3 puta ned</w:t>
            </w:r>
            <w:r w:rsidR="009E0538" w:rsidRPr="0016092F">
              <w:rPr>
                <w:rFonts w:ascii="Times New Roman" w:hAnsi="Times New Roman"/>
                <w:sz w:val="22"/>
                <w:szCs w:val="22"/>
              </w:rPr>
              <w:t>j</w:t>
            </w:r>
            <w:r w:rsidRPr="0016092F">
              <w:rPr>
                <w:rFonts w:ascii="Times New Roman" w:hAnsi="Times New Roman"/>
                <w:sz w:val="22"/>
                <w:szCs w:val="22"/>
              </w:rPr>
              <w:t>eljno), u razmacima od najmanje 4 ned</w:t>
            </w:r>
            <w:r w:rsidR="009E0538" w:rsidRPr="0016092F">
              <w:rPr>
                <w:rFonts w:ascii="Times New Roman" w:hAnsi="Times New Roman"/>
                <w:sz w:val="22"/>
                <w:szCs w:val="22"/>
              </w:rPr>
              <w:t>j</w:t>
            </w:r>
            <w:r w:rsidRPr="0016092F">
              <w:rPr>
                <w:rFonts w:ascii="Times New Roman" w:hAnsi="Times New Roman"/>
                <w:sz w:val="22"/>
                <w:szCs w:val="22"/>
              </w:rPr>
              <w:t>elje, do postizanja željenog cilja.</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Faza održavanja:</w:t>
            </w: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Tokom faze održavanja, epoetin alfa se može prim</w:t>
            </w:r>
            <w:r w:rsidR="009E0538" w:rsidRPr="0016092F">
              <w:rPr>
                <w:rFonts w:ascii="Times New Roman" w:hAnsi="Times New Roman"/>
                <w:sz w:val="22"/>
                <w:szCs w:val="22"/>
              </w:rPr>
              <w:t>j</w:t>
            </w:r>
            <w:r w:rsidRPr="0016092F">
              <w:rPr>
                <w:rFonts w:ascii="Times New Roman" w:hAnsi="Times New Roman"/>
                <w:sz w:val="22"/>
                <w:szCs w:val="22"/>
              </w:rPr>
              <w:t>enjivati 3 puta ned</w:t>
            </w:r>
            <w:r w:rsidR="009E0538" w:rsidRPr="0016092F">
              <w:rPr>
                <w:rFonts w:ascii="Times New Roman" w:hAnsi="Times New Roman"/>
                <w:sz w:val="22"/>
                <w:szCs w:val="22"/>
              </w:rPr>
              <w:t>j</w:t>
            </w:r>
            <w:r w:rsidRPr="0016092F">
              <w:rPr>
                <w:rFonts w:ascii="Times New Roman" w:hAnsi="Times New Roman"/>
                <w:sz w:val="22"/>
                <w:szCs w:val="22"/>
              </w:rPr>
              <w:t>eljno, a u slučaju supkutane prim</w:t>
            </w:r>
            <w:r w:rsidR="009E0538" w:rsidRPr="0016092F">
              <w:rPr>
                <w:rFonts w:ascii="Times New Roman" w:hAnsi="Times New Roman"/>
                <w:sz w:val="22"/>
                <w:szCs w:val="22"/>
              </w:rPr>
              <w:t>j</w:t>
            </w:r>
            <w:r w:rsidRPr="0016092F">
              <w:rPr>
                <w:rFonts w:ascii="Times New Roman" w:hAnsi="Times New Roman"/>
                <w:sz w:val="22"/>
                <w:szCs w:val="22"/>
              </w:rPr>
              <w:t>ene jednom ned</w:t>
            </w:r>
            <w:r w:rsidR="009E0538" w:rsidRPr="0016092F">
              <w:rPr>
                <w:rFonts w:ascii="Times New Roman" w:hAnsi="Times New Roman"/>
                <w:sz w:val="22"/>
                <w:szCs w:val="22"/>
              </w:rPr>
              <w:t>j</w:t>
            </w:r>
            <w:r w:rsidRPr="0016092F">
              <w:rPr>
                <w:rFonts w:ascii="Times New Roman" w:hAnsi="Times New Roman"/>
                <w:sz w:val="22"/>
                <w:szCs w:val="22"/>
              </w:rPr>
              <w:t>eljno ili jednom u dv</w:t>
            </w:r>
            <w:r w:rsidR="009E0538" w:rsidRPr="0016092F">
              <w:rPr>
                <w:rFonts w:ascii="Times New Roman" w:hAnsi="Times New Roman"/>
                <w:sz w:val="22"/>
                <w:szCs w:val="22"/>
              </w:rPr>
              <w:t>ij</w:t>
            </w:r>
            <w:r w:rsidRPr="0016092F">
              <w:rPr>
                <w:rFonts w:ascii="Times New Roman" w:hAnsi="Times New Roman"/>
                <w:sz w:val="22"/>
                <w:szCs w:val="22"/>
              </w:rPr>
              <w:t>e ned</w:t>
            </w:r>
            <w:r w:rsidR="00A40F78" w:rsidRPr="0016092F">
              <w:rPr>
                <w:rFonts w:ascii="Times New Roman" w:hAnsi="Times New Roman"/>
                <w:sz w:val="22"/>
                <w:szCs w:val="22"/>
              </w:rPr>
              <w:t>j</w:t>
            </w:r>
            <w:r w:rsidRPr="0016092F">
              <w:rPr>
                <w:rFonts w:ascii="Times New Roman" w:hAnsi="Times New Roman"/>
                <w:sz w:val="22"/>
                <w:szCs w:val="22"/>
              </w:rPr>
              <w:t>elje.</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cilju održavanja vr</w:t>
            </w:r>
            <w:r w:rsidR="009E0538" w:rsidRPr="0016092F">
              <w:rPr>
                <w:rFonts w:ascii="Times New Roman" w:hAnsi="Times New Roman"/>
                <w:sz w:val="22"/>
                <w:szCs w:val="22"/>
              </w:rPr>
              <w:t>ij</w:t>
            </w:r>
            <w:r w:rsidRPr="0016092F">
              <w:rPr>
                <w:rFonts w:ascii="Times New Roman" w:hAnsi="Times New Roman"/>
                <w:sz w:val="22"/>
                <w:szCs w:val="22"/>
              </w:rPr>
              <w:t>ednosti hemoglobina u željenim vr</w:t>
            </w:r>
            <w:r w:rsidR="009E0538" w:rsidRPr="0016092F">
              <w:rPr>
                <w:rFonts w:ascii="Times New Roman" w:hAnsi="Times New Roman"/>
                <w:sz w:val="22"/>
                <w:szCs w:val="22"/>
              </w:rPr>
              <w:t>ij</w:t>
            </w:r>
            <w:r w:rsidRPr="0016092F">
              <w:rPr>
                <w:rFonts w:ascii="Times New Roman" w:hAnsi="Times New Roman"/>
                <w:sz w:val="22"/>
                <w:szCs w:val="22"/>
              </w:rPr>
              <w:t>ednostima potrebno je prilagoditi doze na odgovarajući način kao i interval doziranja: Hb između 10 i 12 g/dl (6.2-7.5 mmol/l). Produženje intervala doziranja može zaht</w:t>
            </w:r>
            <w:r w:rsidR="009E0538" w:rsidRPr="0016092F">
              <w:rPr>
                <w:rFonts w:ascii="Times New Roman" w:hAnsi="Times New Roman"/>
                <w:sz w:val="22"/>
                <w:szCs w:val="22"/>
              </w:rPr>
              <w:t>ij</w:t>
            </w:r>
            <w:r w:rsidRPr="0016092F">
              <w:rPr>
                <w:rFonts w:ascii="Times New Roman" w:hAnsi="Times New Roman"/>
                <w:sz w:val="22"/>
                <w:szCs w:val="22"/>
              </w:rPr>
              <w:t xml:space="preserve">evati povećanje doze. </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Maksimalna doza ne sm</w:t>
            </w:r>
            <w:r w:rsidR="009E0538" w:rsidRPr="0016092F">
              <w:rPr>
                <w:rFonts w:ascii="Times New Roman" w:hAnsi="Times New Roman"/>
                <w:sz w:val="22"/>
                <w:szCs w:val="22"/>
              </w:rPr>
              <w:t>ij</w:t>
            </w:r>
            <w:r w:rsidRPr="0016092F">
              <w:rPr>
                <w:rFonts w:ascii="Times New Roman" w:hAnsi="Times New Roman"/>
                <w:sz w:val="22"/>
                <w:szCs w:val="22"/>
              </w:rPr>
              <w:t>e da premaši 150  i.j./kg, 3 puta ned</w:t>
            </w:r>
            <w:r w:rsidR="009E0538" w:rsidRPr="0016092F">
              <w:rPr>
                <w:rFonts w:ascii="Times New Roman" w:hAnsi="Times New Roman"/>
                <w:sz w:val="22"/>
                <w:szCs w:val="22"/>
              </w:rPr>
              <w:t>j</w:t>
            </w:r>
            <w:r w:rsidRPr="0016092F">
              <w:rPr>
                <w:rFonts w:ascii="Times New Roman" w:hAnsi="Times New Roman"/>
                <w:sz w:val="22"/>
                <w:szCs w:val="22"/>
              </w:rPr>
              <w:t>eljno, 240 i.j./kg (do maksimalno 20,000 i.j.) jednom ned</w:t>
            </w:r>
            <w:r w:rsidR="009E0538" w:rsidRPr="0016092F">
              <w:rPr>
                <w:rFonts w:ascii="Times New Roman" w:hAnsi="Times New Roman"/>
                <w:sz w:val="22"/>
                <w:szCs w:val="22"/>
              </w:rPr>
              <w:t>j</w:t>
            </w:r>
            <w:r w:rsidRPr="0016092F">
              <w:rPr>
                <w:rFonts w:ascii="Times New Roman" w:hAnsi="Times New Roman"/>
                <w:sz w:val="22"/>
                <w:szCs w:val="22"/>
              </w:rPr>
              <w:t>eljno ili 480 i.j./kg (do maksimalno 40,000 i.j.) jednom u dv</w:t>
            </w:r>
            <w:r w:rsidR="009E0538" w:rsidRPr="0016092F">
              <w:rPr>
                <w:rFonts w:ascii="Times New Roman" w:hAnsi="Times New Roman"/>
                <w:sz w:val="22"/>
                <w:szCs w:val="22"/>
              </w:rPr>
              <w:t>ij</w:t>
            </w:r>
            <w:r w:rsidRPr="0016092F">
              <w:rPr>
                <w:rFonts w:ascii="Times New Roman" w:hAnsi="Times New Roman"/>
                <w:sz w:val="22"/>
                <w:szCs w:val="22"/>
              </w:rPr>
              <w:t>e ned</w:t>
            </w:r>
            <w:r w:rsidR="009E0538" w:rsidRPr="0016092F">
              <w:rPr>
                <w:rFonts w:ascii="Times New Roman" w:hAnsi="Times New Roman"/>
                <w:sz w:val="22"/>
                <w:szCs w:val="22"/>
              </w:rPr>
              <w:t>j</w:t>
            </w:r>
            <w:r w:rsidRPr="0016092F">
              <w:rPr>
                <w:rFonts w:ascii="Times New Roman" w:hAnsi="Times New Roman"/>
                <w:sz w:val="22"/>
                <w:szCs w:val="22"/>
              </w:rPr>
              <w:t>elje.</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456670" w:rsidRPr="0016092F" w:rsidRDefault="00456670"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Odrasli pacijenti na peritonealnoj dijalizi:</w:t>
            </w:r>
          </w:p>
          <w:p w:rsidR="00E84DA7" w:rsidRPr="0016092F" w:rsidRDefault="00E84DA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Kad intravenski put prim</w:t>
            </w:r>
            <w:r w:rsidR="009E0538" w:rsidRPr="0016092F">
              <w:rPr>
                <w:rFonts w:ascii="Times New Roman" w:hAnsi="Times New Roman"/>
                <w:sz w:val="22"/>
                <w:szCs w:val="22"/>
              </w:rPr>
              <w:t>j</w:t>
            </w:r>
            <w:r w:rsidRPr="0016092F">
              <w:rPr>
                <w:rFonts w:ascii="Times New Roman" w:hAnsi="Times New Roman"/>
                <w:sz w:val="22"/>
                <w:szCs w:val="22"/>
              </w:rPr>
              <w:t>ene nije dostupan, epoetin alfa se može prim</w:t>
            </w:r>
            <w:r w:rsidR="009E0538" w:rsidRPr="0016092F">
              <w:rPr>
                <w:rFonts w:ascii="Times New Roman" w:hAnsi="Times New Roman"/>
                <w:sz w:val="22"/>
                <w:szCs w:val="22"/>
              </w:rPr>
              <w:t>ij</w:t>
            </w:r>
            <w:r w:rsidRPr="0016092F">
              <w:rPr>
                <w:rFonts w:ascii="Times New Roman" w:hAnsi="Times New Roman"/>
                <w:sz w:val="22"/>
                <w:szCs w:val="22"/>
              </w:rPr>
              <w:t>eniti i supkutano.</w:t>
            </w:r>
          </w:p>
          <w:p w:rsidR="00E84DA7" w:rsidRPr="0016092F" w:rsidRDefault="00E84DA7" w:rsidP="006F146B">
            <w:pPr>
              <w:pStyle w:val="Header"/>
              <w:tabs>
                <w:tab w:val="clear" w:pos="4536"/>
                <w:tab w:val="clear" w:pos="9072"/>
                <w:tab w:val="left" w:pos="284"/>
              </w:tabs>
              <w:rPr>
                <w:rFonts w:ascii="Times New Roman" w:hAnsi="Times New Roman"/>
                <w:i/>
                <w:sz w:val="22"/>
                <w:szCs w:val="22"/>
              </w:rPr>
            </w:pPr>
          </w:p>
          <w:p w:rsidR="00456670" w:rsidRPr="0016092F" w:rsidRDefault="0045667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Faza korekcije:</w:t>
            </w:r>
          </w:p>
          <w:p w:rsidR="00456670" w:rsidRPr="0016092F" w:rsidRDefault="0040621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Početna doza je 50 i.j./kg, 2</w:t>
            </w:r>
            <w:r w:rsidR="00456670" w:rsidRPr="0016092F">
              <w:rPr>
                <w:rFonts w:ascii="Times New Roman" w:hAnsi="Times New Roman"/>
                <w:sz w:val="22"/>
                <w:szCs w:val="22"/>
              </w:rPr>
              <w:t xml:space="preserve"> puta ned</w:t>
            </w:r>
            <w:r w:rsidR="009E0538" w:rsidRPr="0016092F">
              <w:rPr>
                <w:rFonts w:ascii="Times New Roman" w:hAnsi="Times New Roman"/>
                <w:sz w:val="22"/>
                <w:szCs w:val="22"/>
              </w:rPr>
              <w:t>j</w:t>
            </w:r>
            <w:r w:rsidR="00456670" w:rsidRPr="0016092F">
              <w:rPr>
                <w:rFonts w:ascii="Times New Roman" w:hAnsi="Times New Roman"/>
                <w:sz w:val="22"/>
                <w:szCs w:val="22"/>
              </w:rPr>
              <w:t xml:space="preserve">eljno. </w:t>
            </w:r>
          </w:p>
          <w:p w:rsidR="00456670" w:rsidRPr="0016092F" w:rsidRDefault="0045667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Faza održavanja:</w:t>
            </w:r>
          </w:p>
          <w:p w:rsidR="00CE5DC1"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Preporučena doza održavanja je između 25 i 50 i.j./kg, dva puta ned</w:t>
            </w:r>
            <w:r w:rsidR="009E0538" w:rsidRPr="0016092F">
              <w:rPr>
                <w:rFonts w:ascii="Times New Roman" w:hAnsi="Times New Roman"/>
                <w:sz w:val="22"/>
                <w:szCs w:val="22"/>
              </w:rPr>
              <w:t>j</w:t>
            </w:r>
            <w:r w:rsidRPr="0016092F">
              <w:rPr>
                <w:rFonts w:ascii="Times New Roman" w:hAnsi="Times New Roman"/>
                <w:sz w:val="22"/>
                <w:szCs w:val="22"/>
              </w:rPr>
              <w:t>eljno u dv</w:t>
            </w:r>
            <w:r w:rsidR="009E0538" w:rsidRPr="0016092F">
              <w:rPr>
                <w:rFonts w:ascii="Times New Roman" w:hAnsi="Times New Roman"/>
                <w:sz w:val="22"/>
                <w:szCs w:val="22"/>
              </w:rPr>
              <w:t>ij</w:t>
            </w:r>
            <w:r w:rsidRPr="0016092F">
              <w:rPr>
                <w:rFonts w:ascii="Times New Roman" w:hAnsi="Times New Roman"/>
                <w:sz w:val="22"/>
                <w:szCs w:val="22"/>
              </w:rPr>
              <w:t>e jednake injekcije. Potrebno je p</w:t>
            </w:r>
            <w:r w:rsidR="00456670" w:rsidRPr="0016092F">
              <w:rPr>
                <w:rFonts w:ascii="Times New Roman" w:hAnsi="Times New Roman"/>
                <w:sz w:val="22"/>
                <w:szCs w:val="22"/>
              </w:rPr>
              <w:t>rilagođavanje doze radi održavanja vr</w:t>
            </w:r>
            <w:r w:rsidR="009E0538" w:rsidRPr="0016092F">
              <w:rPr>
                <w:rFonts w:ascii="Times New Roman" w:hAnsi="Times New Roman"/>
                <w:sz w:val="22"/>
                <w:szCs w:val="22"/>
              </w:rPr>
              <w:t>ij</w:t>
            </w:r>
            <w:r w:rsidR="00456670" w:rsidRPr="0016092F">
              <w:rPr>
                <w:rFonts w:ascii="Times New Roman" w:hAnsi="Times New Roman"/>
                <w:sz w:val="22"/>
                <w:szCs w:val="22"/>
              </w:rPr>
              <w:t>ednosti hemoglobina na željenom n</w:t>
            </w:r>
            <w:r w:rsidR="00582717" w:rsidRPr="0016092F">
              <w:rPr>
                <w:rFonts w:ascii="Times New Roman" w:hAnsi="Times New Roman"/>
                <w:sz w:val="22"/>
                <w:szCs w:val="22"/>
              </w:rPr>
              <w:t>ivou: Hb između 10 i 12 g/dl (6.2-7.</w:t>
            </w:r>
            <w:r w:rsidR="00456670" w:rsidRPr="0016092F">
              <w:rPr>
                <w:rFonts w:ascii="Times New Roman" w:hAnsi="Times New Roman"/>
                <w:sz w:val="22"/>
                <w:szCs w:val="22"/>
              </w:rPr>
              <w:t xml:space="preserve">5 mmol/l). </w:t>
            </w:r>
          </w:p>
          <w:p w:rsidR="00456670" w:rsidRPr="0016092F" w:rsidRDefault="00456670" w:rsidP="006F146B">
            <w:pPr>
              <w:pStyle w:val="Header"/>
              <w:tabs>
                <w:tab w:val="clear" w:pos="4536"/>
                <w:tab w:val="clear" w:pos="9072"/>
                <w:tab w:val="left" w:pos="284"/>
              </w:tabs>
              <w:rPr>
                <w:rFonts w:ascii="Times New Roman" w:hAnsi="Times New Roman"/>
                <w:sz w:val="22"/>
                <w:szCs w:val="22"/>
              </w:rPr>
            </w:pPr>
          </w:p>
          <w:p w:rsidR="00980891" w:rsidRPr="0016092F" w:rsidRDefault="00980891"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Terapija kod pacijenata sa anemijom uzrokovanom hemoterapijom</w:t>
            </w:r>
          </w:p>
          <w:p w:rsidR="0084605B" w:rsidRPr="0016092F" w:rsidRDefault="0084605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Simptomi i posl</w:t>
            </w:r>
            <w:r w:rsidR="001F3EB1" w:rsidRPr="0016092F">
              <w:rPr>
                <w:rFonts w:ascii="Times New Roman" w:hAnsi="Times New Roman"/>
                <w:sz w:val="22"/>
                <w:szCs w:val="22"/>
              </w:rPr>
              <w:t>j</w:t>
            </w:r>
            <w:r w:rsidRPr="0016092F">
              <w:rPr>
                <w:rFonts w:ascii="Times New Roman" w:hAnsi="Times New Roman"/>
                <w:sz w:val="22"/>
                <w:szCs w:val="22"/>
              </w:rPr>
              <w:t>edice anemije mogu se razlikovati u zavisnosti od starosti, pola i težine oboljenja; neophodno je da l</w:t>
            </w:r>
            <w:r w:rsidR="001F3EB1" w:rsidRPr="0016092F">
              <w:rPr>
                <w:rFonts w:ascii="Times New Roman" w:hAnsi="Times New Roman"/>
                <w:sz w:val="22"/>
                <w:szCs w:val="22"/>
              </w:rPr>
              <w:t>j</w:t>
            </w:r>
            <w:r w:rsidRPr="0016092F">
              <w:rPr>
                <w:rFonts w:ascii="Times New Roman" w:hAnsi="Times New Roman"/>
                <w:sz w:val="22"/>
                <w:szCs w:val="22"/>
              </w:rPr>
              <w:t>ekar proc</w:t>
            </w:r>
            <w:r w:rsidR="001F3EB1" w:rsidRPr="0016092F">
              <w:rPr>
                <w:rFonts w:ascii="Times New Roman" w:hAnsi="Times New Roman"/>
                <w:sz w:val="22"/>
                <w:szCs w:val="22"/>
              </w:rPr>
              <w:t>ij</w:t>
            </w:r>
            <w:r w:rsidRPr="0016092F">
              <w:rPr>
                <w:rFonts w:ascii="Times New Roman" w:hAnsi="Times New Roman"/>
                <w:sz w:val="22"/>
                <w:szCs w:val="22"/>
              </w:rPr>
              <w:t>eni  klinički tok i stanje svakog pacijenta ponaosob.</w:t>
            </w:r>
          </w:p>
          <w:p w:rsidR="00815CD2" w:rsidRPr="0016092F" w:rsidRDefault="00815CD2" w:rsidP="006F146B">
            <w:pPr>
              <w:pStyle w:val="Header"/>
              <w:tabs>
                <w:tab w:val="clear" w:pos="4536"/>
                <w:tab w:val="clear" w:pos="9072"/>
                <w:tab w:val="left" w:pos="284"/>
              </w:tabs>
              <w:rPr>
                <w:rFonts w:ascii="Times New Roman" w:hAnsi="Times New Roman"/>
                <w:sz w:val="22"/>
                <w:szCs w:val="22"/>
              </w:rPr>
            </w:pPr>
          </w:p>
          <w:p w:rsidR="00815CD2" w:rsidRPr="0016092F" w:rsidRDefault="00815CD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Epoetin alfa treba prim</w:t>
            </w:r>
            <w:r w:rsidR="001F3EB1" w:rsidRPr="0016092F">
              <w:rPr>
                <w:rFonts w:ascii="Times New Roman" w:hAnsi="Times New Roman"/>
                <w:sz w:val="22"/>
                <w:szCs w:val="22"/>
              </w:rPr>
              <w:t>ij</w:t>
            </w:r>
            <w:r w:rsidRPr="0016092F">
              <w:rPr>
                <w:rFonts w:ascii="Times New Roman" w:hAnsi="Times New Roman"/>
                <w:sz w:val="22"/>
                <w:szCs w:val="22"/>
              </w:rPr>
              <w:t>eniti kod pacijenata sa anemijom (npr. koncentracija hemoglobina ≤10 g/dl (6.2 mmol/l)).</w:t>
            </w:r>
          </w:p>
          <w:p w:rsidR="00AE7CA0" w:rsidRPr="0016092F" w:rsidRDefault="00AE7CA0" w:rsidP="006F146B">
            <w:pPr>
              <w:pStyle w:val="Header"/>
              <w:tabs>
                <w:tab w:val="clear" w:pos="4536"/>
                <w:tab w:val="clear" w:pos="9072"/>
                <w:tab w:val="left" w:pos="284"/>
              </w:tabs>
              <w:rPr>
                <w:rFonts w:ascii="Times New Roman" w:hAnsi="Times New Roman"/>
                <w:sz w:val="22"/>
                <w:szCs w:val="22"/>
              </w:rPr>
            </w:pPr>
          </w:p>
          <w:p w:rsidR="00815CD2" w:rsidRPr="0016092F" w:rsidRDefault="00AE7C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Inicijalna doza je 150 i.j./kg, 3 puta ned</w:t>
            </w:r>
            <w:r w:rsidR="001F3EB1" w:rsidRPr="0016092F">
              <w:rPr>
                <w:rFonts w:ascii="Times New Roman" w:hAnsi="Times New Roman"/>
                <w:sz w:val="22"/>
                <w:szCs w:val="22"/>
              </w:rPr>
              <w:t>j</w:t>
            </w:r>
            <w:r w:rsidRPr="0016092F">
              <w:rPr>
                <w:rFonts w:ascii="Times New Roman" w:hAnsi="Times New Roman"/>
                <w:sz w:val="22"/>
                <w:szCs w:val="22"/>
              </w:rPr>
              <w:t>eljno, su</w:t>
            </w:r>
            <w:r w:rsidR="0043712B" w:rsidRPr="0016092F">
              <w:rPr>
                <w:rFonts w:ascii="Times New Roman" w:hAnsi="Times New Roman"/>
                <w:sz w:val="22"/>
                <w:szCs w:val="22"/>
              </w:rPr>
              <w:t>p</w:t>
            </w:r>
            <w:r w:rsidRPr="0016092F">
              <w:rPr>
                <w:rFonts w:ascii="Times New Roman" w:hAnsi="Times New Roman"/>
                <w:sz w:val="22"/>
                <w:szCs w:val="22"/>
              </w:rPr>
              <w:t xml:space="preserve">kutanim putem. </w:t>
            </w:r>
          </w:p>
          <w:p w:rsidR="00AE7CA0" w:rsidRPr="0016092F" w:rsidRDefault="00AE7C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Alternativno, epoetin alfa se može prim</w:t>
            </w:r>
            <w:r w:rsidR="001F3EB1" w:rsidRPr="0016092F">
              <w:rPr>
                <w:rFonts w:ascii="Times New Roman" w:hAnsi="Times New Roman"/>
                <w:sz w:val="22"/>
                <w:szCs w:val="22"/>
              </w:rPr>
              <w:t>ij</w:t>
            </w:r>
            <w:r w:rsidRPr="0016092F">
              <w:rPr>
                <w:rFonts w:ascii="Times New Roman" w:hAnsi="Times New Roman"/>
                <w:sz w:val="22"/>
                <w:szCs w:val="22"/>
              </w:rPr>
              <w:t>eniti u inicijalnoj dozi od 450 i.j./kg, jednom ned</w:t>
            </w:r>
            <w:r w:rsidR="001F3EB1" w:rsidRPr="0016092F">
              <w:rPr>
                <w:rFonts w:ascii="Times New Roman" w:hAnsi="Times New Roman"/>
                <w:sz w:val="22"/>
                <w:szCs w:val="22"/>
              </w:rPr>
              <w:t>j</w:t>
            </w:r>
            <w:r w:rsidRPr="0016092F">
              <w:rPr>
                <w:rFonts w:ascii="Times New Roman" w:hAnsi="Times New Roman"/>
                <w:sz w:val="22"/>
                <w:szCs w:val="22"/>
              </w:rPr>
              <w:t>eljno, su</w:t>
            </w:r>
            <w:r w:rsidR="0043712B" w:rsidRPr="0016092F">
              <w:rPr>
                <w:rFonts w:ascii="Times New Roman" w:hAnsi="Times New Roman"/>
                <w:sz w:val="22"/>
                <w:szCs w:val="22"/>
              </w:rPr>
              <w:t>p</w:t>
            </w:r>
            <w:r w:rsidRPr="0016092F">
              <w:rPr>
                <w:rFonts w:ascii="Times New Roman" w:hAnsi="Times New Roman"/>
                <w:sz w:val="22"/>
                <w:szCs w:val="22"/>
              </w:rPr>
              <w:t>kutano.</w:t>
            </w:r>
          </w:p>
          <w:p w:rsidR="00AE7CA0" w:rsidRPr="0016092F" w:rsidRDefault="00AE7CA0" w:rsidP="006F146B">
            <w:pPr>
              <w:pStyle w:val="Header"/>
              <w:tabs>
                <w:tab w:val="clear" w:pos="4536"/>
                <w:tab w:val="clear" w:pos="9072"/>
                <w:tab w:val="left" w:pos="284"/>
              </w:tabs>
              <w:rPr>
                <w:rFonts w:ascii="Times New Roman" w:hAnsi="Times New Roman"/>
                <w:sz w:val="22"/>
                <w:szCs w:val="22"/>
              </w:rPr>
            </w:pPr>
          </w:p>
          <w:p w:rsidR="00A271D3" w:rsidRPr="0016092F" w:rsidRDefault="00AE7C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Potrebno je odgovarajuće pr</w:t>
            </w:r>
            <w:r w:rsidR="00815CD2" w:rsidRPr="0016092F">
              <w:rPr>
                <w:rFonts w:ascii="Times New Roman" w:hAnsi="Times New Roman"/>
                <w:sz w:val="22"/>
                <w:szCs w:val="22"/>
              </w:rPr>
              <w:t>i</w:t>
            </w:r>
            <w:r w:rsidRPr="0016092F">
              <w:rPr>
                <w:rFonts w:ascii="Times New Roman" w:hAnsi="Times New Roman"/>
                <w:sz w:val="22"/>
                <w:szCs w:val="22"/>
              </w:rPr>
              <w:t>lagođavanje doze kakao bi se održala koncentracija hemoglobina u okviru željenog opsega između 10 g/dl i 12 g/dl (6,2-7,5 mmol/l).</w:t>
            </w:r>
          </w:p>
          <w:p w:rsidR="00AE7CA0" w:rsidRPr="0016092F" w:rsidRDefault="00AE7CA0" w:rsidP="006F146B">
            <w:pPr>
              <w:pStyle w:val="Header"/>
              <w:tabs>
                <w:tab w:val="clear" w:pos="4536"/>
                <w:tab w:val="clear" w:pos="9072"/>
                <w:tab w:val="left" w:pos="284"/>
              </w:tabs>
              <w:rPr>
                <w:rFonts w:ascii="Times New Roman" w:hAnsi="Times New Roman"/>
                <w:sz w:val="22"/>
                <w:szCs w:val="22"/>
              </w:rPr>
            </w:pPr>
          </w:p>
          <w:p w:rsidR="00A271D3" w:rsidRPr="0016092F" w:rsidRDefault="001459D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Usl</w:t>
            </w:r>
            <w:r w:rsidR="001F3EB1" w:rsidRPr="0016092F">
              <w:rPr>
                <w:rFonts w:ascii="Times New Roman" w:hAnsi="Times New Roman"/>
                <w:sz w:val="22"/>
                <w:szCs w:val="22"/>
              </w:rPr>
              <w:t>j</w:t>
            </w:r>
            <w:r w:rsidRPr="0016092F">
              <w:rPr>
                <w:rFonts w:ascii="Times New Roman" w:hAnsi="Times New Roman"/>
                <w:sz w:val="22"/>
                <w:szCs w:val="22"/>
              </w:rPr>
              <w:t>ed inter-individualnih razlika pacijenata, mogu se uočiti prom</w:t>
            </w:r>
            <w:r w:rsidR="001F3EB1" w:rsidRPr="0016092F">
              <w:rPr>
                <w:rFonts w:ascii="Times New Roman" w:hAnsi="Times New Roman"/>
                <w:sz w:val="22"/>
                <w:szCs w:val="22"/>
              </w:rPr>
              <w:t>j</w:t>
            </w:r>
            <w:r w:rsidRPr="0016092F">
              <w:rPr>
                <w:rFonts w:ascii="Times New Roman" w:hAnsi="Times New Roman"/>
                <w:sz w:val="22"/>
                <w:szCs w:val="22"/>
              </w:rPr>
              <w:t>ene vr</w:t>
            </w:r>
            <w:r w:rsidR="001F3EB1" w:rsidRPr="0016092F">
              <w:rPr>
                <w:rFonts w:ascii="Times New Roman" w:hAnsi="Times New Roman"/>
                <w:sz w:val="22"/>
                <w:szCs w:val="22"/>
              </w:rPr>
              <w:t>ij</w:t>
            </w:r>
            <w:r w:rsidRPr="0016092F">
              <w:rPr>
                <w:rFonts w:ascii="Times New Roman" w:hAnsi="Times New Roman"/>
                <w:sz w:val="22"/>
                <w:szCs w:val="22"/>
              </w:rPr>
              <w:t>ednosti hemoglobina koje su iznad i ispod željenih vr</w:t>
            </w:r>
            <w:r w:rsidR="001F3EB1" w:rsidRPr="0016092F">
              <w:rPr>
                <w:rFonts w:ascii="Times New Roman" w:hAnsi="Times New Roman"/>
                <w:sz w:val="22"/>
                <w:szCs w:val="22"/>
              </w:rPr>
              <w:t>ij</w:t>
            </w:r>
            <w:r w:rsidRPr="0016092F">
              <w:rPr>
                <w:rFonts w:ascii="Times New Roman" w:hAnsi="Times New Roman"/>
                <w:sz w:val="22"/>
                <w:szCs w:val="22"/>
              </w:rPr>
              <w:t xml:space="preserve">ednosti. </w:t>
            </w:r>
            <w:r w:rsidR="00A271D3" w:rsidRPr="0016092F">
              <w:rPr>
                <w:rFonts w:ascii="Times New Roman" w:hAnsi="Times New Roman"/>
                <w:sz w:val="22"/>
                <w:szCs w:val="22"/>
              </w:rPr>
              <w:t>Variranje hemoglobina je potrebno kontrolisati dobrim doziranjem uzimajući u obzir da je ciljna koncentracija h</w:t>
            </w:r>
            <w:r w:rsidR="00582717" w:rsidRPr="0016092F">
              <w:rPr>
                <w:rFonts w:ascii="Times New Roman" w:hAnsi="Times New Roman"/>
                <w:sz w:val="22"/>
                <w:szCs w:val="22"/>
              </w:rPr>
              <w:t>emoglobina između 10-12 g/dl (6.2-7.</w:t>
            </w:r>
            <w:r w:rsidR="00A271D3" w:rsidRPr="0016092F">
              <w:rPr>
                <w:rFonts w:ascii="Times New Roman" w:hAnsi="Times New Roman"/>
                <w:sz w:val="22"/>
                <w:szCs w:val="22"/>
              </w:rPr>
              <w:t>5 mmol/l). Treba izb</w:t>
            </w:r>
            <w:r w:rsidR="001F3EB1" w:rsidRPr="0016092F">
              <w:rPr>
                <w:rFonts w:ascii="Times New Roman" w:hAnsi="Times New Roman"/>
                <w:sz w:val="22"/>
                <w:szCs w:val="22"/>
              </w:rPr>
              <w:t>j</w:t>
            </w:r>
            <w:r w:rsidR="00A271D3" w:rsidRPr="0016092F">
              <w:rPr>
                <w:rFonts w:ascii="Times New Roman" w:hAnsi="Times New Roman"/>
                <w:sz w:val="22"/>
                <w:szCs w:val="22"/>
              </w:rPr>
              <w:t>egavati održavanje vr</w:t>
            </w:r>
            <w:r w:rsidR="001F3EB1" w:rsidRPr="0016092F">
              <w:rPr>
                <w:rFonts w:ascii="Times New Roman" w:hAnsi="Times New Roman"/>
                <w:sz w:val="22"/>
                <w:szCs w:val="22"/>
              </w:rPr>
              <w:t>ij</w:t>
            </w:r>
            <w:r w:rsidR="00A271D3" w:rsidRPr="0016092F">
              <w:rPr>
                <w:rFonts w:ascii="Times New Roman" w:hAnsi="Times New Roman"/>
                <w:sz w:val="22"/>
                <w:szCs w:val="22"/>
              </w:rPr>
              <w:t>ednosti he</w:t>
            </w:r>
            <w:r w:rsidR="00582717" w:rsidRPr="0016092F">
              <w:rPr>
                <w:rFonts w:ascii="Times New Roman" w:hAnsi="Times New Roman"/>
                <w:sz w:val="22"/>
                <w:szCs w:val="22"/>
              </w:rPr>
              <w:t>moglobina na više od 12 g/dl (7.</w:t>
            </w:r>
            <w:r w:rsidR="00A271D3" w:rsidRPr="0016092F">
              <w:rPr>
                <w:rFonts w:ascii="Times New Roman" w:hAnsi="Times New Roman"/>
                <w:sz w:val="22"/>
                <w:szCs w:val="22"/>
              </w:rPr>
              <w:t>5 mmol/l); sm</w:t>
            </w:r>
            <w:r w:rsidR="001F3EB1" w:rsidRPr="0016092F">
              <w:rPr>
                <w:rFonts w:ascii="Times New Roman" w:hAnsi="Times New Roman"/>
                <w:sz w:val="22"/>
                <w:szCs w:val="22"/>
              </w:rPr>
              <w:t>j</w:t>
            </w:r>
            <w:r w:rsidR="00A271D3" w:rsidRPr="0016092F">
              <w:rPr>
                <w:rFonts w:ascii="Times New Roman" w:hAnsi="Times New Roman"/>
                <w:sz w:val="22"/>
                <w:szCs w:val="22"/>
              </w:rPr>
              <w:t>ernice za odgovarajuće prilagođavanje doze u slučaju kada vr</w:t>
            </w:r>
            <w:r w:rsidR="001F3EB1" w:rsidRPr="0016092F">
              <w:rPr>
                <w:rFonts w:ascii="Times New Roman" w:hAnsi="Times New Roman"/>
                <w:sz w:val="22"/>
                <w:szCs w:val="22"/>
              </w:rPr>
              <w:t>ij</w:t>
            </w:r>
            <w:r w:rsidR="00A271D3" w:rsidRPr="0016092F">
              <w:rPr>
                <w:rFonts w:ascii="Times New Roman" w:hAnsi="Times New Roman"/>
                <w:sz w:val="22"/>
                <w:szCs w:val="22"/>
              </w:rPr>
              <w:t>ednosti</w:t>
            </w:r>
            <w:r w:rsidR="00582717" w:rsidRPr="0016092F">
              <w:rPr>
                <w:rFonts w:ascii="Times New Roman" w:hAnsi="Times New Roman"/>
                <w:sz w:val="22"/>
                <w:szCs w:val="22"/>
              </w:rPr>
              <w:t xml:space="preserve"> hemoglobina premaše 12 g/dl (7.</w:t>
            </w:r>
            <w:r w:rsidR="00A271D3" w:rsidRPr="0016092F">
              <w:rPr>
                <w:rFonts w:ascii="Times New Roman" w:hAnsi="Times New Roman"/>
                <w:sz w:val="22"/>
                <w:szCs w:val="22"/>
              </w:rPr>
              <w:t>5 mmol/l) su navedene ispod.</w:t>
            </w:r>
          </w:p>
          <w:p w:rsidR="00A271D3" w:rsidRPr="0016092F" w:rsidRDefault="00A271D3" w:rsidP="006F146B">
            <w:pPr>
              <w:pStyle w:val="Header"/>
              <w:tabs>
                <w:tab w:val="clear" w:pos="4536"/>
                <w:tab w:val="clear" w:pos="9072"/>
                <w:tab w:val="left" w:pos="284"/>
              </w:tabs>
              <w:rPr>
                <w:rFonts w:ascii="Times New Roman" w:hAnsi="Times New Roman"/>
                <w:sz w:val="22"/>
                <w:szCs w:val="22"/>
              </w:rPr>
            </w:pPr>
          </w:p>
          <w:p w:rsidR="001603FA" w:rsidRPr="0016092F" w:rsidRDefault="00A271D3"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Ako je porast hemoglobina </w:t>
            </w:r>
            <w:r w:rsidR="001603FA" w:rsidRPr="0016092F">
              <w:rPr>
                <w:rFonts w:ascii="Times New Roman" w:hAnsi="Times New Roman"/>
                <w:sz w:val="22"/>
                <w:szCs w:val="22"/>
              </w:rPr>
              <w:t xml:space="preserve">za </w:t>
            </w:r>
            <w:r w:rsidR="00582717" w:rsidRPr="0016092F">
              <w:rPr>
                <w:rFonts w:ascii="Times New Roman" w:hAnsi="Times New Roman"/>
                <w:sz w:val="22"/>
                <w:szCs w:val="22"/>
              </w:rPr>
              <w:t>najmanje 1 g/dl (&gt;0.</w:t>
            </w:r>
            <w:r w:rsidRPr="0016092F">
              <w:rPr>
                <w:rFonts w:ascii="Times New Roman" w:hAnsi="Times New Roman"/>
                <w:sz w:val="22"/>
                <w:szCs w:val="22"/>
              </w:rPr>
              <w:t>62 mmol/l) ili ako postoji porast retikulocita</w:t>
            </w:r>
            <w:r w:rsidR="001459D7" w:rsidRPr="0016092F">
              <w:rPr>
                <w:rFonts w:ascii="Times New Roman" w:hAnsi="Times New Roman"/>
                <w:sz w:val="22"/>
                <w:szCs w:val="22"/>
              </w:rPr>
              <w:t xml:space="preserve"> za</w:t>
            </w:r>
            <w:r w:rsidRPr="0016092F">
              <w:rPr>
                <w:rFonts w:ascii="Times New Roman" w:hAnsi="Times New Roman"/>
                <w:sz w:val="22"/>
                <w:szCs w:val="22"/>
              </w:rPr>
              <w:t xml:space="preserve"> ≥40,000 ćelija/μl iznad bazičnih vr</w:t>
            </w:r>
            <w:r w:rsidR="001F3EB1" w:rsidRPr="0016092F">
              <w:rPr>
                <w:rFonts w:ascii="Times New Roman" w:hAnsi="Times New Roman"/>
                <w:sz w:val="22"/>
                <w:szCs w:val="22"/>
              </w:rPr>
              <w:t>ij</w:t>
            </w:r>
            <w:r w:rsidRPr="0016092F">
              <w:rPr>
                <w:rFonts w:ascii="Times New Roman" w:hAnsi="Times New Roman"/>
                <w:sz w:val="22"/>
                <w:szCs w:val="22"/>
              </w:rPr>
              <w:t>ednosti, nakon 4 ned</w:t>
            </w:r>
            <w:r w:rsidR="001F3EB1" w:rsidRPr="0016092F">
              <w:rPr>
                <w:rFonts w:ascii="Times New Roman" w:hAnsi="Times New Roman"/>
                <w:sz w:val="22"/>
                <w:szCs w:val="22"/>
              </w:rPr>
              <w:t>j</w:t>
            </w:r>
            <w:r w:rsidRPr="0016092F">
              <w:rPr>
                <w:rFonts w:ascii="Times New Roman" w:hAnsi="Times New Roman"/>
                <w:sz w:val="22"/>
                <w:szCs w:val="22"/>
              </w:rPr>
              <w:t>elje terapije, doza treba da ostane 150 i.j./kg, 3 puta ned</w:t>
            </w:r>
            <w:r w:rsidR="001F3EB1" w:rsidRPr="0016092F">
              <w:rPr>
                <w:rFonts w:ascii="Times New Roman" w:hAnsi="Times New Roman"/>
                <w:sz w:val="22"/>
                <w:szCs w:val="22"/>
              </w:rPr>
              <w:t>j</w:t>
            </w:r>
            <w:r w:rsidRPr="0016092F">
              <w:rPr>
                <w:rFonts w:ascii="Times New Roman" w:hAnsi="Times New Roman"/>
                <w:sz w:val="22"/>
                <w:szCs w:val="22"/>
              </w:rPr>
              <w:t xml:space="preserve">eljno ili </w:t>
            </w:r>
            <w:r w:rsidR="001603FA" w:rsidRPr="0016092F">
              <w:rPr>
                <w:rFonts w:ascii="Times New Roman" w:hAnsi="Times New Roman"/>
                <w:sz w:val="22"/>
                <w:szCs w:val="22"/>
              </w:rPr>
              <w:t>450 i.j./kg, jednom ned</w:t>
            </w:r>
            <w:r w:rsidR="001F3EB1" w:rsidRPr="0016092F">
              <w:rPr>
                <w:rFonts w:ascii="Times New Roman" w:hAnsi="Times New Roman"/>
                <w:sz w:val="22"/>
                <w:szCs w:val="22"/>
              </w:rPr>
              <w:t>j</w:t>
            </w:r>
            <w:r w:rsidR="001603FA" w:rsidRPr="0016092F">
              <w:rPr>
                <w:rFonts w:ascii="Times New Roman" w:hAnsi="Times New Roman"/>
                <w:sz w:val="22"/>
                <w:szCs w:val="22"/>
              </w:rPr>
              <w:t>eljno.</w:t>
            </w:r>
          </w:p>
          <w:p w:rsidR="00DF6C29" w:rsidRPr="0016092F" w:rsidRDefault="001603FA"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Ako je</w:t>
            </w:r>
            <w:r w:rsidR="00582717" w:rsidRPr="0016092F">
              <w:rPr>
                <w:rFonts w:ascii="Times New Roman" w:hAnsi="Times New Roman"/>
                <w:sz w:val="22"/>
                <w:szCs w:val="22"/>
              </w:rPr>
              <w:t xml:space="preserve"> porast hemoglobina &lt;1 g/dl (&lt;0.</w:t>
            </w:r>
            <w:r w:rsidRPr="0016092F">
              <w:rPr>
                <w:rFonts w:ascii="Times New Roman" w:hAnsi="Times New Roman"/>
                <w:sz w:val="22"/>
                <w:szCs w:val="22"/>
              </w:rPr>
              <w:t xml:space="preserve">62 mmol/l) ili ako postoji porast retikulocita </w:t>
            </w:r>
            <w:r w:rsidR="001459D7" w:rsidRPr="0016092F">
              <w:rPr>
                <w:rFonts w:ascii="Times New Roman" w:hAnsi="Times New Roman"/>
                <w:sz w:val="22"/>
                <w:szCs w:val="22"/>
              </w:rPr>
              <w:t xml:space="preserve">za </w:t>
            </w:r>
            <w:r w:rsidRPr="0016092F">
              <w:rPr>
                <w:rFonts w:ascii="Times New Roman" w:hAnsi="Times New Roman"/>
                <w:sz w:val="22"/>
                <w:szCs w:val="22"/>
              </w:rPr>
              <w:t>&lt;40,000 ćelija/μl iznad bazičnih vr</w:t>
            </w:r>
            <w:r w:rsidR="001F3EB1" w:rsidRPr="0016092F">
              <w:rPr>
                <w:rFonts w:ascii="Times New Roman" w:hAnsi="Times New Roman"/>
                <w:sz w:val="22"/>
                <w:szCs w:val="22"/>
              </w:rPr>
              <w:t>ij</w:t>
            </w:r>
            <w:r w:rsidRPr="0016092F">
              <w:rPr>
                <w:rFonts w:ascii="Times New Roman" w:hAnsi="Times New Roman"/>
                <w:sz w:val="22"/>
                <w:szCs w:val="22"/>
              </w:rPr>
              <w:t>ednosti, povećati dozu na 300 i.j./kg, 3 puta ned</w:t>
            </w:r>
            <w:r w:rsidR="001F3EB1" w:rsidRPr="0016092F">
              <w:rPr>
                <w:rFonts w:ascii="Times New Roman" w:hAnsi="Times New Roman"/>
                <w:sz w:val="22"/>
                <w:szCs w:val="22"/>
              </w:rPr>
              <w:t>j</w:t>
            </w:r>
            <w:r w:rsidRPr="0016092F">
              <w:rPr>
                <w:rFonts w:ascii="Times New Roman" w:hAnsi="Times New Roman"/>
                <w:sz w:val="22"/>
                <w:szCs w:val="22"/>
              </w:rPr>
              <w:t>eljno. Ako nakon naredne 4 ned</w:t>
            </w:r>
            <w:r w:rsidR="001F3EB1" w:rsidRPr="0016092F">
              <w:rPr>
                <w:rFonts w:ascii="Times New Roman" w:hAnsi="Times New Roman"/>
                <w:sz w:val="22"/>
                <w:szCs w:val="22"/>
              </w:rPr>
              <w:t>j</w:t>
            </w:r>
            <w:r w:rsidRPr="0016092F">
              <w:rPr>
                <w:rFonts w:ascii="Times New Roman" w:hAnsi="Times New Roman"/>
                <w:sz w:val="22"/>
                <w:szCs w:val="22"/>
              </w:rPr>
              <w:t>elje pri dozi od  300 i.j./kg, 3 puta ned</w:t>
            </w:r>
            <w:r w:rsidR="001F3EB1" w:rsidRPr="0016092F">
              <w:rPr>
                <w:rFonts w:ascii="Times New Roman" w:hAnsi="Times New Roman"/>
                <w:sz w:val="22"/>
                <w:szCs w:val="22"/>
              </w:rPr>
              <w:t>j</w:t>
            </w:r>
            <w:r w:rsidRPr="0016092F">
              <w:rPr>
                <w:rFonts w:ascii="Times New Roman" w:hAnsi="Times New Roman"/>
                <w:sz w:val="22"/>
                <w:szCs w:val="22"/>
              </w:rPr>
              <w:t>eljno, he</w:t>
            </w:r>
            <w:r w:rsidR="00582717" w:rsidRPr="0016092F">
              <w:rPr>
                <w:rFonts w:ascii="Times New Roman" w:hAnsi="Times New Roman"/>
                <w:sz w:val="22"/>
                <w:szCs w:val="22"/>
              </w:rPr>
              <w:t>moglobin poraste za ≥1 g/dl (≥0.</w:t>
            </w:r>
            <w:r w:rsidRPr="0016092F">
              <w:rPr>
                <w:rFonts w:ascii="Times New Roman" w:hAnsi="Times New Roman"/>
                <w:sz w:val="22"/>
                <w:szCs w:val="22"/>
              </w:rPr>
              <w:t xml:space="preserve">62 mmol/l)  ili poraste broj retikulocita </w:t>
            </w:r>
            <w:r w:rsidR="001459D7" w:rsidRPr="0016092F">
              <w:rPr>
                <w:rFonts w:ascii="Times New Roman" w:hAnsi="Times New Roman"/>
                <w:sz w:val="22"/>
                <w:szCs w:val="22"/>
              </w:rPr>
              <w:t xml:space="preserve">za </w:t>
            </w:r>
            <w:r w:rsidRPr="0016092F">
              <w:rPr>
                <w:rFonts w:ascii="Times New Roman" w:hAnsi="Times New Roman"/>
                <w:sz w:val="22"/>
                <w:szCs w:val="22"/>
              </w:rPr>
              <w:t>≥40,000 ćelija/μl, doza l</w:t>
            </w:r>
            <w:r w:rsidR="001F3EB1" w:rsidRPr="0016092F">
              <w:rPr>
                <w:rFonts w:ascii="Times New Roman" w:hAnsi="Times New Roman"/>
                <w:sz w:val="22"/>
                <w:szCs w:val="22"/>
              </w:rPr>
              <w:t>ij</w:t>
            </w:r>
            <w:r w:rsidRPr="0016092F">
              <w:rPr>
                <w:rFonts w:ascii="Times New Roman" w:hAnsi="Times New Roman"/>
                <w:sz w:val="22"/>
                <w:szCs w:val="22"/>
              </w:rPr>
              <w:t>eka treba da ostane 300 i.j./kg, 3 puta ned</w:t>
            </w:r>
            <w:r w:rsidR="001F3EB1" w:rsidRPr="0016092F">
              <w:rPr>
                <w:rFonts w:ascii="Times New Roman" w:hAnsi="Times New Roman"/>
                <w:sz w:val="22"/>
                <w:szCs w:val="22"/>
              </w:rPr>
              <w:t>j</w:t>
            </w:r>
            <w:r w:rsidRPr="0016092F">
              <w:rPr>
                <w:rFonts w:ascii="Times New Roman" w:hAnsi="Times New Roman"/>
                <w:sz w:val="22"/>
                <w:szCs w:val="22"/>
              </w:rPr>
              <w:t xml:space="preserve">eljno. </w:t>
            </w:r>
          </w:p>
          <w:p w:rsidR="001603FA" w:rsidRPr="0016092F" w:rsidRDefault="00DF6C29"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A</w:t>
            </w:r>
            <w:r w:rsidR="001603FA" w:rsidRPr="0016092F">
              <w:rPr>
                <w:rFonts w:ascii="Times New Roman" w:hAnsi="Times New Roman"/>
                <w:sz w:val="22"/>
                <w:szCs w:val="22"/>
              </w:rPr>
              <w:t>ko he</w:t>
            </w:r>
            <w:r w:rsidR="00582717" w:rsidRPr="0016092F">
              <w:rPr>
                <w:rFonts w:ascii="Times New Roman" w:hAnsi="Times New Roman"/>
                <w:sz w:val="22"/>
                <w:szCs w:val="22"/>
              </w:rPr>
              <w:t>moglobin poraste za &lt;1 g/dl (&lt;0.</w:t>
            </w:r>
            <w:r w:rsidR="001603FA" w:rsidRPr="0016092F">
              <w:rPr>
                <w:rFonts w:ascii="Times New Roman" w:hAnsi="Times New Roman"/>
                <w:sz w:val="22"/>
                <w:szCs w:val="22"/>
              </w:rPr>
              <w:t xml:space="preserve">62 mmol/l) i retikulociti porastu </w:t>
            </w:r>
            <w:r w:rsidR="001459D7" w:rsidRPr="0016092F">
              <w:rPr>
                <w:rFonts w:ascii="Times New Roman" w:hAnsi="Times New Roman"/>
                <w:sz w:val="22"/>
                <w:szCs w:val="22"/>
              </w:rPr>
              <w:t xml:space="preserve">za </w:t>
            </w:r>
            <w:r w:rsidR="001603FA" w:rsidRPr="0016092F">
              <w:rPr>
                <w:rFonts w:ascii="Times New Roman" w:hAnsi="Times New Roman"/>
                <w:sz w:val="22"/>
                <w:szCs w:val="22"/>
              </w:rPr>
              <w:t>&lt;40,000 ćelija/μl iznad bazičnih vr</w:t>
            </w:r>
            <w:r w:rsidR="004002B1" w:rsidRPr="0016092F">
              <w:rPr>
                <w:rFonts w:ascii="Times New Roman" w:hAnsi="Times New Roman"/>
                <w:sz w:val="22"/>
                <w:szCs w:val="22"/>
              </w:rPr>
              <w:t>ij</w:t>
            </w:r>
            <w:r w:rsidR="001603FA" w:rsidRPr="0016092F">
              <w:rPr>
                <w:rFonts w:ascii="Times New Roman" w:hAnsi="Times New Roman"/>
                <w:sz w:val="22"/>
                <w:szCs w:val="22"/>
              </w:rPr>
              <w:t>ednosti, malo je v</w:t>
            </w:r>
            <w:r w:rsidR="004002B1" w:rsidRPr="0016092F">
              <w:rPr>
                <w:rFonts w:ascii="Times New Roman" w:hAnsi="Times New Roman"/>
                <w:sz w:val="22"/>
                <w:szCs w:val="22"/>
              </w:rPr>
              <w:t>j</w:t>
            </w:r>
            <w:r w:rsidR="001603FA" w:rsidRPr="0016092F">
              <w:rPr>
                <w:rFonts w:ascii="Times New Roman" w:hAnsi="Times New Roman"/>
                <w:sz w:val="22"/>
                <w:szCs w:val="22"/>
              </w:rPr>
              <w:t>erovatno da postoji odgovor na epoetin i terapiju treba prekinuti.</w:t>
            </w:r>
          </w:p>
          <w:p w:rsidR="00DF6C29" w:rsidRPr="0016092F" w:rsidRDefault="00DF6C29"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Prilagođavanje doze radi održavanja koncentracije Hb između 10 g/dl- 12 g/dl (6.2-7.5 mmol/l):</w:t>
            </w:r>
          </w:p>
          <w:p w:rsidR="00180365"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Ako dođe do porasta Hb za više od 2 g/dl (1.25 mmol/l) za m</w:t>
            </w:r>
            <w:r w:rsidR="004002B1" w:rsidRPr="0016092F">
              <w:rPr>
                <w:rFonts w:ascii="Times New Roman" w:hAnsi="Times New Roman"/>
                <w:sz w:val="22"/>
                <w:szCs w:val="22"/>
              </w:rPr>
              <w:t>j</w:t>
            </w:r>
            <w:r w:rsidRPr="0016092F">
              <w:rPr>
                <w:rFonts w:ascii="Times New Roman" w:hAnsi="Times New Roman"/>
                <w:sz w:val="22"/>
                <w:szCs w:val="22"/>
              </w:rPr>
              <w:t>esec dana, ili ako Hb premaši 12 g/dl (7.5 mmol/l), dozu treba smanjiti u pros</w:t>
            </w:r>
            <w:r w:rsidR="004002B1" w:rsidRPr="0016092F">
              <w:rPr>
                <w:rFonts w:ascii="Times New Roman" w:hAnsi="Times New Roman"/>
                <w:sz w:val="22"/>
                <w:szCs w:val="22"/>
              </w:rPr>
              <w:t>j</w:t>
            </w:r>
            <w:r w:rsidRPr="0016092F">
              <w:rPr>
                <w:rFonts w:ascii="Times New Roman" w:hAnsi="Times New Roman"/>
                <w:sz w:val="22"/>
                <w:szCs w:val="22"/>
              </w:rPr>
              <w:t xml:space="preserve">eku za 25 do 50%. </w:t>
            </w:r>
          </w:p>
          <w:p w:rsidR="00180365" w:rsidRPr="0016092F" w:rsidRDefault="00180365"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Ako Hb premaši 13 g/dl (8.1 mmol/l), prekinuti terapiju dok vr</w:t>
            </w:r>
            <w:r w:rsidR="004002B1" w:rsidRPr="0016092F">
              <w:rPr>
                <w:rFonts w:ascii="Times New Roman" w:hAnsi="Times New Roman"/>
                <w:sz w:val="22"/>
                <w:szCs w:val="22"/>
              </w:rPr>
              <w:t>ij</w:t>
            </w:r>
            <w:r w:rsidRPr="0016092F">
              <w:rPr>
                <w:rFonts w:ascii="Times New Roman" w:hAnsi="Times New Roman"/>
                <w:sz w:val="22"/>
                <w:szCs w:val="22"/>
              </w:rPr>
              <w:t>ednost ne padne ispod 12 g/dl (7.5 mmol/l) i zatim ponovo uvesti terapiju epoetinom alfa u dozi koja je za 25% niža od prethodne doze.</w:t>
            </w:r>
          </w:p>
          <w:p w:rsidR="001603FA" w:rsidRPr="0016092F" w:rsidRDefault="001603FA" w:rsidP="006F146B">
            <w:pPr>
              <w:pStyle w:val="Header"/>
              <w:tabs>
                <w:tab w:val="clear" w:pos="4536"/>
                <w:tab w:val="clear" w:pos="9072"/>
                <w:tab w:val="left" w:pos="284"/>
              </w:tabs>
              <w:rPr>
                <w:rFonts w:ascii="Times New Roman" w:hAnsi="Times New Roman"/>
                <w:sz w:val="22"/>
                <w:szCs w:val="22"/>
              </w:rPr>
            </w:pPr>
          </w:p>
          <w:p w:rsidR="001603FA" w:rsidRPr="0016092F" w:rsidRDefault="001603F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Prepor</w:t>
            </w:r>
            <w:r w:rsidR="00C4627B" w:rsidRPr="0016092F">
              <w:rPr>
                <w:rFonts w:ascii="Times New Roman" w:hAnsi="Times New Roman"/>
                <w:sz w:val="22"/>
                <w:szCs w:val="22"/>
              </w:rPr>
              <w:t>učeni režim doziranja je opisan</w:t>
            </w:r>
            <w:r w:rsidRPr="0016092F">
              <w:rPr>
                <w:rFonts w:ascii="Times New Roman" w:hAnsi="Times New Roman"/>
                <w:sz w:val="22"/>
                <w:szCs w:val="22"/>
              </w:rPr>
              <w:t xml:space="preserve"> u dijagramu:</w:t>
            </w:r>
          </w:p>
          <w:p w:rsidR="003267F0" w:rsidRPr="0016092F" w:rsidRDefault="003267F0" w:rsidP="006F146B">
            <w:pPr>
              <w:pStyle w:val="Header"/>
              <w:tabs>
                <w:tab w:val="clear" w:pos="4536"/>
                <w:tab w:val="clear" w:pos="9072"/>
                <w:tab w:val="left" w:pos="284"/>
              </w:tabs>
              <w:rPr>
                <w:rFonts w:ascii="Times New Roman" w:hAnsi="Times New Roman"/>
                <w:sz w:val="22"/>
                <w:szCs w:val="22"/>
              </w:rPr>
            </w:pPr>
          </w:p>
          <w:p w:rsidR="003267F0" w:rsidRPr="0016092F" w:rsidRDefault="003D5CC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lang w:val="en-US"/>
              </w:rPr>
              <w:lastRenderedPageBreak/>
              <mc:AlternateContent>
                <mc:Choice Requires="wps">
                  <w:drawing>
                    <wp:anchor distT="0" distB="0" distL="114300" distR="114300" simplePos="0" relativeHeight="251657728" behindDoc="0" locked="0" layoutInCell="1" allowOverlap="1">
                      <wp:simplePos x="0" y="0"/>
                      <wp:positionH relativeFrom="column">
                        <wp:posOffset>3543300</wp:posOffset>
                      </wp:positionH>
                      <wp:positionV relativeFrom="paragraph">
                        <wp:posOffset>4806315</wp:posOffset>
                      </wp:positionV>
                      <wp:extent cx="1148080" cy="302895"/>
                      <wp:effectExtent l="0" t="2540" r="0" b="0"/>
                      <wp:wrapNone/>
                      <wp:docPr id="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Prekid terapije</w:t>
                                  </w:r>
                                </w:p>
                                <w:p w:rsidR="006F146B" w:rsidRDefault="006F14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279pt;margin-top:378.45pt;width:90.4pt;height:2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" stroked="f">
                      <v:textbox>
                        <w:txbxContent>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Prekid terapije</w:t>
                            </w:r>
                          </w:p>
                          <w:p w:rsidR="006F146B" w:rsidRDefault="006F146B"/>
                        </w:txbxContent>
                      </v:textbox>
                    </v:shape>
                  </w:pict>
                </mc:Fallback>
              </mc:AlternateContent>
            </w:r>
            <w:r w:rsidRPr="0016092F">
              <w:rPr>
                <w:rFonts w:ascii="Times New Roman" w:hAnsi="Times New Roman"/>
                <w:sz w:val="22"/>
                <w:szCs w:val="22"/>
                <w:lang w:val="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3200400</wp:posOffset>
                      </wp:positionV>
                      <wp:extent cx="2857500" cy="422910"/>
                      <wp:effectExtent l="0" t="0" r="3810" b="0"/>
                      <wp:wrapNone/>
                      <wp:docPr id="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Porast broja retikulocita za ≥40,000/μl</w:t>
                                  </w:r>
                                </w:p>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ili porast koncentracije Hb za ≥1 g/dl                                      </w:t>
                                  </w:r>
                                </w:p>
                                <w:p w:rsidR="006F146B" w:rsidRPr="007128A8" w:rsidRDefault="006F146B">
                                  <w:pPr>
                                    <w:rPr>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left:0;text-align:left;margin-left:0;margin-top:252pt;width:225pt;height:3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QhQIAABg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" stroked="f">
                      <v:textbox>
                        <w:txbxContent>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Porast broja retikulocita za ≥40,000/μl</w:t>
                            </w:r>
                          </w:p>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ili porast koncentracije Hb za ≥1 g/dl                                      </w:t>
                            </w:r>
                          </w:p>
                          <w:p w:rsidR="006F146B" w:rsidRPr="007128A8" w:rsidRDefault="006F146B">
                            <w:pPr>
                              <w:rPr>
                                <w:lang w:val="sr-Latn-CS"/>
                              </w:rPr>
                            </w:pPr>
                          </w:p>
                        </w:txbxContent>
                      </v:textbox>
                    </v:shape>
                  </w:pict>
                </mc:Fallback>
              </mc:AlternateContent>
            </w:r>
            <w:r w:rsidRPr="0016092F">
              <w:rPr>
                <w:rFonts w:ascii="Times New Roman" w:hAnsi="Times New Roman"/>
                <w:sz w:val="22"/>
                <w:szCs w:val="22"/>
                <w:lang w:val="en-US"/>
              </w:rPr>
              <mc:AlternateContent>
                <mc:Choice Requires="wpc">
                  <w:drawing>
                    <wp:inline distT="0" distB="0" distL="0" distR="0">
                      <wp:extent cx="6286500" cy="4686300"/>
                      <wp:effectExtent l="0" t="0" r="3810" b="22225"/>
                      <wp:docPr id="60" name="Canvas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1"/>
                              <wps:cNvSpPr txBox="1">
                                <a:spLocks noChangeArrowheads="1"/>
                              </wps:cNvSpPr>
                              <wps:spPr bwMode="auto">
                                <a:xfrm>
                                  <a:off x="0" y="0"/>
                                  <a:ext cx="6286500" cy="7998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46B" w:rsidRDefault="006F146B" w:rsidP="003267F0">
                                    <w:pPr>
                                      <w:pStyle w:val="Header"/>
                                      <w:tabs>
                                        <w:tab w:val="clear" w:pos="4536"/>
                                        <w:tab w:val="clear" w:pos="9072"/>
                                        <w:tab w:val="left" w:pos="284"/>
                                      </w:tabs>
                                      <w:jc w:val="center"/>
                                      <w:rPr>
                                        <w:rFonts w:ascii="Times New Roman" w:hAnsi="Times New Roman"/>
                                        <w:sz w:val="22"/>
                                        <w:szCs w:val="22"/>
                                        <w:lang w:val="sr-Latn-CS"/>
                                      </w:rPr>
                                    </w:pPr>
                                    <w:r>
                                      <w:rPr>
                                        <w:rFonts w:ascii="Times New Roman" w:hAnsi="Times New Roman"/>
                                        <w:sz w:val="22"/>
                                        <w:szCs w:val="22"/>
                                        <w:lang w:val="sr-Latn-CS"/>
                                      </w:rPr>
                                      <w:t>150 i.j./kg 3x/nedjeljno</w:t>
                                    </w:r>
                                  </w:p>
                                  <w:p w:rsidR="006F146B" w:rsidRDefault="006F146B" w:rsidP="003267F0">
                                    <w:pPr>
                                      <w:pStyle w:val="Header"/>
                                      <w:tabs>
                                        <w:tab w:val="clear" w:pos="4536"/>
                                        <w:tab w:val="clear" w:pos="9072"/>
                                        <w:tab w:val="left" w:pos="284"/>
                                      </w:tabs>
                                      <w:jc w:val="center"/>
                                      <w:rPr>
                                        <w:rFonts w:ascii="Times New Roman" w:hAnsi="Times New Roman"/>
                                        <w:sz w:val="22"/>
                                        <w:szCs w:val="22"/>
                                        <w:lang w:val="sr-Latn-CS"/>
                                      </w:rPr>
                                    </w:pPr>
                                    <w:r>
                                      <w:rPr>
                                        <w:rFonts w:ascii="Times New Roman" w:hAnsi="Times New Roman"/>
                                        <w:sz w:val="22"/>
                                        <w:szCs w:val="22"/>
                                        <w:lang w:val="sr-Latn-CS"/>
                                      </w:rPr>
                                      <w:t>ili 450 i.j./kg 1x/nedjeljno</w:t>
                                    </w:r>
                                  </w:p>
                                  <w:p w:rsidR="006F146B" w:rsidRDefault="006F146B" w:rsidP="007128A8">
                                    <w:pPr>
                                      <w:pStyle w:val="Header"/>
                                      <w:tabs>
                                        <w:tab w:val="clear" w:pos="4536"/>
                                        <w:tab w:val="clear" w:pos="9072"/>
                                        <w:tab w:val="left" w:pos="284"/>
                                      </w:tabs>
                                      <w:jc w:val="center"/>
                                      <w:rPr>
                                        <w:rFonts w:ascii="Times New Roman" w:hAnsi="Times New Roman"/>
                                        <w:sz w:val="22"/>
                                        <w:szCs w:val="22"/>
                                        <w:lang w:val="sr-Latn-CS"/>
                                      </w:rPr>
                                    </w:pPr>
                                  </w:p>
                                  <w:p w:rsidR="006F146B" w:rsidRDefault="006F146B" w:rsidP="007128A8">
                                    <w:pPr>
                                      <w:pStyle w:val="Header"/>
                                      <w:tabs>
                                        <w:tab w:val="clear" w:pos="4536"/>
                                        <w:tab w:val="clear" w:pos="9072"/>
                                        <w:tab w:val="left" w:pos="284"/>
                                      </w:tabs>
                                      <w:jc w:val="center"/>
                                      <w:rPr>
                                        <w:rFonts w:ascii="Times New Roman" w:hAnsi="Times New Roman"/>
                                        <w:sz w:val="22"/>
                                        <w:szCs w:val="22"/>
                                        <w:lang w:val="sr-Latn-CS"/>
                                      </w:rPr>
                                    </w:pPr>
                                    <w:r>
                                      <w:rPr>
                                        <w:rFonts w:ascii="Times New Roman" w:hAnsi="Times New Roman"/>
                                        <w:sz w:val="22"/>
                                        <w:szCs w:val="22"/>
                                        <w:lang w:val="sr-Latn-CS"/>
                                      </w:rPr>
                                      <w:t>za 4 nedjelje</w:t>
                                    </w:r>
                                  </w:p>
                                  <w:p w:rsidR="006F146B" w:rsidRDefault="006F146B" w:rsidP="003267F0"/>
                                </w:txbxContent>
                              </wps:txbx>
                              <wps:bodyPr rot="0" vert="horz" wrap="square" lIns="91440" tIns="45720" rIns="91440" bIns="45720" anchor="t" anchorCtr="0" upright="1">
                                <a:noAutofit/>
                              </wps:bodyPr>
                            </wps:wsp>
                            <wps:wsp>
                              <wps:cNvPr id="3" name="Line 62"/>
                              <wps:cNvCnPr>
                                <a:cxnSpLocks noChangeShapeType="1"/>
                              </wps:cNvCnPr>
                              <wps:spPr bwMode="auto">
                                <a:xfrm flipH="1">
                                  <a:off x="2285841" y="685438"/>
                                  <a:ext cx="343138" cy="1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a:cxnSpLocks noChangeShapeType="1"/>
                              </wps:cNvCnPr>
                              <wps:spPr bwMode="auto">
                                <a:xfrm>
                                  <a:off x="3543141" y="685438"/>
                                  <a:ext cx="457518" cy="1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a:cxnSpLocks noChangeShapeType="1"/>
                              </wps:cNvCnPr>
                              <wps:spPr bwMode="auto">
                                <a:xfrm>
                                  <a:off x="2285841" y="685438"/>
                                  <a:ext cx="873" cy="571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5"/>
                              <wps:cNvCnPr>
                                <a:cxnSpLocks noChangeShapeType="1"/>
                              </wps:cNvCnPr>
                              <wps:spPr bwMode="auto">
                                <a:xfrm>
                                  <a:off x="4000659" y="685438"/>
                                  <a:ext cx="873" cy="571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66"/>
                              <wps:cNvSpPr txBox="1">
                                <a:spLocks noChangeArrowheads="1"/>
                              </wps:cNvSpPr>
                              <wps:spPr bwMode="auto">
                                <a:xfrm>
                                  <a:off x="0" y="1257364"/>
                                  <a:ext cx="6286500" cy="457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Porast broja retikulocita za ≥40,000/μl                       Porast broja retikulocita za &lt;40,000/μl                                        </w:t>
                                    </w:r>
                                  </w:p>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ili porast koncentracije Hb za ≥1 g/dl                       ili porast koncentracije Hb za &lt;1 g/dl          </w:t>
                                    </w:r>
                                  </w:p>
                                  <w:p w:rsidR="006F146B" w:rsidRDefault="006F146B" w:rsidP="003267F0"/>
                                </w:txbxContent>
                              </wps:txbx>
                              <wps:bodyPr rot="0" vert="horz" wrap="square" lIns="91440" tIns="45720" rIns="91440" bIns="45720" anchor="t" anchorCtr="0" upright="1">
                                <a:noAutofit/>
                              </wps:bodyPr>
                            </wps:wsp>
                            <wps:wsp>
                              <wps:cNvPr id="8" name="Line 67"/>
                              <wps:cNvCnPr>
                                <a:cxnSpLocks noChangeShapeType="1"/>
                              </wps:cNvCnPr>
                              <wps:spPr bwMode="auto">
                                <a:xfrm>
                                  <a:off x="2285841" y="1714905"/>
                                  <a:ext cx="873" cy="457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68"/>
                              <wps:cNvCnPr>
                                <a:cxnSpLocks noChangeShapeType="1"/>
                              </wps:cNvCnPr>
                              <wps:spPr bwMode="auto">
                                <a:xfrm>
                                  <a:off x="4000659" y="1714905"/>
                                  <a:ext cx="873" cy="457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69"/>
                              <wps:cNvSpPr txBox="1">
                                <a:spLocks noChangeArrowheads="1"/>
                              </wps:cNvSpPr>
                              <wps:spPr bwMode="auto">
                                <a:xfrm>
                                  <a:off x="0" y="2171572"/>
                                  <a:ext cx="6286500" cy="571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Ciljnji Hb                               300 i.j./kg</w:t>
                                    </w:r>
                                  </w:p>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(oko 12 g/dl&lt;)                            3x/nedjeljno</w:t>
                                    </w:r>
                                  </w:p>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tokom 4 nedjelje</w:t>
                                    </w:r>
                                  </w:p>
                                  <w:p w:rsidR="006F146B" w:rsidRPr="003267F0" w:rsidRDefault="006F146B">
                                    <w:pPr>
                                      <w:rPr>
                                        <w:lang w:val="sr-Latn-CS"/>
                                      </w:rPr>
                                    </w:pPr>
                                  </w:p>
                                </w:txbxContent>
                              </wps:txbx>
                              <wps:bodyPr rot="0" vert="horz" wrap="square" lIns="91440" tIns="45720" rIns="91440" bIns="45720" anchor="t" anchorCtr="0" upright="1">
                                <a:noAutofit/>
                              </wps:bodyPr>
                            </wps:wsp>
                            <wps:wsp>
                              <wps:cNvPr id="11" name="Line 70"/>
                              <wps:cNvCnPr>
                                <a:cxnSpLocks noChangeShapeType="1"/>
                              </wps:cNvCnPr>
                              <wps:spPr bwMode="auto">
                                <a:xfrm flipV="1">
                                  <a:off x="2285841" y="2743498"/>
                                  <a:ext cx="0" cy="343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71"/>
                              <wps:cNvCnPr>
                                <a:cxnSpLocks noChangeShapeType="1"/>
                              </wps:cNvCnPr>
                              <wps:spPr bwMode="auto">
                                <a:xfrm>
                                  <a:off x="4000659" y="2743498"/>
                                  <a:ext cx="873" cy="10285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75"/>
                              <wps:cNvCnPr>
                                <a:cxnSpLocks noChangeShapeType="1"/>
                              </wps:cNvCnPr>
                              <wps:spPr bwMode="auto">
                                <a:xfrm flipH="1">
                                  <a:off x="2972118" y="3428936"/>
                                  <a:ext cx="10285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04"/>
                              <wps:cNvSpPr txBox="1">
                                <a:spLocks noChangeArrowheads="1"/>
                              </wps:cNvSpPr>
                              <wps:spPr bwMode="auto">
                                <a:xfrm>
                                  <a:off x="3537903" y="3847184"/>
                                  <a:ext cx="2748598" cy="496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Porast broja retikulocita za &lt;40,000/μl                                                                                                         ili porast koncentracije Hb za &lt;1 g/dl  </w:t>
                                    </w:r>
                                  </w:p>
                                  <w:p w:rsidR="006F146B" w:rsidRPr="007128A8" w:rsidRDefault="006F146B">
                                    <w:pPr>
                                      <w:rPr>
                                        <w:lang w:val="sr-Latn-CS"/>
                                      </w:rPr>
                                    </w:pPr>
                                  </w:p>
                                </w:txbxContent>
                              </wps:txbx>
                              <wps:bodyPr rot="0" vert="horz" wrap="square" lIns="91440" tIns="45720" rIns="91440" bIns="45720" anchor="t" anchorCtr="0" upright="1">
                                <a:noAutofit/>
                              </wps:bodyPr>
                            </wps:wsp>
                            <wps:wsp>
                              <wps:cNvPr id="15" name="Line 105"/>
                              <wps:cNvCnPr>
                                <a:cxnSpLocks noChangeShapeType="1"/>
                              </wps:cNvCnPr>
                              <wps:spPr bwMode="auto">
                                <a:xfrm>
                                  <a:off x="4000659" y="4344018"/>
                                  <a:ext cx="873" cy="3422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60" o:spid="_x0000_s1028" editas="canvas" style="width:495pt;height:369pt;mso-position-horizontal-relative:char;mso-position-vertical-relative:line" coordsize="62865,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2865;height:46863;visibility:visible;mso-wrap-style:square">
                        <v:fill o:detectmouseclick="t"/>
                        <v:path o:connecttype="none"/>
                      </v:shape>
                      <v:shape id="Text Box 61" o:spid="_x0000_s1030" type="#_x0000_t202" style="position:absolute;width:62865;height:7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6F146B" w:rsidRDefault="006F146B" w:rsidP="003267F0">
                              <w:pPr>
                                <w:pStyle w:val="Header"/>
                                <w:tabs>
                                  <w:tab w:val="clear" w:pos="4536"/>
                                  <w:tab w:val="clear" w:pos="9072"/>
                                  <w:tab w:val="left" w:pos="284"/>
                                </w:tabs>
                                <w:jc w:val="center"/>
                                <w:rPr>
                                  <w:rFonts w:ascii="Times New Roman" w:hAnsi="Times New Roman"/>
                                  <w:sz w:val="22"/>
                                  <w:szCs w:val="22"/>
                                  <w:lang w:val="sr-Latn-CS"/>
                                </w:rPr>
                              </w:pPr>
                              <w:r>
                                <w:rPr>
                                  <w:rFonts w:ascii="Times New Roman" w:hAnsi="Times New Roman"/>
                                  <w:sz w:val="22"/>
                                  <w:szCs w:val="22"/>
                                  <w:lang w:val="sr-Latn-CS"/>
                                </w:rPr>
                                <w:t>150 i.j./kg 3x/nedjeljno</w:t>
                              </w:r>
                            </w:p>
                            <w:p w:rsidR="006F146B" w:rsidRDefault="006F146B" w:rsidP="003267F0">
                              <w:pPr>
                                <w:pStyle w:val="Header"/>
                                <w:tabs>
                                  <w:tab w:val="clear" w:pos="4536"/>
                                  <w:tab w:val="clear" w:pos="9072"/>
                                  <w:tab w:val="left" w:pos="284"/>
                                </w:tabs>
                                <w:jc w:val="center"/>
                                <w:rPr>
                                  <w:rFonts w:ascii="Times New Roman" w:hAnsi="Times New Roman"/>
                                  <w:sz w:val="22"/>
                                  <w:szCs w:val="22"/>
                                  <w:lang w:val="sr-Latn-CS"/>
                                </w:rPr>
                              </w:pPr>
                              <w:r>
                                <w:rPr>
                                  <w:rFonts w:ascii="Times New Roman" w:hAnsi="Times New Roman"/>
                                  <w:sz w:val="22"/>
                                  <w:szCs w:val="22"/>
                                  <w:lang w:val="sr-Latn-CS"/>
                                </w:rPr>
                                <w:t>ili 450 i.j./kg 1x/nedjeljno</w:t>
                              </w:r>
                            </w:p>
                            <w:p w:rsidR="006F146B" w:rsidRDefault="006F146B" w:rsidP="007128A8">
                              <w:pPr>
                                <w:pStyle w:val="Header"/>
                                <w:tabs>
                                  <w:tab w:val="clear" w:pos="4536"/>
                                  <w:tab w:val="clear" w:pos="9072"/>
                                  <w:tab w:val="left" w:pos="284"/>
                                </w:tabs>
                                <w:jc w:val="center"/>
                                <w:rPr>
                                  <w:rFonts w:ascii="Times New Roman" w:hAnsi="Times New Roman"/>
                                  <w:sz w:val="22"/>
                                  <w:szCs w:val="22"/>
                                  <w:lang w:val="sr-Latn-CS"/>
                                </w:rPr>
                              </w:pPr>
                            </w:p>
                            <w:p w:rsidR="006F146B" w:rsidRDefault="006F146B" w:rsidP="007128A8">
                              <w:pPr>
                                <w:pStyle w:val="Header"/>
                                <w:tabs>
                                  <w:tab w:val="clear" w:pos="4536"/>
                                  <w:tab w:val="clear" w:pos="9072"/>
                                  <w:tab w:val="left" w:pos="284"/>
                                </w:tabs>
                                <w:jc w:val="center"/>
                                <w:rPr>
                                  <w:rFonts w:ascii="Times New Roman" w:hAnsi="Times New Roman"/>
                                  <w:sz w:val="22"/>
                                  <w:szCs w:val="22"/>
                                  <w:lang w:val="sr-Latn-CS"/>
                                </w:rPr>
                              </w:pPr>
                              <w:r>
                                <w:rPr>
                                  <w:rFonts w:ascii="Times New Roman" w:hAnsi="Times New Roman"/>
                                  <w:sz w:val="22"/>
                                  <w:szCs w:val="22"/>
                                  <w:lang w:val="sr-Latn-CS"/>
                                </w:rPr>
                                <w:t>za 4 nedjelje</w:t>
                              </w:r>
                            </w:p>
                            <w:p w:rsidR="006F146B" w:rsidRDefault="006F146B" w:rsidP="003267F0"/>
                          </w:txbxContent>
                        </v:textbox>
                      </v:shape>
                      <v:line id="Line 62" o:spid="_x0000_s1031" style="position:absolute;flip:x;visibility:visible;mso-wrap-style:square" from="22858,6854" to="26289,6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63" o:spid="_x0000_s1032" style="position:absolute;visibility:visible;mso-wrap-style:square" from="35431,6854" to="40006,6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4" o:spid="_x0000_s1033" style="position:absolute;visibility:visible;mso-wrap-style:square" from="22858,6854" to="2286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65" o:spid="_x0000_s1034" style="position:absolute;visibility:visible;mso-wrap-style:square" from="40006,6854" to="40015,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Text Box 66" o:spid="_x0000_s1035" type="#_x0000_t202" style="position:absolute;top:12573;width:62865;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Porast broja retikulocita za ≥40,000/μl                       Porast broja retikulocita za &lt;40,000/μl                                        </w:t>
                              </w:r>
                            </w:p>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ili porast koncentracije Hb za ≥1 g/dl                       ili porast koncentracije Hb za &lt;1 g/dl          </w:t>
                              </w:r>
                            </w:p>
                            <w:p w:rsidR="006F146B" w:rsidRDefault="006F146B" w:rsidP="003267F0"/>
                          </w:txbxContent>
                        </v:textbox>
                      </v:shape>
                      <v:line id="Line 67" o:spid="_x0000_s1036" style="position:absolute;visibility:visible;mso-wrap-style:square" from="22858,17149" to="22867,2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68" o:spid="_x0000_s1037" style="position:absolute;visibility:visible;mso-wrap-style:square" from="40006,17149" to="40015,2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69" o:spid="_x0000_s1038" type="#_x0000_t202" style="position:absolute;top:21715;width:62865;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Ciljnji Hb                               300 i.j./kg</w:t>
                              </w:r>
                            </w:p>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(oko 12 g/dl&lt;)                            3x/nedjeljno</w:t>
                              </w:r>
                            </w:p>
                            <w:p w:rsidR="006F146B" w:rsidRDefault="006F146B" w:rsidP="003267F0">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                                                                                                    tokom 4 nedjelje</w:t>
                              </w:r>
                            </w:p>
                            <w:p w:rsidR="006F146B" w:rsidRPr="003267F0" w:rsidRDefault="006F146B">
                              <w:pPr>
                                <w:rPr>
                                  <w:lang w:val="sr-Latn-CS"/>
                                </w:rPr>
                              </w:pPr>
                            </w:p>
                          </w:txbxContent>
                        </v:textbox>
                      </v:shape>
                      <v:line id="Line 70" o:spid="_x0000_s1039" style="position:absolute;flip:y;visibility:visible;mso-wrap-style:square" from="22858,27434" to="22858,30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71" o:spid="_x0000_s1040" style="position:absolute;visibility:visible;mso-wrap-style:square" from="40006,27434" to="40015,3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75" o:spid="_x0000_s1041" style="position:absolute;flip:x;visibility:visible;mso-wrap-style:square" from="29721,34289" to="40006,3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shape id="Text Box 104" o:spid="_x0000_s1042" type="#_x0000_t202" style="position:absolute;left:35379;top:38471;width:27486;height:4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6F146B" w:rsidRDefault="006F146B" w:rsidP="007128A8">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 xml:space="preserve">Porast broja retikulocita za &lt;40,000/μl                                                                                                         ili porast koncentracije Hb za &lt;1 g/dl  </w:t>
                              </w:r>
                            </w:p>
                            <w:p w:rsidR="006F146B" w:rsidRPr="007128A8" w:rsidRDefault="006F146B">
                              <w:pPr>
                                <w:rPr>
                                  <w:lang w:val="sr-Latn-CS"/>
                                </w:rPr>
                              </w:pPr>
                            </w:p>
                          </w:txbxContent>
                        </v:textbox>
                      </v:shape>
                      <v:line id="Line 105" o:spid="_x0000_s1043" style="position:absolute;visibility:visible;mso-wrap-style:square" from="40006,43440" to="40015,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anchorlock/>
                    </v:group>
                  </w:pict>
                </mc:Fallback>
              </mc:AlternateContent>
            </w:r>
          </w:p>
          <w:p w:rsidR="001603FA" w:rsidRPr="0016092F" w:rsidRDefault="001603FA" w:rsidP="006F146B">
            <w:pPr>
              <w:pStyle w:val="Header"/>
              <w:tabs>
                <w:tab w:val="clear" w:pos="4536"/>
                <w:tab w:val="clear" w:pos="9072"/>
                <w:tab w:val="left" w:pos="284"/>
              </w:tabs>
              <w:rPr>
                <w:rFonts w:ascii="Times New Roman" w:hAnsi="Times New Roman"/>
                <w:sz w:val="22"/>
                <w:szCs w:val="22"/>
              </w:rPr>
            </w:pPr>
          </w:p>
          <w:p w:rsidR="00A81776" w:rsidRPr="0016092F" w:rsidRDefault="00A81776" w:rsidP="006F146B">
            <w:pPr>
              <w:pStyle w:val="Header"/>
              <w:tabs>
                <w:tab w:val="clear" w:pos="4536"/>
                <w:tab w:val="clear" w:pos="9072"/>
                <w:tab w:val="left" w:pos="284"/>
              </w:tabs>
              <w:rPr>
                <w:rFonts w:ascii="Times New Roman" w:hAnsi="Times New Roman"/>
                <w:sz w:val="22"/>
                <w:szCs w:val="22"/>
              </w:rPr>
            </w:pPr>
          </w:p>
          <w:p w:rsidR="00A81776" w:rsidRPr="0016092F" w:rsidRDefault="00A81776" w:rsidP="006F146B">
            <w:pPr>
              <w:pStyle w:val="Header"/>
              <w:tabs>
                <w:tab w:val="clear" w:pos="4536"/>
                <w:tab w:val="clear" w:pos="9072"/>
                <w:tab w:val="left" w:pos="284"/>
              </w:tabs>
              <w:rPr>
                <w:rFonts w:ascii="Times New Roman" w:hAnsi="Times New Roman"/>
                <w:sz w:val="22"/>
                <w:szCs w:val="22"/>
              </w:rPr>
            </w:pPr>
          </w:p>
          <w:p w:rsidR="000E326B" w:rsidRPr="0016092F" w:rsidRDefault="000E32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Pacijente treba pažljivo pratiti da bi bili sigurni da se prim</w:t>
            </w:r>
            <w:r w:rsidR="004002B1" w:rsidRPr="0016092F">
              <w:rPr>
                <w:rFonts w:ascii="Times New Roman" w:hAnsi="Times New Roman"/>
                <w:sz w:val="22"/>
                <w:szCs w:val="22"/>
              </w:rPr>
              <w:t>j</w:t>
            </w:r>
            <w:r w:rsidRPr="0016092F">
              <w:rPr>
                <w:rFonts w:ascii="Times New Roman" w:hAnsi="Times New Roman"/>
                <w:sz w:val="22"/>
                <w:szCs w:val="22"/>
              </w:rPr>
              <w:t>enjuje najniža dozvoljena doza epoetina alfa koja omogućava odgovarajuću kontrolu simptoma anemije.</w:t>
            </w:r>
          </w:p>
          <w:p w:rsidR="00C45D69" w:rsidRPr="0016092F" w:rsidRDefault="00C45D69"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Terapiju epoetinom alfa treba nastaviti i m</w:t>
            </w:r>
            <w:r w:rsidR="004002B1" w:rsidRPr="0016092F">
              <w:rPr>
                <w:rFonts w:ascii="Times New Roman" w:hAnsi="Times New Roman"/>
                <w:sz w:val="22"/>
                <w:szCs w:val="22"/>
              </w:rPr>
              <w:t>j</w:t>
            </w:r>
            <w:r w:rsidRPr="0016092F">
              <w:rPr>
                <w:rFonts w:ascii="Times New Roman" w:hAnsi="Times New Roman"/>
                <w:sz w:val="22"/>
                <w:szCs w:val="22"/>
              </w:rPr>
              <w:t>esec dana nakon završetka hemoterapije.</w:t>
            </w:r>
          </w:p>
          <w:p w:rsidR="00DF6C29" w:rsidRPr="0016092F" w:rsidRDefault="00DF6C29" w:rsidP="006F146B">
            <w:pPr>
              <w:pStyle w:val="Header"/>
              <w:tabs>
                <w:tab w:val="clear" w:pos="4536"/>
                <w:tab w:val="clear" w:pos="9072"/>
                <w:tab w:val="left" w:pos="284"/>
              </w:tabs>
              <w:rPr>
                <w:rFonts w:ascii="Times New Roman" w:hAnsi="Times New Roman"/>
                <w:sz w:val="22"/>
                <w:szCs w:val="22"/>
              </w:rPr>
            </w:pPr>
          </w:p>
          <w:p w:rsidR="00C45D69" w:rsidRPr="0016092F" w:rsidRDefault="00C45D69"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 xml:space="preserve">Odrasli hirurški pacijenti u programu </w:t>
            </w:r>
            <w:r w:rsidR="0048375F" w:rsidRPr="0016092F">
              <w:rPr>
                <w:rFonts w:ascii="Times New Roman" w:hAnsi="Times New Roman"/>
                <w:sz w:val="22"/>
                <w:szCs w:val="22"/>
                <w:u w:val="single"/>
              </w:rPr>
              <w:t>PAK</w:t>
            </w:r>
          </w:p>
          <w:p w:rsidR="00C45D69" w:rsidRPr="0016092F" w:rsidRDefault="00C45D69" w:rsidP="006F146B">
            <w:pPr>
              <w:pStyle w:val="Header"/>
              <w:tabs>
                <w:tab w:val="clear" w:pos="4536"/>
                <w:tab w:val="clear" w:pos="9072"/>
                <w:tab w:val="left" w:pos="284"/>
              </w:tabs>
              <w:rPr>
                <w:rFonts w:ascii="Times New Roman" w:hAnsi="Times New Roman"/>
                <w:sz w:val="22"/>
                <w:szCs w:val="22"/>
              </w:rPr>
            </w:pPr>
          </w:p>
          <w:p w:rsidR="00DF6C29" w:rsidRPr="0016092F" w:rsidRDefault="00C45D6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Pacijenti sa blagom anemijom (hematokrit 33-39%) </w:t>
            </w:r>
            <w:r w:rsidR="00CC1AE8" w:rsidRPr="0016092F">
              <w:rPr>
                <w:rFonts w:ascii="Times New Roman" w:hAnsi="Times New Roman"/>
                <w:sz w:val="22"/>
                <w:szCs w:val="22"/>
              </w:rPr>
              <w:t>kojima je potrebna rezerva od ≥4 jedinice krvi treba l</w:t>
            </w:r>
            <w:r w:rsidR="004002B1" w:rsidRPr="0016092F">
              <w:rPr>
                <w:rFonts w:ascii="Times New Roman" w:hAnsi="Times New Roman"/>
                <w:sz w:val="22"/>
                <w:szCs w:val="22"/>
              </w:rPr>
              <w:t>ij</w:t>
            </w:r>
            <w:r w:rsidR="00CC1AE8" w:rsidRPr="0016092F">
              <w:rPr>
                <w:rFonts w:ascii="Times New Roman" w:hAnsi="Times New Roman"/>
                <w:sz w:val="22"/>
                <w:szCs w:val="22"/>
              </w:rPr>
              <w:t xml:space="preserve">ečiti </w:t>
            </w:r>
            <w:r w:rsidR="00627B6C" w:rsidRPr="0016092F">
              <w:rPr>
                <w:rFonts w:ascii="Times New Roman" w:hAnsi="Times New Roman"/>
                <w:sz w:val="22"/>
                <w:szCs w:val="22"/>
              </w:rPr>
              <w:t>l</w:t>
            </w:r>
            <w:r w:rsidR="004002B1" w:rsidRPr="0016092F">
              <w:rPr>
                <w:rFonts w:ascii="Times New Roman" w:hAnsi="Times New Roman"/>
                <w:sz w:val="22"/>
                <w:szCs w:val="22"/>
              </w:rPr>
              <w:t>ij</w:t>
            </w:r>
            <w:r w:rsidR="00627B6C" w:rsidRPr="0016092F">
              <w:rPr>
                <w:rFonts w:ascii="Times New Roman" w:hAnsi="Times New Roman"/>
                <w:sz w:val="22"/>
                <w:szCs w:val="22"/>
              </w:rPr>
              <w:t>ekom Binocrit</w:t>
            </w:r>
            <w:r w:rsidR="00CC1AE8" w:rsidRPr="0016092F">
              <w:rPr>
                <w:rFonts w:ascii="Times New Roman" w:hAnsi="Times New Roman"/>
                <w:sz w:val="22"/>
                <w:szCs w:val="22"/>
              </w:rPr>
              <w:t xml:space="preserve"> u dozi od 600 i.j./kg, dva puta ned</w:t>
            </w:r>
            <w:r w:rsidR="004002B1" w:rsidRPr="0016092F">
              <w:rPr>
                <w:rFonts w:ascii="Times New Roman" w:hAnsi="Times New Roman"/>
                <w:sz w:val="22"/>
                <w:szCs w:val="22"/>
              </w:rPr>
              <w:t>j</w:t>
            </w:r>
            <w:r w:rsidR="00CC1AE8" w:rsidRPr="0016092F">
              <w:rPr>
                <w:rFonts w:ascii="Times New Roman" w:hAnsi="Times New Roman"/>
                <w:sz w:val="22"/>
                <w:szCs w:val="22"/>
              </w:rPr>
              <w:t>eljno, tokom 3 ned</w:t>
            </w:r>
            <w:r w:rsidR="004002B1" w:rsidRPr="0016092F">
              <w:rPr>
                <w:rFonts w:ascii="Times New Roman" w:hAnsi="Times New Roman"/>
                <w:sz w:val="22"/>
                <w:szCs w:val="22"/>
              </w:rPr>
              <w:t>j</w:t>
            </w:r>
            <w:r w:rsidR="00CC1AE8" w:rsidRPr="0016092F">
              <w:rPr>
                <w:rFonts w:ascii="Times New Roman" w:hAnsi="Times New Roman"/>
                <w:sz w:val="22"/>
                <w:szCs w:val="22"/>
              </w:rPr>
              <w:t>elje pr</w:t>
            </w:r>
            <w:r w:rsidR="004002B1" w:rsidRPr="0016092F">
              <w:rPr>
                <w:rFonts w:ascii="Times New Roman" w:hAnsi="Times New Roman"/>
                <w:sz w:val="22"/>
                <w:szCs w:val="22"/>
              </w:rPr>
              <w:t>ij</w:t>
            </w:r>
            <w:r w:rsidR="00CC1AE8" w:rsidRPr="0016092F">
              <w:rPr>
                <w:rFonts w:ascii="Times New Roman" w:hAnsi="Times New Roman"/>
                <w:sz w:val="22"/>
                <w:szCs w:val="22"/>
              </w:rPr>
              <w:t xml:space="preserve">e </w:t>
            </w:r>
            <w:r w:rsidR="00EB0E9E" w:rsidRPr="0016092F">
              <w:rPr>
                <w:rFonts w:ascii="Times New Roman" w:hAnsi="Times New Roman"/>
                <w:sz w:val="22"/>
                <w:szCs w:val="22"/>
              </w:rPr>
              <w:t>hirurške intervencije</w:t>
            </w:r>
            <w:r w:rsidR="00CC1AE8" w:rsidRPr="0016092F">
              <w:rPr>
                <w:rFonts w:ascii="Times New Roman" w:hAnsi="Times New Roman"/>
                <w:sz w:val="22"/>
                <w:szCs w:val="22"/>
              </w:rPr>
              <w:t>.</w:t>
            </w:r>
            <w:r w:rsidR="00DF6C29" w:rsidRPr="0016092F">
              <w:rPr>
                <w:rFonts w:ascii="Times New Roman" w:hAnsi="Times New Roman"/>
                <w:sz w:val="22"/>
                <w:szCs w:val="22"/>
              </w:rPr>
              <w:t xml:space="preserve"> </w:t>
            </w: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vr</w:t>
            </w:r>
            <w:r w:rsidR="004002B1" w:rsidRPr="0016092F">
              <w:rPr>
                <w:rFonts w:ascii="Times New Roman" w:hAnsi="Times New Roman"/>
                <w:sz w:val="22"/>
                <w:szCs w:val="22"/>
              </w:rPr>
              <w:t>ij</w:t>
            </w:r>
            <w:r w:rsidRPr="0016092F">
              <w:rPr>
                <w:rFonts w:ascii="Times New Roman" w:hAnsi="Times New Roman"/>
                <w:sz w:val="22"/>
                <w:szCs w:val="22"/>
              </w:rPr>
              <w:t>eme doniranja krvi, l</w:t>
            </w:r>
            <w:r w:rsidR="004002B1" w:rsidRPr="0016092F">
              <w:rPr>
                <w:rFonts w:ascii="Times New Roman" w:hAnsi="Times New Roman"/>
                <w:sz w:val="22"/>
                <w:szCs w:val="22"/>
              </w:rPr>
              <w:t>ij</w:t>
            </w:r>
            <w:r w:rsidRPr="0016092F">
              <w:rPr>
                <w:rFonts w:ascii="Times New Roman" w:hAnsi="Times New Roman"/>
                <w:sz w:val="22"/>
                <w:szCs w:val="22"/>
              </w:rPr>
              <w:t>ek Binocrit treba prim</w:t>
            </w:r>
            <w:r w:rsidR="004002B1" w:rsidRPr="0016092F">
              <w:rPr>
                <w:rFonts w:ascii="Times New Roman" w:hAnsi="Times New Roman"/>
                <w:sz w:val="22"/>
                <w:szCs w:val="22"/>
              </w:rPr>
              <w:t>ij</w:t>
            </w:r>
            <w:r w:rsidRPr="0016092F">
              <w:rPr>
                <w:rFonts w:ascii="Times New Roman" w:hAnsi="Times New Roman"/>
                <w:sz w:val="22"/>
                <w:szCs w:val="22"/>
              </w:rPr>
              <w:t>eniti nakon završetka procedure donacije krvi.</w:t>
            </w:r>
          </w:p>
          <w:p w:rsidR="00F112F5" w:rsidRPr="0016092F" w:rsidRDefault="00F112F5" w:rsidP="006F146B">
            <w:pPr>
              <w:pStyle w:val="Header"/>
              <w:tabs>
                <w:tab w:val="clear" w:pos="4536"/>
                <w:tab w:val="clear" w:pos="9072"/>
                <w:tab w:val="left" w:pos="284"/>
              </w:tabs>
              <w:rPr>
                <w:rFonts w:ascii="Times New Roman" w:hAnsi="Times New Roman"/>
                <w:sz w:val="22"/>
                <w:szCs w:val="22"/>
              </w:rPr>
            </w:pPr>
          </w:p>
          <w:p w:rsidR="00F112F5" w:rsidRPr="0016092F" w:rsidRDefault="00EB0E9E"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Odrasli pacijenti koji su na progamu</w:t>
            </w:r>
            <w:r w:rsidR="00F112F5" w:rsidRPr="0016092F">
              <w:rPr>
                <w:rFonts w:ascii="Times New Roman" w:hAnsi="Times New Roman"/>
                <w:sz w:val="22"/>
                <w:szCs w:val="22"/>
                <w:u w:val="single"/>
              </w:rPr>
              <w:t xml:space="preserve"> za velike elektivne ortopetske hirurške zahvate</w:t>
            </w:r>
          </w:p>
          <w:p w:rsidR="00F112F5" w:rsidRPr="0016092F" w:rsidRDefault="00F112F5" w:rsidP="006F146B">
            <w:pPr>
              <w:pStyle w:val="Header"/>
              <w:tabs>
                <w:tab w:val="clear" w:pos="4536"/>
                <w:tab w:val="clear" w:pos="9072"/>
                <w:tab w:val="left" w:pos="284"/>
              </w:tabs>
              <w:rPr>
                <w:rFonts w:ascii="Times New Roman" w:hAnsi="Times New Roman"/>
                <w:sz w:val="22"/>
                <w:szCs w:val="22"/>
              </w:rPr>
            </w:pPr>
          </w:p>
          <w:p w:rsidR="00180365" w:rsidRPr="0016092F" w:rsidRDefault="00F112F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Preporučena doza je 600 i.j./kg epoetina alfa, jednom ned</w:t>
            </w:r>
            <w:r w:rsidR="004002B1" w:rsidRPr="0016092F">
              <w:rPr>
                <w:rFonts w:ascii="Times New Roman" w:hAnsi="Times New Roman"/>
                <w:sz w:val="22"/>
                <w:szCs w:val="22"/>
              </w:rPr>
              <w:t>j</w:t>
            </w:r>
            <w:r w:rsidRPr="0016092F">
              <w:rPr>
                <w:rFonts w:ascii="Times New Roman" w:hAnsi="Times New Roman"/>
                <w:sz w:val="22"/>
                <w:szCs w:val="22"/>
              </w:rPr>
              <w:t>eljno, tokom 3 ned</w:t>
            </w:r>
            <w:r w:rsidR="004002B1" w:rsidRPr="0016092F">
              <w:rPr>
                <w:rFonts w:ascii="Times New Roman" w:hAnsi="Times New Roman"/>
                <w:sz w:val="22"/>
                <w:szCs w:val="22"/>
              </w:rPr>
              <w:t>j</w:t>
            </w:r>
            <w:r w:rsidRPr="0016092F">
              <w:rPr>
                <w:rFonts w:ascii="Times New Roman" w:hAnsi="Times New Roman"/>
                <w:sz w:val="22"/>
                <w:szCs w:val="22"/>
              </w:rPr>
              <w:t>elje (</w:t>
            </w:r>
            <w:r w:rsidR="00264AC2" w:rsidRPr="0016092F">
              <w:rPr>
                <w:rFonts w:ascii="Times New Roman" w:hAnsi="Times New Roman"/>
                <w:sz w:val="22"/>
                <w:szCs w:val="22"/>
              </w:rPr>
              <w:t>-</w:t>
            </w:r>
            <w:r w:rsidRPr="0016092F">
              <w:rPr>
                <w:rFonts w:ascii="Times New Roman" w:hAnsi="Times New Roman"/>
                <w:sz w:val="22"/>
                <w:szCs w:val="22"/>
              </w:rPr>
              <w:t xml:space="preserve">21., </w:t>
            </w:r>
            <w:r w:rsidR="00264AC2" w:rsidRPr="0016092F">
              <w:rPr>
                <w:rFonts w:ascii="Times New Roman" w:hAnsi="Times New Roman"/>
                <w:sz w:val="22"/>
                <w:szCs w:val="22"/>
              </w:rPr>
              <w:t>-</w:t>
            </w:r>
            <w:r w:rsidRPr="0016092F">
              <w:rPr>
                <w:rFonts w:ascii="Times New Roman" w:hAnsi="Times New Roman"/>
                <w:sz w:val="22"/>
                <w:szCs w:val="22"/>
              </w:rPr>
              <w:t xml:space="preserve">14. i </w:t>
            </w:r>
            <w:r w:rsidR="00264AC2" w:rsidRPr="0016092F">
              <w:rPr>
                <w:rFonts w:ascii="Times New Roman" w:hAnsi="Times New Roman"/>
                <w:sz w:val="22"/>
                <w:szCs w:val="22"/>
              </w:rPr>
              <w:t>-</w:t>
            </w:r>
            <w:r w:rsidRPr="0016092F">
              <w:rPr>
                <w:rFonts w:ascii="Times New Roman" w:hAnsi="Times New Roman"/>
                <w:sz w:val="22"/>
                <w:szCs w:val="22"/>
              </w:rPr>
              <w:t>7. dan) pr</w:t>
            </w:r>
            <w:r w:rsidR="004002B1" w:rsidRPr="0016092F">
              <w:rPr>
                <w:rFonts w:ascii="Times New Roman" w:hAnsi="Times New Roman"/>
                <w:sz w:val="22"/>
                <w:szCs w:val="22"/>
              </w:rPr>
              <w:t>ij</w:t>
            </w:r>
            <w:r w:rsidRPr="0016092F">
              <w:rPr>
                <w:rFonts w:ascii="Times New Roman" w:hAnsi="Times New Roman"/>
                <w:sz w:val="22"/>
                <w:szCs w:val="22"/>
              </w:rPr>
              <w:t>e operacije i na dan operacije (</w:t>
            </w:r>
            <w:r w:rsidR="001459D7" w:rsidRPr="0016092F">
              <w:rPr>
                <w:rFonts w:ascii="Times New Roman" w:hAnsi="Times New Roman"/>
                <w:sz w:val="22"/>
                <w:szCs w:val="22"/>
              </w:rPr>
              <w:t xml:space="preserve">0. </w:t>
            </w:r>
            <w:r w:rsidRPr="0016092F">
              <w:rPr>
                <w:rFonts w:ascii="Times New Roman" w:hAnsi="Times New Roman"/>
                <w:sz w:val="22"/>
                <w:szCs w:val="22"/>
              </w:rPr>
              <w:t xml:space="preserve">dan). </w:t>
            </w:r>
          </w:p>
          <w:p w:rsidR="00180365" w:rsidRPr="0016092F" w:rsidRDefault="00180365" w:rsidP="006F146B">
            <w:pPr>
              <w:pStyle w:val="Header"/>
              <w:tabs>
                <w:tab w:val="clear" w:pos="4536"/>
                <w:tab w:val="clear" w:pos="9072"/>
                <w:tab w:val="left" w:pos="284"/>
              </w:tabs>
              <w:rPr>
                <w:rFonts w:ascii="Times New Roman" w:hAnsi="Times New Roman"/>
                <w:sz w:val="22"/>
                <w:szCs w:val="22"/>
              </w:rPr>
            </w:pPr>
          </w:p>
          <w:p w:rsidR="00180365" w:rsidRPr="0016092F" w:rsidRDefault="0036604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U situacijama kada je, iz medicinskih razloga, neophodno skratiti vr</w:t>
            </w:r>
            <w:r w:rsidR="004002B1" w:rsidRPr="0016092F">
              <w:rPr>
                <w:rFonts w:ascii="Times New Roman" w:hAnsi="Times New Roman"/>
                <w:sz w:val="22"/>
                <w:szCs w:val="22"/>
              </w:rPr>
              <w:t>ij</w:t>
            </w:r>
            <w:r w:rsidRPr="0016092F">
              <w:rPr>
                <w:rFonts w:ascii="Times New Roman" w:hAnsi="Times New Roman"/>
                <w:sz w:val="22"/>
                <w:szCs w:val="22"/>
              </w:rPr>
              <w:t>eme do operacije na manje od 3 ned</w:t>
            </w:r>
            <w:r w:rsidR="004002B1" w:rsidRPr="0016092F">
              <w:rPr>
                <w:rFonts w:ascii="Times New Roman" w:hAnsi="Times New Roman"/>
                <w:sz w:val="22"/>
                <w:szCs w:val="22"/>
              </w:rPr>
              <w:t>j</w:t>
            </w:r>
            <w:r w:rsidRPr="0016092F">
              <w:rPr>
                <w:rFonts w:ascii="Times New Roman" w:hAnsi="Times New Roman"/>
                <w:sz w:val="22"/>
                <w:szCs w:val="22"/>
              </w:rPr>
              <w:t>elje, potrebno je primeniti 300 i.j./kg dnevno, tokom 10 uzastopnih dana pr</w:t>
            </w:r>
            <w:r w:rsidR="004002B1" w:rsidRPr="0016092F">
              <w:rPr>
                <w:rFonts w:ascii="Times New Roman" w:hAnsi="Times New Roman"/>
                <w:sz w:val="22"/>
                <w:szCs w:val="22"/>
              </w:rPr>
              <w:t>ij</w:t>
            </w:r>
            <w:r w:rsidRPr="0016092F">
              <w:rPr>
                <w:rFonts w:ascii="Times New Roman" w:hAnsi="Times New Roman"/>
                <w:sz w:val="22"/>
                <w:szCs w:val="22"/>
              </w:rPr>
              <w:t xml:space="preserve">e operacije, na dan operacije i 4 dana </w:t>
            </w:r>
            <w:r w:rsidR="001459D7" w:rsidRPr="0016092F">
              <w:rPr>
                <w:rFonts w:ascii="Times New Roman" w:hAnsi="Times New Roman"/>
                <w:sz w:val="22"/>
                <w:szCs w:val="22"/>
              </w:rPr>
              <w:t xml:space="preserve">neposredno </w:t>
            </w:r>
            <w:r w:rsidRPr="0016092F">
              <w:rPr>
                <w:rFonts w:ascii="Times New Roman" w:hAnsi="Times New Roman"/>
                <w:sz w:val="22"/>
                <w:szCs w:val="22"/>
              </w:rPr>
              <w:t xml:space="preserve">nakon operacije. </w:t>
            </w:r>
          </w:p>
          <w:p w:rsidR="00180365" w:rsidRPr="0016092F" w:rsidRDefault="00180365" w:rsidP="006F146B">
            <w:pPr>
              <w:pStyle w:val="Header"/>
              <w:tabs>
                <w:tab w:val="clear" w:pos="4536"/>
                <w:tab w:val="clear" w:pos="9072"/>
                <w:tab w:val="left" w:pos="284"/>
              </w:tabs>
              <w:rPr>
                <w:rFonts w:ascii="Times New Roman" w:hAnsi="Times New Roman"/>
                <w:sz w:val="22"/>
                <w:szCs w:val="22"/>
              </w:rPr>
            </w:pPr>
          </w:p>
          <w:p w:rsidR="00F112F5" w:rsidRPr="0016092F" w:rsidRDefault="0036604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Ako vr</w:t>
            </w:r>
            <w:r w:rsidR="004002B1" w:rsidRPr="0016092F">
              <w:rPr>
                <w:rFonts w:ascii="Times New Roman" w:hAnsi="Times New Roman"/>
                <w:sz w:val="22"/>
                <w:szCs w:val="22"/>
              </w:rPr>
              <w:t>ij</w:t>
            </w:r>
            <w:r w:rsidRPr="0016092F">
              <w:rPr>
                <w:rFonts w:ascii="Times New Roman" w:hAnsi="Times New Roman"/>
                <w:sz w:val="22"/>
                <w:szCs w:val="22"/>
              </w:rPr>
              <w:t>ednosti Hb, prema hematološkoj proc</w:t>
            </w:r>
            <w:r w:rsidR="004002B1" w:rsidRPr="0016092F">
              <w:rPr>
                <w:rFonts w:ascii="Times New Roman" w:hAnsi="Times New Roman"/>
                <w:sz w:val="22"/>
                <w:szCs w:val="22"/>
              </w:rPr>
              <w:t>j</w:t>
            </w:r>
            <w:r w:rsidRPr="0016092F">
              <w:rPr>
                <w:rFonts w:ascii="Times New Roman" w:hAnsi="Times New Roman"/>
                <w:sz w:val="22"/>
                <w:szCs w:val="22"/>
              </w:rPr>
              <w:t>eni tokom preoperativnog perioda, dosti</w:t>
            </w:r>
            <w:r w:rsidR="00582717" w:rsidRPr="0016092F">
              <w:rPr>
                <w:rFonts w:ascii="Times New Roman" w:hAnsi="Times New Roman"/>
                <w:sz w:val="22"/>
                <w:szCs w:val="22"/>
              </w:rPr>
              <w:t>gnu vr</w:t>
            </w:r>
            <w:r w:rsidR="004002B1" w:rsidRPr="0016092F">
              <w:rPr>
                <w:rFonts w:ascii="Times New Roman" w:hAnsi="Times New Roman"/>
                <w:sz w:val="22"/>
                <w:szCs w:val="22"/>
              </w:rPr>
              <w:t>ij</w:t>
            </w:r>
            <w:r w:rsidR="00582717" w:rsidRPr="0016092F">
              <w:rPr>
                <w:rFonts w:ascii="Times New Roman" w:hAnsi="Times New Roman"/>
                <w:sz w:val="22"/>
                <w:szCs w:val="22"/>
              </w:rPr>
              <w:t>ednosti od 15 g/dl (9.</w:t>
            </w:r>
            <w:r w:rsidRPr="0016092F">
              <w:rPr>
                <w:rFonts w:ascii="Times New Roman" w:hAnsi="Times New Roman"/>
                <w:sz w:val="22"/>
                <w:szCs w:val="22"/>
              </w:rPr>
              <w:t>38 mmol/l), ili više, potrebno je zaustaviti prim</w:t>
            </w:r>
            <w:r w:rsidR="004002B1" w:rsidRPr="0016092F">
              <w:rPr>
                <w:rFonts w:ascii="Times New Roman" w:hAnsi="Times New Roman"/>
                <w:sz w:val="22"/>
                <w:szCs w:val="22"/>
              </w:rPr>
              <w:t>j</w:t>
            </w:r>
            <w:r w:rsidRPr="0016092F">
              <w:rPr>
                <w:rFonts w:ascii="Times New Roman" w:hAnsi="Times New Roman"/>
                <w:sz w:val="22"/>
                <w:szCs w:val="22"/>
              </w:rPr>
              <w:t>enu epoetina alfa, a dalje doze ne treba prim</w:t>
            </w:r>
            <w:r w:rsidR="004002B1" w:rsidRPr="0016092F">
              <w:rPr>
                <w:rFonts w:ascii="Times New Roman" w:hAnsi="Times New Roman"/>
                <w:sz w:val="22"/>
                <w:szCs w:val="22"/>
              </w:rPr>
              <w:t>j</w:t>
            </w:r>
            <w:r w:rsidRPr="0016092F">
              <w:rPr>
                <w:rFonts w:ascii="Times New Roman" w:hAnsi="Times New Roman"/>
                <w:sz w:val="22"/>
                <w:szCs w:val="22"/>
              </w:rPr>
              <w:t>enjivati.</w:t>
            </w:r>
          </w:p>
          <w:p w:rsidR="00366044" w:rsidRPr="0016092F" w:rsidRDefault="00366044"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b/>
                <w:sz w:val="22"/>
                <w:szCs w:val="22"/>
              </w:rPr>
            </w:pPr>
            <w:r w:rsidRPr="0016092F">
              <w:rPr>
                <w:rFonts w:ascii="Times New Roman" w:hAnsi="Times New Roman"/>
                <w:b/>
                <w:sz w:val="22"/>
                <w:szCs w:val="22"/>
              </w:rPr>
              <w:t>Pedijatrijska populacija</w:t>
            </w:r>
          </w:p>
          <w:p w:rsidR="00DF6C29" w:rsidRPr="0016092F" w:rsidRDefault="00DF6C29"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Terapija simptomatske anemije kod hronične insuficijencije bubrega ne hemodijalizi</w:t>
            </w: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Simptomi i posl</w:t>
            </w:r>
            <w:r w:rsidR="004002B1" w:rsidRPr="0016092F">
              <w:rPr>
                <w:rFonts w:ascii="Times New Roman" w:hAnsi="Times New Roman"/>
                <w:sz w:val="22"/>
                <w:szCs w:val="22"/>
              </w:rPr>
              <w:t>j</w:t>
            </w:r>
            <w:r w:rsidRPr="0016092F">
              <w:rPr>
                <w:rFonts w:ascii="Times New Roman" w:hAnsi="Times New Roman"/>
                <w:sz w:val="22"/>
                <w:szCs w:val="22"/>
              </w:rPr>
              <w:t>edice anemije mogu se razlikovati u zavisnosti od starosti, pola i istovremeno prisutnim oboljenjima; neophodno je da l</w:t>
            </w:r>
            <w:r w:rsidR="004002B1" w:rsidRPr="0016092F">
              <w:rPr>
                <w:rFonts w:ascii="Times New Roman" w:hAnsi="Times New Roman"/>
                <w:sz w:val="22"/>
                <w:szCs w:val="22"/>
              </w:rPr>
              <w:t>j</w:t>
            </w:r>
            <w:r w:rsidRPr="0016092F">
              <w:rPr>
                <w:rFonts w:ascii="Times New Roman" w:hAnsi="Times New Roman"/>
                <w:sz w:val="22"/>
                <w:szCs w:val="22"/>
              </w:rPr>
              <w:t>ekar proc</w:t>
            </w:r>
            <w:r w:rsidR="004002B1" w:rsidRPr="0016092F">
              <w:rPr>
                <w:rFonts w:ascii="Times New Roman" w:hAnsi="Times New Roman"/>
                <w:sz w:val="22"/>
                <w:szCs w:val="22"/>
              </w:rPr>
              <w:t>ij</w:t>
            </w:r>
            <w:r w:rsidRPr="0016092F">
              <w:rPr>
                <w:rFonts w:ascii="Times New Roman" w:hAnsi="Times New Roman"/>
                <w:sz w:val="22"/>
                <w:szCs w:val="22"/>
              </w:rPr>
              <w:t>eni  klinički tok i stanje svakog pacijenta ponaosob.</w:t>
            </w:r>
          </w:p>
          <w:p w:rsidR="00DF6C29" w:rsidRPr="0016092F" w:rsidRDefault="00DF6C29"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pedijatrijskih pacijenata preporučen je raspon kon</w:t>
            </w:r>
            <w:r w:rsidR="00180365" w:rsidRPr="0016092F">
              <w:rPr>
                <w:rFonts w:ascii="Times New Roman" w:hAnsi="Times New Roman"/>
                <w:sz w:val="22"/>
                <w:szCs w:val="22"/>
              </w:rPr>
              <w:t>c</w:t>
            </w:r>
            <w:r w:rsidRPr="0016092F">
              <w:rPr>
                <w:rFonts w:ascii="Times New Roman" w:hAnsi="Times New Roman"/>
                <w:sz w:val="22"/>
                <w:szCs w:val="22"/>
              </w:rPr>
              <w:t>ent</w:t>
            </w:r>
            <w:r w:rsidR="00180365" w:rsidRPr="0016092F">
              <w:rPr>
                <w:rFonts w:ascii="Times New Roman" w:hAnsi="Times New Roman"/>
                <w:sz w:val="22"/>
                <w:szCs w:val="22"/>
              </w:rPr>
              <w:t>a</w:t>
            </w:r>
            <w:r w:rsidRPr="0016092F">
              <w:rPr>
                <w:rFonts w:ascii="Times New Roman" w:hAnsi="Times New Roman"/>
                <w:sz w:val="22"/>
                <w:szCs w:val="22"/>
              </w:rPr>
              <w:t xml:space="preserve">rcije hemoglobina između 9,5 g/dl i 11 g/dl (5,9 i 6,8 mmol/l). </w:t>
            </w:r>
            <w:r w:rsidR="00A3188F" w:rsidRPr="0016092F">
              <w:rPr>
                <w:rFonts w:ascii="Times New Roman" w:hAnsi="Times New Roman"/>
                <w:sz w:val="22"/>
                <w:szCs w:val="22"/>
              </w:rPr>
              <w:t>Binocrit treba prim</w:t>
            </w:r>
            <w:r w:rsidR="004002B1" w:rsidRPr="0016092F">
              <w:rPr>
                <w:rFonts w:ascii="Times New Roman" w:hAnsi="Times New Roman"/>
                <w:sz w:val="22"/>
                <w:szCs w:val="22"/>
              </w:rPr>
              <w:t>j</w:t>
            </w:r>
            <w:r w:rsidR="00A3188F" w:rsidRPr="0016092F">
              <w:rPr>
                <w:rFonts w:ascii="Times New Roman" w:hAnsi="Times New Roman"/>
                <w:sz w:val="22"/>
                <w:szCs w:val="22"/>
              </w:rPr>
              <w:t>enjivati kako bi se vr</w:t>
            </w:r>
            <w:r w:rsidR="004002B1" w:rsidRPr="0016092F">
              <w:rPr>
                <w:rFonts w:ascii="Times New Roman" w:hAnsi="Times New Roman"/>
                <w:sz w:val="22"/>
                <w:szCs w:val="22"/>
              </w:rPr>
              <w:t>ij</w:t>
            </w:r>
            <w:r w:rsidR="00A3188F" w:rsidRPr="0016092F">
              <w:rPr>
                <w:rFonts w:ascii="Times New Roman" w:hAnsi="Times New Roman"/>
                <w:sz w:val="22"/>
                <w:szCs w:val="22"/>
              </w:rPr>
              <w:t>ednosti hemoglobina povećale do najviše 11 g/dl (6,8 mmol/l). Porast hemoglobina za više od 2 g/dl (1,25 mmol/l) tokom perioda od četiri ned</w:t>
            </w:r>
            <w:r w:rsidR="004002B1" w:rsidRPr="0016092F">
              <w:rPr>
                <w:rFonts w:ascii="Times New Roman" w:hAnsi="Times New Roman"/>
                <w:sz w:val="22"/>
                <w:szCs w:val="22"/>
              </w:rPr>
              <w:t>j</w:t>
            </w:r>
            <w:r w:rsidR="00A3188F" w:rsidRPr="0016092F">
              <w:rPr>
                <w:rFonts w:ascii="Times New Roman" w:hAnsi="Times New Roman"/>
                <w:sz w:val="22"/>
                <w:szCs w:val="22"/>
              </w:rPr>
              <w:t>elje treba izb</w:t>
            </w:r>
            <w:r w:rsidR="004002B1" w:rsidRPr="0016092F">
              <w:rPr>
                <w:rFonts w:ascii="Times New Roman" w:hAnsi="Times New Roman"/>
                <w:sz w:val="22"/>
                <w:szCs w:val="22"/>
              </w:rPr>
              <w:t>j</w:t>
            </w:r>
            <w:r w:rsidR="00A3188F" w:rsidRPr="0016092F">
              <w:rPr>
                <w:rFonts w:ascii="Times New Roman" w:hAnsi="Times New Roman"/>
                <w:sz w:val="22"/>
                <w:szCs w:val="22"/>
              </w:rPr>
              <w:t>egavati. Ako do njega dođe, potrebno je napraviti odgovarajuće prilagođavanje doze kako je navedeno.</w:t>
            </w:r>
          </w:p>
          <w:p w:rsidR="00A3188F" w:rsidRPr="0016092F" w:rsidRDefault="00A3188F" w:rsidP="006F146B">
            <w:pPr>
              <w:pStyle w:val="Header"/>
              <w:tabs>
                <w:tab w:val="clear" w:pos="4536"/>
                <w:tab w:val="clear" w:pos="9072"/>
                <w:tab w:val="left" w:pos="284"/>
              </w:tabs>
              <w:rPr>
                <w:rFonts w:ascii="Times New Roman" w:hAnsi="Times New Roman"/>
                <w:sz w:val="22"/>
                <w:szCs w:val="22"/>
              </w:rPr>
            </w:pPr>
          </w:p>
          <w:p w:rsidR="00A3188F" w:rsidRPr="0016092F" w:rsidRDefault="00A3188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Pacijente treba pažljivo pratiti kako bi se osigurala prim</w:t>
            </w:r>
            <w:r w:rsidR="004002B1" w:rsidRPr="0016092F">
              <w:rPr>
                <w:rFonts w:ascii="Times New Roman" w:hAnsi="Times New Roman"/>
                <w:sz w:val="22"/>
                <w:szCs w:val="22"/>
              </w:rPr>
              <w:t>j</w:t>
            </w:r>
            <w:r w:rsidRPr="0016092F">
              <w:rPr>
                <w:rFonts w:ascii="Times New Roman" w:hAnsi="Times New Roman"/>
                <w:sz w:val="22"/>
                <w:szCs w:val="22"/>
              </w:rPr>
              <w:t>ena najniže odobrene doze Binocrita koja pruža odgovarajuću kontrolu anemije i simptoma anemije.</w:t>
            </w:r>
          </w:p>
          <w:p w:rsidR="00A3188F" w:rsidRPr="0016092F" w:rsidRDefault="00A3188F" w:rsidP="006F146B">
            <w:pPr>
              <w:pStyle w:val="Header"/>
              <w:tabs>
                <w:tab w:val="clear" w:pos="4536"/>
                <w:tab w:val="clear" w:pos="9072"/>
                <w:tab w:val="left" w:pos="284"/>
              </w:tabs>
              <w:rPr>
                <w:rFonts w:ascii="Times New Roman" w:hAnsi="Times New Roman"/>
                <w:sz w:val="22"/>
                <w:szCs w:val="22"/>
              </w:rPr>
            </w:pPr>
          </w:p>
          <w:p w:rsidR="00A3188F" w:rsidRPr="0016092F" w:rsidRDefault="00A3188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L</w:t>
            </w:r>
            <w:r w:rsidR="004002B1" w:rsidRPr="0016092F">
              <w:rPr>
                <w:rFonts w:ascii="Times New Roman" w:hAnsi="Times New Roman"/>
                <w:sz w:val="22"/>
                <w:szCs w:val="22"/>
              </w:rPr>
              <w:t>ij</w:t>
            </w:r>
            <w:r w:rsidRPr="0016092F">
              <w:rPr>
                <w:rFonts w:ascii="Times New Roman" w:hAnsi="Times New Roman"/>
                <w:sz w:val="22"/>
                <w:szCs w:val="22"/>
              </w:rPr>
              <w:t>ečenje Binocritom pod</w:t>
            </w:r>
            <w:r w:rsidR="004002B1" w:rsidRPr="0016092F">
              <w:rPr>
                <w:rFonts w:ascii="Times New Roman" w:hAnsi="Times New Roman"/>
                <w:sz w:val="22"/>
                <w:szCs w:val="22"/>
              </w:rPr>
              <w:t>ij</w:t>
            </w:r>
            <w:r w:rsidRPr="0016092F">
              <w:rPr>
                <w:rFonts w:ascii="Times New Roman" w:hAnsi="Times New Roman"/>
                <w:sz w:val="22"/>
                <w:szCs w:val="22"/>
              </w:rPr>
              <w:t>eljeno je u dv</w:t>
            </w:r>
            <w:r w:rsidR="004002B1" w:rsidRPr="0016092F">
              <w:rPr>
                <w:rFonts w:ascii="Times New Roman" w:hAnsi="Times New Roman"/>
                <w:sz w:val="22"/>
                <w:szCs w:val="22"/>
              </w:rPr>
              <w:t>ij</w:t>
            </w:r>
            <w:r w:rsidRPr="0016092F">
              <w:rPr>
                <w:rFonts w:ascii="Times New Roman" w:hAnsi="Times New Roman"/>
                <w:sz w:val="22"/>
                <w:szCs w:val="22"/>
              </w:rPr>
              <w:t>e faze- fazu korekcije i fazu održavanja.</w:t>
            </w:r>
          </w:p>
          <w:p w:rsidR="00A3188F" w:rsidRPr="0016092F" w:rsidRDefault="00A3188F" w:rsidP="006F146B">
            <w:pPr>
              <w:pStyle w:val="Header"/>
              <w:tabs>
                <w:tab w:val="clear" w:pos="4536"/>
                <w:tab w:val="clear" w:pos="9072"/>
                <w:tab w:val="left" w:pos="284"/>
              </w:tabs>
              <w:rPr>
                <w:rFonts w:ascii="Times New Roman" w:hAnsi="Times New Roman"/>
                <w:sz w:val="22"/>
                <w:szCs w:val="22"/>
              </w:rPr>
            </w:pPr>
          </w:p>
          <w:p w:rsidR="00CE66A0" w:rsidRPr="0016092F" w:rsidRDefault="00CE66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pedijatrijskih pacijenata kod kojih je intravenski put prim</w:t>
            </w:r>
            <w:r w:rsidR="004002B1" w:rsidRPr="0016092F">
              <w:rPr>
                <w:rFonts w:ascii="Times New Roman" w:hAnsi="Times New Roman"/>
                <w:sz w:val="22"/>
                <w:szCs w:val="22"/>
              </w:rPr>
              <w:t>j</w:t>
            </w:r>
            <w:r w:rsidRPr="0016092F">
              <w:rPr>
                <w:rFonts w:ascii="Times New Roman" w:hAnsi="Times New Roman"/>
                <w:sz w:val="22"/>
                <w:szCs w:val="22"/>
              </w:rPr>
              <w:t>ene dostupan, poželjnija je prim</w:t>
            </w:r>
            <w:r w:rsidR="004002B1" w:rsidRPr="0016092F">
              <w:rPr>
                <w:rFonts w:ascii="Times New Roman" w:hAnsi="Times New Roman"/>
                <w:sz w:val="22"/>
                <w:szCs w:val="22"/>
              </w:rPr>
              <w:t>j</w:t>
            </w:r>
            <w:r w:rsidRPr="0016092F">
              <w:rPr>
                <w:rFonts w:ascii="Times New Roman" w:hAnsi="Times New Roman"/>
                <w:sz w:val="22"/>
                <w:szCs w:val="22"/>
              </w:rPr>
              <w:t>ena intravenskim putem.</w:t>
            </w:r>
          </w:p>
          <w:p w:rsidR="00CE66A0" w:rsidRPr="0016092F" w:rsidRDefault="00CE66A0"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Faza korekcije:</w:t>
            </w:r>
          </w:p>
          <w:p w:rsidR="00A3188F" w:rsidRPr="0016092F" w:rsidRDefault="00A3188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Početna doza je </w:t>
            </w:r>
            <w:r w:rsidR="00DF6C29" w:rsidRPr="0016092F">
              <w:rPr>
                <w:rFonts w:ascii="Times New Roman" w:hAnsi="Times New Roman"/>
                <w:sz w:val="22"/>
                <w:szCs w:val="22"/>
              </w:rPr>
              <w:t>50 i.j./kg, 3 puta ned</w:t>
            </w:r>
            <w:r w:rsidR="004002B1" w:rsidRPr="0016092F">
              <w:rPr>
                <w:rFonts w:ascii="Times New Roman" w:hAnsi="Times New Roman"/>
                <w:sz w:val="22"/>
                <w:szCs w:val="22"/>
              </w:rPr>
              <w:t>j</w:t>
            </w:r>
            <w:r w:rsidR="00DF6C29" w:rsidRPr="0016092F">
              <w:rPr>
                <w:rFonts w:ascii="Times New Roman" w:hAnsi="Times New Roman"/>
                <w:sz w:val="22"/>
                <w:szCs w:val="22"/>
              </w:rPr>
              <w:t xml:space="preserve">eljno, intravenskim putem. </w:t>
            </w:r>
          </w:p>
          <w:p w:rsidR="00A3188F" w:rsidRPr="0016092F" w:rsidRDefault="00A3188F"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Kada je potrebno prilagođavanje doze, dozu treba povećati ili smanjiti za 25 i.j./kg, 3 puta ned</w:t>
            </w:r>
            <w:r w:rsidR="004002B1" w:rsidRPr="0016092F">
              <w:rPr>
                <w:rFonts w:ascii="Times New Roman" w:hAnsi="Times New Roman"/>
                <w:sz w:val="22"/>
                <w:szCs w:val="22"/>
              </w:rPr>
              <w:t>j</w:t>
            </w:r>
            <w:r w:rsidRPr="0016092F">
              <w:rPr>
                <w:rFonts w:ascii="Times New Roman" w:hAnsi="Times New Roman"/>
                <w:sz w:val="22"/>
                <w:szCs w:val="22"/>
              </w:rPr>
              <w:t>eljno, u razmacima od najmanje 4 ned</w:t>
            </w:r>
            <w:r w:rsidR="004002B1" w:rsidRPr="0016092F">
              <w:rPr>
                <w:rFonts w:ascii="Times New Roman" w:hAnsi="Times New Roman"/>
                <w:sz w:val="22"/>
                <w:szCs w:val="22"/>
              </w:rPr>
              <w:t>j</w:t>
            </w:r>
            <w:r w:rsidRPr="0016092F">
              <w:rPr>
                <w:rFonts w:ascii="Times New Roman" w:hAnsi="Times New Roman"/>
                <w:sz w:val="22"/>
                <w:szCs w:val="22"/>
              </w:rPr>
              <w:t xml:space="preserve">elje, </w:t>
            </w:r>
            <w:r w:rsidR="00A3188F" w:rsidRPr="0016092F">
              <w:rPr>
                <w:rFonts w:ascii="Times New Roman" w:hAnsi="Times New Roman"/>
                <w:sz w:val="22"/>
                <w:szCs w:val="22"/>
              </w:rPr>
              <w:t xml:space="preserve">dok se ne postigne </w:t>
            </w:r>
            <w:r w:rsidR="000923C7" w:rsidRPr="0016092F">
              <w:rPr>
                <w:rFonts w:ascii="Times New Roman" w:hAnsi="Times New Roman"/>
                <w:sz w:val="22"/>
                <w:szCs w:val="22"/>
              </w:rPr>
              <w:t>željeni raspon koncentracije hemoglobina između 9,5 g/dl i 11 g/dl (5,9 i 6,8 mmol/l)</w:t>
            </w:r>
            <w:r w:rsidRPr="0016092F">
              <w:rPr>
                <w:rFonts w:ascii="Times New Roman" w:hAnsi="Times New Roman"/>
                <w:sz w:val="22"/>
                <w:szCs w:val="22"/>
              </w:rPr>
              <w:t>.</w:t>
            </w:r>
          </w:p>
          <w:p w:rsidR="00DF6C29" w:rsidRPr="0016092F" w:rsidRDefault="00DF6C29"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Faza održavanja:</w:t>
            </w: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Prilagođavanje doze u cilju održavanja vr</w:t>
            </w:r>
            <w:r w:rsidR="004002B1" w:rsidRPr="0016092F">
              <w:rPr>
                <w:rFonts w:ascii="Times New Roman" w:hAnsi="Times New Roman"/>
                <w:sz w:val="22"/>
                <w:szCs w:val="22"/>
              </w:rPr>
              <w:t>ij</w:t>
            </w:r>
            <w:r w:rsidRPr="0016092F">
              <w:rPr>
                <w:rFonts w:ascii="Times New Roman" w:hAnsi="Times New Roman"/>
                <w:sz w:val="22"/>
                <w:szCs w:val="22"/>
              </w:rPr>
              <w:t>ednosti hemoglobina na željenom nivou: Hb između 9.5 i 11 g/dl (5.9-6.8 mmol/l).</w:t>
            </w:r>
          </w:p>
          <w:p w:rsidR="000923C7" w:rsidRPr="0016092F" w:rsidRDefault="000923C7" w:rsidP="006F146B">
            <w:pPr>
              <w:pStyle w:val="Header"/>
              <w:tabs>
                <w:tab w:val="clear" w:pos="4536"/>
                <w:tab w:val="clear" w:pos="9072"/>
                <w:tab w:val="left" w:pos="284"/>
              </w:tabs>
              <w:rPr>
                <w:rFonts w:ascii="Times New Roman" w:hAnsi="Times New Roman"/>
                <w:sz w:val="22"/>
                <w:szCs w:val="22"/>
              </w:rPr>
            </w:pPr>
          </w:p>
          <w:p w:rsidR="00DF6C29" w:rsidRPr="0016092F" w:rsidRDefault="00DF6C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Generalno, d</w:t>
            </w:r>
            <w:r w:rsidR="004002B1" w:rsidRPr="0016092F">
              <w:rPr>
                <w:rFonts w:ascii="Times New Roman" w:hAnsi="Times New Roman"/>
                <w:sz w:val="22"/>
                <w:szCs w:val="22"/>
              </w:rPr>
              <w:t>j</w:t>
            </w:r>
            <w:r w:rsidRPr="0016092F">
              <w:rPr>
                <w:rFonts w:ascii="Times New Roman" w:hAnsi="Times New Roman"/>
                <w:sz w:val="22"/>
                <w:szCs w:val="22"/>
              </w:rPr>
              <w:t>eca t</w:t>
            </w:r>
            <w:r w:rsidR="004002B1" w:rsidRPr="0016092F">
              <w:rPr>
                <w:rFonts w:ascii="Times New Roman" w:hAnsi="Times New Roman"/>
                <w:sz w:val="22"/>
                <w:szCs w:val="22"/>
              </w:rPr>
              <w:t>j</w:t>
            </w:r>
            <w:r w:rsidRPr="0016092F">
              <w:rPr>
                <w:rFonts w:ascii="Times New Roman" w:hAnsi="Times New Roman"/>
                <w:sz w:val="22"/>
                <w:szCs w:val="22"/>
              </w:rPr>
              <w:t>elesne težine &lt;30 kg zaht</w:t>
            </w:r>
            <w:r w:rsidR="004002B1" w:rsidRPr="0016092F">
              <w:rPr>
                <w:rFonts w:ascii="Times New Roman" w:hAnsi="Times New Roman"/>
                <w:sz w:val="22"/>
                <w:szCs w:val="22"/>
              </w:rPr>
              <w:t>ij</w:t>
            </w:r>
            <w:r w:rsidRPr="0016092F">
              <w:rPr>
                <w:rFonts w:ascii="Times New Roman" w:hAnsi="Times New Roman"/>
                <w:sz w:val="22"/>
                <w:szCs w:val="22"/>
              </w:rPr>
              <w:t>evaju veće doze održavanja nego d</w:t>
            </w:r>
            <w:r w:rsidR="004002B1" w:rsidRPr="0016092F">
              <w:rPr>
                <w:rFonts w:ascii="Times New Roman" w:hAnsi="Times New Roman"/>
                <w:sz w:val="22"/>
                <w:szCs w:val="22"/>
              </w:rPr>
              <w:t>j</w:t>
            </w:r>
            <w:r w:rsidRPr="0016092F">
              <w:rPr>
                <w:rFonts w:ascii="Times New Roman" w:hAnsi="Times New Roman"/>
                <w:sz w:val="22"/>
                <w:szCs w:val="22"/>
              </w:rPr>
              <w:t>eca čija je t</w:t>
            </w:r>
            <w:r w:rsidR="004002B1" w:rsidRPr="0016092F">
              <w:rPr>
                <w:rFonts w:ascii="Times New Roman" w:hAnsi="Times New Roman"/>
                <w:sz w:val="22"/>
                <w:szCs w:val="22"/>
              </w:rPr>
              <w:t>j</w:t>
            </w:r>
            <w:r w:rsidRPr="0016092F">
              <w:rPr>
                <w:rFonts w:ascii="Times New Roman" w:hAnsi="Times New Roman"/>
                <w:sz w:val="22"/>
                <w:szCs w:val="22"/>
              </w:rPr>
              <w:t>elesna težina &gt;30 kg i odrasli.</w:t>
            </w:r>
            <w:r w:rsidR="00A40F78" w:rsidRPr="0016092F">
              <w:rPr>
                <w:rFonts w:ascii="Times New Roman" w:hAnsi="Times New Roman"/>
                <w:sz w:val="22"/>
                <w:szCs w:val="22"/>
              </w:rPr>
              <w:t xml:space="preserve"> </w:t>
            </w:r>
            <w:r w:rsidRPr="0016092F">
              <w:rPr>
                <w:rFonts w:ascii="Times New Roman" w:hAnsi="Times New Roman"/>
                <w:sz w:val="22"/>
                <w:szCs w:val="22"/>
              </w:rPr>
              <w:t>Dostupni klinički podaci ukazuju da kod pedijatrijskih pacijenata kod kojih je početna vr</w:t>
            </w:r>
            <w:r w:rsidR="004002B1" w:rsidRPr="0016092F">
              <w:rPr>
                <w:rFonts w:ascii="Times New Roman" w:hAnsi="Times New Roman"/>
                <w:sz w:val="22"/>
                <w:szCs w:val="22"/>
              </w:rPr>
              <w:t>ij</w:t>
            </w:r>
            <w:r w:rsidRPr="0016092F">
              <w:rPr>
                <w:rFonts w:ascii="Times New Roman" w:hAnsi="Times New Roman"/>
                <w:sz w:val="22"/>
                <w:szCs w:val="22"/>
              </w:rPr>
              <w:t>ednost hemoglobina veoma niska (&lt;6.8 g/dl ili &lt; 4.25 mmol/l) mogu biti potrebne veće doze održavanja nego kod onih kod kojih su vr</w:t>
            </w:r>
            <w:r w:rsidR="004002B1" w:rsidRPr="0016092F">
              <w:rPr>
                <w:rFonts w:ascii="Times New Roman" w:hAnsi="Times New Roman"/>
                <w:sz w:val="22"/>
                <w:szCs w:val="22"/>
              </w:rPr>
              <w:t>ij</w:t>
            </w:r>
            <w:r w:rsidRPr="0016092F">
              <w:rPr>
                <w:rFonts w:ascii="Times New Roman" w:hAnsi="Times New Roman"/>
                <w:sz w:val="22"/>
                <w:szCs w:val="22"/>
              </w:rPr>
              <w:t>ednosti hemoglobina više (Hb &gt;6.8 g/dl ili &gt;4.25 mmol/l).</w:t>
            </w:r>
          </w:p>
          <w:p w:rsidR="00DF6C29" w:rsidRPr="0016092F" w:rsidRDefault="00DF6C29" w:rsidP="006F146B">
            <w:pPr>
              <w:pStyle w:val="Header"/>
              <w:tabs>
                <w:tab w:val="clear" w:pos="4536"/>
                <w:tab w:val="clear" w:pos="9072"/>
                <w:tab w:val="left" w:pos="284"/>
              </w:tabs>
              <w:rPr>
                <w:rFonts w:ascii="Times New Roman" w:hAnsi="Times New Roman"/>
                <w:sz w:val="22"/>
                <w:szCs w:val="22"/>
              </w:rPr>
            </w:pPr>
          </w:p>
          <w:p w:rsidR="000923C7" w:rsidRPr="0016092F" w:rsidRDefault="000923C7"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Terapija pedijatrijskih pacijenata sa anemijom indukovanom hemoterapijom</w:t>
            </w:r>
          </w:p>
          <w:p w:rsidR="000923C7" w:rsidRPr="0016092F" w:rsidRDefault="000923C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Bezb</w:t>
            </w:r>
            <w:r w:rsidR="00074423" w:rsidRPr="0016092F">
              <w:rPr>
                <w:rFonts w:ascii="Times New Roman" w:hAnsi="Times New Roman"/>
                <w:sz w:val="22"/>
                <w:szCs w:val="22"/>
              </w:rPr>
              <w:t>j</w:t>
            </w:r>
            <w:r w:rsidRPr="0016092F">
              <w:rPr>
                <w:rFonts w:ascii="Times New Roman" w:hAnsi="Times New Roman"/>
                <w:sz w:val="22"/>
                <w:szCs w:val="22"/>
              </w:rPr>
              <w:t>ednost i efikasnost epoetina alfa kod pedijatrijskih pacijenata na hemoterapiji ni</w:t>
            </w:r>
            <w:r w:rsidR="00074423" w:rsidRPr="0016092F">
              <w:rPr>
                <w:rFonts w:ascii="Times New Roman" w:hAnsi="Times New Roman"/>
                <w:sz w:val="22"/>
                <w:szCs w:val="22"/>
              </w:rPr>
              <w:t>je</w:t>
            </w:r>
            <w:r w:rsidRPr="0016092F">
              <w:rPr>
                <w:rFonts w:ascii="Times New Roman" w:hAnsi="Times New Roman"/>
                <w:sz w:val="22"/>
                <w:szCs w:val="22"/>
              </w:rPr>
              <w:t>su ustanovljene.</w:t>
            </w:r>
          </w:p>
          <w:p w:rsidR="000923C7" w:rsidRPr="0016092F" w:rsidRDefault="000923C7" w:rsidP="006F146B">
            <w:pPr>
              <w:pStyle w:val="Header"/>
              <w:tabs>
                <w:tab w:val="clear" w:pos="4536"/>
                <w:tab w:val="clear" w:pos="9072"/>
                <w:tab w:val="left" w:pos="284"/>
              </w:tabs>
              <w:rPr>
                <w:rFonts w:ascii="Times New Roman" w:hAnsi="Times New Roman"/>
                <w:sz w:val="22"/>
                <w:szCs w:val="22"/>
              </w:rPr>
            </w:pPr>
          </w:p>
          <w:p w:rsidR="000923C7" w:rsidRPr="0016092F" w:rsidRDefault="000923C7"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Terapija pedijatrijskih hirurških pacijenata u programu autologne predonacije</w:t>
            </w:r>
          </w:p>
          <w:p w:rsidR="000923C7" w:rsidRPr="0016092F" w:rsidRDefault="000923C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Bezb</w:t>
            </w:r>
            <w:r w:rsidR="00074423" w:rsidRPr="0016092F">
              <w:rPr>
                <w:rFonts w:ascii="Times New Roman" w:hAnsi="Times New Roman"/>
                <w:sz w:val="22"/>
                <w:szCs w:val="22"/>
              </w:rPr>
              <w:t>j</w:t>
            </w:r>
            <w:r w:rsidRPr="0016092F">
              <w:rPr>
                <w:rFonts w:ascii="Times New Roman" w:hAnsi="Times New Roman"/>
                <w:sz w:val="22"/>
                <w:szCs w:val="22"/>
              </w:rPr>
              <w:t>ednost i efikasnost epoetina alfa kod pedijatrijskih pacijenata na hemoterapiji ni</w:t>
            </w:r>
            <w:r w:rsidR="00074423" w:rsidRPr="0016092F">
              <w:rPr>
                <w:rFonts w:ascii="Times New Roman" w:hAnsi="Times New Roman"/>
                <w:sz w:val="22"/>
                <w:szCs w:val="22"/>
              </w:rPr>
              <w:t>je</w:t>
            </w:r>
            <w:r w:rsidRPr="0016092F">
              <w:rPr>
                <w:rFonts w:ascii="Times New Roman" w:hAnsi="Times New Roman"/>
                <w:sz w:val="22"/>
                <w:szCs w:val="22"/>
              </w:rPr>
              <w:t>su ustanovljene. Nema podataka o prim</w:t>
            </w:r>
            <w:r w:rsidR="00074423" w:rsidRPr="0016092F">
              <w:rPr>
                <w:rFonts w:ascii="Times New Roman" w:hAnsi="Times New Roman"/>
                <w:sz w:val="22"/>
                <w:szCs w:val="22"/>
              </w:rPr>
              <w:t>j</w:t>
            </w:r>
            <w:r w:rsidRPr="0016092F">
              <w:rPr>
                <w:rFonts w:ascii="Times New Roman" w:hAnsi="Times New Roman"/>
                <w:sz w:val="22"/>
                <w:szCs w:val="22"/>
              </w:rPr>
              <w:t>eni kod d</w:t>
            </w:r>
            <w:r w:rsidR="00074423" w:rsidRPr="0016092F">
              <w:rPr>
                <w:rFonts w:ascii="Times New Roman" w:hAnsi="Times New Roman"/>
                <w:sz w:val="22"/>
                <w:szCs w:val="22"/>
              </w:rPr>
              <w:t>j</w:t>
            </w:r>
            <w:r w:rsidRPr="0016092F">
              <w:rPr>
                <w:rFonts w:ascii="Times New Roman" w:hAnsi="Times New Roman"/>
                <w:sz w:val="22"/>
                <w:szCs w:val="22"/>
              </w:rPr>
              <w:t>ece.</w:t>
            </w:r>
          </w:p>
          <w:p w:rsidR="000923C7" w:rsidRPr="0016092F" w:rsidRDefault="000923C7" w:rsidP="006F146B">
            <w:pPr>
              <w:pStyle w:val="Header"/>
              <w:tabs>
                <w:tab w:val="clear" w:pos="4536"/>
                <w:tab w:val="clear" w:pos="9072"/>
                <w:tab w:val="left" w:pos="284"/>
              </w:tabs>
              <w:rPr>
                <w:rFonts w:ascii="Times New Roman" w:hAnsi="Times New Roman"/>
                <w:sz w:val="22"/>
                <w:szCs w:val="22"/>
              </w:rPr>
            </w:pPr>
          </w:p>
          <w:p w:rsidR="000923C7" w:rsidRPr="0016092F" w:rsidRDefault="000923C7"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lastRenderedPageBreak/>
              <w:t>Terapija pedijatrijskih pacijenata predviđenih za veliki elektivni ortopedski hirurški zahvat</w:t>
            </w:r>
          </w:p>
          <w:p w:rsidR="000923C7" w:rsidRPr="0016092F" w:rsidRDefault="000923C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Bezb</w:t>
            </w:r>
            <w:r w:rsidR="00074423" w:rsidRPr="0016092F">
              <w:rPr>
                <w:rFonts w:ascii="Times New Roman" w:hAnsi="Times New Roman"/>
                <w:sz w:val="22"/>
                <w:szCs w:val="22"/>
              </w:rPr>
              <w:t>j</w:t>
            </w:r>
            <w:r w:rsidRPr="0016092F">
              <w:rPr>
                <w:rFonts w:ascii="Times New Roman" w:hAnsi="Times New Roman"/>
                <w:sz w:val="22"/>
                <w:szCs w:val="22"/>
              </w:rPr>
              <w:t>ednost i efikasnost epoetina alfa kod pedijatrijskih pacijenata na hemoterapiji ni</w:t>
            </w:r>
            <w:r w:rsidR="00074423" w:rsidRPr="0016092F">
              <w:rPr>
                <w:rFonts w:ascii="Times New Roman" w:hAnsi="Times New Roman"/>
                <w:sz w:val="22"/>
                <w:szCs w:val="22"/>
              </w:rPr>
              <w:t>je</w:t>
            </w:r>
            <w:r w:rsidRPr="0016092F">
              <w:rPr>
                <w:rFonts w:ascii="Times New Roman" w:hAnsi="Times New Roman"/>
                <w:sz w:val="22"/>
                <w:szCs w:val="22"/>
              </w:rPr>
              <w:t>su ustanovljene. Nema podataka o prim</w:t>
            </w:r>
            <w:r w:rsidR="00074423" w:rsidRPr="0016092F">
              <w:rPr>
                <w:rFonts w:ascii="Times New Roman" w:hAnsi="Times New Roman"/>
                <w:sz w:val="22"/>
                <w:szCs w:val="22"/>
              </w:rPr>
              <w:t>j</w:t>
            </w:r>
            <w:r w:rsidRPr="0016092F">
              <w:rPr>
                <w:rFonts w:ascii="Times New Roman" w:hAnsi="Times New Roman"/>
                <w:sz w:val="22"/>
                <w:szCs w:val="22"/>
              </w:rPr>
              <w:t>eni kod d</w:t>
            </w:r>
            <w:r w:rsidR="00074423" w:rsidRPr="0016092F">
              <w:rPr>
                <w:rFonts w:ascii="Times New Roman" w:hAnsi="Times New Roman"/>
                <w:sz w:val="22"/>
                <w:szCs w:val="22"/>
              </w:rPr>
              <w:t>j</w:t>
            </w:r>
            <w:r w:rsidRPr="0016092F">
              <w:rPr>
                <w:rFonts w:ascii="Times New Roman" w:hAnsi="Times New Roman"/>
                <w:sz w:val="22"/>
                <w:szCs w:val="22"/>
              </w:rPr>
              <w:t>ece.</w:t>
            </w:r>
          </w:p>
          <w:p w:rsidR="00BF7B6B" w:rsidRPr="0016092F" w:rsidRDefault="00BF7B6B" w:rsidP="006F146B">
            <w:pPr>
              <w:pStyle w:val="Header"/>
              <w:tabs>
                <w:tab w:val="clear" w:pos="4536"/>
                <w:tab w:val="clear" w:pos="9072"/>
                <w:tab w:val="left" w:pos="284"/>
              </w:tabs>
              <w:rPr>
                <w:rFonts w:ascii="Times New Roman" w:hAnsi="Times New Roman"/>
                <w:sz w:val="22"/>
                <w:szCs w:val="22"/>
              </w:rPr>
            </w:pPr>
          </w:p>
          <w:p w:rsidR="00BF7B6B" w:rsidRPr="0016092F" w:rsidRDefault="00BF7B6B"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Način prim</w:t>
            </w:r>
            <w:r w:rsidR="00074423" w:rsidRPr="0016092F">
              <w:rPr>
                <w:rFonts w:ascii="Times New Roman" w:hAnsi="Times New Roman"/>
                <w:sz w:val="22"/>
                <w:szCs w:val="22"/>
                <w:u w:val="single"/>
              </w:rPr>
              <w:t>j</w:t>
            </w:r>
            <w:r w:rsidRPr="0016092F">
              <w:rPr>
                <w:rFonts w:ascii="Times New Roman" w:hAnsi="Times New Roman"/>
                <w:sz w:val="22"/>
                <w:szCs w:val="22"/>
                <w:u w:val="single"/>
              </w:rPr>
              <w:t>ene l</w:t>
            </w:r>
            <w:r w:rsidR="00074423" w:rsidRPr="0016092F">
              <w:rPr>
                <w:rFonts w:ascii="Times New Roman" w:hAnsi="Times New Roman"/>
                <w:sz w:val="22"/>
                <w:szCs w:val="22"/>
                <w:u w:val="single"/>
              </w:rPr>
              <w:t>ij</w:t>
            </w:r>
            <w:r w:rsidRPr="0016092F">
              <w:rPr>
                <w:rFonts w:ascii="Times New Roman" w:hAnsi="Times New Roman"/>
                <w:sz w:val="22"/>
                <w:szCs w:val="22"/>
                <w:u w:val="single"/>
              </w:rPr>
              <w:t>eka</w:t>
            </w:r>
          </w:p>
          <w:p w:rsidR="000923C7" w:rsidRPr="0016092F" w:rsidRDefault="000923C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Potreban je oprez pri rukovanju ili prim</w:t>
            </w:r>
            <w:r w:rsidR="00074423" w:rsidRPr="0016092F">
              <w:rPr>
                <w:rFonts w:ascii="Times New Roman" w:hAnsi="Times New Roman"/>
                <w:sz w:val="22"/>
                <w:szCs w:val="22"/>
              </w:rPr>
              <w:t>j</w:t>
            </w:r>
            <w:r w:rsidRPr="0016092F">
              <w:rPr>
                <w:rFonts w:ascii="Times New Roman" w:hAnsi="Times New Roman"/>
                <w:sz w:val="22"/>
                <w:szCs w:val="22"/>
              </w:rPr>
              <w:t>eni l</w:t>
            </w:r>
            <w:r w:rsidR="00074423" w:rsidRPr="0016092F">
              <w:rPr>
                <w:rFonts w:ascii="Times New Roman" w:hAnsi="Times New Roman"/>
                <w:sz w:val="22"/>
                <w:szCs w:val="22"/>
              </w:rPr>
              <w:t>ij</w:t>
            </w:r>
            <w:r w:rsidRPr="0016092F">
              <w:rPr>
                <w:rFonts w:ascii="Times New Roman" w:hAnsi="Times New Roman"/>
                <w:sz w:val="22"/>
                <w:szCs w:val="22"/>
              </w:rPr>
              <w:t>eka.</w:t>
            </w:r>
          </w:p>
          <w:p w:rsidR="000923C7" w:rsidRPr="0016092F" w:rsidRDefault="000923C7" w:rsidP="006F146B">
            <w:pPr>
              <w:pStyle w:val="Header"/>
              <w:tabs>
                <w:tab w:val="clear" w:pos="4536"/>
                <w:tab w:val="clear" w:pos="9072"/>
                <w:tab w:val="left" w:pos="284"/>
              </w:tabs>
              <w:rPr>
                <w:rFonts w:ascii="Times New Roman" w:hAnsi="Times New Roman"/>
                <w:sz w:val="22"/>
                <w:szCs w:val="22"/>
              </w:rPr>
            </w:pPr>
          </w:p>
          <w:p w:rsidR="00964999" w:rsidRPr="0016092F" w:rsidRDefault="000923C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w:t>
            </w:r>
            <w:r w:rsidR="00074423" w:rsidRPr="0016092F">
              <w:rPr>
                <w:rFonts w:ascii="Times New Roman" w:hAnsi="Times New Roman"/>
                <w:sz w:val="22"/>
                <w:szCs w:val="22"/>
              </w:rPr>
              <w:t>ij</w:t>
            </w:r>
            <w:r w:rsidRPr="0016092F">
              <w:rPr>
                <w:rFonts w:ascii="Times New Roman" w:hAnsi="Times New Roman"/>
                <w:sz w:val="22"/>
                <w:szCs w:val="22"/>
              </w:rPr>
              <w:t>e prim</w:t>
            </w:r>
            <w:r w:rsidR="00074423" w:rsidRPr="0016092F">
              <w:rPr>
                <w:rFonts w:ascii="Times New Roman" w:hAnsi="Times New Roman"/>
                <w:sz w:val="22"/>
                <w:szCs w:val="22"/>
              </w:rPr>
              <w:t>j</w:t>
            </w:r>
            <w:r w:rsidRPr="0016092F">
              <w:rPr>
                <w:rFonts w:ascii="Times New Roman" w:hAnsi="Times New Roman"/>
                <w:sz w:val="22"/>
                <w:szCs w:val="22"/>
              </w:rPr>
              <w:t>ene</w:t>
            </w:r>
            <w:r w:rsidR="00964999" w:rsidRPr="0016092F">
              <w:rPr>
                <w:rFonts w:ascii="Times New Roman" w:hAnsi="Times New Roman"/>
                <w:sz w:val="22"/>
                <w:szCs w:val="22"/>
              </w:rPr>
              <w:t>, ostavite špric sa l</w:t>
            </w:r>
            <w:r w:rsidR="00074423" w:rsidRPr="0016092F">
              <w:rPr>
                <w:rFonts w:ascii="Times New Roman" w:hAnsi="Times New Roman"/>
                <w:sz w:val="22"/>
                <w:szCs w:val="22"/>
              </w:rPr>
              <w:t>ij</w:t>
            </w:r>
            <w:r w:rsidR="00964999" w:rsidRPr="0016092F">
              <w:rPr>
                <w:rFonts w:ascii="Times New Roman" w:hAnsi="Times New Roman"/>
                <w:sz w:val="22"/>
                <w:szCs w:val="22"/>
              </w:rPr>
              <w:t>ekom izvan frižidera dok ne dostigne sobnu temperaturu. Za to je obično potrebno između 15 i 30 minuta.</w:t>
            </w:r>
          </w:p>
          <w:p w:rsidR="00964999" w:rsidRPr="0016092F" w:rsidRDefault="00993B1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Kao i kod svakog drugog l</w:t>
            </w:r>
            <w:r w:rsidR="00D97C7A" w:rsidRPr="0016092F">
              <w:rPr>
                <w:rFonts w:ascii="Times New Roman" w:hAnsi="Times New Roman"/>
                <w:sz w:val="22"/>
                <w:szCs w:val="22"/>
              </w:rPr>
              <w:t>ij</w:t>
            </w:r>
            <w:r w:rsidRPr="0016092F">
              <w:rPr>
                <w:rFonts w:ascii="Times New Roman" w:hAnsi="Times New Roman"/>
                <w:sz w:val="22"/>
                <w:szCs w:val="22"/>
              </w:rPr>
              <w:t>eka koji se prim</w:t>
            </w:r>
            <w:r w:rsidR="00D97C7A" w:rsidRPr="0016092F">
              <w:rPr>
                <w:rFonts w:ascii="Times New Roman" w:hAnsi="Times New Roman"/>
                <w:sz w:val="22"/>
                <w:szCs w:val="22"/>
              </w:rPr>
              <w:t>j</w:t>
            </w:r>
            <w:r w:rsidRPr="0016092F">
              <w:rPr>
                <w:rFonts w:ascii="Times New Roman" w:hAnsi="Times New Roman"/>
                <w:sz w:val="22"/>
                <w:szCs w:val="22"/>
              </w:rPr>
              <w:t>enjuje u obliku injekcije, potrebno je prov</w:t>
            </w:r>
            <w:r w:rsidR="00D97C7A" w:rsidRPr="0016092F">
              <w:rPr>
                <w:rFonts w:ascii="Times New Roman" w:hAnsi="Times New Roman"/>
                <w:sz w:val="22"/>
                <w:szCs w:val="22"/>
              </w:rPr>
              <w:t>j</w:t>
            </w:r>
            <w:r w:rsidRPr="0016092F">
              <w:rPr>
                <w:rFonts w:ascii="Times New Roman" w:hAnsi="Times New Roman"/>
                <w:sz w:val="22"/>
                <w:szCs w:val="22"/>
              </w:rPr>
              <w:t>eriti da li postoje čestice u rastvoru ili je boja rastvora prom</w:t>
            </w:r>
            <w:r w:rsidR="00D97C7A" w:rsidRPr="0016092F">
              <w:rPr>
                <w:rFonts w:ascii="Times New Roman" w:hAnsi="Times New Roman"/>
                <w:sz w:val="22"/>
                <w:szCs w:val="22"/>
              </w:rPr>
              <w:t>ij</w:t>
            </w:r>
            <w:r w:rsidRPr="0016092F">
              <w:rPr>
                <w:rFonts w:ascii="Times New Roman" w:hAnsi="Times New Roman"/>
                <w:sz w:val="22"/>
                <w:szCs w:val="22"/>
              </w:rPr>
              <w:t xml:space="preserve">enjena. </w:t>
            </w:r>
            <w:r w:rsidR="00BF7B6B" w:rsidRPr="0016092F">
              <w:rPr>
                <w:rFonts w:ascii="Times New Roman" w:hAnsi="Times New Roman"/>
                <w:sz w:val="22"/>
                <w:szCs w:val="22"/>
              </w:rPr>
              <w:t>L</w:t>
            </w:r>
            <w:r w:rsidR="00D97C7A" w:rsidRPr="0016092F">
              <w:rPr>
                <w:rFonts w:ascii="Times New Roman" w:hAnsi="Times New Roman"/>
                <w:sz w:val="22"/>
                <w:szCs w:val="22"/>
              </w:rPr>
              <w:t>ij</w:t>
            </w:r>
            <w:r w:rsidR="00BF7B6B" w:rsidRPr="0016092F">
              <w:rPr>
                <w:rFonts w:ascii="Times New Roman" w:hAnsi="Times New Roman"/>
                <w:sz w:val="22"/>
                <w:szCs w:val="22"/>
              </w:rPr>
              <w:t xml:space="preserve">ek </w:t>
            </w:r>
            <w:r w:rsidR="00627B6C" w:rsidRPr="0016092F">
              <w:rPr>
                <w:rFonts w:ascii="Times New Roman" w:hAnsi="Times New Roman"/>
                <w:sz w:val="22"/>
                <w:szCs w:val="22"/>
              </w:rPr>
              <w:t>Binocrit</w:t>
            </w:r>
            <w:r w:rsidR="00BF7B6B" w:rsidRPr="0016092F">
              <w:rPr>
                <w:rFonts w:ascii="Times New Roman" w:hAnsi="Times New Roman"/>
                <w:sz w:val="22"/>
                <w:szCs w:val="22"/>
              </w:rPr>
              <w:t xml:space="preserve"> je sterilan l</w:t>
            </w:r>
            <w:r w:rsidR="00D97C7A" w:rsidRPr="0016092F">
              <w:rPr>
                <w:rFonts w:ascii="Times New Roman" w:hAnsi="Times New Roman"/>
                <w:sz w:val="22"/>
                <w:szCs w:val="22"/>
              </w:rPr>
              <w:t>ij</w:t>
            </w:r>
            <w:r w:rsidR="00BF7B6B" w:rsidRPr="0016092F">
              <w:rPr>
                <w:rFonts w:ascii="Times New Roman" w:hAnsi="Times New Roman"/>
                <w:sz w:val="22"/>
                <w:szCs w:val="22"/>
              </w:rPr>
              <w:t xml:space="preserve">ek, bez konzervansa, </w:t>
            </w:r>
            <w:r w:rsidR="00327AB9" w:rsidRPr="0016092F">
              <w:rPr>
                <w:rFonts w:ascii="Times New Roman" w:hAnsi="Times New Roman"/>
                <w:sz w:val="22"/>
                <w:szCs w:val="22"/>
              </w:rPr>
              <w:t xml:space="preserve">samo </w:t>
            </w:r>
            <w:r w:rsidR="00BF7B6B" w:rsidRPr="0016092F">
              <w:rPr>
                <w:rFonts w:ascii="Times New Roman" w:hAnsi="Times New Roman"/>
                <w:sz w:val="22"/>
                <w:szCs w:val="22"/>
              </w:rPr>
              <w:t xml:space="preserve">za </w:t>
            </w:r>
            <w:r w:rsidR="00327AB9" w:rsidRPr="0016092F">
              <w:rPr>
                <w:rFonts w:ascii="Times New Roman" w:hAnsi="Times New Roman"/>
                <w:sz w:val="22"/>
                <w:szCs w:val="22"/>
              </w:rPr>
              <w:t>jednokratnu upotrebu</w:t>
            </w:r>
            <w:r w:rsidR="00BF7B6B" w:rsidRPr="0016092F">
              <w:rPr>
                <w:rFonts w:ascii="Times New Roman" w:hAnsi="Times New Roman"/>
                <w:sz w:val="22"/>
                <w:szCs w:val="22"/>
              </w:rPr>
              <w:t xml:space="preserve">. </w:t>
            </w:r>
            <w:r w:rsidR="00964999" w:rsidRPr="0016092F">
              <w:rPr>
                <w:rFonts w:ascii="Times New Roman" w:hAnsi="Times New Roman"/>
                <w:sz w:val="22"/>
                <w:szCs w:val="22"/>
              </w:rPr>
              <w:t>Prim</w:t>
            </w:r>
            <w:r w:rsidR="00D97C7A" w:rsidRPr="0016092F">
              <w:rPr>
                <w:rFonts w:ascii="Times New Roman" w:hAnsi="Times New Roman"/>
                <w:sz w:val="22"/>
                <w:szCs w:val="22"/>
              </w:rPr>
              <w:t>ij</w:t>
            </w:r>
            <w:r w:rsidR="00964999" w:rsidRPr="0016092F">
              <w:rPr>
                <w:rFonts w:ascii="Times New Roman" w:hAnsi="Times New Roman"/>
                <w:sz w:val="22"/>
                <w:szCs w:val="22"/>
              </w:rPr>
              <w:t>enite odgovarajuću količinu l</w:t>
            </w:r>
            <w:r w:rsidR="00D97C7A" w:rsidRPr="0016092F">
              <w:rPr>
                <w:rFonts w:ascii="Times New Roman" w:hAnsi="Times New Roman"/>
                <w:sz w:val="22"/>
                <w:szCs w:val="22"/>
              </w:rPr>
              <w:t>ij</w:t>
            </w:r>
            <w:r w:rsidR="00964999" w:rsidRPr="0016092F">
              <w:rPr>
                <w:rFonts w:ascii="Times New Roman" w:hAnsi="Times New Roman"/>
                <w:sz w:val="22"/>
                <w:szCs w:val="22"/>
              </w:rPr>
              <w:t>eka.</w:t>
            </w:r>
          </w:p>
          <w:p w:rsidR="00964999" w:rsidRPr="0016092F" w:rsidRDefault="00964999" w:rsidP="006F146B">
            <w:pPr>
              <w:pStyle w:val="Header"/>
              <w:tabs>
                <w:tab w:val="clear" w:pos="4536"/>
                <w:tab w:val="clear" w:pos="9072"/>
                <w:tab w:val="left" w:pos="284"/>
              </w:tabs>
              <w:rPr>
                <w:rFonts w:ascii="Times New Roman" w:hAnsi="Times New Roman"/>
                <w:sz w:val="22"/>
                <w:szCs w:val="22"/>
              </w:rPr>
            </w:pPr>
          </w:p>
          <w:p w:rsidR="00964999" w:rsidRPr="0016092F" w:rsidRDefault="00964999"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Terapija simptomatske anemije kod odraslih pacijenata sa hroničnom insuficijencijom bubrega</w:t>
            </w:r>
          </w:p>
          <w:p w:rsidR="00964999" w:rsidRPr="0016092F" w:rsidRDefault="00CE66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pacijenata sa hroničnom bubrežnom insuficijencijom kod kojih je dostupan intravenski</w:t>
            </w:r>
            <w:r w:rsidR="00FE6DFC" w:rsidRPr="0016092F">
              <w:rPr>
                <w:rFonts w:ascii="Times New Roman" w:hAnsi="Times New Roman"/>
                <w:sz w:val="22"/>
                <w:szCs w:val="22"/>
              </w:rPr>
              <w:t xml:space="preserve"> </w:t>
            </w:r>
            <w:r w:rsidRPr="0016092F">
              <w:rPr>
                <w:rFonts w:ascii="Times New Roman" w:hAnsi="Times New Roman"/>
                <w:sz w:val="22"/>
                <w:szCs w:val="22"/>
              </w:rPr>
              <w:t>put prim</w:t>
            </w:r>
            <w:r w:rsidR="00D97C7A" w:rsidRPr="0016092F">
              <w:rPr>
                <w:rFonts w:ascii="Times New Roman" w:hAnsi="Times New Roman"/>
                <w:sz w:val="22"/>
                <w:szCs w:val="22"/>
              </w:rPr>
              <w:t>j</w:t>
            </w:r>
            <w:r w:rsidRPr="0016092F">
              <w:rPr>
                <w:rFonts w:ascii="Times New Roman" w:hAnsi="Times New Roman"/>
                <w:sz w:val="22"/>
                <w:szCs w:val="22"/>
              </w:rPr>
              <w:t>ene (pacijenti na hemodijalizi), poželjnija je prim</w:t>
            </w:r>
            <w:r w:rsidR="00D97C7A" w:rsidRPr="0016092F">
              <w:rPr>
                <w:rFonts w:ascii="Times New Roman" w:hAnsi="Times New Roman"/>
                <w:sz w:val="22"/>
                <w:szCs w:val="22"/>
              </w:rPr>
              <w:t>j</w:t>
            </w:r>
            <w:r w:rsidRPr="0016092F">
              <w:rPr>
                <w:rFonts w:ascii="Times New Roman" w:hAnsi="Times New Roman"/>
                <w:sz w:val="22"/>
                <w:szCs w:val="22"/>
              </w:rPr>
              <w:t>ena l</w:t>
            </w:r>
            <w:r w:rsidR="00D97C7A" w:rsidRPr="0016092F">
              <w:rPr>
                <w:rFonts w:ascii="Times New Roman" w:hAnsi="Times New Roman"/>
                <w:sz w:val="22"/>
                <w:szCs w:val="22"/>
              </w:rPr>
              <w:t>ij</w:t>
            </w:r>
            <w:r w:rsidRPr="0016092F">
              <w:rPr>
                <w:rFonts w:ascii="Times New Roman" w:hAnsi="Times New Roman"/>
                <w:sz w:val="22"/>
                <w:szCs w:val="22"/>
              </w:rPr>
              <w:t xml:space="preserve">eka intravenskim putem. </w:t>
            </w:r>
          </w:p>
          <w:p w:rsidR="00CE66A0" w:rsidRPr="0016092F" w:rsidRDefault="00CE66A0"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sz w:val="22"/>
                <w:szCs w:val="22"/>
              </w:rPr>
              <w:t>U slučaju da intravenski put prim</w:t>
            </w:r>
            <w:r w:rsidR="00D97C7A" w:rsidRPr="0016092F">
              <w:rPr>
                <w:rFonts w:ascii="Times New Roman" w:hAnsi="Times New Roman"/>
                <w:sz w:val="22"/>
                <w:szCs w:val="22"/>
              </w:rPr>
              <w:t>j</w:t>
            </w:r>
            <w:r w:rsidRPr="0016092F">
              <w:rPr>
                <w:rFonts w:ascii="Times New Roman" w:hAnsi="Times New Roman"/>
                <w:sz w:val="22"/>
                <w:szCs w:val="22"/>
              </w:rPr>
              <w:t>ene nije dostupan (pacijenti koji još uvek ni</w:t>
            </w:r>
            <w:r w:rsidR="00D97C7A" w:rsidRPr="0016092F">
              <w:rPr>
                <w:rFonts w:ascii="Times New Roman" w:hAnsi="Times New Roman"/>
                <w:sz w:val="22"/>
                <w:szCs w:val="22"/>
              </w:rPr>
              <w:t>je</w:t>
            </w:r>
            <w:r w:rsidRPr="0016092F">
              <w:rPr>
                <w:rFonts w:ascii="Times New Roman" w:hAnsi="Times New Roman"/>
                <w:sz w:val="22"/>
                <w:szCs w:val="22"/>
              </w:rPr>
              <w:t>su na hemodijalizi i pacijenti na peritonealnoj dijalizi), epoetin alfa se može prim</w:t>
            </w:r>
            <w:r w:rsidR="00D97C7A" w:rsidRPr="0016092F">
              <w:rPr>
                <w:rFonts w:ascii="Times New Roman" w:hAnsi="Times New Roman"/>
                <w:sz w:val="22"/>
                <w:szCs w:val="22"/>
              </w:rPr>
              <w:t>ij</w:t>
            </w:r>
            <w:r w:rsidRPr="0016092F">
              <w:rPr>
                <w:rFonts w:ascii="Times New Roman" w:hAnsi="Times New Roman"/>
                <w:sz w:val="22"/>
                <w:szCs w:val="22"/>
              </w:rPr>
              <w:t>eniti i kao supkutana injekcija.</w:t>
            </w:r>
          </w:p>
          <w:p w:rsidR="00CE66A0" w:rsidRPr="0016092F" w:rsidRDefault="00CE66A0" w:rsidP="006F146B">
            <w:pPr>
              <w:pStyle w:val="Header"/>
              <w:tabs>
                <w:tab w:val="clear" w:pos="4536"/>
                <w:tab w:val="clear" w:pos="9072"/>
                <w:tab w:val="left" w:pos="284"/>
              </w:tabs>
              <w:rPr>
                <w:rFonts w:ascii="Times New Roman" w:hAnsi="Times New Roman"/>
                <w:sz w:val="22"/>
                <w:szCs w:val="22"/>
              </w:rPr>
            </w:pPr>
          </w:p>
          <w:p w:rsidR="00964999" w:rsidRPr="0016092F" w:rsidRDefault="00964999"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Terapija odraslih  pacijenata sa anemijom indukovanom hemoterapijom</w:t>
            </w:r>
          </w:p>
          <w:p w:rsidR="00964999" w:rsidRPr="0016092F" w:rsidRDefault="0096499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Binocrit treba prim</w:t>
            </w:r>
            <w:r w:rsidR="00D97C7A" w:rsidRPr="0016092F">
              <w:rPr>
                <w:rFonts w:ascii="Times New Roman" w:hAnsi="Times New Roman"/>
                <w:sz w:val="22"/>
                <w:szCs w:val="22"/>
              </w:rPr>
              <w:t>ij</w:t>
            </w:r>
            <w:r w:rsidRPr="0016092F">
              <w:rPr>
                <w:rFonts w:ascii="Times New Roman" w:hAnsi="Times New Roman"/>
                <w:sz w:val="22"/>
                <w:szCs w:val="22"/>
              </w:rPr>
              <w:t>eniti kao supkutanu injekciju.</w:t>
            </w:r>
          </w:p>
          <w:p w:rsidR="00964999" w:rsidRPr="0016092F" w:rsidRDefault="00964999" w:rsidP="006F146B">
            <w:pPr>
              <w:pStyle w:val="Header"/>
              <w:tabs>
                <w:tab w:val="clear" w:pos="4536"/>
                <w:tab w:val="clear" w:pos="9072"/>
                <w:tab w:val="left" w:pos="284"/>
              </w:tabs>
              <w:rPr>
                <w:rFonts w:ascii="Times New Roman" w:hAnsi="Times New Roman"/>
                <w:sz w:val="22"/>
                <w:szCs w:val="22"/>
              </w:rPr>
            </w:pPr>
          </w:p>
          <w:p w:rsidR="00964999" w:rsidRPr="0016092F" w:rsidRDefault="00964999"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Terapija odraslih hirurških pacijenata u programu autologne predonacije</w:t>
            </w:r>
          </w:p>
          <w:p w:rsidR="00964999" w:rsidRPr="0016092F" w:rsidRDefault="0096499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Binocrit treba prim</w:t>
            </w:r>
            <w:r w:rsidR="00D97C7A" w:rsidRPr="0016092F">
              <w:rPr>
                <w:rFonts w:ascii="Times New Roman" w:hAnsi="Times New Roman"/>
                <w:sz w:val="22"/>
                <w:szCs w:val="22"/>
              </w:rPr>
              <w:t>ij</w:t>
            </w:r>
            <w:r w:rsidRPr="0016092F">
              <w:rPr>
                <w:rFonts w:ascii="Times New Roman" w:hAnsi="Times New Roman"/>
                <w:sz w:val="22"/>
                <w:szCs w:val="22"/>
              </w:rPr>
              <w:t>eniti intravenskim putem.</w:t>
            </w:r>
          </w:p>
          <w:p w:rsidR="00964999" w:rsidRPr="0016092F" w:rsidRDefault="00964999" w:rsidP="006F146B">
            <w:pPr>
              <w:pStyle w:val="Header"/>
              <w:tabs>
                <w:tab w:val="clear" w:pos="4536"/>
                <w:tab w:val="clear" w:pos="9072"/>
                <w:tab w:val="left" w:pos="284"/>
              </w:tabs>
              <w:rPr>
                <w:rFonts w:ascii="Times New Roman" w:hAnsi="Times New Roman"/>
                <w:sz w:val="22"/>
                <w:szCs w:val="22"/>
              </w:rPr>
            </w:pPr>
          </w:p>
          <w:p w:rsidR="00964999" w:rsidRPr="0016092F" w:rsidRDefault="00964999"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Terapija odraslih pacijenata predviđenih za velike elektivne ortopedske hirurške zahvate</w:t>
            </w:r>
          </w:p>
          <w:p w:rsidR="00964999" w:rsidRPr="0016092F" w:rsidRDefault="0096499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Binocrit treba prim</w:t>
            </w:r>
            <w:r w:rsidR="00D97C7A" w:rsidRPr="0016092F">
              <w:rPr>
                <w:rFonts w:ascii="Times New Roman" w:hAnsi="Times New Roman"/>
                <w:sz w:val="22"/>
                <w:szCs w:val="22"/>
              </w:rPr>
              <w:t>ij</w:t>
            </w:r>
            <w:r w:rsidRPr="0016092F">
              <w:rPr>
                <w:rFonts w:ascii="Times New Roman" w:hAnsi="Times New Roman"/>
                <w:sz w:val="22"/>
                <w:szCs w:val="22"/>
              </w:rPr>
              <w:t>eniti kao supkutanu injekciju.</w:t>
            </w:r>
          </w:p>
          <w:p w:rsidR="00964999" w:rsidRPr="0016092F" w:rsidRDefault="00964999" w:rsidP="006F146B">
            <w:pPr>
              <w:pStyle w:val="Header"/>
              <w:tabs>
                <w:tab w:val="clear" w:pos="4536"/>
                <w:tab w:val="clear" w:pos="9072"/>
                <w:tab w:val="left" w:pos="284"/>
              </w:tabs>
              <w:rPr>
                <w:rFonts w:ascii="Times New Roman" w:hAnsi="Times New Roman"/>
                <w:sz w:val="22"/>
                <w:szCs w:val="22"/>
              </w:rPr>
            </w:pPr>
          </w:p>
          <w:p w:rsidR="00964999" w:rsidRPr="0016092F" w:rsidRDefault="00964999"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Terapija simptomatske anemije kod pedijatrijskih pacijenata sa hroničnom insuficijencijom bubrega na hemodijalizi</w:t>
            </w:r>
          </w:p>
          <w:p w:rsidR="00964999" w:rsidRPr="0016092F" w:rsidRDefault="0096499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Binocrit treba prim</w:t>
            </w:r>
            <w:r w:rsidR="00D97C7A" w:rsidRPr="0016092F">
              <w:rPr>
                <w:rFonts w:ascii="Times New Roman" w:hAnsi="Times New Roman"/>
                <w:sz w:val="22"/>
                <w:szCs w:val="22"/>
              </w:rPr>
              <w:t>ij</w:t>
            </w:r>
            <w:r w:rsidRPr="0016092F">
              <w:rPr>
                <w:rFonts w:ascii="Times New Roman" w:hAnsi="Times New Roman"/>
                <w:sz w:val="22"/>
                <w:szCs w:val="22"/>
              </w:rPr>
              <w:t>eniti intravenskim putem.</w:t>
            </w:r>
          </w:p>
          <w:p w:rsidR="004D4BC4" w:rsidRPr="0016092F" w:rsidRDefault="004D4BC4" w:rsidP="006F146B">
            <w:pPr>
              <w:pStyle w:val="Header"/>
              <w:tabs>
                <w:tab w:val="clear" w:pos="4536"/>
                <w:tab w:val="clear" w:pos="9072"/>
                <w:tab w:val="left" w:pos="284"/>
              </w:tabs>
              <w:rPr>
                <w:rFonts w:ascii="Times New Roman" w:hAnsi="Times New Roman"/>
                <w:sz w:val="22"/>
                <w:szCs w:val="22"/>
              </w:rPr>
            </w:pPr>
          </w:p>
          <w:p w:rsidR="00964999" w:rsidRPr="0016092F" w:rsidRDefault="00BB148A"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 xml:space="preserve">Intravenska </w:t>
            </w:r>
            <w:r w:rsidR="00964999" w:rsidRPr="0016092F">
              <w:rPr>
                <w:rFonts w:ascii="Times New Roman" w:hAnsi="Times New Roman"/>
                <w:i/>
                <w:sz w:val="22"/>
                <w:szCs w:val="22"/>
              </w:rPr>
              <w:t>prim</w:t>
            </w:r>
            <w:r w:rsidR="00D97C7A" w:rsidRPr="0016092F">
              <w:rPr>
                <w:rFonts w:ascii="Times New Roman" w:hAnsi="Times New Roman"/>
                <w:i/>
                <w:sz w:val="22"/>
                <w:szCs w:val="22"/>
              </w:rPr>
              <w:t>j</w:t>
            </w:r>
            <w:r w:rsidR="00964999" w:rsidRPr="0016092F">
              <w:rPr>
                <w:rFonts w:ascii="Times New Roman" w:hAnsi="Times New Roman"/>
                <w:i/>
                <w:sz w:val="22"/>
                <w:szCs w:val="22"/>
              </w:rPr>
              <w:t>ena</w:t>
            </w:r>
          </w:p>
          <w:p w:rsidR="00964999" w:rsidRPr="0016092F" w:rsidRDefault="00BB148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Tokom najmanje 1 do 5 minuta, u zavisnosti od u</w:t>
            </w:r>
            <w:r w:rsidR="00327AB9" w:rsidRPr="0016092F">
              <w:rPr>
                <w:rFonts w:ascii="Times New Roman" w:hAnsi="Times New Roman"/>
                <w:sz w:val="22"/>
                <w:szCs w:val="22"/>
              </w:rPr>
              <w:t>kupne doze. Kod pacijenata na he</w:t>
            </w:r>
            <w:r w:rsidRPr="0016092F">
              <w:rPr>
                <w:rFonts w:ascii="Times New Roman" w:hAnsi="Times New Roman"/>
                <w:sz w:val="22"/>
                <w:szCs w:val="22"/>
              </w:rPr>
              <w:t>modijalizi, bolus injekcija se može dati tokom dijal</w:t>
            </w:r>
            <w:r w:rsidR="00562626" w:rsidRPr="0016092F">
              <w:rPr>
                <w:rFonts w:ascii="Times New Roman" w:hAnsi="Times New Roman"/>
                <w:sz w:val="22"/>
                <w:szCs w:val="22"/>
              </w:rPr>
              <w:t xml:space="preserve">ize putem odgovarajućeg </w:t>
            </w:r>
            <w:r w:rsidRPr="0016092F">
              <w:rPr>
                <w:rFonts w:ascii="Times New Roman" w:hAnsi="Times New Roman"/>
                <w:sz w:val="22"/>
                <w:szCs w:val="22"/>
              </w:rPr>
              <w:t xml:space="preserve">venskog ulaza u liniji </w:t>
            </w:r>
            <w:r w:rsidR="00562626" w:rsidRPr="0016092F">
              <w:rPr>
                <w:rFonts w:ascii="Times New Roman" w:hAnsi="Times New Roman"/>
                <w:sz w:val="22"/>
                <w:szCs w:val="22"/>
              </w:rPr>
              <w:t xml:space="preserve">za </w:t>
            </w:r>
            <w:r w:rsidRPr="0016092F">
              <w:rPr>
                <w:rFonts w:ascii="Times New Roman" w:hAnsi="Times New Roman"/>
                <w:sz w:val="22"/>
                <w:szCs w:val="22"/>
              </w:rPr>
              <w:t>dijaliz</w:t>
            </w:r>
            <w:r w:rsidR="00562626" w:rsidRPr="0016092F">
              <w:rPr>
                <w:rFonts w:ascii="Times New Roman" w:hAnsi="Times New Roman"/>
                <w:sz w:val="22"/>
                <w:szCs w:val="22"/>
              </w:rPr>
              <w:t>u</w:t>
            </w:r>
            <w:r w:rsidRPr="0016092F">
              <w:rPr>
                <w:rFonts w:ascii="Times New Roman" w:hAnsi="Times New Roman"/>
                <w:sz w:val="22"/>
                <w:szCs w:val="22"/>
              </w:rPr>
              <w:t xml:space="preserve">. Alternativno, injekcija se može dati na kraju dijalize kroz iglu u fistuli, a zatim </w:t>
            </w:r>
            <w:r w:rsidR="00327AB9" w:rsidRPr="0016092F">
              <w:rPr>
                <w:rFonts w:ascii="Times New Roman" w:hAnsi="Times New Roman"/>
                <w:sz w:val="22"/>
                <w:szCs w:val="22"/>
              </w:rPr>
              <w:t>prim</w:t>
            </w:r>
            <w:r w:rsidR="00D97C7A" w:rsidRPr="0016092F">
              <w:rPr>
                <w:rFonts w:ascii="Times New Roman" w:hAnsi="Times New Roman"/>
                <w:sz w:val="22"/>
                <w:szCs w:val="22"/>
              </w:rPr>
              <w:t>ij</w:t>
            </w:r>
            <w:r w:rsidR="00327AB9" w:rsidRPr="0016092F">
              <w:rPr>
                <w:rFonts w:ascii="Times New Roman" w:hAnsi="Times New Roman"/>
                <w:sz w:val="22"/>
                <w:szCs w:val="22"/>
              </w:rPr>
              <w:t xml:space="preserve">eniti </w:t>
            </w:r>
            <w:r w:rsidRPr="0016092F">
              <w:rPr>
                <w:rFonts w:ascii="Times New Roman" w:hAnsi="Times New Roman"/>
                <w:sz w:val="22"/>
                <w:szCs w:val="22"/>
              </w:rPr>
              <w:t xml:space="preserve">10 ml izotoničnog slanog rastvora radi </w:t>
            </w:r>
            <w:r w:rsidR="00327AB9" w:rsidRPr="0016092F">
              <w:rPr>
                <w:rFonts w:ascii="Times New Roman" w:hAnsi="Times New Roman"/>
                <w:sz w:val="22"/>
                <w:szCs w:val="22"/>
              </w:rPr>
              <w:t>ispiranja c</w:t>
            </w:r>
            <w:r w:rsidR="00D97C7A" w:rsidRPr="0016092F">
              <w:rPr>
                <w:rFonts w:ascii="Times New Roman" w:hAnsi="Times New Roman"/>
                <w:sz w:val="22"/>
                <w:szCs w:val="22"/>
              </w:rPr>
              <w:t>ij</w:t>
            </w:r>
            <w:r w:rsidR="00327AB9" w:rsidRPr="0016092F">
              <w:rPr>
                <w:rFonts w:ascii="Times New Roman" w:hAnsi="Times New Roman"/>
                <w:sz w:val="22"/>
                <w:szCs w:val="22"/>
              </w:rPr>
              <w:t xml:space="preserve">evi, čime se omogućava </w:t>
            </w:r>
            <w:r w:rsidR="004D4BC4" w:rsidRPr="0016092F">
              <w:rPr>
                <w:rFonts w:ascii="Times New Roman" w:hAnsi="Times New Roman"/>
                <w:sz w:val="22"/>
                <w:szCs w:val="22"/>
              </w:rPr>
              <w:t>da c</w:t>
            </w:r>
            <w:r w:rsidR="00D97C7A" w:rsidRPr="0016092F">
              <w:rPr>
                <w:rFonts w:ascii="Times New Roman" w:hAnsi="Times New Roman"/>
                <w:sz w:val="22"/>
                <w:szCs w:val="22"/>
              </w:rPr>
              <w:t>j</w:t>
            </w:r>
            <w:r w:rsidR="004D4BC4" w:rsidRPr="0016092F">
              <w:rPr>
                <w:rFonts w:ascii="Times New Roman" w:hAnsi="Times New Roman"/>
                <w:sz w:val="22"/>
                <w:szCs w:val="22"/>
              </w:rPr>
              <w:t>elokupna količina l</w:t>
            </w:r>
            <w:r w:rsidR="00D97C7A" w:rsidRPr="0016092F">
              <w:rPr>
                <w:rFonts w:ascii="Times New Roman" w:hAnsi="Times New Roman"/>
                <w:sz w:val="22"/>
                <w:szCs w:val="22"/>
              </w:rPr>
              <w:t>ij</w:t>
            </w:r>
            <w:r w:rsidR="004D4BC4" w:rsidRPr="0016092F">
              <w:rPr>
                <w:rFonts w:ascii="Times New Roman" w:hAnsi="Times New Roman"/>
                <w:sz w:val="22"/>
                <w:szCs w:val="22"/>
              </w:rPr>
              <w:t xml:space="preserve">eka uđe u cirkulaciju. </w:t>
            </w:r>
            <w:r w:rsidR="00964999" w:rsidRPr="0016092F">
              <w:rPr>
                <w:rFonts w:ascii="Times New Roman" w:hAnsi="Times New Roman"/>
                <w:sz w:val="22"/>
                <w:szCs w:val="22"/>
              </w:rPr>
              <w:t>(vid</w:t>
            </w:r>
            <w:r w:rsidR="00D97C7A" w:rsidRPr="0016092F">
              <w:rPr>
                <w:rFonts w:ascii="Times New Roman" w:hAnsi="Times New Roman"/>
                <w:sz w:val="22"/>
                <w:szCs w:val="22"/>
              </w:rPr>
              <w:t>j</w:t>
            </w:r>
            <w:r w:rsidR="00964999" w:rsidRPr="0016092F">
              <w:rPr>
                <w:rFonts w:ascii="Times New Roman" w:hAnsi="Times New Roman"/>
                <w:sz w:val="22"/>
                <w:szCs w:val="22"/>
              </w:rPr>
              <w:t xml:space="preserve">eti Doziranje, </w:t>
            </w:r>
            <w:r w:rsidR="00964999" w:rsidRPr="0016092F">
              <w:rPr>
                <w:rFonts w:ascii="Times New Roman" w:hAnsi="Times New Roman"/>
                <w:i/>
                <w:sz w:val="22"/>
                <w:szCs w:val="22"/>
              </w:rPr>
              <w:t>Odrasli pacijenti na hemodijalizi</w:t>
            </w:r>
            <w:r w:rsidR="00964999" w:rsidRPr="0016092F">
              <w:rPr>
                <w:rFonts w:ascii="Times New Roman" w:hAnsi="Times New Roman"/>
                <w:sz w:val="22"/>
                <w:szCs w:val="22"/>
              </w:rPr>
              <w:t xml:space="preserve">). </w:t>
            </w:r>
          </w:p>
          <w:p w:rsidR="00964999" w:rsidRPr="0016092F" w:rsidRDefault="00964999" w:rsidP="006F146B">
            <w:pPr>
              <w:pStyle w:val="Header"/>
              <w:tabs>
                <w:tab w:val="clear" w:pos="4536"/>
                <w:tab w:val="clear" w:pos="9072"/>
                <w:tab w:val="left" w:pos="284"/>
              </w:tabs>
              <w:rPr>
                <w:rFonts w:ascii="Times New Roman" w:hAnsi="Times New Roman"/>
                <w:sz w:val="22"/>
                <w:szCs w:val="22"/>
              </w:rPr>
            </w:pPr>
          </w:p>
          <w:p w:rsidR="00BB148A" w:rsidRPr="0016092F" w:rsidRDefault="004D4BC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Kod pacijenata koji na terapiju reaguju pojavom simptoma sličnih gripu, </w:t>
            </w:r>
            <w:r w:rsidR="00327AB9" w:rsidRPr="0016092F">
              <w:rPr>
                <w:rFonts w:ascii="Times New Roman" w:hAnsi="Times New Roman"/>
                <w:sz w:val="22"/>
                <w:szCs w:val="22"/>
              </w:rPr>
              <w:t>bolje</w:t>
            </w:r>
            <w:r w:rsidRPr="0016092F">
              <w:rPr>
                <w:rFonts w:ascii="Times New Roman" w:hAnsi="Times New Roman"/>
                <w:sz w:val="22"/>
                <w:szCs w:val="22"/>
              </w:rPr>
              <w:t xml:space="preserve"> je prim</w:t>
            </w:r>
            <w:r w:rsidR="00D97C7A" w:rsidRPr="0016092F">
              <w:rPr>
                <w:rFonts w:ascii="Times New Roman" w:hAnsi="Times New Roman"/>
                <w:sz w:val="22"/>
                <w:szCs w:val="22"/>
              </w:rPr>
              <w:t>ij</w:t>
            </w:r>
            <w:r w:rsidRPr="0016092F">
              <w:rPr>
                <w:rFonts w:ascii="Times New Roman" w:hAnsi="Times New Roman"/>
                <w:sz w:val="22"/>
                <w:szCs w:val="22"/>
              </w:rPr>
              <w:t>eniti sporiju injekciju</w:t>
            </w:r>
            <w:r w:rsidR="00964999" w:rsidRPr="0016092F">
              <w:rPr>
                <w:rFonts w:ascii="Times New Roman" w:hAnsi="Times New Roman"/>
                <w:sz w:val="22"/>
                <w:szCs w:val="22"/>
              </w:rPr>
              <w:t xml:space="preserve"> (vid</w:t>
            </w:r>
            <w:r w:rsidR="00D97C7A" w:rsidRPr="0016092F">
              <w:rPr>
                <w:rFonts w:ascii="Times New Roman" w:hAnsi="Times New Roman"/>
                <w:sz w:val="22"/>
                <w:szCs w:val="22"/>
              </w:rPr>
              <w:t>j</w:t>
            </w:r>
            <w:r w:rsidR="00964999" w:rsidRPr="0016092F">
              <w:rPr>
                <w:rFonts w:ascii="Times New Roman" w:hAnsi="Times New Roman"/>
                <w:sz w:val="22"/>
                <w:szCs w:val="22"/>
              </w:rPr>
              <w:t>eti od</w:t>
            </w:r>
            <w:r w:rsidR="00D97C7A" w:rsidRPr="0016092F">
              <w:rPr>
                <w:rFonts w:ascii="Times New Roman" w:hAnsi="Times New Roman"/>
                <w:sz w:val="22"/>
                <w:szCs w:val="22"/>
              </w:rPr>
              <w:t>j</w:t>
            </w:r>
            <w:r w:rsidR="00964999" w:rsidRPr="0016092F">
              <w:rPr>
                <w:rFonts w:ascii="Times New Roman" w:hAnsi="Times New Roman"/>
                <w:sz w:val="22"/>
                <w:szCs w:val="22"/>
              </w:rPr>
              <w:t>eljak 4.8)</w:t>
            </w:r>
            <w:r w:rsidRPr="0016092F">
              <w:rPr>
                <w:rFonts w:ascii="Times New Roman" w:hAnsi="Times New Roman"/>
                <w:sz w:val="22"/>
                <w:szCs w:val="22"/>
              </w:rPr>
              <w:t>.</w:t>
            </w:r>
          </w:p>
          <w:p w:rsidR="00964999" w:rsidRPr="0016092F" w:rsidRDefault="00964999" w:rsidP="006F146B">
            <w:pPr>
              <w:pStyle w:val="Header"/>
              <w:tabs>
                <w:tab w:val="clear" w:pos="4536"/>
                <w:tab w:val="clear" w:pos="9072"/>
                <w:tab w:val="left" w:pos="284"/>
              </w:tabs>
              <w:rPr>
                <w:rFonts w:ascii="Times New Roman" w:hAnsi="Times New Roman"/>
                <w:sz w:val="22"/>
                <w:szCs w:val="22"/>
              </w:rPr>
            </w:pPr>
          </w:p>
          <w:p w:rsidR="00964999" w:rsidRPr="0016092F" w:rsidRDefault="0096499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Nemojte prim</w:t>
            </w:r>
            <w:r w:rsidR="00D97C7A" w:rsidRPr="0016092F">
              <w:rPr>
                <w:rFonts w:ascii="Times New Roman" w:hAnsi="Times New Roman"/>
                <w:sz w:val="22"/>
                <w:szCs w:val="22"/>
              </w:rPr>
              <w:t>j</w:t>
            </w:r>
            <w:r w:rsidRPr="0016092F">
              <w:rPr>
                <w:rFonts w:ascii="Times New Roman" w:hAnsi="Times New Roman"/>
                <w:sz w:val="22"/>
                <w:szCs w:val="22"/>
              </w:rPr>
              <w:t>enjivati Binocrit kao intravensku infuziju ili zajedno sa rastvorom drugog l</w:t>
            </w:r>
            <w:r w:rsidR="00D97C7A" w:rsidRPr="0016092F">
              <w:rPr>
                <w:rFonts w:ascii="Times New Roman" w:hAnsi="Times New Roman"/>
                <w:sz w:val="22"/>
                <w:szCs w:val="22"/>
              </w:rPr>
              <w:t>ij</w:t>
            </w:r>
            <w:r w:rsidRPr="0016092F">
              <w:rPr>
                <w:rFonts w:ascii="Times New Roman" w:hAnsi="Times New Roman"/>
                <w:sz w:val="22"/>
                <w:szCs w:val="22"/>
              </w:rPr>
              <w:t>eka (vid</w:t>
            </w:r>
            <w:r w:rsidR="00D97C7A" w:rsidRPr="0016092F">
              <w:rPr>
                <w:rFonts w:ascii="Times New Roman" w:hAnsi="Times New Roman"/>
                <w:sz w:val="22"/>
                <w:szCs w:val="22"/>
              </w:rPr>
              <w:t>j</w:t>
            </w:r>
            <w:r w:rsidRPr="0016092F">
              <w:rPr>
                <w:rFonts w:ascii="Times New Roman" w:hAnsi="Times New Roman"/>
                <w:sz w:val="22"/>
                <w:szCs w:val="22"/>
              </w:rPr>
              <w:t>eti od</w:t>
            </w:r>
            <w:r w:rsidR="00D97C7A" w:rsidRPr="0016092F">
              <w:rPr>
                <w:rFonts w:ascii="Times New Roman" w:hAnsi="Times New Roman"/>
                <w:sz w:val="22"/>
                <w:szCs w:val="22"/>
              </w:rPr>
              <w:t>j</w:t>
            </w:r>
            <w:r w:rsidRPr="0016092F">
              <w:rPr>
                <w:rFonts w:ascii="Times New Roman" w:hAnsi="Times New Roman"/>
                <w:sz w:val="22"/>
                <w:szCs w:val="22"/>
              </w:rPr>
              <w:t>eljak 6.6. za dodatne informacije).</w:t>
            </w:r>
          </w:p>
          <w:p w:rsidR="004D4BC4" w:rsidRPr="0016092F" w:rsidRDefault="004D4BC4" w:rsidP="006F146B">
            <w:pPr>
              <w:pStyle w:val="Header"/>
              <w:tabs>
                <w:tab w:val="clear" w:pos="4536"/>
                <w:tab w:val="clear" w:pos="9072"/>
                <w:tab w:val="left" w:pos="284"/>
              </w:tabs>
              <w:rPr>
                <w:rFonts w:ascii="Times New Roman" w:hAnsi="Times New Roman"/>
                <w:sz w:val="22"/>
                <w:szCs w:val="22"/>
              </w:rPr>
            </w:pPr>
          </w:p>
          <w:p w:rsidR="00964999" w:rsidRPr="0016092F" w:rsidRDefault="004D4BC4"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Su</w:t>
            </w:r>
            <w:r w:rsidR="0043712B" w:rsidRPr="0016092F">
              <w:rPr>
                <w:rFonts w:ascii="Times New Roman" w:hAnsi="Times New Roman"/>
                <w:i/>
                <w:sz w:val="22"/>
                <w:szCs w:val="22"/>
              </w:rPr>
              <w:t>p</w:t>
            </w:r>
            <w:r w:rsidRPr="0016092F">
              <w:rPr>
                <w:rFonts w:ascii="Times New Roman" w:hAnsi="Times New Roman"/>
                <w:i/>
                <w:sz w:val="22"/>
                <w:szCs w:val="22"/>
              </w:rPr>
              <w:t>kutan</w:t>
            </w:r>
            <w:r w:rsidR="00A40F78" w:rsidRPr="0016092F">
              <w:rPr>
                <w:rFonts w:ascii="Times New Roman" w:hAnsi="Times New Roman"/>
                <w:i/>
                <w:sz w:val="22"/>
                <w:szCs w:val="22"/>
              </w:rPr>
              <w:t>a</w:t>
            </w:r>
            <w:r w:rsidRPr="0016092F">
              <w:rPr>
                <w:rFonts w:ascii="Times New Roman" w:hAnsi="Times New Roman"/>
                <w:i/>
                <w:sz w:val="22"/>
                <w:szCs w:val="22"/>
              </w:rPr>
              <w:t xml:space="preserve"> </w:t>
            </w:r>
            <w:r w:rsidR="00964999" w:rsidRPr="0016092F">
              <w:rPr>
                <w:rFonts w:ascii="Times New Roman" w:hAnsi="Times New Roman"/>
                <w:i/>
                <w:sz w:val="22"/>
                <w:szCs w:val="22"/>
              </w:rPr>
              <w:t>prim</w:t>
            </w:r>
            <w:r w:rsidR="00D97C7A" w:rsidRPr="0016092F">
              <w:rPr>
                <w:rFonts w:ascii="Times New Roman" w:hAnsi="Times New Roman"/>
                <w:i/>
                <w:sz w:val="22"/>
                <w:szCs w:val="22"/>
              </w:rPr>
              <w:t>j</w:t>
            </w:r>
            <w:r w:rsidR="00964999" w:rsidRPr="0016092F">
              <w:rPr>
                <w:rFonts w:ascii="Times New Roman" w:hAnsi="Times New Roman"/>
                <w:i/>
                <w:sz w:val="22"/>
                <w:szCs w:val="22"/>
              </w:rPr>
              <w:t>ena</w:t>
            </w:r>
          </w:p>
          <w:p w:rsidR="00964999" w:rsidRPr="0016092F" w:rsidRDefault="004D4BC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Generalno, ne sm</w:t>
            </w:r>
            <w:r w:rsidR="00D97C7A" w:rsidRPr="0016092F">
              <w:rPr>
                <w:rFonts w:ascii="Times New Roman" w:hAnsi="Times New Roman"/>
                <w:sz w:val="22"/>
                <w:szCs w:val="22"/>
              </w:rPr>
              <w:t>ij</w:t>
            </w:r>
            <w:r w:rsidRPr="0016092F">
              <w:rPr>
                <w:rFonts w:ascii="Times New Roman" w:hAnsi="Times New Roman"/>
                <w:sz w:val="22"/>
                <w:szCs w:val="22"/>
              </w:rPr>
              <w:t xml:space="preserve">e </w:t>
            </w:r>
            <w:r w:rsidR="00327AB9" w:rsidRPr="0016092F">
              <w:rPr>
                <w:rFonts w:ascii="Times New Roman" w:hAnsi="Times New Roman"/>
                <w:sz w:val="22"/>
                <w:szCs w:val="22"/>
              </w:rPr>
              <w:t xml:space="preserve">se </w:t>
            </w:r>
            <w:r w:rsidRPr="0016092F">
              <w:rPr>
                <w:rFonts w:ascii="Times New Roman" w:hAnsi="Times New Roman"/>
                <w:sz w:val="22"/>
                <w:szCs w:val="22"/>
              </w:rPr>
              <w:t>premašiti maksimalna količina od 1 ml na jednom m</w:t>
            </w:r>
            <w:r w:rsidR="00D97C7A" w:rsidRPr="0016092F">
              <w:rPr>
                <w:rFonts w:ascii="Times New Roman" w:hAnsi="Times New Roman"/>
                <w:sz w:val="22"/>
                <w:szCs w:val="22"/>
              </w:rPr>
              <w:t>j</w:t>
            </w:r>
            <w:r w:rsidRPr="0016092F">
              <w:rPr>
                <w:rFonts w:ascii="Times New Roman" w:hAnsi="Times New Roman"/>
                <w:sz w:val="22"/>
                <w:szCs w:val="22"/>
              </w:rPr>
              <w:t>estu aplikacije. U slučaju veće količine l</w:t>
            </w:r>
            <w:r w:rsidR="00D97C7A" w:rsidRPr="0016092F">
              <w:rPr>
                <w:rFonts w:ascii="Times New Roman" w:hAnsi="Times New Roman"/>
                <w:sz w:val="22"/>
                <w:szCs w:val="22"/>
              </w:rPr>
              <w:t>ij</w:t>
            </w:r>
            <w:r w:rsidRPr="0016092F">
              <w:rPr>
                <w:rFonts w:ascii="Times New Roman" w:hAnsi="Times New Roman"/>
                <w:sz w:val="22"/>
                <w:szCs w:val="22"/>
              </w:rPr>
              <w:t>eka, potrebno je injekciju prim</w:t>
            </w:r>
            <w:r w:rsidR="00D97C7A" w:rsidRPr="0016092F">
              <w:rPr>
                <w:rFonts w:ascii="Times New Roman" w:hAnsi="Times New Roman"/>
                <w:sz w:val="22"/>
                <w:szCs w:val="22"/>
              </w:rPr>
              <w:t>ij</w:t>
            </w:r>
            <w:r w:rsidRPr="0016092F">
              <w:rPr>
                <w:rFonts w:ascii="Times New Roman" w:hAnsi="Times New Roman"/>
                <w:sz w:val="22"/>
                <w:szCs w:val="22"/>
              </w:rPr>
              <w:t>eniti na više različitih m</w:t>
            </w:r>
            <w:r w:rsidR="00D97C7A" w:rsidRPr="0016092F">
              <w:rPr>
                <w:rFonts w:ascii="Times New Roman" w:hAnsi="Times New Roman"/>
                <w:sz w:val="22"/>
                <w:szCs w:val="22"/>
              </w:rPr>
              <w:t>j</w:t>
            </w:r>
            <w:r w:rsidRPr="0016092F">
              <w:rPr>
                <w:rFonts w:ascii="Times New Roman" w:hAnsi="Times New Roman"/>
                <w:sz w:val="22"/>
                <w:szCs w:val="22"/>
              </w:rPr>
              <w:t xml:space="preserve">esta. </w:t>
            </w:r>
          </w:p>
          <w:p w:rsidR="00BF7B6B" w:rsidRPr="0016092F" w:rsidRDefault="004D4BC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Injekcije se prim</w:t>
            </w:r>
            <w:r w:rsidR="00D97C7A" w:rsidRPr="0016092F">
              <w:rPr>
                <w:rFonts w:ascii="Times New Roman" w:hAnsi="Times New Roman"/>
                <w:sz w:val="22"/>
                <w:szCs w:val="22"/>
              </w:rPr>
              <w:t>j</w:t>
            </w:r>
            <w:r w:rsidRPr="0016092F">
              <w:rPr>
                <w:rFonts w:ascii="Times New Roman" w:hAnsi="Times New Roman"/>
                <w:sz w:val="22"/>
                <w:szCs w:val="22"/>
              </w:rPr>
              <w:t>enjuju u butinu ili prednji abdominalni zid.</w:t>
            </w:r>
          </w:p>
          <w:p w:rsidR="00993B14" w:rsidRPr="0016092F" w:rsidRDefault="00993B14" w:rsidP="006F146B">
            <w:pPr>
              <w:pStyle w:val="Header"/>
              <w:tabs>
                <w:tab w:val="clear" w:pos="4536"/>
                <w:tab w:val="clear" w:pos="9072"/>
                <w:tab w:val="left" w:pos="284"/>
              </w:tabs>
              <w:rPr>
                <w:rFonts w:ascii="Times New Roman" w:hAnsi="Times New Roman"/>
                <w:sz w:val="22"/>
                <w:szCs w:val="22"/>
              </w:rPr>
            </w:pPr>
          </w:p>
          <w:p w:rsidR="00993B14" w:rsidRPr="0016092F" w:rsidRDefault="00993B1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situacijama u kojima l</w:t>
            </w:r>
            <w:r w:rsidR="00D97C7A" w:rsidRPr="0016092F">
              <w:rPr>
                <w:rFonts w:ascii="Times New Roman" w:hAnsi="Times New Roman"/>
                <w:sz w:val="22"/>
                <w:szCs w:val="22"/>
              </w:rPr>
              <w:t>j</w:t>
            </w:r>
            <w:r w:rsidRPr="0016092F">
              <w:rPr>
                <w:rFonts w:ascii="Times New Roman" w:hAnsi="Times New Roman"/>
                <w:sz w:val="22"/>
                <w:szCs w:val="22"/>
              </w:rPr>
              <w:t>ekar proc</w:t>
            </w:r>
            <w:r w:rsidR="00D97C7A" w:rsidRPr="0016092F">
              <w:rPr>
                <w:rFonts w:ascii="Times New Roman" w:hAnsi="Times New Roman"/>
                <w:sz w:val="22"/>
                <w:szCs w:val="22"/>
              </w:rPr>
              <w:t>ij</w:t>
            </w:r>
            <w:r w:rsidRPr="0016092F">
              <w:rPr>
                <w:rFonts w:ascii="Times New Roman" w:hAnsi="Times New Roman"/>
                <w:sz w:val="22"/>
                <w:szCs w:val="22"/>
              </w:rPr>
              <w:t>eni da pacijent ili n</w:t>
            </w:r>
            <w:r w:rsidR="00D97C7A" w:rsidRPr="0016092F">
              <w:rPr>
                <w:rFonts w:ascii="Times New Roman" w:hAnsi="Times New Roman"/>
                <w:sz w:val="22"/>
                <w:szCs w:val="22"/>
              </w:rPr>
              <w:t>j</w:t>
            </w:r>
            <w:r w:rsidRPr="0016092F">
              <w:rPr>
                <w:rFonts w:ascii="Times New Roman" w:hAnsi="Times New Roman"/>
                <w:sz w:val="22"/>
                <w:szCs w:val="22"/>
              </w:rPr>
              <w:t>egovatelj mogu bezb</w:t>
            </w:r>
            <w:r w:rsidR="00D97C7A" w:rsidRPr="0016092F">
              <w:rPr>
                <w:rFonts w:ascii="Times New Roman" w:hAnsi="Times New Roman"/>
                <w:sz w:val="22"/>
                <w:szCs w:val="22"/>
              </w:rPr>
              <w:t>j</w:t>
            </w:r>
            <w:r w:rsidRPr="0016092F">
              <w:rPr>
                <w:rFonts w:ascii="Times New Roman" w:hAnsi="Times New Roman"/>
                <w:sz w:val="22"/>
                <w:szCs w:val="22"/>
              </w:rPr>
              <w:t>edno i efikasno da prim</w:t>
            </w:r>
            <w:r w:rsidR="00D97C7A" w:rsidRPr="0016092F">
              <w:rPr>
                <w:rFonts w:ascii="Times New Roman" w:hAnsi="Times New Roman"/>
                <w:sz w:val="22"/>
                <w:szCs w:val="22"/>
              </w:rPr>
              <w:t>ij</w:t>
            </w:r>
            <w:r w:rsidRPr="0016092F">
              <w:rPr>
                <w:rFonts w:ascii="Times New Roman" w:hAnsi="Times New Roman"/>
                <w:sz w:val="22"/>
                <w:szCs w:val="22"/>
              </w:rPr>
              <w:t>ene l</w:t>
            </w:r>
            <w:r w:rsidR="00D97C7A" w:rsidRPr="0016092F">
              <w:rPr>
                <w:rFonts w:ascii="Times New Roman" w:hAnsi="Times New Roman"/>
                <w:sz w:val="22"/>
                <w:szCs w:val="22"/>
              </w:rPr>
              <w:t>ij</w:t>
            </w:r>
            <w:r w:rsidRPr="0016092F">
              <w:rPr>
                <w:rFonts w:ascii="Times New Roman" w:hAnsi="Times New Roman"/>
                <w:sz w:val="22"/>
                <w:szCs w:val="22"/>
              </w:rPr>
              <w:t>ek Binokrit su</w:t>
            </w:r>
            <w:r w:rsidR="0043712B" w:rsidRPr="0016092F">
              <w:rPr>
                <w:rFonts w:ascii="Times New Roman" w:hAnsi="Times New Roman"/>
                <w:sz w:val="22"/>
                <w:szCs w:val="22"/>
              </w:rPr>
              <w:t>p</w:t>
            </w:r>
            <w:r w:rsidRPr="0016092F">
              <w:rPr>
                <w:rFonts w:ascii="Times New Roman" w:hAnsi="Times New Roman"/>
                <w:sz w:val="22"/>
                <w:szCs w:val="22"/>
              </w:rPr>
              <w:t>kutano, potrebno ih je obučiti o pravilnoj dozi i prim</w:t>
            </w:r>
            <w:r w:rsidR="00D97C7A" w:rsidRPr="0016092F">
              <w:rPr>
                <w:rFonts w:ascii="Times New Roman" w:hAnsi="Times New Roman"/>
                <w:sz w:val="22"/>
                <w:szCs w:val="22"/>
              </w:rPr>
              <w:t>ij</w:t>
            </w:r>
            <w:r w:rsidRPr="0016092F">
              <w:rPr>
                <w:rFonts w:ascii="Times New Roman" w:hAnsi="Times New Roman"/>
                <w:sz w:val="22"/>
                <w:szCs w:val="22"/>
              </w:rPr>
              <w:t>eni l</w:t>
            </w:r>
            <w:r w:rsidR="00D97C7A" w:rsidRPr="0016092F">
              <w:rPr>
                <w:rFonts w:ascii="Times New Roman" w:hAnsi="Times New Roman"/>
                <w:sz w:val="22"/>
                <w:szCs w:val="22"/>
              </w:rPr>
              <w:t>ij</w:t>
            </w:r>
            <w:r w:rsidRPr="0016092F">
              <w:rPr>
                <w:rFonts w:ascii="Times New Roman" w:hAnsi="Times New Roman"/>
                <w:sz w:val="22"/>
                <w:szCs w:val="22"/>
              </w:rPr>
              <w:t>eka.</w:t>
            </w:r>
          </w:p>
          <w:p w:rsidR="00964999" w:rsidRPr="0016092F" w:rsidRDefault="00964999" w:rsidP="006F146B">
            <w:pPr>
              <w:pStyle w:val="Header"/>
              <w:tabs>
                <w:tab w:val="clear" w:pos="4536"/>
                <w:tab w:val="clear" w:pos="9072"/>
                <w:tab w:val="left" w:pos="284"/>
              </w:tabs>
              <w:rPr>
                <w:rFonts w:ascii="Times New Roman" w:hAnsi="Times New Roman"/>
                <w:sz w:val="22"/>
                <w:szCs w:val="22"/>
              </w:rPr>
            </w:pPr>
          </w:p>
          <w:p w:rsidR="00964999" w:rsidRPr="0016092F" w:rsidRDefault="0096499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Uputstvo za samostalnu prim</w:t>
            </w:r>
            <w:r w:rsidR="00D97C7A" w:rsidRPr="0016092F">
              <w:rPr>
                <w:rFonts w:ascii="Times New Roman" w:hAnsi="Times New Roman"/>
                <w:sz w:val="22"/>
                <w:szCs w:val="22"/>
              </w:rPr>
              <w:t>j</w:t>
            </w:r>
            <w:r w:rsidRPr="0016092F">
              <w:rPr>
                <w:rFonts w:ascii="Times New Roman" w:hAnsi="Times New Roman"/>
                <w:sz w:val="22"/>
                <w:szCs w:val="22"/>
              </w:rPr>
              <w:t>enu l</w:t>
            </w:r>
            <w:r w:rsidR="00D97C7A" w:rsidRPr="0016092F">
              <w:rPr>
                <w:rFonts w:ascii="Times New Roman" w:hAnsi="Times New Roman"/>
                <w:sz w:val="22"/>
                <w:szCs w:val="22"/>
              </w:rPr>
              <w:t>ij</w:t>
            </w:r>
            <w:r w:rsidRPr="0016092F">
              <w:rPr>
                <w:rFonts w:ascii="Times New Roman" w:hAnsi="Times New Roman"/>
                <w:sz w:val="22"/>
                <w:szCs w:val="22"/>
              </w:rPr>
              <w:t>eka Binocrit mogu se naći na kraju Uputstva za l</w:t>
            </w:r>
            <w:r w:rsidR="00D97C7A" w:rsidRPr="0016092F">
              <w:rPr>
                <w:rFonts w:ascii="Times New Roman" w:hAnsi="Times New Roman"/>
                <w:sz w:val="22"/>
                <w:szCs w:val="22"/>
              </w:rPr>
              <w:t>ij</w:t>
            </w:r>
            <w:r w:rsidRPr="0016092F">
              <w:rPr>
                <w:rFonts w:ascii="Times New Roman" w:hAnsi="Times New Roman"/>
                <w:sz w:val="22"/>
                <w:szCs w:val="22"/>
              </w:rPr>
              <w:t>ek.</w:t>
            </w:r>
          </w:p>
          <w:p w:rsidR="00A22A8F" w:rsidRPr="0016092F" w:rsidRDefault="00A22A8F"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lastRenderedPageBreak/>
              <w:t>4.3. Kontraindikacije</w:t>
            </w:r>
          </w:p>
        </w:tc>
      </w:tr>
      <w:tr w:rsidR="00834DBB" w:rsidRPr="0016092F" w:rsidTr="006F146B">
        <w:trPr>
          <w:trHeight w:val="898"/>
        </w:trPr>
        <w:tc>
          <w:tcPr>
            <w:tcW w:w="5000" w:type="pct"/>
            <w:gridSpan w:val="4"/>
            <w:vAlign w:val="center"/>
          </w:tcPr>
          <w:p w:rsidR="00A059B6" w:rsidRPr="0016092F" w:rsidRDefault="009F1475" w:rsidP="006F146B">
            <w:pPr>
              <w:pStyle w:val="Header"/>
              <w:numPr>
                <w:ilvl w:val="0"/>
                <w:numId w:val="5"/>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Preos</w:t>
            </w:r>
            <w:r w:rsidR="00D97C7A" w:rsidRPr="0016092F">
              <w:rPr>
                <w:rFonts w:ascii="Times New Roman" w:hAnsi="Times New Roman"/>
                <w:sz w:val="22"/>
                <w:szCs w:val="22"/>
              </w:rPr>
              <w:t>j</w:t>
            </w:r>
            <w:r w:rsidRPr="0016092F">
              <w:rPr>
                <w:rFonts w:ascii="Times New Roman" w:hAnsi="Times New Roman"/>
                <w:sz w:val="22"/>
                <w:szCs w:val="22"/>
              </w:rPr>
              <w:t>etljivost</w:t>
            </w:r>
            <w:r w:rsidR="00957CC7" w:rsidRPr="0016092F">
              <w:rPr>
                <w:rFonts w:ascii="Times New Roman" w:hAnsi="Times New Roman"/>
                <w:sz w:val="22"/>
                <w:szCs w:val="22"/>
              </w:rPr>
              <w:t xml:space="preserve"> na aktivnu supstancu ili bilo koji sastojak l</w:t>
            </w:r>
            <w:r w:rsidR="00D97C7A" w:rsidRPr="0016092F">
              <w:rPr>
                <w:rFonts w:ascii="Times New Roman" w:hAnsi="Times New Roman"/>
                <w:sz w:val="22"/>
                <w:szCs w:val="22"/>
              </w:rPr>
              <w:t>ij</w:t>
            </w:r>
            <w:r w:rsidR="00957CC7" w:rsidRPr="0016092F">
              <w:rPr>
                <w:rFonts w:ascii="Times New Roman" w:hAnsi="Times New Roman"/>
                <w:sz w:val="22"/>
                <w:szCs w:val="22"/>
              </w:rPr>
              <w:t>eka</w:t>
            </w:r>
            <w:r w:rsidR="009005CB" w:rsidRPr="0016092F">
              <w:rPr>
                <w:rFonts w:ascii="Times New Roman" w:hAnsi="Times New Roman"/>
                <w:sz w:val="22"/>
                <w:szCs w:val="22"/>
              </w:rPr>
              <w:t xml:space="preserve"> naveden</w:t>
            </w:r>
            <w:r w:rsidRPr="0016092F">
              <w:rPr>
                <w:rFonts w:ascii="Times New Roman" w:hAnsi="Times New Roman"/>
                <w:sz w:val="22"/>
                <w:szCs w:val="22"/>
              </w:rPr>
              <w:t xml:space="preserve"> u odeljku 6.1.</w:t>
            </w:r>
          </w:p>
          <w:p w:rsidR="00957CC7" w:rsidRPr="0016092F" w:rsidRDefault="00957CC7" w:rsidP="006F146B">
            <w:pPr>
              <w:pStyle w:val="Header"/>
              <w:numPr>
                <w:ilvl w:val="0"/>
                <w:numId w:val="5"/>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Pacijenti kod kojih se razvije čista aplazija crvenih krvnih zrnaca (PRCA) nakon terapije </w:t>
            </w:r>
            <w:r w:rsidR="00D97C7A" w:rsidRPr="0016092F">
              <w:rPr>
                <w:rFonts w:ascii="Times New Roman" w:hAnsi="Times New Roman"/>
                <w:sz w:val="22"/>
                <w:szCs w:val="22"/>
              </w:rPr>
              <w:t>bilo kojim eritropoetinom ne smi</w:t>
            </w:r>
            <w:r w:rsidRPr="0016092F">
              <w:rPr>
                <w:rFonts w:ascii="Times New Roman" w:hAnsi="Times New Roman"/>
                <w:sz w:val="22"/>
                <w:szCs w:val="22"/>
              </w:rPr>
              <w:t>ju primati l</w:t>
            </w:r>
            <w:r w:rsidR="00D97C7A" w:rsidRPr="0016092F">
              <w:rPr>
                <w:rFonts w:ascii="Times New Roman" w:hAnsi="Times New Roman"/>
                <w:sz w:val="22"/>
                <w:szCs w:val="22"/>
              </w:rPr>
              <w:t>ij</w:t>
            </w:r>
            <w:r w:rsidRPr="0016092F">
              <w:rPr>
                <w:rFonts w:ascii="Times New Roman" w:hAnsi="Times New Roman"/>
                <w:sz w:val="22"/>
                <w:szCs w:val="22"/>
              </w:rPr>
              <w:t xml:space="preserve">ek </w:t>
            </w:r>
            <w:r w:rsidR="00627B6C" w:rsidRPr="0016092F">
              <w:rPr>
                <w:rFonts w:ascii="Times New Roman" w:hAnsi="Times New Roman"/>
                <w:sz w:val="22"/>
                <w:szCs w:val="22"/>
              </w:rPr>
              <w:t>Binocrit</w:t>
            </w:r>
            <w:r w:rsidRPr="0016092F">
              <w:rPr>
                <w:rFonts w:ascii="Times New Roman" w:hAnsi="Times New Roman"/>
                <w:sz w:val="22"/>
                <w:szCs w:val="22"/>
              </w:rPr>
              <w:t xml:space="preserve"> </w:t>
            </w:r>
            <w:r w:rsidR="00327AB9" w:rsidRPr="0016092F">
              <w:rPr>
                <w:rFonts w:ascii="Times New Roman" w:hAnsi="Times New Roman"/>
                <w:sz w:val="22"/>
                <w:szCs w:val="22"/>
              </w:rPr>
              <w:t>nit</w:t>
            </w:r>
            <w:r w:rsidRPr="0016092F">
              <w:rPr>
                <w:rFonts w:ascii="Times New Roman" w:hAnsi="Times New Roman"/>
                <w:sz w:val="22"/>
                <w:szCs w:val="22"/>
              </w:rPr>
              <w:t>i bilo koji drugi eritropoetin (vid</w:t>
            </w:r>
            <w:r w:rsidR="00D97C7A" w:rsidRPr="0016092F">
              <w:rPr>
                <w:rFonts w:ascii="Times New Roman" w:hAnsi="Times New Roman"/>
                <w:sz w:val="22"/>
                <w:szCs w:val="22"/>
              </w:rPr>
              <w:t>j</w:t>
            </w:r>
            <w:r w:rsidRPr="0016092F">
              <w:rPr>
                <w:rFonts w:ascii="Times New Roman" w:hAnsi="Times New Roman"/>
                <w:sz w:val="22"/>
                <w:szCs w:val="22"/>
              </w:rPr>
              <w:t>eti od</w:t>
            </w:r>
            <w:r w:rsidR="00D97C7A" w:rsidRPr="0016092F">
              <w:rPr>
                <w:rFonts w:ascii="Times New Roman" w:hAnsi="Times New Roman"/>
                <w:sz w:val="22"/>
                <w:szCs w:val="22"/>
              </w:rPr>
              <w:t>j</w:t>
            </w:r>
            <w:r w:rsidRPr="0016092F">
              <w:rPr>
                <w:rFonts w:ascii="Times New Roman" w:hAnsi="Times New Roman"/>
                <w:sz w:val="22"/>
                <w:szCs w:val="22"/>
              </w:rPr>
              <w:t>eljak 4.4.</w:t>
            </w:r>
            <w:r w:rsidR="009005CB" w:rsidRPr="0016092F">
              <w:rPr>
                <w:rFonts w:ascii="Times New Roman" w:hAnsi="Times New Roman"/>
                <w:sz w:val="22"/>
                <w:szCs w:val="22"/>
              </w:rPr>
              <w:t>- Čista aplazija crvene krvne loze (PRCA</w:t>
            </w:r>
            <w:r w:rsidRPr="0016092F">
              <w:rPr>
                <w:rFonts w:ascii="Times New Roman" w:hAnsi="Times New Roman"/>
                <w:sz w:val="22"/>
                <w:szCs w:val="22"/>
              </w:rPr>
              <w:t>)</w:t>
            </w:r>
            <w:r w:rsidR="009005CB" w:rsidRPr="0016092F">
              <w:rPr>
                <w:rFonts w:ascii="Times New Roman" w:hAnsi="Times New Roman"/>
                <w:sz w:val="22"/>
                <w:szCs w:val="22"/>
              </w:rPr>
              <w:t>)</w:t>
            </w:r>
          </w:p>
          <w:p w:rsidR="00957CC7" w:rsidRPr="0016092F" w:rsidRDefault="00957CC7"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Nekontrolisana hipertenzija</w:t>
            </w:r>
          </w:p>
          <w:p w:rsidR="00180365" w:rsidRPr="0016092F" w:rsidRDefault="00180365"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Sve kontraindikacije koje su povezane sa programom autologe predonacije krvi odnose se i na  pacijenate koji dobijaju epoetin alfa.</w:t>
            </w:r>
          </w:p>
          <w:p w:rsidR="00180365" w:rsidRPr="0016092F" w:rsidRDefault="00180365" w:rsidP="006F146B">
            <w:pPr>
              <w:pStyle w:val="Header"/>
              <w:tabs>
                <w:tab w:val="clear" w:pos="4536"/>
                <w:tab w:val="clear" w:pos="9072"/>
                <w:tab w:val="left" w:pos="284"/>
              </w:tabs>
              <w:rPr>
                <w:rFonts w:ascii="Times New Roman" w:hAnsi="Times New Roman"/>
                <w:sz w:val="22"/>
                <w:szCs w:val="22"/>
              </w:rPr>
            </w:pPr>
          </w:p>
          <w:p w:rsidR="00180365" w:rsidRPr="0016092F" w:rsidRDefault="0018036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Prim</w:t>
            </w:r>
            <w:r w:rsidR="00D97C7A" w:rsidRPr="0016092F">
              <w:rPr>
                <w:rFonts w:ascii="Times New Roman" w:hAnsi="Times New Roman"/>
                <w:sz w:val="22"/>
                <w:szCs w:val="22"/>
              </w:rPr>
              <w:t>j</w:t>
            </w:r>
            <w:r w:rsidRPr="0016092F">
              <w:rPr>
                <w:rFonts w:ascii="Times New Roman" w:hAnsi="Times New Roman"/>
                <w:sz w:val="22"/>
                <w:szCs w:val="22"/>
              </w:rPr>
              <w:t>ena epoetina alfa kod pacijenata koji su predviđeni za velike elektivne ortopetske hirurške zahvate i ne učestvuju u programu PAK, je kontraindikovana kod pacijenata sa teškim koronarnim, perifernim arterijskim, karotidnim ili cerebralnim vaskularnim oboljenjem, uključujući i pacijente sa skorašnjim infarktom miokarda ili cerebrovaskularnim događajima.</w:t>
            </w:r>
          </w:p>
          <w:p w:rsidR="00957CC7" w:rsidRPr="0016092F" w:rsidRDefault="00AB0443"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Hirurški p</w:t>
            </w:r>
            <w:r w:rsidR="00957CC7" w:rsidRPr="0016092F">
              <w:rPr>
                <w:rFonts w:ascii="Times New Roman" w:hAnsi="Times New Roman"/>
                <w:sz w:val="22"/>
                <w:szCs w:val="22"/>
              </w:rPr>
              <w:t>acijenti</w:t>
            </w:r>
            <w:r w:rsidR="00D97C7A" w:rsidRPr="0016092F">
              <w:rPr>
                <w:rFonts w:ascii="Times New Roman" w:hAnsi="Times New Roman"/>
                <w:sz w:val="22"/>
                <w:szCs w:val="22"/>
              </w:rPr>
              <w:t xml:space="preserve"> koji iz bilo kog razloga ne smi</w:t>
            </w:r>
            <w:r w:rsidR="00957CC7" w:rsidRPr="0016092F">
              <w:rPr>
                <w:rFonts w:ascii="Times New Roman" w:hAnsi="Times New Roman"/>
                <w:sz w:val="22"/>
                <w:szCs w:val="22"/>
              </w:rPr>
              <w:t>ju</w:t>
            </w:r>
            <w:r w:rsidR="00FB3E2D" w:rsidRPr="0016092F">
              <w:rPr>
                <w:rFonts w:ascii="Times New Roman" w:hAnsi="Times New Roman"/>
                <w:sz w:val="22"/>
                <w:szCs w:val="22"/>
              </w:rPr>
              <w:t xml:space="preserve"> da primaju</w:t>
            </w:r>
            <w:r w:rsidR="00957CC7" w:rsidRPr="0016092F">
              <w:rPr>
                <w:rFonts w:ascii="Times New Roman" w:hAnsi="Times New Roman"/>
                <w:sz w:val="22"/>
                <w:szCs w:val="22"/>
              </w:rPr>
              <w:t xml:space="preserve"> odgovarajuću antitrombo</w:t>
            </w:r>
            <w:r w:rsidR="009F1475" w:rsidRPr="0016092F">
              <w:rPr>
                <w:rFonts w:ascii="Times New Roman" w:hAnsi="Times New Roman"/>
                <w:sz w:val="22"/>
                <w:szCs w:val="22"/>
              </w:rPr>
              <w:t>litičk</w:t>
            </w:r>
            <w:r w:rsidR="005808B1" w:rsidRPr="0016092F">
              <w:rPr>
                <w:rFonts w:ascii="Times New Roman" w:hAnsi="Times New Roman"/>
                <w:sz w:val="22"/>
                <w:szCs w:val="22"/>
              </w:rPr>
              <w:t>u</w:t>
            </w:r>
            <w:r w:rsidR="00957CC7" w:rsidRPr="0016092F">
              <w:rPr>
                <w:rFonts w:ascii="Times New Roman" w:hAnsi="Times New Roman"/>
                <w:sz w:val="22"/>
                <w:szCs w:val="22"/>
              </w:rPr>
              <w:t xml:space="preserve"> profilaksu</w:t>
            </w:r>
            <w:r w:rsidR="00A40F78" w:rsidRPr="0016092F">
              <w:rPr>
                <w:rFonts w:ascii="Times New Roman" w:hAnsi="Times New Roman"/>
                <w:sz w:val="22"/>
                <w:szCs w:val="22"/>
              </w:rPr>
              <w:t>.</w:t>
            </w:r>
          </w:p>
          <w:p w:rsidR="00A059B6" w:rsidRPr="0016092F" w:rsidRDefault="00A059B6"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t>4.4. Posebna upozorenja i m</w:t>
            </w:r>
            <w:r w:rsidR="00D97C7A" w:rsidRPr="0016092F">
              <w:rPr>
                <w:rFonts w:ascii="Times New Roman" w:hAnsi="Times New Roman"/>
                <w:b/>
                <w:bCs/>
                <w:sz w:val="22"/>
                <w:szCs w:val="22"/>
              </w:rPr>
              <w:t>j</w:t>
            </w:r>
            <w:r w:rsidRPr="0016092F">
              <w:rPr>
                <w:rFonts w:ascii="Times New Roman" w:hAnsi="Times New Roman"/>
                <w:b/>
                <w:bCs/>
                <w:sz w:val="22"/>
                <w:szCs w:val="22"/>
              </w:rPr>
              <w:t>ere opreza pri upotrebi l</w:t>
            </w:r>
            <w:r w:rsidR="00D97C7A" w:rsidRPr="0016092F">
              <w:rPr>
                <w:rFonts w:ascii="Times New Roman" w:hAnsi="Times New Roman"/>
                <w:b/>
                <w:bCs/>
                <w:sz w:val="22"/>
                <w:szCs w:val="22"/>
              </w:rPr>
              <w:t>ij</w:t>
            </w:r>
            <w:r w:rsidRPr="0016092F">
              <w:rPr>
                <w:rFonts w:ascii="Times New Roman" w:hAnsi="Times New Roman"/>
                <w:b/>
                <w:bCs/>
                <w:sz w:val="22"/>
                <w:szCs w:val="22"/>
              </w:rPr>
              <w:t>eka</w:t>
            </w:r>
          </w:p>
        </w:tc>
      </w:tr>
      <w:tr w:rsidR="00834DBB" w:rsidRPr="0016092F" w:rsidTr="006F146B">
        <w:trPr>
          <w:trHeight w:val="784"/>
        </w:trPr>
        <w:tc>
          <w:tcPr>
            <w:tcW w:w="5000" w:type="pct"/>
            <w:gridSpan w:val="4"/>
            <w:vAlign w:val="center"/>
          </w:tcPr>
          <w:p w:rsidR="00E96B62" w:rsidRPr="0016092F" w:rsidRDefault="0047744F"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Opšte napomene</w:t>
            </w:r>
          </w:p>
          <w:p w:rsidR="0047744F" w:rsidRPr="0016092F" w:rsidRDefault="0047744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Kod svih pacijenata koji primaju epoetin alfa, potrebno je pažljivo pratiti krvni pritisak i kontrolisati </w:t>
            </w:r>
            <w:r w:rsidR="004F290E" w:rsidRPr="0016092F">
              <w:rPr>
                <w:rFonts w:ascii="Times New Roman" w:hAnsi="Times New Roman"/>
                <w:sz w:val="22"/>
                <w:szCs w:val="22"/>
              </w:rPr>
              <w:t xml:space="preserve">ga </w:t>
            </w:r>
            <w:r w:rsidRPr="0016092F">
              <w:rPr>
                <w:rFonts w:ascii="Times New Roman" w:hAnsi="Times New Roman"/>
                <w:sz w:val="22"/>
                <w:szCs w:val="22"/>
              </w:rPr>
              <w:t>po potrebi. Epoetin alfa treba koristiti sa oprezom u prisustvu nel</w:t>
            </w:r>
            <w:r w:rsidR="00D97C7A" w:rsidRPr="0016092F">
              <w:rPr>
                <w:rFonts w:ascii="Times New Roman" w:hAnsi="Times New Roman"/>
                <w:sz w:val="22"/>
                <w:szCs w:val="22"/>
              </w:rPr>
              <w:t>ij</w:t>
            </w:r>
            <w:r w:rsidRPr="0016092F">
              <w:rPr>
                <w:rFonts w:ascii="Times New Roman" w:hAnsi="Times New Roman"/>
                <w:sz w:val="22"/>
                <w:szCs w:val="22"/>
              </w:rPr>
              <w:t>ečene, neadekvatno l</w:t>
            </w:r>
            <w:r w:rsidR="00D97C7A" w:rsidRPr="0016092F">
              <w:rPr>
                <w:rFonts w:ascii="Times New Roman" w:hAnsi="Times New Roman"/>
                <w:sz w:val="22"/>
                <w:szCs w:val="22"/>
              </w:rPr>
              <w:t>ij</w:t>
            </w:r>
            <w:r w:rsidRPr="0016092F">
              <w:rPr>
                <w:rFonts w:ascii="Times New Roman" w:hAnsi="Times New Roman"/>
                <w:sz w:val="22"/>
                <w:szCs w:val="22"/>
              </w:rPr>
              <w:t>ečene ili slabo kontrolisane hipertenzije. Može biti potrebno dodati ili pojačati antihipertenzivnu terapiju. Ako se krvni pritisak ne može kontrolisati, treba prekinuti terapiju epoetinom alfa.</w:t>
            </w:r>
          </w:p>
          <w:p w:rsidR="008E112B" w:rsidRPr="0016092F" w:rsidRDefault="008E112B" w:rsidP="006F146B">
            <w:pPr>
              <w:pStyle w:val="Header"/>
              <w:tabs>
                <w:tab w:val="clear" w:pos="4536"/>
                <w:tab w:val="clear" w:pos="9072"/>
                <w:tab w:val="left" w:pos="284"/>
              </w:tabs>
              <w:rPr>
                <w:rFonts w:ascii="Times New Roman" w:hAnsi="Times New Roman"/>
                <w:sz w:val="22"/>
                <w:szCs w:val="22"/>
              </w:rPr>
            </w:pPr>
          </w:p>
          <w:p w:rsidR="008E112B" w:rsidRPr="0016092F" w:rsidRDefault="008E112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Hipertenzivne krize sa encefalopatijom i napadima, koje su zaht</w:t>
            </w:r>
            <w:r w:rsidR="00D97C7A" w:rsidRPr="0016092F">
              <w:rPr>
                <w:rFonts w:ascii="Times New Roman" w:hAnsi="Times New Roman"/>
                <w:sz w:val="22"/>
                <w:szCs w:val="22"/>
              </w:rPr>
              <w:t>ij</w:t>
            </w:r>
            <w:r w:rsidRPr="0016092F">
              <w:rPr>
                <w:rFonts w:ascii="Times New Roman" w:hAnsi="Times New Roman"/>
                <w:sz w:val="22"/>
                <w:szCs w:val="22"/>
              </w:rPr>
              <w:t>evale hitnu medicinsku pomoć i intezivno l</w:t>
            </w:r>
            <w:r w:rsidR="00D97C7A" w:rsidRPr="0016092F">
              <w:rPr>
                <w:rFonts w:ascii="Times New Roman" w:hAnsi="Times New Roman"/>
                <w:sz w:val="22"/>
                <w:szCs w:val="22"/>
              </w:rPr>
              <w:t>ij</w:t>
            </w:r>
            <w:r w:rsidRPr="0016092F">
              <w:rPr>
                <w:rFonts w:ascii="Times New Roman" w:hAnsi="Times New Roman"/>
                <w:sz w:val="22"/>
                <w:szCs w:val="22"/>
              </w:rPr>
              <w:t>ečenje, nastale su i tokom l</w:t>
            </w:r>
            <w:r w:rsidR="00D97C7A" w:rsidRPr="0016092F">
              <w:rPr>
                <w:rFonts w:ascii="Times New Roman" w:hAnsi="Times New Roman"/>
                <w:sz w:val="22"/>
                <w:szCs w:val="22"/>
              </w:rPr>
              <w:t>ij</w:t>
            </w:r>
            <w:r w:rsidRPr="0016092F">
              <w:rPr>
                <w:rFonts w:ascii="Times New Roman" w:hAnsi="Times New Roman"/>
                <w:sz w:val="22"/>
                <w:szCs w:val="22"/>
              </w:rPr>
              <w:t>ečenja epoetinom alfa kod pacijenata sa prethodno normalnim ili niskim krvnim pritiskom. Posebno pažnju je potrebno obratiti na iznenadne probadajuće glavobolje nalik migreni kao mogućem znaku upozorenja (vid</w:t>
            </w:r>
            <w:r w:rsidR="00D97C7A" w:rsidRPr="0016092F">
              <w:rPr>
                <w:rFonts w:ascii="Times New Roman" w:hAnsi="Times New Roman"/>
                <w:sz w:val="22"/>
                <w:szCs w:val="22"/>
              </w:rPr>
              <w:t>j</w:t>
            </w:r>
            <w:r w:rsidRPr="0016092F">
              <w:rPr>
                <w:rFonts w:ascii="Times New Roman" w:hAnsi="Times New Roman"/>
                <w:sz w:val="22"/>
                <w:szCs w:val="22"/>
              </w:rPr>
              <w:t>eti od</w:t>
            </w:r>
            <w:r w:rsidR="00D97C7A" w:rsidRPr="0016092F">
              <w:rPr>
                <w:rFonts w:ascii="Times New Roman" w:hAnsi="Times New Roman"/>
                <w:sz w:val="22"/>
                <w:szCs w:val="22"/>
              </w:rPr>
              <w:t>j</w:t>
            </w:r>
            <w:r w:rsidRPr="0016092F">
              <w:rPr>
                <w:rFonts w:ascii="Times New Roman" w:hAnsi="Times New Roman"/>
                <w:sz w:val="22"/>
                <w:szCs w:val="22"/>
              </w:rPr>
              <w:t>eljak 4.8).</w:t>
            </w:r>
          </w:p>
          <w:p w:rsidR="0047744F" w:rsidRPr="0016092F" w:rsidRDefault="0047744F" w:rsidP="006F146B">
            <w:pPr>
              <w:pStyle w:val="Header"/>
              <w:tabs>
                <w:tab w:val="clear" w:pos="4536"/>
                <w:tab w:val="clear" w:pos="9072"/>
                <w:tab w:val="left" w:pos="284"/>
              </w:tabs>
              <w:rPr>
                <w:rFonts w:ascii="Times New Roman" w:hAnsi="Times New Roman"/>
                <w:sz w:val="22"/>
                <w:szCs w:val="22"/>
              </w:rPr>
            </w:pPr>
          </w:p>
          <w:p w:rsidR="0047744F" w:rsidRPr="0016092F" w:rsidRDefault="0047744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Epoetin alfa treba prim</w:t>
            </w:r>
            <w:r w:rsidR="00D97C7A" w:rsidRPr="0016092F">
              <w:rPr>
                <w:rFonts w:ascii="Times New Roman" w:hAnsi="Times New Roman"/>
                <w:sz w:val="22"/>
                <w:szCs w:val="22"/>
              </w:rPr>
              <w:t>j</w:t>
            </w:r>
            <w:r w:rsidRPr="0016092F">
              <w:rPr>
                <w:rFonts w:ascii="Times New Roman" w:hAnsi="Times New Roman"/>
                <w:sz w:val="22"/>
                <w:szCs w:val="22"/>
              </w:rPr>
              <w:t xml:space="preserve">enjivati sa oprezom ako postoji </w:t>
            </w:r>
            <w:r w:rsidR="0084510E" w:rsidRPr="0016092F">
              <w:rPr>
                <w:rFonts w:ascii="Times New Roman" w:hAnsi="Times New Roman"/>
                <w:sz w:val="22"/>
                <w:szCs w:val="22"/>
              </w:rPr>
              <w:t>epilepsija</w:t>
            </w:r>
            <w:r w:rsidR="008E112B" w:rsidRPr="0016092F">
              <w:rPr>
                <w:rFonts w:ascii="Times New Roman" w:hAnsi="Times New Roman"/>
                <w:sz w:val="22"/>
                <w:szCs w:val="22"/>
              </w:rPr>
              <w:t>, napadi u anamnezi ili zdravstvena stanja povezana sa predispozicijom za napade, kao što su infekcija CNS-a i metastaze u mozgu.</w:t>
            </w:r>
          </w:p>
          <w:p w:rsidR="008E112B" w:rsidRPr="0016092F" w:rsidRDefault="008E112B" w:rsidP="006F146B">
            <w:pPr>
              <w:pStyle w:val="Header"/>
              <w:tabs>
                <w:tab w:val="clear" w:pos="4536"/>
                <w:tab w:val="clear" w:pos="9072"/>
                <w:tab w:val="left" w:pos="284"/>
              </w:tabs>
              <w:rPr>
                <w:rFonts w:ascii="Times New Roman" w:hAnsi="Times New Roman"/>
                <w:sz w:val="22"/>
                <w:szCs w:val="22"/>
              </w:rPr>
            </w:pPr>
          </w:p>
          <w:p w:rsidR="008E112B" w:rsidRPr="0016092F" w:rsidRDefault="008E112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Epoetin alfa treba prim</w:t>
            </w:r>
            <w:r w:rsidR="00D97C7A" w:rsidRPr="0016092F">
              <w:rPr>
                <w:rFonts w:ascii="Times New Roman" w:hAnsi="Times New Roman"/>
                <w:sz w:val="22"/>
                <w:szCs w:val="22"/>
              </w:rPr>
              <w:t>j</w:t>
            </w:r>
            <w:r w:rsidRPr="0016092F">
              <w:rPr>
                <w:rFonts w:ascii="Times New Roman" w:hAnsi="Times New Roman"/>
                <w:sz w:val="22"/>
                <w:szCs w:val="22"/>
              </w:rPr>
              <w:t>enjivati sa oprezom kod pacijenata sa hroničnom insuficijencijom jetre. Bezb</w:t>
            </w:r>
            <w:r w:rsidR="00D97C7A" w:rsidRPr="0016092F">
              <w:rPr>
                <w:rFonts w:ascii="Times New Roman" w:hAnsi="Times New Roman"/>
                <w:sz w:val="22"/>
                <w:szCs w:val="22"/>
              </w:rPr>
              <w:t>j</w:t>
            </w:r>
            <w:r w:rsidRPr="0016092F">
              <w:rPr>
                <w:rFonts w:ascii="Times New Roman" w:hAnsi="Times New Roman"/>
                <w:sz w:val="22"/>
                <w:szCs w:val="22"/>
              </w:rPr>
              <w:t>ednost prim</w:t>
            </w:r>
            <w:r w:rsidR="00D97C7A" w:rsidRPr="0016092F">
              <w:rPr>
                <w:rFonts w:ascii="Times New Roman" w:hAnsi="Times New Roman"/>
                <w:sz w:val="22"/>
                <w:szCs w:val="22"/>
              </w:rPr>
              <w:t>j</w:t>
            </w:r>
            <w:r w:rsidRPr="0016092F">
              <w:rPr>
                <w:rFonts w:ascii="Times New Roman" w:hAnsi="Times New Roman"/>
                <w:sz w:val="22"/>
                <w:szCs w:val="22"/>
              </w:rPr>
              <w:t>ene epoetina alfa kod pacijenata sa poremećajem funkcije jetre nije ustanovljena.</w:t>
            </w:r>
          </w:p>
          <w:p w:rsidR="008E112B" w:rsidRPr="0016092F" w:rsidRDefault="008E112B" w:rsidP="006F146B">
            <w:pPr>
              <w:pStyle w:val="Header"/>
              <w:tabs>
                <w:tab w:val="clear" w:pos="4536"/>
                <w:tab w:val="clear" w:pos="9072"/>
                <w:tab w:val="left" w:pos="284"/>
              </w:tabs>
              <w:rPr>
                <w:rFonts w:ascii="Times New Roman" w:hAnsi="Times New Roman"/>
                <w:sz w:val="22"/>
                <w:szCs w:val="22"/>
              </w:rPr>
            </w:pPr>
          </w:p>
          <w:p w:rsidR="00993787" w:rsidRPr="0016092F" w:rsidRDefault="0099378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w:t>
            </w:r>
            <w:r w:rsidR="008E112B" w:rsidRPr="0016092F">
              <w:rPr>
                <w:rFonts w:ascii="Times New Roman" w:hAnsi="Times New Roman"/>
                <w:sz w:val="22"/>
                <w:szCs w:val="22"/>
              </w:rPr>
              <w:t>od pacijenata sa karcinomom koji dobijaju l</w:t>
            </w:r>
            <w:r w:rsidR="00D97C7A" w:rsidRPr="0016092F">
              <w:rPr>
                <w:rFonts w:ascii="Times New Roman" w:hAnsi="Times New Roman"/>
                <w:sz w:val="22"/>
                <w:szCs w:val="22"/>
              </w:rPr>
              <w:t>j</w:t>
            </w:r>
            <w:r w:rsidR="008E112B" w:rsidRPr="0016092F">
              <w:rPr>
                <w:rFonts w:ascii="Times New Roman" w:hAnsi="Times New Roman"/>
                <w:sz w:val="22"/>
                <w:szCs w:val="22"/>
              </w:rPr>
              <w:t>ekove koji stimulišu eritropoezu (vid</w:t>
            </w:r>
            <w:r w:rsidR="00D97C7A" w:rsidRPr="0016092F">
              <w:rPr>
                <w:rFonts w:ascii="Times New Roman" w:hAnsi="Times New Roman"/>
                <w:sz w:val="22"/>
                <w:szCs w:val="22"/>
              </w:rPr>
              <w:t>j</w:t>
            </w:r>
            <w:r w:rsidR="008E112B" w:rsidRPr="0016092F">
              <w:rPr>
                <w:rFonts w:ascii="Times New Roman" w:hAnsi="Times New Roman"/>
                <w:sz w:val="22"/>
                <w:szCs w:val="22"/>
              </w:rPr>
              <w:t>eti od</w:t>
            </w:r>
            <w:r w:rsidR="00D97C7A" w:rsidRPr="0016092F">
              <w:rPr>
                <w:rFonts w:ascii="Times New Roman" w:hAnsi="Times New Roman"/>
                <w:sz w:val="22"/>
                <w:szCs w:val="22"/>
              </w:rPr>
              <w:t>j</w:t>
            </w:r>
            <w:r w:rsidR="008E112B" w:rsidRPr="0016092F">
              <w:rPr>
                <w:rFonts w:ascii="Times New Roman" w:hAnsi="Times New Roman"/>
                <w:sz w:val="22"/>
                <w:szCs w:val="22"/>
              </w:rPr>
              <w:t xml:space="preserve">eljak 4.8) uočen </w:t>
            </w:r>
            <w:r w:rsidRPr="0016092F">
              <w:rPr>
                <w:rFonts w:ascii="Times New Roman" w:hAnsi="Times New Roman"/>
                <w:sz w:val="22"/>
                <w:szCs w:val="22"/>
              </w:rPr>
              <w:t xml:space="preserve">je </w:t>
            </w:r>
            <w:r w:rsidR="008E112B" w:rsidRPr="0016092F">
              <w:rPr>
                <w:rFonts w:ascii="Times New Roman" w:hAnsi="Times New Roman"/>
                <w:sz w:val="22"/>
                <w:szCs w:val="22"/>
              </w:rPr>
              <w:t>porast incidence trombotičnih vaskularnih događaja</w:t>
            </w:r>
            <w:r w:rsidRPr="0016092F">
              <w:rPr>
                <w:rFonts w:ascii="Times New Roman" w:hAnsi="Times New Roman"/>
                <w:sz w:val="22"/>
                <w:szCs w:val="22"/>
              </w:rPr>
              <w:t xml:space="preserve"> (TVD). Oni obuhvataju vensku i arterijsku trombozu i emboliju (uključujući pojedine slučajeve sa smrtnim ishodom), kao što su duboka venska tromboza, plućna embolija, tromboza retinalne arterije i infarkt miokarda. Pored toga, prijavljeni su cerebrovaskularni incidenti (uključujući moždani udar, moždano krvarenje i tranzitorne ishemijske atake).</w:t>
            </w:r>
          </w:p>
          <w:p w:rsidR="00993787" w:rsidRPr="0016092F" w:rsidRDefault="00993787" w:rsidP="006F146B">
            <w:pPr>
              <w:pStyle w:val="Header"/>
              <w:tabs>
                <w:tab w:val="clear" w:pos="4536"/>
                <w:tab w:val="clear" w:pos="9072"/>
                <w:tab w:val="left" w:pos="284"/>
              </w:tabs>
              <w:rPr>
                <w:rFonts w:ascii="Times New Roman" w:hAnsi="Times New Roman"/>
                <w:sz w:val="22"/>
                <w:szCs w:val="22"/>
              </w:rPr>
            </w:pPr>
          </w:p>
          <w:p w:rsidR="008E112B" w:rsidRPr="0016092F" w:rsidRDefault="0099378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P</w:t>
            </w:r>
            <w:r w:rsidR="008E112B" w:rsidRPr="0016092F">
              <w:rPr>
                <w:rFonts w:ascii="Times New Roman" w:hAnsi="Times New Roman"/>
                <w:sz w:val="22"/>
                <w:szCs w:val="22"/>
              </w:rPr>
              <w:t>otrebno je pažljivo proc</w:t>
            </w:r>
            <w:r w:rsidR="003B7FAD" w:rsidRPr="0016092F">
              <w:rPr>
                <w:rFonts w:ascii="Times New Roman" w:hAnsi="Times New Roman"/>
                <w:sz w:val="22"/>
                <w:szCs w:val="22"/>
              </w:rPr>
              <w:t>ij</w:t>
            </w:r>
            <w:r w:rsidR="008E112B" w:rsidRPr="0016092F">
              <w:rPr>
                <w:rFonts w:ascii="Times New Roman" w:hAnsi="Times New Roman"/>
                <w:sz w:val="22"/>
                <w:szCs w:val="22"/>
              </w:rPr>
              <w:t xml:space="preserve">eniti </w:t>
            </w:r>
            <w:r w:rsidR="003B7FAD" w:rsidRPr="0016092F">
              <w:rPr>
                <w:rFonts w:ascii="Times New Roman" w:hAnsi="Times New Roman"/>
                <w:sz w:val="22"/>
                <w:szCs w:val="22"/>
              </w:rPr>
              <w:t>zabi</w:t>
            </w:r>
            <w:r w:rsidRPr="0016092F">
              <w:rPr>
                <w:rFonts w:ascii="Times New Roman" w:hAnsi="Times New Roman"/>
                <w:sz w:val="22"/>
                <w:szCs w:val="22"/>
              </w:rPr>
              <w:t>l</w:t>
            </w:r>
            <w:r w:rsidR="003B7FAD" w:rsidRPr="0016092F">
              <w:rPr>
                <w:rFonts w:ascii="Times New Roman" w:hAnsi="Times New Roman"/>
                <w:sz w:val="22"/>
                <w:szCs w:val="22"/>
              </w:rPr>
              <w:t>j</w:t>
            </w:r>
            <w:r w:rsidRPr="0016092F">
              <w:rPr>
                <w:rFonts w:ascii="Times New Roman" w:hAnsi="Times New Roman"/>
                <w:sz w:val="22"/>
                <w:szCs w:val="22"/>
              </w:rPr>
              <w:t xml:space="preserve">eženi </w:t>
            </w:r>
            <w:r w:rsidR="008E112B" w:rsidRPr="0016092F">
              <w:rPr>
                <w:rFonts w:ascii="Times New Roman" w:hAnsi="Times New Roman"/>
                <w:sz w:val="22"/>
                <w:szCs w:val="22"/>
              </w:rPr>
              <w:t>rizik u odnosu na korist prim</w:t>
            </w:r>
            <w:r w:rsidR="003B7FAD" w:rsidRPr="0016092F">
              <w:rPr>
                <w:rFonts w:ascii="Times New Roman" w:hAnsi="Times New Roman"/>
                <w:sz w:val="22"/>
                <w:szCs w:val="22"/>
              </w:rPr>
              <w:t>j</w:t>
            </w:r>
            <w:r w:rsidR="008E112B" w:rsidRPr="0016092F">
              <w:rPr>
                <w:rFonts w:ascii="Times New Roman" w:hAnsi="Times New Roman"/>
                <w:sz w:val="22"/>
                <w:szCs w:val="22"/>
              </w:rPr>
              <w:t>ene ove terapije (sa epoetinom alfa) naročito kod pacijenata sa</w:t>
            </w:r>
            <w:r w:rsidRPr="0016092F">
              <w:rPr>
                <w:rFonts w:ascii="Times New Roman" w:hAnsi="Times New Roman"/>
                <w:sz w:val="22"/>
                <w:szCs w:val="22"/>
              </w:rPr>
              <w:t xml:space="preserve"> već prisutnim faktorima rizika za TVD, uključujući goajaznost i TVD u anamnezi (npr.  duboka venska tromboza, </w:t>
            </w:r>
            <w:r w:rsidR="008E112B" w:rsidRPr="0016092F">
              <w:rPr>
                <w:rFonts w:ascii="Times New Roman" w:hAnsi="Times New Roman"/>
                <w:sz w:val="22"/>
                <w:szCs w:val="22"/>
              </w:rPr>
              <w:t>plućna embolija</w:t>
            </w:r>
            <w:r w:rsidRPr="0016092F">
              <w:rPr>
                <w:rFonts w:ascii="Times New Roman" w:hAnsi="Times New Roman"/>
                <w:sz w:val="22"/>
                <w:szCs w:val="22"/>
              </w:rPr>
              <w:t xml:space="preserve"> ili cerebralni vaskularni incident</w:t>
            </w:r>
            <w:r w:rsidR="008E112B" w:rsidRPr="0016092F">
              <w:rPr>
                <w:rFonts w:ascii="Times New Roman" w:hAnsi="Times New Roman"/>
                <w:sz w:val="22"/>
                <w:szCs w:val="22"/>
              </w:rPr>
              <w:t xml:space="preserve">). </w:t>
            </w:r>
          </w:p>
          <w:p w:rsidR="0084510E" w:rsidRPr="0016092F" w:rsidRDefault="0084510E" w:rsidP="006F146B">
            <w:pPr>
              <w:pStyle w:val="Header"/>
              <w:tabs>
                <w:tab w:val="clear" w:pos="4536"/>
                <w:tab w:val="clear" w:pos="9072"/>
                <w:tab w:val="left" w:pos="284"/>
              </w:tabs>
              <w:rPr>
                <w:rFonts w:ascii="Times New Roman" w:hAnsi="Times New Roman"/>
                <w:sz w:val="22"/>
                <w:szCs w:val="22"/>
              </w:rPr>
            </w:pPr>
          </w:p>
          <w:p w:rsidR="0084510E" w:rsidRPr="0016092F" w:rsidRDefault="0084510E"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svih pacijenata je potrebno pažljivo pratiti vr</w:t>
            </w:r>
            <w:r w:rsidR="00A40F78" w:rsidRPr="0016092F">
              <w:rPr>
                <w:rFonts w:ascii="Times New Roman" w:hAnsi="Times New Roman"/>
                <w:sz w:val="22"/>
                <w:szCs w:val="22"/>
              </w:rPr>
              <w:t>ij</w:t>
            </w:r>
            <w:r w:rsidRPr="0016092F">
              <w:rPr>
                <w:rFonts w:ascii="Times New Roman" w:hAnsi="Times New Roman"/>
                <w:sz w:val="22"/>
                <w:szCs w:val="22"/>
              </w:rPr>
              <w:t xml:space="preserve">ednosti Hb zbog potencijalnog povećanog rizika od tromboembolijskih događaja i fatalnog ishoda kada se </w:t>
            </w:r>
            <w:r w:rsidR="004F290E" w:rsidRPr="0016092F">
              <w:rPr>
                <w:rFonts w:ascii="Times New Roman" w:hAnsi="Times New Roman"/>
                <w:sz w:val="22"/>
                <w:szCs w:val="22"/>
              </w:rPr>
              <w:t>l</w:t>
            </w:r>
            <w:r w:rsidR="003B7FAD" w:rsidRPr="0016092F">
              <w:rPr>
                <w:rFonts w:ascii="Times New Roman" w:hAnsi="Times New Roman"/>
                <w:sz w:val="22"/>
                <w:szCs w:val="22"/>
              </w:rPr>
              <w:t>ij</w:t>
            </w:r>
            <w:r w:rsidR="004F290E" w:rsidRPr="0016092F">
              <w:rPr>
                <w:rFonts w:ascii="Times New Roman" w:hAnsi="Times New Roman"/>
                <w:sz w:val="22"/>
                <w:szCs w:val="22"/>
              </w:rPr>
              <w:t>eče pacijenti čije su vr</w:t>
            </w:r>
            <w:r w:rsidR="003B7FAD" w:rsidRPr="0016092F">
              <w:rPr>
                <w:rFonts w:ascii="Times New Roman" w:hAnsi="Times New Roman"/>
                <w:sz w:val="22"/>
                <w:szCs w:val="22"/>
              </w:rPr>
              <w:t>ij</w:t>
            </w:r>
            <w:r w:rsidR="004F290E" w:rsidRPr="0016092F">
              <w:rPr>
                <w:rFonts w:ascii="Times New Roman" w:hAnsi="Times New Roman"/>
                <w:sz w:val="22"/>
                <w:szCs w:val="22"/>
              </w:rPr>
              <w:t>ednosti</w:t>
            </w:r>
            <w:r w:rsidRPr="0016092F">
              <w:rPr>
                <w:rFonts w:ascii="Times New Roman" w:hAnsi="Times New Roman"/>
                <w:sz w:val="22"/>
                <w:szCs w:val="22"/>
              </w:rPr>
              <w:t xml:space="preserve"> Hb iznad ciljnih vr</w:t>
            </w:r>
            <w:r w:rsidR="003B7FAD" w:rsidRPr="0016092F">
              <w:rPr>
                <w:rFonts w:ascii="Times New Roman" w:hAnsi="Times New Roman"/>
                <w:sz w:val="22"/>
                <w:szCs w:val="22"/>
              </w:rPr>
              <w:t>ij</w:t>
            </w:r>
            <w:r w:rsidRPr="0016092F">
              <w:rPr>
                <w:rFonts w:ascii="Times New Roman" w:hAnsi="Times New Roman"/>
                <w:sz w:val="22"/>
                <w:szCs w:val="22"/>
              </w:rPr>
              <w:t xml:space="preserve">ednosti </w:t>
            </w:r>
            <w:r w:rsidR="004F290E" w:rsidRPr="0016092F">
              <w:rPr>
                <w:rFonts w:ascii="Times New Roman" w:hAnsi="Times New Roman"/>
                <w:sz w:val="22"/>
                <w:szCs w:val="22"/>
              </w:rPr>
              <w:t>za indikaciju</w:t>
            </w:r>
            <w:r w:rsidRPr="0016092F">
              <w:rPr>
                <w:rFonts w:ascii="Times New Roman" w:hAnsi="Times New Roman"/>
                <w:sz w:val="22"/>
                <w:szCs w:val="22"/>
              </w:rPr>
              <w:t xml:space="preserve"> zbog koje se</w:t>
            </w:r>
            <w:r w:rsidR="004F290E" w:rsidRPr="0016092F">
              <w:rPr>
                <w:rFonts w:ascii="Times New Roman" w:hAnsi="Times New Roman"/>
                <w:sz w:val="22"/>
                <w:szCs w:val="22"/>
              </w:rPr>
              <w:t xml:space="preserve"> l</w:t>
            </w:r>
            <w:r w:rsidR="003B7FAD" w:rsidRPr="0016092F">
              <w:rPr>
                <w:rFonts w:ascii="Times New Roman" w:hAnsi="Times New Roman"/>
                <w:sz w:val="22"/>
                <w:szCs w:val="22"/>
              </w:rPr>
              <w:t>ij</w:t>
            </w:r>
            <w:r w:rsidR="004F290E" w:rsidRPr="0016092F">
              <w:rPr>
                <w:rFonts w:ascii="Times New Roman" w:hAnsi="Times New Roman"/>
                <w:sz w:val="22"/>
                <w:szCs w:val="22"/>
              </w:rPr>
              <w:t>ek prim</w:t>
            </w:r>
            <w:r w:rsidR="003B7FAD" w:rsidRPr="0016092F">
              <w:rPr>
                <w:rFonts w:ascii="Times New Roman" w:hAnsi="Times New Roman"/>
                <w:sz w:val="22"/>
                <w:szCs w:val="22"/>
              </w:rPr>
              <w:t>j</w:t>
            </w:r>
            <w:r w:rsidR="004F290E" w:rsidRPr="0016092F">
              <w:rPr>
                <w:rFonts w:ascii="Times New Roman" w:hAnsi="Times New Roman"/>
                <w:sz w:val="22"/>
                <w:szCs w:val="22"/>
              </w:rPr>
              <w:t>enjuje</w:t>
            </w:r>
            <w:r w:rsidRPr="0016092F">
              <w:rPr>
                <w:rFonts w:ascii="Times New Roman" w:hAnsi="Times New Roman"/>
                <w:sz w:val="22"/>
                <w:szCs w:val="22"/>
              </w:rPr>
              <w:t>.</w:t>
            </w:r>
          </w:p>
          <w:p w:rsidR="00867AB4" w:rsidRPr="0016092F" w:rsidRDefault="00867AB4" w:rsidP="006F146B">
            <w:pPr>
              <w:pStyle w:val="Header"/>
              <w:tabs>
                <w:tab w:val="clear" w:pos="4536"/>
                <w:tab w:val="clear" w:pos="9072"/>
                <w:tab w:val="left" w:pos="284"/>
              </w:tabs>
              <w:rPr>
                <w:rFonts w:ascii="Times New Roman" w:hAnsi="Times New Roman"/>
                <w:sz w:val="22"/>
                <w:szCs w:val="22"/>
              </w:rPr>
            </w:pPr>
          </w:p>
          <w:p w:rsidR="00867AB4" w:rsidRPr="0016092F" w:rsidRDefault="00867AB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Tokom terapije epoetinom alfa može doći do um</w:t>
            </w:r>
            <w:r w:rsidR="003B7FAD" w:rsidRPr="0016092F">
              <w:rPr>
                <w:rFonts w:ascii="Times New Roman" w:hAnsi="Times New Roman"/>
                <w:sz w:val="22"/>
                <w:szCs w:val="22"/>
              </w:rPr>
              <w:t>j</w:t>
            </w:r>
            <w:r w:rsidRPr="0016092F">
              <w:rPr>
                <w:rFonts w:ascii="Times New Roman" w:hAnsi="Times New Roman"/>
                <w:sz w:val="22"/>
                <w:szCs w:val="22"/>
              </w:rPr>
              <w:t>erenog dozno-zavisnog porasta broja trombocita u okviru normalnog opsega. Tokom kontinuirane terapije, broj trombocita se vraća na normalne vr</w:t>
            </w:r>
            <w:r w:rsidR="003B7FAD" w:rsidRPr="0016092F">
              <w:rPr>
                <w:rFonts w:ascii="Times New Roman" w:hAnsi="Times New Roman"/>
                <w:sz w:val="22"/>
                <w:szCs w:val="22"/>
              </w:rPr>
              <w:t>ij</w:t>
            </w:r>
            <w:r w:rsidRPr="0016092F">
              <w:rPr>
                <w:rFonts w:ascii="Times New Roman" w:hAnsi="Times New Roman"/>
                <w:sz w:val="22"/>
                <w:szCs w:val="22"/>
              </w:rPr>
              <w:t xml:space="preserve">ednosti. </w:t>
            </w:r>
            <w:r w:rsidR="009F1475" w:rsidRPr="0016092F">
              <w:rPr>
                <w:rFonts w:ascii="Times New Roman" w:hAnsi="Times New Roman"/>
                <w:sz w:val="22"/>
                <w:szCs w:val="22"/>
              </w:rPr>
              <w:t>Pored toga, prijavljena je trombocitemija iznad granica norm</w:t>
            </w:r>
            <w:r w:rsidR="000A46D9" w:rsidRPr="0016092F">
              <w:rPr>
                <w:rFonts w:ascii="Times New Roman" w:hAnsi="Times New Roman"/>
                <w:sz w:val="22"/>
                <w:szCs w:val="22"/>
              </w:rPr>
              <w:t>al</w:t>
            </w:r>
            <w:r w:rsidR="009F1475" w:rsidRPr="0016092F">
              <w:rPr>
                <w:rFonts w:ascii="Times New Roman" w:hAnsi="Times New Roman"/>
                <w:sz w:val="22"/>
                <w:szCs w:val="22"/>
              </w:rPr>
              <w:t xml:space="preserve">nog opsega. </w:t>
            </w:r>
            <w:r w:rsidRPr="0016092F">
              <w:rPr>
                <w:rFonts w:ascii="Times New Roman" w:hAnsi="Times New Roman"/>
                <w:sz w:val="22"/>
                <w:szCs w:val="22"/>
              </w:rPr>
              <w:t>Preporučuje se redovno praćenje broja trombocita tokom prvih 8 ned</w:t>
            </w:r>
            <w:r w:rsidR="003B7FAD" w:rsidRPr="0016092F">
              <w:rPr>
                <w:rFonts w:ascii="Times New Roman" w:hAnsi="Times New Roman"/>
                <w:sz w:val="22"/>
                <w:szCs w:val="22"/>
              </w:rPr>
              <w:t>j</w:t>
            </w:r>
            <w:r w:rsidRPr="0016092F">
              <w:rPr>
                <w:rFonts w:ascii="Times New Roman" w:hAnsi="Times New Roman"/>
                <w:sz w:val="22"/>
                <w:szCs w:val="22"/>
              </w:rPr>
              <w:t>elja terapije.</w:t>
            </w:r>
          </w:p>
          <w:p w:rsidR="00867AB4" w:rsidRPr="0016092F" w:rsidRDefault="00867AB4" w:rsidP="006F146B">
            <w:pPr>
              <w:pStyle w:val="Header"/>
              <w:tabs>
                <w:tab w:val="clear" w:pos="4536"/>
                <w:tab w:val="clear" w:pos="9072"/>
                <w:tab w:val="left" w:pos="284"/>
              </w:tabs>
              <w:rPr>
                <w:rFonts w:ascii="Times New Roman" w:hAnsi="Times New Roman"/>
                <w:sz w:val="22"/>
                <w:szCs w:val="22"/>
              </w:rPr>
            </w:pPr>
          </w:p>
          <w:p w:rsidR="00442B43" w:rsidRPr="0016092F" w:rsidRDefault="00867AB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Potrebno je uzeti u obzir i sve ostale uzroke anemije (deficit gvožđa, hemoliza, gubitak krvi, deficit vitamina B12 i folne kiseline</w:t>
            </w:r>
            <w:r w:rsidR="00BB07EA" w:rsidRPr="0016092F">
              <w:rPr>
                <w:rFonts w:ascii="Times New Roman" w:hAnsi="Times New Roman"/>
                <w:sz w:val="22"/>
                <w:szCs w:val="22"/>
              </w:rPr>
              <w:t>, intoksikacija aluminijumom, infekcija ili inflamacija, fibroza kostne srži bilo kog por</w:t>
            </w:r>
            <w:r w:rsidR="003B7FAD" w:rsidRPr="0016092F">
              <w:rPr>
                <w:rFonts w:ascii="Times New Roman" w:hAnsi="Times New Roman"/>
                <w:sz w:val="22"/>
                <w:szCs w:val="22"/>
              </w:rPr>
              <w:t>ij</w:t>
            </w:r>
            <w:r w:rsidR="00BB07EA" w:rsidRPr="0016092F">
              <w:rPr>
                <w:rFonts w:ascii="Times New Roman" w:hAnsi="Times New Roman"/>
                <w:sz w:val="22"/>
                <w:szCs w:val="22"/>
              </w:rPr>
              <w:t>ekla</w:t>
            </w:r>
            <w:r w:rsidRPr="0016092F">
              <w:rPr>
                <w:rFonts w:ascii="Times New Roman" w:hAnsi="Times New Roman"/>
                <w:sz w:val="22"/>
                <w:szCs w:val="22"/>
              </w:rPr>
              <w:t>) i l</w:t>
            </w:r>
            <w:r w:rsidR="003B7FAD" w:rsidRPr="0016092F">
              <w:rPr>
                <w:rFonts w:ascii="Times New Roman" w:hAnsi="Times New Roman"/>
                <w:sz w:val="22"/>
                <w:szCs w:val="22"/>
              </w:rPr>
              <w:t>ij</w:t>
            </w:r>
            <w:r w:rsidRPr="0016092F">
              <w:rPr>
                <w:rFonts w:ascii="Times New Roman" w:hAnsi="Times New Roman"/>
                <w:sz w:val="22"/>
                <w:szCs w:val="22"/>
              </w:rPr>
              <w:t>ečiti ih pr</w:t>
            </w:r>
            <w:r w:rsidR="003B7FAD" w:rsidRPr="0016092F">
              <w:rPr>
                <w:rFonts w:ascii="Times New Roman" w:hAnsi="Times New Roman"/>
                <w:sz w:val="22"/>
                <w:szCs w:val="22"/>
              </w:rPr>
              <w:t>ij</w:t>
            </w:r>
            <w:r w:rsidRPr="0016092F">
              <w:rPr>
                <w:rFonts w:ascii="Times New Roman" w:hAnsi="Times New Roman"/>
                <w:sz w:val="22"/>
                <w:szCs w:val="22"/>
              </w:rPr>
              <w:t>e započinjanja terapije epoetinom alfa</w:t>
            </w:r>
            <w:r w:rsidR="00BB07EA" w:rsidRPr="0016092F">
              <w:rPr>
                <w:rFonts w:ascii="Times New Roman" w:hAnsi="Times New Roman"/>
                <w:sz w:val="22"/>
                <w:szCs w:val="22"/>
              </w:rPr>
              <w:t>, kao i kada se odluči da se poveća doza.</w:t>
            </w:r>
            <w:r w:rsidRPr="0016092F">
              <w:rPr>
                <w:rFonts w:ascii="Times New Roman" w:hAnsi="Times New Roman"/>
                <w:sz w:val="22"/>
                <w:szCs w:val="22"/>
              </w:rPr>
              <w:t xml:space="preserve"> U većini slučajeva, serumske vr</w:t>
            </w:r>
            <w:r w:rsidR="003B7FAD" w:rsidRPr="0016092F">
              <w:rPr>
                <w:rFonts w:ascii="Times New Roman" w:hAnsi="Times New Roman"/>
                <w:sz w:val="22"/>
                <w:szCs w:val="22"/>
              </w:rPr>
              <w:t>ij</w:t>
            </w:r>
            <w:r w:rsidRPr="0016092F">
              <w:rPr>
                <w:rFonts w:ascii="Times New Roman" w:hAnsi="Times New Roman"/>
                <w:sz w:val="22"/>
                <w:szCs w:val="22"/>
              </w:rPr>
              <w:t xml:space="preserve">ednosti feritina opadaju istovremeno sa porastom </w:t>
            </w:r>
            <w:r w:rsidR="00442B43" w:rsidRPr="0016092F">
              <w:rPr>
                <w:rFonts w:ascii="Times New Roman" w:hAnsi="Times New Roman"/>
                <w:sz w:val="22"/>
                <w:szCs w:val="22"/>
              </w:rPr>
              <w:t xml:space="preserve"> hematokrita (Ht). Da bi se osigurao optimalni odgovor na epoetin alfa, potrebno je obezb</w:t>
            </w:r>
            <w:r w:rsidR="003B7FAD" w:rsidRPr="0016092F">
              <w:rPr>
                <w:rFonts w:ascii="Times New Roman" w:hAnsi="Times New Roman"/>
                <w:sz w:val="22"/>
                <w:szCs w:val="22"/>
              </w:rPr>
              <w:t>ij</w:t>
            </w:r>
            <w:r w:rsidR="00442B43" w:rsidRPr="0016092F">
              <w:rPr>
                <w:rFonts w:ascii="Times New Roman" w:hAnsi="Times New Roman"/>
                <w:sz w:val="22"/>
                <w:szCs w:val="22"/>
              </w:rPr>
              <w:t>editi adekvatne zalihe gvožđa</w:t>
            </w:r>
            <w:r w:rsidR="00BB07EA" w:rsidRPr="0016092F">
              <w:rPr>
                <w:rFonts w:ascii="Times New Roman" w:hAnsi="Times New Roman"/>
                <w:sz w:val="22"/>
                <w:szCs w:val="22"/>
              </w:rPr>
              <w:t xml:space="preserve"> (vid</w:t>
            </w:r>
            <w:r w:rsidR="003B7FAD" w:rsidRPr="0016092F">
              <w:rPr>
                <w:rFonts w:ascii="Times New Roman" w:hAnsi="Times New Roman"/>
                <w:sz w:val="22"/>
                <w:szCs w:val="22"/>
              </w:rPr>
              <w:t>j</w:t>
            </w:r>
            <w:r w:rsidR="00BB07EA" w:rsidRPr="0016092F">
              <w:rPr>
                <w:rFonts w:ascii="Times New Roman" w:hAnsi="Times New Roman"/>
                <w:sz w:val="22"/>
                <w:szCs w:val="22"/>
              </w:rPr>
              <w:t>eti od</w:t>
            </w:r>
            <w:r w:rsidR="003B7FAD" w:rsidRPr="0016092F">
              <w:rPr>
                <w:rFonts w:ascii="Times New Roman" w:hAnsi="Times New Roman"/>
                <w:sz w:val="22"/>
                <w:szCs w:val="22"/>
              </w:rPr>
              <w:t>j</w:t>
            </w:r>
            <w:r w:rsidR="00BB07EA" w:rsidRPr="0016092F">
              <w:rPr>
                <w:rFonts w:ascii="Times New Roman" w:hAnsi="Times New Roman"/>
                <w:sz w:val="22"/>
                <w:szCs w:val="22"/>
              </w:rPr>
              <w:t>eljak 4.2)</w:t>
            </w:r>
            <w:r w:rsidR="00442B43" w:rsidRPr="0016092F">
              <w:rPr>
                <w:rFonts w:ascii="Times New Roman" w:hAnsi="Times New Roman"/>
                <w:sz w:val="22"/>
                <w:szCs w:val="22"/>
              </w:rPr>
              <w:t>:</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442B43" w:rsidRPr="0016092F" w:rsidRDefault="003C2E0F" w:rsidP="006F146B">
            <w:pPr>
              <w:pStyle w:val="Header"/>
              <w:numPr>
                <w:ilvl w:val="0"/>
                <w:numId w:val="6"/>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w:t>
            </w:r>
            <w:r w:rsidR="00442B43" w:rsidRPr="0016092F">
              <w:rPr>
                <w:rFonts w:ascii="Times New Roman" w:hAnsi="Times New Roman"/>
                <w:sz w:val="22"/>
                <w:szCs w:val="22"/>
              </w:rPr>
              <w:t xml:space="preserve">uplementacija gvožđa, npr. 200-300 mg gvožđa/dan oralno (100-200 mg </w:t>
            </w:r>
            <w:r w:rsidR="009F1475" w:rsidRPr="0016092F">
              <w:rPr>
                <w:rFonts w:ascii="Times New Roman" w:hAnsi="Times New Roman"/>
                <w:sz w:val="22"/>
                <w:szCs w:val="22"/>
              </w:rPr>
              <w:t>Fe</w:t>
            </w:r>
            <w:r w:rsidR="009F1475" w:rsidRPr="0016092F">
              <w:rPr>
                <w:rFonts w:ascii="Times New Roman" w:hAnsi="Times New Roman"/>
                <w:sz w:val="22"/>
                <w:szCs w:val="22"/>
                <w:vertAlign w:val="superscript"/>
              </w:rPr>
              <w:t>2+</w:t>
            </w:r>
            <w:r w:rsidR="00442B43" w:rsidRPr="0016092F">
              <w:rPr>
                <w:rFonts w:ascii="Times New Roman" w:hAnsi="Times New Roman"/>
                <w:sz w:val="22"/>
                <w:szCs w:val="22"/>
              </w:rPr>
              <w:t>/dan za pedijatrijske pacijente) se preporučuje kod pacijenata sa hroničnom insuficijencijom bubrega čije su vr</w:t>
            </w:r>
            <w:r w:rsidR="003B7FAD" w:rsidRPr="0016092F">
              <w:rPr>
                <w:rFonts w:ascii="Times New Roman" w:hAnsi="Times New Roman"/>
                <w:sz w:val="22"/>
                <w:szCs w:val="22"/>
              </w:rPr>
              <w:t>ij</w:t>
            </w:r>
            <w:r w:rsidR="00442B43" w:rsidRPr="0016092F">
              <w:rPr>
                <w:rFonts w:ascii="Times New Roman" w:hAnsi="Times New Roman"/>
                <w:sz w:val="22"/>
                <w:szCs w:val="22"/>
              </w:rPr>
              <w:t>ednosti serumskog feritina manje od 100 ng/ml</w:t>
            </w:r>
          </w:p>
          <w:p w:rsidR="00867AB4" w:rsidRPr="0016092F" w:rsidRDefault="003C2E0F" w:rsidP="006F146B">
            <w:pPr>
              <w:pStyle w:val="Header"/>
              <w:numPr>
                <w:ilvl w:val="0"/>
                <w:numId w:val="6"/>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O</w:t>
            </w:r>
            <w:r w:rsidR="00442B43" w:rsidRPr="0016092F">
              <w:rPr>
                <w:rFonts w:ascii="Times New Roman" w:hAnsi="Times New Roman"/>
                <w:sz w:val="22"/>
                <w:szCs w:val="22"/>
              </w:rPr>
              <w:t xml:space="preserve">ralna supstitucija gvožđa od 200-300 mg </w:t>
            </w:r>
            <w:r w:rsidR="009F1475" w:rsidRPr="0016092F">
              <w:rPr>
                <w:rFonts w:ascii="Times New Roman" w:hAnsi="Times New Roman"/>
                <w:sz w:val="22"/>
                <w:szCs w:val="22"/>
              </w:rPr>
              <w:t>Fe</w:t>
            </w:r>
            <w:r w:rsidR="009F1475" w:rsidRPr="0016092F">
              <w:rPr>
                <w:rFonts w:ascii="Times New Roman" w:hAnsi="Times New Roman"/>
                <w:sz w:val="22"/>
                <w:szCs w:val="22"/>
                <w:vertAlign w:val="superscript"/>
              </w:rPr>
              <w:t>2+</w:t>
            </w:r>
            <w:r w:rsidR="00442B43" w:rsidRPr="0016092F">
              <w:rPr>
                <w:rFonts w:ascii="Times New Roman" w:hAnsi="Times New Roman"/>
                <w:sz w:val="22"/>
                <w:szCs w:val="22"/>
              </w:rPr>
              <w:t>/dan se preporučuje kod pacijenata sa karcinomom čija je saturacija transferin</w:t>
            </w:r>
            <w:r w:rsidR="004F290E" w:rsidRPr="0016092F">
              <w:rPr>
                <w:rFonts w:ascii="Times New Roman" w:hAnsi="Times New Roman"/>
                <w:sz w:val="22"/>
                <w:szCs w:val="22"/>
              </w:rPr>
              <w:t>om</w:t>
            </w:r>
            <w:r w:rsidR="00442B43" w:rsidRPr="0016092F">
              <w:rPr>
                <w:rFonts w:ascii="Times New Roman" w:hAnsi="Times New Roman"/>
                <w:sz w:val="22"/>
                <w:szCs w:val="22"/>
              </w:rPr>
              <w:t xml:space="preserve"> ispod 20%.</w:t>
            </w:r>
          </w:p>
          <w:p w:rsidR="00BB07EA" w:rsidRPr="0016092F" w:rsidRDefault="00BB07EA" w:rsidP="006F146B">
            <w:pPr>
              <w:pStyle w:val="Header"/>
              <w:numPr>
                <w:ilvl w:val="0"/>
                <w:numId w:val="6"/>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Za pacijente koji su u programu autologe predonacije, suplementaciju gvožđa (elementarno gvožđe, 200 mg/dan  peroralno)  treba prim</w:t>
            </w:r>
            <w:r w:rsidR="003B7FAD" w:rsidRPr="0016092F">
              <w:rPr>
                <w:rFonts w:ascii="Times New Roman" w:hAnsi="Times New Roman"/>
                <w:sz w:val="22"/>
                <w:szCs w:val="22"/>
              </w:rPr>
              <w:t>ij</w:t>
            </w:r>
            <w:r w:rsidRPr="0016092F">
              <w:rPr>
                <w:rFonts w:ascii="Times New Roman" w:hAnsi="Times New Roman"/>
                <w:sz w:val="22"/>
                <w:szCs w:val="22"/>
              </w:rPr>
              <w:t>enit</w:t>
            </w:r>
            <w:r w:rsidR="00516C35" w:rsidRPr="0016092F">
              <w:rPr>
                <w:rFonts w:ascii="Times New Roman" w:hAnsi="Times New Roman"/>
                <w:sz w:val="22"/>
                <w:szCs w:val="22"/>
              </w:rPr>
              <w:t>i nekoliko ned</w:t>
            </w:r>
            <w:r w:rsidR="003B7FAD" w:rsidRPr="0016092F">
              <w:rPr>
                <w:rFonts w:ascii="Times New Roman" w:hAnsi="Times New Roman"/>
                <w:sz w:val="22"/>
                <w:szCs w:val="22"/>
              </w:rPr>
              <w:t>j</w:t>
            </w:r>
            <w:r w:rsidR="00516C35" w:rsidRPr="0016092F">
              <w:rPr>
                <w:rFonts w:ascii="Times New Roman" w:hAnsi="Times New Roman"/>
                <w:sz w:val="22"/>
                <w:szCs w:val="22"/>
              </w:rPr>
              <w:t>elja pr</w:t>
            </w:r>
            <w:r w:rsidR="003B7FAD" w:rsidRPr="0016092F">
              <w:rPr>
                <w:rFonts w:ascii="Times New Roman" w:hAnsi="Times New Roman"/>
                <w:sz w:val="22"/>
                <w:szCs w:val="22"/>
              </w:rPr>
              <w:t>ij</w:t>
            </w:r>
            <w:r w:rsidR="00516C35" w:rsidRPr="0016092F">
              <w:rPr>
                <w:rFonts w:ascii="Times New Roman" w:hAnsi="Times New Roman"/>
                <w:sz w:val="22"/>
                <w:szCs w:val="22"/>
              </w:rPr>
              <w:t>e inicijalnog autolognog predepozita, da bi se postigle velike</w:t>
            </w:r>
            <w:r w:rsidRPr="0016092F">
              <w:rPr>
                <w:rFonts w:ascii="Times New Roman" w:hAnsi="Times New Roman"/>
                <w:sz w:val="22"/>
                <w:szCs w:val="22"/>
              </w:rPr>
              <w:t xml:space="preserve"> zalih</w:t>
            </w:r>
            <w:r w:rsidR="00516C35" w:rsidRPr="0016092F">
              <w:rPr>
                <w:rFonts w:ascii="Times New Roman" w:hAnsi="Times New Roman"/>
                <w:sz w:val="22"/>
                <w:szCs w:val="22"/>
              </w:rPr>
              <w:t>e</w:t>
            </w:r>
            <w:r w:rsidRPr="0016092F">
              <w:rPr>
                <w:rFonts w:ascii="Times New Roman" w:hAnsi="Times New Roman"/>
                <w:sz w:val="22"/>
                <w:szCs w:val="22"/>
              </w:rPr>
              <w:t xml:space="preserve"> gvožđa pr</w:t>
            </w:r>
            <w:r w:rsidR="003B7FAD" w:rsidRPr="0016092F">
              <w:rPr>
                <w:rFonts w:ascii="Times New Roman" w:hAnsi="Times New Roman"/>
                <w:sz w:val="22"/>
                <w:szCs w:val="22"/>
              </w:rPr>
              <w:t>ij</w:t>
            </w:r>
            <w:r w:rsidRPr="0016092F">
              <w:rPr>
                <w:rFonts w:ascii="Times New Roman" w:hAnsi="Times New Roman"/>
                <w:sz w:val="22"/>
                <w:szCs w:val="22"/>
              </w:rPr>
              <w:t xml:space="preserve">e započinjanja </w:t>
            </w:r>
            <w:r w:rsidR="00516C35" w:rsidRPr="0016092F">
              <w:rPr>
                <w:rFonts w:ascii="Times New Roman" w:hAnsi="Times New Roman"/>
                <w:sz w:val="22"/>
                <w:szCs w:val="22"/>
              </w:rPr>
              <w:t xml:space="preserve">i tokom </w:t>
            </w:r>
            <w:r w:rsidRPr="0016092F">
              <w:rPr>
                <w:rFonts w:ascii="Times New Roman" w:hAnsi="Times New Roman"/>
                <w:sz w:val="22"/>
                <w:szCs w:val="22"/>
              </w:rPr>
              <w:t xml:space="preserve">terapije </w:t>
            </w:r>
            <w:r w:rsidR="00516C35" w:rsidRPr="0016092F">
              <w:rPr>
                <w:rFonts w:ascii="Times New Roman" w:hAnsi="Times New Roman"/>
                <w:sz w:val="22"/>
                <w:szCs w:val="22"/>
              </w:rPr>
              <w:t>epoetinom alfa</w:t>
            </w:r>
            <w:r w:rsidRPr="0016092F">
              <w:rPr>
                <w:rFonts w:ascii="Times New Roman" w:hAnsi="Times New Roman"/>
                <w:sz w:val="22"/>
                <w:szCs w:val="22"/>
              </w:rPr>
              <w:t>.</w:t>
            </w:r>
          </w:p>
          <w:p w:rsidR="002B6DE2" w:rsidRPr="0016092F" w:rsidRDefault="003C2E0F" w:rsidP="006F146B">
            <w:pPr>
              <w:pStyle w:val="Header"/>
              <w:numPr>
                <w:ilvl w:val="0"/>
                <w:numId w:val="6"/>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w:t>
            </w:r>
            <w:r w:rsidR="00516C35" w:rsidRPr="0016092F">
              <w:rPr>
                <w:rFonts w:ascii="Times New Roman" w:hAnsi="Times New Roman"/>
                <w:sz w:val="22"/>
                <w:szCs w:val="22"/>
              </w:rPr>
              <w:t>od odraslih pacijenata predviđenih za veliki elektivni ortopedski hirurški zahvat, nadoknada gvožđa (elementarno gvožđe, 200 mg/dan peroralno) treba da se prim</w:t>
            </w:r>
            <w:r w:rsidR="003B7FAD" w:rsidRPr="0016092F">
              <w:rPr>
                <w:rFonts w:ascii="Times New Roman" w:hAnsi="Times New Roman"/>
                <w:sz w:val="22"/>
                <w:szCs w:val="22"/>
              </w:rPr>
              <w:t>ij</w:t>
            </w:r>
            <w:r w:rsidR="00516C35" w:rsidRPr="0016092F">
              <w:rPr>
                <w:rFonts w:ascii="Times New Roman" w:hAnsi="Times New Roman"/>
                <w:sz w:val="22"/>
                <w:szCs w:val="22"/>
              </w:rPr>
              <w:t>eni tokom  trajanja terapije epoetinom alfa. Ako je moguće, nadoknadu gvožđa treba započeti pr</w:t>
            </w:r>
            <w:r w:rsidR="003B7FAD" w:rsidRPr="0016092F">
              <w:rPr>
                <w:rFonts w:ascii="Times New Roman" w:hAnsi="Times New Roman"/>
                <w:sz w:val="22"/>
                <w:szCs w:val="22"/>
              </w:rPr>
              <w:t>ij</w:t>
            </w:r>
            <w:r w:rsidR="00516C35" w:rsidRPr="0016092F">
              <w:rPr>
                <w:rFonts w:ascii="Times New Roman" w:hAnsi="Times New Roman"/>
                <w:sz w:val="22"/>
                <w:szCs w:val="22"/>
              </w:rPr>
              <w:t>e početka terapije epoetinom alfa kako bi se osigurale odgovarajuće zalihe gvožđa.</w:t>
            </w:r>
          </w:p>
          <w:p w:rsidR="002B6DE2" w:rsidRPr="0016092F" w:rsidRDefault="002B6DE2" w:rsidP="006F146B">
            <w:pPr>
              <w:pStyle w:val="Header"/>
              <w:tabs>
                <w:tab w:val="clear" w:pos="4536"/>
                <w:tab w:val="clear" w:pos="9072"/>
                <w:tab w:val="left" w:pos="284"/>
              </w:tabs>
              <w:rPr>
                <w:rFonts w:ascii="Times New Roman" w:hAnsi="Times New Roman"/>
                <w:sz w:val="22"/>
                <w:szCs w:val="22"/>
              </w:rPr>
            </w:pPr>
          </w:p>
          <w:p w:rsidR="009F1475" w:rsidRPr="0016092F" w:rsidRDefault="009F147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Veoma r</w:t>
            </w:r>
            <w:r w:rsidR="003B7FAD" w:rsidRPr="0016092F">
              <w:rPr>
                <w:rFonts w:ascii="Times New Roman" w:hAnsi="Times New Roman"/>
                <w:sz w:val="22"/>
                <w:szCs w:val="22"/>
              </w:rPr>
              <w:t>ij</w:t>
            </w:r>
            <w:r w:rsidRPr="0016092F">
              <w:rPr>
                <w:rFonts w:ascii="Times New Roman" w:hAnsi="Times New Roman"/>
                <w:sz w:val="22"/>
                <w:szCs w:val="22"/>
              </w:rPr>
              <w:t>etko, uočen je razvoj ili pogoršanje porfirije kod pacijenata l</w:t>
            </w:r>
            <w:r w:rsidR="003B7FAD" w:rsidRPr="0016092F">
              <w:rPr>
                <w:rFonts w:ascii="Times New Roman" w:hAnsi="Times New Roman"/>
                <w:sz w:val="22"/>
                <w:szCs w:val="22"/>
              </w:rPr>
              <w:t>ij</w:t>
            </w:r>
            <w:r w:rsidRPr="0016092F">
              <w:rPr>
                <w:rFonts w:ascii="Times New Roman" w:hAnsi="Times New Roman"/>
                <w:sz w:val="22"/>
                <w:szCs w:val="22"/>
              </w:rPr>
              <w:t>ečenih epoetinom alfa. Epoetin alfa uvek treba prim</w:t>
            </w:r>
            <w:r w:rsidR="003B7FAD" w:rsidRPr="0016092F">
              <w:rPr>
                <w:rFonts w:ascii="Times New Roman" w:hAnsi="Times New Roman"/>
                <w:sz w:val="22"/>
                <w:szCs w:val="22"/>
              </w:rPr>
              <w:t>j</w:t>
            </w:r>
            <w:r w:rsidRPr="0016092F">
              <w:rPr>
                <w:rFonts w:ascii="Times New Roman" w:hAnsi="Times New Roman"/>
                <w:sz w:val="22"/>
                <w:szCs w:val="22"/>
              </w:rPr>
              <w:t>enjivati sa oprezom kod pacijenata sa porfirijom.</w:t>
            </w:r>
          </w:p>
          <w:p w:rsidR="00144E78" w:rsidRPr="0016092F" w:rsidRDefault="00144E78" w:rsidP="006F146B">
            <w:pPr>
              <w:pStyle w:val="Header"/>
              <w:tabs>
                <w:tab w:val="clear" w:pos="4536"/>
                <w:tab w:val="clear" w:pos="9072"/>
                <w:tab w:val="left" w:pos="284"/>
              </w:tabs>
              <w:rPr>
                <w:rFonts w:ascii="Times New Roman" w:hAnsi="Times New Roman"/>
                <w:sz w:val="22"/>
                <w:szCs w:val="22"/>
              </w:rPr>
            </w:pPr>
          </w:p>
          <w:p w:rsidR="00144E78" w:rsidRPr="0016092F" w:rsidRDefault="00144E78"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U cilju poboljšanja praćenja </w:t>
            </w:r>
            <w:r w:rsidR="00E56529" w:rsidRPr="0016092F">
              <w:rPr>
                <w:rFonts w:ascii="Times New Roman" w:hAnsi="Times New Roman"/>
                <w:sz w:val="22"/>
                <w:szCs w:val="22"/>
              </w:rPr>
              <w:t>l</w:t>
            </w:r>
            <w:r w:rsidR="003B7FAD" w:rsidRPr="0016092F">
              <w:rPr>
                <w:rFonts w:ascii="Times New Roman" w:hAnsi="Times New Roman"/>
                <w:sz w:val="22"/>
                <w:szCs w:val="22"/>
              </w:rPr>
              <w:t>j</w:t>
            </w:r>
            <w:r w:rsidR="00E56529" w:rsidRPr="0016092F">
              <w:rPr>
                <w:rFonts w:ascii="Times New Roman" w:hAnsi="Times New Roman"/>
                <w:sz w:val="22"/>
                <w:szCs w:val="22"/>
              </w:rPr>
              <w:t>ekova</w:t>
            </w:r>
            <w:r w:rsidRPr="0016092F">
              <w:rPr>
                <w:rFonts w:ascii="Times New Roman" w:hAnsi="Times New Roman"/>
                <w:sz w:val="22"/>
                <w:szCs w:val="22"/>
              </w:rPr>
              <w:t xml:space="preserve"> koji stimulišu eritropoezu (</w:t>
            </w:r>
            <w:r w:rsidRPr="0016092F">
              <w:rPr>
                <w:rFonts w:ascii="Times New Roman" w:hAnsi="Times New Roman"/>
                <w:i/>
                <w:sz w:val="22"/>
                <w:szCs w:val="22"/>
              </w:rPr>
              <w:t>erythropoesis-stimulating agent</w:t>
            </w:r>
            <w:r w:rsidRPr="0016092F">
              <w:rPr>
                <w:rFonts w:ascii="Times New Roman" w:hAnsi="Times New Roman"/>
                <w:sz w:val="22"/>
                <w:szCs w:val="22"/>
              </w:rPr>
              <w:t xml:space="preserve"> ESA), fabričko ime ovog l</w:t>
            </w:r>
            <w:r w:rsidR="003B7FAD" w:rsidRPr="0016092F">
              <w:rPr>
                <w:rFonts w:ascii="Times New Roman" w:hAnsi="Times New Roman"/>
                <w:sz w:val="22"/>
                <w:szCs w:val="22"/>
              </w:rPr>
              <w:t>ij</w:t>
            </w:r>
            <w:r w:rsidRPr="0016092F">
              <w:rPr>
                <w:rFonts w:ascii="Times New Roman" w:hAnsi="Times New Roman"/>
                <w:sz w:val="22"/>
                <w:szCs w:val="22"/>
              </w:rPr>
              <w:t>e</w:t>
            </w:r>
            <w:r w:rsidR="003B7FAD" w:rsidRPr="0016092F">
              <w:rPr>
                <w:rFonts w:ascii="Times New Roman" w:hAnsi="Times New Roman"/>
                <w:sz w:val="22"/>
                <w:szCs w:val="22"/>
              </w:rPr>
              <w:t>ka trebalo bi da bude jasno zabi</w:t>
            </w:r>
            <w:r w:rsidRPr="0016092F">
              <w:rPr>
                <w:rFonts w:ascii="Times New Roman" w:hAnsi="Times New Roman"/>
                <w:sz w:val="22"/>
                <w:szCs w:val="22"/>
              </w:rPr>
              <w:t>l</w:t>
            </w:r>
            <w:r w:rsidR="003B7FAD" w:rsidRPr="0016092F">
              <w:rPr>
                <w:rFonts w:ascii="Times New Roman" w:hAnsi="Times New Roman"/>
                <w:sz w:val="22"/>
                <w:szCs w:val="22"/>
              </w:rPr>
              <w:t>j</w:t>
            </w:r>
            <w:r w:rsidRPr="0016092F">
              <w:rPr>
                <w:rFonts w:ascii="Times New Roman" w:hAnsi="Times New Roman"/>
                <w:sz w:val="22"/>
                <w:szCs w:val="22"/>
              </w:rPr>
              <w:t>eženo u dosijeu pacijenta.</w:t>
            </w:r>
          </w:p>
          <w:p w:rsidR="00144E78" w:rsidRPr="0016092F" w:rsidRDefault="00144E78" w:rsidP="006F146B">
            <w:pPr>
              <w:pStyle w:val="Header"/>
              <w:tabs>
                <w:tab w:val="clear" w:pos="4536"/>
                <w:tab w:val="clear" w:pos="9072"/>
                <w:tab w:val="left" w:pos="284"/>
              </w:tabs>
              <w:rPr>
                <w:rFonts w:ascii="Times New Roman" w:hAnsi="Times New Roman"/>
                <w:sz w:val="22"/>
                <w:szCs w:val="22"/>
              </w:rPr>
            </w:pPr>
          </w:p>
          <w:p w:rsidR="00144E78" w:rsidRPr="0016092F" w:rsidRDefault="00144E78"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Pacijenti se mogu prebaciti sa jednog ESA na drugi samo pod odgovarajućim nadzorom.</w:t>
            </w:r>
          </w:p>
          <w:p w:rsidR="00BC440A" w:rsidRPr="0016092F" w:rsidRDefault="00BC440A" w:rsidP="006F146B">
            <w:pPr>
              <w:pStyle w:val="Header"/>
              <w:tabs>
                <w:tab w:val="clear" w:pos="4536"/>
                <w:tab w:val="clear" w:pos="9072"/>
                <w:tab w:val="left" w:pos="284"/>
              </w:tabs>
              <w:rPr>
                <w:rFonts w:ascii="Times New Roman" w:hAnsi="Times New Roman"/>
                <w:sz w:val="22"/>
                <w:szCs w:val="22"/>
              </w:rPr>
            </w:pPr>
          </w:p>
          <w:p w:rsidR="00BC440A" w:rsidRPr="0016092F" w:rsidRDefault="00BC440A"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Čista aplazija crvene krvne loze (PRCA)</w:t>
            </w:r>
          </w:p>
          <w:p w:rsidR="00144E78" w:rsidRPr="0016092F" w:rsidRDefault="00BC440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Veoma r</w:t>
            </w:r>
            <w:r w:rsidR="003B7FAD" w:rsidRPr="0016092F">
              <w:rPr>
                <w:rFonts w:ascii="Times New Roman" w:hAnsi="Times New Roman"/>
                <w:sz w:val="22"/>
                <w:szCs w:val="22"/>
              </w:rPr>
              <w:t>ij</w:t>
            </w:r>
            <w:r w:rsidRPr="0016092F">
              <w:rPr>
                <w:rFonts w:ascii="Times New Roman" w:hAnsi="Times New Roman"/>
                <w:sz w:val="22"/>
                <w:szCs w:val="22"/>
              </w:rPr>
              <w:t>etko je prijavljena PRCA posredovana antit</w:t>
            </w:r>
            <w:r w:rsidR="003B7FAD" w:rsidRPr="0016092F">
              <w:rPr>
                <w:rFonts w:ascii="Times New Roman" w:hAnsi="Times New Roman"/>
                <w:sz w:val="22"/>
                <w:szCs w:val="22"/>
              </w:rPr>
              <w:t>ij</w:t>
            </w:r>
            <w:r w:rsidRPr="0016092F">
              <w:rPr>
                <w:rFonts w:ascii="Times New Roman" w:hAnsi="Times New Roman"/>
                <w:sz w:val="22"/>
                <w:szCs w:val="22"/>
              </w:rPr>
              <w:t>elima nakon m</w:t>
            </w:r>
            <w:r w:rsidR="003B7FAD" w:rsidRPr="0016092F">
              <w:rPr>
                <w:rFonts w:ascii="Times New Roman" w:hAnsi="Times New Roman"/>
                <w:sz w:val="22"/>
                <w:szCs w:val="22"/>
              </w:rPr>
              <w:t>j</w:t>
            </w:r>
            <w:r w:rsidRPr="0016092F">
              <w:rPr>
                <w:rFonts w:ascii="Times New Roman" w:hAnsi="Times New Roman"/>
                <w:sz w:val="22"/>
                <w:szCs w:val="22"/>
              </w:rPr>
              <w:t>eseci ili godina su</w:t>
            </w:r>
            <w:r w:rsidR="0043712B" w:rsidRPr="0016092F">
              <w:rPr>
                <w:rFonts w:ascii="Times New Roman" w:hAnsi="Times New Roman"/>
                <w:sz w:val="22"/>
                <w:szCs w:val="22"/>
              </w:rPr>
              <w:t>p</w:t>
            </w:r>
            <w:r w:rsidRPr="0016092F">
              <w:rPr>
                <w:rFonts w:ascii="Times New Roman" w:hAnsi="Times New Roman"/>
                <w:sz w:val="22"/>
                <w:szCs w:val="22"/>
              </w:rPr>
              <w:t>kutane terapije eritropoetinom</w:t>
            </w:r>
            <w:r w:rsidR="00144E78" w:rsidRPr="0016092F">
              <w:rPr>
                <w:rFonts w:ascii="Times New Roman" w:hAnsi="Times New Roman"/>
                <w:sz w:val="22"/>
                <w:szCs w:val="22"/>
              </w:rPr>
              <w:t>, uglavno</w:t>
            </w:r>
            <w:r w:rsidR="002B6DE2" w:rsidRPr="0016092F">
              <w:rPr>
                <w:rFonts w:ascii="Times New Roman" w:hAnsi="Times New Roman"/>
                <w:sz w:val="22"/>
                <w:szCs w:val="22"/>
              </w:rPr>
              <w:t>m</w:t>
            </w:r>
            <w:r w:rsidR="00144E78" w:rsidRPr="0016092F">
              <w:rPr>
                <w:rFonts w:ascii="Times New Roman" w:hAnsi="Times New Roman"/>
                <w:sz w:val="22"/>
                <w:szCs w:val="22"/>
              </w:rPr>
              <w:t xml:space="preserve"> kod pacijenata sa hroničnom bubrežnom insuficijencijom</w:t>
            </w:r>
            <w:r w:rsidRPr="0016092F">
              <w:rPr>
                <w:rFonts w:ascii="Times New Roman" w:hAnsi="Times New Roman"/>
                <w:sz w:val="22"/>
                <w:szCs w:val="22"/>
              </w:rPr>
              <w:t>.</w:t>
            </w:r>
            <w:r w:rsidR="00144E78" w:rsidRPr="0016092F">
              <w:rPr>
                <w:rFonts w:ascii="Times New Roman" w:hAnsi="Times New Roman"/>
                <w:sz w:val="22"/>
                <w:szCs w:val="22"/>
              </w:rPr>
              <w:t xml:space="preserve"> Slučajevi su takođe prijavljeni kod pacijenata sa hepatitisom C </w:t>
            </w:r>
            <w:r w:rsidR="000A46D9" w:rsidRPr="0016092F">
              <w:rPr>
                <w:rFonts w:ascii="Times New Roman" w:hAnsi="Times New Roman"/>
                <w:sz w:val="22"/>
                <w:szCs w:val="22"/>
              </w:rPr>
              <w:t>koji su l</w:t>
            </w:r>
            <w:r w:rsidR="003B7FAD" w:rsidRPr="0016092F">
              <w:rPr>
                <w:rFonts w:ascii="Times New Roman" w:hAnsi="Times New Roman"/>
                <w:sz w:val="22"/>
                <w:szCs w:val="22"/>
              </w:rPr>
              <w:t>ij</w:t>
            </w:r>
            <w:r w:rsidR="000A46D9" w:rsidRPr="0016092F">
              <w:rPr>
                <w:rFonts w:ascii="Times New Roman" w:hAnsi="Times New Roman"/>
                <w:sz w:val="22"/>
                <w:szCs w:val="22"/>
              </w:rPr>
              <w:t>ečeni</w:t>
            </w:r>
            <w:r w:rsidR="00144E78" w:rsidRPr="0016092F">
              <w:rPr>
                <w:rFonts w:ascii="Times New Roman" w:hAnsi="Times New Roman"/>
                <w:sz w:val="22"/>
                <w:szCs w:val="22"/>
              </w:rPr>
              <w:t xml:space="preserve"> interferonom ili ribavirinom, kada su se epoetini koristili istovremeno. Prim</w:t>
            </w:r>
            <w:r w:rsidR="003B7FAD" w:rsidRPr="0016092F">
              <w:rPr>
                <w:rFonts w:ascii="Times New Roman" w:hAnsi="Times New Roman"/>
                <w:sz w:val="22"/>
                <w:szCs w:val="22"/>
              </w:rPr>
              <w:t>j</w:t>
            </w:r>
            <w:r w:rsidR="00144E78" w:rsidRPr="0016092F">
              <w:rPr>
                <w:rFonts w:ascii="Times New Roman" w:hAnsi="Times New Roman"/>
                <w:sz w:val="22"/>
                <w:szCs w:val="22"/>
              </w:rPr>
              <w:t>ena epoetina nije dozvoljena u terapiji anemije udružene sa hepatitisom C.</w:t>
            </w:r>
          </w:p>
          <w:p w:rsidR="00144E78" w:rsidRPr="0016092F" w:rsidRDefault="00144E78" w:rsidP="006F146B">
            <w:pPr>
              <w:pStyle w:val="Header"/>
              <w:tabs>
                <w:tab w:val="clear" w:pos="4536"/>
                <w:tab w:val="clear" w:pos="9072"/>
                <w:tab w:val="left" w:pos="284"/>
              </w:tabs>
              <w:rPr>
                <w:rFonts w:ascii="Times New Roman" w:hAnsi="Times New Roman"/>
                <w:sz w:val="22"/>
                <w:szCs w:val="22"/>
              </w:rPr>
            </w:pPr>
          </w:p>
          <w:p w:rsidR="00421A7D" w:rsidRPr="0016092F" w:rsidRDefault="00BC440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Kod pacijenata kod kojih se javi iznenadni nedostatak efikasnosti smanjenjem Hb (1 do 2 g/dl m</w:t>
            </w:r>
            <w:r w:rsidR="003B7FAD" w:rsidRPr="0016092F">
              <w:rPr>
                <w:rFonts w:ascii="Times New Roman" w:hAnsi="Times New Roman"/>
                <w:sz w:val="22"/>
                <w:szCs w:val="22"/>
              </w:rPr>
              <w:t>j</w:t>
            </w:r>
            <w:r w:rsidRPr="0016092F">
              <w:rPr>
                <w:rFonts w:ascii="Times New Roman" w:hAnsi="Times New Roman"/>
                <w:sz w:val="22"/>
                <w:szCs w:val="22"/>
              </w:rPr>
              <w:t>esečno) sa povećanom potrebom za transfuzijama, potrebno je odrediti broj retikulocita i ispita</w:t>
            </w:r>
            <w:r w:rsidR="005E5E30" w:rsidRPr="0016092F">
              <w:rPr>
                <w:rFonts w:ascii="Times New Roman" w:hAnsi="Times New Roman"/>
                <w:sz w:val="22"/>
                <w:szCs w:val="22"/>
              </w:rPr>
              <w:t>ti da li postoje tipični uzro</w:t>
            </w:r>
            <w:r w:rsidRPr="0016092F">
              <w:rPr>
                <w:rFonts w:ascii="Times New Roman" w:hAnsi="Times New Roman"/>
                <w:sz w:val="22"/>
                <w:szCs w:val="22"/>
              </w:rPr>
              <w:t>ci neadekvatnog odgovora (npr. deficit gvožđa, folata ili vitamina B12, intoksikacija aluminijumom, infekcija ili inflamacija, gubitak krvi i hemoliza</w:t>
            </w:r>
            <w:r w:rsidR="00516C35" w:rsidRPr="0016092F">
              <w:rPr>
                <w:rFonts w:ascii="Times New Roman" w:hAnsi="Times New Roman"/>
                <w:sz w:val="22"/>
                <w:szCs w:val="22"/>
              </w:rPr>
              <w:t xml:space="preserve"> i fibroza kostne srži bilo kog por</w:t>
            </w:r>
            <w:r w:rsidR="003B7FAD" w:rsidRPr="0016092F">
              <w:rPr>
                <w:rFonts w:ascii="Times New Roman" w:hAnsi="Times New Roman"/>
                <w:sz w:val="22"/>
                <w:szCs w:val="22"/>
              </w:rPr>
              <w:t>ij</w:t>
            </w:r>
            <w:r w:rsidR="00516C35" w:rsidRPr="0016092F">
              <w:rPr>
                <w:rFonts w:ascii="Times New Roman" w:hAnsi="Times New Roman"/>
                <w:sz w:val="22"/>
                <w:szCs w:val="22"/>
              </w:rPr>
              <w:t>ekla</w:t>
            </w:r>
            <w:r w:rsidRPr="0016092F">
              <w:rPr>
                <w:rFonts w:ascii="Times New Roman" w:hAnsi="Times New Roman"/>
                <w:sz w:val="22"/>
                <w:szCs w:val="22"/>
              </w:rPr>
              <w:t>).</w:t>
            </w:r>
          </w:p>
          <w:p w:rsidR="00583C1F" w:rsidRPr="0016092F" w:rsidRDefault="00583C1F" w:rsidP="006F146B">
            <w:pPr>
              <w:pStyle w:val="Header"/>
              <w:tabs>
                <w:tab w:val="clear" w:pos="4536"/>
                <w:tab w:val="clear" w:pos="9072"/>
                <w:tab w:val="left" w:pos="284"/>
              </w:tabs>
              <w:rPr>
                <w:rFonts w:ascii="Times New Roman" w:hAnsi="Times New Roman"/>
                <w:sz w:val="22"/>
                <w:szCs w:val="22"/>
              </w:rPr>
            </w:pPr>
          </w:p>
          <w:p w:rsidR="00144E78" w:rsidRPr="0016092F" w:rsidRDefault="00583C1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Paradoksalno smanjenje Hb i razvoj teške anemije udružene sa malim brojem retikulocita </w:t>
            </w:r>
            <w:r w:rsidR="00474E63" w:rsidRPr="0016092F">
              <w:rPr>
                <w:rFonts w:ascii="Times New Roman" w:hAnsi="Times New Roman"/>
                <w:sz w:val="22"/>
                <w:szCs w:val="22"/>
              </w:rPr>
              <w:t xml:space="preserve">može dovesti do prekida terapije eritropoetinom i </w:t>
            </w:r>
            <w:r w:rsidR="00144E78" w:rsidRPr="0016092F">
              <w:rPr>
                <w:rFonts w:ascii="Times New Roman" w:hAnsi="Times New Roman"/>
                <w:sz w:val="22"/>
                <w:szCs w:val="22"/>
              </w:rPr>
              <w:t>ispitivanja postojanja</w:t>
            </w:r>
            <w:r w:rsidR="00474E63" w:rsidRPr="0016092F">
              <w:rPr>
                <w:rFonts w:ascii="Times New Roman" w:hAnsi="Times New Roman"/>
                <w:sz w:val="22"/>
                <w:szCs w:val="22"/>
              </w:rPr>
              <w:t xml:space="preserve"> anti-eritropoetinskih antit</w:t>
            </w:r>
            <w:r w:rsidR="003B7FAD" w:rsidRPr="0016092F">
              <w:rPr>
                <w:rFonts w:ascii="Times New Roman" w:hAnsi="Times New Roman"/>
                <w:sz w:val="22"/>
                <w:szCs w:val="22"/>
              </w:rPr>
              <w:t>ij</w:t>
            </w:r>
            <w:r w:rsidR="00474E63" w:rsidRPr="0016092F">
              <w:rPr>
                <w:rFonts w:ascii="Times New Roman" w:hAnsi="Times New Roman"/>
                <w:sz w:val="22"/>
                <w:szCs w:val="22"/>
              </w:rPr>
              <w:t xml:space="preserve">ela. </w:t>
            </w:r>
            <w:r w:rsidR="00144E78" w:rsidRPr="0016092F">
              <w:rPr>
                <w:rFonts w:ascii="Times New Roman" w:hAnsi="Times New Roman"/>
                <w:sz w:val="22"/>
                <w:szCs w:val="22"/>
              </w:rPr>
              <w:t>Potrebno je takođe uzeti u obzir i ispitivanje kostne srži u cilju dijagnoze PRCA.</w:t>
            </w:r>
          </w:p>
          <w:p w:rsidR="00144E78" w:rsidRPr="0016092F" w:rsidRDefault="00144E78" w:rsidP="006F146B">
            <w:pPr>
              <w:pStyle w:val="Header"/>
              <w:tabs>
                <w:tab w:val="clear" w:pos="4536"/>
                <w:tab w:val="clear" w:pos="9072"/>
                <w:tab w:val="left" w:pos="284"/>
              </w:tabs>
              <w:rPr>
                <w:rFonts w:ascii="Times New Roman" w:hAnsi="Times New Roman"/>
                <w:sz w:val="22"/>
                <w:szCs w:val="22"/>
              </w:rPr>
            </w:pPr>
          </w:p>
          <w:p w:rsidR="00474E63" w:rsidRPr="0016092F" w:rsidRDefault="00E565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Ne treba započinjati bilo koju drugu terapiju ESA zbog rizika od ukrštenih reakcija. </w:t>
            </w:r>
            <w:r w:rsidR="00474E63" w:rsidRPr="0016092F">
              <w:rPr>
                <w:rFonts w:ascii="Times New Roman" w:hAnsi="Times New Roman"/>
                <w:sz w:val="22"/>
                <w:szCs w:val="22"/>
              </w:rPr>
              <w:t xml:space="preserve"> </w:t>
            </w:r>
          </w:p>
          <w:p w:rsidR="00144E78" w:rsidRPr="0016092F" w:rsidRDefault="00144E78" w:rsidP="006F146B">
            <w:pPr>
              <w:pStyle w:val="Header"/>
              <w:tabs>
                <w:tab w:val="clear" w:pos="4536"/>
                <w:tab w:val="clear" w:pos="9072"/>
                <w:tab w:val="left" w:pos="284"/>
              </w:tabs>
              <w:rPr>
                <w:rFonts w:ascii="Times New Roman" w:hAnsi="Times New Roman"/>
                <w:sz w:val="22"/>
                <w:szCs w:val="22"/>
              </w:rPr>
            </w:pPr>
          </w:p>
          <w:p w:rsidR="00F23596" w:rsidRPr="0016092F" w:rsidRDefault="00E565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u w:val="single"/>
              </w:rPr>
              <w:t>Terapija simptomatske anemije kod odraslih i pedijatrijskih pacijenata sa hroničnom bubrežnom insuficijencijom</w:t>
            </w:r>
            <w:r w:rsidR="00B40EDF" w:rsidRPr="0016092F">
              <w:rPr>
                <w:rFonts w:ascii="Times New Roman" w:hAnsi="Times New Roman"/>
                <w:sz w:val="22"/>
                <w:szCs w:val="22"/>
              </w:rPr>
              <w:t>.</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2B6DE2" w:rsidRPr="0016092F" w:rsidRDefault="00516C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Kod pacijenata sa hroničnom bubrežnom insuficijencijom </w:t>
            </w:r>
            <w:r w:rsidR="003C2E0F" w:rsidRPr="0016092F">
              <w:rPr>
                <w:rFonts w:ascii="Times New Roman" w:hAnsi="Times New Roman"/>
                <w:sz w:val="22"/>
                <w:szCs w:val="22"/>
              </w:rPr>
              <w:t xml:space="preserve"> </w:t>
            </w:r>
            <w:r w:rsidRPr="0016092F">
              <w:rPr>
                <w:rFonts w:ascii="Times New Roman" w:hAnsi="Times New Roman"/>
                <w:sz w:val="22"/>
                <w:szCs w:val="22"/>
              </w:rPr>
              <w:t>koji se l</w:t>
            </w:r>
            <w:r w:rsidR="003B7FAD" w:rsidRPr="0016092F">
              <w:rPr>
                <w:rFonts w:ascii="Times New Roman" w:hAnsi="Times New Roman"/>
                <w:sz w:val="22"/>
                <w:szCs w:val="22"/>
              </w:rPr>
              <w:t>ij</w:t>
            </w:r>
            <w:r w:rsidRPr="0016092F">
              <w:rPr>
                <w:rFonts w:ascii="Times New Roman" w:hAnsi="Times New Roman"/>
                <w:sz w:val="22"/>
                <w:szCs w:val="22"/>
              </w:rPr>
              <w:t>eče epoetinom alfa potrebno je redovno pratiti vr</w:t>
            </w:r>
            <w:r w:rsidR="003B7FAD" w:rsidRPr="0016092F">
              <w:rPr>
                <w:rFonts w:ascii="Times New Roman" w:hAnsi="Times New Roman"/>
                <w:sz w:val="22"/>
                <w:szCs w:val="22"/>
              </w:rPr>
              <w:t>ij</w:t>
            </w:r>
            <w:r w:rsidRPr="0016092F">
              <w:rPr>
                <w:rFonts w:ascii="Times New Roman" w:hAnsi="Times New Roman"/>
                <w:sz w:val="22"/>
                <w:szCs w:val="22"/>
              </w:rPr>
              <w:t>ednosti Hb do postizanja stabilnih vr</w:t>
            </w:r>
            <w:r w:rsidR="003B7FAD" w:rsidRPr="0016092F">
              <w:rPr>
                <w:rFonts w:ascii="Times New Roman" w:hAnsi="Times New Roman"/>
                <w:sz w:val="22"/>
                <w:szCs w:val="22"/>
              </w:rPr>
              <w:t>ij</w:t>
            </w:r>
            <w:r w:rsidRPr="0016092F">
              <w:rPr>
                <w:rFonts w:ascii="Times New Roman" w:hAnsi="Times New Roman"/>
                <w:sz w:val="22"/>
                <w:szCs w:val="22"/>
              </w:rPr>
              <w:t>ednosti, kao i periodično nakon toga.</w:t>
            </w:r>
          </w:p>
          <w:p w:rsidR="002B6DE2" w:rsidRPr="0016092F" w:rsidRDefault="002B6DE2" w:rsidP="006F146B">
            <w:pPr>
              <w:pStyle w:val="Header"/>
              <w:tabs>
                <w:tab w:val="clear" w:pos="4536"/>
                <w:tab w:val="clear" w:pos="9072"/>
                <w:tab w:val="left" w:pos="284"/>
              </w:tabs>
              <w:rPr>
                <w:rFonts w:ascii="Times New Roman" w:hAnsi="Times New Roman"/>
                <w:sz w:val="22"/>
                <w:szCs w:val="22"/>
              </w:rPr>
            </w:pPr>
          </w:p>
          <w:p w:rsidR="00E56529" w:rsidRPr="0016092F" w:rsidRDefault="00E565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Kod pacijenata sa hroničnim insuficijencijom bubrega </w:t>
            </w:r>
            <w:r w:rsidR="000A46D9" w:rsidRPr="0016092F">
              <w:rPr>
                <w:rFonts w:ascii="Times New Roman" w:hAnsi="Times New Roman"/>
                <w:sz w:val="22"/>
                <w:szCs w:val="22"/>
              </w:rPr>
              <w:t>brzina</w:t>
            </w:r>
            <w:r w:rsidRPr="0016092F">
              <w:rPr>
                <w:rFonts w:ascii="Times New Roman" w:hAnsi="Times New Roman"/>
                <w:sz w:val="22"/>
                <w:szCs w:val="22"/>
              </w:rPr>
              <w:t xml:space="preserve"> porasta hemoglobina trebalo bi da bude u pros</w:t>
            </w:r>
            <w:r w:rsidR="003B7FAD" w:rsidRPr="0016092F">
              <w:rPr>
                <w:rFonts w:ascii="Times New Roman" w:hAnsi="Times New Roman"/>
                <w:sz w:val="22"/>
                <w:szCs w:val="22"/>
              </w:rPr>
              <w:t>j</w:t>
            </w:r>
            <w:r w:rsidRPr="0016092F">
              <w:rPr>
                <w:rFonts w:ascii="Times New Roman" w:hAnsi="Times New Roman"/>
                <w:sz w:val="22"/>
                <w:szCs w:val="22"/>
              </w:rPr>
              <w:t>eku 1 g/dl (0.62 mmol/l) m</w:t>
            </w:r>
            <w:r w:rsidR="003B7FAD" w:rsidRPr="0016092F">
              <w:rPr>
                <w:rFonts w:ascii="Times New Roman" w:hAnsi="Times New Roman"/>
                <w:sz w:val="22"/>
                <w:szCs w:val="22"/>
              </w:rPr>
              <w:t>j</w:t>
            </w:r>
            <w:r w:rsidRPr="0016092F">
              <w:rPr>
                <w:rFonts w:ascii="Times New Roman" w:hAnsi="Times New Roman"/>
                <w:sz w:val="22"/>
                <w:szCs w:val="22"/>
              </w:rPr>
              <w:t>esečno i ne sm</w:t>
            </w:r>
            <w:r w:rsidR="003B7FAD" w:rsidRPr="0016092F">
              <w:rPr>
                <w:rFonts w:ascii="Times New Roman" w:hAnsi="Times New Roman"/>
                <w:sz w:val="22"/>
                <w:szCs w:val="22"/>
              </w:rPr>
              <w:t>ij</w:t>
            </w:r>
            <w:r w:rsidRPr="0016092F">
              <w:rPr>
                <w:rFonts w:ascii="Times New Roman" w:hAnsi="Times New Roman"/>
                <w:sz w:val="22"/>
                <w:szCs w:val="22"/>
              </w:rPr>
              <w:t>e premašiti 2 g/dl (1.25 mmol/l) m</w:t>
            </w:r>
            <w:r w:rsidR="003B7FAD" w:rsidRPr="0016092F">
              <w:rPr>
                <w:rFonts w:ascii="Times New Roman" w:hAnsi="Times New Roman"/>
                <w:sz w:val="22"/>
                <w:szCs w:val="22"/>
              </w:rPr>
              <w:t>j</w:t>
            </w:r>
            <w:r w:rsidRPr="0016092F">
              <w:rPr>
                <w:rFonts w:ascii="Times New Roman" w:hAnsi="Times New Roman"/>
                <w:sz w:val="22"/>
                <w:szCs w:val="22"/>
              </w:rPr>
              <w:t xml:space="preserve">esečno kako bi </w:t>
            </w:r>
            <w:r w:rsidR="000A46D9" w:rsidRPr="0016092F">
              <w:rPr>
                <w:rFonts w:ascii="Times New Roman" w:hAnsi="Times New Roman"/>
                <w:sz w:val="22"/>
                <w:szCs w:val="22"/>
              </w:rPr>
              <w:t xml:space="preserve">se </w:t>
            </w:r>
            <w:r w:rsidRPr="0016092F">
              <w:rPr>
                <w:rFonts w:ascii="Times New Roman" w:hAnsi="Times New Roman"/>
                <w:sz w:val="22"/>
                <w:szCs w:val="22"/>
              </w:rPr>
              <w:t>rizik od pogoršanja hipertenzije sve</w:t>
            </w:r>
            <w:r w:rsidR="000A46D9" w:rsidRPr="0016092F">
              <w:rPr>
                <w:rFonts w:ascii="Times New Roman" w:hAnsi="Times New Roman"/>
                <w:sz w:val="22"/>
                <w:szCs w:val="22"/>
              </w:rPr>
              <w:t>o</w:t>
            </w:r>
            <w:r w:rsidRPr="0016092F">
              <w:rPr>
                <w:rFonts w:ascii="Times New Roman" w:hAnsi="Times New Roman"/>
                <w:sz w:val="22"/>
                <w:szCs w:val="22"/>
              </w:rPr>
              <w:t xml:space="preserve"> na najmanju moguću m</w:t>
            </w:r>
            <w:r w:rsidR="003B7FAD" w:rsidRPr="0016092F">
              <w:rPr>
                <w:rFonts w:ascii="Times New Roman" w:hAnsi="Times New Roman"/>
                <w:sz w:val="22"/>
                <w:szCs w:val="22"/>
              </w:rPr>
              <w:t>j</w:t>
            </w:r>
            <w:r w:rsidRPr="0016092F">
              <w:rPr>
                <w:rFonts w:ascii="Times New Roman" w:hAnsi="Times New Roman"/>
                <w:sz w:val="22"/>
                <w:szCs w:val="22"/>
              </w:rPr>
              <w:t>eru.</w:t>
            </w:r>
          </w:p>
          <w:p w:rsidR="00E56529" w:rsidRPr="0016092F" w:rsidRDefault="00E56529" w:rsidP="006F146B">
            <w:pPr>
              <w:pStyle w:val="Header"/>
              <w:tabs>
                <w:tab w:val="clear" w:pos="4536"/>
                <w:tab w:val="clear" w:pos="9072"/>
                <w:tab w:val="left" w:pos="284"/>
              </w:tabs>
              <w:rPr>
                <w:rFonts w:ascii="Times New Roman" w:hAnsi="Times New Roman"/>
                <w:sz w:val="22"/>
                <w:szCs w:val="22"/>
              </w:rPr>
            </w:pPr>
          </w:p>
          <w:p w:rsidR="000A5C4C" w:rsidRPr="0016092F" w:rsidRDefault="00E5652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pacijenata sa hroničnom bubrežnom insuficijencijom, o</w:t>
            </w:r>
            <w:r w:rsidR="003B7FAD" w:rsidRPr="0016092F">
              <w:rPr>
                <w:rFonts w:ascii="Times New Roman" w:hAnsi="Times New Roman"/>
                <w:sz w:val="22"/>
                <w:szCs w:val="22"/>
              </w:rPr>
              <w:t>državane koncentracije Hb ne smi</w:t>
            </w:r>
            <w:r w:rsidRPr="0016092F">
              <w:rPr>
                <w:rFonts w:ascii="Times New Roman" w:hAnsi="Times New Roman"/>
                <w:sz w:val="22"/>
                <w:szCs w:val="22"/>
              </w:rPr>
              <w:t>ju premašiti gornju granicu ciljne koncentracije Hb preporučene u od</w:t>
            </w:r>
            <w:r w:rsidR="003B7FAD" w:rsidRPr="0016092F">
              <w:rPr>
                <w:rFonts w:ascii="Times New Roman" w:hAnsi="Times New Roman"/>
                <w:sz w:val="22"/>
                <w:szCs w:val="22"/>
              </w:rPr>
              <w:t>j</w:t>
            </w:r>
            <w:r w:rsidRPr="0016092F">
              <w:rPr>
                <w:rFonts w:ascii="Times New Roman" w:hAnsi="Times New Roman"/>
                <w:sz w:val="22"/>
                <w:szCs w:val="22"/>
              </w:rPr>
              <w:t>eljku 4.2. U kliničkim studijama, povećan rizik od smrtnog ishoda i ozbiljnih kardiovaskularnih događaja uočene su kada su ESA prim</w:t>
            </w:r>
            <w:r w:rsidR="003B7FAD" w:rsidRPr="0016092F">
              <w:rPr>
                <w:rFonts w:ascii="Times New Roman" w:hAnsi="Times New Roman"/>
                <w:sz w:val="22"/>
                <w:szCs w:val="22"/>
              </w:rPr>
              <w:t>j</w:t>
            </w:r>
            <w:r w:rsidRPr="0016092F">
              <w:rPr>
                <w:rFonts w:ascii="Times New Roman" w:hAnsi="Times New Roman"/>
                <w:sz w:val="22"/>
                <w:szCs w:val="22"/>
              </w:rPr>
              <w:t>enjivani radi postizanja vr</w:t>
            </w:r>
            <w:r w:rsidR="003B7FAD" w:rsidRPr="0016092F">
              <w:rPr>
                <w:rFonts w:ascii="Times New Roman" w:hAnsi="Times New Roman"/>
                <w:sz w:val="22"/>
                <w:szCs w:val="22"/>
              </w:rPr>
              <w:t>ij</w:t>
            </w:r>
            <w:r w:rsidRPr="0016092F">
              <w:rPr>
                <w:rFonts w:ascii="Times New Roman" w:hAnsi="Times New Roman"/>
                <w:sz w:val="22"/>
                <w:szCs w:val="22"/>
              </w:rPr>
              <w:t>ednosti hemoglobina koje su veće od 12 g/dl (7.</w:t>
            </w:r>
            <w:r w:rsidR="009663F7" w:rsidRPr="0016092F">
              <w:rPr>
                <w:rFonts w:ascii="Times New Roman" w:hAnsi="Times New Roman"/>
                <w:sz w:val="22"/>
                <w:szCs w:val="22"/>
              </w:rPr>
              <w:t>5 mmol/l).</w:t>
            </w:r>
          </w:p>
          <w:p w:rsidR="00516C35" w:rsidRPr="0016092F" w:rsidRDefault="00516C35" w:rsidP="006F146B">
            <w:pPr>
              <w:pStyle w:val="Header"/>
              <w:tabs>
                <w:tab w:val="clear" w:pos="4536"/>
                <w:tab w:val="clear" w:pos="9072"/>
                <w:tab w:val="left" w:pos="284"/>
              </w:tabs>
              <w:rPr>
                <w:rFonts w:ascii="Times New Roman" w:hAnsi="Times New Roman"/>
                <w:sz w:val="22"/>
                <w:szCs w:val="22"/>
              </w:rPr>
            </w:pPr>
          </w:p>
          <w:p w:rsidR="002B6DE2" w:rsidRPr="0016092F" w:rsidRDefault="002B6DE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Kontrolisane kliničke studije ni</w:t>
            </w:r>
            <w:r w:rsidR="003B7FAD" w:rsidRPr="0016092F">
              <w:rPr>
                <w:rFonts w:ascii="Times New Roman" w:hAnsi="Times New Roman"/>
                <w:sz w:val="22"/>
                <w:szCs w:val="22"/>
              </w:rPr>
              <w:t>je</w:t>
            </w:r>
            <w:r w:rsidRPr="0016092F">
              <w:rPr>
                <w:rFonts w:ascii="Times New Roman" w:hAnsi="Times New Roman"/>
                <w:sz w:val="22"/>
                <w:szCs w:val="22"/>
              </w:rPr>
              <w:t>su pokazale koristan doprinos koji bi se mogao pripisati prim</w:t>
            </w:r>
            <w:r w:rsidR="003B7FAD" w:rsidRPr="0016092F">
              <w:rPr>
                <w:rFonts w:ascii="Times New Roman" w:hAnsi="Times New Roman"/>
                <w:sz w:val="22"/>
                <w:szCs w:val="22"/>
              </w:rPr>
              <w:t>j</w:t>
            </w:r>
            <w:r w:rsidRPr="0016092F">
              <w:rPr>
                <w:rFonts w:ascii="Times New Roman" w:hAnsi="Times New Roman"/>
                <w:sz w:val="22"/>
                <w:szCs w:val="22"/>
              </w:rPr>
              <w:t>eni epoetina u slučaju kada je koncentracija Hb iznad nivoa neophodnog za kontrolu simptoma anemije i izb</w:t>
            </w:r>
            <w:r w:rsidR="003B7FAD" w:rsidRPr="0016092F">
              <w:rPr>
                <w:rFonts w:ascii="Times New Roman" w:hAnsi="Times New Roman"/>
                <w:sz w:val="22"/>
                <w:szCs w:val="22"/>
              </w:rPr>
              <w:t>j</w:t>
            </w:r>
            <w:r w:rsidRPr="0016092F">
              <w:rPr>
                <w:rFonts w:ascii="Times New Roman" w:hAnsi="Times New Roman"/>
                <w:sz w:val="22"/>
                <w:szCs w:val="22"/>
              </w:rPr>
              <w:t>egavanja transfuzije krvi.</w:t>
            </w:r>
          </w:p>
          <w:p w:rsidR="002B6DE2" w:rsidRPr="0016092F" w:rsidRDefault="002B6DE2" w:rsidP="006F146B">
            <w:pPr>
              <w:pStyle w:val="Header"/>
              <w:tabs>
                <w:tab w:val="clear" w:pos="4536"/>
                <w:tab w:val="clear" w:pos="9072"/>
                <w:tab w:val="left" w:pos="284"/>
              </w:tabs>
              <w:rPr>
                <w:rFonts w:ascii="Times New Roman" w:hAnsi="Times New Roman"/>
                <w:sz w:val="22"/>
                <w:szCs w:val="22"/>
              </w:rPr>
            </w:pPr>
          </w:p>
          <w:p w:rsidR="00516C35" w:rsidRPr="0016092F" w:rsidRDefault="00516C3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Potreban je oprez pri povećanju doze Binocrit-a kod pacijenata sa hroničnom insuficijencijom bubrega, s obzirom da visoke kumulativne doze epoetina mogu biti povezane sa povećanim rizikom od smrtnosti, ozbiljnih kardiovaskularnih i cerebrovaskularnih događaja. Kod pacijenata sa slabim odgovorom hemoglobina na epoetine, potrebno je razmotriti druga moguća objašnjenja za slab odgovor (vid</w:t>
            </w:r>
            <w:r w:rsidR="003B7FAD" w:rsidRPr="0016092F">
              <w:rPr>
                <w:rFonts w:ascii="Times New Roman" w:hAnsi="Times New Roman"/>
                <w:sz w:val="22"/>
                <w:szCs w:val="22"/>
              </w:rPr>
              <w:t>j</w:t>
            </w:r>
            <w:r w:rsidRPr="0016092F">
              <w:rPr>
                <w:rFonts w:ascii="Times New Roman" w:hAnsi="Times New Roman"/>
                <w:sz w:val="22"/>
                <w:szCs w:val="22"/>
              </w:rPr>
              <w:t>eti od</w:t>
            </w:r>
            <w:r w:rsidR="003B7FAD" w:rsidRPr="0016092F">
              <w:rPr>
                <w:rFonts w:ascii="Times New Roman" w:hAnsi="Times New Roman"/>
                <w:sz w:val="22"/>
                <w:szCs w:val="22"/>
              </w:rPr>
              <w:t>j</w:t>
            </w:r>
            <w:r w:rsidRPr="0016092F">
              <w:rPr>
                <w:rFonts w:ascii="Times New Roman" w:hAnsi="Times New Roman"/>
                <w:sz w:val="22"/>
                <w:szCs w:val="22"/>
              </w:rPr>
              <w:t>eljke 4.2 i 5.1).</w:t>
            </w:r>
          </w:p>
          <w:p w:rsidR="00864545" w:rsidRPr="0016092F" w:rsidRDefault="00864545" w:rsidP="006F146B">
            <w:pPr>
              <w:pStyle w:val="Header"/>
              <w:tabs>
                <w:tab w:val="clear" w:pos="4536"/>
                <w:tab w:val="clear" w:pos="9072"/>
                <w:tab w:val="left" w:pos="284"/>
              </w:tabs>
              <w:rPr>
                <w:rFonts w:ascii="Times New Roman" w:hAnsi="Times New Roman"/>
                <w:sz w:val="22"/>
                <w:szCs w:val="22"/>
              </w:rPr>
            </w:pPr>
          </w:p>
          <w:p w:rsidR="00EE07C0" w:rsidRPr="0016092F" w:rsidRDefault="00CE66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Pacijente sa hroničnom bubrežnom insuficijencijom l</w:t>
            </w:r>
            <w:r w:rsidR="003B7FAD" w:rsidRPr="0016092F">
              <w:rPr>
                <w:rFonts w:ascii="Times New Roman" w:hAnsi="Times New Roman"/>
                <w:sz w:val="22"/>
                <w:szCs w:val="22"/>
              </w:rPr>
              <w:t>ij</w:t>
            </w:r>
            <w:r w:rsidRPr="0016092F">
              <w:rPr>
                <w:rFonts w:ascii="Times New Roman" w:hAnsi="Times New Roman"/>
                <w:sz w:val="22"/>
                <w:szCs w:val="22"/>
              </w:rPr>
              <w:t xml:space="preserve">ečeni epoetinom alfa supkutanim putem treba redovno pratiti zbog gubitka efikasnosti, definisan kao odsustvo ili smanjenje odgovora na terapiju epoetinom alfa kod pacijenata koji su prethodno odgovarali na ovu terapiju. Smanjenje efikasnosti karakteriše </w:t>
            </w:r>
            <w:r w:rsidR="00EE07C0" w:rsidRPr="0016092F">
              <w:rPr>
                <w:rFonts w:ascii="Times New Roman" w:hAnsi="Times New Roman"/>
                <w:sz w:val="22"/>
                <w:szCs w:val="22"/>
              </w:rPr>
              <w:t>smanjenje hemoglobina koje se održava uprkos povećanju doze epoetina alfa (vid</w:t>
            </w:r>
            <w:r w:rsidR="003B7FAD" w:rsidRPr="0016092F">
              <w:rPr>
                <w:rFonts w:ascii="Times New Roman" w:hAnsi="Times New Roman"/>
                <w:sz w:val="22"/>
                <w:szCs w:val="22"/>
              </w:rPr>
              <w:t>j</w:t>
            </w:r>
            <w:r w:rsidR="00EE07C0" w:rsidRPr="0016092F">
              <w:rPr>
                <w:rFonts w:ascii="Times New Roman" w:hAnsi="Times New Roman"/>
                <w:sz w:val="22"/>
                <w:szCs w:val="22"/>
              </w:rPr>
              <w:t>eti od</w:t>
            </w:r>
            <w:r w:rsidR="003B7FAD" w:rsidRPr="0016092F">
              <w:rPr>
                <w:rFonts w:ascii="Times New Roman" w:hAnsi="Times New Roman"/>
                <w:sz w:val="22"/>
                <w:szCs w:val="22"/>
              </w:rPr>
              <w:t>j</w:t>
            </w:r>
            <w:r w:rsidR="00EE07C0" w:rsidRPr="0016092F">
              <w:rPr>
                <w:rFonts w:ascii="Times New Roman" w:hAnsi="Times New Roman"/>
                <w:sz w:val="22"/>
                <w:szCs w:val="22"/>
              </w:rPr>
              <w:t>eljak 4.8).</w:t>
            </w:r>
          </w:p>
          <w:p w:rsidR="00CE66A0" w:rsidRPr="0016092F" w:rsidRDefault="00CE66A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 </w:t>
            </w:r>
          </w:p>
          <w:p w:rsidR="00042CC9" w:rsidRPr="0016092F" w:rsidRDefault="00042CC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nekih pacijenata koji imaju duži interval doziranja (duže od ned</w:t>
            </w:r>
            <w:r w:rsidR="003B7FAD" w:rsidRPr="0016092F">
              <w:rPr>
                <w:rFonts w:ascii="Times New Roman" w:hAnsi="Times New Roman"/>
                <w:sz w:val="22"/>
                <w:szCs w:val="22"/>
              </w:rPr>
              <w:t>j</w:t>
            </w:r>
            <w:r w:rsidRPr="0016092F">
              <w:rPr>
                <w:rFonts w:ascii="Times New Roman" w:hAnsi="Times New Roman"/>
                <w:sz w:val="22"/>
                <w:szCs w:val="22"/>
              </w:rPr>
              <w:t>elju dana) epoetina alfa možda se neće održavati odgovarajuća vr</w:t>
            </w:r>
            <w:r w:rsidR="003B7FAD" w:rsidRPr="0016092F">
              <w:rPr>
                <w:rFonts w:ascii="Times New Roman" w:hAnsi="Times New Roman"/>
                <w:sz w:val="22"/>
                <w:szCs w:val="22"/>
              </w:rPr>
              <w:t>ij</w:t>
            </w:r>
            <w:r w:rsidRPr="0016092F">
              <w:rPr>
                <w:rFonts w:ascii="Times New Roman" w:hAnsi="Times New Roman"/>
                <w:sz w:val="22"/>
                <w:szCs w:val="22"/>
              </w:rPr>
              <w:t>ednost hemoglobina (vid</w:t>
            </w:r>
            <w:r w:rsidR="003B7FAD" w:rsidRPr="0016092F">
              <w:rPr>
                <w:rFonts w:ascii="Times New Roman" w:hAnsi="Times New Roman"/>
                <w:sz w:val="22"/>
                <w:szCs w:val="22"/>
              </w:rPr>
              <w:t>jj</w:t>
            </w:r>
            <w:r w:rsidRPr="0016092F">
              <w:rPr>
                <w:rFonts w:ascii="Times New Roman" w:hAnsi="Times New Roman"/>
                <w:sz w:val="22"/>
                <w:szCs w:val="22"/>
              </w:rPr>
              <w:t>eti odeljak 5.1), zbog čega može biti potrebno povećanje doze epoetina alfa. Potrebno je redovno pratiti vr</w:t>
            </w:r>
            <w:r w:rsidR="003B7FAD" w:rsidRPr="0016092F">
              <w:rPr>
                <w:rFonts w:ascii="Times New Roman" w:hAnsi="Times New Roman"/>
                <w:sz w:val="22"/>
                <w:szCs w:val="22"/>
              </w:rPr>
              <w:t>ij</w:t>
            </w:r>
            <w:r w:rsidRPr="0016092F">
              <w:rPr>
                <w:rFonts w:ascii="Times New Roman" w:hAnsi="Times New Roman"/>
                <w:sz w:val="22"/>
                <w:szCs w:val="22"/>
              </w:rPr>
              <w:t>ednosti hemoglobina.</w:t>
            </w:r>
          </w:p>
          <w:p w:rsidR="00864545" w:rsidRPr="0016092F" w:rsidRDefault="00864545" w:rsidP="006F146B">
            <w:pPr>
              <w:pStyle w:val="Header"/>
              <w:tabs>
                <w:tab w:val="clear" w:pos="4536"/>
                <w:tab w:val="clear" w:pos="9072"/>
                <w:tab w:val="left" w:pos="284"/>
              </w:tabs>
              <w:rPr>
                <w:rFonts w:ascii="Times New Roman" w:hAnsi="Times New Roman"/>
                <w:sz w:val="22"/>
                <w:szCs w:val="22"/>
              </w:rPr>
            </w:pPr>
          </w:p>
          <w:p w:rsidR="00864545" w:rsidRPr="0016092F" w:rsidRDefault="0086454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Kod pacijenata na hemodijalizi javila se trombo</w:t>
            </w:r>
            <w:r w:rsidR="009A16F4" w:rsidRPr="0016092F">
              <w:rPr>
                <w:rFonts w:ascii="Times New Roman" w:hAnsi="Times New Roman"/>
                <w:sz w:val="22"/>
                <w:szCs w:val="22"/>
              </w:rPr>
              <w:t>z</w:t>
            </w:r>
            <w:r w:rsidRPr="0016092F">
              <w:rPr>
                <w:rFonts w:ascii="Times New Roman" w:hAnsi="Times New Roman"/>
                <w:sz w:val="22"/>
                <w:szCs w:val="22"/>
              </w:rPr>
              <w:t>a šanta, posebno kod onih koji su sk</w:t>
            </w:r>
            <w:r w:rsidR="005C6336" w:rsidRPr="0016092F">
              <w:rPr>
                <w:rFonts w:ascii="Times New Roman" w:hAnsi="Times New Roman"/>
                <w:sz w:val="22"/>
                <w:szCs w:val="22"/>
              </w:rPr>
              <w:t>l</w:t>
            </w:r>
            <w:r w:rsidRPr="0016092F">
              <w:rPr>
                <w:rFonts w:ascii="Times New Roman" w:hAnsi="Times New Roman"/>
                <w:sz w:val="22"/>
                <w:szCs w:val="22"/>
              </w:rPr>
              <w:t>oni hipotenziji ili komplikacijama sa arteriovenskom fistulom (npr. stenoza, aneurizma, i dr.). Kod ovih pacijenata se preporučuje rana revizija šanta i profilaksa tromboze, na prim</w:t>
            </w:r>
            <w:r w:rsidR="003B7FAD" w:rsidRPr="0016092F">
              <w:rPr>
                <w:rFonts w:ascii="Times New Roman" w:hAnsi="Times New Roman"/>
                <w:sz w:val="22"/>
                <w:szCs w:val="22"/>
              </w:rPr>
              <w:t>j</w:t>
            </w:r>
            <w:r w:rsidRPr="0016092F">
              <w:rPr>
                <w:rFonts w:ascii="Times New Roman" w:hAnsi="Times New Roman"/>
                <w:sz w:val="22"/>
                <w:szCs w:val="22"/>
              </w:rPr>
              <w:t>er prim</w:t>
            </w:r>
            <w:r w:rsidR="003B7FAD" w:rsidRPr="0016092F">
              <w:rPr>
                <w:rFonts w:ascii="Times New Roman" w:hAnsi="Times New Roman"/>
                <w:sz w:val="22"/>
                <w:szCs w:val="22"/>
              </w:rPr>
              <w:t>j</w:t>
            </w:r>
            <w:r w:rsidRPr="0016092F">
              <w:rPr>
                <w:rFonts w:ascii="Times New Roman" w:hAnsi="Times New Roman"/>
                <w:sz w:val="22"/>
                <w:szCs w:val="22"/>
              </w:rPr>
              <w:t xml:space="preserve">enom acetilsalicilne kiseline. </w:t>
            </w:r>
          </w:p>
          <w:p w:rsidR="005C6336" w:rsidRPr="0016092F" w:rsidRDefault="005C6336" w:rsidP="006F146B">
            <w:pPr>
              <w:pStyle w:val="Header"/>
              <w:tabs>
                <w:tab w:val="clear" w:pos="4536"/>
                <w:tab w:val="clear" w:pos="9072"/>
                <w:tab w:val="left" w:pos="284"/>
              </w:tabs>
              <w:rPr>
                <w:rFonts w:ascii="Times New Roman" w:hAnsi="Times New Roman"/>
                <w:sz w:val="22"/>
                <w:szCs w:val="22"/>
              </w:rPr>
            </w:pPr>
          </w:p>
          <w:p w:rsidR="009663F7" w:rsidRPr="0016092F" w:rsidRDefault="005C633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izolovanim slučajevima uočena je hiperkalemija</w:t>
            </w:r>
            <w:r w:rsidR="009663F7" w:rsidRPr="0016092F">
              <w:rPr>
                <w:rFonts w:ascii="Times New Roman" w:hAnsi="Times New Roman"/>
                <w:sz w:val="22"/>
                <w:szCs w:val="22"/>
              </w:rPr>
              <w:t>, međutim u</w:t>
            </w:r>
            <w:r w:rsidR="000A46D9" w:rsidRPr="0016092F">
              <w:rPr>
                <w:rFonts w:ascii="Times New Roman" w:hAnsi="Times New Roman"/>
                <w:sz w:val="22"/>
                <w:szCs w:val="22"/>
              </w:rPr>
              <w:t>z</w:t>
            </w:r>
            <w:r w:rsidR="009663F7" w:rsidRPr="0016092F">
              <w:rPr>
                <w:rFonts w:ascii="Times New Roman" w:hAnsi="Times New Roman"/>
                <w:sz w:val="22"/>
                <w:szCs w:val="22"/>
              </w:rPr>
              <w:t>rok nije utvrđen</w:t>
            </w:r>
            <w:r w:rsidRPr="0016092F">
              <w:rPr>
                <w:rFonts w:ascii="Times New Roman" w:hAnsi="Times New Roman"/>
                <w:sz w:val="22"/>
                <w:szCs w:val="22"/>
              </w:rPr>
              <w:t xml:space="preserve">. </w:t>
            </w:r>
            <w:r w:rsidR="009663F7" w:rsidRPr="0016092F">
              <w:rPr>
                <w:rFonts w:ascii="Times New Roman" w:hAnsi="Times New Roman"/>
                <w:sz w:val="22"/>
                <w:szCs w:val="22"/>
              </w:rPr>
              <w:t>Kod pacijenata sa hroničnom bubrežnom insuficijencijom moraju se pratiti vr</w:t>
            </w:r>
            <w:r w:rsidR="003B7FAD" w:rsidRPr="0016092F">
              <w:rPr>
                <w:rFonts w:ascii="Times New Roman" w:hAnsi="Times New Roman"/>
                <w:sz w:val="22"/>
                <w:szCs w:val="22"/>
              </w:rPr>
              <w:t>ij</w:t>
            </w:r>
            <w:r w:rsidR="009663F7" w:rsidRPr="0016092F">
              <w:rPr>
                <w:rFonts w:ascii="Times New Roman" w:hAnsi="Times New Roman"/>
                <w:sz w:val="22"/>
                <w:szCs w:val="22"/>
              </w:rPr>
              <w:t>ednosti e</w:t>
            </w:r>
            <w:r w:rsidR="003B7FAD" w:rsidRPr="0016092F">
              <w:rPr>
                <w:rFonts w:ascii="Times New Roman" w:hAnsi="Times New Roman"/>
                <w:sz w:val="22"/>
                <w:szCs w:val="22"/>
              </w:rPr>
              <w:t>lektrolita u serumu. Ako se zabi</w:t>
            </w:r>
            <w:r w:rsidR="009663F7" w:rsidRPr="0016092F">
              <w:rPr>
                <w:rFonts w:ascii="Times New Roman" w:hAnsi="Times New Roman"/>
                <w:sz w:val="22"/>
                <w:szCs w:val="22"/>
              </w:rPr>
              <w:t>l</w:t>
            </w:r>
            <w:r w:rsidR="003B7FAD" w:rsidRPr="0016092F">
              <w:rPr>
                <w:rFonts w:ascii="Times New Roman" w:hAnsi="Times New Roman"/>
                <w:sz w:val="22"/>
                <w:szCs w:val="22"/>
              </w:rPr>
              <w:t>j</w:t>
            </w:r>
            <w:r w:rsidR="009663F7" w:rsidRPr="0016092F">
              <w:rPr>
                <w:rFonts w:ascii="Times New Roman" w:hAnsi="Times New Roman"/>
                <w:sz w:val="22"/>
                <w:szCs w:val="22"/>
              </w:rPr>
              <w:t>eži porast vr</w:t>
            </w:r>
            <w:r w:rsidR="003B7FAD" w:rsidRPr="0016092F">
              <w:rPr>
                <w:rFonts w:ascii="Times New Roman" w:hAnsi="Times New Roman"/>
                <w:sz w:val="22"/>
                <w:szCs w:val="22"/>
              </w:rPr>
              <w:t>ij</w:t>
            </w:r>
            <w:r w:rsidR="009663F7" w:rsidRPr="0016092F">
              <w:rPr>
                <w:rFonts w:ascii="Times New Roman" w:hAnsi="Times New Roman"/>
                <w:sz w:val="22"/>
                <w:szCs w:val="22"/>
              </w:rPr>
              <w:t>ednosti serumskog kalijuma onda treba razmotriti prekid terapije epoetinom alfa dok se ne koriguje hiperkalemija.</w:t>
            </w:r>
          </w:p>
          <w:p w:rsidR="009663F7" w:rsidRPr="0016092F" w:rsidRDefault="009663F7" w:rsidP="006F146B">
            <w:pPr>
              <w:pStyle w:val="Header"/>
              <w:tabs>
                <w:tab w:val="clear" w:pos="4536"/>
                <w:tab w:val="clear" w:pos="9072"/>
                <w:tab w:val="left" w:pos="284"/>
              </w:tabs>
              <w:rPr>
                <w:rFonts w:ascii="Times New Roman" w:hAnsi="Times New Roman"/>
                <w:sz w:val="22"/>
                <w:szCs w:val="22"/>
              </w:rPr>
            </w:pPr>
          </w:p>
          <w:p w:rsidR="005C6336" w:rsidRPr="0016092F" w:rsidRDefault="009A16F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Kao posl</w:t>
            </w:r>
            <w:r w:rsidR="003B7FAD" w:rsidRPr="0016092F">
              <w:rPr>
                <w:rFonts w:ascii="Times New Roman" w:hAnsi="Times New Roman"/>
                <w:sz w:val="22"/>
                <w:szCs w:val="22"/>
              </w:rPr>
              <w:t>j</w:t>
            </w:r>
            <w:r w:rsidRPr="0016092F">
              <w:rPr>
                <w:rFonts w:ascii="Times New Roman" w:hAnsi="Times New Roman"/>
                <w:sz w:val="22"/>
                <w:szCs w:val="22"/>
              </w:rPr>
              <w:t>edica povećanja Ht, t</w:t>
            </w:r>
            <w:r w:rsidR="005C6336" w:rsidRPr="0016092F">
              <w:rPr>
                <w:rFonts w:ascii="Times New Roman" w:hAnsi="Times New Roman"/>
                <w:sz w:val="22"/>
                <w:szCs w:val="22"/>
              </w:rPr>
              <w:t>okom terapije epoetinom alfa često je potrebno povećanje doze</w:t>
            </w:r>
            <w:r w:rsidRPr="0016092F">
              <w:rPr>
                <w:rFonts w:ascii="Times New Roman" w:hAnsi="Times New Roman"/>
                <w:sz w:val="22"/>
                <w:szCs w:val="22"/>
              </w:rPr>
              <w:t xml:space="preserve"> heparina za vr</w:t>
            </w:r>
            <w:r w:rsidR="003B7FAD" w:rsidRPr="0016092F">
              <w:rPr>
                <w:rFonts w:ascii="Times New Roman" w:hAnsi="Times New Roman"/>
                <w:sz w:val="22"/>
                <w:szCs w:val="22"/>
              </w:rPr>
              <w:t>ij</w:t>
            </w:r>
            <w:r w:rsidRPr="0016092F">
              <w:rPr>
                <w:rFonts w:ascii="Times New Roman" w:hAnsi="Times New Roman"/>
                <w:sz w:val="22"/>
                <w:szCs w:val="22"/>
              </w:rPr>
              <w:t>eme hemodijalize.</w:t>
            </w:r>
            <w:r w:rsidR="005C6336" w:rsidRPr="0016092F">
              <w:rPr>
                <w:rFonts w:ascii="Times New Roman" w:hAnsi="Times New Roman"/>
                <w:sz w:val="22"/>
                <w:szCs w:val="22"/>
              </w:rPr>
              <w:t xml:space="preserve"> Ako heparinizacija nije optimalna </w:t>
            </w:r>
            <w:r w:rsidRPr="0016092F">
              <w:rPr>
                <w:rFonts w:ascii="Times New Roman" w:hAnsi="Times New Roman"/>
                <w:sz w:val="22"/>
                <w:szCs w:val="22"/>
              </w:rPr>
              <w:t>može doći do zapušenja</w:t>
            </w:r>
            <w:r w:rsidR="005C6336" w:rsidRPr="0016092F">
              <w:rPr>
                <w:rFonts w:ascii="Times New Roman" w:hAnsi="Times New Roman"/>
                <w:sz w:val="22"/>
                <w:szCs w:val="22"/>
              </w:rPr>
              <w:t xml:space="preserve"> sistema za dijalizu.</w:t>
            </w:r>
          </w:p>
          <w:p w:rsidR="005C6336" w:rsidRPr="0016092F" w:rsidRDefault="005C6336" w:rsidP="006F146B">
            <w:pPr>
              <w:pStyle w:val="Header"/>
              <w:tabs>
                <w:tab w:val="clear" w:pos="4536"/>
                <w:tab w:val="clear" w:pos="9072"/>
                <w:tab w:val="left" w:pos="284"/>
              </w:tabs>
              <w:rPr>
                <w:rFonts w:ascii="Times New Roman" w:hAnsi="Times New Roman"/>
                <w:sz w:val="22"/>
                <w:szCs w:val="22"/>
              </w:rPr>
            </w:pPr>
          </w:p>
          <w:p w:rsidR="005C6336" w:rsidRPr="0016092F" w:rsidRDefault="005C633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Na osnovu do danas dostupnih podataka, korekcija anemije epoetinom alfa kod odraslih pacijenata sa hroničnom bubrežnom insuficijencijom koji još uvek ni</w:t>
            </w:r>
            <w:r w:rsidR="003B7FAD" w:rsidRPr="0016092F">
              <w:rPr>
                <w:rFonts w:ascii="Times New Roman" w:hAnsi="Times New Roman"/>
                <w:sz w:val="22"/>
                <w:szCs w:val="22"/>
              </w:rPr>
              <w:t>je</w:t>
            </w:r>
            <w:r w:rsidRPr="0016092F">
              <w:rPr>
                <w:rFonts w:ascii="Times New Roman" w:hAnsi="Times New Roman"/>
                <w:sz w:val="22"/>
                <w:szCs w:val="22"/>
              </w:rPr>
              <w:t>su na dijalizi, ne ubrzava stepen progresije bubrežne insuficijencije.</w:t>
            </w:r>
          </w:p>
          <w:p w:rsidR="005C6336" w:rsidRPr="0016092F" w:rsidRDefault="005C6336" w:rsidP="006F146B">
            <w:pPr>
              <w:pStyle w:val="Header"/>
              <w:tabs>
                <w:tab w:val="clear" w:pos="4536"/>
                <w:tab w:val="clear" w:pos="9072"/>
                <w:tab w:val="left" w:pos="284"/>
              </w:tabs>
              <w:rPr>
                <w:rFonts w:ascii="Times New Roman" w:hAnsi="Times New Roman"/>
                <w:sz w:val="22"/>
                <w:szCs w:val="22"/>
              </w:rPr>
            </w:pPr>
          </w:p>
          <w:p w:rsidR="001352E8" w:rsidRPr="0016092F" w:rsidRDefault="005C6336"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 xml:space="preserve">Odrasli pacijenti sa </w:t>
            </w:r>
            <w:r w:rsidR="001352E8" w:rsidRPr="0016092F">
              <w:rPr>
                <w:rFonts w:ascii="Times New Roman" w:hAnsi="Times New Roman"/>
                <w:sz w:val="22"/>
                <w:szCs w:val="22"/>
                <w:u w:val="single"/>
              </w:rPr>
              <w:t>anemijom uzrokovanom hemoterapijom</w:t>
            </w:r>
          </w:p>
          <w:p w:rsidR="00E71B0A" w:rsidRPr="0016092F" w:rsidRDefault="00E71B0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Onkološkim pacijentima koji se l</w:t>
            </w:r>
            <w:r w:rsidR="003B7FAD" w:rsidRPr="0016092F">
              <w:rPr>
                <w:rFonts w:ascii="Times New Roman" w:hAnsi="Times New Roman"/>
                <w:sz w:val="22"/>
                <w:szCs w:val="22"/>
              </w:rPr>
              <w:t>ij</w:t>
            </w:r>
            <w:r w:rsidRPr="0016092F">
              <w:rPr>
                <w:rFonts w:ascii="Times New Roman" w:hAnsi="Times New Roman"/>
                <w:sz w:val="22"/>
                <w:szCs w:val="22"/>
              </w:rPr>
              <w:t>eče epoetinom alfa potrebno je redovno m</w:t>
            </w:r>
            <w:r w:rsidR="003B7FAD" w:rsidRPr="0016092F">
              <w:rPr>
                <w:rFonts w:ascii="Times New Roman" w:hAnsi="Times New Roman"/>
                <w:sz w:val="22"/>
                <w:szCs w:val="22"/>
              </w:rPr>
              <w:t>j</w:t>
            </w:r>
            <w:r w:rsidRPr="0016092F">
              <w:rPr>
                <w:rFonts w:ascii="Times New Roman" w:hAnsi="Times New Roman"/>
                <w:sz w:val="22"/>
                <w:szCs w:val="22"/>
              </w:rPr>
              <w:t>eriti vr</w:t>
            </w:r>
            <w:r w:rsidR="003B7FAD" w:rsidRPr="0016092F">
              <w:rPr>
                <w:rFonts w:ascii="Times New Roman" w:hAnsi="Times New Roman"/>
                <w:sz w:val="22"/>
                <w:szCs w:val="22"/>
              </w:rPr>
              <w:t>ij</w:t>
            </w:r>
            <w:r w:rsidRPr="0016092F">
              <w:rPr>
                <w:rFonts w:ascii="Times New Roman" w:hAnsi="Times New Roman"/>
                <w:sz w:val="22"/>
                <w:szCs w:val="22"/>
              </w:rPr>
              <w:t>ednosti hemoglobina sve dok se ne postignu stabilne vr</w:t>
            </w:r>
            <w:r w:rsidR="003B7FAD" w:rsidRPr="0016092F">
              <w:rPr>
                <w:rFonts w:ascii="Times New Roman" w:hAnsi="Times New Roman"/>
                <w:sz w:val="22"/>
                <w:szCs w:val="22"/>
              </w:rPr>
              <w:t>ij</w:t>
            </w:r>
            <w:r w:rsidRPr="0016092F">
              <w:rPr>
                <w:rFonts w:ascii="Times New Roman" w:hAnsi="Times New Roman"/>
                <w:sz w:val="22"/>
                <w:szCs w:val="22"/>
              </w:rPr>
              <w:t>ednosti, kao i povremeno nakon toga.</w:t>
            </w:r>
          </w:p>
          <w:p w:rsidR="00E71B0A" w:rsidRPr="0016092F" w:rsidRDefault="00E71B0A" w:rsidP="006F146B">
            <w:pPr>
              <w:pStyle w:val="Header"/>
              <w:tabs>
                <w:tab w:val="clear" w:pos="4536"/>
                <w:tab w:val="clear" w:pos="9072"/>
                <w:tab w:val="left" w:pos="284"/>
              </w:tabs>
              <w:rPr>
                <w:rFonts w:ascii="Times New Roman" w:hAnsi="Times New Roman"/>
                <w:sz w:val="22"/>
                <w:szCs w:val="22"/>
              </w:rPr>
            </w:pPr>
          </w:p>
          <w:p w:rsidR="001352E8" w:rsidRPr="0016092F" w:rsidRDefault="001352E8"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Eritropoetini su faktori rasta koji primarno stimulišu produkciju eritrocita. Receptori eritropoetina mogu se nalaziti na površini različitih vrsta tumorskih ćelija. Kao i kod svih faktora rasta, postoji bojazan da epoetini mogu stimulisati rast tumora. U nekoliko kontrolisanih studija, nije pokazano da epoetin povećava ukupno preživljavanje ili smanjuje rizik od progresije tumora kod pacijenata sa anemijom udruženom sa karcinomom.</w:t>
            </w:r>
          </w:p>
          <w:p w:rsidR="001352E8" w:rsidRPr="0016092F" w:rsidRDefault="001352E8" w:rsidP="006F146B">
            <w:pPr>
              <w:pStyle w:val="Header"/>
              <w:tabs>
                <w:tab w:val="clear" w:pos="4536"/>
                <w:tab w:val="clear" w:pos="9072"/>
                <w:tab w:val="left" w:pos="284"/>
              </w:tabs>
              <w:rPr>
                <w:rFonts w:ascii="Times New Roman" w:hAnsi="Times New Roman"/>
                <w:sz w:val="22"/>
                <w:szCs w:val="22"/>
              </w:rPr>
            </w:pPr>
          </w:p>
          <w:p w:rsidR="001352E8" w:rsidRPr="0016092F" w:rsidRDefault="00D6472C"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Kontrolisane kliničke studije</w:t>
            </w:r>
            <w:r w:rsidR="003A2C7E" w:rsidRPr="0016092F">
              <w:rPr>
                <w:rFonts w:ascii="Times New Roman" w:hAnsi="Times New Roman"/>
                <w:sz w:val="22"/>
                <w:szCs w:val="22"/>
              </w:rPr>
              <w:t xml:space="preserve"> prim</w:t>
            </w:r>
            <w:r w:rsidR="00E168D8" w:rsidRPr="0016092F">
              <w:rPr>
                <w:rFonts w:ascii="Times New Roman" w:hAnsi="Times New Roman"/>
                <w:sz w:val="22"/>
                <w:szCs w:val="22"/>
              </w:rPr>
              <w:t>j</w:t>
            </w:r>
            <w:r w:rsidR="003A2C7E" w:rsidRPr="0016092F">
              <w:rPr>
                <w:rFonts w:ascii="Times New Roman" w:hAnsi="Times New Roman"/>
                <w:sz w:val="22"/>
                <w:szCs w:val="22"/>
              </w:rPr>
              <w:t>ene</w:t>
            </w:r>
            <w:r w:rsidR="001352E8" w:rsidRPr="0016092F">
              <w:rPr>
                <w:rFonts w:ascii="Times New Roman" w:hAnsi="Times New Roman"/>
                <w:sz w:val="22"/>
                <w:szCs w:val="22"/>
              </w:rPr>
              <w:t xml:space="preserve"> epoetina alfa i ostalih</w:t>
            </w:r>
            <w:r w:rsidRPr="0016092F">
              <w:rPr>
                <w:rFonts w:ascii="Times New Roman" w:hAnsi="Times New Roman"/>
                <w:sz w:val="22"/>
                <w:szCs w:val="22"/>
              </w:rPr>
              <w:t xml:space="preserve"> l</w:t>
            </w:r>
            <w:r w:rsidR="00E168D8" w:rsidRPr="0016092F">
              <w:rPr>
                <w:rFonts w:ascii="Times New Roman" w:hAnsi="Times New Roman"/>
                <w:sz w:val="22"/>
                <w:szCs w:val="22"/>
              </w:rPr>
              <w:t>j</w:t>
            </w:r>
            <w:r w:rsidRPr="0016092F">
              <w:rPr>
                <w:rFonts w:ascii="Times New Roman" w:hAnsi="Times New Roman"/>
                <w:sz w:val="22"/>
                <w:szCs w:val="22"/>
              </w:rPr>
              <w:t>ekova koji stimulišu eritropoezu pokazale su:</w:t>
            </w:r>
          </w:p>
          <w:p w:rsidR="00D6472C" w:rsidRPr="0016092F" w:rsidRDefault="00D6472C"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smanjenje lokoregionalne kontrole kod pacijenata sa uznapredovalim karcinomom glave i vrata koji su na zračnoj terapiji, kada je epoetin prim</w:t>
            </w:r>
            <w:r w:rsidR="00E168D8" w:rsidRPr="0016092F">
              <w:rPr>
                <w:rFonts w:ascii="Times New Roman" w:hAnsi="Times New Roman"/>
                <w:sz w:val="22"/>
                <w:szCs w:val="22"/>
              </w:rPr>
              <w:t>j</w:t>
            </w:r>
            <w:r w:rsidRPr="0016092F">
              <w:rPr>
                <w:rFonts w:ascii="Times New Roman" w:hAnsi="Times New Roman"/>
                <w:sz w:val="22"/>
                <w:szCs w:val="22"/>
              </w:rPr>
              <w:t>enjivan radi postizanja ciljne konc</w:t>
            </w:r>
            <w:r w:rsidR="000B3055" w:rsidRPr="0016092F">
              <w:rPr>
                <w:rFonts w:ascii="Times New Roman" w:hAnsi="Times New Roman"/>
                <w:sz w:val="22"/>
                <w:szCs w:val="22"/>
              </w:rPr>
              <w:t>entracije Hb veće od 14 g/dl (8.</w:t>
            </w:r>
            <w:r w:rsidRPr="0016092F">
              <w:rPr>
                <w:rFonts w:ascii="Times New Roman" w:hAnsi="Times New Roman"/>
                <w:sz w:val="22"/>
                <w:szCs w:val="22"/>
              </w:rPr>
              <w:t>7 mmol/l),</w:t>
            </w:r>
          </w:p>
          <w:p w:rsidR="00D6472C" w:rsidRPr="0016092F" w:rsidRDefault="00D6472C"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skraćeno ukupno preživljavanje </w:t>
            </w:r>
            <w:r w:rsidR="009A16F4" w:rsidRPr="0016092F">
              <w:rPr>
                <w:rFonts w:ascii="Times New Roman" w:hAnsi="Times New Roman"/>
                <w:sz w:val="22"/>
                <w:szCs w:val="22"/>
              </w:rPr>
              <w:t>i povećanje smrtnosti uzrokovano</w:t>
            </w:r>
            <w:r w:rsidRPr="0016092F">
              <w:rPr>
                <w:rFonts w:ascii="Times New Roman" w:hAnsi="Times New Roman"/>
                <w:sz w:val="22"/>
                <w:szCs w:val="22"/>
              </w:rPr>
              <w:t xml:space="preserve"> progresijom bolesti tokom 4 m</w:t>
            </w:r>
            <w:r w:rsidR="00E168D8" w:rsidRPr="0016092F">
              <w:rPr>
                <w:rFonts w:ascii="Times New Roman" w:hAnsi="Times New Roman"/>
                <w:sz w:val="22"/>
                <w:szCs w:val="22"/>
              </w:rPr>
              <w:t>j</w:t>
            </w:r>
            <w:r w:rsidRPr="0016092F">
              <w:rPr>
                <w:rFonts w:ascii="Times New Roman" w:hAnsi="Times New Roman"/>
                <w:sz w:val="22"/>
                <w:szCs w:val="22"/>
              </w:rPr>
              <w:t>eseca</w:t>
            </w:r>
            <w:r w:rsidR="009A16F4" w:rsidRPr="0016092F">
              <w:rPr>
                <w:rFonts w:ascii="Times New Roman" w:hAnsi="Times New Roman"/>
                <w:sz w:val="22"/>
                <w:szCs w:val="22"/>
              </w:rPr>
              <w:t>,</w:t>
            </w:r>
            <w:r w:rsidRPr="0016092F">
              <w:rPr>
                <w:rFonts w:ascii="Times New Roman" w:hAnsi="Times New Roman"/>
                <w:sz w:val="22"/>
                <w:szCs w:val="22"/>
              </w:rPr>
              <w:t xml:space="preserve"> kod pacijenata sa metastatskim tumorima do</w:t>
            </w:r>
            <w:r w:rsidR="009A16F4" w:rsidRPr="0016092F">
              <w:rPr>
                <w:rFonts w:ascii="Times New Roman" w:hAnsi="Times New Roman"/>
                <w:sz w:val="22"/>
                <w:szCs w:val="22"/>
              </w:rPr>
              <w:t>jke koji su primali hemoterapiju</w:t>
            </w:r>
            <w:r w:rsidRPr="0016092F">
              <w:rPr>
                <w:rFonts w:ascii="Times New Roman" w:hAnsi="Times New Roman"/>
                <w:sz w:val="22"/>
                <w:szCs w:val="22"/>
              </w:rPr>
              <w:t>, kada je epoetin prim</w:t>
            </w:r>
            <w:r w:rsidR="00E168D8" w:rsidRPr="0016092F">
              <w:rPr>
                <w:rFonts w:ascii="Times New Roman" w:hAnsi="Times New Roman"/>
                <w:sz w:val="22"/>
                <w:szCs w:val="22"/>
              </w:rPr>
              <w:t>j</w:t>
            </w:r>
            <w:r w:rsidRPr="0016092F">
              <w:rPr>
                <w:rFonts w:ascii="Times New Roman" w:hAnsi="Times New Roman"/>
                <w:sz w:val="22"/>
                <w:szCs w:val="22"/>
              </w:rPr>
              <w:t>enjivan radi postizanja ciljne koncentracije Hb od 12-14 g/dl (7</w:t>
            </w:r>
            <w:r w:rsidR="000B3055" w:rsidRPr="0016092F">
              <w:rPr>
                <w:rFonts w:ascii="Times New Roman" w:hAnsi="Times New Roman"/>
                <w:sz w:val="22"/>
                <w:szCs w:val="22"/>
              </w:rPr>
              <w:t>.5- 8.</w:t>
            </w:r>
            <w:r w:rsidRPr="0016092F">
              <w:rPr>
                <w:rFonts w:ascii="Times New Roman" w:hAnsi="Times New Roman"/>
                <w:sz w:val="22"/>
                <w:szCs w:val="22"/>
              </w:rPr>
              <w:t>7 mmol/l),</w:t>
            </w:r>
          </w:p>
          <w:p w:rsidR="003A2C7E" w:rsidRPr="0016092F" w:rsidRDefault="00D6472C" w:rsidP="006F146B">
            <w:pPr>
              <w:pStyle w:val="Header"/>
              <w:numPr>
                <w:ilvl w:val="0"/>
                <w:numId w:val="3"/>
              </w:numP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povećan rizik od smrti kada je epoetin prim</w:t>
            </w:r>
            <w:r w:rsidR="00E168D8" w:rsidRPr="0016092F">
              <w:rPr>
                <w:rFonts w:ascii="Times New Roman" w:hAnsi="Times New Roman"/>
                <w:sz w:val="22"/>
                <w:szCs w:val="22"/>
              </w:rPr>
              <w:t>j</w:t>
            </w:r>
            <w:r w:rsidRPr="0016092F">
              <w:rPr>
                <w:rFonts w:ascii="Times New Roman" w:hAnsi="Times New Roman"/>
                <w:sz w:val="22"/>
                <w:szCs w:val="22"/>
              </w:rPr>
              <w:t>enjivan radi postizanja ciljne</w:t>
            </w:r>
            <w:r w:rsidR="000B3055" w:rsidRPr="0016092F">
              <w:rPr>
                <w:rFonts w:ascii="Times New Roman" w:hAnsi="Times New Roman"/>
                <w:sz w:val="22"/>
                <w:szCs w:val="22"/>
              </w:rPr>
              <w:t xml:space="preserve"> koncentracije Hb od 12 g/dl (7.</w:t>
            </w:r>
            <w:r w:rsidRPr="0016092F">
              <w:rPr>
                <w:rFonts w:ascii="Times New Roman" w:hAnsi="Times New Roman"/>
                <w:sz w:val="22"/>
                <w:szCs w:val="22"/>
              </w:rPr>
              <w:t>5 mmol/l)</w:t>
            </w:r>
            <w:r w:rsidR="003A2C7E" w:rsidRPr="0016092F">
              <w:rPr>
                <w:rFonts w:ascii="Times New Roman" w:hAnsi="Times New Roman"/>
                <w:sz w:val="22"/>
                <w:szCs w:val="22"/>
              </w:rPr>
              <w:t xml:space="preserve"> kod pacijenata sa aktivnom malignom bolešću koji ni</w:t>
            </w:r>
            <w:r w:rsidR="00E168D8" w:rsidRPr="0016092F">
              <w:rPr>
                <w:rFonts w:ascii="Times New Roman" w:hAnsi="Times New Roman"/>
                <w:sz w:val="22"/>
                <w:szCs w:val="22"/>
              </w:rPr>
              <w:t>je</w:t>
            </w:r>
            <w:r w:rsidR="003A2C7E" w:rsidRPr="0016092F">
              <w:rPr>
                <w:rFonts w:ascii="Times New Roman" w:hAnsi="Times New Roman"/>
                <w:sz w:val="22"/>
                <w:szCs w:val="22"/>
              </w:rPr>
              <w:t>su primali niti hemoterapiju niti zračnu terapiju. Kod ovih pacijenata nije indikovana prim</w:t>
            </w:r>
            <w:r w:rsidR="00E168D8" w:rsidRPr="0016092F">
              <w:rPr>
                <w:rFonts w:ascii="Times New Roman" w:hAnsi="Times New Roman"/>
                <w:sz w:val="22"/>
                <w:szCs w:val="22"/>
              </w:rPr>
              <w:t>j</w:t>
            </w:r>
            <w:r w:rsidR="003A2C7E" w:rsidRPr="0016092F">
              <w:rPr>
                <w:rFonts w:ascii="Times New Roman" w:hAnsi="Times New Roman"/>
                <w:sz w:val="22"/>
                <w:szCs w:val="22"/>
              </w:rPr>
              <w:t>ena l</w:t>
            </w:r>
            <w:r w:rsidR="00E168D8" w:rsidRPr="0016092F">
              <w:rPr>
                <w:rFonts w:ascii="Times New Roman" w:hAnsi="Times New Roman"/>
                <w:sz w:val="22"/>
                <w:szCs w:val="22"/>
              </w:rPr>
              <w:t>j</w:t>
            </w:r>
            <w:r w:rsidR="003A2C7E" w:rsidRPr="0016092F">
              <w:rPr>
                <w:rFonts w:ascii="Times New Roman" w:hAnsi="Times New Roman"/>
                <w:sz w:val="22"/>
                <w:szCs w:val="22"/>
              </w:rPr>
              <w:t>ekova koji stimulišu eritropoezu</w:t>
            </w:r>
            <w:r w:rsidR="009663F7" w:rsidRPr="0016092F">
              <w:rPr>
                <w:rFonts w:ascii="Times New Roman" w:hAnsi="Times New Roman"/>
                <w:sz w:val="22"/>
                <w:szCs w:val="22"/>
              </w:rPr>
              <w:t xml:space="preserve"> (ESA)</w:t>
            </w:r>
            <w:r w:rsidR="003A2C7E" w:rsidRPr="0016092F">
              <w:rPr>
                <w:rFonts w:ascii="Times New Roman" w:hAnsi="Times New Roman"/>
                <w:sz w:val="22"/>
                <w:szCs w:val="22"/>
              </w:rPr>
              <w:t>.</w:t>
            </w:r>
          </w:p>
          <w:p w:rsidR="003A2C7E" w:rsidRPr="0016092F" w:rsidRDefault="003A2C7E" w:rsidP="006F146B">
            <w:pPr>
              <w:pStyle w:val="Header"/>
              <w:tabs>
                <w:tab w:val="clear" w:pos="4536"/>
                <w:tab w:val="clear" w:pos="9072"/>
                <w:tab w:val="left" w:pos="284"/>
              </w:tabs>
              <w:rPr>
                <w:rFonts w:ascii="Times New Roman" w:hAnsi="Times New Roman"/>
                <w:sz w:val="22"/>
                <w:szCs w:val="22"/>
              </w:rPr>
            </w:pPr>
          </w:p>
          <w:p w:rsidR="00E43641" w:rsidRPr="0016092F" w:rsidRDefault="003A2C7E"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Na osnovu gore navedenog, u nekim kliničkim situacijama kod pacijenata</w:t>
            </w:r>
            <w:r w:rsidR="009A16F4" w:rsidRPr="0016092F">
              <w:rPr>
                <w:rFonts w:ascii="Times New Roman" w:hAnsi="Times New Roman"/>
                <w:sz w:val="22"/>
                <w:szCs w:val="22"/>
              </w:rPr>
              <w:t xml:space="preserve"> sa karcinomom</w:t>
            </w:r>
            <w:r w:rsidR="0074618B" w:rsidRPr="0016092F">
              <w:rPr>
                <w:rFonts w:ascii="Times New Roman" w:hAnsi="Times New Roman"/>
                <w:sz w:val="22"/>
                <w:szCs w:val="22"/>
              </w:rPr>
              <w:t>,</w:t>
            </w:r>
            <w:r w:rsidR="009A16F4" w:rsidRPr="0016092F">
              <w:rPr>
                <w:rFonts w:ascii="Times New Roman" w:hAnsi="Times New Roman"/>
                <w:sz w:val="22"/>
                <w:szCs w:val="22"/>
              </w:rPr>
              <w:t xml:space="preserve"> a u cilju l</w:t>
            </w:r>
            <w:r w:rsidR="00E168D8" w:rsidRPr="0016092F">
              <w:rPr>
                <w:rFonts w:ascii="Times New Roman" w:hAnsi="Times New Roman"/>
                <w:sz w:val="22"/>
                <w:szCs w:val="22"/>
              </w:rPr>
              <w:t>ij</w:t>
            </w:r>
            <w:r w:rsidR="009A16F4" w:rsidRPr="0016092F">
              <w:rPr>
                <w:rFonts w:ascii="Times New Roman" w:hAnsi="Times New Roman"/>
                <w:sz w:val="22"/>
                <w:szCs w:val="22"/>
              </w:rPr>
              <w:t>ečenj</w:t>
            </w:r>
            <w:r w:rsidRPr="0016092F">
              <w:rPr>
                <w:rFonts w:ascii="Times New Roman" w:hAnsi="Times New Roman"/>
                <w:sz w:val="22"/>
                <w:szCs w:val="22"/>
              </w:rPr>
              <w:t>a anemije</w:t>
            </w:r>
            <w:r w:rsidR="0074618B" w:rsidRPr="0016092F">
              <w:rPr>
                <w:rFonts w:ascii="Times New Roman" w:hAnsi="Times New Roman"/>
                <w:sz w:val="22"/>
                <w:szCs w:val="22"/>
              </w:rPr>
              <w:t>,</w:t>
            </w:r>
            <w:r w:rsidRPr="0016092F">
              <w:rPr>
                <w:rFonts w:ascii="Times New Roman" w:hAnsi="Times New Roman"/>
                <w:sz w:val="22"/>
                <w:szCs w:val="22"/>
              </w:rPr>
              <w:t xml:space="preserve"> terapija izbora bi trebala da bude transfuzija krvi. Odluka o prim</w:t>
            </w:r>
            <w:r w:rsidR="00E168D8" w:rsidRPr="0016092F">
              <w:rPr>
                <w:rFonts w:ascii="Times New Roman" w:hAnsi="Times New Roman"/>
                <w:sz w:val="22"/>
                <w:szCs w:val="22"/>
              </w:rPr>
              <w:t>j</w:t>
            </w:r>
            <w:r w:rsidRPr="0016092F">
              <w:rPr>
                <w:rFonts w:ascii="Times New Roman" w:hAnsi="Times New Roman"/>
                <w:sz w:val="22"/>
                <w:szCs w:val="22"/>
              </w:rPr>
              <w:t>eni rekombinovanih eritropoetina trebalo bi da se bazira na proc</w:t>
            </w:r>
            <w:r w:rsidR="00E168D8" w:rsidRPr="0016092F">
              <w:rPr>
                <w:rFonts w:ascii="Times New Roman" w:hAnsi="Times New Roman"/>
                <w:sz w:val="22"/>
                <w:szCs w:val="22"/>
              </w:rPr>
              <w:t>j</w:t>
            </w:r>
            <w:r w:rsidRPr="0016092F">
              <w:rPr>
                <w:rFonts w:ascii="Times New Roman" w:hAnsi="Times New Roman"/>
                <w:sz w:val="22"/>
                <w:szCs w:val="22"/>
              </w:rPr>
              <w:t>eni odnosa korist-rizik kod svakog pacijenta ponaosob</w:t>
            </w:r>
            <w:r w:rsidR="00E43641" w:rsidRPr="0016092F">
              <w:rPr>
                <w:rFonts w:ascii="Times New Roman" w:hAnsi="Times New Roman"/>
                <w:sz w:val="22"/>
                <w:szCs w:val="22"/>
              </w:rPr>
              <w:t>. Faktore koje treba uzeti u obzir u proc</w:t>
            </w:r>
            <w:r w:rsidR="00E168D8" w:rsidRPr="0016092F">
              <w:rPr>
                <w:rFonts w:ascii="Times New Roman" w:hAnsi="Times New Roman"/>
                <w:sz w:val="22"/>
                <w:szCs w:val="22"/>
              </w:rPr>
              <w:t>j</w:t>
            </w:r>
            <w:r w:rsidR="00E43641" w:rsidRPr="0016092F">
              <w:rPr>
                <w:rFonts w:ascii="Times New Roman" w:hAnsi="Times New Roman"/>
                <w:sz w:val="22"/>
                <w:szCs w:val="22"/>
              </w:rPr>
              <w:t>eni trebalo bi da uključuju vrstu i stadijum tumora; stepen anemije; stepen preživljava</w:t>
            </w:r>
            <w:r w:rsidR="0025394F" w:rsidRPr="0016092F">
              <w:rPr>
                <w:rFonts w:ascii="Times New Roman" w:hAnsi="Times New Roman"/>
                <w:sz w:val="22"/>
                <w:szCs w:val="22"/>
              </w:rPr>
              <w:t>nja</w:t>
            </w:r>
            <w:r w:rsidR="00E43641" w:rsidRPr="0016092F">
              <w:rPr>
                <w:rFonts w:ascii="Times New Roman" w:hAnsi="Times New Roman"/>
                <w:sz w:val="22"/>
                <w:szCs w:val="22"/>
              </w:rPr>
              <w:t>; okruženje u kojem se pacijent l</w:t>
            </w:r>
            <w:r w:rsidR="00E168D8" w:rsidRPr="0016092F">
              <w:rPr>
                <w:rFonts w:ascii="Times New Roman" w:hAnsi="Times New Roman"/>
                <w:sz w:val="22"/>
                <w:szCs w:val="22"/>
              </w:rPr>
              <w:t>ij</w:t>
            </w:r>
            <w:r w:rsidR="00E43641" w:rsidRPr="0016092F">
              <w:rPr>
                <w:rFonts w:ascii="Times New Roman" w:hAnsi="Times New Roman"/>
                <w:sz w:val="22"/>
                <w:szCs w:val="22"/>
              </w:rPr>
              <w:t xml:space="preserve">eči; </w:t>
            </w:r>
            <w:r w:rsidR="00E71B0A" w:rsidRPr="0016092F">
              <w:rPr>
                <w:rFonts w:ascii="Times New Roman" w:hAnsi="Times New Roman"/>
                <w:sz w:val="22"/>
                <w:szCs w:val="22"/>
              </w:rPr>
              <w:t xml:space="preserve">i želje </w:t>
            </w:r>
            <w:r w:rsidR="00E43641" w:rsidRPr="0016092F">
              <w:rPr>
                <w:rFonts w:ascii="Times New Roman" w:hAnsi="Times New Roman"/>
                <w:sz w:val="22"/>
                <w:szCs w:val="22"/>
              </w:rPr>
              <w:t>pacijenta (vid</w:t>
            </w:r>
            <w:r w:rsidR="00E168D8" w:rsidRPr="0016092F">
              <w:rPr>
                <w:rFonts w:ascii="Times New Roman" w:hAnsi="Times New Roman"/>
                <w:sz w:val="22"/>
                <w:szCs w:val="22"/>
              </w:rPr>
              <w:t>j</w:t>
            </w:r>
            <w:r w:rsidR="00E43641" w:rsidRPr="0016092F">
              <w:rPr>
                <w:rFonts w:ascii="Times New Roman" w:hAnsi="Times New Roman"/>
                <w:sz w:val="22"/>
                <w:szCs w:val="22"/>
              </w:rPr>
              <w:t>eti od</w:t>
            </w:r>
            <w:r w:rsidR="00E168D8" w:rsidRPr="0016092F">
              <w:rPr>
                <w:rFonts w:ascii="Times New Roman" w:hAnsi="Times New Roman"/>
                <w:sz w:val="22"/>
                <w:szCs w:val="22"/>
              </w:rPr>
              <w:t>j</w:t>
            </w:r>
            <w:r w:rsidR="00E43641" w:rsidRPr="0016092F">
              <w:rPr>
                <w:rFonts w:ascii="Times New Roman" w:hAnsi="Times New Roman"/>
                <w:sz w:val="22"/>
                <w:szCs w:val="22"/>
              </w:rPr>
              <w:t>eljak 5.1).</w:t>
            </w:r>
          </w:p>
          <w:p w:rsidR="002B6DE2" w:rsidRPr="0016092F" w:rsidRDefault="002B6DE2" w:rsidP="006F146B">
            <w:pPr>
              <w:pStyle w:val="Header"/>
              <w:tabs>
                <w:tab w:val="clear" w:pos="4536"/>
                <w:tab w:val="clear" w:pos="9072"/>
                <w:tab w:val="left" w:pos="284"/>
              </w:tabs>
              <w:rPr>
                <w:rFonts w:ascii="Times New Roman" w:hAnsi="Times New Roman"/>
                <w:sz w:val="22"/>
                <w:szCs w:val="22"/>
              </w:rPr>
            </w:pPr>
          </w:p>
          <w:p w:rsidR="00D6472C" w:rsidRPr="0016092F" w:rsidRDefault="00E43641"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pacijenata sa karcinomom koji primaju hemoterapiju, prilikom proc</w:t>
            </w:r>
            <w:r w:rsidR="00E168D8" w:rsidRPr="0016092F">
              <w:rPr>
                <w:rFonts w:ascii="Times New Roman" w:hAnsi="Times New Roman"/>
                <w:sz w:val="22"/>
                <w:szCs w:val="22"/>
              </w:rPr>
              <w:t>j</w:t>
            </w:r>
            <w:r w:rsidRPr="0016092F">
              <w:rPr>
                <w:rFonts w:ascii="Times New Roman" w:hAnsi="Times New Roman"/>
                <w:sz w:val="22"/>
                <w:szCs w:val="22"/>
              </w:rPr>
              <w:t>ene da li je odgovarajuće prim</w:t>
            </w:r>
            <w:r w:rsidR="00E168D8" w:rsidRPr="0016092F">
              <w:rPr>
                <w:rFonts w:ascii="Times New Roman" w:hAnsi="Times New Roman"/>
                <w:sz w:val="22"/>
                <w:szCs w:val="22"/>
              </w:rPr>
              <w:t>ij</w:t>
            </w:r>
            <w:r w:rsidRPr="0016092F">
              <w:rPr>
                <w:rFonts w:ascii="Times New Roman" w:hAnsi="Times New Roman"/>
                <w:sz w:val="22"/>
                <w:szCs w:val="22"/>
              </w:rPr>
              <w:t>eniti terapiju epoetinom alfa treba uzeti u obzir da je potrebno da prođe 2 do 3 ned</w:t>
            </w:r>
            <w:r w:rsidR="00E168D8" w:rsidRPr="0016092F">
              <w:rPr>
                <w:rFonts w:ascii="Times New Roman" w:hAnsi="Times New Roman"/>
                <w:sz w:val="22"/>
                <w:szCs w:val="22"/>
              </w:rPr>
              <w:t>j</w:t>
            </w:r>
            <w:r w:rsidRPr="0016092F">
              <w:rPr>
                <w:rFonts w:ascii="Times New Roman" w:hAnsi="Times New Roman"/>
                <w:sz w:val="22"/>
                <w:szCs w:val="22"/>
              </w:rPr>
              <w:t>elje između prim</w:t>
            </w:r>
            <w:r w:rsidR="00E168D8" w:rsidRPr="0016092F">
              <w:rPr>
                <w:rFonts w:ascii="Times New Roman" w:hAnsi="Times New Roman"/>
                <w:sz w:val="22"/>
                <w:szCs w:val="22"/>
              </w:rPr>
              <w:t>j</w:t>
            </w:r>
            <w:r w:rsidRPr="0016092F">
              <w:rPr>
                <w:rFonts w:ascii="Times New Roman" w:hAnsi="Times New Roman"/>
                <w:sz w:val="22"/>
                <w:szCs w:val="22"/>
              </w:rPr>
              <w:t>ene epoetina alfa i pojave eritropoetin-indukovanih eritrocita</w:t>
            </w:r>
            <w:r w:rsidR="00092D55" w:rsidRPr="0016092F">
              <w:rPr>
                <w:rFonts w:ascii="Times New Roman" w:hAnsi="Times New Roman"/>
                <w:sz w:val="22"/>
                <w:szCs w:val="22"/>
              </w:rPr>
              <w:t xml:space="preserve"> (pacijenti </w:t>
            </w:r>
            <w:r w:rsidR="009A16F4" w:rsidRPr="0016092F">
              <w:rPr>
                <w:rFonts w:ascii="Times New Roman" w:hAnsi="Times New Roman"/>
                <w:sz w:val="22"/>
                <w:szCs w:val="22"/>
              </w:rPr>
              <w:t>kod kojih je prim</w:t>
            </w:r>
            <w:r w:rsidR="00E168D8" w:rsidRPr="0016092F">
              <w:rPr>
                <w:rFonts w:ascii="Times New Roman" w:hAnsi="Times New Roman"/>
                <w:sz w:val="22"/>
                <w:szCs w:val="22"/>
              </w:rPr>
              <w:t>j</w:t>
            </w:r>
            <w:r w:rsidR="009A16F4" w:rsidRPr="0016092F">
              <w:rPr>
                <w:rFonts w:ascii="Times New Roman" w:hAnsi="Times New Roman"/>
                <w:sz w:val="22"/>
                <w:szCs w:val="22"/>
              </w:rPr>
              <w:t>ena transfuzije</w:t>
            </w:r>
            <w:r w:rsidR="00092D55" w:rsidRPr="0016092F">
              <w:rPr>
                <w:rFonts w:ascii="Times New Roman" w:hAnsi="Times New Roman"/>
                <w:sz w:val="22"/>
                <w:szCs w:val="22"/>
              </w:rPr>
              <w:t xml:space="preserve"> krvi</w:t>
            </w:r>
            <w:r w:rsidR="009A16F4" w:rsidRPr="0016092F">
              <w:rPr>
                <w:rFonts w:ascii="Times New Roman" w:hAnsi="Times New Roman"/>
                <w:sz w:val="22"/>
                <w:szCs w:val="22"/>
              </w:rPr>
              <w:t xml:space="preserve"> rizična</w:t>
            </w:r>
            <w:r w:rsidR="00092D55" w:rsidRPr="0016092F">
              <w:rPr>
                <w:rFonts w:ascii="Times New Roman" w:hAnsi="Times New Roman"/>
                <w:sz w:val="22"/>
                <w:szCs w:val="22"/>
              </w:rPr>
              <w:t>)</w:t>
            </w:r>
            <w:r w:rsidRPr="0016092F">
              <w:rPr>
                <w:rFonts w:ascii="Times New Roman" w:hAnsi="Times New Roman"/>
                <w:sz w:val="22"/>
                <w:szCs w:val="22"/>
              </w:rPr>
              <w:t>.</w:t>
            </w:r>
          </w:p>
          <w:p w:rsidR="0048375F" w:rsidRPr="0016092F" w:rsidRDefault="004A0B01" w:rsidP="006F146B">
            <w:pPr>
              <w:pStyle w:val="Header"/>
              <w:rPr>
                <w:rFonts w:ascii="Times New Roman" w:hAnsi="Times New Roman"/>
                <w:bCs/>
                <w:sz w:val="22"/>
                <w:u w:val="single"/>
              </w:rPr>
            </w:pPr>
            <w:r w:rsidRPr="0016092F">
              <w:rPr>
                <w:rFonts w:ascii="Times New Roman" w:hAnsi="Times New Roman"/>
                <w:bCs/>
                <w:sz w:val="22"/>
                <w:u w:val="single"/>
              </w:rPr>
              <w:lastRenderedPageBreak/>
              <w:t xml:space="preserve">Odrasli hirurški pacijenti u programu </w:t>
            </w:r>
            <w:r w:rsidR="0048375F" w:rsidRPr="0016092F">
              <w:rPr>
                <w:rFonts w:ascii="Times New Roman" w:hAnsi="Times New Roman"/>
                <w:bCs/>
                <w:sz w:val="22"/>
                <w:u w:val="single"/>
              </w:rPr>
              <w:t>PAK</w:t>
            </w:r>
          </w:p>
          <w:p w:rsidR="004A0B01" w:rsidRPr="0016092F" w:rsidRDefault="00C47009" w:rsidP="006F146B">
            <w:pPr>
              <w:pStyle w:val="Header"/>
              <w:rPr>
                <w:rFonts w:ascii="Times New Roman" w:hAnsi="Times New Roman"/>
                <w:bCs/>
                <w:sz w:val="22"/>
              </w:rPr>
            </w:pPr>
            <w:r w:rsidRPr="0016092F">
              <w:rPr>
                <w:rFonts w:ascii="Times New Roman" w:hAnsi="Times New Roman"/>
                <w:bCs/>
                <w:sz w:val="22"/>
              </w:rPr>
              <w:t>Potrebno je pridržavati se svih upozorenja i m</w:t>
            </w:r>
            <w:r w:rsidR="00E168D8" w:rsidRPr="0016092F">
              <w:rPr>
                <w:rFonts w:ascii="Times New Roman" w:hAnsi="Times New Roman"/>
                <w:bCs/>
                <w:sz w:val="22"/>
              </w:rPr>
              <w:t>j</w:t>
            </w:r>
            <w:r w:rsidRPr="0016092F">
              <w:rPr>
                <w:rFonts w:ascii="Times New Roman" w:hAnsi="Times New Roman"/>
                <w:bCs/>
                <w:sz w:val="22"/>
              </w:rPr>
              <w:t xml:space="preserve">ere opreza vezanih za programe </w:t>
            </w:r>
            <w:r w:rsidR="0048375F" w:rsidRPr="0016092F">
              <w:rPr>
                <w:rFonts w:ascii="Times New Roman" w:hAnsi="Times New Roman"/>
                <w:bCs/>
                <w:sz w:val="22"/>
              </w:rPr>
              <w:t>PAK</w:t>
            </w:r>
            <w:r w:rsidRPr="0016092F">
              <w:rPr>
                <w:rFonts w:ascii="Times New Roman" w:hAnsi="Times New Roman"/>
                <w:bCs/>
                <w:sz w:val="22"/>
              </w:rPr>
              <w:t xml:space="preserve">, posebno </w:t>
            </w:r>
            <w:r w:rsidR="0048375F" w:rsidRPr="0016092F">
              <w:rPr>
                <w:rFonts w:ascii="Times New Roman" w:hAnsi="Times New Roman"/>
                <w:bCs/>
                <w:sz w:val="22"/>
              </w:rPr>
              <w:t>rutinske nadoknade tečnosti.</w:t>
            </w:r>
          </w:p>
          <w:p w:rsidR="004A0B01" w:rsidRPr="0016092F" w:rsidRDefault="004A0B01" w:rsidP="006F146B">
            <w:pPr>
              <w:pStyle w:val="Header"/>
              <w:tabs>
                <w:tab w:val="clear" w:pos="4536"/>
                <w:tab w:val="clear" w:pos="9072"/>
                <w:tab w:val="left" w:pos="284"/>
              </w:tabs>
              <w:rPr>
                <w:rFonts w:ascii="Times New Roman" w:hAnsi="Times New Roman"/>
                <w:sz w:val="22"/>
                <w:szCs w:val="22"/>
              </w:rPr>
            </w:pPr>
          </w:p>
          <w:p w:rsidR="00C47009" w:rsidRPr="0016092F" w:rsidRDefault="0074618B"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 xml:space="preserve">Terapija </w:t>
            </w:r>
            <w:r w:rsidR="00C47009" w:rsidRPr="0016092F">
              <w:rPr>
                <w:rFonts w:ascii="Times New Roman" w:hAnsi="Times New Roman"/>
                <w:sz w:val="22"/>
                <w:szCs w:val="22"/>
                <w:u w:val="single"/>
              </w:rPr>
              <w:t>pacijenata predviđenih za velike elektivne ortopetske hirurške zahvate</w:t>
            </w:r>
          </w:p>
          <w:p w:rsidR="00C47009" w:rsidRPr="0016092F" w:rsidRDefault="00C47009" w:rsidP="006F146B">
            <w:pPr>
              <w:pStyle w:val="Header"/>
              <w:tabs>
                <w:tab w:val="clear" w:pos="4536"/>
                <w:tab w:val="clear" w:pos="9072"/>
                <w:tab w:val="left" w:pos="284"/>
              </w:tabs>
              <w:rPr>
                <w:rFonts w:ascii="Times New Roman" w:hAnsi="Times New Roman"/>
                <w:sz w:val="22"/>
                <w:szCs w:val="22"/>
              </w:rPr>
            </w:pPr>
          </w:p>
          <w:p w:rsidR="00E71B0A" w:rsidRPr="0016092F" w:rsidRDefault="00E71B0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perioperativnom procesu potrebno je da se uv</w:t>
            </w:r>
            <w:r w:rsidR="00E168D8" w:rsidRPr="0016092F">
              <w:rPr>
                <w:rFonts w:ascii="Times New Roman" w:hAnsi="Times New Roman"/>
                <w:sz w:val="22"/>
                <w:szCs w:val="22"/>
              </w:rPr>
              <w:t>ij</w:t>
            </w:r>
            <w:r w:rsidRPr="0016092F">
              <w:rPr>
                <w:rFonts w:ascii="Times New Roman" w:hAnsi="Times New Roman"/>
                <w:sz w:val="22"/>
                <w:szCs w:val="22"/>
              </w:rPr>
              <w:t>ek p</w:t>
            </w:r>
            <w:r w:rsidR="002B6DE2" w:rsidRPr="0016092F">
              <w:rPr>
                <w:rFonts w:ascii="Times New Roman" w:hAnsi="Times New Roman"/>
                <w:sz w:val="22"/>
                <w:szCs w:val="22"/>
              </w:rPr>
              <w:t>r</w:t>
            </w:r>
            <w:r w:rsidRPr="0016092F">
              <w:rPr>
                <w:rFonts w:ascii="Times New Roman" w:hAnsi="Times New Roman"/>
                <w:sz w:val="22"/>
                <w:szCs w:val="22"/>
              </w:rPr>
              <w:t>im</w:t>
            </w:r>
            <w:r w:rsidR="00E168D8" w:rsidRPr="0016092F">
              <w:rPr>
                <w:rFonts w:ascii="Times New Roman" w:hAnsi="Times New Roman"/>
                <w:sz w:val="22"/>
                <w:szCs w:val="22"/>
              </w:rPr>
              <w:t>j</w:t>
            </w:r>
            <w:r w:rsidRPr="0016092F">
              <w:rPr>
                <w:rFonts w:ascii="Times New Roman" w:hAnsi="Times New Roman"/>
                <w:sz w:val="22"/>
                <w:szCs w:val="22"/>
              </w:rPr>
              <w:t>enjuje dobra praksa o rukovanju krvlju.</w:t>
            </w:r>
          </w:p>
          <w:p w:rsidR="00E71B0A" w:rsidRPr="0016092F" w:rsidRDefault="00E71B0A" w:rsidP="006F146B">
            <w:pPr>
              <w:pStyle w:val="Header"/>
              <w:tabs>
                <w:tab w:val="clear" w:pos="4536"/>
                <w:tab w:val="clear" w:pos="9072"/>
                <w:tab w:val="left" w:pos="284"/>
              </w:tabs>
              <w:rPr>
                <w:rFonts w:ascii="Times New Roman" w:hAnsi="Times New Roman"/>
                <w:sz w:val="22"/>
                <w:szCs w:val="22"/>
              </w:rPr>
            </w:pPr>
          </w:p>
          <w:p w:rsidR="00C47009" w:rsidRPr="0016092F" w:rsidRDefault="0048375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Pacijen</w:t>
            </w:r>
            <w:r w:rsidR="00C47009" w:rsidRPr="0016092F">
              <w:rPr>
                <w:rFonts w:ascii="Times New Roman" w:hAnsi="Times New Roman"/>
                <w:sz w:val="22"/>
                <w:szCs w:val="22"/>
              </w:rPr>
              <w:t xml:space="preserve">ti predviđeni za velike elektivne ortopetske hirurške zahvate trebalo bi da dobijaju adekvatnu </w:t>
            </w:r>
            <w:r w:rsidRPr="0016092F">
              <w:rPr>
                <w:rFonts w:ascii="Times New Roman" w:hAnsi="Times New Roman"/>
                <w:sz w:val="22"/>
                <w:szCs w:val="22"/>
              </w:rPr>
              <w:t>antikoagulantnu</w:t>
            </w:r>
            <w:r w:rsidR="00C47009" w:rsidRPr="0016092F">
              <w:rPr>
                <w:rFonts w:ascii="Times New Roman" w:hAnsi="Times New Roman"/>
                <w:sz w:val="22"/>
                <w:szCs w:val="22"/>
              </w:rPr>
              <w:t xml:space="preserve"> profilaksu, s obzirom da se kod hirurških pacijenata mogu javiti trombotički i vaskularni događaji, naročito kod onih sa već postojećim kardiovaskularnim oboljenjem. Pored toga, poseban oprez je neophodan kod pacijenata sa predispozicijom </w:t>
            </w:r>
            <w:r w:rsidR="0074618B" w:rsidRPr="0016092F">
              <w:rPr>
                <w:rFonts w:ascii="Times New Roman" w:hAnsi="Times New Roman"/>
                <w:sz w:val="22"/>
                <w:szCs w:val="22"/>
              </w:rPr>
              <w:t xml:space="preserve">za </w:t>
            </w:r>
            <w:r w:rsidR="00C47009" w:rsidRPr="0016092F">
              <w:rPr>
                <w:rFonts w:ascii="Times New Roman" w:hAnsi="Times New Roman"/>
                <w:sz w:val="22"/>
                <w:szCs w:val="22"/>
              </w:rPr>
              <w:t xml:space="preserve">razvoj duboke venske tromboze. </w:t>
            </w:r>
            <w:r w:rsidR="00805768" w:rsidRPr="0016092F">
              <w:rPr>
                <w:rFonts w:ascii="Times New Roman" w:hAnsi="Times New Roman"/>
                <w:sz w:val="22"/>
                <w:szCs w:val="22"/>
              </w:rPr>
              <w:t>Pored navedenog, kod pacijenata sa bazič</w:t>
            </w:r>
            <w:r w:rsidR="000B3055" w:rsidRPr="0016092F">
              <w:rPr>
                <w:rFonts w:ascii="Times New Roman" w:hAnsi="Times New Roman"/>
                <w:sz w:val="22"/>
                <w:szCs w:val="22"/>
              </w:rPr>
              <w:t>nim vr</w:t>
            </w:r>
            <w:r w:rsidR="00E168D8" w:rsidRPr="0016092F">
              <w:rPr>
                <w:rFonts w:ascii="Times New Roman" w:hAnsi="Times New Roman"/>
                <w:sz w:val="22"/>
                <w:szCs w:val="22"/>
              </w:rPr>
              <w:t>ij</w:t>
            </w:r>
            <w:r w:rsidR="000B3055" w:rsidRPr="0016092F">
              <w:rPr>
                <w:rFonts w:ascii="Times New Roman" w:hAnsi="Times New Roman"/>
                <w:sz w:val="22"/>
                <w:szCs w:val="22"/>
              </w:rPr>
              <w:t>ednostima Hb &gt;13 g/dl (&gt;8.</w:t>
            </w:r>
            <w:r w:rsidR="00805768" w:rsidRPr="0016092F">
              <w:rPr>
                <w:rFonts w:ascii="Times New Roman" w:hAnsi="Times New Roman"/>
                <w:sz w:val="22"/>
                <w:szCs w:val="22"/>
              </w:rPr>
              <w:t>1 mmol/l)</w:t>
            </w:r>
            <w:r w:rsidRPr="0016092F">
              <w:rPr>
                <w:rFonts w:ascii="Times New Roman" w:hAnsi="Times New Roman"/>
                <w:sz w:val="22"/>
                <w:szCs w:val="22"/>
              </w:rPr>
              <w:t xml:space="preserve"> </w:t>
            </w:r>
            <w:r w:rsidR="00805768" w:rsidRPr="0016092F">
              <w:rPr>
                <w:rFonts w:ascii="Times New Roman" w:hAnsi="Times New Roman"/>
                <w:sz w:val="22"/>
                <w:szCs w:val="22"/>
              </w:rPr>
              <w:t>ne može se isključiti mogućnost da terapija epoetinom alfa može biti udružena sa povećanim rizikom od postoperativnih trombotičkih/vaskularnih događaja.</w:t>
            </w:r>
            <w:r w:rsidRPr="0016092F">
              <w:rPr>
                <w:rFonts w:ascii="Times New Roman" w:hAnsi="Times New Roman"/>
                <w:sz w:val="22"/>
                <w:szCs w:val="22"/>
              </w:rPr>
              <w:t xml:space="preserve"> Zbog toga epoetin alfa ne treb</w:t>
            </w:r>
            <w:r w:rsidR="00805768" w:rsidRPr="0016092F">
              <w:rPr>
                <w:rFonts w:ascii="Times New Roman" w:hAnsi="Times New Roman"/>
                <w:sz w:val="22"/>
                <w:szCs w:val="22"/>
              </w:rPr>
              <w:t>a prim</w:t>
            </w:r>
            <w:r w:rsidR="00E168D8" w:rsidRPr="0016092F">
              <w:rPr>
                <w:rFonts w:ascii="Times New Roman" w:hAnsi="Times New Roman"/>
                <w:sz w:val="22"/>
                <w:szCs w:val="22"/>
              </w:rPr>
              <w:t>j</w:t>
            </w:r>
            <w:r w:rsidR="00805768" w:rsidRPr="0016092F">
              <w:rPr>
                <w:rFonts w:ascii="Times New Roman" w:hAnsi="Times New Roman"/>
                <w:sz w:val="22"/>
                <w:szCs w:val="22"/>
              </w:rPr>
              <w:t>enjivati kod pacijenata čije su bazične vr</w:t>
            </w:r>
            <w:r w:rsidR="00E168D8" w:rsidRPr="0016092F">
              <w:rPr>
                <w:rFonts w:ascii="Times New Roman" w:hAnsi="Times New Roman"/>
                <w:sz w:val="22"/>
                <w:szCs w:val="22"/>
              </w:rPr>
              <w:t>ij</w:t>
            </w:r>
            <w:r w:rsidR="00805768" w:rsidRPr="0016092F">
              <w:rPr>
                <w:rFonts w:ascii="Times New Roman" w:hAnsi="Times New Roman"/>
                <w:sz w:val="22"/>
                <w:szCs w:val="22"/>
              </w:rPr>
              <w:t>ednosti Hb &gt; 13 g/dl (&gt;8</w:t>
            </w:r>
            <w:r w:rsidR="000B3055" w:rsidRPr="0016092F">
              <w:rPr>
                <w:rFonts w:ascii="Times New Roman" w:hAnsi="Times New Roman"/>
                <w:sz w:val="22"/>
                <w:szCs w:val="22"/>
              </w:rPr>
              <w:t>.</w:t>
            </w:r>
            <w:r w:rsidR="00805768" w:rsidRPr="0016092F">
              <w:rPr>
                <w:rFonts w:ascii="Times New Roman" w:hAnsi="Times New Roman"/>
                <w:sz w:val="22"/>
                <w:szCs w:val="22"/>
              </w:rPr>
              <w:t>1 mmol/l).</w:t>
            </w:r>
          </w:p>
          <w:p w:rsidR="00805768" w:rsidRPr="0016092F" w:rsidRDefault="00805768" w:rsidP="006F146B">
            <w:pPr>
              <w:pStyle w:val="Header"/>
              <w:tabs>
                <w:tab w:val="clear" w:pos="4536"/>
                <w:tab w:val="clear" w:pos="9072"/>
                <w:tab w:val="left" w:pos="284"/>
              </w:tabs>
              <w:rPr>
                <w:rFonts w:ascii="Times New Roman" w:hAnsi="Times New Roman"/>
                <w:sz w:val="22"/>
                <w:szCs w:val="22"/>
              </w:rPr>
            </w:pPr>
          </w:p>
          <w:p w:rsidR="00E71B0A" w:rsidRPr="0016092F" w:rsidRDefault="00E71B0A" w:rsidP="006F146B">
            <w:pPr>
              <w:tabs>
                <w:tab w:val="clear" w:pos="284"/>
              </w:tabs>
              <w:autoSpaceDE w:val="0"/>
              <w:autoSpaceDN w:val="0"/>
              <w:adjustRightInd w:val="0"/>
              <w:rPr>
                <w:rFonts w:ascii="Times New Roman" w:hAnsi="Times New Roman"/>
                <w:sz w:val="22"/>
                <w:szCs w:val="22"/>
                <w:u w:val="single"/>
              </w:rPr>
            </w:pPr>
            <w:r w:rsidRPr="0016092F">
              <w:rPr>
                <w:rFonts w:ascii="Times New Roman" w:hAnsi="Times New Roman"/>
                <w:sz w:val="22"/>
                <w:szCs w:val="22"/>
                <w:u w:val="single"/>
              </w:rPr>
              <w:t>Pomoćne supstance</w:t>
            </w:r>
          </w:p>
          <w:p w:rsidR="00864545" w:rsidRPr="0016092F" w:rsidRDefault="00805768" w:rsidP="006F146B">
            <w:pPr>
              <w:tabs>
                <w:tab w:val="clear" w:pos="284"/>
              </w:tabs>
              <w:autoSpaceDE w:val="0"/>
              <w:autoSpaceDN w:val="0"/>
              <w:adjustRightInd w:val="0"/>
              <w:rPr>
                <w:rFonts w:ascii="Times New Roman" w:hAnsi="Times New Roman"/>
                <w:sz w:val="22"/>
                <w:szCs w:val="22"/>
              </w:rPr>
            </w:pPr>
            <w:r w:rsidRPr="0016092F">
              <w:rPr>
                <w:rFonts w:ascii="Times New Roman" w:hAnsi="Times New Roman"/>
                <w:sz w:val="22"/>
                <w:szCs w:val="22"/>
              </w:rPr>
              <w:t>Ovaj l</w:t>
            </w:r>
            <w:r w:rsidR="00E168D8" w:rsidRPr="0016092F">
              <w:rPr>
                <w:rFonts w:ascii="Times New Roman" w:hAnsi="Times New Roman"/>
                <w:sz w:val="22"/>
                <w:szCs w:val="22"/>
              </w:rPr>
              <w:t>ij</w:t>
            </w:r>
            <w:r w:rsidRPr="0016092F">
              <w:rPr>
                <w:rFonts w:ascii="Times New Roman" w:hAnsi="Times New Roman"/>
                <w:sz w:val="22"/>
                <w:szCs w:val="22"/>
              </w:rPr>
              <w:t>ek sadrži</w:t>
            </w:r>
            <w:r w:rsidR="00B00186" w:rsidRPr="0016092F">
              <w:rPr>
                <w:rFonts w:ascii="Times New Roman" w:hAnsi="Times New Roman"/>
                <w:sz w:val="22"/>
                <w:szCs w:val="22"/>
              </w:rPr>
              <w:t xml:space="preserve"> </w:t>
            </w:r>
            <w:r w:rsidRPr="0016092F">
              <w:rPr>
                <w:rFonts w:ascii="Times New Roman" w:hAnsi="Times New Roman"/>
                <w:sz w:val="22"/>
                <w:szCs w:val="22"/>
              </w:rPr>
              <w:t xml:space="preserve">manje od 1 mmol natrijuma (23 mg) u </w:t>
            </w:r>
            <w:r w:rsidR="00754BFC" w:rsidRPr="0016092F">
              <w:rPr>
                <w:rFonts w:ascii="Times New Roman" w:hAnsi="Times New Roman"/>
                <w:sz w:val="22"/>
                <w:szCs w:val="22"/>
              </w:rPr>
              <w:t>jednom špricu</w:t>
            </w:r>
            <w:r w:rsidRPr="0016092F">
              <w:rPr>
                <w:rFonts w:ascii="Times New Roman" w:hAnsi="Times New Roman"/>
                <w:sz w:val="22"/>
                <w:szCs w:val="22"/>
              </w:rPr>
              <w:t xml:space="preserve">, </w:t>
            </w:r>
            <w:r w:rsidR="009663F7" w:rsidRPr="0016092F">
              <w:rPr>
                <w:rFonts w:ascii="Times New Roman" w:hAnsi="Times New Roman"/>
                <w:sz w:val="22"/>
                <w:szCs w:val="22"/>
              </w:rPr>
              <w:t>tj. u osnovi je “ bez natrijuma”</w:t>
            </w:r>
            <w:r w:rsidRPr="0016092F">
              <w:rPr>
                <w:rFonts w:ascii="Times New Roman" w:hAnsi="Times New Roman"/>
                <w:sz w:val="22"/>
                <w:szCs w:val="22"/>
              </w:rPr>
              <w:t>.</w:t>
            </w:r>
          </w:p>
          <w:p w:rsidR="00474E63" w:rsidRPr="0016092F" w:rsidRDefault="00474E63"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lastRenderedPageBreak/>
              <w:t>4.5. Interakcije sa drugim l</w:t>
            </w:r>
            <w:r w:rsidR="00E168D8" w:rsidRPr="0016092F">
              <w:rPr>
                <w:rFonts w:ascii="Times New Roman" w:hAnsi="Times New Roman"/>
                <w:b/>
                <w:bCs/>
                <w:sz w:val="22"/>
                <w:szCs w:val="22"/>
              </w:rPr>
              <w:t>j</w:t>
            </w:r>
            <w:r w:rsidRPr="0016092F">
              <w:rPr>
                <w:rFonts w:ascii="Times New Roman" w:hAnsi="Times New Roman"/>
                <w:b/>
                <w:bCs/>
                <w:sz w:val="22"/>
                <w:szCs w:val="22"/>
              </w:rPr>
              <w:t>ekovima i druge vrste interakcija</w:t>
            </w:r>
          </w:p>
        </w:tc>
      </w:tr>
      <w:tr w:rsidR="00834DBB" w:rsidRPr="0016092F" w:rsidTr="006F146B">
        <w:trPr>
          <w:trHeight w:val="850"/>
        </w:trPr>
        <w:tc>
          <w:tcPr>
            <w:tcW w:w="5000" w:type="pct"/>
            <w:gridSpan w:val="4"/>
            <w:vAlign w:val="center"/>
          </w:tcPr>
          <w:p w:rsidR="00834DBB" w:rsidRPr="0016092F" w:rsidRDefault="00EF0C8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Nema dokaza da terapija epoetinom alfa utiče na metabolizam ostalih l</w:t>
            </w:r>
            <w:r w:rsidR="00E168D8" w:rsidRPr="0016092F">
              <w:rPr>
                <w:rFonts w:ascii="Times New Roman" w:hAnsi="Times New Roman"/>
                <w:sz w:val="22"/>
                <w:szCs w:val="22"/>
              </w:rPr>
              <w:t>j</w:t>
            </w:r>
            <w:r w:rsidRPr="0016092F">
              <w:rPr>
                <w:rFonts w:ascii="Times New Roman" w:hAnsi="Times New Roman"/>
                <w:sz w:val="22"/>
                <w:szCs w:val="22"/>
              </w:rPr>
              <w:t>ekova.</w:t>
            </w:r>
            <w:r w:rsidR="00E71B0A" w:rsidRPr="0016092F">
              <w:rPr>
                <w:rFonts w:ascii="Times New Roman" w:hAnsi="Times New Roman"/>
                <w:sz w:val="22"/>
                <w:szCs w:val="22"/>
              </w:rPr>
              <w:t xml:space="preserve"> L</w:t>
            </w:r>
            <w:r w:rsidR="00E168D8" w:rsidRPr="0016092F">
              <w:rPr>
                <w:rFonts w:ascii="Times New Roman" w:hAnsi="Times New Roman"/>
                <w:sz w:val="22"/>
                <w:szCs w:val="22"/>
              </w:rPr>
              <w:t>j</w:t>
            </w:r>
            <w:r w:rsidR="00E71B0A" w:rsidRPr="0016092F">
              <w:rPr>
                <w:rFonts w:ascii="Times New Roman" w:hAnsi="Times New Roman"/>
                <w:sz w:val="22"/>
                <w:szCs w:val="22"/>
              </w:rPr>
              <w:t>ekovi koji smanjuju eritropoezu mogu smanjiti odgovor na epoetin alfa.</w:t>
            </w:r>
          </w:p>
          <w:p w:rsidR="00E71B0A" w:rsidRPr="0016092F" w:rsidRDefault="00E71B0A" w:rsidP="006F146B">
            <w:pPr>
              <w:pStyle w:val="Header"/>
              <w:tabs>
                <w:tab w:val="clear" w:pos="4536"/>
                <w:tab w:val="clear" w:pos="9072"/>
                <w:tab w:val="left" w:pos="284"/>
              </w:tabs>
              <w:rPr>
                <w:rFonts w:ascii="Times New Roman" w:hAnsi="Times New Roman"/>
                <w:sz w:val="22"/>
                <w:szCs w:val="22"/>
              </w:rPr>
            </w:pPr>
          </w:p>
          <w:p w:rsidR="00EF0C82" w:rsidRPr="0016092F" w:rsidRDefault="00EF0C8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Međutim, s obzirom da se ciklosporin vezuje za eritrocite postoji mogućnost pojave interakcije. Ako se epoetin alfa prim</w:t>
            </w:r>
            <w:r w:rsidR="00E168D8" w:rsidRPr="0016092F">
              <w:rPr>
                <w:rFonts w:ascii="Times New Roman" w:hAnsi="Times New Roman"/>
                <w:sz w:val="22"/>
                <w:szCs w:val="22"/>
              </w:rPr>
              <w:t>j</w:t>
            </w:r>
            <w:r w:rsidRPr="0016092F">
              <w:rPr>
                <w:rFonts w:ascii="Times New Roman" w:hAnsi="Times New Roman"/>
                <w:sz w:val="22"/>
                <w:szCs w:val="22"/>
              </w:rPr>
              <w:t>enjuje istovremeno sa ciklosporinom, vr</w:t>
            </w:r>
            <w:r w:rsidR="00E168D8" w:rsidRPr="0016092F">
              <w:rPr>
                <w:rFonts w:ascii="Times New Roman" w:hAnsi="Times New Roman"/>
                <w:sz w:val="22"/>
                <w:szCs w:val="22"/>
              </w:rPr>
              <w:t>ij</w:t>
            </w:r>
            <w:r w:rsidRPr="0016092F">
              <w:rPr>
                <w:rFonts w:ascii="Times New Roman" w:hAnsi="Times New Roman"/>
                <w:sz w:val="22"/>
                <w:szCs w:val="22"/>
              </w:rPr>
              <w:t>ednosti ciklosporina u krvi treba pratiti i prilagođavati doze ciklosporina u zavisnosti od porasta hematokrita.</w:t>
            </w:r>
          </w:p>
          <w:p w:rsidR="00EF0C82" w:rsidRPr="0016092F" w:rsidRDefault="00EF0C82" w:rsidP="006F146B">
            <w:pPr>
              <w:pStyle w:val="Header"/>
              <w:tabs>
                <w:tab w:val="clear" w:pos="4536"/>
                <w:tab w:val="clear" w:pos="9072"/>
                <w:tab w:val="left" w:pos="284"/>
              </w:tabs>
              <w:rPr>
                <w:rFonts w:ascii="Times New Roman" w:hAnsi="Times New Roman"/>
                <w:sz w:val="22"/>
                <w:szCs w:val="22"/>
              </w:rPr>
            </w:pPr>
          </w:p>
          <w:p w:rsidR="00EF0C82" w:rsidRPr="0016092F" w:rsidRDefault="00EF0C82"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sz w:val="22"/>
                <w:szCs w:val="22"/>
              </w:rPr>
              <w:t xml:space="preserve">Nema dokaza o interakciji između epoetina alfa i faktora stimulacije granulocitne loze (G-CSF) ili faktora stimulacije granulocitno-makrofagne loze (GM-CSF), u odnosu na hematološku diferencijaciju ili proliferaciju uzoraka biopsije tumora </w:t>
            </w:r>
            <w:r w:rsidRPr="0016092F">
              <w:rPr>
                <w:rFonts w:ascii="Times New Roman" w:hAnsi="Times New Roman"/>
                <w:i/>
                <w:sz w:val="22"/>
                <w:szCs w:val="22"/>
              </w:rPr>
              <w:t>in vitro.</w:t>
            </w:r>
          </w:p>
          <w:p w:rsidR="00E71B0A" w:rsidRPr="0016092F" w:rsidRDefault="00E71B0A" w:rsidP="006F146B">
            <w:pPr>
              <w:pStyle w:val="Header"/>
              <w:tabs>
                <w:tab w:val="clear" w:pos="4536"/>
                <w:tab w:val="clear" w:pos="9072"/>
                <w:tab w:val="left" w:pos="284"/>
              </w:tabs>
              <w:rPr>
                <w:rFonts w:ascii="Times New Roman" w:hAnsi="Times New Roman"/>
                <w:i/>
                <w:sz w:val="22"/>
                <w:szCs w:val="22"/>
              </w:rPr>
            </w:pPr>
          </w:p>
          <w:p w:rsidR="00E71B0A" w:rsidRPr="0016092F" w:rsidRDefault="00E71B0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odraslih pacijenata sa metastatskim karcinomom dojke, istovremena supkutana prim</w:t>
            </w:r>
            <w:r w:rsidR="00E168D8" w:rsidRPr="0016092F">
              <w:rPr>
                <w:rFonts w:ascii="Times New Roman" w:hAnsi="Times New Roman"/>
                <w:sz w:val="22"/>
                <w:szCs w:val="22"/>
              </w:rPr>
              <w:t>j</w:t>
            </w:r>
            <w:r w:rsidRPr="0016092F">
              <w:rPr>
                <w:rFonts w:ascii="Times New Roman" w:hAnsi="Times New Roman"/>
                <w:sz w:val="22"/>
                <w:szCs w:val="22"/>
              </w:rPr>
              <w:t>ena 40 000 i.j./ml epoetina alfa sa 6 mg/kg trastzumaba nije uticala na farmakokinetiku trastzumaba.</w:t>
            </w:r>
          </w:p>
          <w:p w:rsidR="00C4627B" w:rsidRPr="0016092F" w:rsidRDefault="00C4627B"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t>4.6. Prim</w:t>
            </w:r>
            <w:r w:rsidR="00E168D8" w:rsidRPr="0016092F">
              <w:rPr>
                <w:rFonts w:ascii="Times New Roman" w:hAnsi="Times New Roman"/>
                <w:b/>
                <w:bCs/>
                <w:sz w:val="22"/>
                <w:szCs w:val="22"/>
              </w:rPr>
              <w:t>j</w:t>
            </w:r>
            <w:r w:rsidRPr="0016092F">
              <w:rPr>
                <w:rFonts w:ascii="Times New Roman" w:hAnsi="Times New Roman"/>
                <w:b/>
                <w:bCs/>
                <w:sz w:val="22"/>
                <w:szCs w:val="22"/>
              </w:rPr>
              <w:t>ena u periodu trudnoće i dojenja</w:t>
            </w:r>
          </w:p>
        </w:tc>
      </w:tr>
      <w:tr w:rsidR="00834DBB" w:rsidRPr="0016092F" w:rsidTr="006F146B">
        <w:trPr>
          <w:trHeight w:val="1145"/>
        </w:trPr>
        <w:tc>
          <w:tcPr>
            <w:tcW w:w="5000" w:type="pct"/>
            <w:gridSpan w:val="4"/>
            <w:vAlign w:val="center"/>
          </w:tcPr>
          <w:p w:rsidR="00FB462E" w:rsidRPr="0016092F" w:rsidRDefault="00FB462E"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Trudnoća</w:t>
            </w:r>
          </w:p>
          <w:p w:rsidR="00EF0C82" w:rsidRPr="0016092F" w:rsidRDefault="00DA67E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Ne postoje ili p</w:t>
            </w:r>
            <w:r w:rsidR="00FB462E" w:rsidRPr="0016092F">
              <w:rPr>
                <w:rFonts w:ascii="Times New Roman" w:hAnsi="Times New Roman"/>
                <w:sz w:val="22"/>
                <w:szCs w:val="22"/>
              </w:rPr>
              <w:t xml:space="preserve">ostoje ograničeni podaci o upotrebi epoetina alfa kod trudnica. </w:t>
            </w:r>
            <w:r w:rsidR="00EF0C82" w:rsidRPr="0016092F">
              <w:rPr>
                <w:rFonts w:ascii="Times New Roman" w:hAnsi="Times New Roman"/>
                <w:sz w:val="22"/>
                <w:szCs w:val="22"/>
              </w:rPr>
              <w:t>Studije na životinjama pokazale su reproduktivnu toksičnost (vid</w:t>
            </w:r>
            <w:r w:rsidR="00E168D8" w:rsidRPr="0016092F">
              <w:rPr>
                <w:rFonts w:ascii="Times New Roman" w:hAnsi="Times New Roman"/>
                <w:sz w:val="22"/>
                <w:szCs w:val="22"/>
              </w:rPr>
              <w:t>j</w:t>
            </w:r>
            <w:r w:rsidR="00EF0C82" w:rsidRPr="0016092F">
              <w:rPr>
                <w:rFonts w:ascii="Times New Roman" w:hAnsi="Times New Roman"/>
                <w:sz w:val="22"/>
                <w:szCs w:val="22"/>
              </w:rPr>
              <w:t>eti od</w:t>
            </w:r>
            <w:r w:rsidR="00E168D8" w:rsidRPr="0016092F">
              <w:rPr>
                <w:rFonts w:ascii="Times New Roman" w:hAnsi="Times New Roman"/>
                <w:sz w:val="22"/>
                <w:szCs w:val="22"/>
              </w:rPr>
              <w:t>j</w:t>
            </w:r>
            <w:r w:rsidR="00EF0C82" w:rsidRPr="0016092F">
              <w:rPr>
                <w:rFonts w:ascii="Times New Roman" w:hAnsi="Times New Roman"/>
                <w:sz w:val="22"/>
                <w:szCs w:val="22"/>
              </w:rPr>
              <w:t>eljak 5.3).</w:t>
            </w:r>
            <w:r w:rsidR="00E71B0A" w:rsidRPr="0016092F">
              <w:rPr>
                <w:rFonts w:ascii="Times New Roman" w:hAnsi="Times New Roman"/>
                <w:sz w:val="22"/>
                <w:szCs w:val="22"/>
              </w:rPr>
              <w:t xml:space="preserve"> Posl</w:t>
            </w:r>
            <w:r w:rsidR="00E168D8" w:rsidRPr="0016092F">
              <w:rPr>
                <w:rFonts w:ascii="Times New Roman" w:hAnsi="Times New Roman"/>
                <w:sz w:val="22"/>
                <w:szCs w:val="22"/>
              </w:rPr>
              <w:t>j</w:t>
            </w:r>
            <w:r w:rsidR="00E71B0A" w:rsidRPr="0016092F">
              <w:rPr>
                <w:rFonts w:ascii="Times New Roman" w:hAnsi="Times New Roman"/>
                <w:sz w:val="22"/>
                <w:szCs w:val="22"/>
              </w:rPr>
              <w:t>edično, epoetin alfa</w:t>
            </w:r>
            <w:r w:rsidR="002B6DE2" w:rsidRPr="0016092F">
              <w:rPr>
                <w:rFonts w:ascii="Times New Roman" w:hAnsi="Times New Roman"/>
                <w:sz w:val="22"/>
                <w:szCs w:val="22"/>
              </w:rPr>
              <w:t xml:space="preserve"> </w:t>
            </w:r>
            <w:r w:rsidR="00EF0C82" w:rsidRPr="0016092F">
              <w:rPr>
                <w:rFonts w:ascii="Times New Roman" w:hAnsi="Times New Roman"/>
                <w:sz w:val="22"/>
                <w:szCs w:val="22"/>
              </w:rPr>
              <w:t>treba prim</w:t>
            </w:r>
            <w:r w:rsidR="00E168D8" w:rsidRPr="0016092F">
              <w:rPr>
                <w:rFonts w:ascii="Times New Roman" w:hAnsi="Times New Roman"/>
                <w:sz w:val="22"/>
                <w:szCs w:val="22"/>
              </w:rPr>
              <w:t>j</w:t>
            </w:r>
            <w:r w:rsidR="00EF0C82" w:rsidRPr="0016092F">
              <w:rPr>
                <w:rFonts w:ascii="Times New Roman" w:hAnsi="Times New Roman"/>
                <w:sz w:val="22"/>
                <w:szCs w:val="22"/>
              </w:rPr>
              <w:t xml:space="preserve">enjivati </w:t>
            </w:r>
            <w:r w:rsidR="00FB462E" w:rsidRPr="0016092F">
              <w:rPr>
                <w:rFonts w:ascii="Times New Roman" w:hAnsi="Times New Roman"/>
                <w:sz w:val="22"/>
                <w:szCs w:val="22"/>
              </w:rPr>
              <w:t xml:space="preserve">u trudnoći </w:t>
            </w:r>
            <w:r w:rsidR="00EF0C82" w:rsidRPr="0016092F">
              <w:rPr>
                <w:rFonts w:ascii="Times New Roman" w:hAnsi="Times New Roman"/>
                <w:sz w:val="22"/>
                <w:szCs w:val="22"/>
              </w:rPr>
              <w:t>samo ako potencijalna korist prevazilazi potencijalni rizik za fetus.</w:t>
            </w:r>
            <w:r w:rsidR="00F23596" w:rsidRPr="0016092F">
              <w:rPr>
                <w:rFonts w:ascii="Times New Roman" w:hAnsi="Times New Roman"/>
                <w:sz w:val="22"/>
                <w:szCs w:val="22"/>
              </w:rPr>
              <w:t xml:space="preserve"> </w:t>
            </w:r>
            <w:r w:rsidR="00696040" w:rsidRPr="0016092F">
              <w:rPr>
                <w:rFonts w:ascii="Times New Roman" w:hAnsi="Times New Roman"/>
                <w:sz w:val="22"/>
                <w:szCs w:val="22"/>
              </w:rPr>
              <w:t xml:space="preserve">Kod trudnica koje učestvuju u programu </w:t>
            </w:r>
            <w:r w:rsidR="002A5149" w:rsidRPr="0016092F">
              <w:rPr>
                <w:rFonts w:ascii="Times New Roman" w:hAnsi="Times New Roman"/>
                <w:sz w:val="22"/>
                <w:szCs w:val="22"/>
              </w:rPr>
              <w:t>PAK</w:t>
            </w:r>
            <w:r w:rsidR="00696040" w:rsidRPr="0016092F">
              <w:rPr>
                <w:rFonts w:ascii="Times New Roman" w:hAnsi="Times New Roman"/>
                <w:sz w:val="22"/>
                <w:szCs w:val="22"/>
              </w:rPr>
              <w:t>, ne preporučuje se prim</w:t>
            </w:r>
            <w:r w:rsidR="00E168D8" w:rsidRPr="0016092F">
              <w:rPr>
                <w:rFonts w:ascii="Times New Roman" w:hAnsi="Times New Roman"/>
                <w:sz w:val="22"/>
                <w:szCs w:val="22"/>
              </w:rPr>
              <w:t>j</w:t>
            </w:r>
            <w:r w:rsidR="00696040" w:rsidRPr="0016092F">
              <w:rPr>
                <w:rFonts w:ascii="Times New Roman" w:hAnsi="Times New Roman"/>
                <w:sz w:val="22"/>
                <w:szCs w:val="22"/>
              </w:rPr>
              <w:t>ena epoetina alfa.</w:t>
            </w:r>
          </w:p>
          <w:p w:rsidR="00FB462E" w:rsidRPr="0016092F" w:rsidRDefault="00FB462E" w:rsidP="006F146B">
            <w:pPr>
              <w:pStyle w:val="Header"/>
              <w:tabs>
                <w:tab w:val="clear" w:pos="4536"/>
                <w:tab w:val="clear" w:pos="9072"/>
                <w:tab w:val="left" w:pos="284"/>
              </w:tabs>
              <w:rPr>
                <w:rFonts w:ascii="Times New Roman" w:hAnsi="Times New Roman"/>
                <w:sz w:val="22"/>
                <w:szCs w:val="22"/>
              </w:rPr>
            </w:pPr>
          </w:p>
          <w:p w:rsidR="00FB462E" w:rsidRPr="0016092F" w:rsidRDefault="00FB462E"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Dojenje</w:t>
            </w:r>
          </w:p>
          <w:p w:rsidR="00FB462E" w:rsidRPr="0016092F" w:rsidRDefault="00646252"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Nije poznato da li</w:t>
            </w:r>
            <w:r w:rsidR="00FB462E" w:rsidRPr="0016092F">
              <w:rPr>
                <w:rFonts w:ascii="Times New Roman" w:hAnsi="Times New Roman"/>
                <w:sz w:val="22"/>
                <w:szCs w:val="22"/>
              </w:rPr>
              <w:t xml:space="preserve"> epoetin alfa prolazi u humano ml</w:t>
            </w:r>
            <w:r w:rsidR="00E168D8" w:rsidRPr="0016092F">
              <w:rPr>
                <w:rFonts w:ascii="Times New Roman" w:hAnsi="Times New Roman"/>
                <w:sz w:val="22"/>
                <w:szCs w:val="22"/>
              </w:rPr>
              <w:t>ij</w:t>
            </w:r>
            <w:r w:rsidR="00FB462E" w:rsidRPr="0016092F">
              <w:rPr>
                <w:rFonts w:ascii="Times New Roman" w:hAnsi="Times New Roman"/>
                <w:sz w:val="22"/>
                <w:szCs w:val="22"/>
              </w:rPr>
              <w:t>eko.Epoetin alfa treba prim</w:t>
            </w:r>
            <w:r w:rsidR="00E168D8" w:rsidRPr="0016092F">
              <w:rPr>
                <w:rFonts w:ascii="Times New Roman" w:hAnsi="Times New Roman"/>
                <w:sz w:val="22"/>
                <w:szCs w:val="22"/>
              </w:rPr>
              <w:t>j</w:t>
            </w:r>
            <w:r w:rsidR="00FB462E" w:rsidRPr="0016092F">
              <w:rPr>
                <w:rFonts w:ascii="Times New Roman" w:hAnsi="Times New Roman"/>
                <w:sz w:val="22"/>
                <w:szCs w:val="22"/>
              </w:rPr>
              <w:t>enjivati sa oprezom kod dojilja. Odluku o tome da li nastaviti/prekinuti dojenje ili nastaviti /prekinuti terapiju epoetinom alfa treba don</w:t>
            </w:r>
            <w:r w:rsidR="00E168D8" w:rsidRPr="0016092F">
              <w:rPr>
                <w:rFonts w:ascii="Times New Roman" w:hAnsi="Times New Roman"/>
                <w:sz w:val="22"/>
                <w:szCs w:val="22"/>
              </w:rPr>
              <w:t>ij</w:t>
            </w:r>
            <w:r w:rsidR="00FB462E" w:rsidRPr="0016092F">
              <w:rPr>
                <w:rFonts w:ascii="Times New Roman" w:hAnsi="Times New Roman"/>
                <w:sz w:val="22"/>
                <w:szCs w:val="22"/>
              </w:rPr>
              <w:t>eti uzimajući u obzir koristi od dojenja za d</w:t>
            </w:r>
            <w:r w:rsidR="00E168D8" w:rsidRPr="0016092F">
              <w:rPr>
                <w:rFonts w:ascii="Times New Roman" w:hAnsi="Times New Roman"/>
                <w:sz w:val="22"/>
                <w:szCs w:val="22"/>
              </w:rPr>
              <w:t>ijete</w:t>
            </w:r>
            <w:r w:rsidR="00FB462E" w:rsidRPr="0016092F">
              <w:rPr>
                <w:rFonts w:ascii="Times New Roman" w:hAnsi="Times New Roman"/>
                <w:sz w:val="22"/>
                <w:szCs w:val="22"/>
              </w:rPr>
              <w:t xml:space="preserve"> i koristi terapije epoetinom alfa za ženu.</w:t>
            </w:r>
          </w:p>
          <w:p w:rsidR="00FB462E" w:rsidRPr="0016092F" w:rsidRDefault="00FB462E" w:rsidP="006F146B">
            <w:pPr>
              <w:pStyle w:val="Header"/>
              <w:tabs>
                <w:tab w:val="clear" w:pos="4536"/>
                <w:tab w:val="clear" w:pos="9072"/>
                <w:tab w:val="left" w:pos="284"/>
              </w:tabs>
              <w:rPr>
                <w:rFonts w:ascii="Times New Roman" w:hAnsi="Times New Roman"/>
                <w:sz w:val="22"/>
                <w:szCs w:val="22"/>
              </w:rPr>
            </w:pPr>
          </w:p>
          <w:p w:rsidR="00FB462E" w:rsidRPr="0016092F" w:rsidRDefault="00FB462E"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Kod hururških pacijentkinja koje mogu da doje a koje učestvuju u programu PAK, upotreba epoetina alfa se ne preporučuje.</w:t>
            </w:r>
          </w:p>
          <w:p w:rsidR="00FB462E" w:rsidRPr="0016092F" w:rsidRDefault="00FB462E" w:rsidP="006F146B">
            <w:pPr>
              <w:pStyle w:val="Header"/>
              <w:tabs>
                <w:tab w:val="clear" w:pos="4536"/>
                <w:tab w:val="clear" w:pos="9072"/>
                <w:tab w:val="left" w:pos="284"/>
              </w:tabs>
              <w:rPr>
                <w:rFonts w:ascii="Times New Roman" w:hAnsi="Times New Roman"/>
                <w:sz w:val="22"/>
                <w:szCs w:val="22"/>
              </w:rPr>
            </w:pPr>
          </w:p>
          <w:p w:rsidR="00FB462E" w:rsidRPr="0016092F" w:rsidRDefault="00FB462E"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Fertlitet</w:t>
            </w:r>
          </w:p>
          <w:p w:rsidR="00FB462E" w:rsidRPr="0016092F" w:rsidRDefault="00E71B0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Ni</w:t>
            </w:r>
            <w:r w:rsidR="00E168D8" w:rsidRPr="0016092F">
              <w:rPr>
                <w:rFonts w:ascii="Times New Roman" w:hAnsi="Times New Roman"/>
                <w:sz w:val="22"/>
                <w:szCs w:val="22"/>
              </w:rPr>
              <w:t>je</w:t>
            </w:r>
            <w:r w:rsidRPr="0016092F">
              <w:rPr>
                <w:rFonts w:ascii="Times New Roman" w:hAnsi="Times New Roman"/>
                <w:sz w:val="22"/>
                <w:szCs w:val="22"/>
              </w:rPr>
              <w:t>su sprovedena ispitivanja u kojima je proc</w:t>
            </w:r>
            <w:r w:rsidR="00E168D8" w:rsidRPr="0016092F">
              <w:rPr>
                <w:rFonts w:ascii="Times New Roman" w:hAnsi="Times New Roman"/>
                <w:sz w:val="22"/>
                <w:szCs w:val="22"/>
              </w:rPr>
              <w:t>j</w:t>
            </w:r>
            <w:r w:rsidRPr="0016092F">
              <w:rPr>
                <w:rFonts w:ascii="Times New Roman" w:hAnsi="Times New Roman"/>
                <w:sz w:val="22"/>
                <w:szCs w:val="22"/>
              </w:rPr>
              <w:t>enjivan uticaj epoetina alfa na plodnost muškaraca i žena.</w:t>
            </w:r>
          </w:p>
          <w:p w:rsidR="00696040" w:rsidRPr="0016092F" w:rsidRDefault="00696040"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pacing w:val="-8"/>
                <w:sz w:val="22"/>
                <w:szCs w:val="22"/>
              </w:rPr>
            </w:pPr>
            <w:r w:rsidRPr="0016092F">
              <w:rPr>
                <w:rFonts w:ascii="Times New Roman" w:hAnsi="Times New Roman"/>
                <w:b/>
                <w:bCs/>
                <w:spacing w:val="-8"/>
                <w:sz w:val="22"/>
                <w:szCs w:val="22"/>
              </w:rPr>
              <w:lastRenderedPageBreak/>
              <w:t>4.7. Uticaj na psihofizičke sposobnosti prilikom upravljanja motornim vozilom i rukovanja mašinama</w:t>
            </w:r>
          </w:p>
        </w:tc>
      </w:tr>
      <w:tr w:rsidR="00834DBB" w:rsidRPr="0016092F" w:rsidTr="006F146B">
        <w:trPr>
          <w:trHeight w:val="788"/>
        </w:trPr>
        <w:tc>
          <w:tcPr>
            <w:tcW w:w="5000" w:type="pct"/>
            <w:gridSpan w:val="4"/>
            <w:vAlign w:val="center"/>
          </w:tcPr>
          <w:p w:rsidR="00834DBB" w:rsidRPr="0016092F" w:rsidRDefault="00E71B0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Ni</w:t>
            </w:r>
            <w:r w:rsidR="00E168D8" w:rsidRPr="0016092F">
              <w:rPr>
                <w:rFonts w:ascii="Times New Roman" w:hAnsi="Times New Roman"/>
                <w:sz w:val="22"/>
                <w:szCs w:val="22"/>
              </w:rPr>
              <w:t>je</w:t>
            </w:r>
            <w:r w:rsidRPr="0016092F">
              <w:rPr>
                <w:rFonts w:ascii="Times New Roman" w:hAnsi="Times New Roman"/>
                <w:sz w:val="22"/>
                <w:szCs w:val="22"/>
              </w:rPr>
              <w:t>su sprovedena ispitivanja uticaja</w:t>
            </w:r>
            <w:r w:rsidR="00696040" w:rsidRPr="0016092F">
              <w:rPr>
                <w:rFonts w:ascii="Times New Roman" w:hAnsi="Times New Roman"/>
                <w:sz w:val="22"/>
                <w:szCs w:val="22"/>
              </w:rPr>
              <w:t xml:space="preserve"> na sposobnost upravljanja motornim vozilom ili rukovanja mašinama.</w:t>
            </w:r>
            <w:r w:rsidRPr="0016092F">
              <w:rPr>
                <w:rFonts w:ascii="Times New Roman" w:hAnsi="Times New Roman"/>
                <w:sz w:val="22"/>
                <w:szCs w:val="22"/>
              </w:rPr>
              <w:t xml:space="preserve"> Binocrit ne utiče ili zanemarljivo utiče na sposobnost upravljanja vozilima i rad sa mašinama.</w:t>
            </w:r>
          </w:p>
          <w:p w:rsidR="00E71B0A" w:rsidRPr="0016092F" w:rsidRDefault="00E71B0A"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t>4.8. Neželjena dejstva</w:t>
            </w:r>
          </w:p>
        </w:tc>
      </w:tr>
      <w:tr w:rsidR="00834DBB" w:rsidRPr="0016092F" w:rsidTr="006F146B">
        <w:trPr>
          <w:trHeight w:val="1145"/>
        </w:trPr>
        <w:tc>
          <w:tcPr>
            <w:tcW w:w="5000" w:type="pct"/>
            <w:gridSpan w:val="4"/>
            <w:vAlign w:val="center"/>
          </w:tcPr>
          <w:p w:rsidR="00BE62DC" w:rsidRPr="0016092F" w:rsidRDefault="00FB462E" w:rsidP="006F146B">
            <w:pPr>
              <w:tabs>
                <w:tab w:val="clear" w:pos="284"/>
              </w:tabs>
              <w:rPr>
                <w:rFonts w:ascii="Times New Roman" w:hAnsi="Times New Roman" w:cs="Arial"/>
                <w:sz w:val="22"/>
                <w:szCs w:val="22"/>
                <w:u w:val="single"/>
              </w:rPr>
            </w:pPr>
            <w:r w:rsidRPr="0016092F">
              <w:rPr>
                <w:rFonts w:ascii="Times New Roman" w:hAnsi="Times New Roman" w:cs="Arial"/>
                <w:sz w:val="22"/>
                <w:szCs w:val="22"/>
                <w:u w:val="single"/>
              </w:rPr>
              <w:t xml:space="preserve">Sažetak </w:t>
            </w:r>
            <w:r w:rsidR="00E32555" w:rsidRPr="0016092F">
              <w:rPr>
                <w:rFonts w:ascii="Times New Roman" w:hAnsi="Times New Roman" w:cs="Arial"/>
                <w:sz w:val="22"/>
                <w:szCs w:val="22"/>
                <w:u w:val="single"/>
              </w:rPr>
              <w:t xml:space="preserve">bezbjednosnog </w:t>
            </w:r>
            <w:r w:rsidRPr="0016092F">
              <w:rPr>
                <w:rFonts w:ascii="Times New Roman" w:hAnsi="Times New Roman" w:cs="Arial"/>
                <w:sz w:val="22"/>
                <w:szCs w:val="22"/>
                <w:u w:val="single"/>
              </w:rPr>
              <w:t xml:space="preserve">profila </w:t>
            </w:r>
          </w:p>
          <w:p w:rsidR="00500E88" w:rsidRPr="0016092F" w:rsidRDefault="00500E88" w:rsidP="006F146B">
            <w:pPr>
              <w:tabs>
                <w:tab w:val="clear" w:pos="284"/>
              </w:tabs>
              <w:rPr>
                <w:rFonts w:ascii="Times New Roman" w:hAnsi="Times New Roman" w:cs="Arial"/>
                <w:sz w:val="22"/>
                <w:szCs w:val="22"/>
              </w:rPr>
            </w:pPr>
            <w:r w:rsidRPr="0016092F">
              <w:rPr>
                <w:rFonts w:ascii="Times New Roman" w:hAnsi="Times New Roman" w:cs="Arial"/>
                <w:sz w:val="22"/>
                <w:szCs w:val="22"/>
              </w:rPr>
              <w:t>N</w:t>
            </w:r>
            <w:r w:rsidR="00A85581" w:rsidRPr="0016092F">
              <w:rPr>
                <w:rFonts w:ascii="Times New Roman" w:hAnsi="Times New Roman" w:cs="Arial"/>
                <w:sz w:val="22"/>
                <w:szCs w:val="22"/>
              </w:rPr>
              <w:t>ajčešće neželjeno dejstvo tokom  terapije epoetinom alfa je dozno-zavisni porast krvnog pritiska ili pogoršanje postojeće hipertenzije. Potrebno je pratiti krvni pritisak, naročito na početku terapije (vid</w:t>
            </w:r>
            <w:r w:rsidR="00E168D8" w:rsidRPr="0016092F">
              <w:rPr>
                <w:rFonts w:ascii="Times New Roman" w:hAnsi="Times New Roman" w:cs="Arial"/>
                <w:sz w:val="22"/>
                <w:szCs w:val="22"/>
              </w:rPr>
              <w:t>j</w:t>
            </w:r>
            <w:r w:rsidR="00A85581" w:rsidRPr="0016092F">
              <w:rPr>
                <w:rFonts w:ascii="Times New Roman" w:hAnsi="Times New Roman" w:cs="Arial"/>
                <w:sz w:val="22"/>
                <w:szCs w:val="22"/>
              </w:rPr>
              <w:t>eti od</w:t>
            </w:r>
            <w:r w:rsidR="00E168D8" w:rsidRPr="0016092F">
              <w:rPr>
                <w:rFonts w:ascii="Times New Roman" w:hAnsi="Times New Roman" w:cs="Arial"/>
                <w:sz w:val="22"/>
                <w:szCs w:val="22"/>
              </w:rPr>
              <w:t>j</w:t>
            </w:r>
            <w:r w:rsidR="00A85581" w:rsidRPr="0016092F">
              <w:rPr>
                <w:rFonts w:ascii="Times New Roman" w:hAnsi="Times New Roman" w:cs="Arial"/>
                <w:sz w:val="22"/>
                <w:szCs w:val="22"/>
              </w:rPr>
              <w:t>eljak 4.</w:t>
            </w:r>
            <w:r w:rsidR="002A5149" w:rsidRPr="0016092F">
              <w:rPr>
                <w:rFonts w:ascii="Times New Roman" w:hAnsi="Times New Roman" w:cs="Arial"/>
                <w:sz w:val="22"/>
                <w:szCs w:val="22"/>
              </w:rPr>
              <w:t xml:space="preserve">4). </w:t>
            </w:r>
          </w:p>
          <w:p w:rsidR="00500E88" w:rsidRPr="0016092F" w:rsidRDefault="00500E88" w:rsidP="006F146B">
            <w:pPr>
              <w:tabs>
                <w:tab w:val="clear" w:pos="284"/>
              </w:tabs>
              <w:rPr>
                <w:rFonts w:ascii="Times New Roman" w:hAnsi="Times New Roman" w:cs="Arial"/>
                <w:sz w:val="22"/>
                <w:szCs w:val="22"/>
              </w:rPr>
            </w:pPr>
          </w:p>
          <w:p w:rsidR="00900AF1" w:rsidRPr="0016092F" w:rsidRDefault="00500E88" w:rsidP="006F146B">
            <w:pPr>
              <w:tabs>
                <w:tab w:val="clear" w:pos="284"/>
              </w:tabs>
              <w:rPr>
                <w:rFonts w:ascii="Times New Roman" w:hAnsi="Times New Roman" w:cs="Arial"/>
                <w:sz w:val="22"/>
                <w:szCs w:val="22"/>
              </w:rPr>
            </w:pPr>
            <w:r w:rsidRPr="0016092F">
              <w:rPr>
                <w:rFonts w:ascii="Times New Roman" w:hAnsi="Times New Roman" w:cs="Arial"/>
                <w:sz w:val="22"/>
                <w:szCs w:val="22"/>
              </w:rPr>
              <w:t>Najčešća</w:t>
            </w:r>
            <w:r w:rsidR="00A85581" w:rsidRPr="0016092F">
              <w:rPr>
                <w:rFonts w:ascii="Times New Roman" w:hAnsi="Times New Roman" w:cs="Arial"/>
                <w:sz w:val="22"/>
                <w:szCs w:val="22"/>
              </w:rPr>
              <w:t xml:space="preserve"> neželjena dejstva uočena tokom kliničkih studija </w:t>
            </w:r>
            <w:r w:rsidR="002A5149" w:rsidRPr="0016092F">
              <w:rPr>
                <w:rFonts w:ascii="Times New Roman" w:hAnsi="Times New Roman" w:cs="Arial"/>
                <w:sz w:val="22"/>
                <w:szCs w:val="22"/>
              </w:rPr>
              <w:t>sa epoetinom</w:t>
            </w:r>
            <w:r w:rsidR="00A85581" w:rsidRPr="0016092F">
              <w:rPr>
                <w:rFonts w:ascii="Times New Roman" w:hAnsi="Times New Roman" w:cs="Arial"/>
                <w:sz w:val="22"/>
                <w:szCs w:val="22"/>
              </w:rPr>
              <w:t xml:space="preserve"> alfa su dijareja, mučnina, glavobolja, pireksija, i povraćanje. Oboljenje slično gripu </w:t>
            </w:r>
            <w:r w:rsidR="002A5149" w:rsidRPr="0016092F">
              <w:rPr>
                <w:rFonts w:ascii="Times New Roman" w:hAnsi="Times New Roman" w:cs="Arial"/>
                <w:sz w:val="22"/>
                <w:szCs w:val="22"/>
              </w:rPr>
              <w:t xml:space="preserve">se </w:t>
            </w:r>
            <w:r w:rsidRPr="0016092F">
              <w:rPr>
                <w:rFonts w:ascii="Times New Roman" w:hAnsi="Times New Roman" w:cs="Arial"/>
                <w:sz w:val="22"/>
                <w:szCs w:val="22"/>
              </w:rPr>
              <w:t xml:space="preserve"> može </w:t>
            </w:r>
            <w:r w:rsidR="00900AF1" w:rsidRPr="0016092F">
              <w:rPr>
                <w:rFonts w:ascii="Times New Roman" w:hAnsi="Times New Roman" w:cs="Arial"/>
                <w:sz w:val="22"/>
                <w:szCs w:val="22"/>
              </w:rPr>
              <w:t xml:space="preserve">javiti naročito na početku terapije. </w:t>
            </w:r>
          </w:p>
          <w:p w:rsidR="00943055" w:rsidRPr="0016092F" w:rsidRDefault="00943055" w:rsidP="006F146B">
            <w:pPr>
              <w:tabs>
                <w:tab w:val="clear" w:pos="284"/>
              </w:tabs>
              <w:rPr>
                <w:rFonts w:ascii="Times New Roman" w:hAnsi="Times New Roman" w:cs="Arial"/>
                <w:sz w:val="22"/>
                <w:szCs w:val="22"/>
              </w:rPr>
            </w:pPr>
          </w:p>
          <w:p w:rsidR="00943055" w:rsidRPr="0016092F" w:rsidRDefault="00943055" w:rsidP="006F146B">
            <w:pPr>
              <w:tabs>
                <w:tab w:val="clear" w:pos="284"/>
              </w:tabs>
              <w:rPr>
                <w:rFonts w:ascii="Times New Roman" w:hAnsi="Times New Roman" w:cs="Arial"/>
                <w:sz w:val="22"/>
                <w:szCs w:val="22"/>
              </w:rPr>
            </w:pPr>
            <w:r w:rsidRPr="0016092F">
              <w:rPr>
                <w:rFonts w:ascii="Times New Roman" w:hAnsi="Times New Roman" w:cs="Arial"/>
                <w:sz w:val="22"/>
                <w:szCs w:val="22"/>
              </w:rPr>
              <w:t>Kongestija respiratornog trakta, koja uključuje događaje vezane za kongestiju gornjih partija respiratornog trakta, nazalnu kongestiju i nazofaringitis, prijavljeni su u studijama sa produženim intervalom doziranja kod odraslih pacijenata sa bubrežnom insuficijencijom koji još uv</w:t>
            </w:r>
            <w:r w:rsidR="008256BB" w:rsidRPr="0016092F">
              <w:rPr>
                <w:rFonts w:ascii="Times New Roman" w:hAnsi="Times New Roman" w:cs="Arial"/>
                <w:sz w:val="22"/>
                <w:szCs w:val="22"/>
              </w:rPr>
              <w:t>ij</w:t>
            </w:r>
            <w:r w:rsidRPr="0016092F">
              <w:rPr>
                <w:rFonts w:ascii="Times New Roman" w:hAnsi="Times New Roman" w:cs="Arial"/>
                <w:sz w:val="22"/>
                <w:szCs w:val="22"/>
              </w:rPr>
              <w:t>ek ni</w:t>
            </w:r>
            <w:r w:rsidR="00E168D8" w:rsidRPr="0016092F">
              <w:rPr>
                <w:rFonts w:ascii="Times New Roman" w:hAnsi="Times New Roman" w:cs="Arial"/>
                <w:sz w:val="22"/>
                <w:szCs w:val="22"/>
              </w:rPr>
              <w:t>je</w:t>
            </w:r>
            <w:r w:rsidRPr="0016092F">
              <w:rPr>
                <w:rFonts w:ascii="Times New Roman" w:hAnsi="Times New Roman" w:cs="Arial"/>
                <w:sz w:val="22"/>
                <w:szCs w:val="22"/>
              </w:rPr>
              <w:t>su na dijalizi.</w:t>
            </w:r>
          </w:p>
          <w:p w:rsidR="00500E88" w:rsidRPr="0016092F" w:rsidRDefault="00500E88" w:rsidP="006F146B">
            <w:pPr>
              <w:tabs>
                <w:tab w:val="clear" w:pos="284"/>
              </w:tabs>
              <w:rPr>
                <w:rFonts w:ascii="Times New Roman" w:hAnsi="Times New Roman" w:cs="Arial"/>
                <w:sz w:val="22"/>
                <w:szCs w:val="22"/>
              </w:rPr>
            </w:pPr>
          </w:p>
          <w:p w:rsidR="00500E88" w:rsidRPr="0016092F" w:rsidRDefault="00500E88" w:rsidP="006F146B">
            <w:pPr>
              <w:tabs>
                <w:tab w:val="clear" w:pos="284"/>
              </w:tabs>
              <w:rPr>
                <w:rFonts w:ascii="Times New Roman" w:hAnsi="Times New Roman" w:cs="Arial"/>
                <w:sz w:val="22"/>
                <w:szCs w:val="22"/>
              </w:rPr>
            </w:pPr>
            <w:r w:rsidRPr="0016092F">
              <w:rPr>
                <w:rFonts w:ascii="Times New Roman" w:hAnsi="Times New Roman" w:cs="Arial"/>
                <w:sz w:val="22"/>
                <w:szCs w:val="22"/>
              </w:rPr>
              <w:t>Uočena je povećana incidenca trombotičnih vaskularni</w:t>
            </w:r>
            <w:r w:rsidR="008256BB" w:rsidRPr="0016092F">
              <w:rPr>
                <w:rFonts w:ascii="Times New Roman" w:hAnsi="Times New Roman" w:cs="Arial"/>
                <w:sz w:val="22"/>
                <w:szCs w:val="22"/>
              </w:rPr>
              <w:t>h</w:t>
            </w:r>
            <w:r w:rsidRPr="0016092F">
              <w:rPr>
                <w:rFonts w:ascii="Times New Roman" w:hAnsi="Times New Roman" w:cs="Arial"/>
                <w:sz w:val="22"/>
                <w:szCs w:val="22"/>
              </w:rPr>
              <w:t xml:space="preserve"> događaja (TVD) kod pacijenata koji primaju l</w:t>
            </w:r>
            <w:r w:rsidR="00E168D8" w:rsidRPr="0016092F">
              <w:rPr>
                <w:rFonts w:ascii="Times New Roman" w:hAnsi="Times New Roman" w:cs="Arial"/>
                <w:sz w:val="22"/>
                <w:szCs w:val="22"/>
              </w:rPr>
              <w:t>j</w:t>
            </w:r>
            <w:r w:rsidRPr="0016092F">
              <w:rPr>
                <w:rFonts w:ascii="Times New Roman" w:hAnsi="Times New Roman" w:cs="Arial"/>
                <w:sz w:val="22"/>
                <w:szCs w:val="22"/>
              </w:rPr>
              <w:t>ekove za stimulaciju eritropoeze (vid</w:t>
            </w:r>
            <w:r w:rsidR="00E168D8" w:rsidRPr="0016092F">
              <w:rPr>
                <w:rFonts w:ascii="Times New Roman" w:hAnsi="Times New Roman" w:cs="Arial"/>
                <w:sz w:val="22"/>
                <w:szCs w:val="22"/>
              </w:rPr>
              <w:t>j</w:t>
            </w:r>
            <w:r w:rsidRPr="0016092F">
              <w:rPr>
                <w:rFonts w:ascii="Times New Roman" w:hAnsi="Times New Roman" w:cs="Arial"/>
                <w:sz w:val="22"/>
                <w:szCs w:val="22"/>
              </w:rPr>
              <w:t>eti od</w:t>
            </w:r>
            <w:r w:rsidR="00E168D8" w:rsidRPr="0016092F">
              <w:rPr>
                <w:rFonts w:ascii="Times New Roman" w:hAnsi="Times New Roman" w:cs="Arial"/>
                <w:sz w:val="22"/>
                <w:szCs w:val="22"/>
              </w:rPr>
              <w:t>j</w:t>
            </w:r>
            <w:r w:rsidRPr="0016092F">
              <w:rPr>
                <w:rFonts w:ascii="Times New Roman" w:hAnsi="Times New Roman" w:cs="Arial"/>
                <w:sz w:val="22"/>
                <w:szCs w:val="22"/>
              </w:rPr>
              <w:t>eljak 4.4).</w:t>
            </w:r>
          </w:p>
          <w:p w:rsidR="009B6A45" w:rsidRPr="0016092F" w:rsidRDefault="009B6A45" w:rsidP="006F146B">
            <w:pPr>
              <w:tabs>
                <w:tab w:val="clear" w:pos="284"/>
              </w:tabs>
              <w:rPr>
                <w:rFonts w:ascii="Times New Roman" w:hAnsi="Times New Roman" w:cs="Arial"/>
                <w:sz w:val="22"/>
                <w:szCs w:val="22"/>
              </w:rPr>
            </w:pPr>
          </w:p>
          <w:p w:rsidR="00500E88" w:rsidRPr="0016092F" w:rsidRDefault="00500E88" w:rsidP="006F146B">
            <w:pPr>
              <w:tabs>
                <w:tab w:val="clear" w:pos="284"/>
              </w:tabs>
              <w:rPr>
                <w:rFonts w:ascii="Times New Roman" w:hAnsi="Times New Roman" w:cs="Arial"/>
                <w:sz w:val="22"/>
                <w:szCs w:val="22"/>
                <w:u w:val="single"/>
              </w:rPr>
            </w:pPr>
            <w:r w:rsidRPr="0016092F">
              <w:rPr>
                <w:rFonts w:ascii="Times New Roman" w:hAnsi="Times New Roman" w:cs="Arial"/>
                <w:sz w:val="22"/>
                <w:szCs w:val="22"/>
                <w:u w:val="single"/>
              </w:rPr>
              <w:t xml:space="preserve">Tabelarni prikaz neželjenih </w:t>
            </w:r>
            <w:r w:rsidR="00635CE9" w:rsidRPr="0016092F">
              <w:rPr>
                <w:rFonts w:ascii="Times New Roman" w:hAnsi="Times New Roman" w:cs="Arial"/>
                <w:sz w:val="22"/>
                <w:szCs w:val="22"/>
                <w:u w:val="single"/>
              </w:rPr>
              <w:t>dejstava</w:t>
            </w:r>
          </w:p>
          <w:p w:rsidR="00500E88" w:rsidRPr="0016092F" w:rsidRDefault="00500E88" w:rsidP="006F146B">
            <w:pPr>
              <w:tabs>
                <w:tab w:val="clear" w:pos="284"/>
              </w:tabs>
              <w:rPr>
                <w:rFonts w:ascii="Times New Roman" w:hAnsi="Times New Roman"/>
                <w:sz w:val="22"/>
                <w:szCs w:val="22"/>
              </w:rPr>
            </w:pPr>
            <w:r w:rsidRPr="0016092F">
              <w:rPr>
                <w:rFonts w:ascii="Times New Roman" w:hAnsi="Times New Roman" w:cs="Arial"/>
                <w:sz w:val="22"/>
                <w:szCs w:val="22"/>
              </w:rPr>
              <w:t>Od ukupno 3262 pacijenta u 23 randomizirane, dvostruko sl</w:t>
            </w:r>
            <w:r w:rsidR="005C5FBF" w:rsidRPr="0016092F">
              <w:rPr>
                <w:rFonts w:ascii="Times New Roman" w:hAnsi="Times New Roman" w:cs="Arial"/>
                <w:sz w:val="22"/>
                <w:szCs w:val="22"/>
              </w:rPr>
              <w:t>ij</w:t>
            </w:r>
            <w:r w:rsidRPr="0016092F">
              <w:rPr>
                <w:rFonts w:ascii="Times New Roman" w:hAnsi="Times New Roman" w:cs="Arial"/>
                <w:sz w:val="22"/>
                <w:szCs w:val="22"/>
              </w:rPr>
              <w:t xml:space="preserve">epe, placebo kontrolisane studije standardnom terapijom, opšti </w:t>
            </w:r>
            <w:r w:rsidR="008256BB" w:rsidRPr="0016092F">
              <w:rPr>
                <w:rFonts w:ascii="Times New Roman" w:hAnsi="Times New Roman" w:cs="Arial"/>
                <w:sz w:val="22"/>
                <w:szCs w:val="22"/>
              </w:rPr>
              <w:t>bezbjednosni</w:t>
            </w:r>
            <w:r w:rsidRPr="0016092F">
              <w:rPr>
                <w:rFonts w:ascii="Times New Roman" w:hAnsi="Times New Roman" w:cs="Arial"/>
                <w:sz w:val="22"/>
                <w:szCs w:val="22"/>
              </w:rPr>
              <w:t xml:space="preserve"> profil epoetina alfa proc</w:t>
            </w:r>
            <w:r w:rsidR="005C5FBF" w:rsidRPr="0016092F">
              <w:rPr>
                <w:rFonts w:ascii="Times New Roman" w:hAnsi="Times New Roman" w:cs="Arial"/>
                <w:sz w:val="22"/>
                <w:szCs w:val="22"/>
              </w:rPr>
              <w:t>ij</w:t>
            </w:r>
            <w:r w:rsidRPr="0016092F">
              <w:rPr>
                <w:rFonts w:ascii="Times New Roman" w:hAnsi="Times New Roman" w:cs="Arial"/>
                <w:sz w:val="22"/>
                <w:szCs w:val="22"/>
              </w:rPr>
              <w:t>enjen je kod 1992 pacijenta sa anemijom. Uključeno je 228 pacijenata sa hroničnom insuficijencijom bubrega l</w:t>
            </w:r>
            <w:r w:rsidR="005C5FBF" w:rsidRPr="0016092F">
              <w:rPr>
                <w:rFonts w:ascii="Times New Roman" w:hAnsi="Times New Roman" w:cs="Arial"/>
                <w:sz w:val="22"/>
                <w:szCs w:val="22"/>
              </w:rPr>
              <w:t>ij</w:t>
            </w:r>
            <w:r w:rsidRPr="0016092F">
              <w:rPr>
                <w:rFonts w:ascii="Times New Roman" w:hAnsi="Times New Roman" w:cs="Arial"/>
                <w:sz w:val="22"/>
                <w:szCs w:val="22"/>
              </w:rPr>
              <w:t>ečenih epoetinom alfa u 4 studije hronične insuficijencije bubrega (2 studije na pacijentima pr</w:t>
            </w:r>
            <w:r w:rsidR="005C5FBF" w:rsidRPr="0016092F">
              <w:rPr>
                <w:rFonts w:ascii="Times New Roman" w:hAnsi="Times New Roman" w:cs="Arial"/>
                <w:sz w:val="22"/>
                <w:szCs w:val="22"/>
              </w:rPr>
              <w:t>ij</w:t>
            </w:r>
            <w:r w:rsidRPr="0016092F">
              <w:rPr>
                <w:rFonts w:ascii="Times New Roman" w:hAnsi="Times New Roman" w:cs="Arial"/>
                <w:sz w:val="22"/>
                <w:szCs w:val="22"/>
              </w:rPr>
              <w:t xml:space="preserve">e dijalize </w:t>
            </w:r>
            <w:r w:rsidR="00833E5E" w:rsidRPr="0016092F">
              <w:rPr>
                <w:rFonts w:ascii="Times New Roman" w:hAnsi="Times New Roman"/>
                <w:sz w:val="22"/>
                <w:szCs w:val="22"/>
              </w:rPr>
              <w:t>[N=131 izloženih pacijenata sa hroničnom insuficijencijom bubrega] i 2 na pacijentima na dijalizi [N=97 izloženih pacijenata sa hroničnom insuficijencijom bubrega]); 1404 izložena pacijenta sa karcinomom u 16 studija anemije usl</w:t>
            </w:r>
            <w:r w:rsidR="005C5FBF" w:rsidRPr="0016092F">
              <w:rPr>
                <w:rFonts w:ascii="Times New Roman" w:hAnsi="Times New Roman"/>
                <w:sz w:val="22"/>
                <w:szCs w:val="22"/>
              </w:rPr>
              <w:t>j</w:t>
            </w:r>
            <w:r w:rsidR="00833E5E" w:rsidRPr="0016092F">
              <w:rPr>
                <w:rFonts w:ascii="Times New Roman" w:hAnsi="Times New Roman"/>
                <w:sz w:val="22"/>
                <w:szCs w:val="22"/>
              </w:rPr>
              <w:t xml:space="preserve">ed hemoterapije; 147 izloženih pacijenata u 2 studije doniranja autologne krvi i 213 izloženih pacijenata u 1 studiji u perioperativnom periodu. U tabeli ispod su navedene neželjene reakcije koje je prijavilo </w:t>
            </w:r>
            <w:r w:rsidR="008256BB" w:rsidRPr="0016092F">
              <w:rPr>
                <w:rFonts w:ascii="Times New Roman" w:hAnsi="Times New Roman"/>
                <w:sz w:val="22"/>
                <w:szCs w:val="22"/>
              </w:rPr>
              <w:t>≥</w:t>
            </w:r>
            <w:r w:rsidR="00833E5E" w:rsidRPr="0016092F">
              <w:rPr>
                <w:rFonts w:ascii="Times New Roman" w:hAnsi="Times New Roman"/>
                <w:sz w:val="22"/>
                <w:szCs w:val="22"/>
              </w:rPr>
              <w:t xml:space="preserve"> 1% pacijenata l</w:t>
            </w:r>
            <w:r w:rsidR="005C5FBF" w:rsidRPr="0016092F">
              <w:rPr>
                <w:rFonts w:ascii="Times New Roman" w:hAnsi="Times New Roman"/>
                <w:sz w:val="22"/>
                <w:szCs w:val="22"/>
              </w:rPr>
              <w:t>ij</w:t>
            </w:r>
            <w:r w:rsidR="00833E5E" w:rsidRPr="0016092F">
              <w:rPr>
                <w:rFonts w:ascii="Times New Roman" w:hAnsi="Times New Roman"/>
                <w:sz w:val="22"/>
                <w:szCs w:val="22"/>
              </w:rPr>
              <w:t>ečenih epoetinom alfa u tim studijama.</w:t>
            </w:r>
          </w:p>
          <w:p w:rsidR="00833E5E" w:rsidRPr="0016092F" w:rsidRDefault="00833E5E" w:rsidP="006F146B">
            <w:pPr>
              <w:tabs>
                <w:tab w:val="clear" w:pos="284"/>
              </w:tabs>
              <w:rPr>
                <w:rFonts w:ascii="Times New Roman" w:hAnsi="Times New Roman" w:cs="Arial"/>
                <w:sz w:val="22"/>
                <w:szCs w:val="22"/>
              </w:rPr>
            </w:pPr>
          </w:p>
          <w:p w:rsidR="00BE62DC" w:rsidRPr="0016092F" w:rsidRDefault="00BE62DC" w:rsidP="006F146B">
            <w:pPr>
              <w:tabs>
                <w:tab w:val="clear" w:pos="284"/>
              </w:tabs>
              <w:rPr>
                <w:rFonts w:ascii="Times New Roman" w:hAnsi="Times New Roman" w:cs="Arial"/>
                <w:sz w:val="22"/>
                <w:szCs w:val="22"/>
              </w:rPr>
            </w:pPr>
            <w:r w:rsidRPr="0016092F">
              <w:rPr>
                <w:rFonts w:ascii="Times New Roman" w:hAnsi="Times New Roman" w:cs="Arial"/>
                <w:sz w:val="22"/>
                <w:szCs w:val="22"/>
              </w:rPr>
              <w:t>Proc</w:t>
            </w:r>
            <w:r w:rsidR="005C5FBF" w:rsidRPr="0016092F">
              <w:rPr>
                <w:rFonts w:ascii="Times New Roman" w:hAnsi="Times New Roman" w:cs="Arial"/>
                <w:sz w:val="22"/>
                <w:szCs w:val="22"/>
              </w:rPr>
              <w:t>j</w:t>
            </w:r>
            <w:r w:rsidRPr="0016092F">
              <w:rPr>
                <w:rFonts w:ascii="Times New Roman" w:hAnsi="Times New Roman" w:cs="Arial"/>
                <w:sz w:val="22"/>
                <w:szCs w:val="22"/>
              </w:rPr>
              <w:t>ena neželjenih dejstava je zasnovana na sl</w:t>
            </w:r>
            <w:r w:rsidR="005C5FBF" w:rsidRPr="0016092F">
              <w:rPr>
                <w:rFonts w:ascii="Times New Roman" w:hAnsi="Times New Roman" w:cs="Arial"/>
                <w:sz w:val="22"/>
                <w:szCs w:val="22"/>
              </w:rPr>
              <w:t>j</w:t>
            </w:r>
            <w:r w:rsidRPr="0016092F">
              <w:rPr>
                <w:rFonts w:ascii="Times New Roman" w:hAnsi="Times New Roman" w:cs="Arial"/>
                <w:sz w:val="22"/>
                <w:szCs w:val="22"/>
              </w:rPr>
              <w:t>edećim podacima o učestalosti:</w:t>
            </w:r>
          </w:p>
          <w:p w:rsidR="00BE62DC" w:rsidRPr="0016092F" w:rsidRDefault="00BE62DC" w:rsidP="006F146B">
            <w:pPr>
              <w:tabs>
                <w:tab w:val="clear" w:pos="284"/>
              </w:tabs>
              <w:rPr>
                <w:rFonts w:ascii="Times New Roman" w:hAnsi="Times New Roman" w:cs="Arial"/>
                <w:sz w:val="22"/>
                <w:szCs w:val="22"/>
              </w:rPr>
            </w:pPr>
            <w:r w:rsidRPr="0016092F">
              <w:rPr>
                <w:rFonts w:ascii="Times New Roman" w:hAnsi="Times New Roman" w:cs="Arial"/>
                <w:sz w:val="22"/>
                <w:szCs w:val="22"/>
              </w:rPr>
              <w:t xml:space="preserve">Veoma česta (&gt;1/10) </w:t>
            </w:r>
          </w:p>
          <w:p w:rsidR="00BE62DC" w:rsidRPr="0016092F" w:rsidRDefault="00BE62DC" w:rsidP="006F146B">
            <w:pPr>
              <w:tabs>
                <w:tab w:val="clear" w:pos="284"/>
              </w:tabs>
              <w:rPr>
                <w:rFonts w:ascii="Times New Roman" w:hAnsi="Times New Roman" w:cs="Arial"/>
                <w:sz w:val="22"/>
                <w:szCs w:val="22"/>
              </w:rPr>
            </w:pPr>
            <w:r w:rsidRPr="0016092F">
              <w:rPr>
                <w:rFonts w:ascii="Times New Roman" w:hAnsi="Times New Roman" w:cs="Arial"/>
                <w:sz w:val="22"/>
                <w:szCs w:val="22"/>
              </w:rPr>
              <w:t xml:space="preserve">Česta (&gt;1/100 do &lt;1/10) </w:t>
            </w:r>
          </w:p>
          <w:p w:rsidR="00BE62DC" w:rsidRPr="0016092F" w:rsidRDefault="00BE62DC" w:rsidP="006F146B">
            <w:pPr>
              <w:tabs>
                <w:tab w:val="clear" w:pos="284"/>
              </w:tabs>
              <w:rPr>
                <w:rFonts w:ascii="Times New Roman" w:hAnsi="Times New Roman" w:cs="Arial"/>
                <w:sz w:val="22"/>
                <w:szCs w:val="22"/>
              </w:rPr>
            </w:pPr>
            <w:r w:rsidRPr="0016092F">
              <w:rPr>
                <w:rFonts w:ascii="Times New Roman" w:hAnsi="Times New Roman" w:cs="Arial"/>
                <w:sz w:val="22"/>
                <w:szCs w:val="22"/>
              </w:rPr>
              <w:t xml:space="preserve">Povremena (&gt;1/1,000 do &lt; 1/100) </w:t>
            </w:r>
          </w:p>
          <w:p w:rsidR="00BE62DC" w:rsidRPr="0016092F" w:rsidRDefault="00BE62DC" w:rsidP="006F146B">
            <w:pPr>
              <w:tabs>
                <w:tab w:val="clear" w:pos="284"/>
              </w:tabs>
              <w:rPr>
                <w:rFonts w:ascii="Times New Roman" w:hAnsi="Times New Roman" w:cs="Arial"/>
                <w:sz w:val="22"/>
                <w:szCs w:val="22"/>
              </w:rPr>
            </w:pPr>
            <w:r w:rsidRPr="0016092F">
              <w:rPr>
                <w:rFonts w:ascii="Times New Roman" w:hAnsi="Times New Roman" w:cs="Arial"/>
                <w:sz w:val="22"/>
                <w:szCs w:val="22"/>
              </w:rPr>
              <w:t>R</w:t>
            </w:r>
            <w:r w:rsidR="005C5FBF" w:rsidRPr="0016092F">
              <w:rPr>
                <w:rFonts w:ascii="Times New Roman" w:hAnsi="Times New Roman" w:cs="Arial"/>
                <w:sz w:val="22"/>
                <w:szCs w:val="22"/>
              </w:rPr>
              <w:t>ij</w:t>
            </w:r>
            <w:r w:rsidRPr="0016092F">
              <w:rPr>
                <w:rFonts w:ascii="Times New Roman" w:hAnsi="Times New Roman" w:cs="Arial"/>
                <w:sz w:val="22"/>
                <w:szCs w:val="22"/>
              </w:rPr>
              <w:t xml:space="preserve">etka (&gt;1/10,000 do &lt;1/1,000) </w:t>
            </w:r>
          </w:p>
          <w:p w:rsidR="008256BB" w:rsidRPr="0016092F" w:rsidRDefault="00BE62DC" w:rsidP="006F146B">
            <w:pPr>
              <w:tabs>
                <w:tab w:val="clear" w:pos="284"/>
              </w:tabs>
              <w:rPr>
                <w:rFonts w:ascii="Times New Roman" w:hAnsi="Times New Roman" w:cs="Arial"/>
                <w:sz w:val="22"/>
                <w:szCs w:val="22"/>
              </w:rPr>
            </w:pPr>
            <w:r w:rsidRPr="0016092F">
              <w:rPr>
                <w:rFonts w:ascii="Times New Roman" w:hAnsi="Times New Roman" w:cs="Arial"/>
                <w:sz w:val="22"/>
                <w:szCs w:val="22"/>
              </w:rPr>
              <w:t>Veoma r</w:t>
            </w:r>
            <w:r w:rsidR="005C5FBF" w:rsidRPr="0016092F">
              <w:rPr>
                <w:rFonts w:ascii="Times New Roman" w:hAnsi="Times New Roman" w:cs="Arial"/>
                <w:sz w:val="22"/>
                <w:szCs w:val="22"/>
              </w:rPr>
              <w:t>ij</w:t>
            </w:r>
            <w:r w:rsidRPr="0016092F">
              <w:rPr>
                <w:rFonts w:ascii="Times New Roman" w:hAnsi="Times New Roman" w:cs="Arial"/>
                <w:sz w:val="22"/>
                <w:szCs w:val="22"/>
              </w:rPr>
              <w:t>etka (&lt;1/10,000)</w:t>
            </w:r>
          </w:p>
          <w:p w:rsidR="00BE62DC" w:rsidRPr="0016092F" w:rsidRDefault="008256BB" w:rsidP="006F146B">
            <w:pPr>
              <w:tabs>
                <w:tab w:val="clear" w:pos="284"/>
              </w:tabs>
              <w:rPr>
                <w:rFonts w:ascii="Times New Roman" w:hAnsi="Times New Roman" w:cs="Arial"/>
                <w:sz w:val="22"/>
                <w:szCs w:val="22"/>
              </w:rPr>
            </w:pPr>
            <w:r w:rsidRPr="0016092F">
              <w:rPr>
                <w:rFonts w:ascii="Times New Roman" w:hAnsi="Times New Roman" w:cs="Arial"/>
                <w:sz w:val="22"/>
                <w:szCs w:val="22"/>
              </w:rPr>
              <w:t>N</w:t>
            </w:r>
            <w:r w:rsidR="00BE62DC" w:rsidRPr="0016092F">
              <w:rPr>
                <w:rFonts w:ascii="Times New Roman" w:hAnsi="Times New Roman" w:cs="Arial"/>
                <w:sz w:val="22"/>
                <w:szCs w:val="22"/>
              </w:rPr>
              <w:t xml:space="preserve">epoznata </w:t>
            </w:r>
            <w:r w:rsidR="00170CAB" w:rsidRPr="0016092F">
              <w:rPr>
                <w:rFonts w:ascii="Times New Roman" w:hAnsi="Times New Roman" w:cs="Arial"/>
                <w:sz w:val="22"/>
                <w:szCs w:val="22"/>
              </w:rPr>
              <w:t xml:space="preserve">učestalost </w:t>
            </w:r>
            <w:r w:rsidR="00BE62DC" w:rsidRPr="0016092F">
              <w:rPr>
                <w:rFonts w:ascii="Times New Roman" w:hAnsi="Times New Roman" w:cs="Arial"/>
                <w:sz w:val="22"/>
                <w:szCs w:val="22"/>
              </w:rPr>
              <w:t>(ne može se proc</w:t>
            </w:r>
            <w:r w:rsidR="005C5FBF" w:rsidRPr="0016092F">
              <w:rPr>
                <w:rFonts w:ascii="Times New Roman" w:hAnsi="Times New Roman" w:cs="Arial"/>
                <w:sz w:val="22"/>
                <w:szCs w:val="22"/>
              </w:rPr>
              <w:t>ij</w:t>
            </w:r>
            <w:r w:rsidR="00BE62DC" w:rsidRPr="0016092F">
              <w:rPr>
                <w:rFonts w:ascii="Times New Roman" w:hAnsi="Times New Roman" w:cs="Arial"/>
                <w:sz w:val="22"/>
                <w:szCs w:val="22"/>
              </w:rPr>
              <w:t>eniti na osnovu raspoloživih podataka)</w:t>
            </w:r>
          </w:p>
          <w:p w:rsidR="00741919" w:rsidRPr="0016092F" w:rsidRDefault="00741919" w:rsidP="006F146B">
            <w:pPr>
              <w:tabs>
                <w:tab w:val="clear" w:pos="284"/>
              </w:tabs>
              <w:rPr>
                <w:rFonts w:ascii="Times New Roman" w:hAnsi="Times New Roman" w:cs="Arial"/>
                <w:sz w:val="22"/>
                <w:szCs w:val="22"/>
              </w:rPr>
            </w:pPr>
          </w:p>
          <w:p w:rsidR="006F146B" w:rsidRPr="0016092F" w:rsidRDefault="006F146B" w:rsidP="006F146B">
            <w:pPr>
              <w:tabs>
                <w:tab w:val="clear" w:pos="284"/>
              </w:tabs>
              <w:rPr>
                <w:rFonts w:ascii="Times New Roman" w:hAnsi="Times New Roman" w:cs="Arial"/>
                <w:sz w:val="22"/>
                <w:szCs w:val="22"/>
              </w:rPr>
            </w:pPr>
          </w:p>
          <w:p w:rsidR="0036480E" w:rsidRPr="0016092F" w:rsidRDefault="0036480E" w:rsidP="006F146B">
            <w:pPr>
              <w:tabs>
                <w:tab w:val="clear" w:pos="284"/>
              </w:tabs>
              <w:rPr>
                <w:rFonts w:ascii="Times New Roman" w:hAnsi="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090"/>
              <w:gridCol w:w="3157"/>
            </w:tblGrid>
            <w:tr w:rsidR="0036480E" w:rsidRPr="0016092F" w:rsidTr="006F146B">
              <w:trPr>
                <w:trHeight w:val="459"/>
              </w:trPr>
              <w:tc>
                <w:tcPr>
                  <w:tcW w:w="3319" w:type="dxa"/>
                  <w:shd w:val="clear" w:color="auto" w:fill="auto"/>
                  <w:vAlign w:val="center"/>
                </w:tcPr>
                <w:p w:rsidR="0036480E" w:rsidRPr="0016092F" w:rsidRDefault="0036480E" w:rsidP="006F146B">
                  <w:pPr>
                    <w:tabs>
                      <w:tab w:val="clear" w:pos="284"/>
                    </w:tabs>
                    <w:jc w:val="center"/>
                    <w:rPr>
                      <w:rFonts w:ascii="Times New Roman" w:hAnsi="Times New Roman" w:cs="Arial"/>
                      <w:b/>
                      <w:sz w:val="22"/>
                      <w:szCs w:val="22"/>
                    </w:rPr>
                  </w:pPr>
                  <w:r w:rsidRPr="0016092F">
                    <w:rPr>
                      <w:rFonts w:ascii="Times New Roman" w:hAnsi="Times New Roman" w:cs="Arial"/>
                      <w:b/>
                      <w:sz w:val="22"/>
                      <w:szCs w:val="22"/>
                    </w:rPr>
                    <w:lastRenderedPageBreak/>
                    <w:t>Klasa sistema organa</w:t>
                  </w:r>
                </w:p>
              </w:tc>
              <w:tc>
                <w:tcPr>
                  <w:tcW w:w="3319" w:type="dxa"/>
                  <w:shd w:val="clear" w:color="auto" w:fill="auto"/>
                  <w:vAlign w:val="center"/>
                </w:tcPr>
                <w:p w:rsidR="0036480E" w:rsidRPr="0016092F" w:rsidRDefault="0036480E" w:rsidP="006F146B">
                  <w:pPr>
                    <w:tabs>
                      <w:tab w:val="clear" w:pos="284"/>
                    </w:tabs>
                    <w:jc w:val="center"/>
                    <w:rPr>
                      <w:rFonts w:ascii="Times New Roman" w:hAnsi="Times New Roman" w:cs="Arial"/>
                      <w:b/>
                      <w:sz w:val="22"/>
                      <w:szCs w:val="22"/>
                    </w:rPr>
                  </w:pPr>
                  <w:r w:rsidRPr="0016092F">
                    <w:rPr>
                      <w:rFonts w:ascii="Times New Roman" w:hAnsi="Times New Roman" w:cs="Arial"/>
                      <w:b/>
                      <w:sz w:val="22"/>
                      <w:szCs w:val="22"/>
                    </w:rPr>
                    <w:t>Učestalost</w:t>
                  </w:r>
                </w:p>
              </w:tc>
              <w:tc>
                <w:tcPr>
                  <w:tcW w:w="3319" w:type="dxa"/>
                  <w:shd w:val="clear" w:color="auto" w:fill="auto"/>
                  <w:vAlign w:val="center"/>
                </w:tcPr>
                <w:p w:rsidR="0036480E" w:rsidRPr="0016092F" w:rsidRDefault="0036480E" w:rsidP="006F146B">
                  <w:pPr>
                    <w:tabs>
                      <w:tab w:val="clear" w:pos="284"/>
                    </w:tabs>
                    <w:jc w:val="center"/>
                    <w:rPr>
                      <w:rFonts w:ascii="Times New Roman" w:hAnsi="Times New Roman" w:cs="Arial"/>
                      <w:b/>
                      <w:sz w:val="22"/>
                      <w:szCs w:val="22"/>
                    </w:rPr>
                  </w:pPr>
                  <w:r w:rsidRPr="0016092F">
                    <w:rPr>
                      <w:rFonts w:ascii="Times New Roman" w:hAnsi="Times New Roman" w:cs="Arial"/>
                      <w:b/>
                      <w:sz w:val="22"/>
                      <w:szCs w:val="22"/>
                    </w:rPr>
                    <w:t>Neželjeno dejstvo</w:t>
                  </w:r>
                </w:p>
              </w:tc>
            </w:tr>
            <w:tr w:rsidR="002D7A0A" w:rsidRPr="0016092F" w:rsidTr="006F146B">
              <w:trPr>
                <w:trHeight w:val="1159"/>
              </w:trPr>
              <w:tc>
                <w:tcPr>
                  <w:tcW w:w="3319" w:type="dxa"/>
                  <w:shd w:val="clear" w:color="auto" w:fill="auto"/>
                  <w:vAlign w:val="center"/>
                </w:tcPr>
                <w:p w:rsidR="002D7A0A" w:rsidRPr="0016092F" w:rsidRDefault="002D7A0A"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Poremećaji na nivou krvi i limfnog sistema</w:t>
                  </w:r>
                </w:p>
                <w:p w:rsidR="002D7A0A" w:rsidRPr="0016092F" w:rsidRDefault="002D7A0A" w:rsidP="006F146B">
                  <w:pPr>
                    <w:tabs>
                      <w:tab w:val="clear" w:pos="284"/>
                    </w:tabs>
                    <w:jc w:val="left"/>
                    <w:rPr>
                      <w:rFonts w:ascii="Times New Roman" w:hAnsi="Times New Roman" w:cs="Arial"/>
                      <w:sz w:val="22"/>
                      <w:szCs w:val="22"/>
                    </w:rPr>
                  </w:pPr>
                </w:p>
              </w:tc>
              <w:tc>
                <w:tcPr>
                  <w:tcW w:w="3319" w:type="dxa"/>
                  <w:shd w:val="clear" w:color="auto" w:fill="auto"/>
                  <w:vAlign w:val="center"/>
                </w:tcPr>
                <w:p w:rsidR="002D7A0A" w:rsidRPr="0016092F" w:rsidRDefault="002D7A0A" w:rsidP="006F146B">
                  <w:pPr>
                    <w:jc w:val="left"/>
                    <w:rPr>
                      <w:rFonts w:ascii="Times New Roman" w:hAnsi="Times New Roman" w:cs="Arial"/>
                      <w:sz w:val="22"/>
                      <w:szCs w:val="22"/>
                    </w:rPr>
                  </w:pPr>
                  <w:r w:rsidRPr="0016092F">
                    <w:rPr>
                      <w:rFonts w:ascii="Times New Roman" w:hAnsi="Times New Roman" w:cs="Arial"/>
                      <w:sz w:val="22"/>
                      <w:szCs w:val="22"/>
                    </w:rPr>
                    <w:t xml:space="preserve"> Veoma rijetko</w:t>
                  </w:r>
                </w:p>
              </w:tc>
              <w:tc>
                <w:tcPr>
                  <w:tcW w:w="3319" w:type="dxa"/>
                  <w:shd w:val="clear" w:color="auto" w:fill="auto"/>
                  <w:vAlign w:val="center"/>
                </w:tcPr>
                <w:p w:rsidR="002D7A0A" w:rsidRPr="0016092F" w:rsidRDefault="002D7A0A"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PRCA uzrokovana antitijelima na eritropoetin</w:t>
                  </w:r>
                  <w:r w:rsidRPr="0016092F">
                    <w:rPr>
                      <w:rFonts w:ascii="Times New Roman" w:hAnsi="Times New Roman"/>
                      <w:sz w:val="22"/>
                      <w:szCs w:val="22"/>
                    </w:rPr>
                    <w:t>¹</w:t>
                  </w:r>
                  <w:r w:rsidRPr="0016092F">
                    <w:rPr>
                      <w:rFonts w:ascii="Times New Roman" w:hAnsi="Times New Roman"/>
                      <w:sz w:val="22"/>
                      <w:szCs w:val="22"/>
                      <w:vertAlign w:val="superscript"/>
                    </w:rPr>
                    <w:t>, 4</w:t>
                  </w:r>
                </w:p>
                <w:p w:rsidR="002D7A0A" w:rsidRPr="0016092F" w:rsidRDefault="002D7A0A" w:rsidP="006F146B">
                  <w:pPr>
                    <w:jc w:val="left"/>
                    <w:rPr>
                      <w:rFonts w:ascii="Times New Roman" w:hAnsi="Times New Roman" w:cs="Arial"/>
                      <w:sz w:val="22"/>
                      <w:szCs w:val="22"/>
                    </w:rPr>
                  </w:pPr>
                  <w:r w:rsidRPr="0016092F">
                    <w:rPr>
                      <w:rFonts w:ascii="Times New Roman" w:hAnsi="Times New Roman" w:cs="Arial"/>
                      <w:sz w:val="22"/>
                      <w:szCs w:val="22"/>
                    </w:rPr>
                    <w:t>Trombocitemija</w:t>
                  </w:r>
                  <w:r w:rsidRPr="0016092F">
                    <w:rPr>
                      <w:rFonts w:ascii="Times New Roman" w:hAnsi="Times New Roman" w:cs="Arial"/>
                      <w:sz w:val="22"/>
                      <w:szCs w:val="22"/>
                      <w:vertAlign w:val="superscript"/>
                    </w:rPr>
                    <w:t>1</w:t>
                  </w:r>
                  <w:r w:rsidRPr="0016092F">
                    <w:rPr>
                      <w:rFonts w:ascii="Times New Roman" w:hAnsi="Times New Roman" w:cs="Arial"/>
                      <w:sz w:val="22"/>
                      <w:szCs w:val="22"/>
                    </w:rPr>
                    <w:t xml:space="preserve"> </w:t>
                  </w:r>
                </w:p>
              </w:tc>
            </w:tr>
            <w:tr w:rsidR="00833E5E" w:rsidRPr="0016092F" w:rsidTr="006F146B">
              <w:trPr>
                <w:trHeight w:val="809"/>
              </w:trPr>
              <w:tc>
                <w:tcPr>
                  <w:tcW w:w="3319" w:type="dxa"/>
                  <w:shd w:val="clear" w:color="auto" w:fill="auto"/>
                  <w:vAlign w:val="center"/>
                </w:tcPr>
                <w:p w:rsidR="00833E5E" w:rsidRPr="0016092F" w:rsidRDefault="00833E5E"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Poremećaji metabolizma i ishrane</w:t>
                  </w:r>
                </w:p>
              </w:tc>
              <w:tc>
                <w:tcPr>
                  <w:tcW w:w="3319" w:type="dxa"/>
                  <w:shd w:val="clear" w:color="auto" w:fill="auto"/>
                  <w:vAlign w:val="center"/>
                </w:tcPr>
                <w:p w:rsidR="00833E5E" w:rsidRPr="0016092F" w:rsidDel="00833E5E" w:rsidRDefault="00833E5E"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Povremeno</w:t>
                  </w:r>
                </w:p>
              </w:tc>
              <w:tc>
                <w:tcPr>
                  <w:tcW w:w="3319" w:type="dxa"/>
                  <w:shd w:val="clear" w:color="auto" w:fill="auto"/>
                  <w:vAlign w:val="center"/>
                </w:tcPr>
                <w:p w:rsidR="00833E5E" w:rsidRPr="0016092F" w:rsidRDefault="00833E5E"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Hiperkalijemija</w:t>
                  </w:r>
                  <w:r w:rsidRPr="0016092F">
                    <w:rPr>
                      <w:rFonts w:ascii="Times New Roman" w:hAnsi="Times New Roman" w:cs="Arial"/>
                      <w:sz w:val="22"/>
                      <w:szCs w:val="22"/>
                      <w:vertAlign w:val="superscript"/>
                    </w:rPr>
                    <w:t>2</w:t>
                  </w:r>
                </w:p>
              </w:tc>
            </w:tr>
            <w:tr w:rsidR="0036480E" w:rsidRPr="0016092F" w:rsidTr="006F146B">
              <w:trPr>
                <w:trHeight w:val="833"/>
              </w:trPr>
              <w:tc>
                <w:tcPr>
                  <w:tcW w:w="3319" w:type="dxa"/>
                  <w:shd w:val="clear" w:color="auto" w:fill="auto"/>
                  <w:vAlign w:val="center"/>
                </w:tcPr>
                <w:p w:rsidR="0036480E" w:rsidRPr="0016092F" w:rsidRDefault="0036480E"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Imunološki poremećaji</w:t>
                  </w:r>
                </w:p>
              </w:tc>
              <w:tc>
                <w:tcPr>
                  <w:tcW w:w="3319" w:type="dxa"/>
                  <w:shd w:val="clear" w:color="auto" w:fill="auto"/>
                  <w:vAlign w:val="center"/>
                </w:tcPr>
                <w:p w:rsidR="0036480E" w:rsidRPr="0016092F" w:rsidRDefault="0036480E"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N</w:t>
                  </w:r>
                  <w:r w:rsidR="00054A10" w:rsidRPr="0016092F">
                    <w:rPr>
                      <w:rFonts w:ascii="Times New Roman" w:hAnsi="Times New Roman" w:cs="Arial"/>
                      <w:sz w:val="22"/>
                      <w:szCs w:val="22"/>
                    </w:rPr>
                    <w:t>e</w:t>
                  </w:r>
                  <w:r w:rsidRPr="0016092F">
                    <w:rPr>
                      <w:rFonts w:ascii="Times New Roman" w:hAnsi="Times New Roman" w:cs="Arial"/>
                      <w:sz w:val="22"/>
                      <w:szCs w:val="22"/>
                    </w:rPr>
                    <w:t>poznata</w:t>
                  </w:r>
                </w:p>
              </w:tc>
              <w:tc>
                <w:tcPr>
                  <w:tcW w:w="3319" w:type="dxa"/>
                  <w:shd w:val="clear" w:color="auto" w:fill="auto"/>
                  <w:vAlign w:val="center"/>
                </w:tcPr>
                <w:p w:rsidR="0036480E" w:rsidRPr="0016092F" w:rsidRDefault="0036480E"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Anafilaktička reakcija</w:t>
                  </w:r>
                  <w:r w:rsidR="00833E5E" w:rsidRPr="0016092F">
                    <w:rPr>
                      <w:rFonts w:ascii="Times New Roman" w:hAnsi="Times New Roman" w:cs="Arial"/>
                      <w:sz w:val="22"/>
                      <w:szCs w:val="22"/>
                      <w:vertAlign w:val="superscript"/>
                    </w:rPr>
                    <w:t>4</w:t>
                  </w:r>
                </w:p>
                <w:p w:rsidR="0036480E" w:rsidRPr="0016092F" w:rsidRDefault="0036480E"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Hipersenzitivnost</w:t>
                  </w:r>
                  <w:r w:rsidR="00833E5E" w:rsidRPr="0016092F">
                    <w:rPr>
                      <w:rFonts w:ascii="Times New Roman" w:hAnsi="Times New Roman" w:cs="Arial"/>
                      <w:sz w:val="22"/>
                      <w:szCs w:val="22"/>
                      <w:vertAlign w:val="superscript"/>
                    </w:rPr>
                    <w:t>4</w:t>
                  </w:r>
                </w:p>
              </w:tc>
            </w:tr>
            <w:tr w:rsidR="002B6DE2" w:rsidRPr="0016092F" w:rsidTr="006F146B">
              <w:trPr>
                <w:trHeight w:val="769"/>
              </w:trPr>
              <w:tc>
                <w:tcPr>
                  <w:tcW w:w="3319" w:type="dxa"/>
                  <w:vMerge w:val="restart"/>
                  <w:shd w:val="clear" w:color="auto" w:fill="auto"/>
                  <w:vAlign w:val="center"/>
                </w:tcPr>
                <w:p w:rsidR="002B6DE2" w:rsidRPr="0016092F" w:rsidRDefault="002B6DE2"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Poremećaji nervnog sistema</w:t>
                  </w:r>
                </w:p>
                <w:p w:rsidR="002B6DE2" w:rsidRPr="0016092F" w:rsidRDefault="002B6DE2" w:rsidP="006F146B">
                  <w:pPr>
                    <w:tabs>
                      <w:tab w:val="clear" w:pos="284"/>
                    </w:tabs>
                    <w:jc w:val="left"/>
                    <w:rPr>
                      <w:rFonts w:ascii="Times New Roman" w:hAnsi="Times New Roman" w:cs="Arial"/>
                      <w:sz w:val="22"/>
                      <w:szCs w:val="22"/>
                    </w:rPr>
                  </w:pPr>
                </w:p>
              </w:tc>
              <w:tc>
                <w:tcPr>
                  <w:tcW w:w="3319" w:type="dxa"/>
                  <w:shd w:val="clear" w:color="auto" w:fill="auto"/>
                  <w:vAlign w:val="center"/>
                </w:tcPr>
                <w:p w:rsidR="002B6DE2" w:rsidRPr="0016092F" w:rsidRDefault="002B6DE2" w:rsidP="006F146B">
                  <w:pPr>
                    <w:jc w:val="left"/>
                    <w:rPr>
                      <w:rFonts w:ascii="Times New Roman" w:hAnsi="Times New Roman" w:cs="Arial"/>
                      <w:sz w:val="22"/>
                      <w:szCs w:val="22"/>
                    </w:rPr>
                  </w:pPr>
                  <w:r w:rsidRPr="0016092F">
                    <w:rPr>
                      <w:rFonts w:ascii="Times New Roman" w:hAnsi="Times New Roman" w:cs="Arial"/>
                      <w:sz w:val="22"/>
                      <w:szCs w:val="22"/>
                    </w:rPr>
                    <w:t>Često</w:t>
                  </w:r>
                </w:p>
              </w:tc>
              <w:tc>
                <w:tcPr>
                  <w:tcW w:w="3319" w:type="dxa"/>
                  <w:shd w:val="clear" w:color="auto" w:fill="auto"/>
                  <w:vAlign w:val="center"/>
                </w:tcPr>
                <w:p w:rsidR="002B6DE2" w:rsidRPr="0016092F" w:rsidRDefault="002B6DE2"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 xml:space="preserve">Glavobolja </w:t>
                  </w:r>
                </w:p>
              </w:tc>
            </w:tr>
            <w:tr w:rsidR="002B6DE2" w:rsidRPr="0016092F" w:rsidTr="006F146B">
              <w:trPr>
                <w:trHeight w:val="516"/>
              </w:trPr>
              <w:tc>
                <w:tcPr>
                  <w:tcW w:w="3319" w:type="dxa"/>
                  <w:vMerge/>
                  <w:shd w:val="clear" w:color="auto" w:fill="auto"/>
                  <w:vAlign w:val="center"/>
                </w:tcPr>
                <w:p w:rsidR="002B6DE2" w:rsidRPr="0016092F" w:rsidRDefault="002B6DE2" w:rsidP="006F146B">
                  <w:pPr>
                    <w:tabs>
                      <w:tab w:val="clear" w:pos="284"/>
                    </w:tabs>
                    <w:jc w:val="left"/>
                    <w:rPr>
                      <w:rFonts w:ascii="Times New Roman" w:hAnsi="Times New Roman" w:cs="Arial"/>
                      <w:b/>
                      <w:sz w:val="22"/>
                      <w:szCs w:val="22"/>
                    </w:rPr>
                  </w:pPr>
                </w:p>
              </w:tc>
              <w:tc>
                <w:tcPr>
                  <w:tcW w:w="3319" w:type="dxa"/>
                  <w:shd w:val="clear" w:color="auto" w:fill="auto"/>
                  <w:vAlign w:val="center"/>
                </w:tcPr>
                <w:p w:rsidR="002B6DE2" w:rsidRPr="0016092F" w:rsidRDefault="002B6DE2"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Povremeno</w:t>
                  </w:r>
                </w:p>
              </w:tc>
              <w:tc>
                <w:tcPr>
                  <w:tcW w:w="3319" w:type="dxa"/>
                  <w:shd w:val="clear" w:color="auto" w:fill="auto"/>
                  <w:vAlign w:val="center"/>
                </w:tcPr>
                <w:p w:rsidR="002B6DE2" w:rsidRPr="0016092F" w:rsidRDefault="002B6DE2"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Konvulzi</w:t>
                  </w:r>
                  <w:r w:rsidR="002D7A0A" w:rsidRPr="0016092F">
                    <w:rPr>
                      <w:rFonts w:ascii="Times New Roman" w:hAnsi="Times New Roman" w:cs="Arial"/>
                      <w:sz w:val="22"/>
                      <w:szCs w:val="22"/>
                    </w:rPr>
                    <w:t>je</w:t>
                  </w:r>
                  <w:r w:rsidRPr="0016092F">
                    <w:rPr>
                      <w:rFonts w:ascii="Times New Roman" w:hAnsi="Times New Roman" w:cs="Arial"/>
                      <w:sz w:val="22"/>
                      <w:szCs w:val="22"/>
                    </w:rPr>
                    <w:t xml:space="preserve"> </w:t>
                  </w:r>
                </w:p>
              </w:tc>
            </w:tr>
            <w:tr w:rsidR="00A45FE0" w:rsidRPr="0016092F" w:rsidTr="006F146B">
              <w:trPr>
                <w:trHeight w:val="666"/>
              </w:trPr>
              <w:tc>
                <w:tcPr>
                  <w:tcW w:w="3319" w:type="dxa"/>
                  <w:vMerge w:val="restart"/>
                  <w:shd w:val="clear" w:color="auto" w:fill="auto"/>
                  <w:vAlign w:val="center"/>
                </w:tcPr>
                <w:p w:rsidR="00A45FE0" w:rsidRPr="0016092F" w:rsidRDefault="00A45FE0"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Vaskularni poremećaji</w:t>
                  </w:r>
                </w:p>
              </w:tc>
              <w:tc>
                <w:tcPr>
                  <w:tcW w:w="3319" w:type="dxa"/>
                  <w:shd w:val="clear" w:color="auto" w:fill="auto"/>
                  <w:vAlign w:val="center"/>
                </w:tcPr>
                <w:p w:rsidR="00A45FE0"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Često</w:t>
                  </w:r>
                </w:p>
              </w:tc>
              <w:tc>
                <w:tcPr>
                  <w:tcW w:w="3319" w:type="dxa"/>
                  <w:shd w:val="clear" w:color="auto" w:fill="auto"/>
                  <w:vAlign w:val="center"/>
                </w:tcPr>
                <w:p w:rsidR="00A45FE0" w:rsidRPr="0016092F" w:rsidRDefault="00833E5E"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Venska i arterijska tromboza</w:t>
                  </w:r>
                  <w:r w:rsidRPr="0016092F">
                    <w:rPr>
                      <w:rFonts w:ascii="Times New Roman" w:hAnsi="Times New Roman" w:cs="Arial"/>
                      <w:sz w:val="22"/>
                      <w:szCs w:val="22"/>
                      <w:vertAlign w:val="superscript"/>
                    </w:rPr>
                    <w:t>3</w:t>
                  </w:r>
                </w:p>
                <w:p w:rsidR="00A45FE0"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Hipertenzija</w:t>
                  </w:r>
                </w:p>
              </w:tc>
            </w:tr>
            <w:tr w:rsidR="00A45FE0" w:rsidRPr="0016092F" w:rsidTr="006F146B">
              <w:trPr>
                <w:trHeight w:val="588"/>
              </w:trPr>
              <w:tc>
                <w:tcPr>
                  <w:tcW w:w="3319" w:type="dxa"/>
                  <w:vMerge/>
                  <w:shd w:val="clear" w:color="auto" w:fill="auto"/>
                  <w:vAlign w:val="center"/>
                </w:tcPr>
                <w:p w:rsidR="00A45FE0" w:rsidRPr="0016092F" w:rsidRDefault="00A45FE0" w:rsidP="006F146B">
                  <w:pPr>
                    <w:tabs>
                      <w:tab w:val="clear" w:pos="284"/>
                    </w:tabs>
                    <w:jc w:val="left"/>
                    <w:rPr>
                      <w:rFonts w:ascii="Times New Roman" w:hAnsi="Times New Roman" w:cs="Arial"/>
                      <w:b/>
                      <w:sz w:val="22"/>
                      <w:szCs w:val="22"/>
                    </w:rPr>
                  </w:pPr>
                </w:p>
              </w:tc>
              <w:tc>
                <w:tcPr>
                  <w:tcW w:w="3319" w:type="dxa"/>
                  <w:shd w:val="clear" w:color="auto" w:fill="auto"/>
                  <w:vAlign w:val="center"/>
                </w:tcPr>
                <w:p w:rsidR="00A45FE0"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Nepoznata</w:t>
                  </w:r>
                </w:p>
              </w:tc>
              <w:tc>
                <w:tcPr>
                  <w:tcW w:w="3319" w:type="dxa"/>
                  <w:shd w:val="clear" w:color="auto" w:fill="auto"/>
                  <w:vAlign w:val="center"/>
                </w:tcPr>
                <w:p w:rsidR="00A45FE0" w:rsidRPr="0016092F" w:rsidRDefault="00833E5E"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Hipertenzivna kriza</w:t>
                  </w:r>
                  <w:r w:rsidRPr="0016092F">
                    <w:rPr>
                      <w:rFonts w:ascii="Times New Roman" w:hAnsi="Times New Roman" w:cs="Arial"/>
                      <w:sz w:val="22"/>
                      <w:szCs w:val="22"/>
                      <w:vertAlign w:val="superscript"/>
                    </w:rPr>
                    <w:t>4</w:t>
                  </w:r>
                </w:p>
              </w:tc>
            </w:tr>
            <w:tr w:rsidR="00A45FE0" w:rsidRPr="0016092F" w:rsidTr="006F146B">
              <w:trPr>
                <w:trHeight w:val="529"/>
              </w:trPr>
              <w:tc>
                <w:tcPr>
                  <w:tcW w:w="3319" w:type="dxa"/>
                  <w:vMerge w:val="restart"/>
                  <w:shd w:val="clear" w:color="auto" w:fill="auto"/>
                  <w:vAlign w:val="center"/>
                </w:tcPr>
                <w:p w:rsidR="00A45FE0" w:rsidRPr="0016092F" w:rsidRDefault="00A45FE0"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Respiratorni, torakalni i medijastinalni poremećaji</w:t>
                  </w:r>
                </w:p>
              </w:tc>
              <w:tc>
                <w:tcPr>
                  <w:tcW w:w="3319" w:type="dxa"/>
                  <w:shd w:val="clear" w:color="auto" w:fill="auto"/>
                  <w:vAlign w:val="center"/>
                </w:tcPr>
                <w:p w:rsidR="00A45FE0"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Često</w:t>
                  </w:r>
                </w:p>
              </w:tc>
              <w:tc>
                <w:tcPr>
                  <w:tcW w:w="3319" w:type="dxa"/>
                  <w:shd w:val="clear" w:color="auto" w:fill="auto"/>
                  <w:vAlign w:val="center"/>
                </w:tcPr>
                <w:p w:rsidR="00A45FE0" w:rsidRPr="0016092F" w:rsidRDefault="008E12B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Kašalj</w:t>
                  </w:r>
                </w:p>
              </w:tc>
            </w:tr>
            <w:tr w:rsidR="00A45FE0" w:rsidRPr="0016092F" w:rsidTr="006F146B">
              <w:trPr>
                <w:trHeight w:val="692"/>
              </w:trPr>
              <w:tc>
                <w:tcPr>
                  <w:tcW w:w="3319" w:type="dxa"/>
                  <w:vMerge/>
                  <w:shd w:val="clear" w:color="auto" w:fill="auto"/>
                  <w:vAlign w:val="center"/>
                </w:tcPr>
                <w:p w:rsidR="00A45FE0" w:rsidRPr="0016092F" w:rsidRDefault="00A45FE0" w:rsidP="006F146B">
                  <w:pPr>
                    <w:tabs>
                      <w:tab w:val="clear" w:pos="284"/>
                    </w:tabs>
                    <w:jc w:val="left"/>
                    <w:rPr>
                      <w:rFonts w:ascii="Times New Roman" w:hAnsi="Times New Roman" w:cs="Arial"/>
                      <w:b/>
                      <w:sz w:val="22"/>
                      <w:szCs w:val="22"/>
                    </w:rPr>
                  </w:pPr>
                </w:p>
              </w:tc>
              <w:tc>
                <w:tcPr>
                  <w:tcW w:w="3319" w:type="dxa"/>
                  <w:shd w:val="clear" w:color="auto" w:fill="auto"/>
                  <w:vAlign w:val="center"/>
                </w:tcPr>
                <w:p w:rsidR="00A45FE0" w:rsidRPr="0016092F" w:rsidRDefault="008E12B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Povremeno</w:t>
                  </w:r>
                </w:p>
              </w:tc>
              <w:tc>
                <w:tcPr>
                  <w:tcW w:w="3319" w:type="dxa"/>
                  <w:shd w:val="clear" w:color="auto" w:fill="auto"/>
                  <w:vAlign w:val="center"/>
                </w:tcPr>
                <w:p w:rsidR="004721F0" w:rsidRPr="0016092F" w:rsidRDefault="008E12B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 xml:space="preserve">Kongestija </w:t>
                  </w:r>
                  <w:r w:rsidR="004721F0" w:rsidRPr="0016092F">
                    <w:rPr>
                      <w:rFonts w:ascii="Times New Roman" w:hAnsi="Times New Roman" w:cs="Arial"/>
                      <w:sz w:val="22"/>
                      <w:szCs w:val="22"/>
                    </w:rPr>
                    <w:t>respiratornog</w:t>
                  </w:r>
                </w:p>
                <w:p w:rsidR="00A45FE0" w:rsidRPr="0016092F" w:rsidRDefault="008E12B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trakta</w:t>
                  </w:r>
                </w:p>
              </w:tc>
            </w:tr>
            <w:tr w:rsidR="00BD61A7" w:rsidRPr="0016092F" w:rsidTr="006F146B">
              <w:trPr>
                <w:trHeight w:val="1285"/>
              </w:trPr>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Gastrointestinalni poremećaji</w:t>
                  </w: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Veoma često</w:t>
                  </w: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Mučnina</w:t>
                  </w:r>
                </w:p>
                <w:p w:rsidR="00BD61A7" w:rsidRPr="0016092F" w:rsidRDefault="004721F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Dijareja</w:t>
                  </w:r>
                </w:p>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 xml:space="preserve">Povraćanje </w:t>
                  </w:r>
                </w:p>
              </w:tc>
            </w:tr>
            <w:tr w:rsidR="00A45FE0" w:rsidRPr="0016092F" w:rsidTr="006F146B">
              <w:trPr>
                <w:trHeight w:val="550"/>
              </w:trPr>
              <w:tc>
                <w:tcPr>
                  <w:tcW w:w="3319" w:type="dxa"/>
                  <w:vMerge w:val="restart"/>
                  <w:shd w:val="clear" w:color="auto" w:fill="auto"/>
                  <w:vAlign w:val="center"/>
                </w:tcPr>
                <w:p w:rsidR="00A45FE0" w:rsidRPr="0016092F" w:rsidRDefault="00A45FE0"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Poremećaji na nivou kože i potkožnog tkiva</w:t>
                  </w:r>
                </w:p>
              </w:tc>
              <w:tc>
                <w:tcPr>
                  <w:tcW w:w="3319" w:type="dxa"/>
                  <w:shd w:val="clear" w:color="auto" w:fill="auto"/>
                  <w:vAlign w:val="center"/>
                </w:tcPr>
                <w:p w:rsidR="00A45FE0"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Često</w:t>
                  </w:r>
                </w:p>
              </w:tc>
              <w:tc>
                <w:tcPr>
                  <w:tcW w:w="3319" w:type="dxa"/>
                  <w:shd w:val="clear" w:color="auto" w:fill="auto"/>
                  <w:vAlign w:val="center"/>
                </w:tcPr>
                <w:p w:rsidR="00A45FE0"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Osip</w:t>
                  </w:r>
                </w:p>
              </w:tc>
            </w:tr>
            <w:tr w:rsidR="00A45FE0" w:rsidRPr="0016092F" w:rsidTr="006F146B">
              <w:trPr>
                <w:trHeight w:val="842"/>
              </w:trPr>
              <w:tc>
                <w:tcPr>
                  <w:tcW w:w="3319" w:type="dxa"/>
                  <w:vMerge/>
                  <w:shd w:val="clear" w:color="auto" w:fill="auto"/>
                  <w:vAlign w:val="center"/>
                </w:tcPr>
                <w:p w:rsidR="00A45FE0" w:rsidRPr="0016092F" w:rsidRDefault="00A45FE0" w:rsidP="006F146B">
                  <w:pPr>
                    <w:tabs>
                      <w:tab w:val="clear" w:pos="284"/>
                    </w:tabs>
                    <w:jc w:val="left"/>
                    <w:rPr>
                      <w:rFonts w:ascii="Times New Roman" w:hAnsi="Times New Roman" w:cs="Arial"/>
                      <w:b/>
                      <w:sz w:val="22"/>
                      <w:szCs w:val="22"/>
                    </w:rPr>
                  </w:pPr>
                </w:p>
              </w:tc>
              <w:tc>
                <w:tcPr>
                  <w:tcW w:w="3319" w:type="dxa"/>
                  <w:shd w:val="clear" w:color="auto" w:fill="auto"/>
                  <w:vAlign w:val="center"/>
                </w:tcPr>
                <w:p w:rsidR="00A45FE0"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Nepoznata</w:t>
                  </w:r>
                </w:p>
              </w:tc>
              <w:tc>
                <w:tcPr>
                  <w:tcW w:w="3319" w:type="dxa"/>
                  <w:shd w:val="clear" w:color="auto" w:fill="auto"/>
                  <w:vAlign w:val="center"/>
                </w:tcPr>
                <w:p w:rsidR="00A45FE0" w:rsidRPr="0016092F" w:rsidRDefault="00A45FE0"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Angioneurotski edem</w:t>
                  </w:r>
                  <w:r w:rsidR="008E12B0" w:rsidRPr="0016092F">
                    <w:rPr>
                      <w:rFonts w:ascii="Times New Roman" w:hAnsi="Times New Roman" w:cs="Arial"/>
                      <w:sz w:val="22"/>
                      <w:szCs w:val="22"/>
                      <w:vertAlign w:val="superscript"/>
                    </w:rPr>
                    <w:t>4</w:t>
                  </w:r>
                </w:p>
                <w:p w:rsidR="00A45FE0" w:rsidRPr="0016092F" w:rsidRDefault="00A45FE0"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Urtikarija</w:t>
                  </w:r>
                  <w:r w:rsidR="008E12B0" w:rsidRPr="0016092F">
                    <w:rPr>
                      <w:rFonts w:ascii="Times New Roman" w:hAnsi="Times New Roman" w:cs="Arial"/>
                      <w:sz w:val="22"/>
                      <w:szCs w:val="22"/>
                      <w:vertAlign w:val="superscript"/>
                    </w:rPr>
                    <w:t>4</w:t>
                  </w:r>
                </w:p>
              </w:tc>
            </w:tr>
            <w:tr w:rsidR="00BD61A7" w:rsidRPr="0016092F" w:rsidTr="006F146B">
              <w:trPr>
                <w:trHeight w:val="1801"/>
              </w:trPr>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Poremećaji mišićno-skeletnog, vezivnog i koštanog sistema</w:t>
                  </w:r>
                </w:p>
              </w:tc>
              <w:tc>
                <w:tcPr>
                  <w:tcW w:w="3319" w:type="dxa"/>
                  <w:shd w:val="clear" w:color="auto" w:fill="auto"/>
                  <w:vAlign w:val="center"/>
                </w:tcPr>
                <w:p w:rsidR="00BD61A7" w:rsidRPr="0016092F" w:rsidRDefault="00BD61A7" w:rsidP="006F146B">
                  <w:pPr>
                    <w:jc w:val="left"/>
                    <w:rPr>
                      <w:rFonts w:ascii="Times New Roman" w:hAnsi="Times New Roman" w:cs="Arial"/>
                      <w:sz w:val="22"/>
                      <w:szCs w:val="22"/>
                    </w:rPr>
                  </w:pPr>
                  <w:r w:rsidRPr="0016092F">
                    <w:rPr>
                      <w:rFonts w:ascii="Times New Roman" w:hAnsi="Times New Roman" w:cs="Arial"/>
                      <w:sz w:val="22"/>
                      <w:szCs w:val="22"/>
                    </w:rPr>
                    <w:t>Često</w:t>
                  </w: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 xml:space="preserve">Artralgija </w:t>
                  </w:r>
                </w:p>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Bol u kostima</w:t>
                  </w:r>
                </w:p>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Mijalgija</w:t>
                  </w:r>
                </w:p>
                <w:p w:rsidR="00BD61A7" w:rsidRPr="0016092F" w:rsidRDefault="00BD61A7" w:rsidP="006F146B">
                  <w:pPr>
                    <w:jc w:val="left"/>
                    <w:rPr>
                      <w:rFonts w:ascii="Times New Roman" w:hAnsi="Times New Roman" w:cs="Arial"/>
                      <w:sz w:val="22"/>
                      <w:szCs w:val="22"/>
                    </w:rPr>
                  </w:pPr>
                  <w:r w:rsidRPr="0016092F">
                    <w:rPr>
                      <w:rFonts w:ascii="Times New Roman" w:hAnsi="Times New Roman" w:cs="Arial"/>
                      <w:sz w:val="22"/>
                      <w:szCs w:val="22"/>
                    </w:rPr>
                    <w:t>Bol u ekstremitetima</w:t>
                  </w:r>
                </w:p>
              </w:tc>
            </w:tr>
            <w:tr w:rsidR="0036480E" w:rsidRPr="0016092F" w:rsidTr="006F146B">
              <w:tc>
                <w:tcPr>
                  <w:tcW w:w="3319" w:type="dxa"/>
                  <w:shd w:val="clear" w:color="auto" w:fill="auto"/>
                  <w:vAlign w:val="center"/>
                </w:tcPr>
                <w:p w:rsidR="0036480E" w:rsidRPr="0016092F" w:rsidRDefault="0036480E"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t>Kongenitalni i nasl</w:t>
                  </w:r>
                  <w:r w:rsidR="000A60D8" w:rsidRPr="0016092F">
                    <w:rPr>
                      <w:rFonts w:ascii="Times New Roman" w:hAnsi="Times New Roman" w:cs="Arial"/>
                      <w:b/>
                      <w:sz w:val="22"/>
                      <w:szCs w:val="22"/>
                    </w:rPr>
                    <w:t>j</w:t>
                  </w:r>
                  <w:r w:rsidRPr="0016092F">
                    <w:rPr>
                      <w:rFonts w:ascii="Times New Roman" w:hAnsi="Times New Roman" w:cs="Arial"/>
                      <w:b/>
                      <w:sz w:val="22"/>
                      <w:szCs w:val="22"/>
                    </w:rPr>
                    <w:t>edni/genetski poremećaji</w:t>
                  </w:r>
                </w:p>
              </w:tc>
              <w:tc>
                <w:tcPr>
                  <w:tcW w:w="3319" w:type="dxa"/>
                  <w:shd w:val="clear" w:color="auto" w:fill="auto"/>
                  <w:vAlign w:val="center"/>
                </w:tcPr>
                <w:p w:rsidR="0036480E" w:rsidRPr="0016092F" w:rsidRDefault="00A45FE0"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N</w:t>
                  </w:r>
                  <w:r w:rsidR="00A12C57" w:rsidRPr="0016092F">
                    <w:rPr>
                      <w:rFonts w:ascii="Times New Roman" w:hAnsi="Times New Roman" w:cs="Arial"/>
                      <w:sz w:val="22"/>
                      <w:szCs w:val="22"/>
                    </w:rPr>
                    <w:t>e</w:t>
                  </w:r>
                  <w:r w:rsidRPr="0016092F">
                    <w:rPr>
                      <w:rFonts w:ascii="Times New Roman" w:hAnsi="Times New Roman" w:cs="Arial"/>
                      <w:sz w:val="22"/>
                      <w:szCs w:val="22"/>
                    </w:rPr>
                    <w:t>poznata</w:t>
                  </w:r>
                </w:p>
              </w:tc>
              <w:tc>
                <w:tcPr>
                  <w:tcW w:w="3319" w:type="dxa"/>
                  <w:shd w:val="clear" w:color="auto" w:fill="auto"/>
                  <w:vAlign w:val="center"/>
                </w:tcPr>
                <w:p w:rsidR="0036480E" w:rsidRPr="0016092F" w:rsidRDefault="00A45FE0"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Porfirija</w:t>
                  </w:r>
                  <w:r w:rsidR="008E12B0" w:rsidRPr="0016092F">
                    <w:rPr>
                      <w:rFonts w:ascii="Times New Roman" w:hAnsi="Times New Roman" w:cs="Arial"/>
                      <w:sz w:val="22"/>
                      <w:szCs w:val="22"/>
                      <w:vertAlign w:val="superscript"/>
                    </w:rPr>
                    <w:t>4</w:t>
                  </w:r>
                </w:p>
              </w:tc>
            </w:tr>
            <w:tr w:rsidR="00BD61A7" w:rsidRPr="0016092F" w:rsidTr="006F146B">
              <w:trPr>
                <w:trHeight w:val="601"/>
              </w:trPr>
              <w:tc>
                <w:tcPr>
                  <w:tcW w:w="3319" w:type="dxa"/>
                  <w:vMerge w:val="restart"/>
                  <w:shd w:val="clear" w:color="auto" w:fill="auto"/>
                  <w:vAlign w:val="center"/>
                </w:tcPr>
                <w:p w:rsidR="00BD61A7" w:rsidRPr="0016092F" w:rsidRDefault="00BD61A7" w:rsidP="006F146B">
                  <w:pPr>
                    <w:tabs>
                      <w:tab w:val="clear" w:pos="284"/>
                    </w:tabs>
                    <w:jc w:val="left"/>
                    <w:rPr>
                      <w:rFonts w:ascii="Times New Roman" w:hAnsi="Times New Roman" w:cs="Arial"/>
                      <w:b/>
                      <w:sz w:val="22"/>
                      <w:szCs w:val="22"/>
                    </w:rPr>
                  </w:pPr>
                  <w:r w:rsidRPr="0016092F">
                    <w:rPr>
                      <w:rFonts w:ascii="Times New Roman" w:hAnsi="Times New Roman" w:cs="Arial"/>
                      <w:b/>
                      <w:sz w:val="22"/>
                      <w:szCs w:val="22"/>
                    </w:rPr>
                    <w:lastRenderedPageBreak/>
                    <w:t>Opšti poremećaji i reakcije na m</w:t>
                  </w:r>
                  <w:r w:rsidR="000A60D8" w:rsidRPr="0016092F">
                    <w:rPr>
                      <w:rFonts w:ascii="Times New Roman" w:hAnsi="Times New Roman" w:cs="Arial"/>
                      <w:b/>
                      <w:sz w:val="22"/>
                      <w:szCs w:val="22"/>
                    </w:rPr>
                    <w:t>j</w:t>
                  </w:r>
                  <w:r w:rsidRPr="0016092F">
                    <w:rPr>
                      <w:rFonts w:ascii="Times New Roman" w:hAnsi="Times New Roman" w:cs="Arial"/>
                      <w:b/>
                      <w:sz w:val="22"/>
                      <w:szCs w:val="22"/>
                    </w:rPr>
                    <w:t>estu prim</w:t>
                  </w:r>
                  <w:r w:rsidR="000A60D8" w:rsidRPr="0016092F">
                    <w:rPr>
                      <w:rFonts w:ascii="Times New Roman" w:hAnsi="Times New Roman" w:cs="Arial"/>
                      <w:b/>
                      <w:sz w:val="22"/>
                      <w:szCs w:val="22"/>
                    </w:rPr>
                    <w:t>j</w:t>
                  </w:r>
                  <w:r w:rsidRPr="0016092F">
                    <w:rPr>
                      <w:rFonts w:ascii="Times New Roman" w:hAnsi="Times New Roman" w:cs="Arial"/>
                      <w:b/>
                      <w:sz w:val="22"/>
                      <w:szCs w:val="22"/>
                    </w:rPr>
                    <w:t>ene</w:t>
                  </w: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Veoma često</w:t>
                  </w: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 xml:space="preserve">Pireksija </w:t>
                  </w:r>
                </w:p>
              </w:tc>
            </w:tr>
            <w:tr w:rsidR="00BD61A7" w:rsidRPr="0016092F" w:rsidTr="006F146B">
              <w:trPr>
                <w:trHeight w:val="1545"/>
              </w:trPr>
              <w:tc>
                <w:tcPr>
                  <w:tcW w:w="3319" w:type="dxa"/>
                  <w:vMerge/>
                  <w:shd w:val="clear" w:color="auto" w:fill="auto"/>
                  <w:vAlign w:val="center"/>
                </w:tcPr>
                <w:p w:rsidR="00BD61A7" w:rsidRPr="0016092F" w:rsidRDefault="00BD61A7" w:rsidP="006F146B">
                  <w:pPr>
                    <w:tabs>
                      <w:tab w:val="clear" w:pos="284"/>
                    </w:tabs>
                    <w:jc w:val="left"/>
                    <w:rPr>
                      <w:rFonts w:ascii="Times New Roman" w:hAnsi="Times New Roman" w:cs="Arial"/>
                      <w:b/>
                      <w:sz w:val="22"/>
                      <w:szCs w:val="22"/>
                    </w:rPr>
                  </w:pP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Često</w:t>
                  </w: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Drhtavica</w:t>
                  </w:r>
                </w:p>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 xml:space="preserve">Oboljenje slično gripu </w:t>
                  </w:r>
                </w:p>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Reakcije na m</w:t>
                  </w:r>
                  <w:r w:rsidR="000A60D8" w:rsidRPr="0016092F">
                    <w:rPr>
                      <w:rFonts w:ascii="Times New Roman" w:hAnsi="Times New Roman" w:cs="Arial"/>
                      <w:sz w:val="22"/>
                      <w:szCs w:val="22"/>
                    </w:rPr>
                    <w:t>j</w:t>
                  </w:r>
                  <w:r w:rsidRPr="0016092F">
                    <w:rPr>
                      <w:rFonts w:ascii="Times New Roman" w:hAnsi="Times New Roman" w:cs="Arial"/>
                      <w:sz w:val="22"/>
                      <w:szCs w:val="22"/>
                    </w:rPr>
                    <w:t>estu prim</w:t>
                  </w:r>
                  <w:r w:rsidR="000A60D8" w:rsidRPr="0016092F">
                    <w:rPr>
                      <w:rFonts w:ascii="Times New Roman" w:hAnsi="Times New Roman" w:cs="Arial"/>
                      <w:sz w:val="22"/>
                      <w:szCs w:val="22"/>
                    </w:rPr>
                    <w:t>j</w:t>
                  </w:r>
                  <w:r w:rsidRPr="0016092F">
                    <w:rPr>
                      <w:rFonts w:ascii="Times New Roman" w:hAnsi="Times New Roman" w:cs="Arial"/>
                      <w:sz w:val="22"/>
                      <w:szCs w:val="22"/>
                    </w:rPr>
                    <w:t>ene l</w:t>
                  </w:r>
                  <w:r w:rsidR="000A60D8" w:rsidRPr="0016092F">
                    <w:rPr>
                      <w:rFonts w:ascii="Times New Roman" w:hAnsi="Times New Roman" w:cs="Arial"/>
                      <w:sz w:val="22"/>
                      <w:szCs w:val="22"/>
                    </w:rPr>
                    <w:t>ij</w:t>
                  </w:r>
                  <w:r w:rsidRPr="0016092F">
                    <w:rPr>
                      <w:rFonts w:ascii="Times New Roman" w:hAnsi="Times New Roman" w:cs="Arial"/>
                      <w:sz w:val="22"/>
                      <w:szCs w:val="22"/>
                    </w:rPr>
                    <w:t>eka</w:t>
                  </w:r>
                </w:p>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Periferni edemi</w:t>
                  </w:r>
                </w:p>
              </w:tc>
            </w:tr>
            <w:tr w:rsidR="00BD61A7" w:rsidRPr="0016092F" w:rsidTr="006F146B">
              <w:trPr>
                <w:trHeight w:val="1032"/>
              </w:trPr>
              <w:tc>
                <w:tcPr>
                  <w:tcW w:w="3319" w:type="dxa"/>
                  <w:vMerge/>
                  <w:shd w:val="clear" w:color="auto" w:fill="auto"/>
                  <w:vAlign w:val="center"/>
                </w:tcPr>
                <w:p w:rsidR="00BD61A7" w:rsidRPr="0016092F" w:rsidRDefault="00BD61A7" w:rsidP="006F146B">
                  <w:pPr>
                    <w:tabs>
                      <w:tab w:val="clear" w:pos="284"/>
                    </w:tabs>
                    <w:jc w:val="left"/>
                    <w:rPr>
                      <w:rFonts w:ascii="Times New Roman" w:hAnsi="Times New Roman" w:cs="Arial"/>
                      <w:b/>
                      <w:sz w:val="22"/>
                      <w:szCs w:val="22"/>
                    </w:rPr>
                  </w:pP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rPr>
                  </w:pPr>
                  <w:r w:rsidRPr="0016092F">
                    <w:rPr>
                      <w:rFonts w:ascii="Times New Roman" w:hAnsi="Times New Roman" w:cs="Arial"/>
                      <w:sz w:val="22"/>
                      <w:szCs w:val="22"/>
                    </w:rPr>
                    <w:t>Nepoznata</w:t>
                  </w:r>
                </w:p>
              </w:tc>
              <w:tc>
                <w:tcPr>
                  <w:tcW w:w="3319" w:type="dxa"/>
                  <w:shd w:val="clear" w:color="auto" w:fill="auto"/>
                  <w:vAlign w:val="center"/>
                </w:tcPr>
                <w:p w:rsidR="00BD61A7" w:rsidRPr="0016092F" w:rsidRDefault="00BD61A7" w:rsidP="006F146B">
                  <w:pPr>
                    <w:tabs>
                      <w:tab w:val="clear" w:pos="284"/>
                    </w:tabs>
                    <w:jc w:val="left"/>
                    <w:rPr>
                      <w:rFonts w:ascii="Times New Roman" w:hAnsi="Times New Roman" w:cs="Arial"/>
                      <w:sz w:val="22"/>
                      <w:szCs w:val="22"/>
                      <w:vertAlign w:val="superscript"/>
                    </w:rPr>
                  </w:pPr>
                  <w:r w:rsidRPr="0016092F">
                    <w:rPr>
                      <w:rFonts w:ascii="Times New Roman" w:hAnsi="Times New Roman" w:cs="Arial"/>
                      <w:sz w:val="22"/>
                      <w:szCs w:val="22"/>
                    </w:rPr>
                    <w:t>Neefikasnost l</w:t>
                  </w:r>
                  <w:r w:rsidR="000A60D8" w:rsidRPr="0016092F">
                    <w:rPr>
                      <w:rFonts w:ascii="Times New Roman" w:hAnsi="Times New Roman" w:cs="Arial"/>
                      <w:sz w:val="22"/>
                      <w:szCs w:val="22"/>
                    </w:rPr>
                    <w:t>ij</w:t>
                  </w:r>
                  <w:r w:rsidRPr="0016092F">
                    <w:rPr>
                      <w:rFonts w:ascii="Times New Roman" w:hAnsi="Times New Roman" w:cs="Arial"/>
                      <w:sz w:val="22"/>
                      <w:szCs w:val="22"/>
                    </w:rPr>
                    <w:t>eka</w:t>
                  </w:r>
                  <w:r w:rsidRPr="0016092F">
                    <w:rPr>
                      <w:rFonts w:ascii="Times New Roman" w:hAnsi="Times New Roman" w:cs="Arial"/>
                      <w:sz w:val="22"/>
                      <w:szCs w:val="22"/>
                      <w:vertAlign w:val="superscript"/>
                    </w:rPr>
                    <w:t>4</w:t>
                  </w:r>
                </w:p>
                <w:p w:rsidR="00BD61A7" w:rsidRPr="0016092F" w:rsidRDefault="00BD61A7" w:rsidP="006F146B">
                  <w:pPr>
                    <w:tabs>
                      <w:tab w:val="clear" w:pos="284"/>
                    </w:tabs>
                    <w:jc w:val="left"/>
                    <w:rPr>
                      <w:rFonts w:ascii="Times New Roman" w:hAnsi="Times New Roman" w:cs="Arial"/>
                      <w:sz w:val="22"/>
                      <w:szCs w:val="22"/>
                    </w:rPr>
                  </w:pPr>
                </w:p>
              </w:tc>
            </w:tr>
          </w:tbl>
          <w:p w:rsidR="006C516E" w:rsidRPr="0016092F" w:rsidRDefault="006C516E" w:rsidP="006F146B">
            <w:pPr>
              <w:tabs>
                <w:tab w:val="clear" w:pos="284"/>
              </w:tabs>
              <w:rPr>
                <w:rFonts w:ascii="Times New Roman" w:hAnsi="Times New Roman" w:cs="Arial"/>
                <w:b/>
                <w:sz w:val="22"/>
                <w:szCs w:val="22"/>
              </w:rPr>
            </w:pPr>
          </w:p>
          <w:p w:rsidR="00BD61A7" w:rsidRPr="0016092F" w:rsidRDefault="00657695" w:rsidP="006F146B">
            <w:pPr>
              <w:tabs>
                <w:tab w:val="clear" w:pos="284"/>
              </w:tabs>
              <w:rPr>
                <w:rFonts w:ascii="Times New Roman" w:hAnsi="Times New Roman" w:cs="Arial"/>
                <w:sz w:val="22"/>
                <w:szCs w:val="22"/>
              </w:rPr>
            </w:pPr>
            <w:r w:rsidRPr="0016092F">
              <w:rPr>
                <w:rFonts w:ascii="Times New Roman" w:hAnsi="Times New Roman"/>
                <w:sz w:val="22"/>
                <w:szCs w:val="22"/>
              </w:rPr>
              <w:t>¹</w:t>
            </w:r>
            <w:r w:rsidR="000A60D8" w:rsidRPr="0016092F">
              <w:rPr>
                <w:rFonts w:ascii="Times New Roman" w:hAnsi="Times New Roman" w:cs="Arial"/>
                <w:sz w:val="22"/>
                <w:szCs w:val="22"/>
              </w:rPr>
              <w:t xml:space="preserve"> Zabi</w:t>
            </w:r>
            <w:r w:rsidR="008E12B0" w:rsidRPr="0016092F">
              <w:rPr>
                <w:rFonts w:ascii="Times New Roman" w:hAnsi="Times New Roman" w:cs="Arial"/>
                <w:sz w:val="22"/>
                <w:szCs w:val="22"/>
              </w:rPr>
              <w:t>l</w:t>
            </w:r>
            <w:r w:rsidR="000A60D8" w:rsidRPr="0016092F">
              <w:rPr>
                <w:rFonts w:ascii="Times New Roman" w:hAnsi="Times New Roman" w:cs="Arial"/>
                <w:sz w:val="22"/>
                <w:szCs w:val="22"/>
              </w:rPr>
              <w:t>j</w:t>
            </w:r>
            <w:r w:rsidR="008E12B0" w:rsidRPr="0016092F">
              <w:rPr>
                <w:rFonts w:ascii="Times New Roman" w:hAnsi="Times New Roman" w:cs="Arial"/>
                <w:sz w:val="22"/>
                <w:szCs w:val="22"/>
              </w:rPr>
              <w:t>eženo iz iskustva nakon stavljanja l</w:t>
            </w:r>
            <w:r w:rsidR="000A60D8" w:rsidRPr="0016092F">
              <w:rPr>
                <w:rFonts w:ascii="Times New Roman" w:hAnsi="Times New Roman" w:cs="Arial"/>
                <w:sz w:val="22"/>
                <w:szCs w:val="22"/>
              </w:rPr>
              <w:t>ijeka u pr</w:t>
            </w:r>
            <w:r w:rsidR="008E12B0" w:rsidRPr="0016092F">
              <w:rPr>
                <w:rFonts w:ascii="Times New Roman" w:hAnsi="Times New Roman" w:cs="Arial"/>
                <w:sz w:val="22"/>
                <w:szCs w:val="22"/>
              </w:rPr>
              <w:t xml:space="preserve">omet, a kategorija učestalosti je određena </w:t>
            </w:r>
            <w:r w:rsidR="00C14799" w:rsidRPr="0016092F">
              <w:rPr>
                <w:rFonts w:ascii="Times New Roman" w:hAnsi="Times New Roman" w:cs="Arial"/>
                <w:sz w:val="22"/>
                <w:szCs w:val="22"/>
              </w:rPr>
              <w:t xml:space="preserve">na osnovu </w:t>
            </w:r>
            <w:r w:rsidR="008E12B0" w:rsidRPr="0016092F">
              <w:rPr>
                <w:rFonts w:ascii="Times New Roman" w:hAnsi="Times New Roman" w:cs="Arial"/>
                <w:sz w:val="22"/>
                <w:szCs w:val="22"/>
              </w:rPr>
              <w:t>stop</w:t>
            </w:r>
            <w:r w:rsidR="00C14799" w:rsidRPr="0016092F">
              <w:rPr>
                <w:rFonts w:ascii="Times New Roman" w:hAnsi="Times New Roman" w:cs="Arial"/>
                <w:sz w:val="22"/>
                <w:szCs w:val="22"/>
              </w:rPr>
              <w:t>e</w:t>
            </w:r>
            <w:r w:rsidR="008E12B0" w:rsidRPr="0016092F">
              <w:rPr>
                <w:rFonts w:ascii="Times New Roman" w:hAnsi="Times New Roman" w:cs="Arial"/>
                <w:sz w:val="22"/>
                <w:szCs w:val="22"/>
              </w:rPr>
              <w:t xml:space="preserve"> spontan</w:t>
            </w:r>
            <w:r w:rsidR="00C14799" w:rsidRPr="0016092F">
              <w:rPr>
                <w:rFonts w:ascii="Times New Roman" w:hAnsi="Times New Roman" w:cs="Arial"/>
                <w:sz w:val="22"/>
                <w:szCs w:val="22"/>
              </w:rPr>
              <w:t>og</w:t>
            </w:r>
            <w:r w:rsidR="008E12B0" w:rsidRPr="0016092F">
              <w:rPr>
                <w:rFonts w:ascii="Times New Roman" w:hAnsi="Times New Roman" w:cs="Arial"/>
                <w:sz w:val="22"/>
                <w:szCs w:val="22"/>
              </w:rPr>
              <w:t xml:space="preserve"> prijav</w:t>
            </w:r>
            <w:r w:rsidR="00C14799" w:rsidRPr="0016092F">
              <w:rPr>
                <w:rFonts w:ascii="Times New Roman" w:hAnsi="Times New Roman" w:cs="Arial"/>
                <w:sz w:val="22"/>
                <w:szCs w:val="22"/>
              </w:rPr>
              <w:t>ljivanj</w:t>
            </w:r>
            <w:r w:rsidR="008E12B0" w:rsidRPr="0016092F">
              <w:rPr>
                <w:rFonts w:ascii="Times New Roman" w:hAnsi="Times New Roman" w:cs="Arial"/>
                <w:sz w:val="22"/>
                <w:szCs w:val="22"/>
              </w:rPr>
              <w:t>a</w:t>
            </w:r>
          </w:p>
          <w:p w:rsidR="00657695" w:rsidRPr="0016092F" w:rsidRDefault="00657695" w:rsidP="006F146B">
            <w:pPr>
              <w:tabs>
                <w:tab w:val="clear" w:pos="284"/>
              </w:tabs>
              <w:rPr>
                <w:rFonts w:ascii="Times New Roman" w:hAnsi="Times New Roman" w:cs="Arial"/>
                <w:sz w:val="22"/>
                <w:szCs w:val="22"/>
              </w:rPr>
            </w:pPr>
            <w:r w:rsidRPr="0016092F">
              <w:rPr>
                <w:rFonts w:ascii="Times New Roman" w:hAnsi="Times New Roman"/>
                <w:sz w:val="22"/>
                <w:szCs w:val="22"/>
              </w:rPr>
              <w:t>²</w:t>
            </w:r>
            <w:r w:rsidRPr="0016092F">
              <w:rPr>
                <w:rFonts w:ascii="Times New Roman" w:hAnsi="Times New Roman" w:cs="Arial"/>
                <w:sz w:val="22"/>
                <w:szCs w:val="22"/>
              </w:rPr>
              <w:t xml:space="preserve"> </w:t>
            </w:r>
            <w:r w:rsidR="008E12B0" w:rsidRPr="0016092F">
              <w:rPr>
                <w:rFonts w:ascii="Times New Roman" w:hAnsi="Times New Roman" w:cs="Arial"/>
                <w:sz w:val="22"/>
                <w:szCs w:val="22"/>
              </w:rPr>
              <w:t>Često kod pacijenata na dijalizi</w:t>
            </w:r>
          </w:p>
          <w:p w:rsidR="008E12B0" w:rsidRPr="0016092F" w:rsidRDefault="008E12B0" w:rsidP="006F146B">
            <w:pPr>
              <w:tabs>
                <w:tab w:val="clear" w:pos="284"/>
              </w:tabs>
              <w:rPr>
                <w:rFonts w:ascii="Times New Roman" w:hAnsi="Times New Roman" w:cs="Arial"/>
                <w:sz w:val="22"/>
                <w:szCs w:val="22"/>
              </w:rPr>
            </w:pPr>
            <w:r w:rsidRPr="0016092F">
              <w:rPr>
                <w:rFonts w:ascii="Times New Roman" w:hAnsi="Times New Roman" w:cs="Arial"/>
                <w:sz w:val="22"/>
                <w:szCs w:val="22"/>
                <w:vertAlign w:val="superscript"/>
              </w:rPr>
              <w:t>3</w:t>
            </w:r>
            <w:r w:rsidRPr="0016092F">
              <w:rPr>
                <w:rFonts w:ascii="Times New Roman" w:hAnsi="Times New Roman" w:cs="Arial"/>
                <w:sz w:val="22"/>
                <w:szCs w:val="22"/>
              </w:rPr>
              <w:t xml:space="preserve"> </w:t>
            </w:r>
            <w:r w:rsidR="00582AB5" w:rsidRPr="0016092F">
              <w:rPr>
                <w:rFonts w:ascii="Times New Roman" w:hAnsi="Times New Roman" w:cs="Arial"/>
                <w:sz w:val="22"/>
                <w:szCs w:val="22"/>
              </w:rPr>
              <w:t>U</w:t>
            </w:r>
            <w:r w:rsidRPr="0016092F">
              <w:rPr>
                <w:rFonts w:ascii="Times New Roman" w:hAnsi="Times New Roman" w:cs="Arial"/>
                <w:sz w:val="22"/>
                <w:szCs w:val="22"/>
              </w:rPr>
              <w:t>ključuje arterijske i venske događaje sa smrtnim ishodom i bez njega, kao što su duboka venska tromboza, plućna embolija, tromboza retinalne vene, arterijska tromboza (uključujući infarkt miokarda), cerebrovaskularni incidenti (uključujući moždani udar i moždano krvarenje), tranzitorne ishemijske atake i trombozu arteriov</w:t>
            </w:r>
            <w:r w:rsidR="00582AB5" w:rsidRPr="0016092F">
              <w:rPr>
                <w:rFonts w:ascii="Times New Roman" w:hAnsi="Times New Roman" w:cs="Arial"/>
                <w:sz w:val="22"/>
                <w:szCs w:val="22"/>
              </w:rPr>
              <w:t>e</w:t>
            </w:r>
            <w:r w:rsidRPr="0016092F">
              <w:rPr>
                <w:rFonts w:ascii="Times New Roman" w:hAnsi="Times New Roman" w:cs="Arial"/>
                <w:sz w:val="22"/>
                <w:szCs w:val="22"/>
              </w:rPr>
              <w:t>nskog šanta (uključujući opremu za dijalizu) i trombozu kod aneurizme arteriovenskog šanta.</w:t>
            </w:r>
          </w:p>
          <w:p w:rsidR="008E12B0" w:rsidRPr="0016092F" w:rsidRDefault="008E12B0" w:rsidP="006F146B">
            <w:pPr>
              <w:tabs>
                <w:tab w:val="clear" w:pos="284"/>
              </w:tabs>
              <w:rPr>
                <w:rFonts w:ascii="Times New Roman" w:hAnsi="Times New Roman" w:cs="Arial"/>
                <w:sz w:val="22"/>
                <w:szCs w:val="22"/>
              </w:rPr>
            </w:pPr>
            <w:r w:rsidRPr="0016092F">
              <w:rPr>
                <w:rFonts w:ascii="Times New Roman" w:hAnsi="Times New Roman" w:cs="Arial"/>
                <w:sz w:val="22"/>
                <w:szCs w:val="22"/>
                <w:vertAlign w:val="superscript"/>
              </w:rPr>
              <w:t>4</w:t>
            </w:r>
            <w:r w:rsidRPr="0016092F">
              <w:rPr>
                <w:rFonts w:ascii="Times New Roman" w:hAnsi="Times New Roman" w:cs="Arial"/>
                <w:sz w:val="22"/>
                <w:szCs w:val="22"/>
              </w:rPr>
              <w:t xml:space="preserve"> </w:t>
            </w:r>
            <w:r w:rsidR="00582AB5" w:rsidRPr="0016092F">
              <w:rPr>
                <w:rFonts w:ascii="Times New Roman" w:hAnsi="Times New Roman" w:cs="Arial"/>
                <w:sz w:val="22"/>
                <w:szCs w:val="22"/>
              </w:rPr>
              <w:t>O</w:t>
            </w:r>
            <w:r w:rsidRPr="0016092F">
              <w:rPr>
                <w:rFonts w:ascii="Times New Roman" w:hAnsi="Times New Roman" w:cs="Arial"/>
                <w:sz w:val="22"/>
                <w:szCs w:val="22"/>
              </w:rPr>
              <w:t>pisano u daljem tekstu i/ili u od</w:t>
            </w:r>
            <w:r w:rsidR="000A60D8" w:rsidRPr="0016092F">
              <w:rPr>
                <w:rFonts w:ascii="Times New Roman" w:hAnsi="Times New Roman" w:cs="Arial"/>
                <w:sz w:val="22"/>
                <w:szCs w:val="22"/>
              </w:rPr>
              <w:t>j</w:t>
            </w:r>
            <w:r w:rsidRPr="0016092F">
              <w:rPr>
                <w:rFonts w:ascii="Times New Roman" w:hAnsi="Times New Roman" w:cs="Arial"/>
                <w:sz w:val="22"/>
                <w:szCs w:val="22"/>
              </w:rPr>
              <w:t>eljku 4.4.</w:t>
            </w:r>
          </w:p>
          <w:p w:rsidR="00657695" w:rsidRPr="0016092F" w:rsidRDefault="00657695" w:rsidP="006F146B">
            <w:pPr>
              <w:tabs>
                <w:tab w:val="clear" w:pos="284"/>
              </w:tabs>
              <w:rPr>
                <w:rFonts w:ascii="Times New Roman" w:hAnsi="Times New Roman" w:cs="Arial"/>
                <w:sz w:val="22"/>
                <w:szCs w:val="22"/>
                <w:u w:val="single"/>
              </w:rPr>
            </w:pPr>
          </w:p>
          <w:p w:rsidR="00613359" w:rsidRPr="0016092F" w:rsidRDefault="00613359" w:rsidP="006F146B">
            <w:pPr>
              <w:tabs>
                <w:tab w:val="clear" w:pos="284"/>
              </w:tabs>
              <w:rPr>
                <w:rFonts w:ascii="Times New Roman" w:hAnsi="Times New Roman" w:cs="Arial"/>
                <w:i/>
                <w:sz w:val="22"/>
                <w:szCs w:val="22"/>
              </w:rPr>
            </w:pPr>
            <w:r w:rsidRPr="0016092F">
              <w:rPr>
                <w:rFonts w:ascii="Times New Roman" w:hAnsi="Times New Roman" w:cs="Arial"/>
                <w:i/>
                <w:sz w:val="22"/>
                <w:szCs w:val="22"/>
              </w:rPr>
              <w:t xml:space="preserve">Opis određenih neželjenih </w:t>
            </w:r>
            <w:r w:rsidR="00582AB5" w:rsidRPr="0016092F">
              <w:rPr>
                <w:rFonts w:ascii="Times New Roman" w:hAnsi="Times New Roman" w:cs="Arial"/>
                <w:i/>
                <w:sz w:val="22"/>
                <w:szCs w:val="22"/>
              </w:rPr>
              <w:t>dejstav</w:t>
            </w:r>
            <w:r w:rsidRPr="0016092F">
              <w:rPr>
                <w:rFonts w:ascii="Times New Roman" w:hAnsi="Times New Roman" w:cs="Arial"/>
                <w:i/>
                <w:sz w:val="22"/>
                <w:szCs w:val="22"/>
              </w:rPr>
              <w:t>a</w:t>
            </w:r>
          </w:p>
          <w:p w:rsidR="00613359" w:rsidRPr="0016092F" w:rsidRDefault="008E12B0" w:rsidP="006F146B">
            <w:pPr>
              <w:tabs>
                <w:tab w:val="clear" w:pos="284"/>
              </w:tabs>
              <w:rPr>
                <w:rFonts w:ascii="Times New Roman" w:hAnsi="Times New Roman" w:cs="Arial"/>
                <w:sz w:val="22"/>
                <w:szCs w:val="22"/>
              </w:rPr>
            </w:pPr>
            <w:r w:rsidRPr="0016092F">
              <w:rPr>
                <w:rFonts w:ascii="Times New Roman" w:hAnsi="Times New Roman" w:cs="Arial"/>
                <w:sz w:val="22"/>
                <w:szCs w:val="22"/>
              </w:rPr>
              <w:t>Prijavljene su reakcije preos</w:t>
            </w:r>
            <w:r w:rsidR="000A60D8" w:rsidRPr="0016092F">
              <w:rPr>
                <w:rFonts w:ascii="Times New Roman" w:hAnsi="Times New Roman" w:cs="Arial"/>
                <w:sz w:val="22"/>
                <w:szCs w:val="22"/>
              </w:rPr>
              <w:t>j</w:t>
            </w:r>
            <w:r w:rsidRPr="0016092F">
              <w:rPr>
                <w:rFonts w:ascii="Times New Roman" w:hAnsi="Times New Roman" w:cs="Arial"/>
                <w:sz w:val="22"/>
                <w:szCs w:val="22"/>
              </w:rPr>
              <w:t>etljivosti, uključujući slučajeve osipa (uključujući urtkariju), anafilaktičke r</w:t>
            </w:r>
            <w:r w:rsidR="00462902" w:rsidRPr="0016092F">
              <w:rPr>
                <w:rFonts w:ascii="Times New Roman" w:hAnsi="Times New Roman" w:cs="Arial"/>
                <w:sz w:val="22"/>
                <w:szCs w:val="22"/>
              </w:rPr>
              <w:t>e</w:t>
            </w:r>
            <w:r w:rsidRPr="0016092F">
              <w:rPr>
                <w:rFonts w:ascii="Times New Roman" w:hAnsi="Times New Roman" w:cs="Arial"/>
                <w:sz w:val="22"/>
                <w:szCs w:val="22"/>
              </w:rPr>
              <w:t>akcije i angioneurotski edem (vid</w:t>
            </w:r>
            <w:r w:rsidR="000A60D8" w:rsidRPr="0016092F">
              <w:rPr>
                <w:rFonts w:ascii="Times New Roman" w:hAnsi="Times New Roman" w:cs="Arial"/>
                <w:sz w:val="22"/>
                <w:szCs w:val="22"/>
              </w:rPr>
              <w:t>j</w:t>
            </w:r>
            <w:r w:rsidRPr="0016092F">
              <w:rPr>
                <w:rFonts w:ascii="Times New Roman" w:hAnsi="Times New Roman" w:cs="Arial"/>
                <w:sz w:val="22"/>
                <w:szCs w:val="22"/>
              </w:rPr>
              <w:t>eti od</w:t>
            </w:r>
            <w:r w:rsidR="000A60D8" w:rsidRPr="0016092F">
              <w:rPr>
                <w:rFonts w:ascii="Times New Roman" w:hAnsi="Times New Roman" w:cs="Arial"/>
                <w:sz w:val="22"/>
                <w:szCs w:val="22"/>
              </w:rPr>
              <w:t>j</w:t>
            </w:r>
            <w:r w:rsidRPr="0016092F">
              <w:rPr>
                <w:rFonts w:ascii="Times New Roman" w:hAnsi="Times New Roman" w:cs="Arial"/>
                <w:sz w:val="22"/>
                <w:szCs w:val="22"/>
              </w:rPr>
              <w:t>eljak 4.4).</w:t>
            </w:r>
          </w:p>
          <w:p w:rsidR="008E12B0" w:rsidRPr="0016092F" w:rsidRDefault="008E12B0" w:rsidP="006F146B">
            <w:pPr>
              <w:tabs>
                <w:tab w:val="clear" w:pos="284"/>
              </w:tabs>
              <w:rPr>
                <w:rFonts w:ascii="Times New Roman" w:hAnsi="Times New Roman" w:cs="Arial"/>
                <w:sz w:val="22"/>
                <w:szCs w:val="22"/>
              </w:rPr>
            </w:pPr>
          </w:p>
          <w:p w:rsidR="0002773C" w:rsidRPr="0016092F" w:rsidRDefault="008E12B0" w:rsidP="006F146B">
            <w:pPr>
              <w:tabs>
                <w:tab w:val="clear" w:pos="284"/>
              </w:tabs>
              <w:rPr>
                <w:rFonts w:ascii="Times New Roman" w:hAnsi="Times New Roman" w:cs="Arial"/>
                <w:sz w:val="22"/>
                <w:szCs w:val="22"/>
              </w:rPr>
            </w:pPr>
            <w:r w:rsidRPr="0016092F">
              <w:rPr>
                <w:rFonts w:ascii="Times New Roman" w:hAnsi="Times New Roman" w:cs="Arial"/>
                <w:sz w:val="22"/>
                <w:szCs w:val="22"/>
              </w:rPr>
              <w:t>Hipertenzivne krize sa encefalopatijom i konvulzijama koje su zaht</w:t>
            </w:r>
            <w:r w:rsidR="000A60D8" w:rsidRPr="0016092F">
              <w:rPr>
                <w:rFonts w:ascii="Times New Roman" w:hAnsi="Times New Roman" w:cs="Arial"/>
                <w:sz w:val="22"/>
                <w:szCs w:val="22"/>
              </w:rPr>
              <w:t>ij</w:t>
            </w:r>
            <w:r w:rsidRPr="0016092F">
              <w:rPr>
                <w:rFonts w:ascii="Times New Roman" w:hAnsi="Times New Roman" w:cs="Arial"/>
                <w:sz w:val="22"/>
                <w:szCs w:val="22"/>
              </w:rPr>
              <w:t>evale hitnu medicinsku pomoć i intezivno l</w:t>
            </w:r>
            <w:r w:rsidR="000A60D8" w:rsidRPr="0016092F">
              <w:rPr>
                <w:rFonts w:ascii="Times New Roman" w:hAnsi="Times New Roman" w:cs="Arial"/>
                <w:sz w:val="22"/>
                <w:szCs w:val="22"/>
              </w:rPr>
              <w:t>ij</w:t>
            </w:r>
            <w:r w:rsidRPr="0016092F">
              <w:rPr>
                <w:rFonts w:ascii="Times New Roman" w:hAnsi="Times New Roman" w:cs="Arial"/>
                <w:sz w:val="22"/>
                <w:szCs w:val="22"/>
              </w:rPr>
              <w:t xml:space="preserve">ečenje, </w:t>
            </w:r>
            <w:r w:rsidR="0002773C" w:rsidRPr="0016092F">
              <w:rPr>
                <w:rFonts w:ascii="Times New Roman" w:hAnsi="Times New Roman" w:cs="Arial"/>
                <w:sz w:val="22"/>
                <w:szCs w:val="22"/>
              </w:rPr>
              <w:t>takođe su se javile i tokom l</w:t>
            </w:r>
            <w:r w:rsidR="000A60D8" w:rsidRPr="0016092F">
              <w:rPr>
                <w:rFonts w:ascii="Times New Roman" w:hAnsi="Times New Roman" w:cs="Arial"/>
                <w:sz w:val="22"/>
                <w:szCs w:val="22"/>
              </w:rPr>
              <w:t>ij</w:t>
            </w:r>
            <w:r w:rsidR="0002773C" w:rsidRPr="0016092F">
              <w:rPr>
                <w:rFonts w:ascii="Times New Roman" w:hAnsi="Times New Roman" w:cs="Arial"/>
                <w:sz w:val="22"/>
                <w:szCs w:val="22"/>
              </w:rPr>
              <w:t>ečenja epoetinom alfa kod pacijenata sa prethodno normalnim ili niskim krvnim pritiskom. Posebnu pažnju treba posvetiti iznenadnim probadajućim glavoboljama nalik migreni kao mogućem znaku upozorenja (vid</w:t>
            </w:r>
            <w:r w:rsidR="000A60D8" w:rsidRPr="0016092F">
              <w:rPr>
                <w:rFonts w:ascii="Times New Roman" w:hAnsi="Times New Roman" w:cs="Arial"/>
                <w:sz w:val="22"/>
                <w:szCs w:val="22"/>
              </w:rPr>
              <w:t>j</w:t>
            </w:r>
            <w:r w:rsidR="0002773C" w:rsidRPr="0016092F">
              <w:rPr>
                <w:rFonts w:ascii="Times New Roman" w:hAnsi="Times New Roman" w:cs="Arial"/>
                <w:sz w:val="22"/>
                <w:szCs w:val="22"/>
              </w:rPr>
              <w:t>eti od</w:t>
            </w:r>
            <w:r w:rsidR="000A60D8" w:rsidRPr="0016092F">
              <w:rPr>
                <w:rFonts w:ascii="Times New Roman" w:hAnsi="Times New Roman" w:cs="Arial"/>
                <w:sz w:val="22"/>
                <w:szCs w:val="22"/>
              </w:rPr>
              <w:t>j</w:t>
            </w:r>
            <w:r w:rsidR="0002773C" w:rsidRPr="0016092F">
              <w:rPr>
                <w:rFonts w:ascii="Times New Roman" w:hAnsi="Times New Roman" w:cs="Arial"/>
                <w:sz w:val="22"/>
                <w:szCs w:val="22"/>
              </w:rPr>
              <w:t>eljak 4.4).</w:t>
            </w:r>
          </w:p>
          <w:p w:rsidR="008670FC" w:rsidRPr="0016092F" w:rsidRDefault="008670FC" w:rsidP="006F146B">
            <w:pPr>
              <w:tabs>
                <w:tab w:val="clear" w:pos="284"/>
              </w:tabs>
              <w:rPr>
                <w:rFonts w:ascii="Times New Roman" w:hAnsi="Times New Roman" w:cs="Arial"/>
                <w:sz w:val="22"/>
                <w:szCs w:val="22"/>
              </w:rPr>
            </w:pPr>
          </w:p>
          <w:p w:rsidR="0002773C" w:rsidRPr="0016092F" w:rsidRDefault="0002773C" w:rsidP="006F146B">
            <w:pPr>
              <w:tabs>
                <w:tab w:val="clear" w:pos="284"/>
              </w:tabs>
              <w:rPr>
                <w:rFonts w:ascii="Times New Roman" w:hAnsi="Times New Roman" w:cs="Arial"/>
                <w:sz w:val="22"/>
                <w:szCs w:val="22"/>
              </w:rPr>
            </w:pPr>
            <w:r w:rsidRPr="0016092F">
              <w:rPr>
                <w:rFonts w:ascii="Times New Roman" w:hAnsi="Times New Roman" w:cs="Arial"/>
                <w:sz w:val="22"/>
                <w:szCs w:val="22"/>
              </w:rPr>
              <w:t>Čista aplazija crvene krvne loze izazvana antit</w:t>
            </w:r>
            <w:r w:rsidR="000A60D8" w:rsidRPr="0016092F">
              <w:rPr>
                <w:rFonts w:ascii="Times New Roman" w:hAnsi="Times New Roman" w:cs="Arial"/>
                <w:sz w:val="22"/>
                <w:szCs w:val="22"/>
              </w:rPr>
              <w:t>ijelima zabi</w:t>
            </w:r>
            <w:r w:rsidRPr="0016092F">
              <w:rPr>
                <w:rFonts w:ascii="Times New Roman" w:hAnsi="Times New Roman" w:cs="Arial"/>
                <w:sz w:val="22"/>
                <w:szCs w:val="22"/>
              </w:rPr>
              <w:t>l</w:t>
            </w:r>
            <w:r w:rsidR="000A60D8" w:rsidRPr="0016092F">
              <w:rPr>
                <w:rFonts w:ascii="Times New Roman" w:hAnsi="Times New Roman" w:cs="Arial"/>
                <w:sz w:val="22"/>
                <w:szCs w:val="22"/>
              </w:rPr>
              <w:t>j</w:t>
            </w:r>
            <w:r w:rsidRPr="0016092F">
              <w:rPr>
                <w:rFonts w:ascii="Times New Roman" w:hAnsi="Times New Roman" w:cs="Arial"/>
                <w:sz w:val="22"/>
                <w:szCs w:val="22"/>
              </w:rPr>
              <w:t>ežena je veoma r</w:t>
            </w:r>
            <w:r w:rsidR="000A60D8" w:rsidRPr="0016092F">
              <w:rPr>
                <w:rFonts w:ascii="Times New Roman" w:hAnsi="Times New Roman" w:cs="Arial"/>
                <w:sz w:val="22"/>
                <w:szCs w:val="22"/>
              </w:rPr>
              <w:t>ij</w:t>
            </w:r>
            <w:r w:rsidRPr="0016092F">
              <w:rPr>
                <w:rFonts w:ascii="Times New Roman" w:hAnsi="Times New Roman" w:cs="Arial"/>
                <w:sz w:val="22"/>
                <w:szCs w:val="22"/>
              </w:rPr>
              <w:t>etko kod &lt;1/10 000 slučajeva po pacijent-godini nakon više m</w:t>
            </w:r>
            <w:r w:rsidR="000A60D8" w:rsidRPr="0016092F">
              <w:rPr>
                <w:rFonts w:ascii="Times New Roman" w:hAnsi="Times New Roman" w:cs="Arial"/>
                <w:sz w:val="22"/>
                <w:szCs w:val="22"/>
              </w:rPr>
              <w:t>j</w:t>
            </w:r>
            <w:r w:rsidRPr="0016092F">
              <w:rPr>
                <w:rFonts w:ascii="Times New Roman" w:hAnsi="Times New Roman" w:cs="Arial"/>
                <w:sz w:val="22"/>
                <w:szCs w:val="22"/>
              </w:rPr>
              <w:t>eseci ili godina l</w:t>
            </w:r>
            <w:r w:rsidR="000A60D8" w:rsidRPr="0016092F">
              <w:rPr>
                <w:rFonts w:ascii="Times New Roman" w:hAnsi="Times New Roman" w:cs="Arial"/>
                <w:sz w:val="22"/>
                <w:szCs w:val="22"/>
              </w:rPr>
              <w:t>ij</w:t>
            </w:r>
            <w:r w:rsidRPr="0016092F">
              <w:rPr>
                <w:rFonts w:ascii="Times New Roman" w:hAnsi="Times New Roman" w:cs="Arial"/>
                <w:sz w:val="22"/>
                <w:szCs w:val="22"/>
              </w:rPr>
              <w:t>ečenja epoetinom alfa (vid</w:t>
            </w:r>
            <w:r w:rsidR="000A60D8" w:rsidRPr="0016092F">
              <w:rPr>
                <w:rFonts w:ascii="Times New Roman" w:hAnsi="Times New Roman" w:cs="Arial"/>
                <w:sz w:val="22"/>
                <w:szCs w:val="22"/>
              </w:rPr>
              <w:t>j</w:t>
            </w:r>
            <w:r w:rsidRPr="0016092F">
              <w:rPr>
                <w:rFonts w:ascii="Times New Roman" w:hAnsi="Times New Roman" w:cs="Arial"/>
                <w:sz w:val="22"/>
                <w:szCs w:val="22"/>
              </w:rPr>
              <w:t>eti od</w:t>
            </w:r>
            <w:r w:rsidR="000A60D8" w:rsidRPr="0016092F">
              <w:rPr>
                <w:rFonts w:ascii="Times New Roman" w:hAnsi="Times New Roman" w:cs="Arial"/>
                <w:sz w:val="22"/>
                <w:szCs w:val="22"/>
              </w:rPr>
              <w:t>j</w:t>
            </w:r>
            <w:r w:rsidRPr="0016092F">
              <w:rPr>
                <w:rFonts w:ascii="Times New Roman" w:hAnsi="Times New Roman" w:cs="Arial"/>
                <w:sz w:val="22"/>
                <w:szCs w:val="22"/>
              </w:rPr>
              <w:t>eljak 4.4).</w:t>
            </w:r>
          </w:p>
          <w:p w:rsidR="0002773C" w:rsidRPr="0016092F" w:rsidRDefault="0002773C" w:rsidP="006F146B">
            <w:pPr>
              <w:tabs>
                <w:tab w:val="clear" w:pos="284"/>
              </w:tabs>
              <w:rPr>
                <w:rFonts w:ascii="Times New Roman" w:hAnsi="Times New Roman" w:cs="Arial"/>
                <w:sz w:val="22"/>
                <w:szCs w:val="22"/>
              </w:rPr>
            </w:pPr>
          </w:p>
          <w:p w:rsidR="0002773C" w:rsidRPr="0016092F" w:rsidRDefault="0002773C" w:rsidP="006F146B">
            <w:pPr>
              <w:tabs>
                <w:tab w:val="clear" w:pos="284"/>
              </w:tabs>
              <w:rPr>
                <w:rFonts w:ascii="Times New Roman" w:hAnsi="Times New Roman" w:cs="Arial"/>
                <w:sz w:val="22"/>
                <w:szCs w:val="22"/>
                <w:u w:val="single"/>
              </w:rPr>
            </w:pPr>
            <w:r w:rsidRPr="0016092F">
              <w:rPr>
                <w:rFonts w:ascii="Times New Roman" w:hAnsi="Times New Roman" w:cs="Arial"/>
                <w:sz w:val="22"/>
                <w:szCs w:val="22"/>
                <w:u w:val="single"/>
              </w:rPr>
              <w:t>Pedijatrijska populacija sa hroničnom insuficijencijom bubrega koji su na hemodijalizi</w:t>
            </w:r>
          </w:p>
          <w:p w:rsidR="0002773C" w:rsidRPr="0016092F" w:rsidRDefault="0002773C" w:rsidP="006F146B">
            <w:pPr>
              <w:tabs>
                <w:tab w:val="clear" w:pos="284"/>
              </w:tabs>
              <w:rPr>
                <w:rFonts w:ascii="Times New Roman" w:hAnsi="Times New Roman" w:cs="Arial"/>
                <w:sz w:val="22"/>
                <w:szCs w:val="22"/>
              </w:rPr>
            </w:pPr>
            <w:r w:rsidRPr="0016092F">
              <w:rPr>
                <w:rFonts w:ascii="Times New Roman" w:hAnsi="Times New Roman" w:cs="Arial"/>
                <w:sz w:val="22"/>
                <w:szCs w:val="22"/>
              </w:rPr>
              <w:t xml:space="preserve">Izloženost pedijatrijskih pacijenata sa hroničnom isuficijencijom bubrega koji su na hemodijalizi u kliničkim studijama i </w:t>
            </w:r>
            <w:r w:rsidR="008670FC" w:rsidRPr="0016092F">
              <w:rPr>
                <w:rFonts w:ascii="Times New Roman" w:hAnsi="Times New Roman" w:cs="Arial"/>
                <w:sz w:val="22"/>
                <w:szCs w:val="22"/>
              </w:rPr>
              <w:t xml:space="preserve">iskustva </w:t>
            </w:r>
            <w:r w:rsidRPr="0016092F">
              <w:rPr>
                <w:rFonts w:ascii="Times New Roman" w:hAnsi="Times New Roman" w:cs="Arial"/>
                <w:sz w:val="22"/>
                <w:szCs w:val="22"/>
              </w:rPr>
              <w:t>nakon stavljanja l</w:t>
            </w:r>
            <w:r w:rsidR="000A60D8" w:rsidRPr="0016092F">
              <w:rPr>
                <w:rFonts w:ascii="Times New Roman" w:hAnsi="Times New Roman" w:cs="Arial"/>
                <w:sz w:val="22"/>
                <w:szCs w:val="22"/>
              </w:rPr>
              <w:t>ij</w:t>
            </w:r>
            <w:r w:rsidRPr="0016092F">
              <w:rPr>
                <w:rFonts w:ascii="Times New Roman" w:hAnsi="Times New Roman" w:cs="Arial"/>
                <w:sz w:val="22"/>
                <w:szCs w:val="22"/>
              </w:rPr>
              <w:t xml:space="preserve">eka u promet </w:t>
            </w:r>
            <w:r w:rsidR="008670FC" w:rsidRPr="0016092F">
              <w:rPr>
                <w:rFonts w:ascii="Times New Roman" w:hAnsi="Times New Roman" w:cs="Arial"/>
                <w:sz w:val="22"/>
                <w:szCs w:val="22"/>
              </w:rPr>
              <w:t>su</w:t>
            </w:r>
            <w:r w:rsidRPr="0016092F">
              <w:rPr>
                <w:rFonts w:ascii="Times New Roman" w:hAnsi="Times New Roman" w:cs="Arial"/>
                <w:sz w:val="22"/>
                <w:szCs w:val="22"/>
              </w:rPr>
              <w:t xml:space="preserve"> ograničen</w:t>
            </w:r>
            <w:r w:rsidR="008670FC" w:rsidRPr="0016092F">
              <w:rPr>
                <w:rFonts w:ascii="Times New Roman" w:hAnsi="Times New Roman" w:cs="Arial"/>
                <w:sz w:val="22"/>
                <w:szCs w:val="22"/>
              </w:rPr>
              <w:t>i</w:t>
            </w:r>
            <w:r w:rsidRPr="0016092F">
              <w:rPr>
                <w:rFonts w:ascii="Times New Roman" w:hAnsi="Times New Roman" w:cs="Arial"/>
                <w:sz w:val="22"/>
                <w:szCs w:val="22"/>
              </w:rPr>
              <w:t>. Ni</w:t>
            </w:r>
            <w:r w:rsidR="000A60D8" w:rsidRPr="0016092F">
              <w:rPr>
                <w:rFonts w:ascii="Times New Roman" w:hAnsi="Times New Roman" w:cs="Arial"/>
                <w:sz w:val="22"/>
                <w:szCs w:val="22"/>
              </w:rPr>
              <w:t>jesu zabi</w:t>
            </w:r>
            <w:r w:rsidRPr="0016092F">
              <w:rPr>
                <w:rFonts w:ascii="Times New Roman" w:hAnsi="Times New Roman" w:cs="Arial"/>
                <w:sz w:val="22"/>
                <w:szCs w:val="22"/>
              </w:rPr>
              <w:t>l</w:t>
            </w:r>
            <w:r w:rsidR="000A60D8" w:rsidRPr="0016092F">
              <w:rPr>
                <w:rFonts w:ascii="Times New Roman" w:hAnsi="Times New Roman" w:cs="Arial"/>
                <w:sz w:val="22"/>
                <w:szCs w:val="22"/>
              </w:rPr>
              <w:t>j</w:t>
            </w:r>
            <w:r w:rsidRPr="0016092F">
              <w:rPr>
                <w:rFonts w:ascii="Times New Roman" w:hAnsi="Times New Roman" w:cs="Arial"/>
                <w:sz w:val="22"/>
                <w:szCs w:val="22"/>
              </w:rPr>
              <w:t>ežene neželjene reakcije specifične za pedijatrijsku populaciju koje ni</w:t>
            </w:r>
            <w:r w:rsidR="000A60D8" w:rsidRPr="0016092F">
              <w:rPr>
                <w:rFonts w:ascii="Times New Roman" w:hAnsi="Times New Roman" w:cs="Arial"/>
                <w:sz w:val="22"/>
                <w:szCs w:val="22"/>
              </w:rPr>
              <w:t>je</w:t>
            </w:r>
            <w:r w:rsidRPr="0016092F">
              <w:rPr>
                <w:rFonts w:ascii="Times New Roman" w:hAnsi="Times New Roman" w:cs="Arial"/>
                <w:sz w:val="22"/>
                <w:szCs w:val="22"/>
              </w:rPr>
              <w:t>su navedene u tabeli iznad</w:t>
            </w:r>
            <w:r w:rsidR="00D42E02" w:rsidRPr="0016092F">
              <w:rPr>
                <w:rFonts w:ascii="Times New Roman" w:hAnsi="Times New Roman" w:cs="Arial"/>
                <w:sz w:val="22"/>
                <w:szCs w:val="22"/>
              </w:rPr>
              <w:t>,</w:t>
            </w:r>
            <w:r w:rsidRPr="0016092F">
              <w:rPr>
                <w:rFonts w:ascii="Times New Roman" w:hAnsi="Times New Roman" w:cs="Arial"/>
                <w:sz w:val="22"/>
                <w:szCs w:val="22"/>
              </w:rPr>
              <w:t xml:space="preserve"> ili koje ni</w:t>
            </w:r>
            <w:r w:rsidR="000A60D8" w:rsidRPr="0016092F">
              <w:rPr>
                <w:rFonts w:ascii="Times New Roman" w:hAnsi="Times New Roman" w:cs="Arial"/>
                <w:sz w:val="22"/>
                <w:szCs w:val="22"/>
              </w:rPr>
              <w:t>je</w:t>
            </w:r>
            <w:r w:rsidRPr="0016092F">
              <w:rPr>
                <w:rFonts w:ascii="Times New Roman" w:hAnsi="Times New Roman" w:cs="Arial"/>
                <w:sz w:val="22"/>
                <w:szCs w:val="22"/>
              </w:rPr>
              <w:t>su u skladu sa osnovnom bolešću.</w:t>
            </w:r>
          </w:p>
          <w:p w:rsidR="0002773C" w:rsidRPr="0016092F" w:rsidRDefault="0002773C" w:rsidP="006F146B">
            <w:pPr>
              <w:tabs>
                <w:tab w:val="clear" w:pos="284"/>
              </w:tabs>
              <w:rPr>
                <w:rFonts w:ascii="Times New Roman" w:hAnsi="Times New Roman" w:cs="Arial"/>
                <w:sz w:val="22"/>
                <w:szCs w:val="22"/>
              </w:rPr>
            </w:pPr>
          </w:p>
          <w:p w:rsidR="002C6A3C" w:rsidRPr="0016092F" w:rsidRDefault="002C6A3C" w:rsidP="006F146B">
            <w:pPr>
              <w:spacing w:after="200" w:line="276" w:lineRule="auto"/>
              <w:rPr>
                <w:rFonts w:ascii="Times New Roman" w:eastAsia="Calibri" w:hAnsi="Times New Roman"/>
                <w:sz w:val="22"/>
                <w:szCs w:val="22"/>
                <w:u w:val="single"/>
              </w:rPr>
            </w:pPr>
            <w:r w:rsidRPr="0016092F">
              <w:rPr>
                <w:rFonts w:ascii="Times New Roman" w:eastAsia="Calibri" w:hAnsi="Times New Roman"/>
                <w:sz w:val="22"/>
                <w:szCs w:val="22"/>
                <w:u w:val="single"/>
              </w:rPr>
              <w:t>Prijavljivanje sumnji na neželjena dejstva</w:t>
            </w:r>
          </w:p>
          <w:p w:rsidR="002C6A3C" w:rsidRPr="0016092F" w:rsidRDefault="002C6A3C" w:rsidP="006F146B">
            <w:pPr>
              <w:spacing w:after="200"/>
              <w:rPr>
                <w:rFonts w:ascii="Times New Roman" w:eastAsia="Calibri" w:hAnsi="Times New Roman"/>
                <w:sz w:val="22"/>
                <w:szCs w:val="22"/>
              </w:rPr>
            </w:pPr>
            <w:r w:rsidRPr="0016092F">
              <w:rPr>
                <w:rFonts w:ascii="Times New Roman" w:eastAsia="Calibri" w:hAnsi="Times New Roman"/>
                <w:sz w:val="22"/>
                <w:szCs w:val="22"/>
              </w:rPr>
              <w:t>Prijavljivanje neželjenih dejstava nakon dobijanja dozvole je od velikog značaja jer obezbjeđuje kontinuirano praćenje odnosa korist/rizik primjene lijeka. Zdravstveni radnici treba da prijave svaku sumnju</w:t>
            </w:r>
            <w:r w:rsidRPr="0016092F">
              <w:rPr>
                <w:rFonts w:eastAsia="Calibri"/>
                <w:sz w:val="22"/>
                <w:szCs w:val="22"/>
              </w:rPr>
              <w:t xml:space="preserve"> </w:t>
            </w:r>
            <w:r w:rsidRPr="0016092F">
              <w:rPr>
                <w:rFonts w:ascii="Times New Roman" w:eastAsia="Calibri" w:hAnsi="Times New Roman"/>
                <w:sz w:val="22"/>
                <w:szCs w:val="22"/>
              </w:rPr>
              <w:t>na neželjeno dejstvo ovog lijeka Agenciji za ljekove i medicinska sredstva Crne Gore (CALIMS):</w:t>
            </w:r>
          </w:p>
          <w:p w:rsidR="006F146B" w:rsidRPr="0016092F" w:rsidRDefault="006F146B" w:rsidP="006F146B">
            <w:pPr>
              <w:pStyle w:val="NoSpacing"/>
              <w:jc w:val="both"/>
              <w:rPr>
                <w:noProof/>
                <w:sz w:val="22"/>
                <w:lang w:val="sr-Latn-ME"/>
              </w:rPr>
            </w:pPr>
          </w:p>
          <w:p w:rsidR="002C6A3C" w:rsidRPr="0016092F" w:rsidRDefault="002C6A3C" w:rsidP="006F146B">
            <w:pPr>
              <w:pStyle w:val="NoSpacing"/>
              <w:jc w:val="both"/>
              <w:rPr>
                <w:noProof/>
                <w:sz w:val="22"/>
                <w:lang w:val="sr-Latn-ME"/>
              </w:rPr>
            </w:pPr>
            <w:r w:rsidRPr="0016092F">
              <w:rPr>
                <w:noProof/>
                <w:sz w:val="22"/>
                <w:lang w:val="sr-Latn-ME"/>
              </w:rPr>
              <w:lastRenderedPageBreak/>
              <w:t>Agencija za ljekove i medicinska sredstva Crne Gore</w:t>
            </w:r>
          </w:p>
          <w:p w:rsidR="002C6A3C" w:rsidRPr="0016092F" w:rsidRDefault="002C6A3C" w:rsidP="006F146B">
            <w:pPr>
              <w:pStyle w:val="NoSpacing"/>
              <w:jc w:val="both"/>
              <w:rPr>
                <w:noProof/>
                <w:sz w:val="22"/>
                <w:lang w:val="sr-Latn-ME"/>
              </w:rPr>
            </w:pPr>
            <w:r w:rsidRPr="0016092F">
              <w:rPr>
                <w:noProof/>
                <w:sz w:val="22"/>
                <w:lang w:val="sr-Latn-ME"/>
              </w:rPr>
              <w:t>Odjeljenje za farmakovigilancu</w:t>
            </w:r>
          </w:p>
          <w:p w:rsidR="002C6A3C" w:rsidRPr="0016092F" w:rsidRDefault="002C6A3C" w:rsidP="006F146B">
            <w:pPr>
              <w:pStyle w:val="NoSpacing"/>
              <w:jc w:val="both"/>
              <w:rPr>
                <w:noProof/>
                <w:sz w:val="22"/>
                <w:lang w:val="sr-Latn-ME"/>
              </w:rPr>
            </w:pPr>
            <w:r w:rsidRPr="0016092F">
              <w:rPr>
                <w:noProof/>
                <w:sz w:val="22"/>
                <w:lang w:val="sr-Latn-ME"/>
              </w:rPr>
              <w:t>Bulevar Ivana Crnojevića 64a, 81000 Podgorica</w:t>
            </w:r>
          </w:p>
          <w:p w:rsidR="002C6A3C" w:rsidRPr="0016092F" w:rsidRDefault="002C6A3C" w:rsidP="006F146B">
            <w:pPr>
              <w:pStyle w:val="NoSpacing"/>
              <w:jc w:val="both"/>
              <w:rPr>
                <w:noProof/>
                <w:sz w:val="22"/>
                <w:lang w:val="sr-Latn-ME"/>
              </w:rPr>
            </w:pPr>
          </w:p>
          <w:p w:rsidR="002C6A3C" w:rsidRPr="0016092F" w:rsidRDefault="002C6A3C" w:rsidP="006F146B">
            <w:pPr>
              <w:pStyle w:val="NoSpacing"/>
              <w:jc w:val="both"/>
              <w:rPr>
                <w:noProof/>
                <w:sz w:val="22"/>
                <w:lang w:val="sr-Latn-ME"/>
              </w:rPr>
            </w:pPr>
            <w:r w:rsidRPr="0016092F">
              <w:rPr>
                <w:noProof/>
                <w:sz w:val="22"/>
                <w:lang w:val="sr-Latn-ME"/>
              </w:rPr>
              <w:t>tel: +382 (0) 20 310 280</w:t>
            </w:r>
          </w:p>
          <w:p w:rsidR="002C6A3C" w:rsidRPr="0016092F" w:rsidRDefault="002C6A3C" w:rsidP="006F146B">
            <w:pPr>
              <w:pStyle w:val="NoSpacing"/>
              <w:jc w:val="both"/>
              <w:rPr>
                <w:noProof/>
                <w:sz w:val="22"/>
                <w:lang w:val="sr-Latn-ME"/>
              </w:rPr>
            </w:pPr>
            <w:r w:rsidRPr="0016092F">
              <w:rPr>
                <w:noProof/>
                <w:sz w:val="22"/>
                <w:lang w:val="sr-Latn-ME"/>
              </w:rPr>
              <w:t>fax: +382 (0) 20 310 581</w:t>
            </w:r>
          </w:p>
          <w:p w:rsidR="002C6A3C" w:rsidRPr="0016092F" w:rsidRDefault="008368F7" w:rsidP="006F146B">
            <w:pPr>
              <w:pStyle w:val="NoSpacing"/>
              <w:jc w:val="both"/>
              <w:rPr>
                <w:noProof/>
                <w:sz w:val="22"/>
                <w:lang w:val="sr-Latn-ME"/>
              </w:rPr>
            </w:pPr>
            <w:hyperlink r:id="rId7" w:history="1">
              <w:r w:rsidR="002C6A3C" w:rsidRPr="0016092F">
                <w:rPr>
                  <w:noProof/>
                  <w:color w:val="0000FF"/>
                  <w:sz w:val="22"/>
                  <w:u w:val="single"/>
                  <w:lang w:val="sr-Latn-ME"/>
                </w:rPr>
                <w:t>www.calims.me</w:t>
              </w:r>
            </w:hyperlink>
          </w:p>
          <w:p w:rsidR="002C6A3C" w:rsidRPr="0016092F" w:rsidRDefault="008368F7" w:rsidP="006F146B">
            <w:pPr>
              <w:pStyle w:val="NoSpacing"/>
              <w:jc w:val="both"/>
              <w:rPr>
                <w:noProof/>
                <w:color w:val="0000FF"/>
                <w:sz w:val="22"/>
                <w:u w:val="single"/>
                <w:lang w:val="sr-Latn-ME"/>
              </w:rPr>
            </w:pPr>
            <w:hyperlink r:id="rId8" w:history="1">
              <w:r w:rsidR="002C6A3C" w:rsidRPr="0016092F">
                <w:rPr>
                  <w:noProof/>
                  <w:color w:val="0000FF"/>
                  <w:sz w:val="22"/>
                  <w:u w:val="single"/>
                  <w:lang w:val="sr-Latn-ME"/>
                </w:rPr>
                <w:t>nezeljenadejstva@calims.me</w:t>
              </w:r>
            </w:hyperlink>
          </w:p>
          <w:p w:rsidR="002C6A3C" w:rsidRPr="0016092F" w:rsidRDefault="002C6A3C" w:rsidP="006F146B">
            <w:pPr>
              <w:pStyle w:val="NoSpacing"/>
              <w:jc w:val="both"/>
              <w:rPr>
                <w:noProof/>
                <w:sz w:val="22"/>
                <w:lang w:val="sr-Latn-ME"/>
              </w:rPr>
            </w:pPr>
            <w:r w:rsidRPr="0016092F">
              <w:rPr>
                <w:noProof/>
                <w:sz w:val="22"/>
                <w:lang w:val="sr-Latn-ME"/>
              </w:rPr>
              <w:t>putem IS zdravstvene zaštite</w:t>
            </w:r>
          </w:p>
          <w:p w:rsidR="00834DBB" w:rsidRPr="0016092F" w:rsidRDefault="00834DBB" w:rsidP="006F146B">
            <w:pPr>
              <w:tabs>
                <w:tab w:val="clear"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lastRenderedPageBreak/>
              <w:t>4.9. Predoziranje</w:t>
            </w:r>
            <w:r w:rsidR="00E8709F" w:rsidRPr="0016092F">
              <w:rPr>
                <w:rFonts w:ascii="Times New Roman" w:hAnsi="Times New Roman"/>
                <w:b/>
                <w:bCs/>
                <w:sz w:val="22"/>
                <w:szCs w:val="22"/>
              </w:rPr>
              <w:t xml:space="preserve"> i mjere koje je potrebno preduzeti</w:t>
            </w:r>
          </w:p>
        </w:tc>
      </w:tr>
      <w:tr w:rsidR="00834DBB" w:rsidRPr="0016092F" w:rsidTr="006F146B">
        <w:trPr>
          <w:trHeight w:val="716"/>
        </w:trPr>
        <w:tc>
          <w:tcPr>
            <w:tcW w:w="5000" w:type="pct"/>
            <w:gridSpan w:val="4"/>
            <w:vAlign w:val="center"/>
          </w:tcPr>
          <w:p w:rsidR="00834DBB" w:rsidRPr="0016092F" w:rsidRDefault="00990FB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Terapijska širina epoetina alfa je veoma velika. Predoziranje epoetinom alfa može izazvati efekte koji su nastavak farmakoloških efekata hor</w:t>
            </w:r>
            <w:r w:rsidR="00613359" w:rsidRPr="0016092F">
              <w:rPr>
                <w:rFonts w:ascii="Times New Roman" w:hAnsi="Times New Roman"/>
                <w:sz w:val="22"/>
                <w:szCs w:val="22"/>
              </w:rPr>
              <w:t>mona</w:t>
            </w:r>
            <w:r w:rsidRPr="0016092F">
              <w:rPr>
                <w:rFonts w:ascii="Times New Roman" w:hAnsi="Times New Roman"/>
                <w:sz w:val="22"/>
                <w:szCs w:val="22"/>
              </w:rPr>
              <w:t xml:space="preserve">. </w:t>
            </w:r>
            <w:r w:rsidR="00330C4B" w:rsidRPr="0016092F">
              <w:rPr>
                <w:rFonts w:ascii="Times New Roman" w:hAnsi="Times New Roman"/>
                <w:sz w:val="22"/>
                <w:szCs w:val="22"/>
              </w:rPr>
              <w:t>Ako se jave izrazito visoke vr</w:t>
            </w:r>
            <w:r w:rsidR="000A60D8" w:rsidRPr="0016092F">
              <w:rPr>
                <w:rFonts w:ascii="Times New Roman" w:hAnsi="Times New Roman"/>
                <w:sz w:val="22"/>
                <w:szCs w:val="22"/>
              </w:rPr>
              <w:t>ij</w:t>
            </w:r>
            <w:r w:rsidR="00330C4B" w:rsidRPr="0016092F">
              <w:rPr>
                <w:rFonts w:ascii="Times New Roman" w:hAnsi="Times New Roman"/>
                <w:sz w:val="22"/>
                <w:szCs w:val="22"/>
              </w:rPr>
              <w:t>ednosti Hb m</w:t>
            </w:r>
            <w:r w:rsidRPr="0016092F">
              <w:rPr>
                <w:rFonts w:ascii="Times New Roman" w:hAnsi="Times New Roman"/>
                <w:sz w:val="22"/>
                <w:szCs w:val="22"/>
              </w:rPr>
              <w:t>ože se izvršiti flebotomija. Ako je potrebno, pružiti i dodatne potporne m</w:t>
            </w:r>
            <w:r w:rsidR="000A60D8" w:rsidRPr="0016092F">
              <w:rPr>
                <w:rFonts w:ascii="Times New Roman" w:hAnsi="Times New Roman"/>
                <w:sz w:val="22"/>
                <w:szCs w:val="22"/>
              </w:rPr>
              <w:t>j</w:t>
            </w:r>
            <w:r w:rsidRPr="0016092F">
              <w:rPr>
                <w:rFonts w:ascii="Times New Roman" w:hAnsi="Times New Roman"/>
                <w:sz w:val="22"/>
                <w:szCs w:val="22"/>
              </w:rPr>
              <w:t>ere.</w:t>
            </w:r>
          </w:p>
          <w:p w:rsidR="00990FB4" w:rsidRPr="0016092F" w:rsidRDefault="00990FB4"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5. FARMAKOLOŠKI PODACI</w:t>
            </w: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t>5.1. Farmakodinamski podaci</w:t>
            </w:r>
          </w:p>
        </w:tc>
      </w:tr>
      <w:tr w:rsidR="00834DBB" w:rsidRPr="0016092F" w:rsidTr="006F146B">
        <w:trPr>
          <w:trHeight w:val="576"/>
        </w:trPr>
        <w:tc>
          <w:tcPr>
            <w:tcW w:w="1506" w:type="pct"/>
            <w:gridSpan w:val="3"/>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Farmakoterapijska grupa:</w:t>
            </w:r>
          </w:p>
        </w:tc>
        <w:tc>
          <w:tcPr>
            <w:tcW w:w="3494" w:type="pct"/>
            <w:vAlign w:val="center"/>
          </w:tcPr>
          <w:p w:rsidR="00834DBB" w:rsidRPr="0016092F" w:rsidRDefault="00990FB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ostali antianemijski preparati</w:t>
            </w:r>
          </w:p>
        </w:tc>
      </w:tr>
      <w:tr w:rsidR="00834DBB" w:rsidRPr="0016092F" w:rsidTr="006F146B">
        <w:trPr>
          <w:trHeight w:val="542"/>
        </w:trPr>
        <w:tc>
          <w:tcPr>
            <w:tcW w:w="714" w:type="pct"/>
            <w:gridSpan w:val="2"/>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ATC kod:</w:t>
            </w:r>
          </w:p>
        </w:tc>
        <w:tc>
          <w:tcPr>
            <w:tcW w:w="4286" w:type="pct"/>
            <w:gridSpan w:val="2"/>
            <w:vAlign w:val="center"/>
          </w:tcPr>
          <w:p w:rsidR="00834DBB" w:rsidRPr="0016092F" w:rsidRDefault="00990FB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B03XA01</w:t>
            </w:r>
          </w:p>
        </w:tc>
      </w:tr>
      <w:tr w:rsidR="00834DBB" w:rsidRPr="0016092F" w:rsidTr="006F146B">
        <w:trPr>
          <w:trHeight w:val="1145"/>
        </w:trPr>
        <w:tc>
          <w:tcPr>
            <w:tcW w:w="5000" w:type="pct"/>
            <w:gridSpan w:val="4"/>
            <w:vAlign w:val="center"/>
          </w:tcPr>
          <w:p w:rsidR="00613359" w:rsidRPr="0016092F" w:rsidRDefault="0074618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L</w:t>
            </w:r>
            <w:r w:rsidR="00584EC9" w:rsidRPr="0016092F">
              <w:rPr>
                <w:rFonts w:ascii="Times New Roman" w:hAnsi="Times New Roman"/>
                <w:sz w:val="22"/>
                <w:szCs w:val="22"/>
              </w:rPr>
              <w:t>ij</w:t>
            </w:r>
            <w:r w:rsidRPr="0016092F">
              <w:rPr>
                <w:rFonts w:ascii="Times New Roman" w:hAnsi="Times New Roman"/>
                <w:sz w:val="22"/>
                <w:szCs w:val="22"/>
              </w:rPr>
              <w:t>ek Binocrit je biološki sličan l</w:t>
            </w:r>
            <w:r w:rsidR="00584EC9" w:rsidRPr="0016092F">
              <w:rPr>
                <w:rFonts w:ascii="Times New Roman" w:hAnsi="Times New Roman"/>
                <w:sz w:val="22"/>
                <w:szCs w:val="22"/>
              </w:rPr>
              <w:t>ij</w:t>
            </w:r>
            <w:r w:rsidRPr="0016092F">
              <w:rPr>
                <w:rFonts w:ascii="Times New Roman" w:hAnsi="Times New Roman"/>
                <w:sz w:val="22"/>
                <w:szCs w:val="22"/>
              </w:rPr>
              <w:t>ek.</w:t>
            </w:r>
          </w:p>
          <w:p w:rsidR="00613359" w:rsidRPr="0016092F" w:rsidRDefault="00613359" w:rsidP="006F146B">
            <w:pPr>
              <w:pStyle w:val="Header"/>
              <w:tabs>
                <w:tab w:val="clear" w:pos="4536"/>
                <w:tab w:val="clear" w:pos="9072"/>
                <w:tab w:val="left" w:pos="284"/>
              </w:tabs>
              <w:rPr>
                <w:rFonts w:ascii="Times New Roman" w:hAnsi="Times New Roman"/>
                <w:sz w:val="22"/>
                <w:szCs w:val="22"/>
              </w:rPr>
            </w:pPr>
          </w:p>
          <w:p w:rsidR="00BA15C4" w:rsidRPr="0016092F" w:rsidRDefault="00BA15C4"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Mehanizam d</w:t>
            </w:r>
            <w:r w:rsidR="00584EC9" w:rsidRPr="0016092F">
              <w:rPr>
                <w:rFonts w:ascii="Times New Roman" w:hAnsi="Times New Roman"/>
                <w:sz w:val="22"/>
                <w:szCs w:val="22"/>
                <w:u w:val="single"/>
              </w:rPr>
              <w:t>j</w:t>
            </w:r>
            <w:r w:rsidRPr="0016092F">
              <w:rPr>
                <w:rFonts w:ascii="Times New Roman" w:hAnsi="Times New Roman"/>
                <w:sz w:val="22"/>
                <w:szCs w:val="22"/>
                <w:u w:val="single"/>
              </w:rPr>
              <w:t>elovanja</w:t>
            </w:r>
          </w:p>
          <w:p w:rsidR="00D43996" w:rsidRPr="0016092F" w:rsidRDefault="00D4399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Eritropoetin je glikoproteinski hormon koji se primarno proizvodi u bubrezima kao odgovor na hipoksiju i ključni je regulator proizvodnje crvenih krvnih zrnaca. Eritropoetin je uključen u sve faze razvoja eritrocita i primarno d</w:t>
            </w:r>
            <w:r w:rsidR="00584EC9" w:rsidRPr="0016092F">
              <w:rPr>
                <w:rFonts w:ascii="Times New Roman" w:hAnsi="Times New Roman"/>
                <w:sz w:val="22"/>
                <w:szCs w:val="22"/>
              </w:rPr>
              <w:t>j</w:t>
            </w:r>
            <w:r w:rsidRPr="0016092F">
              <w:rPr>
                <w:rFonts w:ascii="Times New Roman" w:hAnsi="Times New Roman"/>
                <w:sz w:val="22"/>
                <w:szCs w:val="22"/>
              </w:rPr>
              <w:t>eluje na vr</w:t>
            </w:r>
            <w:r w:rsidR="00584EC9" w:rsidRPr="0016092F">
              <w:rPr>
                <w:rFonts w:ascii="Times New Roman" w:hAnsi="Times New Roman"/>
                <w:sz w:val="22"/>
                <w:szCs w:val="22"/>
              </w:rPr>
              <w:t>ij</w:t>
            </w:r>
            <w:r w:rsidRPr="0016092F">
              <w:rPr>
                <w:rFonts w:ascii="Times New Roman" w:hAnsi="Times New Roman"/>
                <w:sz w:val="22"/>
                <w:szCs w:val="22"/>
              </w:rPr>
              <w:t>ednosti eritrocitnih prekursora. Nakon što se eritropoetin veže za površinski receptor ćelije, aktivira signalne puteve transdukcije koji koče apoptozu i stimuliše proliferaciju eritroidnih ćelija.</w:t>
            </w:r>
          </w:p>
          <w:p w:rsidR="00D43996" w:rsidRPr="0016092F" w:rsidRDefault="00D43996" w:rsidP="006F146B">
            <w:pPr>
              <w:pStyle w:val="Header"/>
              <w:tabs>
                <w:tab w:val="clear" w:pos="4536"/>
                <w:tab w:val="clear" w:pos="9072"/>
                <w:tab w:val="left" w:pos="284"/>
              </w:tabs>
              <w:rPr>
                <w:rFonts w:ascii="Times New Roman" w:hAnsi="Times New Roman"/>
                <w:sz w:val="22"/>
                <w:szCs w:val="22"/>
              </w:rPr>
            </w:pPr>
          </w:p>
          <w:p w:rsidR="003D5F3A" w:rsidRPr="0016092F" w:rsidRDefault="00B5196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Rekombinantni humani EPO (epoetin alfa) eksprimiran u ćelijama ovarijuma kineskog hrčka, ima niz od 165 aminokiselina identičan onome u epoetinu izolovanim iz humanog urina; </w:t>
            </w:r>
            <w:r w:rsidR="00D43996" w:rsidRPr="0016092F">
              <w:rPr>
                <w:rFonts w:ascii="Times New Roman" w:hAnsi="Times New Roman"/>
                <w:sz w:val="22"/>
                <w:szCs w:val="22"/>
              </w:rPr>
              <w:t xml:space="preserve"> </w:t>
            </w:r>
            <w:r w:rsidRPr="0016092F">
              <w:rPr>
                <w:rFonts w:ascii="Times New Roman" w:hAnsi="Times New Roman"/>
                <w:sz w:val="22"/>
                <w:szCs w:val="22"/>
              </w:rPr>
              <w:t>nije iz moguće razlikovati na osnovu testova funkcije. Prividna molekulska masa eritropoetina je 32 000 do 40 000 daltona.</w:t>
            </w:r>
          </w:p>
          <w:p w:rsidR="00B51964" w:rsidRPr="0016092F" w:rsidRDefault="00B51964" w:rsidP="006F146B">
            <w:pPr>
              <w:pStyle w:val="Header"/>
              <w:tabs>
                <w:tab w:val="clear" w:pos="4536"/>
                <w:tab w:val="clear" w:pos="9072"/>
                <w:tab w:val="left" w:pos="284"/>
              </w:tabs>
              <w:rPr>
                <w:rFonts w:ascii="Times New Roman" w:hAnsi="Times New Roman"/>
                <w:sz w:val="22"/>
                <w:szCs w:val="22"/>
              </w:rPr>
            </w:pPr>
          </w:p>
          <w:p w:rsidR="00B51964" w:rsidRPr="0016092F" w:rsidRDefault="00B5196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Eritropoetin je činilac rasta koji primarno stimuliše stvaranje crvenih krvnih ćelija. Eritropoetinski receptori mogu biti eksprimirani na površini različitih tumorskih ćelija.</w:t>
            </w:r>
          </w:p>
          <w:p w:rsidR="00B51964" w:rsidRPr="0016092F" w:rsidRDefault="00B51964" w:rsidP="006F146B">
            <w:pPr>
              <w:pStyle w:val="Header"/>
              <w:tabs>
                <w:tab w:val="clear" w:pos="4536"/>
                <w:tab w:val="clear" w:pos="9072"/>
                <w:tab w:val="left" w:pos="284"/>
              </w:tabs>
              <w:rPr>
                <w:rFonts w:ascii="Times New Roman" w:hAnsi="Times New Roman"/>
                <w:sz w:val="22"/>
                <w:szCs w:val="22"/>
              </w:rPr>
            </w:pPr>
          </w:p>
          <w:p w:rsidR="00BA15C4" w:rsidRPr="0016092F" w:rsidRDefault="00BA15C4"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Farmakodinamski efekti</w:t>
            </w:r>
          </w:p>
          <w:p w:rsidR="00B51964" w:rsidRPr="0016092F" w:rsidRDefault="00B51964" w:rsidP="006F146B">
            <w:pPr>
              <w:pStyle w:val="Header"/>
              <w:tabs>
                <w:tab w:val="clear" w:pos="4536"/>
                <w:tab w:val="clear" w:pos="9072"/>
                <w:tab w:val="left" w:pos="284"/>
              </w:tabs>
              <w:rPr>
                <w:rFonts w:ascii="Times New Roman" w:hAnsi="Times New Roman"/>
                <w:sz w:val="22"/>
                <w:szCs w:val="22"/>
              </w:rPr>
            </w:pPr>
          </w:p>
          <w:p w:rsidR="00BD61A7" w:rsidRPr="0016092F" w:rsidRDefault="00BD61A7"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Zdravi dobrovoljci</w:t>
            </w:r>
          </w:p>
          <w:p w:rsidR="00B51964" w:rsidRPr="0016092F" w:rsidRDefault="00B51964"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Nakon jednokratnih doza (20 000 do 160 000 i.j. supkutano) epoetina alfa uočen je dozno-zavisan odgovor ispitivanih farmakodinamskih markera uključujući: retikulocite, </w:t>
            </w:r>
            <w:r w:rsidR="001B5BCB" w:rsidRPr="0016092F">
              <w:rPr>
                <w:rFonts w:ascii="Times New Roman" w:hAnsi="Times New Roman"/>
                <w:sz w:val="22"/>
                <w:szCs w:val="22"/>
              </w:rPr>
              <w:t>crvena krvna zrnca</w:t>
            </w:r>
            <w:r w:rsidRPr="0016092F">
              <w:rPr>
                <w:rFonts w:ascii="Times New Roman" w:hAnsi="Times New Roman"/>
                <w:sz w:val="22"/>
                <w:szCs w:val="22"/>
              </w:rPr>
              <w:t xml:space="preserve"> i hemoglobin. Uočen je definisan profil krivulje koncentracija-vr</w:t>
            </w:r>
            <w:r w:rsidR="00584EC9" w:rsidRPr="0016092F">
              <w:rPr>
                <w:rFonts w:ascii="Times New Roman" w:hAnsi="Times New Roman"/>
                <w:sz w:val="22"/>
                <w:szCs w:val="22"/>
              </w:rPr>
              <w:t>ij</w:t>
            </w:r>
            <w:r w:rsidRPr="0016092F">
              <w:rPr>
                <w:rFonts w:ascii="Times New Roman" w:hAnsi="Times New Roman"/>
                <w:sz w:val="22"/>
                <w:szCs w:val="22"/>
              </w:rPr>
              <w:t>eme sa vrhom porasta procenta retikulocita i povratkom na početnu vr</w:t>
            </w:r>
            <w:r w:rsidR="00584EC9" w:rsidRPr="0016092F">
              <w:rPr>
                <w:rFonts w:ascii="Times New Roman" w:hAnsi="Times New Roman"/>
                <w:sz w:val="22"/>
                <w:szCs w:val="22"/>
              </w:rPr>
              <w:t>ij</w:t>
            </w:r>
            <w:r w:rsidRPr="0016092F">
              <w:rPr>
                <w:rFonts w:ascii="Times New Roman" w:hAnsi="Times New Roman"/>
                <w:sz w:val="22"/>
                <w:szCs w:val="22"/>
              </w:rPr>
              <w:t xml:space="preserve">ednost. Slabije definisan profil krivulje uočen je za </w:t>
            </w:r>
            <w:r w:rsidR="001B5BCB" w:rsidRPr="0016092F">
              <w:rPr>
                <w:rFonts w:ascii="Times New Roman" w:hAnsi="Times New Roman"/>
                <w:sz w:val="22"/>
                <w:szCs w:val="22"/>
              </w:rPr>
              <w:t>crvena krvna zrnca</w:t>
            </w:r>
            <w:r w:rsidRPr="0016092F">
              <w:rPr>
                <w:rFonts w:ascii="Times New Roman" w:hAnsi="Times New Roman"/>
                <w:sz w:val="22"/>
                <w:szCs w:val="22"/>
              </w:rPr>
              <w:t xml:space="preserve"> i hemoglobin. Generalno, svi farmakokinetski markeri rastu linearno sa porastom doze i dostižu maksimalan odgovor pri najvišim dozama.</w:t>
            </w:r>
          </w:p>
          <w:p w:rsidR="00B51964" w:rsidRPr="0016092F" w:rsidRDefault="00B51964" w:rsidP="006F146B">
            <w:pPr>
              <w:pStyle w:val="Header"/>
              <w:tabs>
                <w:tab w:val="clear" w:pos="4536"/>
                <w:tab w:val="clear" w:pos="9072"/>
                <w:tab w:val="left" w:pos="284"/>
              </w:tabs>
              <w:rPr>
                <w:rFonts w:ascii="Times New Roman" w:hAnsi="Times New Roman"/>
                <w:sz w:val="22"/>
                <w:szCs w:val="22"/>
              </w:rPr>
            </w:pPr>
          </w:p>
          <w:p w:rsidR="00B51964" w:rsidRPr="0016092F" w:rsidRDefault="001B5BC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Dalja farmakodinamska ispitivanja istraživala su prim</w:t>
            </w:r>
            <w:r w:rsidR="00584EC9" w:rsidRPr="0016092F">
              <w:rPr>
                <w:rFonts w:ascii="Times New Roman" w:hAnsi="Times New Roman"/>
                <w:sz w:val="22"/>
                <w:szCs w:val="22"/>
              </w:rPr>
              <w:t>j</w:t>
            </w:r>
            <w:r w:rsidRPr="0016092F">
              <w:rPr>
                <w:rFonts w:ascii="Times New Roman" w:hAnsi="Times New Roman"/>
                <w:sz w:val="22"/>
                <w:szCs w:val="22"/>
              </w:rPr>
              <w:t>enu 40 000 i.j. jednom ned</w:t>
            </w:r>
            <w:r w:rsidR="00584EC9" w:rsidRPr="0016092F">
              <w:rPr>
                <w:rFonts w:ascii="Times New Roman" w:hAnsi="Times New Roman"/>
                <w:sz w:val="22"/>
                <w:szCs w:val="22"/>
              </w:rPr>
              <w:t>j</w:t>
            </w:r>
            <w:r w:rsidRPr="0016092F">
              <w:rPr>
                <w:rFonts w:ascii="Times New Roman" w:hAnsi="Times New Roman"/>
                <w:sz w:val="22"/>
                <w:szCs w:val="22"/>
              </w:rPr>
              <w:t>eljno u odnosu na 150 i.j/kg, 3 puta ned</w:t>
            </w:r>
            <w:r w:rsidR="00584EC9" w:rsidRPr="0016092F">
              <w:rPr>
                <w:rFonts w:ascii="Times New Roman" w:hAnsi="Times New Roman"/>
                <w:sz w:val="22"/>
                <w:szCs w:val="22"/>
              </w:rPr>
              <w:t>j</w:t>
            </w:r>
            <w:r w:rsidRPr="0016092F">
              <w:rPr>
                <w:rFonts w:ascii="Times New Roman" w:hAnsi="Times New Roman"/>
                <w:sz w:val="22"/>
                <w:szCs w:val="22"/>
              </w:rPr>
              <w:t>eljno. Uprkos razlikama u profilima krivulja koncentracija-vr</w:t>
            </w:r>
            <w:r w:rsidR="00584EC9" w:rsidRPr="0016092F">
              <w:rPr>
                <w:rFonts w:ascii="Times New Roman" w:hAnsi="Times New Roman"/>
                <w:sz w:val="22"/>
                <w:szCs w:val="22"/>
              </w:rPr>
              <w:t>ij</w:t>
            </w:r>
            <w:r w:rsidRPr="0016092F">
              <w:rPr>
                <w:rFonts w:ascii="Times New Roman" w:hAnsi="Times New Roman"/>
                <w:sz w:val="22"/>
                <w:szCs w:val="22"/>
              </w:rPr>
              <w:t>eme, farmakodinamski odgovor (m</w:t>
            </w:r>
            <w:r w:rsidR="00584EC9" w:rsidRPr="0016092F">
              <w:rPr>
                <w:rFonts w:ascii="Times New Roman" w:hAnsi="Times New Roman"/>
                <w:sz w:val="22"/>
                <w:szCs w:val="22"/>
              </w:rPr>
              <w:t>j</w:t>
            </w:r>
            <w:r w:rsidRPr="0016092F">
              <w:rPr>
                <w:rFonts w:ascii="Times New Roman" w:hAnsi="Times New Roman"/>
                <w:sz w:val="22"/>
                <w:szCs w:val="22"/>
              </w:rPr>
              <w:t>eren prom</w:t>
            </w:r>
            <w:r w:rsidR="00584EC9" w:rsidRPr="0016092F">
              <w:rPr>
                <w:rFonts w:ascii="Times New Roman" w:hAnsi="Times New Roman"/>
                <w:sz w:val="22"/>
                <w:szCs w:val="22"/>
              </w:rPr>
              <w:t>j</w:t>
            </w:r>
            <w:r w:rsidRPr="0016092F">
              <w:rPr>
                <w:rFonts w:ascii="Times New Roman" w:hAnsi="Times New Roman"/>
                <w:sz w:val="22"/>
                <w:szCs w:val="22"/>
              </w:rPr>
              <w:t>enama procenta retikulocita, hemoglobina i ukupnih crvenih krvnih zrnaca) na ta dva režima bio je sličan. Dodatnim ispitivanjima upoređivana je prim</w:t>
            </w:r>
            <w:r w:rsidR="00584EC9" w:rsidRPr="0016092F">
              <w:rPr>
                <w:rFonts w:ascii="Times New Roman" w:hAnsi="Times New Roman"/>
                <w:sz w:val="22"/>
                <w:szCs w:val="22"/>
              </w:rPr>
              <w:t>j</w:t>
            </w:r>
            <w:r w:rsidRPr="0016092F">
              <w:rPr>
                <w:rFonts w:ascii="Times New Roman" w:hAnsi="Times New Roman"/>
                <w:sz w:val="22"/>
                <w:szCs w:val="22"/>
              </w:rPr>
              <w:t>ena 40 000 i.j. epoetina alfa jednom ned</w:t>
            </w:r>
            <w:r w:rsidR="00584EC9" w:rsidRPr="0016092F">
              <w:rPr>
                <w:rFonts w:ascii="Times New Roman" w:hAnsi="Times New Roman"/>
                <w:sz w:val="22"/>
                <w:szCs w:val="22"/>
              </w:rPr>
              <w:t>j</w:t>
            </w:r>
            <w:r w:rsidRPr="0016092F">
              <w:rPr>
                <w:rFonts w:ascii="Times New Roman" w:hAnsi="Times New Roman"/>
                <w:sz w:val="22"/>
                <w:szCs w:val="22"/>
              </w:rPr>
              <w:t>eljno i doze u rasponu od 80 000 do 120 000 i.j. prim</w:t>
            </w:r>
            <w:r w:rsidR="00584EC9" w:rsidRPr="0016092F">
              <w:rPr>
                <w:rFonts w:ascii="Times New Roman" w:hAnsi="Times New Roman"/>
                <w:sz w:val="22"/>
                <w:szCs w:val="22"/>
              </w:rPr>
              <w:t>ij</w:t>
            </w:r>
            <w:r w:rsidRPr="0016092F">
              <w:rPr>
                <w:rFonts w:ascii="Times New Roman" w:hAnsi="Times New Roman"/>
                <w:sz w:val="22"/>
                <w:szCs w:val="22"/>
              </w:rPr>
              <w:t>enjene supkutano jednom u dv</w:t>
            </w:r>
            <w:r w:rsidR="00584EC9" w:rsidRPr="0016092F">
              <w:rPr>
                <w:rFonts w:ascii="Times New Roman" w:hAnsi="Times New Roman"/>
                <w:sz w:val="22"/>
                <w:szCs w:val="22"/>
              </w:rPr>
              <w:t>ij</w:t>
            </w:r>
            <w:r w:rsidRPr="0016092F">
              <w:rPr>
                <w:rFonts w:ascii="Times New Roman" w:hAnsi="Times New Roman"/>
                <w:sz w:val="22"/>
                <w:szCs w:val="22"/>
              </w:rPr>
              <w:t>e ned</w:t>
            </w:r>
            <w:r w:rsidR="00584EC9" w:rsidRPr="0016092F">
              <w:rPr>
                <w:rFonts w:ascii="Times New Roman" w:hAnsi="Times New Roman"/>
                <w:sz w:val="22"/>
                <w:szCs w:val="22"/>
              </w:rPr>
              <w:t>j</w:t>
            </w:r>
            <w:r w:rsidRPr="0016092F">
              <w:rPr>
                <w:rFonts w:ascii="Times New Roman" w:hAnsi="Times New Roman"/>
                <w:sz w:val="22"/>
                <w:szCs w:val="22"/>
              </w:rPr>
              <w:t xml:space="preserve">elje. </w:t>
            </w:r>
            <w:r w:rsidR="00BA0491" w:rsidRPr="0016092F">
              <w:rPr>
                <w:rFonts w:ascii="Times New Roman" w:hAnsi="Times New Roman"/>
                <w:sz w:val="22"/>
                <w:szCs w:val="22"/>
              </w:rPr>
              <w:t>Sve u svemu, na osnovu rezultata ovih farmakodinamskih ispitivanja na zdravim  dobrovoljcima čini se da je režim doziranja sa 40 000 i.j. jednom ned</w:t>
            </w:r>
            <w:r w:rsidR="00584EC9" w:rsidRPr="0016092F">
              <w:rPr>
                <w:rFonts w:ascii="Times New Roman" w:hAnsi="Times New Roman"/>
                <w:sz w:val="22"/>
                <w:szCs w:val="22"/>
              </w:rPr>
              <w:t>j</w:t>
            </w:r>
            <w:r w:rsidR="00BA0491" w:rsidRPr="0016092F">
              <w:rPr>
                <w:rFonts w:ascii="Times New Roman" w:hAnsi="Times New Roman"/>
                <w:sz w:val="22"/>
                <w:szCs w:val="22"/>
              </w:rPr>
              <w:t>eljno d</w:t>
            </w:r>
            <w:r w:rsidR="00584EC9" w:rsidRPr="0016092F">
              <w:rPr>
                <w:rFonts w:ascii="Times New Roman" w:hAnsi="Times New Roman"/>
                <w:sz w:val="22"/>
                <w:szCs w:val="22"/>
              </w:rPr>
              <w:t>j</w:t>
            </w:r>
            <w:r w:rsidR="00BA0491" w:rsidRPr="0016092F">
              <w:rPr>
                <w:rFonts w:ascii="Times New Roman" w:hAnsi="Times New Roman"/>
                <w:sz w:val="22"/>
                <w:szCs w:val="22"/>
              </w:rPr>
              <w:t>elotvorniji u proizvodnji crvenih krvnih zrnaca nego režimi sa prim</w:t>
            </w:r>
            <w:r w:rsidR="00584EC9" w:rsidRPr="0016092F">
              <w:rPr>
                <w:rFonts w:ascii="Times New Roman" w:hAnsi="Times New Roman"/>
                <w:sz w:val="22"/>
                <w:szCs w:val="22"/>
              </w:rPr>
              <w:t>j</w:t>
            </w:r>
            <w:r w:rsidR="00BA0491" w:rsidRPr="0016092F">
              <w:rPr>
                <w:rFonts w:ascii="Times New Roman" w:hAnsi="Times New Roman"/>
                <w:sz w:val="22"/>
                <w:szCs w:val="22"/>
              </w:rPr>
              <w:t>enom jednom u dv</w:t>
            </w:r>
            <w:r w:rsidR="00584EC9" w:rsidRPr="0016092F">
              <w:rPr>
                <w:rFonts w:ascii="Times New Roman" w:hAnsi="Times New Roman"/>
                <w:sz w:val="22"/>
                <w:szCs w:val="22"/>
              </w:rPr>
              <w:t>ij</w:t>
            </w:r>
            <w:r w:rsidR="00BA0491" w:rsidRPr="0016092F">
              <w:rPr>
                <w:rFonts w:ascii="Times New Roman" w:hAnsi="Times New Roman"/>
                <w:sz w:val="22"/>
                <w:szCs w:val="22"/>
              </w:rPr>
              <w:t>e ned</w:t>
            </w:r>
            <w:r w:rsidR="00584EC9" w:rsidRPr="0016092F">
              <w:rPr>
                <w:rFonts w:ascii="Times New Roman" w:hAnsi="Times New Roman"/>
                <w:sz w:val="22"/>
                <w:szCs w:val="22"/>
              </w:rPr>
              <w:t>j</w:t>
            </w:r>
            <w:r w:rsidR="00BA0491" w:rsidRPr="0016092F">
              <w:rPr>
                <w:rFonts w:ascii="Times New Roman" w:hAnsi="Times New Roman"/>
                <w:sz w:val="22"/>
                <w:szCs w:val="22"/>
              </w:rPr>
              <w:t>elje uprkos uočenoj sličnosti u proizvodnji retikulocita kod ova dva režima.</w:t>
            </w:r>
          </w:p>
          <w:p w:rsidR="00BA0491" w:rsidRPr="0016092F" w:rsidRDefault="00BA0491" w:rsidP="006F146B">
            <w:pPr>
              <w:pStyle w:val="Header"/>
              <w:tabs>
                <w:tab w:val="clear" w:pos="4536"/>
                <w:tab w:val="clear" w:pos="9072"/>
                <w:tab w:val="left" w:pos="284"/>
              </w:tabs>
              <w:rPr>
                <w:rFonts w:ascii="Times New Roman" w:hAnsi="Times New Roman"/>
                <w:sz w:val="22"/>
                <w:szCs w:val="22"/>
              </w:rPr>
            </w:pPr>
          </w:p>
          <w:p w:rsidR="00BA0491" w:rsidRPr="0016092F" w:rsidRDefault="00BA0491"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Hronična insuficijencija bubrega</w:t>
            </w:r>
          </w:p>
          <w:p w:rsidR="00BA0491" w:rsidRPr="0016092F" w:rsidRDefault="005B2E0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Dokazano je da epoetin alfa stimuliše eritropoezu kod anemičnih pacijenata sa hroničnom insuficijencijom bubrega, uključujući pacijente na dijalizi i one koji još ni</w:t>
            </w:r>
            <w:r w:rsidR="00584EC9" w:rsidRPr="0016092F">
              <w:rPr>
                <w:rFonts w:ascii="Times New Roman" w:hAnsi="Times New Roman"/>
                <w:sz w:val="22"/>
                <w:szCs w:val="22"/>
              </w:rPr>
              <w:t>je</w:t>
            </w:r>
            <w:r w:rsidRPr="0016092F">
              <w:rPr>
                <w:rFonts w:ascii="Times New Roman" w:hAnsi="Times New Roman"/>
                <w:sz w:val="22"/>
                <w:szCs w:val="22"/>
              </w:rPr>
              <w:t>su na dijalizi. Prvi dokaz odgovora na epoetin alfa je porast broja retikulocita unutar 10 dana, praćen porastom broja crvenih krvnih zrnaca, hemoglobina i hematokrita, obično unutar 2-6 ned</w:t>
            </w:r>
            <w:r w:rsidR="00584EC9" w:rsidRPr="0016092F">
              <w:rPr>
                <w:rFonts w:ascii="Times New Roman" w:hAnsi="Times New Roman"/>
                <w:sz w:val="22"/>
                <w:szCs w:val="22"/>
              </w:rPr>
              <w:t>j</w:t>
            </w:r>
            <w:r w:rsidRPr="0016092F">
              <w:rPr>
                <w:rFonts w:ascii="Times New Roman" w:hAnsi="Times New Roman"/>
                <w:sz w:val="22"/>
                <w:szCs w:val="22"/>
              </w:rPr>
              <w:t>elja. Odgovor hemoglobina se razlikuje među pacijentima i može biti pod uticajem rezervi gvožđa i istovremeno prisutnih zdravstvenih problema.</w:t>
            </w:r>
          </w:p>
          <w:p w:rsidR="005B2E06" w:rsidRPr="0016092F" w:rsidRDefault="005B2E06" w:rsidP="006F146B">
            <w:pPr>
              <w:pStyle w:val="Header"/>
              <w:tabs>
                <w:tab w:val="clear" w:pos="4536"/>
                <w:tab w:val="clear" w:pos="9072"/>
                <w:tab w:val="left" w:pos="284"/>
              </w:tabs>
              <w:rPr>
                <w:rFonts w:ascii="Times New Roman" w:hAnsi="Times New Roman"/>
                <w:sz w:val="22"/>
                <w:szCs w:val="22"/>
              </w:rPr>
            </w:pPr>
          </w:p>
          <w:p w:rsidR="005B2E06" w:rsidRPr="0016092F" w:rsidRDefault="005B2E06"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Anemija indukovana hemoterapijom</w:t>
            </w:r>
          </w:p>
          <w:p w:rsidR="005B2E06" w:rsidRPr="0016092F" w:rsidRDefault="009808AE"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Dokazano je da prim</w:t>
            </w:r>
            <w:r w:rsidR="00584EC9" w:rsidRPr="0016092F">
              <w:rPr>
                <w:rFonts w:ascii="Times New Roman" w:hAnsi="Times New Roman"/>
                <w:sz w:val="22"/>
                <w:szCs w:val="22"/>
              </w:rPr>
              <w:t>j</w:t>
            </w:r>
            <w:r w:rsidRPr="0016092F">
              <w:rPr>
                <w:rFonts w:ascii="Times New Roman" w:hAnsi="Times New Roman"/>
                <w:sz w:val="22"/>
                <w:szCs w:val="22"/>
              </w:rPr>
              <w:t>ena epoetina alfa 3 puta ned</w:t>
            </w:r>
            <w:r w:rsidR="00584EC9" w:rsidRPr="0016092F">
              <w:rPr>
                <w:rFonts w:ascii="Times New Roman" w:hAnsi="Times New Roman"/>
                <w:sz w:val="22"/>
                <w:szCs w:val="22"/>
              </w:rPr>
              <w:t>j</w:t>
            </w:r>
            <w:r w:rsidRPr="0016092F">
              <w:rPr>
                <w:rFonts w:ascii="Times New Roman" w:hAnsi="Times New Roman"/>
                <w:sz w:val="22"/>
                <w:szCs w:val="22"/>
              </w:rPr>
              <w:t>eljno ili jednom ned</w:t>
            </w:r>
            <w:r w:rsidR="00584EC9" w:rsidRPr="0016092F">
              <w:rPr>
                <w:rFonts w:ascii="Times New Roman" w:hAnsi="Times New Roman"/>
                <w:sz w:val="22"/>
                <w:szCs w:val="22"/>
              </w:rPr>
              <w:t>j</w:t>
            </w:r>
            <w:r w:rsidRPr="0016092F">
              <w:rPr>
                <w:rFonts w:ascii="Times New Roman" w:hAnsi="Times New Roman"/>
                <w:sz w:val="22"/>
                <w:szCs w:val="22"/>
              </w:rPr>
              <w:t>eljno povećava vr</w:t>
            </w:r>
            <w:r w:rsidR="00584EC9" w:rsidRPr="0016092F">
              <w:rPr>
                <w:rFonts w:ascii="Times New Roman" w:hAnsi="Times New Roman"/>
                <w:sz w:val="22"/>
                <w:szCs w:val="22"/>
              </w:rPr>
              <w:t>ij</w:t>
            </w:r>
            <w:r w:rsidRPr="0016092F">
              <w:rPr>
                <w:rFonts w:ascii="Times New Roman" w:hAnsi="Times New Roman"/>
                <w:sz w:val="22"/>
                <w:szCs w:val="22"/>
              </w:rPr>
              <w:t>ednosti hemoglobina i smanjuje potrebu za transfuzijom nakon prvog m</w:t>
            </w:r>
            <w:r w:rsidR="00584EC9" w:rsidRPr="0016092F">
              <w:rPr>
                <w:rFonts w:ascii="Times New Roman" w:hAnsi="Times New Roman"/>
                <w:sz w:val="22"/>
                <w:szCs w:val="22"/>
              </w:rPr>
              <w:t>j</w:t>
            </w:r>
            <w:r w:rsidRPr="0016092F">
              <w:rPr>
                <w:rFonts w:ascii="Times New Roman" w:hAnsi="Times New Roman"/>
                <w:sz w:val="22"/>
                <w:szCs w:val="22"/>
              </w:rPr>
              <w:t xml:space="preserve">eseca terapije kod anemičnih pacijenata sa karcinomom koji primaju hemoterapiju. </w:t>
            </w:r>
          </w:p>
          <w:p w:rsidR="009808AE" w:rsidRPr="0016092F" w:rsidRDefault="009808AE" w:rsidP="006F146B">
            <w:pPr>
              <w:pStyle w:val="Header"/>
              <w:tabs>
                <w:tab w:val="clear" w:pos="4536"/>
                <w:tab w:val="clear" w:pos="9072"/>
                <w:tab w:val="left" w:pos="284"/>
              </w:tabs>
              <w:rPr>
                <w:rFonts w:ascii="Times New Roman" w:hAnsi="Times New Roman"/>
                <w:sz w:val="22"/>
                <w:szCs w:val="22"/>
              </w:rPr>
            </w:pPr>
          </w:p>
          <w:p w:rsidR="009808AE" w:rsidRPr="0016092F" w:rsidRDefault="009808AE"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ispitivanju koje je poredilo prim</w:t>
            </w:r>
            <w:r w:rsidR="00584EC9" w:rsidRPr="0016092F">
              <w:rPr>
                <w:rFonts w:ascii="Times New Roman" w:hAnsi="Times New Roman"/>
                <w:sz w:val="22"/>
                <w:szCs w:val="22"/>
              </w:rPr>
              <w:t>j</w:t>
            </w:r>
            <w:r w:rsidRPr="0016092F">
              <w:rPr>
                <w:rFonts w:ascii="Times New Roman" w:hAnsi="Times New Roman"/>
                <w:sz w:val="22"/>
                <w:szCs w:val="22"/>
              </w:rPr>
              <w:t>enu 150 i.j. 3 puta ned</w:t>
            </w:r>
            <w:r w:rsidR="00584EC9" w:rsidRPr="0016092F">
              <w:rPr>
                <w:rFonts w:ascii="Times New Roman" w:hAnsi="Times New Roman"/>
                <w:sz w:val="22"/>
                <w:szCs w:val="22"/>
              </w:rPr>
              <w:t>j</w:t>
            </w:r>
            <w:r w:rsidRPr="0016092F">
              <w:rPr>
                <w:rFonts w:ascii="Times New Roman" w:hAnsi="Times New Roman"/>
                <w:sz w:val="22"/>
                <w:szCs w:val="22"/>
              </w:rPr>
              <w:t>eljno i 40 000 i.j. jednom ned</w:t>
            </w:r>
            <w:r w:rsidR="00584EC9" w:rsidRPr="0016092F">
              <w:rPr>
                <w:rFonts w:ascii="Times New Roman" w:hAnsi="Times New Roman"/>
                <w:sz w:val="22"/>
                <w:szCs w:val="22"/>
              </w:rPr>
              <w:t>j</w:t>
            </w:r>
            <w:r w:rsidRPr="0016092F">
              <w:rPr>
                <w:rFonts w:ascii="Times New Roman" w:hAnsi="Times New Roman"/>
                <w:sz w:val="22"/>
                <w:szCs w:val="22"/>
              </w:rPr>
              <w:t>eljno kod zdravih dobrovoljaca i anemičnih pacijenata sa karcinomom, profili prom</w:t>
            </w:r>
            <w:r w:rsidR="00584EC9" w:rsidRPr="0016092F">
              <w:rPr>
                <w:rFonts w:ascii="Times New Roman" w:hAnsi="Times New Roman"/>
                <w:sz w:val="22"/>
                <w:szCs w:val="22"/>
              </w:rPr>
              <w:t>j</w:t>
            </w:r>
            <w:r w:rsidRPr="0016092F">
              <w:rPr>
                <w:rFonts w:ascii="Times New Roman" w:hAnsi="Times New Roman"/>
                <w:sz w:val="22"/>
                <w:szCs w:val="22"/>
              </w:rPr>
              <w:t>ena procenta retikulocita, hemoglobina i ukupnog broja crvenih krvnih zrnaca tokom vremena bili su slični u ta dva režima doziranja i kod zdravih dobrovoljaca i kod anemičnih pacijenata sa karcinomom. PIK odgovarajućih farmakodinamskih parametara bio je sličan u režimu doziranja 150 i.j. 3 puta ned</w:t>
            </w:r>
            <w:r w:rsidR="00584EC9" w:rsidRPr="0016092F">
              <w:rPr>
                <w:rFonts w:ascii="Times New Roman" w:hAnsi="Times New Roman"/>
                <w:sz w:val="22"/>
                <w:szCs w:val="22"/>
              </w:rPr>
              <w:t>j</w:t>
            </w:r>
            <w:r w:rsidRPr="0016092F">
              <w:rPr>
                <w:rFonts w:ascii="Times New Roman" w:hAnsi="Times New Roman"/>
                <w:sz w:val="22"/>
                <w:szCs w:val="22"/>
              </w:rPr>
              <w:t>eljno i 40 000 i.j. jednom ned</w:t>
            </w:r>
            <w:r w:rsidR="00584EC9" w:rsidRPr="0016092F">
              <w:rPr>
                <w:rFonts w:ascii="Times New Roman" w:hAnsi="Times New Roman"/>
                <w:sz w:val="22"/>
                <w:szCs w:val="22"/>
              </w:rPr>
              <w:t>j</w:t>
            </w:r>
            <w:r w:rsidRPr="0016092F">
              <w:rPr>
                <w:rFonts w:ascii="Times New Roman" w:hAnsi="Times New Roman"/>
                <w:sz w:val="22"/>
                <w:szCs w:val="22"/>
              </w:rPr>
              <w:t>eljno kako kod zdravih dobrovoljaca tako i kod anemičnih pacijenata sa karcinomom.</w:t>
            </w:r>
          </w:p>
          <w:p w:rsidR="009808AE" w:rsidRPr="0016092F" w:rsidRDefault="009808AE" w:rsidP="006F146B">
            <w:pPr>
              <w:pStyle w:val="Header"/>
              <w:tabs>
                <w:tab w:val="clear" w:pos="4536"/>
                <w:tab w:val="clear" w:pos="9072"/>
                <w:tab w:val="left" w:pos="284"/>
              </w:tabs>
              <w:rPr>
                <w:rFonts w:ascii="Times New Roman" w:hAnsi="Times New Roman"/>
                <w:sz w:val="22"/>
                <w:szCs w:val="22"/>
              </w:rPr>
            </w:pPr>
          </w:p>
          <w:p w:rsidR="009808AE" w:rsidRPr="0016092F" w:rsidRDefault="0015566B"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Odrasli hirurški pacijenti u programu autologne predonacije</w:t>
            </w:r>
          </w:p>
          <w:p w:rsidR="0015566B" w:rsidRPr="0016092F" w:rsidRDefault="0041687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Dokazano je da wpowtin alfa stimuliše stvaranje crvrnih krvnih zrnaca kako bi s epovećala količina prikupljene autologne krvi i da ograničava pad hemoglobina kod odarslih pacijenata predviđenih za veliki elektivni hirurški zahvat kod kojih nije potrebno prethodno pothraniti potrebnu količinu krvi za parioperativni period. Najveći efekti uočeni su kod pacijenata sa niskim hemoglobinom (≤ 13 g/dl).</w:t>
            </w:r>
          </w:p>
          <w:p w:rsidR="00416877" w:rsidRPr="0016092F" w:rsidRDefault="00416877" w:rsidP="006F146B">
            <w:pPr>
              <w:pStyle w:val="Header"/>
              <w:tabs>
                <w:tab w:val="clear" w:pos="4536"/>
                <w:tab w:val="clear" w:pos="9072"/>
                <w:tab w:val="left" w:pos="284"/>
              </w:tabs>
              <w:rPr>
                <w:rFonts w:ascii="Times New Roman" w:hAnsi="Times New Roman"/>
                <w:sz w:val="22"/>
                <w:szCs w:val="22"/>
              </w:rPr>
            </w:pPr>
          </w:p>
          <w:p w:rsidR="00416877" w:rsidRPr="0016092F" w:rsidRDefault="00416877"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L</w:t>
            </w:r>
            <w:r w:rsidR="00F660B3" w:rsidRPr="0016092F">
              <w:rPr>
                <w:rFonts w:ascii="Times New Roman" w:hAnsi="Times New Roman"/>
                <w:sz w:val="22"/>
                <w:szCs w:val="22"/>
                <w:u w:val="single"/>
              </w:rPr>
              <w:t>ij</w:t>
            </w:r>
            <w:r w:rsidRPr="0016092F">
              <w:rPr>
                <w:rFonts w:ascii="Times New Roman" w:hAnsi="Times New Roman"/>
                <w:sz w:val="22"/>
                <w:szCs w:val="22"/>
                <w:u w:val="single"/>
              </w:rPr>
              <w:t>ečenje odraslih pacijenata predviđenih za veliki elektivni ortopedski hirurški zahvat</w:t>
            </w:r>
          </w:p>
          <w:p w:rsidR="00FD3D7B" w:rsidRPr="0016092F" w:rsidRDefault="0041687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Dokazano je da epoetin alfa kod pacijenata predviđenih za veliki elektivni ortopedski hirurški zahvat sa vr</w:t>
            </w:r>
            <w:r w:rsidR="00F660B3" w:rsidRPr="0016092F">
              <w:rPr>
                <w:rFonts w:ascii="Times New Roman" w:hAnsi="Times New Roman"/>
                <w:sz w:val="22"/>
                <w:szCs w:val="22"/>
              </w:rPr>
              <w:t>ij</w:t>
            </w:r>
            <w:r w:rsidRPr="0016092F">
              <w:rPr>
                <w:rFonts w:ascii="Times New Roman" w:hAnsi="Times New Roman"/>
                <w:sz w:val="22"/>
                <w:szCs w:val="22"/>
              </w:rPr>
              <w:t>ednostima hemoglobina od &gt;10  do ≤ 13 g/dl pr</w:t>
            </w:r>
            <w:r w:rsidR="00F660B3" w:rsidRPr="0016092F">
              <w:rPr>
                <w:rFonts w:ascii="Times New Roman" w:hAnsi="Times New Roman"/>
                <w:sz w:val="22"/>
                <w:szCs w:val="22"/>
              </w:rPr>
              <w:t>ij</w:t>
            </w:r>
            <w:r w:rsidRPr="0016092F">
              <w:rPr>
                <w:rFonts w:ascii="Times New Roman" w:hAnsi="Times New Roman"/>
                <w:sz w:val="22"/>
                <w:szCs w:val="22"/>
              </w:rPr>
              <w:t>e l</w:t>
            </w:r>
            <w:r w:rsidR="00F660B3" w:rsidRPr="0016092F">
              <w:rPr>
                <w:rFonts w:ascii="Times New Roman" w:hAnsi="Times New Roman"/>
                <w:sz w:val="22"/>
                <w:szCs w:val="22"/>
              </w:rPr>
              <w:t>ij</w:t>
            </w:r>
            <w:r w:rsidRPr="0016092F">
              <w:rPr>
                <w:rFonts w:ascii="Times New Roman" w:hAnsi="Times New Roman"/>
                <w:sz w:val="22"/>
                <w:szCs w:val="22"/>
              </w:rPr>
              <w:t>ečenja smanjuje rizik od primanja alogenih transfuzija i ubrzava eritroidni oporavak (povišene vr</w:t>
            </w:r>
            <w:r w:rsidR="00F660B3" w:rsidRPr="0016092F">
              <w:rPr>
                <w:rFonts w:ascii="Times New Roman" w:hAnsi="Times New Roman"/>
                <w:sz w:val="22"/>
                <w:szCs w:val="22"/>
              </w:rPr>
              <w:t>ij</w:t>
            </w:r>
            <w:r w:rsidRPr="0016092F">
              <w:rPr>
                <w:rFonts w:ascii="Times New Roman" w:hAnsi="Times New Roman"/>
                <w:sz w:val="22"/>
                <w:szCs w:val="22"/>
              </w:rPr>
              <w:t>ednosti hemoglobina i hematokrita i broja retikulocita).</w:t>
            </w:r>
          </w:p>
          <w:p w:rsidR="00BD61A7" w:rsidRPr="0016092F" w:rsidRDefault="00BD61A7" w:rsidP="006F146B">
            <w:pPr>
              <w:pStyle w:val="Header"/>
              <w:tabs>
                <w:tab w:val="clear" w:pos="4536"/>
                <w:tab w:val="clear" w:pos="9072"/>
                <w:tab w:val="left" w:pos="284"/>
              </w:tabs>
              <w:rPr>
                <w:rFonts w:ascii="Times New Roman" w:hAnsi="Times New Roman"/>
                <w:sz w:val="22"/>
                <w:szCs w:val="22"/>
              </w:rPr>
            </w:pPr>
          </w:p>
          <w:p w:rsidR="00FD3D7B" w:rsidRPr="0016092F" w:rsidRDefault="00FD3D7B"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Klinička efikasnost i bezb</w:t>
            </w:r>
            <w:r w:rsidR="00F660B3" w:rsidRPr="0016092F">
              <w:rPr>
                <w:rFonts w:ascii="Times New Roman" w:hAnsi="Times New Roman"/>
                <w:sz w:val="22"/>
                <w:szCs w:val="22"/>
                <w:u w:val="single"/>
              </w:rPr>
              <w:t>j</w:t>
            </w:r>
            <w:r w:rsidRPr="0016092F">
              <w:rPr>
                <w:rFonts w:ascii="Times New Roman" w:hAnsi="Times New Roman"/>
                <w:sz w:val="22"/>
                <w:szCs w:val="22"/>
                <w:u w:val="single"/>
              </w:rPr>
              <w:t>ednost</w:t>
            </w:r>
          </w:p>
          <w:p w:rsidR="00416877" w:rsidRPr="0016092F" w:rsidRDefault="00416877"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Hronična insuficijencija bubrega</w:t>
            </w:r>
          </w:p>
          <w:p w:rsidR="0032170C" w:rsidRPr="0016092F" w:rsidRDefault="00C6580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Epoe</w:t>
            </w:r>
            <w:r w:rsidR="0032170C" w:rsidRPr="0016092F">
              <w:rPr>
                <w:rFonts w:ascii="Times New Roman" w:hAnsi="Times New Roman"/>
                <w:sz w:val="22"/>
                <w:szCs w:val="22"/>
              </w:rPr>
              <w:t>tin alfa ispitivan je u kliničkim studijama kod odraslih anemičnih pacijenata sa hroničnom insuficijencijom bubrega, uključujući pacijente na dijalizi i one koji još ni</w:t>
            </w:r>
            <w:r w:rsidR="00F660B3" w:rsidRPr="0016092F">
              <w:rPr>
                <w:rFonts w:ascii="Times New Roman" w:hAnsi="Times New Roman"/>
                <w:sz w:val="22"/>
                <w:szCs w:val="22"/>
              </w:rPr>
              <w:t>je</w:t>
            </w:r>
            <w:r w:rsidR="0032170C" w:rsidRPr="0016092F">
              <w:rPr>
                <w:rFonts w:ascii="Times New Roman" w:hAnsi="Times New Roman"/>
                <w:sz w:val="22"/>
                <w:szCs w:val="22"/>
              </w:rPr>
              <w:t>su na dijalizi, za l</w:t>
            </w:r>
            <w:r w:rsidR="00F660B3" w:rsidRPr="0016092F">
              <w:rPr>
                <w:rFonts w:ascii="Times New Roman" w:hAnsi="Times New Roman"/>
                <w:sz w:val="22"/>
                <w:szCs w:val="22"/>
              </w:rPr>
              <w:t>ij</w:t>
            </w:r>
            <w:r w:rsidR="0032170C" w:rsidRPr="0016092F">
              <w:rPr>
                <w:rFonts w:ascii="Times New Roman" w:hAnsi="Times New Roman"/>
                <w:sz w:val="22"/>
                <w:szCs w:val="22"/>
              </w:rPr>
              <w:t>ečenje anemije i održavanje hematokrita u okviru ciljnog raspona koncentracije od 30 do 36%.</w:t>
            </w:r>
          </w:p>
          <w:p w:rsidR="0032170C" w:rsidRPr="0016092F" w:rsidRDefault="0032170C" w:rsidP="006F146B">
            <w:pPr>
              <w:pStyle w:val="Header"/>
              <w:tabs>
                <w:tab w:val="clear" w:pos="4536"/>
                <w:tab w:val="clear" w:pos="9072"/>
                <w:tab w:val="left" w:pos="284"/>
              </w:tabs>
              <w:rPr>
                <w:rFonts w:ascii="Times New Roman" w:hAnsi="Times New Roman"/>
                <w:sz w:val="22"/>
                <w:szCs w:val="22"/>
              </w:rPr>
            </w:pPr>
          </w:p>
          <w:p w:rsidR="0032170C" w:rsidRPr="0016092F" w:rsidRDefault="0032170C"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kliničkim studijama pri početnim dozama od 50 do 150 i.j./kg tri puta ned</w:t>
            </w:r>
            <w:r w:rsidR="00F660B3" w:rsidRPr="0016092F">
              <w:rPr>
                <w:rFonts w:ascii="Times New Roman" w:hAnsi="Times New Roman"/>
                <w:sz w:val="22"/>
                <w:szCs w:val="22"/>
              </w:rPr>
              <w:t>j</w:t>
            </w:r>
            <w:r w:rsidRPr="0016092F">
              <w:rPr>
                <w:rFonts w:ascii="Times New Roman" w:hAnsi="Times New Roman"/>
                <w:sz w:val="22"/>
                <w:szCs w:val="22"/>
              </w:rPr>
              <w:t>eljno, približno 95% svih  pacijenata odgovorilo je klinički značajnim povećanjem hematokrita. Nakon približno dva m</w:t>
            </w:r>
            <w:r w:rsidR="00F660B3" w:rsidRPr="0016092F">
              <w:rPr>
                <w:rFonts w:ascii="Times New Roman" w:hAnsi="Times New Roman"/>
                <w:sz w:val="22"/>
                <w:szCs w:val="22"/>
              </w:rPr>
              <w:t>j</w:t>
            </w:r>
            <w:r w:rsidRPr="0016092F">
              <w:rPr>
                <w:rFonts w:ascii="Times New Roman" w:hAnsi="Times New Roman"/>
                <w:sz w:val="22"/>
                <w:szCs w:val="22"/>
              </w:rPr>
              <w:t xml:space="preserve">eseca terapije </w:t>
            </w:r>
            <w:r w:rsidRPr="0016092F">
              <w:rPr>
                <w:rFonts w:ascii="Times New Roman" w:hAnsi="Times New Roman"/>
                <w:sz w:val="22"/>
                <w:szCs w:val="22"/>
              </w:rPr>
              <w:lastRenderedPageBreak/>
              <w:t>doslovno su svi pacijenti bili nezavisni od transfiuzije. Nakon postizanja ciljne vr</w:t>
            </w:r>
            <w:r w:rsidR="00F660B3" w:rsidRPr="0016092F">
              <w:rPr>
                <w:rFonts w:ascii="Times New Roman" w:hAnsi="Times New Roman"/>
                <w:sz w:val="22"/>
                <w:szCs w:val="22"/>
              </w:rPr>
              <w:t>ij</w:t>
            </w:r>
            <w:r w:rsidRPr="0016092F">
              <w:rPr>
                <w:rFonts w:ascii="Times New Roman" w:hAnsi="Times New Roman"/>
                <w:sz w:val="22"/>
                <w:szCs w:val="22"/>
              </w:rPr>
              <w:t>ednosti hematokrita, određena je individualna doza održavanja za svakog pacijenta.</w:t>
            </w:r>
          </w:p>
          <w:p w:rsidR="0032170C" w:rsidRPr="0016092F" w:rsidRDefault="0032170C" w:rsidP="006F146B">
            <w:pPr>
              <w:pStyle w:val="Header"/>
              <w:tabs>
                <w:tab w:val="clear" w:pos="4536"/>
                <w:tab w:val="clear" w:pos="9072"/>
                <w:tab w:val="left" w:pos="284"/>
              </w:tabs>
              <w:rPr>
                <w:rFonts w:ascii="Times New Roman" w:hAnsi="Times New Roman"/>
                <w:sz w:val="22"/>
                <w:szCs w:val="22"/>
              </w:rPr>
            </w:pPr>
          </w:p>
          <w:p w:rsidR="0032170C" w:rsidRPr="0016092F" w:rsidRDefault="0032170C"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tri najveće kliničke studije sprovedene kod odraslih pacijenata na dijalizi, srednja doza održavanja potrebna za održavanje hematokrita između 30 i 36% bila je otprilike 75 i.j./kg tri puta ned</w:t>
            </w:r>
            <w:r w:rsidR="00F660B3" w:rsidRPr="0016092F">
              <w:rPr>
                <w:rFonts w:ascii="Times New Roman" w:hAnsi="Times New Roman"/>
                <w:sz w:val="22"/>
                <w:szCs w:val="22"/>
              </w:rPr>
              <w:t>j</w:t>
            </w:r>
            <w:r w:rsidRPr="0016092F">
              <w:rPr>
                <w:rFonts w:ascii="Times New Roman" w:hAnsi="Times New Roman"/>
                <w:sz w:val="22"/>
                <w:szCs w:val="22"/>
              </w:rPr>
              <w:t>eljno.</w:t>
            </w:r>
          </w:p>
          <w:p w:rsidR="0032170C" w:rsidRPr="0016092F" w:rsidRDefault="0032170C" w:rsidP="006F146B">
            <w:pPr>
              <w:pStyle w:val="Header"/>
              <w:tabs>
                <w:tab w:val="clear" w:pos="4536"/>
                <w:tab w:val="clear" w:pos="9072"/>
                <w:tab w:val="left" w:pos="284"/>
              </w:tabs>
              <w:rPr>
                <w:rFonts w:ascii="Times New Roman" w:hAnsi="Times New Roman"/>
                <w:sz w:val="22"/>
                <w:szCs w:val="22"/>
              </w:rPr>
            </w:pPr>
          </w:p>
          <w:p w:rsidR="0032170C" w:rsidRPr="0016092F" w:rsidRDefault="0032170C"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dvostruko sl</w:t>
            </w:r>
            <w:r w:rsidR="00F660B3" w:rsidRPr="0016092F">
              <w:rPr>
                <w:rFonts w:ascii="Times New Roman" w:hAnsi="Times New Roman"/>
                <w:sz w:val="22"/>
                <w:szCs w:val="22"/>
              </w:rPr>
              <w:t>ij</w:t>
            </w:r>
            <w:r w:rsidRPr="0016092F">
              <w:rPr>
                <w:rFonts w:ascii="Times New Roman" w:hAnsi="Times New Roman"/>
                <w:sz w:val="22"/>
                <w:szCs w:val="22"/>
              </w:rPr>
              <w:t>epoj, placebo kontrolisanoj, multicentričnoj studiji kvaliteta života kod pacijenata sa hroničnom insuficijencijom bubrega na hemodijalizi dokazano je klinički i statistički značajno poboljšanje kod pacijenta l</w:t>
            </w:r>
            <w:r w:rsidR="00F660B3" w:rsidRPr="0016092F">
              <w:rPr>
                <w:rFonts w:ascii="Times New Roman" w:hAnsi="Times New Roman"/>
                <w:sz w:val="22"/>
                <w:szCs w:val="22"/>
              </w:rPr>
              <w:t>ij</w:t>
            </w:r>
            <w:r w:rsidRPr="0016092F">
              <w:rPr>
                <w:rFonts w:ascii="Times New Roman" w:hAnsi="Times New Roman"/>
                <w:sz w:val="22"/>
                <w:szCs w:val="22"/>
              </w:rPr>
              <w:t>ečenih epoetinom alfa u poređenju sa grupom koja je primala placebo ka</w:t>
            </w:r>
            <w:r w:rsidR="00C65805" w:rsidRPr="0016092F">
              <w:rPr>
                <w:rFonts w:ascii="Times New Roman" w:hAnsi="Times New Roman"/>
                <w:sz w:val="22"/>
                <w:szCs w:val="22"/>
              </w:rPr>
              <w:t>d</w:t>
            </w:r>
            <w:r w:rsidRPr="0016092F">
              <w:rPr>
                <w:rFonts w:ascii="Times New Roman" w:hAnsi="Times New Roman"/>
                <w:sz w:val="22"/>
                <w:szCs w:val="22"/>
              </w:rPr>
              <w:t xml:space="preserve">a </w:t>
            </w:r>
            <w:r w:rsidR="00C65805" w:rsidRPr="0016092F">
              <w:rPr>
                <w:rFonts w:ascii="Times New Roman" w:hAnsi="Times New Roman"/>
                <w:sz w:val="22"/>
                <w:szCs w:val="22"/>
              </w:rPr>
              <w:t>s</w:t>
            </w:r>
            <w:r w:rsidRPr="0016092F">
              <w:rPr>
                <w:rFonts w:ascii="Times New Roman" w:hAnsi="Times New Roman"/>
                <w:sz w:val="22"/>
                <w:szCs w:val="22"/>
              </w:rPr>
              <w:t>u m</w:t>
            </w:r>
            <w:r w:rsidR="00F660B3" w:rsidRPr="0016092F">
              <w:rPr>
                <w:rFonts w:ascii="Times New Roman" w:hAnsi="Times New Roman"/>
                <w:sz w:val="22"/>
                <w:szCs w:val="22"/>
              </w:rPr>
              <w:t>j</w:t>
            </w:r>
            <w:r w:rsidRPr="0016092F">
              <w:rPr>
                <w:rFonts w:ascii="Times New Roman" w:hAnsi="Times New Roman"/>
                <w:sz w:val="22"/>
                <w:szCs w:val="22"/>
              </w:rPr>
              <w:t>ereni umor, t</w:t>
            </w:r>
            <w:r w:rsidR="00F660B3" w:rsidRPr="0016092F">
              <w:rPr>
                <w:rFonts w:ascii="Times New Roman" w:hAnsi="Times New Roman"/>
                <w:sz w:val="22"/>
                <w:szCs w:val="22"/>
              </w:rPr>
              <w:t>j</w:t>
            </w:r>
            <w:r w:rsidRPr="0016092F">
              <w:rPr>
                <w:rFonts w:ascii="Times New Roman" w:hAnsi="Times New Roman"/>
                <w:sz w:val="22"/>
                <w:szCs w:val="22"/>
              </w:rPr>
              <w:t>elesni simptomi, odnosi i depresija</w:t>
            </w:r>
            <w:r w:rsidR="00C65805" w:rsidRPr="0016092F">
              <w:rPr>
                <w:rFonts w:ascii="Times New Roman" w:hAnsi="Times New Roman"/>
                <w:sz w:val="22"/>
                <w:szCs w:val="22"/>
              </w:rPr>
              <w:t xml:space="preserve"> (Upitnikom za obol</w:t>
            </w:r>
            <w:r w:rsidR="00F660B3" w:rsidRPr="0016092F">
              <w:rPr>
                <w:rFonts w:ascii="Times New Roman" w:hAnsi="Times New Roman"/>
                <w:sz w:val="22"/>
                <w:szCs w:val="22"/>
              </w:rPr>
              <w:t>j</w:t>
            </w:r>
            <w:r w:rsidR="00C65805" w:rsidRPr="0016092F">
              <w:rPr>
                <w:rFonts w:ascii="Times New Roman" w:hAnsi="Times New Roman"/>
                <w:sz w:val="22"/>
                <w:szCs w:val="22"/>
              </w:rPr>
              <w:t>ele od bubrežnih bolesti) nakon šest m</w:t>
            </w:r>
            <w:r w:rsidR="00F660B3" w:rsidRPr="0016092F">
              <w:rPr>
                <w:rFonts w:ascii="Times New Roman" w:hAnsi="Times New Roman"/>
                <w:sz w:val="22"/>
                <w:szCs w:val="22"/>
              </w:rPr>
              <w:t>j</w:t>
            </w:r>
            <w:r w:rsidR="00C65805" w:rsidRPr="0016092F">
              <w:rPr>
                <w:rFonts w:ascii="Times New Roman" w:hAnsi="Times New Roman"/>
                <w:sz w:val="22"/>
                <w:szCs w:val="22"/>
              </w:rPr>
              <w:t>eseci terapije. Pacijenti iz grupe l</w:t>
            </w:r>
            <w:r w:rsidR="00F660B3" w:rsidRPr="0016092F">
              <w:rPr>
                <w:rFonts w:ascii="Times New Roman" w:hAnsi="Times New Roman"/>
                <w:sz w:val="22"/>
                <w:szCs w:val="22"/>
              </w:rPr>
              <w:t>ij</w:t>
            </w:r>
            <w:r w:rsidR="00C65805" w:rsidRPr="0016092F">
              <w:rPr>
                <w:rFonts w:ascii="Times New Roman" w:hAnsi="Times New Roman"/>
                <w:sz w:val="22"/>
                <w:szCs w:val="22"/>
              </w:rPr>
              <w:t>ečene epoetinom alfa bili su takođe uključeni u otvoreni produžetak ispitivanja koji je pokazao da se poboljšanje kvaliteta života održavao tokom dodatnih 12 m</w:t>
            </w:r>
            <w:r w:rsidR="00F660B3" w:rsidRPr="0016092F">
              <w:rPr>
                <w:rFonts w:ascii="Times New Roman" w:hAnsi="Times New Roman"/>
                <w:sz w:val="22"/>
                <w:szCs w:val="22"/>
              </w:rPr>
              <w:t>j</w:t>
            </w:r>
            <w:r w:rsidR="00C65805" w:rsidRPr="0016092F">
              <w:rPr>
                <w:rFonts w:ascii="Times New Roman" w:hAnsi="Times New Roman"/>
                <w:sz w:val="22"/>
                <w:szCs w:val="22"/>
              </w:rPr>
              <w:t>eseci.</w:t>
            </w:r>
          </w:p>
          <w:p w:rsidR="00C65805" w:rsidRPr="0016092F" w:rsidRDefault="00C65805" w:rsidP="006F146B">
            <w:pPr>
              <w:pStyle w:val="Header"/>
              <w:tabs>
                <w:tab w:val="clear" w:pos="4536"/>
                <w:tab w:val="clear" w:pos="9072"/>
                <w:tab w:val="left" w:pos="284"/>
              </w:tabs>
              <w:rPr>
                <w:rFonts w:ascii="Times New Roman" w:hAnsi="Times New Roman"/>
                <w:sz w:val="22"/>
                <w:szCs w:val="22"/>
              </w:rPr>
            </w:pPr>
          </w:p>
          <w:p w:rsidR="00C65805" w:rsidRPr="0016092F" w:rsidRDefault="00C65805"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Odrasli pacijenti sa insuficijencijom bubrega koji još ni</w:t>
            </w:r>
            <w:r w:rsidR="00F660B3" w:rsidRPr="0016092F">
              <w:rPr>
                <w:rFonts w:ascii="Times New Roman" w:hAnsi="Times New Roman"/>
                <w:i/>
                <w:sz w:val="22"/>
                <w:szCs w:val="22"/>
              </w:rPr>
              <w:t>je</w:t>
            </w:r>
            <w:r w:rsidRPr="0016092F">
              <w:rPr>
                <w:rFonts w:ascii="Times New Roman" w:hAnsi="Times New Roman"/>
                <w:i/>
                <w:sz w:val="22"/>
                <w:szCs w:val="22"/>
              </w:rPr>
              <w:t>su na hemodijalizi</w:t>
            </w:r>
          </w:p>
          <w:p w:rsidR="00C65805" w:rsidRPr="0016092F" w:rsidRDefault="00C65805"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kliničkim studijama sprovedenim kod pacijenata sa hroničnom insuficijencijom bubrega koji ni</w:t>
            </w:r>
            <w:r w:rsidR="00F660B3" w:rsidRPr="0016092F">
              <w:rPr>
                <w:rFonts w:ascii="Times New Roman" w:hAnsi="Times New Roman"/>
                <w:sz w:val="22"/>
                <w:szCs w:val="22"/>
              </w:rPr>
              <w:t>je</w:t>
            </w:r>
            <w:r w:rsidRPr="0016092F">
              <w:rPr>
                <w:rFonts w:ascii="Times New Roman" w:hAnsi="Times New Roman"/>
                <w:sz w:val="22"/>
                <w:szCs w:val="22"/>
              </w:rPr>
              <w:t>su na dijalizi i koji su l</w:t>
            </w:r>
            <w:r w:rsidR="00F660B3" w:rsidRPr="0016092F">
              <w:rPr>
                <w:rFonts w:ascii="Times New Roman" w:hAnsi="Times New Roman"/>
                <w:sz w:val="22"/>
                <w:szCs w:val="22"/>
              </w:rPr>
              <w:t>ij</w:t>
            </w:r>
            <w:r w:rsidRPr="0016092F">
              <w:rPr>
                <w:rFonts w:ascii="Times New Roman" w:hAnsi="Times New Roman"/>
                <w:sz w:val="22"/>
                <w:szCs w:val="22"/>
              </w:rPr>
              <w:t>ečeni epoetinom alfa, pros</w:t>
            </w:r>
            <w:r w:rsidR="00F660B3" w:rsidRPr="0016092F">
              <w:rPr>
                <w:rFonts w:ascii="Times New Roman" w:hAnsi="Times New Roman"/>
                <w:sz w:val="22"/>
                <w:szCs w:val="22"/>
              </w:rPr>
              <w:t>j</w:t>
            </w:r>
            <w:r w:rsidRPr="0016092F">
              <w:rPr>
                <w:rFonts w:ascii="Times New Roman" w:hAnsi="Times New Roman"/>
                <w:sz w:val="22"/>
                <w:szCs w:val="22"/>
              </w:rPr>
              <w:t>ečno trajanje terapije bilo je skoro pet m</w:t>
            </w:r>
            <w:r w:rsidR="00F660B3" w:rsidRPr="0016092F">
              <w:rPr>
                <w:rFonts w:ascii="Times New Roman" w:hAnsi="Times New Roman"/>
                <w:sz w:val="22"/>
                <w:szCs w:val="22"/>
              </w:rPr>
              <w:t>j</w:t>
            </w:r>
            <w:r w:rsidRPr="0016092F">
              <w:rPr>
                <w:rFonts w:ascii="Times New Roman" w:hAnsi="Times New Roman"/>
                <w:sz w:val="22"/>
                <w:szCs w:val="22"/>
              </w:rPr>
              <w:t>eseci. Ovi pacijenti su odgovorili na terapiju epoetinom alfa na sličan način kao i pacijenti na dijalizi. Pacijenti sa hroničnom insuficijencijom bubregakoji ni</w:t>
            </w:r>
            <w:r w:rsidR="00F660B3" w:rsidRPr="0016092F">
              <w:rPr>
                <w:rFonts w:ascii="Times New Roman" w:hAnsi="Times New Roman"/>
                <w:sz w:val="22"/>
                <w:szCs w:val="22"/>
              </w:rPr>
              <w:t>je</w:t>
            </w:r>
            <w:r w:rsidRPr="0016092F">
              <w:rPr>
                <w:rFonts w:ascii="Times New Roman" w:hAnsi="Times New Roman"/>
                <w:sz w:val="22"/>
                <w:szCs w:val="22"/>
              </w:rPr>
              <w:t>su na dijalizi su, pri prim</w:t>
            </w:r>
            <w:r w:rsidR="00F660B3" w:rsidRPr="0016092F">
              <w:rPr>
                <w:rFonts w:ascii="Times New Roman" w:hAnsi="Times New Roman"/>
                <w:sz w:val="22"/>
                <w:szCs w:val="22"/>
              </w:rPr>
              <w:t>j</w:t>
            </w:r>
            <w:r w:rsidRPr="0016092F">
              <w:rPr>
                <w:rFonts w:ascii="Times New Roman" w:hAnsi="Times New Roman"/>
                <w:sz w:val="22"/>
                <w:szCs w:val="22"/>
              </w:rPr>
              <w:t>eni epoetina alfa intravenskim ili supkutanim putem, pokazali ravnomerni porast hematokrita zavistan od doze. Slični stepen</w:t>
            </w:r>
            <w:r w:rsidR="00F660B3" w:rsidRPr="0016092F">
              <w:rPr>
                <w:rFonts w:ascii="Times New Roman" w:hAnsi="Times New Roman"/>
                <w:sz w:val="22"/>
                <w:szCs w:val="22"/>
              </w:rPr>
              <w:t xml:space="preserve"> porasta hematokrita bio je zabi</w:t>
            </w:r>
            <w:r w:rsidRPr="0016092F">
              <w:rPr>
                <w:rFonts w:ascii="Times New Roman" w:hAnsi="Times New Roman"/>
                <w:sz w:val="22"/>
                <w:szCs w:val="22"/>
              </w:rPr>
              <w:t>l</w:t>
            </w:r>
            <w:r w:rsidR="00F660B3" w:rsidRPr="0016092F">
              <w:rPr>
                <w:rFonts w:ascii="Times New Roman" w:hAnsi="Times New Roman"/>
                <w:sz w:val="22"/>
                <w:szCs w:val="22"/>
              </w:rPr>
              <w:t>j</w:t>
            </w:r>
            <w:r w:rsidRPr="0016092F">
              <w:rPr>
                <w:rFonts w:ascii="Times New Roman" w:hAnsi="Times New Roman"/>
                <w:sz w:val="22"/>
                <w:szCs w:val="22"/>
              </w:rPr>
              <w:t>ežen pri prim</w:t>
            </w:r>
            <w:r w:rsidR="00F660B3" w:rsidRPr="0016092F">
              <w:rPr>
                <w:rFonts w:ascii="Times New Roman" w:hAnsi="Times New Roman"/>
                <w:sz w:val="22"/>
                <w:szCs w:val="22"/>
              </w:rPr>
              <w:t>j</w:t>
            </w:r>
            <w:r w:rsidRPr="0016092F">
              <w:rPr>
                <w:rFonts w:ascii="Times New Roman" w:hAnsi="Times New Roman"/>
                <w:sz w:val="22"/>
                <w:szCs w:val="22"/>
              </w:rPr>
              <w:t>eni epoetina alfa bilo kojim putem prim</w:t>
            </w:r>
            <w:r w:rsidR="00F660B3" w:rsidRPr="0016092F">
              <w:rPr>
                <w:rFonts w:ascii="Times New Roman" w:hAnsi="Times New Roman"/>
                <w:sz w:val="22"/>
                <w:szCs w:val="22"/>
              </w:rPr>
              <w:t>j</w:t>
            </w:r>
            <w:r w:rsidRPr="0016092F">
              <w:rPr>
                <w:rFonts w:ascii="Times New Roman" w:hAnsi="Times New Roman"/>
                <w:sz w:val="22"/>
                <w:szCs w:val="22"/>
              </w:rPr>
              <w:t>ene. Štaviše, dokazano je da doze epoetina alfa od 75 do 150 i.j./kg ned</w:t>
            </w:r>
            <w:r w:rsidR="00F660B3" w:rsidRPr="0016092F">
              <w:rPr>
                <w:rFonts w:ascii="Times New Roman" w:hAnsi="Times New Roman"/>
                <w:sz w:val="22"/>
                <w:szCs w:val="22"/>
              </w:rPr>
              <w:t>j</w:t>
            </w:r>
            <w:r w:rsidRPr="0016092F">
              <w:rPr>
                <w:rFonts w:ascii="Times New Roman" w:hAnsi="Times New Roman"/>
                <w:sz w:val="22"/>
                <w:szCs w:val="22"/>
              </w:rPr>
              <w:t>eljno održavaju hematokrit između 36 i 38% i do šest m</w:t>
            </w:r>
            <w:r w:rsidR="00F660B3" w:rsidRPr="0016092F">
              <w:rPr>
                <w:rFonts w:ascii="Times New Roman" w:hAnsi="Times New Roman"/>
                <w:sz w:val="22"/>
                <w:szCs w:val="22"/>
              </w:rPr>
              <w:t>j</w:t>
            </w:r>
            <w:r w:rsidRPr="0016092F">
              <w:rPr>
                <w:rFonts w:ascii="Times New Roman" w:hAnsi="Times New Roman"/>
                <w:sz w:val="22"/>
                <w:szCs w:val="22"/>
              </w:rPr>
              <w:t>eseci.</w:t>
            </w:r>
          </w:p>
          <w:p w:rsidR="00C65805" w:rsidRPr="0016092F" w:rsidRDefault="00C65805" w:rsidP="006F146B">
            <w:pPr>
              <w:pStyle w:val="Header"/>
              <w:tabs>
                <w:tab w:val="clear" w:pos="4536"/>
                <w:tab w:val="clear" w:pos="9072"/>
                <w:tab w:val="left" w:pos="284"/>
              </w:tabs>
              <w:rPr>
                <w:rFonts w:ascii="Times New Roman" w:hAnsi="Times New Roman"/>
                <w:sz w:val="22"/>
                <w:szCs w:val="22"/>
              </w:rPr>
            </w:pPr>
          </w:p>
          <w:p w:rsidR="00C65805" w:rsidRPr="0016092F" w:rsidRDefault="00512EE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dv</w:t>
            </w:r>
            <w:r w:rsidR="00F660B3" w:rsidRPr="0016092F">
              <w:rPr>
                <w:rFonts w:ascii="Times New Roman" w:hAnsi="Times New Roman"/>
                <w:sz w:val="22"/>
                <w:szCs w:val="22"/>
              </w:rPr>
              <w:t>ij</w:t>
            </w:r>
            <w:r w:rsidRPr="0016092F">
              <w:rPr>
                <w:rFonts w:ascii="Times New Roman" w:hAnsi="Times New Roman"/>
                <w:sz w:val="22"/>
                <w:szCs w:val="22"/>
              </w:rPr>
              <w:t>e studije sa produženim intervalom doziranja epoetina alfa (tri puta ned</w:t>
            </w:r>
            <w:r w:rsidR="00F660B3" w:rsidRPr="0016092F">
              <w:rPr>
                <w:rFonts w:ascii="Times New Roman" w:hAnsi="Times New Roman"/>
                <w:sz w:val="22"/>
                <w:szCs w:val="22"/>
              </w:rPr>
              <w:t>j</w:t>
            </w:r>
            <w:r w:rsidRPr="0016092F">
              <w:rPr>
                <w:rFonts w:ascii="Times New Roman" w:hAnsi="Times New Roman"/>
                <w:sz w:val="22"/>
                <w:szCs w:val="22"/>
              </w:rPr>
              <w:t>eljno, jednom ned</w:t>
            </w:r>
            <w:r w:rsidR="00F660B3" w:rsidRPr="0016092F">
              <w:rPr>
                <w:rFonts w:ascii="Times New Roman" w:hAnsi="Times New Roman"/>
                <w:sz w:val="22"/>
                <w:szCs w:val="22"/>
              </w:rPr>
              <w:t>j</w:t>
            </w:r>
            <w:r w:rsidRPr="0016092F">
              <w:rPr>
                <w:rFonts w:ascii="Times New Roman" w:hAnsi="Times New Roman"/>
                <w:sz w:val="22"/>
                <w:szCs w:val="22"/>
              </w:rPr>
              <w:t>eljno, jednom u dv</w:t>
            </w:r>
            <w:r w:rsidR="00F660B3" w:rsidRPr="0016092F">
              <w:rPr>
                <w:rFonts w:ascii="Times New Roman" w:hAnsi="Times New Roman"/>
                <w:sz w:val="22"/>
                <w:szCs w:val="22"/>
              </w:rPr>
              <w:t>ij</w:t>
            </w:r>
            <w:r w:rsidRPr="0016092F">
              <w:rPr>
                <w:rFonts w:ascii="Times New Roman" w:hAnsi="Times New Roman"/>
                <w:sz w:val="22"/>
                <w:szCs w:val="22"/>
              </w:rPr>
              <w:t>e ned</w:t>
            </w:r>
            <w:r w:rsidR="00F660B3" w:rsidRPr="0016092F">
              <w:rPr>
                <w:rFonts w:ascii="Times New Roman" w:hAnsi="Times New Roman"/>
                <w:sz w:val="22"/>
                <w:szCs w:val="22"/>
              </w:rPr>
              <w:t>j</w:t>
            </w:r>
            <w:r w:rsidRPr="0016092F">
              <w:rPr>
                <w:rFonts w:ascii="Times New Roman" w:hAnsi="Times New Roman"/>
                <w:sz w:val="22"/>
                <w:szCs w:val="22"/>
              </w:rPr>
              <w:t>elje, i jednom u četiri ned</w:t>
            </w:r>
            <w:r w:rsidR="00F660B3" w:rsidRPr="0016092F">
              <w:rPr>
                <w:rFonts w:ascii="Times New Roman" w:hAnsi="Times New Roman"/>
                <w:sz w:val="22"/>
                <w:szCs w:val="22"/>
              </w:rPr>
              <w:t>j</w:t>
            </w:r>
            <w:r w:rsidRPr="0016092F">
              <w:rPr>
                <w:rFonts w:ascii="Times New Roman" w:hAnsi="Times New Roman"/>
                <w:sz w:val="22"/>
                <w:szCs w:val="22"/>
              </w:rPr>
              <w:t>elje) neki pacijenti sa dužim intervalom doziranja ni</w:t>
            </w:r>
            <w:r w:rsidR="00F660B3" w:rsidRPr="0016092F">
              <w:rPr>
                <w:rFonts w:ascii="Times New Roman" w:hAnsi="Times New Roman"/>
                <w:sz w:val="22"/>
                <w:szCs w:val="22"/>
              </w:rPr>
              <w:t>je</w:t>
            </w:r>
            <w:r w:rsidRPr="0016092F">
              <w:rPr>
                <w:rFonts w:ascii="Times New Roman" w:hAnsi="Times New Roman"/>
                <w:sz w:val="22"/>
                <w:szCs w:val="22"/>
              </w:rPr>
              <w:t>su održalii odgovarajuće vr</w:t>
            </w:r>
            <w:r w:rsidR="00F660B3" w:rsidRPr="0016092F">
              <w:rPr>
                <w:rFonts w:ascii="Times New Roman" w:hAnsi="Times New Roman"/>
                <w:sz w:val="22"/>
                <w:szCs w:val="22"/>
              </w:rPr>
              <w:t>ij</w:t>
            </w:r>
            <w:r w:rsidRPr="0016092F">
              <w:rPr>
                <w:rFonts w:ascii="Times New Roman" w:hAnsi="Times New Roman"/>
                <w:sz w:val="22"/>
                <w:szCs w:val="22"/>
              </w:rPr>
              <w:t>ednosti hemoglobina i dostigli portokolom definisane kriterijume za izlazak iz studije na osnovu hemoglobina (0% u grupi koja je primala epoetin alfa jednom ned</w:t>
            </w:r>
            <w:r w:rsidR="00F660B3" w:rsidRPr="0016092F">
              <w:rPr>
                <w:rFonts w:ascii="Times New Roman" w:hAnsi="Times New Roman"/>
                <w:sz w:val="22"/>
                <w:szCs w:val="22"/>
              </w:rPr>
              <w:t>j</w:t>
            </w:r>
            <w:r w:rsidRPr="0016092F">
              <w:rPr>
                <w:rFonts w:ascii="Times New Roman" w:hAnsi="Times New Roman"/>
                <w:sz w:val="22"/>
                <w:szCs w:val="22"/>
              </w:rPr>
              <w:t>eljno, 3,7% u grupi koja je dobijala jednom u dv</w:t>
            </w:r>
            <w:r w:rsidR="00F660B3" w:rsidRPr="0016092F">
              <w:rPr>
                <w:rFonts w:ascii="Times New Roman" w:hAnsi="Times New Roman"/>
                <w:sz w:val="22"/>
                <w:szCs w:val="22"/>
              </w:rPr>
              <w:t>ij</w:t>
            </w:r>
            <w:r w:rsidRPr="0016092F">
              <w:rPr>
                <w:rFonts w:ascii="Times New Roman" w:hAnsi="Times New Roman"/>
                <w:sz w:val="22"/>
                <w:szCs w:val="22"/>
              </w:rPr>
              <w:t>e ned</w:t>
            </w:r>
            <w:r w:rsidR="00F660B3" w:rsidRPr="0016092F">
              <w:rPr>
                <w:rFonts w:ascii="Times New Roman" w:hAnsi="Times New Roman"/>
                <w:sz w:val="22"/>
                <w:szCs w:val="22"/>
              </w:rPr>
              <w:t>j</w:t>
            </w:r>
            <w:r w:rsidRPr="0016092F">
              <w:rPr>
                <w:rFonts w:ascii="Times New Roman" w:hAnsi="Times New Roman"/>
                <w:sz w:val="22"/>
                <w:szCs w:val="22"/>
              </w:rPr>
              <w:t>elje i 3,3% u grupi koja je dobijala jednom u četiri ned</w:t>
            </w:r>
            <w:r w:rsidR="00F660B3" w:rsidRPr="0016092F">
              <w:rPr>
                <w:rFonts w:ascii="Times New Roman" w:hAnsi="Times New Roman"/>
                <w:sz w:val="22"/>
                <w:szCs w:val="22"/>
              </w:rPr>
              <w:t>j</w:t>
            </w:r>
            <w:r w:rsidRPr="0016092F">
              <w:rPr>
                <w:rFonts w:ascii="Times New Roman" w:hAnsi="Times New Roman"/>
                <w:sz w:val="22"/>
                <w:szCs w:val="22"/>
              </w:rPr>
              <w:t>elje).</w:t>
            </w:r>
          </w:p>
          <w:p w:rsidR="00512EE6" w:rsidRPr="0016092F" w:rsidRDefault="00512EE6" w:rsidP="006F146B">
            <w:pPr>
              <w:pStyle w:val="Header"/>
              <w:tabs>
                <w:tab w:val="clear" w:pos="4536"/>
                <w:tab w:val="clear" w:pos="9072"/>
                <w:tab w:val="left" w:pos="284"/>
              </w:tabs>
              <w:rPr>
                <w:rFonts w:ascii="Times New Roman" w:hAnsi="Times New Roman"/>
                <w:sz w:val="22"/>
                <w:szCs w:val="22"/>
              </w:rPr>
            </w:pPr>
          </w:p>
          <w:p w:rsidR="00512EE6" w:rsidRPr="0016092F" w:rsidRDefault="00512EE6"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Randomiziranom prospektivnom studijom proc</w:t>
            </w:r>
            <w:r w:rsidR="00F660B3" w:rsidRPr="0016092F">
              <w:rPr>
                <w:rFonts w:ascii="Times New Roman" w:hAnsi="Times New Roman"/>
                <w:sz w:val="22"/>
                <w:szCs w:val="22"/>
              </w:rPr>
              <w:t>ij</w:t>
            </w:r>
            <w:r w:rsidRPr="0016092F">
              <w:rPr>
                <w:rFonts w:ascii="Times New Roman" w:hAnsi="Times New Roman"/>
                <w:sz w:val="22"/>
                <w:szCs w:val="22"/>
              </w:rPr>
              <w:t>enjena su 1432 anemična pacijenta sa hroničnom insuficijencijom bubrega koji ni</w:t>
            </w:r>
            <w:r w:rsidR="00F660B3" w:rsidRPr="0016092F">
              <w:rPr>
                <w:rFonts w:ascii="Times New Roman" w:hAnsi="Times New Roman"/>
                <w:sz w:val="22"/>
                <w:szCs w:val="22"/>
              </w:rPr>
              <w:t>je</w:t>
            </w:r>
            <w:r w:rsidRPr="0016092F">
              <w:rPr>
                <w:rFonts w:ascii="Times New Roman" w:hAnsi="Times New Roman"/>
                <w:sz w:val="22"/>
                <w:szCs w:val="22"/>
              </w:rPr>
              <w:t>su bili na dijalizi. Pacijenti su pod</w:t>
            </w:r>
            <w:r w:rsidR="00F660B3" w:rsidRPr="0016092F">
              <w:rPr>
                <w:rFonts w:ascii="Times New Roman" w:hAnsi="Times New Roman"/>
                <w:sz w:val="22"/>
                <w:szCs w:val="22"/>
              </w:rPr>
              <w:t>ij</w:t>
            </w:r>
            <w:r w:rsidRPr="0016092F">
              <w:rPr>
                <w:rFonts w:ascii="Times New Roman" w:hAnsi="Times New Roman"/>
                <w:sz w:val="22"/>
                <w:szCs w:val="22"/>
              </w:rPr>
              <w:t>eljeni u dv</w:t>
            </w:r>
            <w:r w:rsidR="00F660B3" w:rsidRPr="0016092F">
              <w:rPr>
                <w:rFonts w:ascii="Times New Roman" w:hAnsi="Times New Roman"/>
                <w:sz w:val="22"/>
                <w:szCs w:val="22"/>
              </w:rPr>
              <w:t>ij</w:t>
            </w:r>
            <w:r w:rsidRPr="0016092F">
              <w:rPr>
                <w:rFonts w:ascii="Times New Roman" w:hAnsi="Times New Roman"/>
                <w:sz w:val="22"/>
                <w:szCs w:val="22"/>
              </w:rPr>
              <w:t>e grupe: u jednoj je terapija epoetinom alfa bila usm</w:t>
            </w:r>
            <w:r w:rsidR="00F660B3" w:rsidRPr="0016092F">
              <w:rPr>
                <w:rFonts w:ascii="Times New Roman" w:hAnsi="Times New Roman"/>
                <w:sz w:val="22"/>
                <w:szCs w:val="22"/>
              </w:rPr>
              <w:t>j</w:t>
            </w:r>
            <w:r w:rsidRPr="0016092F">
              <w:rPr>
                <w:rFonts w:ascii="Times New Roman" w:hAnsi="Times New Roman"/>
                <w:sz w:val="22"/>
                <w:szCs w:val="22"/>
              </w:rPr>
              <w:t>erena na održavanje vr</w:t>
            </w:r>
            <w:r w:rsidR="00F660B3" w:rsidRPr="0016092F">
              <w:rPr>
                <w:rFonts w:ascii="Times New Roman" w:hAnsi="Times New Roman"/>
                <w:sz w:val="22"/>
                <w:szCs w:val="22"/>
              </w:rPr>
              <w:t>ij</w:t>
            </w:r>
            <w:r w:rsidRPr="0016092F">
              <w:rPr>
                <w:rFonts w:ascii="Times New Roman" w:hAnsi="Times New Roman"/>
                <w:sz w:val="22"/>
                <w:szCs w:val="22"/>
              </w:rPr>
              <w:t>ednosti hemogrlobina od 13,5 g/dl (više od preporučene vr</w:t>
            </w:r>
            <w:r w:rsidR="00F660B3" w:rsidRPr="0016092F">
              <w:rPr>
                <w:rFonts w:ascii="Times New Roman" w:hAnsi="Times New Roman"/>
                <w:sz w:val="22"/>
                <w:szCs w:val="22"/>
              </w:rPr>
              <w:t>ij</w:t>
            </w:r>
            <w:r w:rsidRPr="0016092F">
              <w:rPr>
                <w:rFonts w:ascii="Times New Roman" w:hAnsi="Times New Roman"/>
                <w:sz w:val="22"/>
                <w:szCs w:val="22"/>
              </w:rPr>
              <w:t>ednosti hemoglobina), au drugoj 11,3 g/dl. Veliki kardiovaskularni događaj (smrt, infarkt miokarda, moždani udar ili hospitalizacija zbog kongestivne srčane insuficijencije) nastao je kod 125 (18%) od 715 pacijenata u grupi sa višim vr</w:t>
            </w:r>
            <w:r w:rsidR="00F660B3" w:rsidRPr="0016092F">
              <w:rPr>
                <w:rFonts w:ascii="Times New Roman" w:hAnsi="Times New Roman"/>
                <w:sz w:val="22"/>
                <w:szCs w:val="22"/>
              </w:rPr>
              <w:t>ij</w:t>
            </w:r>
            <w:r w:rsidRPr="0016092F">
              <w:rPr>
                <w:rFonts w:ascii="Times New Roman" w:hAnsi="Times New Roman"/>
                <w:sz w:val="22"/>
                <w:szCs w:val="22"/>
              </w:rPr>
              <w:t>ednostima hemoglobina u poređenju sa 97 (14%) od 717 pacijenata u grupi sa nižim vr</w:t>
            </w:r>
            <w:r w:rsidR="00F660B3" w:rsidRPr="0016092F">
              <w:rPr>
                <w:rFonts w:ascii="Times New Roman" w:hAnsi="Times New Roman"/>
                <w:sz w:val="22"/>
                <w:szCs w:val="22"/>
              </w:rPr>
              <w:t>ij</w:t>
            </w:r>
            <w:r w:rsidRPr="0016092F">
              <w:rPr>
                <w:rFonts w:ascii="Times New Roman" w:hAnsi="Times New Roman"/>
                <w:sz w:val="22"/>
                <w:szCs w:val="22"/>
              </w:rPr>
              <w:t xml:space="preserve">ednostima hemoglobina (stepen rizika </w:t>
            </w:r>
            <w:r w:rsidR="000825BD" w:rsidRPr="0016092F">
              <w:rPr>
                <w:rFonts w:ascii="Times New Roman" w:hAnsi="Times New Roman"/>
                <w:sz w:val="22"/>
                <w:szCs w:val="22"/>
              </w:rPr>
              <w:t>[HR] 1,3; 95% CI:1, 0; 1,7; p=0,03).</w:t>
            </w:r>
          </w:p>
          <w:p w:rsidR="000825BD" w:rsidRPr="0016092F" w:rsidRDefault="000825BD" w:rsidP="006F146B">
            <w:pPr>
              <w:pStyle w:val="Header"/>
              <w:tabs>
                <w:tab w:val="clear" w:pos="4536"/>
                <w:tab w:val="clear" w:pos="9072"/>
                <w:tab w:val="left" w:pos="284"/>
              </w:tabs>
              <w:rPr>
                <w:rFonts w:ascii="Times New Roman" w:hAnsi="Times New Roman"/>
                <w:sz w:val="22"/>
                <w:szCs w:val="22"/>
              </w:rPr>
            </w:pPr>
          </w:p>
          <w:p w:rsidR="00BD61A7" w:rsidRPr="0016092F" w:rsidRDefault="00BD61A7"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pacijenata sa hroničnom insuficijencijom bubrega (kod onih na dijalizi i onih koji ni</w:t>
            </w:r>
            <w:r w:rsidR="00F660B3" w:rsidRPr="0016092F">
              <w:rPr>
                <w:rFonts w:ascii="Times New Roman" w:hAnsi="Times New Roman"/>
                <w:sz w:val="22"/>
                <w:szCs w:val="22"/>
              </w:rPr>
              <w:t>je</w:t>
            </w:r>
            <w:r w:rsidRPr="0016092F">
              <w:rPr>
                <w:rFonts w:ascii="Times New Roman" w:hAnsi="Times New Roman"/>
                <w:sz w:val="22"/>
                <w:szCs w:val="22"/>
              </w:rPr>
              <w:t>su na dijalizi, koji imaju ili nemaju šećernu bolest) sprovedene su post-hoc analize objedinjenih podataka iz kliničkih ispitivanja ESA. Uočena je tendencija povećanja proc</w:t>
            </w:r>
            <w:r w:rsidR="00F660B3" w:rsidRPr="0016092F">
              <w:rPr>
                <w:rFonts w:ascii="Times New Roman" w:hAnsi="Times New Roman"/>
                <w:sz w:val="22"/>
                <w:szCs w:val="22"/>
              </w:rPr>
              <w:t>ij</w:t>
            </w:r>
            <w:r w:rsidRPr="0016092F">
              <w:rPr>
                <w:rFonts w:ascii="Times New Roman" w:hAnsi="Times New Roman"/>
                <w:sz w:val="22"/>
                <w:szCs w:val="22"/>
              </w:rPr>
              <w:t>enjenog rizika od smrtnosti bilo kog uzroka i rizika od kardiovaskularnih i cerebrovaskularnih događaja povezanih sa visokim kumulativnim dozama ESA nezavisno od prisutnosti šećerne bolesti ili statusu dijalize (vid</w:t>
            </w:r>
            <w:r w:rsidR="00F660B3" w:rsidRPr="0016092F">
              <w:rPr>
                <w:rFonts w:ascii="Times New Roman" w:hAnsi="Times New Roman"/>
                <w:sz w:val="22"/>
                <w:szCs w:val="22"/>
              </w:rPr>
              <w:t>j</w:t>
            </w:r>
            <w:r w:rsidRPr="0016092F">
              <w:rPr>
                <w:rFonts w:ascii="Times New Roman" w:hAnsi="Times New Roman"/>
                <w:sz w:val="22"/>
                <w:szCs w:val="22"/>
              </w:rPr>
              <w:t>eti od</w:t>
            </w:r>
            <w:r w:rsidR="00F660B3" w:rsidRPr="0016092F">
              <w:rPr>
                <w:rFonts w:ascii="Times New Roman" w:hAnsi="Times New Roman"/>
                <w:sz w:val="22"/>
                <w:szCs w:val="22"/>
              </w:rPr>
              <w:t>j</w:t>
            </w:r>
            <w:r w:rsidRPr="0016092F">
              <w:rPr>
                <w:rFonts w:ascii="Times New Roman" w:hAnsi="Times New Roman"/>
                <w:sz w:val="22"/>
                <w:szCs w:val="22"/>
              </w:rPr>
              <w:t>eljak 4.2 i 4.4).</w:t>
            </w:r>
          </w:p>
          <w:p w:rsidR="00BD61A7" w:rsidRPr="0016092F" w:rsidRDefault="00BD61A7" w:rsidP="006F146B">
            <w:pPr>
              <w:pStyle w:val="Header"/>
              <w:tabs>
                <w:tab w:val="clear" w:pos="4536"/>
                <w:tab w:val="clear" w:pos="9072"/>
                <w:tab w:val="left" w:pos="284"/>
              </w:tabs>
              <w:rPr>
                <w:rFonts w:ascii="Times New Roman" w:hAnsi="Times New Roman"/>
                <w:sz w:val="22"/>
                <w:szCs w:val="22"/>
              </w:rPr>
            </w:pPr>
          </w:p>
          <w:p w:rsidR="000825BD" w:rsidRPr="0016092F" w:rsidRDefault="000825BD" w:rsidP="006F146B">
            <w:pPr>
              <w:pStyle w:val="Header"/>
              <w:tabs>
                <w:tab w:val="clear" w:pos="4536"/>
                <w:tab w:val="clear" w:pos="9072"/>
                <w:tab w:val="left" w:pos="284"/>
              </w:tabs>
              <w:rPr>
                <w:rFonts w:ascii="Times New Roman" w:hAnsi="Times New Roman"/>
                <w:i/>
                <w:sz w:val="22"/>
                <w:szCs w:val="22"/>
              </w:rPr>
            </w:pPr>
            <w:r w:rsidRPr="0016092F">
              <w:rPr>
                <w:rFonts w:ascii="Times New Roman" w:hAnsi="Times New Roman"/>
                <w:i/>
                <w:sz w:val="22"/>
                <w:szCs w:val="22"/>
              </w:rPr>
              <w:t>L</w:t>
            </w:r>
            <w:r w:rsidR="00F660B3" w:rsidRPr="0016092F">
              <w:rPr>
                <w:rFonts w:ascii="Times New Roman" w:hAnsi="Times New Roman"/>
                <w:i/>
                <w:sz w:val="22"/>
                <w:szCs w:val="22"/>
              </w:rPr>
              <w:t>ij</w:t>
            </w:r>
            <w:r w:rsidRPr="0016092F">
              <w:rPr>
                <w:rFonts w:ascii="Times New Roman" w:hAnsi="Times New Roman"/>
                <w:i/>
                <w:sz w:val="22"/>
                <w:szCs w:val="22"/>
              </w:rPr>
              <w:t>ečenje pacijenata sa anemijom indukovanom hemoterapijom</w:t>
            </w:r>
          </w:p>
          <w:p w:rsidR="000825BD" w:rsidRPr="0016092F" w:rsidRDefault="000825BD"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Epoetin alfa ispitivan je u kliničkim studijama kod odraslih anemičnih onkoloških pacijenata sa limfoidnim i solidnim tumorima i kod pacijenata na različitim protokolima hemoterapije, uključujući protokole sa platinom i bez nje. U ovim ispitivanjima dokazano je da prim</w:t>
            </w:r>
            <w:r w:rsidR="00F660B3" w:rsidRPr="0016092F">
              <w:rPr>
                <w:rFonts w:ascii="Times New Roman" w:hAnsi="Times New Roman"/>
                <w:sz w:val="22"/>
                <w:szCs w:val="22"/>
              </w:rPr>
              <w:t>j</w:t>
            </w:r>
            <w:r w:rsidRPr="0016092F">
              <w:rPr>
                <w:rFonts w:ascii="Times New Roman" w:hAnsi="Times New Roman"/>
                <w:sz w:val="22"/>
                <w:szCs w:val="22"/>
              </w:rPr>
              <w:t>ena epoetina alfa tri puta ned</w:t>
            </w:r>
            <w:r w:rsidR="00F660B3" w:rsidRPr="0016092F">
              <w:rPr>
                <w:rFonts w:ascii="Times New Roman" w:hAnsi="Times New Roman"/>
                <w:sz w:val="22"/>
                <w:szCs w:val="22"/>
              </w:rPr>
              <w:t>j</w:t>
            </w:r>
            <w:r w:rsidRPr="0016092F">
              <w:rPr>
                <w:rFonts w:ascii="Times New Roman" w:hAnsi="Times New Roman"/>
                <w:sz w:val="22"/>
                <w:szCs w:val="22"/>
              </w:rPr>
              <w:t>eljno ili jednom ned</w:t>
            </w:r>
            <w:r w:rsidR="00F660B3" w:rsidRPr="0016092F">
              <w:rPr>
                <w:rFonts w:ascii="Times New Roman" w:hAnsi="Times New Roman"/>
                <w:sz w:val="22"/>
                <w:szCs w:val="22"/>
              </w:rPr>
              <w:t>j</w:t>
            </w:r>
            <w:r w:rsidRPr="0016092F">
              <w:rPr>
                <w:rFonts w:ascii="Times New Roman" w:hAnsi="Times New Roman"/>
                <w:sz w:val="22"/>
                <w:szCs w:val="22"/>
              </w:rPr>
              <w:t>eljno povećava vr</w:t>
            </w:r>
            <w:r w:rsidR="00F660B3" w:rsidRPr="0016092F">
              <w:rPr>
                <w:rFonts w:ascii="Times New Roman" w:hAnsi="Times New Roman"/>
                <w:sz w:val="22"/>
                <w:szCs w:val="22"/>
              </w:rPr>
              <w:t>ij</w:t>
            </w:r>
            <w:r w:rsidRPr="0016092F">
              <w:rPr>
                <w:rFonts w:ascii="Times New Roman" w:hAnsi="Times New Roman"/>
                <w:sz w:val="22"/>
                <w:szCs w:val="22"/>
              </w:rPr>
              <w:t>ednosti hemoglobina i smanjuje potrebe za transfuzijom nakon prvog m</w:t>
            </w:r>
            <w:r w:rsidR="00F660B3" w:rsidRPr="0016092F">
              <w:rPr>
                <w:rFonts w:ascii="Times New Roman" w:hAnsi="Times New Roman"/>
                <w:sz w:val="22"/>
                <w:szCs w:val="22"/>
              </w:rPr>
              <w:t>j</w:t>
            </w:r>
            <w:r w:rsidRPr="0016092F">
              <w:rPr>
                <w:rFonts w:ascii="Times New Roman" w:hAnsi="Times New Roman"/>
                <w:sz w:val="22"/>
                <w:szCs w:val="22"/>
              </w:rPr>
              <w:t xml:space="preserve">eseca </w:t>
            </w:r>
            <w:r w:rsidRPr="0016092F">
              <w:rPr>
                <w:rFonts w:ascii="Times New Roman" w:hAnsi="Times New Roman"/>
                <w:sz w:val="22"/>
                <w:szCs w:val="22"/>
              </w:rPr>
              <w:lastRenderedPageBreak/>
              <w:t>terapije od anemičnih onkoloških pacijenata. U nekim ispitivanjima je nakon dvostruko sl</w:t>
            </w:r>
            <w:r w:rsidR="00F660B3" w:rsidRPr="0016092F">
              <w:rPr>
                <w:rFonts w:ascii="Times New Roman" w:hAnsi="Times New Roman"/>
                <w:sz w:val="22"/>
                <w:szCs w:val="22"/>
              </w:rPr>
              <w:t>ij</w:t>
            </w:r>
            <w:r w:rsidRPr="0016092F">
              <w:rPr>
                <w:rFonts w:ascii="Times New Roman" w:hAnsi="Times New Roman"/>
                <w:sz w:val="22"/>
                <w:szCs w:val="22"/>
              </w:rPr>
              <w:t>epe faze sl</w:t>
            </w:r>
            <w:r w:rsidR="00F660B3" w:rsidRPr="0016092F">
              <w:rPr>
                <w:rFonts w:ascii="Times New Roman" w:hAnsi="Times New Roman"/>
                <w:sz w:val="22"/>
                <w:szCs w:val="22"/>
              </w:rPr>
              <w:t>ij</w:t>
            </w:r>
            <w:r w:rsidRPr="0016092F">
              <w:rPr>
                <w:rFonts w:ascii="Times New Roman" w:hAnsi="Times New Roman"/>
                <w:sz w:val="22"/>
                <w:szCs w:val="22"/>
              </w:rPr>
              <w:t>edila otvorena faza tokom koje su svi pacijenti primali epoetin alfa i uočeno je održavanje efekta.</w:t>
            </w:r>
          </w:p>
          <w:p w:rsidR="000825BD" w:rsidRPr="0016092F" w:rsidRDefault="000825BD" w:rsidP="006F146B">
            <w:pPr>
              <w:pStyle w:val="Header"/>
              <w:tabs>
                <w:tab w:val="clear" w:pos="4536"/>
                <w:tab w:val="clear" w:pos="9072"/>
                <w:tab w:val="left" w:pos="284"/>
              </w:tabs>
              <w:rPr>
                <w:rFonts w:ascii="Times New Roman" w:hAnsi="Times New Roman"/>
                <w:sz w:val="22"/>
                <w:szCs w:val="22"/>
              </w:rPr>
            </w:pPr>
          </w:p>
          <w:p w:rsidR="000825BD" w:rsidRPr="0016092F" w:rsidRDefault="000825BD" w:rsidP="006F146B">
            <w:pPr>
              <w:pStyle w:val="Default"/>
              <w:jc w:val="both"/>
              <w:rPr>
                <w:noProof/>
                <w:sz w:val="22"/>
                <w:szCs w:val="22"/>
                <w:lang w:val="sr-Latn-ME"/>
              </w:rPr>
            </w:pPr>
            <w:r w:rsidRPr="0016092F">
              <w:rPr>
                <w:noProof/>
                <w:sz w:val="22"/>
                <w:szCs w:val="22"/>
                <w:lang w:val="sr-Latn-ME"/>
              </w:rPr>
              <w:t xml:space="preserve">Dostupni dokazi upućuju na to da </w:t>
            </w:r>
            <w:r w:rsidR="00B92298" w:rsidRPr="0016092F">
              <w:rPr>
                <w:noProof/>
                <w:sz w:val="22"/>
                <w:szCs w:val="22"/>
                <w:lang w:val="sr-Latn-ME"/>
              </w:rPr>
              <w:t>pacijenti sa</w:t>
            </w:r>
            <w:r w:rsidRPr="0016092F">
              <w:rPr>
                <w:noProof/>
                <w:sz w:val="22"/>
                <w:szCs w:val="22"/>
                <w:lang w:val="sr-Latn-ME"/>
              </w:rPr>
              <w:t xml:space="preserve"> hematološkim </w:t>
            </w:r>
            <w:r w:rsidR="00B92298" w:rsidRPr="0016092F">
              <w:rPr>
                <w:noProof/>
                <w:sz w:val="22"/>
                <w:szCs w:val="22"/>
                <w:lang w:val="sr-Latn-ME"/>
              </w:rPr>
              <w:t>malignim bolestima</w:t>
            </w:r>
            <w:r w:rsidRPr="0016092F">
              <w:rPr>
                <w:noProof/>
                <w:sz w:val="22"/>
                <w:szCs w:val="22"/>
                <w:lang w:val="sr-Latn-ME"/>
              </w:rPr>
              <w:t xml:space="preserve"> i solidnim tumorima jednako odgovaraju na terapiju epoetinom alfa</w:t>
            </w:r>
            <w:r w:rsidR="00B92298" w:rsidRPr="0016092F">
              <w:rPr>
                <w:noProof/>
                <w:sz w:val="22"/>
                <w:szCs w:val="22"/>
                <w:lang w:val="sr-Latn-ME"/>
              </w:rPr>
              <w:t xml:space="preserve">, kao i </w:t>
            </w:r>
            <w:r w:rsidRPr="0016092F">
              <w:rPr>
                <w:noProof/>
                <w:sz w:val="22"/>
                <w:szCs w:val="22"/>
                <w:lang w:val="sr-Latn-ME"/>
              </w:rPr>
              <w:t xml:space="preserve">da </w:t>
            </w:r>
            <w:r w:rsidR="00B92298" w:rsidRPr="0016092F">
              <w:rPr>
                <w:noProof/>
                <w:sz w:val="22"/>
                <w:szCs w:val="22"/>
                <w:lang w:val="sr-Latn-ME"/>
              </w:rPr>
              <w:t>pacijenti</w:t>
            </w:r>
            <w:r w:rsidRPr="0016092F">
              <w:rPr>
                <w:noProof/>
                <w:sz w:val="22"/>
                <w:szCs w:val="22"/>
                <w:lang w:val="sr-Latn-ME"/>
              </w:rPr>
              <w:t xml:space="preserve"> sa ili bez tumorske infiltracije ko</w:t>
            </w:r>
            <w:r w:rsidR="00B92298" w:rsidRPr="0016092F">
              <w:rPr>
                <w:noProof/>
                <w:sz w:val="22"/>
                <w:szCs w:val="22"/>
                <w:lang w:val="sr-Latn-ME"/>
              </w:rPr>
              <w:t>stne</w:t>
            </w:r>
            <w:r w:rsidRPr="0016092F">
              <w:rPr>
                <w:noProof/>
                <w:sz w:val="22"/>
                <w:szCs w:val="22"/>
                <w:lang w:val="sr-Latn-ME"/>
              </w:rPr>
              <w:t xml:space="preserve"> srži jednako odgovaraju na terapiju epoetinom alfa. </w:t>
            </w:r>
            <w:r w:rsidR="00B92298" w:rsidRPr="0016092F">
              <w:rPr>
                <w:noProof/>
                <w:sz w:val="22"/>
                <w:szCs w:val="22"/>
                <w:lang w:val="sr-Latn-ME"/>
              </w:rPr>
              <w:t xml:space="preserve">Komparabilni </w:t>
            </w:r>
            <w:r w:rsidRPr="0016092F">
              <w:rPr>
                <w:noProof/>
                <w:sz w:val="22"/>
                <w:szCs w:val="22"/>
                <w:lang w:val="sr-Latn-ME"/>
              </w:rPr>
              <w:t xml:space="preserve"> intenzitet </w:t>
            </w:r>
            <w:r w:rsidR="00B92298" w:rsidRPr="0016092F">
              <w:rPr>
                <w:noProof/>
                <w:sz w:val="22"/>
                <w:szCs w:val="22"/>
                <w:lang w:val="sr-Latn-ME"/>
              </w:rPr>
              <w:t>h</w:t>
            </w:r>
            <w:r w:rsidRPr="0016092F">
              <w:rPr>
                <w:noProof/>
                <w:sz w:val="22"/>
                <w:szCs w:val="22"/>
                <w:lang w:val="sr-Latn-ME"/>
              </w:rPr>
              <w:t xml:space="preserve">emoterapije u </w:t>
            </w:r>
            <w:r w:rsidR="00B92298" w:rsidRPr="0016092F">
              <w:rPr>
                <w:noProof/>
                <w:sz w:val="22"/>
                <w:szCs w:val="22"/>
                <w:lang w:val="sr-Latn-ME"/>
              </w:rPr>
              <w:t>grupama</w:t>
            </w:r>
            <w:r w:rsidRPr="0016092F">
              <w:rPr>
                <w:noProof/>
                <w:sz w:val="22"/>
                <w:szCs w:val="22"/>
                <w:lang w:val="sr-Latn-ME"/>
              </w:rPr>
              <w:t xml:space="preserve"> koje su primale epoetin alfa i </w:t>
            </w:r>
            <w:r w:rsidR="00B92298" w:rsidRPr="0016092F">
              <w:rPr>
                <w:noProof/>
                <w:sz w:val="22"/>
                <w:szCs w:val="22"/>
                <w:lang w:val="sr-Latn-ME"/>
              </w:rPr>
              <w:t>grupama</w:t>
            </w:r>
            <w:r w:rsidRPr="0016092F">
              <w:rPr>
                <w:noProof/>
                <w:sz w:val="22"/>
                <w:szCs w:val="22"/>
                <w:lang w:val="sr-Latn-ME"/>
              </w:rPr>
              <w:t xml:space="preserve"> koje su primale placebo u ispitivanjima s</w:t>
            </w:r>
            <w:r w:rsidR="00B92298" w:rsidRPr="0016092F">
              <w:rPr>
                <w:noProof/>
                <w:sz w:val="22"/>
                <w:szCs w:val="22"/>
                <w:lang w:val="sr-Latn-ME"/>
              </w:rPr>
              <w:t>a</w:t>
            </w:r>
            <w:r w:rsidRPr="0016092F">
              <w:rPr>
                <w:noProof/>
                <w:sz w:val="22"/>
                <w:szCs w:val="22"/>
                <w:lang w:val="sr-Latn-ME"/>
              </w:rPr>
              <w:t xml:space="preserve"> </w:t>
            </w:r>
            <w:r w:rsidR="00B92298" w:rsidRPr="0016092F">
              <w:rPr>
                <w:noProof/>
                <w:sz w:val="22"/>
                <w:szCs w:val="22"/>
                <w:lang w:val="sr-Latn-ME"/>
              </w:rPr>
              <w:t>h</w:t>
            </w:r>
            <w:r w:rsidRPr="0016092F">
              <w:rPr>
                <w:noProof/>
                <w:sz w:val="22"/>
                <w:szCs w:val="22"/>
                <w:lang w:val="sr-Latn-ME"/>
              </w:rPr>
              <w:t xml:space="preserve">emoterapijom dokazan je sličnom površinom ispod </w:t>
            </w:r>
            <w:r w:rsidR="00B92298" w:rsidRPr="0016092F">
              <w:rPr>
                <w:noProof/>
                <w:sz w:val="22"/>
                <w:szCs w:val="22"/>
                <w:lang w:val="sr-Latn-ME"/>
              </w:rPr>
              <w:t xml:space="preserve">krive </w:t>
            </w:r>
            <w:r w:rsidRPr="0016092F">
              <w:rPr>
                <w:noProof/>
                <w:sz w:val="22"/>
                <w:szCs w:val="22"/>
                <w:lang w:val="sr-Latn-ME"/>
              </w:rPr>
              <w:t>broja neutrofila-</w:t>
            </w:r>
            <w:r w:rsidR="00B92298" w:rsidRPr="0016092F">
              <w:rPr>
                <w:noProof/>
                <w:sz w:val="22"/>
                <w:szCs w:val="22"/>
                <w:lang w:val="sr-Latn-ME"/>
              </w:rPr>
              <w:t>vr</w:t>
            </w:r>
            <w:r w:rsidRPr="0016092F">
              <w:rPr>
                <w:noProof/>
                <w:sz w:val="22"/>
                <w:szCs w:val="22"/>
                <w:lang w:val="sr-Latn-ME"/>
              </w:rPr>
              <w:t xml:space="preserve">eme </w:t>
            </w:r>
            <w:r w:rsidR="00B92298" w:rsidRPr="0016092F">
              <w:rPr>
                <w:noProof/>
                <w:sz w:val="22"/>
                <w:szCs w:val="22"/>
                <w:lang w:val="sr-Latn-ME"/>
              </w:rPr>
              <w:t>kod pacijenata</w:t>
            </w:r>
            <w:r w:rsidRPr="0016092F">
              <w:rPr>
                <w:noProof/>
                <w:sz w:val="22"/>
                <w:szCs w:val="22"/>
                <w:lang w:val="sr-Latn-ME"/>
              </w:rPr>
              <w:t xml:space="preserve"> koji su primali epoetin alfa i </w:t>
            </w:r>
            <w:r w:rsidR="00B92298" w:rsidRPr="0016092F">
              <w:rPr>
                <w:noProof/>
                <w:sz w:val="22"/>
                <w:szCs w:val="22"/>
                <w:lang w:val="sr-Latn-ME"/>
              </w:rPr>
              <w:t>pacijenata</w:t>
            </w:r>
            <w:r w:rsidRPr="0016092F">
              <w:rPr>
                <w:noProof/>
                <w:sz w:val="22"/>
                <w:szCs w:val="22"/>
                <w:lang w:val="sr-Latn-ME"/>
              </w:rPr>
              <w:t xml:space="preserve"> koji su primali placebo, kao i sličnim </w:t>
            </w:r>
            <w:r w:rsidR="00B92298" w:rsidRPr="0016092F">
              <w:rPr>
                <w:noProof/>
                <w:sz w:val="22"/>
                <w:szCs w:val="22"/>
                <w:lang w:val="sr-Latn-ME"/>
              </w:rPr>
              <w:t>ud</w:t>
            </w:r>
            <w:r w:rsidR="00F660B3" w:rsidRPr="0016092F">
              <w:rPr>
                <w:noProof/>
                <w:sz w:val="22"/>
                <w:szCs w:val="22"/>
                <w:lang w:val="sr-Latn-ME"/>
              </w:rPr>
              <w:t>j</w:t>
            </w:r>
            <w:r w:rsidRPr="0016092F">
              <w:rPr>
                <w:noProof/>
                <w:sz w:val="22"/>
                <w:szCs w:val="22"/>
                <w:lang w:val="sr-Latn-ME"/>
              </w:rPr>
              <w:t xml:space="preserve">elom </w:t>
            </w:r>
            <w:r w:rsidR="00B92298" w:rsidRPr="0016092F">
              <w:rPr>
                <w:noProof/>
                <w:sz w:val="22"/>
                <w:szCs w:val="22"/>
                <w:lang w:val="sr-Latn-ME"/>
              </w:rPr>
              <w:t>pacijenata</w:t>
            </w:r>
            <w:r w:rsidRPr="0016092F">
              <w:rPr>
                <w:noProof/>
                <w:sz w:val="22"/>
                <w:szCs w:val="22"/>
                <w:lang w:val="sr-Latn-ME"/>
              </w:rPr>
              <w:t xml:space="preserve"> čiji je apsolutni broj neutrofila pao ispod 1000 i 500 </w:t>
            </w:r>
            <w:r w:rsidR="00B92298" w:rsidRPr="0016092F">
              <w:rPr>
                <w:noProof/>
                <w:sz w:val="22"/>
                <w:szCs w:val="22"/>
                <w:lang w:val="sr-Latn-ME"/>
              </w:rPr>
              <w:t>ćelija</w:t>
            </w:r>
            <w:r w:rsidRPr="0016092F">
              <w:rPr>
                <w:noProof/>
                <w:sz w:val="22"/>
                <w:szCs w:val="22"/>
                <w:lang w:val="sr-Latn-ME"/>
              </w:rPr>
              <w:t xml:space="preserve">/μl u </w:t>
            </w:r>
            <w:r w:rsidR="00B92298" w:rsidRPr="0016092F">
              <w:rPr>
                <w:noProof/>
                <w:sz w:val="22"/>
                <w:szCs w:val="22"/>
                <w:lang w:val="sr-Latn-ME"/>
              </w:rPr>
              <w:t>gupama</w:t>
            </w:r>
            <w:r w:rsidRPr="0016092F">
              <w:rPr>
                <w:noProof/>
                <w:sz w:val="22"/>
                <w:szCs w:val="22"/>
                <w:lang w:val="sr-Latn-ME"/>
              </w:rPr>
              <w:t xml:space="preserve"> koje su </w:t>
            </w:r>
            <w:r w:rsidR="00B92298" w:rsidRPr="0016092F">
              <w:rPr>
                <w:noProof/>
                <w:sz w:val="22"/>
                <w:szCs w:val="22"/>
                <w:lang w:val="sr-Latn-ME"/>
              </w:rPr>
              <w:t>l</w:t>
            </w:r>
            <w:r w:rsidR="00F660B3" w:rsidRPr="0016092F">
              <w:rPr>
                <w:noProof/>
                <w:sz w:val="22"/>
                <w:szCs w:val="22"/>
                <w:lang w:val="sr-Latn-ME"/>
              </w:rPr>
              <w:t>ij</w:t>
            </w:r>
            <w:r w:rsidRPr="0016092F">
              <w:rPr>
                <w:noProof/>
                <w:sz w:val="22"/>
                <w:szCs w:val="22"/>
                <w:lang w:val="sr-Latn-ME"/>
              </w:rPr>
              <w:t xml:space="preserve">ečene epoetinom alfa i </w:t>
            </w:r>
            <w:r w:rsidR="00B92298" w:rsidRPr="0016092F">
              <w:rPr>
                <w:noProof/>
                <w:sz w:val="22"/>
                <w:szCs w:val="22"/>
                <w:lang w:val="sr-Latn-ME"/>
              </w:rPr>
              <w:t>grupama</w:t>
            </w:r>
            <w:r w:rsidRPr="0016092F">
              <w:rPr>
                <w:noProof/>
                <w:sz w:val="22"/>
                <w:szCs w:val="22"/>
                <w:lang w:val="sr-Latn-ME"/>
              </w:rPr>
              <w:t xml:space="preserve"> koje su primale placebo. </w:t>
            </w:r>
          </w:p>
          <w:p w:rsidR="00B92298" w:rsidRPr="0016092F" w:rsidRDefault="00B92298" w:rsidP="006F146B">
            <w:pPr>
              <w:pStyle w:val="Default"/>
              <w:jc w:val="both"/>
              <w:rPr>
                <w:noProof/>
                <w:sz w:val="22"/>
                <w:szCs w:val="22"/>
                <w:lang w:val="sr-Latn-ME"/>
              </w:rPr>
            </w:pPr>
          </w:p>
          <w:p w:rsidR="000825BD" w:rsidRPr="0016092F" w:rsidRDefault="000825BD" w:rsidP="006F146B">
            <w:pPr>
              <w:pStyle w:val="Default"/>
              <w:jc w:val="both"/>
              <w:rPr>
                <w:noProof/>
                <w:sz w:val="22"/>
                <w:szCs w:val="22"/>
                <w:lang w:val="sr-Latn-ME"/>
              </w:rPr>
            </w:pPr>
            <w:r w:rsidRPr="0016092F">
              <w:rPr>
                <w:noProof/>
                <w:sz w:val="22"/>
                <w:szCs w:val="22"/>
                <w:lang w:val="sr-Latn-ME"/>
              </w:rPr>
              <w:t xml:space="preserve">U </w:t>
            </w:r>
            <w:r w:rsidR="00D762EC" w:rsidRPr="0016092F">
              <w:rPr>
                <w:noProof/>
                <w:sz w:val="22"/>
                <w:szCs w:val="22"/>
                <w:lang w:val="sr-Latn-ME"/>
              </w:rPr>
              <w:t>prospektivnoj</w:t>
            </w:r>
            <w:r w:rsidRPr="0016092F">
              <w:rPr>
                <w:noProof/>
                <w:sz w:val="22"/>
                <w:szCs w:val="22"/>
                <w:lang w:val="sr-Latn-ME"/>
              </w:rPr>
              <w:t xml:space="preserve">, </w:t>
            </w:r>
            <w:r w:rsidR="00D762EC" w:rsidRPr="0016092F">
              <w:rPr>
                <w:noProof/>
                <w:sz w:val="22"/>
                <w:szCs w:val="22"/>
                <w:lang w:val="sr-Latn-ME"/>
              </w:rPr>
              <w:t>randomiziranoj</w:t>
            </w:r>
            <w:r w:rsidRPr="0016092F">
              <w:rPr>
                <w:noProof/>
                <w:sz w:val="22"/>
                <w:szCs w:val="22"/>
                <w:lang w:val="sr-Latn-ME"/>
              </w:rPr>
              <w:t xml:space="preserve">, dvostruko </w:t>
            </w:r>
            <w:r w:rsidR="00D762EC" w:rsidRPr="0016092F">
              <w:rPr>
                <w:noProof/>
                <w:sz w:val="22"/>
                <w:szCs w:val="22"/>
                <w:lang w:val="sr-Latn-ME"/>
              </w:rPr>
              <w:t>sl</w:t>
            </w:r>
            <w:r w:rsidR="00F660B3" w:rsidRPr="0016092F">
              <w:rPr>
                <w:noProof/>
                <w:sz w:val="22"/>
                <w:szCs w:val="22"/>
                <w:lang w:val="sr-Latn-ME"/>
              </w:rPr>
              <w:t>ij</w:t>
            </w:r>
            <w:r w:rsidR="00D762EC" w:rsidRPr="0016092F">
              <w:rPr>
                <w:noProof/>
                <w:sz w:val="22"/>
                <w:szCs w:val="22"/>
                <w:lang w:val="sr-Latn-ME"/>
              </w:rPr>
              <w:t>epoj</w:t>
            </w:r>
            <w:r w:rsidRPr="0016092F">
              <w:rPr>
                <w:noProof/>
                <w:sz w:val="22"/>
                <w:szCs w:val="22"/>
                <w:lang w:val="sr-Latn-ME"/>
              </w:rPr>
              <w:t xml:space="preserve">, </w:t>
            </w:r>
            <w:r w:rsidR="00D762EC" w:rsidRPr="0016092F">
              <w:rPr>
                <w:noProof/>
                <w:sz w:val="22"/>
                <w:szCs w:val="22"/>
                <w:lang w:val="sr-Latn-ME"/>
              </w:rPr>
              <w:t>placebo</w:t>
            </w:r>
            <w:r w:rsidRPr="0016092F">
              <w:rPr>
                <w:noProof/>
                <w:sz w:val="22"/>
                <w:szCs w:val="22"/>
                <w:lang w:val="sr-Latn-ME"/>
              </w:rPr>
              <w:t xml:space="preserve"> kontroli</w:t>
            </w:r>
            <w:r w:rsidR="00D762EC" w:rsidRPr="0016092F">
              <w:rPr>
                <w:noProof/>
                <w:sz w:val="22"/>
                <w:szCs w:val="22"/>
                <w:lang w:val="sr-Latn-ME"/>
              </w:rPr>
              <w:t>sanoj studiji sprovedenoj</w:t>
            </w:r>
            <w:r w:rsidRPr="0016092F">
              <w:rPr>
                <w:noProof/>
                <w:sz w:val="22"/>
                <w:szCs w:val="22"/>
                <w:lang w:val="sr-Latn-ME"/>
              </w:rPr>
              <w:t xml:space="preserve"> </w:t>
            </w:r>
            <w:r w:rsidR="00D762EC" w:rsidRPr="0016092F">
              <w:rPr>
                <w:noProof/>
                <w:sz w:val="22"/>
                <w:szCs w:val="22"/>
                <w:lang w:val="sr-Latn-ME"/>
              </w:rPr>
              <w:t>kod</w:t>
            </w:r>
            <w:r w:rsidRPr="0016092F">
              <w:rPr>
                <w:noProof/>
                <w:sz w:val="22"/>
                <w:szCs w:val="22"/>
                <w:lang w:val="sr-Latn-ME"/>
              </w:rPr>
              <w:t xml:space="preserve"> 375 anemičnih </w:t>
            </w:r>
            <w:r w:rsidR="00D762EC" w:rsidRPr="0016092F">
              <w:rPr>
                <w:noProof/>
                <w:sz w:val="22"/>
                <w:szCs w:val="22"/>
                <w:lang w:val="sr-Latn-ME"/>
              </w:rPr>
              <w:t>pacijenata</w:t>
            </w:r>
            <w:r w:rsidRPr="0016092F">
              <w:rPr>
                <w:noProof/>
                <w:sz w:val="22"/>
                <w:szCs w:val="22"/>
                <w:lang w:val="sr-Latn-ME"/>
              </w:rPr>
              <w:t xml:space="preserve"> s</w:t>
            </w:r>
            <w:r w:rsidR="00D762EC" w:rsidRPr="0016092F">
              <w:rPr>
                <w:noProof/>
                <w:sz w:val="22"/>
                <w:szCs w:val="22"/>
                <w:lang w:val="sr-Latn-ME"/>
              </w:rPr>
              <w:t>a</w:t>
            </w:r>
            <w:r w:rsidRPr="0016092F">
              <w:rPr>
                <w:noProof/>
                <w:sz w:val="22"/>
                <w:szCs w:val="22"/>
                <w:lang w:val="sr-Latn-ME"/>
              </w:rPr>
              <w:t xml:space="preserve"> različitim nemijeloidnim </w:t>
            </w:r>
            <w:r w:rsidR="00D762EC" w:rsidRPr="0016092F">
              <w:rPr>
                <w:noProof/>
                <w:sz w:val="22"/>
                <w:szCs w:val="22"/>
                <w:lang w:val="sr-Latn-ME"/>
              </w:rPr>
              <w:t>malignim</w:t>
            </w:r>
            <w:r w:rsidRPr="0016092F">
              <w:rPr>
                <w:noProof/>
                <w:sz w:val="22"/>
                <w:szCs w:val="22"/>
                <w:lang w:val="sr-Latn-ME"/>
              </w:rPr>
              <w:t xml:space="preserve"> bolestima koji su primali </w:t>
            </w:r>
            <w:r w:rsidR="00D762EC" w:rsidRPr="0016092F">
              <w:rPr>
                <w:noProof/>
                <w:sz w:val="22"/>
                <w:szCs w:val="22"/>
                <w:lang w:val="sr-Latn-ME"/>
              </w:rPr>
              <w:t>h</w:t>
            </w:r>
            <w:r w:rsidRPr="0016092F">
              <w:rPr>
                <w:noProof/>
                <w:sz w:val="22"/>
                <w:szCs w:val="22"/>
                <w:lang w:val="sr-Latn-ME"/>
              </w:rPr>
              <w:t xml:space="preserve">emoterapiju bez platine postojalo je značajno sniženje </w:t>
            </w:r>
            <w:r w:rsidR="00D762EC" w:rsidRPr="0016092F">
              <w:rPr>
                <w:noProof/>
                <w:sz w:val="22"/>
                <w:szCs w:val="22"/>
                <w:lang w:val="sr-Latn-ME"/>
              </w:rPr>
              <w:t>posl</w:t>
            </w:r>
            <w:r w:rsidR="00F660B3" w:rsidRPr="0016092F">
              <w:rPr>
                <w:noProof/>
                <w:sz w:val="22"/>
                <w:szCs w:val="22"/>
                <w:lang w:val="sr-Latn-ME"/>
              </w:rPr>
              <w:t>j</w:t>
            </w:r>
            <w:r w:rsidRPr="0016092F">
              <w:rPr>
                <w:noProof/>
                <w:sz w:val="22"/>
                <w:szCs w:val="22"/>
                <w:lang w:val="sr-Latn-ME"/>
              </w:rPr>
              <w:t>edica povezanih s</w:t>
            </w:r>
            <w:r w:rsidR="00D762EC" w:rsidRPr="0016092F">
              <w:rPr>
                <w:noProof/>
                <w:sz w:val="22"/>
                <w:szCs w:val="22"/>
                <w:lang w:val="sr-Latn-ME"/>
              </w:rPr>
              <w:t>a</w:t>
            </w:r>
            <w:r w:rsidRPr="0016092F">
              <w:rPr>
                <w:noProof/>
                <w:sz w:val="22"/>
                <w:szCs w:val="22"/>
                <w:lang w:val="sr-Latn-ME"/>
              </w:rPr>
              <w:t xml:space="preserve"> anemijom (npr. umor, manjak energije i smanjena aktivnost), kako je </w:t>
            </w:r>
            <w:r w:rsidR="00D762EC" w:rsidRPr="0016092F">
              <w:rPr>
                <w:noProof/>
                <w:sz w:val="22"/>
                <w:szCs w:val="22"/>
                <w:lang w:val="sr-Latn-ME"/>
              </w:rPr>
              <w:t>izm</w:t>
            </w:r>
            <w:r w:rsidR="00F660B3" w:rsidRPr="0016092F">
              <w:rPr>
                <w:noProof/>
                <w:sz w:val="22"/>
                <w:szCs w:val="22"/>
                <w:lang w:val="sr-Latn-ME"/>
              </w:rPr>
              <w:t>j</w:t>
            </w:r>
            <w:r w:rsidRPr="0016092F">
              <w:rPr>
                <w:noProof/>
                <w:sz w:val="22"/>
                <w:szCs w:val="22"/>
                <w:lang w:val="sr-Latn-ME"/>
              </w:rPr>
              <w:t>ereno sl</w:t>
            </w:r>
            <w:r w:rsidR="00F660B3" w:rsidRPr="0016092F">
              <w:rPr>
                <w:noProof/>
                <w:sz w:val="22"/>
                <w:szCs w:val="22"/>
                <w:lang w:val="sr-Latn-ME"/>
              </w:rPr>
              <w:t>j</w:t>
            </w:r>
            <w:r w:rsidRPr="0016092F">
              <w:rPr>
                <w:noProof/>
                <w:sz w:val="22"/>
                <w:szCs w:val="22"/>
                <w:lang w:val="sr-Latn-ME"/>
              </w:rPr>
              <w:t xml:space="preserve">edećim instrumentima i </w:t>
            </w:r>
            <w:r w:rsidR="00785859" w:rsidRPr="0016092F">
              <w:rPr>
                <w:noProof/>
                <w:sz w:val="22"/>
                <w:szCs w:val="22"/>
                <w:lang w:val="sr-Latn-ME"/>
              </w:rPr>
              <w:t>skalama</w:t>
            </w:r>
            <w:r w:rsidRPr="0016092F">
              <w:rPr>
                <w:noProof/>
                <w:sz w:val="22"/>
                <w:szCs w:val="22"/>
                <w:lang w:val="sr-Latn-ME"/>
              </w:rPr>
              <w:t>: op</w:t>
            </w:r>
            <w:r w:rsidR="00D762EC" w:rsidRPr="0016092F">
              <w:rPr>
                <w:noProof/>
                <w:sz w:val="22"/>
                <w:szCs w:val="22"/>
                <w:lang w:val="sr-Latn-ME"/>
              </w:rPr>
              <w:t>št</w:t>
            </w:r>
            <w:r w:rsidRPr="0016092F">
              <w:rPr>
                <w:noProof/>
                <w:sz w:val="22"/>
                <w:szCs w:val="22"/>
                <w:lang w:val="sr-Latn-ME"/>
              </w:rPr>
              <w:t xml:space="preserve">a </w:t>
            </w:r>
            <w:r w:rsidR="00785859" w:rsidRPr="0016092F">
              <w:rPr>
                <w:noProof/>
                <w:sz w:val="22"/>
                <w:szCs w:val="22"/>
                <w:lang w:val="sr-Latn-ME"/>
              </w:rPr>
              <w:t>skala</w:t>
            </w:r>
            <w:r w:rsidRPr="0016092F">
              <w:rPr>
                <w:noProof/>
                <w:sz w:val="22"/>
                <w:szCs w:val="22"/>
                <w:lang w:val="sr-Latn-ME"/>
              </w:rPr>
              <w:t xml:space="preserve"> funkcionalne </w:t>
            </w:r>
            <w:r w:rsidR="00785859" w:rsidRPr="0016092F">
              <w:rPr>
                <w:noProof/>
                <w:sz w:val="22"/>
                <w:szCs w:val="22"/>
                <w:lang w:val="sr-Latn-ME"/>
              </w:rPr>
              <w:t>pr</w:t>
            </w:r>
            <w:r w:rsidR="00D762EC" w:rsidRPr="0016092F">
              <w:rPr>
                <w:noProof/>
                <w:sz w:val="22"/>
                <w:szCs w:val="22"/>
                <w:lang w:val="sr-Latn-ME"/>
              </w:rPr>
              <w:t>oc</w:t>
            </w:r>
            <w:r w:rsidR="00F660B3" w:rsidRPr="0016092F">
              <w:rPr>
                <w:noProof/>
                <w:sz w:val="22"/>
                <w:szCs w:val="22"/>
                <w:lang w:val="sr-Latn-ME"/>
              </w:rPr>
              <w:t>j</w:t>
            </w:r>
            <w:r w:rsidRPr="0016092F">
              <w:rPr>
                <w:noProof/>
                <w:sz w:val="22"/>
                <w:szCs w:val="22"/>
                <w:lang w:val="sr-Latn-ME"/>
              </w:rPr>
              <w:t xml:space="preserve">ene terapije za </w:t>
            </w:r>
            <w:r w:rsidR="00785859" w:rsidRPr="0016092F">
              <w:rPr>
                <w:noProof/>
                <w:sz w:val="22"/>
                <w:szCs w:val="22"/>
                <w:lang w:val="sr-Latn-ME"/>
              </w:rPr>
              <w:t>karcinom</w:t>
            </w:r>
            <w:r w:rsidRPr="0016092F">
              <w:rPr>
                <w:noProof/>
                <w:sz w:val="22"/>
                <w:szCs w:val="22"/>
                <w:lang w:val="sr-Latn-ME"/>
              </w:rPr>
              <w:t xml:space="preserve">-anemija (engl. </w:t>
            </w:r>
            <w:r w:rsidRPr="0016092F">
              <w:rPr>
                <w:i/>
                <w:noProof/>
                <w:sz w:val="22"/>
                <w:szCs w:val="22"/>
                <w:lang w:val="sr-Latn-ME"/>
              </w:rPr>
              <w:t>Functional Assessment of Cancer Therapy-Anaemia</w:t>
            </w:r>
            <w:r w:rsidR="00785859" w:rsidRPr="0016092F">
              <w:rPr>
                <w:noProof/>
                <w:sz w:val="22"/>
                <w:szCs w:val="22"/>
                <w:lang w:val="sr-Latn-ME"/>
              </w:rPr>
              <w:t>, FACT-An), FACT-An skala</w:t>
            </w:r>
            <w:r w:rsidRPr="0016092F">
              <w:rPr>
                <w:noProof/>
                <w:sz w:val="22"/>
                <w:szCs w:val="22"/>
                <w:lang w:val="sr-Latn-ME"/>
              </w:rPr>
              <w:t xml:space="preserve"> umora i linearna analogna skala za </w:t>
            </w:r>
            <w:r w:rsidR="00785859" w:rsidRPr="0016092F">
              <w:rPr>
                <w:noProof/>
                <w:sz w:val="22"/>
                <w:szCs w:val="22"/>
                <w:lang w:val="sr-Latn-ME"/>
              </w:rPr>
              <w:t xml:space="preserve"> karcinom</w:t>
            </w:r>
            <w:r w:rsidRPr="0016092F">
              <w:rPr>
                <w:noProof/>
                <w:sz w:val="22"/>
                <w:szCs w:val="22"/>
                <w:lang w:val="sr-Latn-ME"/>
              </w:rPr>
              <w:t xml:space="preserve"> (engl. </w:t>
            </w:r>
            <w:r w:rsidRPr="0016092F">
              <w:rPr>
                <w:i/>
                <w:noProof/>
                <w:sz w:val="22"/>
                <w:szCs w:val="22"/>
                <w:lang w:val="sr-Latn-ME"/>
              </w:rPr>
              <w:t>Cancer Linear Analogue Scale</w:t>
            </w:r>
            <w:r w:rsidR="00785859" w:rsidRPr="0016092F">
              <w:rPr>
                <w:noProof/>
                <w:sz w:val="22"/>
                <w:szCs w:val="22"/>
                <w:lang w:val="sr-Latn-ME"/>
              </w:rPr>
              <w:t>, CLAS). Druge</w:t>
            </w:r>
            <w:r w:rsidRPr="0016092F">
              <w:rPr>
                <w:noProof/>
                <w:sz w:val="22"/>
                <w:szCs w:val="22"/>
                <w:lang w:val="sr-Latn-ME"/>
              </w:rPr>
              <w:t xml:space="preserve"> dv</w:t>
            </w:r>
            <w:r w:rsidR="00F660B3" w:rsidRPr="0016092F">
              <w:rPr>
                <w:noProof/>
                <w:sz w:val="22"/>
                <w:szCs w:val="22"/>
                <w:lang w:val="sr-Latn-ME"/>
              </w:rPr>
              <w:t>ij</w:t>
            </w:r>
            <w:r w:rsidR="00785859" w:rsidRPr="0016092F">
              <w:rPr>
                <w:noProof/>
                <w:sz w:val="22"/>
                <w:szCs w:val="22"/>
                <w:lang w:val="sr-Latn-ME"/>
              </w:rPr>
              <w:t>e</w:t>
            </w:r>
            <w:r w:rsidRPr="0016092F">
              <w:rPr>
                <w:noProof/>
                <w:sz w:val="22"/>
                <w:szCs w:val="22"/>
                <w:lang w:val="sr-Latn-ME"/>
              </w:rPr>
              <w:t xml:space="preserve"> manj</w:t>
            </w:r>
            <w:r w:rsidR="00785859" w:rsidRPr="0016092F">
              <w:rPr>
                <w:noProof/>
                <w:sz w:val="22"/>
                <w:szCs w:val="22"/>
                <w:lang w:val="sr-Latn-ME"/>
              </w:rPr>
              <w:t>e</w:t>
            </w:r>
            <w:r w:rsidRPr="0016092F">
              <w:rPr>
                <w:noProof/>
                <w:sz w:val="22"/>
                <w:szCs w:val="22"/>
                <w:lang w:val="sr-Latn-ME"/>
              </w:rPr>
              <w:t>, randomiziran</w:t>
            </w:r>
            <w:r w:rsidR="00785859" w:rsidRPr="0016092F">
              <w:rPr>
                <w:noProof/>
                <w:sz w:val="22"/>
                <w:szCs w:val="22"/>
                <w:lang w:val="sr-Latn-ME"/>
              </w:rPr>
              <w:t>e</w:t>
            </w:r>
            <w:r w:rsidRPr="0016092F">
              <w:rPr>
                <w:noProof/>
                <w:sz w:val="22"/>
                <w:szCs w:val="22"/>
                <w:lang w:val="sr-Latn-ME"/>
              </w:rPr>
              <w:t>, placebo</w:t>
            </w:r>
            <w:r w:rsidR="00785859" w:rsidRPr="0016092F">
              <w:rPr>
                <w:noProof/>
                <w:sz w:val="22"/>
                <w:szCs w:val="22"/>
                <w:lang w:val="sr-Latn-ME"/>
              </w:rPr>
              <w:t xml:space="preserve"> kontrolisane studije </w:t>
            </w:r>
            <w:r w:rsidRPr="0016092F">
              <w:rPr>
                <w:noProof/>
                <w:sz w:val="22"/>
                <w:szCs w:val="22"/>
                <w:lang w:val="sr-Latn-ME"/>
              </w:rPr>
              <w:t>ni</w:t>
            </w:r>
            <w:r w:rsidR="00F660B3" w:rsidRPr="0016092F">
              <w:rPr>
                <w:noProof/>
                <w:sz w:val="22"/>
                <w:szCs w:val="22"/>
                <w:lang w:val="sr-Latn-ME"/>
              </w:rPr>
              <w:t>je</w:t>
            </w:r>
            <w:r w:rsidRPr="0016092F">
              <w:rPr>
                <w:noProof/>
                <w:sz w:val="22"/>
                <w:szCs w:val="22"/>
                <w:lang w:val="sr-Latn-ME"/>
              </w:rPr>
              <w:t xml:space="preserve">su </w:t>
            </w:r>
            <w:r w:rsidR="00785859" w:rsidRPr="0016092F">
              <w:rPr>
                <w:noProof/>
                <w:sz w:val="22"/>
                <w:szCs w:val="22"/>
                <w:lang w:val="sr-Latn-ME"/>
              </w:rPr>
              <w:t>usp</w:t>
            </w:r>
            <w:r w:rsidR="00F660B3" w:rsidRPr="0016092F">
              <w:rPr>
                <w:noProof/>
                <w:sz w:val="22"/>
                <w:szCs w:val="22"/>
                <w:lang w:val="sr-Latn-ME"/>
              </w:rPr>
              <w:t>j</w:t>
            </w:r>
            <w:r w:rsidR="00785859" w:rsidRPr="0016092F">
              <w:rPr>
                <w:noProof/>
                <w:sz w:val="22"/>
                <w:szCs w:val="22"/>
                <w:lang w:val="sr-Latn-ME"/>
              </w:rPr>
              <w:t>ele da pokažu</w:t>
            </w:r>
            <w:r w:rsidRPr="0016092F">
              <w:rPr>
                <w:noProof/>
                <w:sz w:val="22"/>
                <w:szCs w:val="22"/>
                <w:lang w:val="sr-Latn-ME"/>
              </w:rPr>
              <w:t xml:space="preserve"> značajno poboljšanje parametara kvalitete ž</w:t>
            </w:r>
            <w:r w:rsidR="00785859" w:rsidRPr="0016092F">
              <w:rPr>
                <w:noProof/>
                <w:sz w:val="22"/>
                <w:szCs w:val="22"/>
                <w:lang w:val="sr-Latn-ME"/>
              </w:rPr>
              <w:t>ivota na skali EORTC-QLQ-C30, odnosno skali</w:t>
            </w:r>
            <w:r w:rsidRPr="0016092F">
              <w:rPr>
                <w:noProof/>
                <w:sz w:val="22"/>
                <w:szCs w:val="22"/>
                <w:lang w:val="sr-Latn-ME"/>
              </w:rPr>
              <w:t xml:space="preserve"> CLAS. </w:t>
            </w:r>
          </w:p>
          <w:p w:rsidR="00785859" w:rsidRPr="0016092F" w:rsidRDefault="00785859" w:rsidP="006F146B">
            <w:pPr>
              <w:pStyle w:val="Default"/>
              <w:jc w:val="both"/>
              <w:rPr>
                <w:noProof/>
                <w:sz w:val="22"/>
                <w:szCs w:val="22"/>
                <w:lang w:val="sr-Latn-ME"/>
              </w:rPr>
            </w:pPr>
          </w:p>
          <w:p w:rsidR="00785859" w:rsidRPr="0016092F" w:rsidRDefault="000825BD" w:rsidP="006F146B">
            <w:pPr>
              <w:pStyle w:val="Default"/>
              <w:jc w:val="both"/>
              <w:rPr>
                <w:noProof/>
                <w:sz w:val="22"/>
                <w:szCs w:val="22"/>
                <w:lang w:val="sr-Latn-ME"/>
              </w:rPr>
            </w:pPr>
            <w:r w:rsidRPr="0016092F">
              <w:rPr>
                <w:noProof/>
                <w:sz w:val="22"/>
                <w:szCs w:val="22"/>
                <w:lang w:val="sr-Latn-ME"/>
              </w:rPr>
              <w:t>Preživlje</w:t>
            </w:r>
            <w:r w:rsidR="00785859" w:rsidRPr="0016092F">
              <w:rPr>
                <w:noProof/>
                <w:sz w:val="22"/>
                <w:szCs w:val="22"/>
                <w:lang w:val="sr-Latn-ME"/>
              </w:rPr>
              <w:t>nje i progresija tumora ispitivani</w:t>
            </w:r>
            <w:r w:rsidRPr="0016092F">
              <w:rPr>
                <w:noProof/>
                <w:sz w:val="22"/>
                <w:szCs w:val="22"/>
                <w:lang w:val="sr-Latn-ME"/>
              </w:rPr>
              <w:t xml:space="preserve"> su u pet velikih kontroliranih </w:t>
            </w:r>
            <w:r w:rsidR="00785859" w:rsidRPr="0016092F">
              <w:rPr>
                <w:noProof/>
                <w:sz w:val="22"/>
                <w:szCs w:val="22"/>
                <w:lang w:val="sr-Latn-ME"/>
              </w:rPr>
              <w:t>studija</w:t>
            </w:r>
            <w:r w:rsidRPr="0016092F">
              <w:rPr>
                <w:noProof/>
                <w:sz w:val="22"/>
                <w:szCs w:val="22"/>
                <w:lang w:val="sr-Latn-ME"/>
              </w:rPr>
              <w:t xml:space="preserve"> koj</w:t>
            </w:r>
            <w:r w:rsidR="00785859" w:rsidRPr="0016092F">
              <w:rPr>
                <w:noProof/>
                <w:sz w:val="22"/>
                <w:szCs w:val="22"/>
                <w:lang w:val="sr-Latn-ME"/>
              </w:rPr>
              <w:t>e</w:t>
            </w:r>
            <w:r w:rsidRPr="0016092F">
              <w:rPr>
                <w:noProof/>
                <w:sz w:val="22"/>
                <w:szCs w:val="22"/>
                <w:lang w:val="sr-Latn-ME"/>
              </w:rPr>
              <w:t xml:space="preserve"> su uključ</w:t>
            </w:r>
            <w:r w:rsidR="00785859" w:rsidRPr="0016092F">
              <w:rPr>
                <w:noProof/>
                <w:sz w:val="22"/>
                <w:szCs w:val="22"/>
                <w:lang w:val="sr-Latn-ME"/>
              </w:rPr>
              <w:t>ivale</w:t>
            </w:r>
            <w:r w:rsidRPr="0016092F">
              <w:rPr>
                <w:noProof/>
                <w:sz w:val="22"/>
                <w:szCs w:val="22"/>
                <w:lang w:val="sr-Latn-ME"/>
              </w:rPr>
              <w:t xml:space="preserve"> ukupno 2833 </w:t>
            </w:r>
            <w:r w:rsidR="00785859" w:rsidRPr="0016092F">
              <w:rPr>
                <w:noProof/>
                <w:sz w:val="22"/>
                <w:szCs w:val="22"/>
                <w:lang w:val="sr-Latn-ME"/>
              </w:rPr>
              <w:t>pacijenata</w:t>
            </w:r>
            <w:r w:rsidRPr="0016092F">
              <w:rPr>
                <w:noProof/>
                <w:sz w:val="22"/>
                <w:szCs w:val="22"/>
                <w:lang w:val="sr-Latn-ME"/>
              </w:rPr>
              <w:t>, od kojih su č</w:t>
            </w:r>
            <w:r w:rsidR="00785859" w:rsidRPr="0016092F">
              <w:rPr>
                <w:noProof/>
                <w:sz w:val="22"/>
                <w:szCs w:val="22"/>
                <w:lang w:val="sr-Latn-ME"/>
              </w:rPr>
              <w:t>etiri bile dvostruko sl</w:t>
            </w:r>
            <w:r w:rsidR="00F660B3" w:rsidRPr="0016092F">
              <w:rPr>
                <w:noProof/>
                <w:sz w:val="22"/>
                <w:szCs w:val="22"/>
                <w:lang w:val="sr-Latn-ME"/>
              </w:rPr>
              <w:t>ij</w:t>
            </w:r>
            <w:r w:rsidRPr="0016092F">
              <w:rPr>
                <w:noProof/>
                <w:sz w:val="22"/>
                <w:szCs w:val="22"/>
                <w:lang w:val="sr-Latn-ME"/>
              </w:rPr>
              <w:t>ep</w:t>
            </w:r>
            <w:r w:rsidR="00785859" w:rsidRPr="0016092F">
              <w:rPr>
                <w:noProof/>
                <w:sz w:val="22"/>
                <w:szCs w:val="22"/>
                <w:lang w:val="sr-Latn-ME"/>
              </w:rPr>
              <w:t>e, placebo</w:t>
            </w:r>
            <w:r w:rsidRPr="0016092F">
              <w:rPr>
                <w:noProof/>
                <w:sz w:val="22"/>
                <w:szCs w:val="22"/>
                <w:lang w:val="sr-Latn-ME"/>
              </w:rPr>
              <w:t xml:space="preserve"> kontroli</w:t>
            </w:r>
            <w:r w:rsidR="00785859" w:rsidRPr="0016092F">
              <w:rPr>
                <w:noProof/>
                <w:sz w:val="22"/>
                <w:szCs w:val="22"/>
                <w:lang w:val="sr-Latn-ME"/>
              </w:rPr>
              <w:t>sane studije,</w:t>
            </w:r>
            <w:r w:rsidRPr="0016092F">
              <w:rPr>
                <w:noProof/>
                <w:sz w:val="22"/>
                <w:szCs w:val="22"/>
                <w:lang w:val="sr-Latn-ME"/>
              </w:rPr>
              <w:t xml:space="preserve"> a jed</w:t>
            </w:r>
            <w:r w:rsidR="00785859" w:rsidRPr="0016092F">
              <w:rPr>
                <w:noProof/>
                <w:sz w:val="22"/>
                <w:szCs w:val="22"/>
                <w:lang w:val="sr-Latn-ME"/>
              </w:rPr>
              <w:t>na</w:t>
            </w:r>
            <w:r w:rsidRPr="0016092F">
              <w:rPr>
                <w:noProof/>
                <w:sz w:val="22"/>
                <w:szCs w:val="22"/>
                <w:lang w:val="sr-Latn-ME"/>
              </w:rPr>
              <w:t xml:space="preserve"> je bil</w:t>
            </w:r>
            <w:r w:rsidR="00785859" w:rsidRPr="0016092F">
              <w:rPr>
                <w:noProof/>
                <w:sz w:val="22"/>
                <w:szCs w:val="22"/>
                <w:lang w:val="sr-Latn-ME"/>
              </w:rPr>
              <w:t>a</w:t>
            </w:r>
            <w:r w:rsidRPr="0016092F">
              <w:rPr>
                <w:noProof/>
                <w:sz w:val="22"/>
                <w:szCs w:val="22"/>
                <w:lang w:val="sr-Latn-ME"/>
              </w:rPr>
              <w:t xml:space="preserve"> otvoren</w:t>
            </w:r>
            <w:r w:rsidR="00785859" w:rsidRPr="0016092F">
              <w:rPr>
                <w:noProof/>
                <w:sz w:val="22"/>
                <w:szCs w:val="22"/>
                <w:lang w:val="sr-Latn-ME"/>
              </w:rPr>
              <w:t>a</w:t>
            </w:r>
            <w:r w:rsidRPr="0016092F">
              <w:rPr>
                <w:noProof/>
                <w:sz w:val="22"/>
                <w:szCs w:val="22"/>
                <w:lang w:val="sr-Latn-ME"/>
              </w:rPr>
              <w:t xml:space="preserve"> </w:t>
            </w:r>
            <w:r w:rsidR="00785859" w:rsidRPr="0016092F">
              <w:rPr>
                <w:noProof/>
                <w:sz w:val="22"/>
                <w:szCs w:val="22"/>
                <w:lang w:val="sr-Latn-ME"/>
              </w:rPr>
              <w:t>studija</w:t>
            </w:r>
            <w:r w:rsidRPr="0016092F">
              <w:rPr>
                <w:noProof/>
                <w:sz w:val="22"/>
                <w:szCs w:val="22"/>
                <w:lang w:val="sr-Latn-ME"/>
              </w:rPr>
              <w:t xml:space="preserve">. Ispitivanja su uključila ili </w:t>
            </w:r>
            <w:r w:rsidR="00785859" w:rsidRPr="0016092F">
              <w:rPr>
                <w:noProof/>
                <w:sz w:val="22"/>
                <w:szCs w:val="22"/>
                <w:lang w:val="sr-Latn-ME"/>
              </w:rPr>
              <w:t>pacijente koji su bili l</w:t>
            </w:r>
            <w:r w:rsidR="00F660B3" w:rsidRPr="0016092F">
              <w:rPr>
                <w:noProof/>
                <w:sz w:val="22"/>
                <w:szCs w:val="22"/>
                <w:lang w:val="sr-Latn-ME"/>
              </w:rPr>
              <w:t>ij</w:t>
            </w:r>
            <w:r w:rsidRPr="0016092F">
              <w:rPr>
                <w:noProof/>
                <w:sz w:val="22"/>
                <w:szCs w:val="22"/>
                <w:lang w:val="sr-Latn-ME"/>
              </w:rPr>
              <w:t>eč</w:t>
            </w:r>
            <w:r w:rsidR="00785859" w:rsidRPr="0016092F">
              <w:rPr>
                <w:noProof/>
                <w:sz w:val="22"/>
                <w:szCs w:val="22"/>
                <w:lang w:val="sr-Latn-ME"/>
              </w:rPr>
              <w:t>eni h</w:t>
            </w:r>
            <w:r w:rsidR="00185CE1" w:rsidRPr="0016092F">
              <w:rPr>
                <w:noProof/>
                <w:sz w:val="22"/>
                <w:szCs w:val="22"/>
                <w:lang w:val="sr-Latn-ME"/>
              </w:rPr>
              <w:t>emoterapijom (dv</w:t>
            </w:r>
            <w:r w:rsidR="00F660B3" w:rsidRPr="0016092F">
              <w:rPr>
                <w:noProof/>
                <w:sz w:val="22"/>
                <w:szCs w:val="22"/>
                <w:lang w:val="sr-Latn-ME"/>
              </w:rPr>
              <w:t>ij</w:t>
            </w:r>
            <w:r w:rsidR="00185CE1" w:rsidRPr="0016092F">
              <w:rPr>
                <w:noProof/>
                <w:sz w:val="22"/>
                <w:szCs w:val="22"/>
                <w:lang w:val="sr-Latn-ME"/>
              </w:rPr>
              <w:t>e studije</w:t>
            </w:r>
            <w:r w:rsidRPr="0016092F">
              <w:rPr>
                <w:noProof/>
                <w:sz w:val="22"/>
                <w:szCs w:val="22"/>
                <w:lang w:val="sr-Latn-ME"/>
              </w:rPr>
              <w:t xml:space="preserve">) ili populacije </w:t>
            </w:r>
            <w:r w:rsidR="00785859" w:rsidRPr="0016092F">
              <w:rPr>
                <w:noProof/>
                <w:sz w:val="22"/>
                <w:szCs w:val="22"/>
                <w:lang w:val="sr-Latn-ME"/>
              </w:rPr>
              <w:t>paci</w:t>
            </w:r>
            <w:r w:rsidR="00185CE1" w:rsidRPr="0016092F">
              <w:rPr>
                <w:noProof/>
                <w:sz w:val="22"/>
                <w:szCs w:val="22"/>
                <w:lang w:val="sr-Latn-ME"/>
              </w:rPr>
              <w:t>j</w:t>
            </w:r>
            <w:r w:rsidR="00785859" w:rsidRPr="0016092F">
              <w:rPr>
                <w:noProof/>
                <w:sz w:val="22"/>
                <w:szCs w:val="22"/>
                <w:lang w:val="sr-Latn-ME"/>
              </w:rPr>
              <w:t>enata</w:t>
            </w:r>
            <w:r w:rsidRPr="0016092F">
              <w:rPr>
                <w:noProof/>
                <w:sz w:val="22"/>
                <w:szCs w:val="22"/>
                <w:lang w:val="sr-Latn-ME"/>
              </w:rPr>
              <w:t xml:space="preserve"> </w:t>
            </w:r>
            <w:r w:rsidR="00785859" w:rsidRPr="0016092F">
              <w:rPr>
                <w:noProof/>
                <w:sz w:val="22"/>
                <w:szCs w:val="22"/>
                <w:lang w:val="sr-Latn-ME"/>
              </w:rPr>
              <w:t>kod kojih ESA ni</w:t>
            </w:r>
            <w:r w:rsidR="00F660B3" w:rsidRPr="0016092F">
              <w:rPr>
                <w:noProof/>
                <w:sz w:val="22"/>
                <w:szCs w:val="22"/>
                <w:lang w:val="sr-Latn-ME"/>
              </w:rPr>
              <w:t>je</w:t>
            </w:r>
            <w:r w:rsidR="00785859" w:rsidRPr="0016092F">
              <w:rPr>
                <w:noProof/>
                <w:sz w:val="22"/>
                <w:szCs w:val="22"/>
                <w:lang w:val="sr-Latn-ME"/>
              </w:rPr>
              <w:t>su bili indikovani</w:t>
            </w:r>
            <w:r w:rsidRPr="0016092F">
              <w:rPr>
                <w:noProof/>
                <w:sz w:val="22"/>
                <w:szCs w:val="22"/>
                <w:lang w:val="sr-Latn-ME"/>
              </w:rPr>
              <w:t xml:space="preserve">: anemija </w:t>
            </w:r>
            <w:r w:rsidR="00785859" w:rsidRPr="0016092F">
              <w:rPr>
                <w:noProof/>
                <w:sz w:val="22"/>
                <w:szCs w:val="22"/>
                <w:lang w:val="sr-Latn-ME"/>
              </w:rPr>
              <w:t>kod</w:t>
            </w:r>
            <w:r w:rsidRPr="0016092F">
              <w:rPr>
                <w:noProof/>
                <w:sz w:val="22"/>
                <w:szCs w:val="22"/>
                <w:lang w:val="sr-Latn-ME"/>
              </w:rPr>
              <w:t xml:space="preserve"> onkološ</w:t>
            </w:r>
            <w:r w:rsidR="00785859" w:rsidRPr="0016092F">
              <w:rPr>
                <w:noProof/>
                <w:sz w:val="22"/>
                <w:szCs w:val="22"/>
                <w:lang w:val="sr-Latn-ME"/>
              </w:rPr>
              <w:t>kih bolesnika koji ne primaju h</w:t>
            </w:r>
            <w:r w:rsidRPr="0016092F">
              <w:rPr>
                <w:noProof/>
                <w:sz w:val="22"/>
                <w:szCs w:val="22"/>
                <w:lang w:val="sr-Latn-ME"/>
              </w:rPr>
              <w:t xml:space="preserve">emoterapiju i </w:t>
            </w:r>
            <w:r w:rsidR="00785859" w:rsidRPr="0016092F">
              <w:rPr>
                <w:noProof/>
                <w:sz w:val="22"/>
                <w:szCs w:val="22"/>
                <w:lang w:val="sr-Latn-ME"/>
              </w:rPr>
              <w:t xml:space="preserve">pacijenata </w:t>
            </w:r>
            <w:r w:rsidRPr="0016092F">
              <w:rPr>
                <w:noProof/>
                <w:sz w:val="22"/>
                <w:szCs w:val="22"/>
                <w:lang w:val="sr-Latn-ME"/>
              </w:rPr>
              <w:t>s</w:t>
            </w:r>
            <w:r w:rsidR="00785859" w:rsidRPr="0016092F">
              <w:rPr>
                <w:noProof/>
                <w:sz w:val="22"/>
                <w:szCs w:val="22"/>
                <w:lang w:val="sr-Latn-ME"/>
              </w:rPr>
              <w:t>a karcinomom</w:t>
            </w:r>
            <w:r w:rsidRPr="0016092F">
              <w:rPr>
                <w:noProof/>
                <w:sz w:val="22"/>
                <w:szCs w:val="22"/>
                <w:lang w:val="sr-Latn-ME"/>
              </w:rPr>
              <w:t xml:space="preserve"> glave i vrata koji primaju terapiju zračenjem. Željena </w:t>
            </w:r>
            <w:r w:rsidR="00785859" w:rsidRPr="0016092F">
              <w:rPr>
                <w:noProof/>
                <w:sz w:val="22"/>
                <w:szCs w:val="22"/>
                <w:lang w:val="sr-Latn-ME"/>
              </w:rPr>
              <w:t>vr</w:t>
            </w:r>
            <w:r w:rsidR="00F660B3" w:rsidRPr="0016092F">
              <w:rPr>
                <w:noProof/>
                <w:sz w:val="22"/>
                <w:szCs w:val="22"/>
                <w:lang w:val="sr-Latn-ME"/>
              </w:rPr>
              <w:t>ij</w:t>
            </w:r>
            <w:r w:rsidR="00785859" w:rsidRPr="0016092F">
              <w:rPr>
                <w:noProof/>
                <w:sz w:val="22"/>
                <w:szCs w:val="22"/>
                <w:lang w:val="sr-Latn-ME"/>
              </w:rPr>
              <w:t>ednost</w:t>
            </w:r>
            <w:r w:rsidRPr="0016092F">
              <w:rPr>
                <w:noProof/>
                <w:sz w:val="22"/>
                <w:szCs w:val="22"/>
                <w:lang w:val="sr-Latn-ME"/>
              </w:rPr>
              <w:t xml:space="preserve"> koncentracije hemoglobina u dva ispitivanja bila je &gt; 13 g/dl (8,1 mmol/l); u preostala tri ispitivanja bila je 12 do 14 g/dl </w:t>
            </w:r>
            <w:r w:rsidR="00785859" w:rsidRPr="0016092F">
              <w:rPr>
                <w:noProof/>
                <w:sz w:val="22"/>
                <w:szCs w:val="22"/>
                <w:lang w:val="sr-Latn-ME"/>
              </w:rPr>
              <w:t>(7,5 do 8,7 mmol/l). U otvorenoj studiji</w:t>
            </w:r>
            <w:r w:rsidRPr="0016092F">
              <w:rPr>
                <w:noProof/>
                <w:sz w:val="22"/>
                <w:szCs w:val="22"/>
                <w:lang w:val="sr-Latn-ME"/>
              </w:rPr>
              <w:t xml:space="preserve"> nije bilo razlike u ukupnom preživljenju između </w:t>
            </w:r>
            <w:r w:rsidR="00785859" w:rsidRPr="0016092F">
              <w:rPr>
                <w:noProof/>
                <w:sz w:val="22"/>
                <w:szCs w:val="22"/>
                <w:lang w:val="sr-Latn-ME"/>
              </w:rPr>
              <w:t>pacijenata l</w:t>
            </w:r>
            <w:r w:rsidR="00F660B3" w:rsidRPr="0016092F">
              <w:rPr>
                <w:noProof/>
                <w:sz w:val="22"/>
                <w:szCs w:val="22"/>
                <w:lang w:val="sr-Latn-ME"/>
              </w:rPr>
              <w:t>ij</w:t>
            </w:r>
            <w:r w:rsidRPr="0016092F">
              <w:rPr>
                <w:noProof/>
                <w:sz w:val="22"/>
                <w:szCs w:val="22"/>
                <w:lang w:val="sr-Latn-ME"/>
              </w:rPr>
              <w:t>ečenih rekombina</w:t>
            </w:r>
            <w:r w:rsidR="00785859" w:rsidRPr="0016092F">
              <w:rPr>
                <w:noProof/>
                <w:sz w:val="22"/>
                <w:szCs w:val="22"/>
                <w:lang w:val="sr-Latn-ME"/>
              </w:rPr>
              <w:t>ovanim</w:t>
            </w:r>
            <w:r w:rsidRPr="0016092F">
              <w:rPr>
                <w:noProof/>
                <w:sz w:val="22"/>
                <w:szCs w:val="22"/>
                <w:lang w:val="sr-Latn-ME"/>
              </w:rPr>
              <w:t xml:space="preserve"> humanim eritropoetinom i kontrolnih ispitanika. U č</w:t>
            </w:r>
            <w:r w:rsidR="00785859" w:rsidRPr="0016092F">
              <w:rPr>
                <w:noProof/>
                <w:sz w:val="22"/>
                <w:szCs w:val="22"/>
                <w:lang w:val="sr-Latn-ME"/>
              </w:rPr>
              <w:t>etiri placebo kontrolisane studije</w:t>
            </w:r>
            <w:r w:rsidRPr="0016092F">
              <w:rPr>
                <w:noProof/>
                <w:sz w:val="22"/>
                <w:szCs w:val="22"/>
                <w:lang w:val="sr-Latn-ME"/>
              </w:rPr>
              <w:t xml:space="preserve">, </w:t>
            </w:r>
            <w:r w:rsidR="00785859" w:rsidRPr="0016092F">
              <w:rPr>
                <w:noProof/>
                <w:sz w:val="22"/>
                <w:szCs w:val="22"/>
                <w:lang w:val="sr-Latn-ME"/>
              </w:rPr>
              <w:t>stepen rizika</w:t>
            </w:r>
            <w:r w:rsidRPr="0016092F">
              <w:rPr>
                <w:noProof/>
                <w:sz w:val="22"/>
                <w:szCs w:val="22"/>
                <w:lang w:val="sr-Latn-ME"/>
              </w:rPr>
              <w:t xml:space="preserve"> za ukupno preživljenje kretali su se u rasponu od 1,25 do 2,47 u korist kontrolnih ispitanika. </w:t>
            </w:r>
            <w:r w:rsidR="00785859" w:rsidRPr="0016092F">
              <w:rPr>
                <w:noProof/>
                <w:sz w:val="22"/>
                <w:szCs w:val="22"/>
                <w:lang w:val="sr-Latn-ME"/>
              </w:rPr>
              <w:t xml:space="preserve">Ova </w:t>
            </w:r>
            <w:r w:rsidRPr="0016092F">
              <w:rPr>
                <w:noProof/>
                <w:sz w:val="22"/>
                <w:szCs w:val="22"/>
                <w:lang w:val="sr-Latn-ME"/>
              </w:rPr>
              <w:t xml:space="preserve"> ispitivanja </w:t>
            </w:r>
            <w:r w:rsidR="00785859" w:rsidRPr="0016092F">
              <w:rPr>
                <w:noProof/>
                <w:sz w:val="22"/>
                <w:szCs w:val="22"/>
                <w:lang w:val="sr-Latn-ME"/>
              </w:rPr>
              <w:t>su pokazala dosl</w:t>
            </w:r>
            <w:r w:rsidR="00F660B3" w:rsidRPr="0016092F">
              <w:rPr>
                <w:noProof/>
                <w:sz w:val="22"/>
                <w:szCs w:val="22"/>
                <w:lang w:val="sr-Latn-ME"/>
              </w:rPr>
              <w:t>j</w:t>
            </w:r>
            <w:r w:rsidRPr="0016092F">
              <w:rPr>
                <w:noProof/>
                <w:sz w:val="22"/>
                <w:szCs w:val="22"/>
                <w:lang w:val="sr-Latn-ME"/>
              </w:rPr>
              <w:t xml:space="preserve">edan i neobjašnjiv, statistički značajno veći mortalitet </w:t>
            </w:r>
            <w:r w:rsidR="00785859" w:rsidRPr="0016092F">
              <w:rPr>
                <w:noProof/>
                <w:sz w:val="22"/>
                <w:szCs w:val="22"/>
                <w:lang w:val="sr-Latn-ME"/>
              </w:rPr>
              <w:t>kod pacijenata</w:t>
            </w:r>
            <w:r w:rsidRPr="0016092F">
              <w:rPr>
                <w:noProof/>
                <w:sz w:val="22"/>
                <w:szCs w:val="22"/>
                <w:lang w:val="sr-Latn-ME"/>
              </w:rPr>
              <w:t xml:space="preserve"> koji su imali anemiju povezanu s</w:t>
            </w:r>
            <w:r w:rsidR="00785859" w:rsidRPr="0016092F">
              <w:rPr>
                <w:noProof/>
                <w:sz w:val="22"/>
                <w:szCs w:val="22"/>
                <w:lang w:val="sr-Latn-ME"/>
              </w:rPr>
              <w:t>a</w:t>
            </w:r>
            <w:r w:rsidRPr="0016092F">
              <w:rPr>
                <w:noProof/>
                <w:sz w:val="22"/>
                <w:szCs w:val="22"/>
                <w:lang w:val="sr-Latn-ME"/>
              </w:rPr>
              <w:t xml:space="preserve"> različitim č</w:t>
            </w:r>
            <w:r w:rsidR="00785859" w:rsidRPr="0016092F">
              <w:rPr>
                <w:noProof/>
                <w:sz w:val="22"/>
                <w:szCs w:val="22"/>
                <w:lang w:val="sr-Latn-ME"/>
              </w:rPr>
              <w:t>estim karcinom</w:t>
            </w:r>
            <w:r w:rsidR="00185CE1" w:rsidRPr="0016092F">
              <w:rPr>
                <w:noProof/>
                <w:sz w:val="22"/>
                <w:szCs w:val="22"/>
                <w:lang w:val="sr-Latn-ME"/>
              </w:rPr>
              <w:t>ima</w:t>
            </w:r>
            <w:r w:rsidRPr="0016092F">
              <w:rPr>
                <w:noProof/>
                <w:sz w:val="22"/>
                <w:szCs w:val="22"/>
                <w:lang w:val="sr-Latn-ME"/>
              </w:rPr>
              <w:t xml:space="preserve"> i primali rekombin</w:t>
            </w:r>
            <w:r w:rsidR="00785859" w:rsidRPr="0016092F">
              <w:rPr>
                <w:noProof/>
                <w:sz w:val="22"/>
                <w:szCs w:val="22"/>
                <w:lang w:val="sr-Latn-ME"/>
              </w:rPr>
              <w:t>ovani</w:t>
            </w:r>
            <w:r w:rsidRPr="0016092F">
              <w:rPr>
                <w:noProof/>
                <w:sz w:val="22"/>
                <w:szCs w:val="22"/>
                <w:lang w:val="sr-Latn-ME"/>
              </w:rPr>
              <w:t xml:space="preserve"> humani eritropoetin nego </w:t>
            </w:r>
            <w:r w:rsidR="00785859" w:rsidRPr="0016092F">
              <w:rPr>
                <w:noProof/>
                <w:sz w:val="22"/>
                <w:szCs w:val="22"/>
                <w:lang w:val="sr-Latn-ME"/>
              </w:rPr>
              <w:t>kod</w:t>
            </w:r>
            <w:r w:rsidRPr="0016092F">
              <w:rPr>
                <w:noProof/>
                <w:sz w:val="22"/>
                <w:szCs w:val="22"/>
                <w:lang w:val="sr-Latn-ME"/>
              </w:rPr>
              <w:t xml:space="preserve"> kontrolnih </w:t>
            </w:r>
            <w:r w:rsidR="00785859" w:rsidRPr="0016092F">
              <w:rPr>
                <w:noProof/>
                <w:sz w:val="22"/>
                <w:szCs w:val="22"/>
                <w:lang w:val="sr-Latn-ME"/>
              </w:rPr>
              <w:t>pacijenata</w:t>
            </w:r>
            <w:r w:rsidRPr="0016092F">
              <w:rPr>
                <w:noProof/>
                <w:sz w:val="22"/>
                <w:szCs w:val="22"/>
                <w:lang w:val="sr-Latn-ME"/>
              </w:rPr>
              <w:t>. Ishod ukupnog preživljenja u ispitivanjima nije se mogao zadovoljavajuće o</w:t>
            </w:r>
            <w:r w:rsidR="00785859" w:rsidRPr="0016092F">
              <w:rPr>
                <w:noProof/>
                <w:sz w:val="22"/>
                <w:szCs w:val="22"/>
                <w:lang w:val="sr-Latn-ME"/>
              </w:rPr>
              <w:t>bjasniti razlikama u incidenci</w:t>
            </w:r>
            <w:r w:rsidRPr="0016092F">
              <w:rPr>
                <w:noProof/>
                <w:sz w:val="22"/>
                <w:szCs w:val="22"/>
                <w:lang w:val="sr-Latn-ME"/>
              </w:rPr>
              <w:t xml:space="preserve"> tromboze i s</w:t>
            </w:r>
            <w:r w:rsidR="00785859" w:rsidRPr="0016092F">
              <w:rPr>
                <w:noProof/>
                <w:sz w:val="22"/>
                <w:szCs w:val="22"/>
                <w:lang w:val="sr-Latn-ME"/>
              </w:rPr>
              <w:t>a</w:t>
            </w:r>
            <w:r w:rsidRPr="0016092F">
              <w:rPr>
                <w:noProof/>
                <w:sz w:val="22"/>
                <w:szCs w:val="22"/>
                <w:lang w:val="sr-Latn-ME"/>
              </w:rPr>
              <w:t xml:space="preserve"> njom povezanim komplikacijama izmeđ</w:t>
            </w:r>
            <w:r w:rsidR="00785859" w:rsidRPr="0016092F">
              <w:rPr>
                <w:noProof/>
                <w:sz w:val="22"/>
                <w:szCs w:val="22"/>
                <w:lang w:val="sr-Latn-ME"/>
              </w:rPr>
              <w:t>u onih koji su dobij</w:t>
            </w:r>
            <w:r w:rsidRPr="0016092F">
              <w:rPr>
                <w:noProof/>
                <w:sz w:val="22"/>
                <w:szCs w:val="22"/>
                <w:lang w:val="sr-Latn-ME"/>
              </w:rPr>
              <w:t>ali rekombin</w:t>
            </w:r>
            <w:r w:rsidR="00785859" w:rsidRPr="0016092F">
              <w:rPr>
                <w:noProof/>
                <w:sz w:val="22"/>
                <w:szCs w:val="22"/>
                <w:lang w:val="sr-Latn-ME"/>
              </w:rPr>
              <w:t>ovani</w:t>
            </w:r>
            <w:r w:rsidRPr="0016092F">
              <w:rPr>
                <w:noProof/>
                <w:sz w:val="22"/>
                <w:szCs w:val="22"/>
                <w:lang w:val="sr-Latn-ME"/>
              </w:rPr>
              <w:t xml:space="preserve"> humani eritropo</w:t>
            </w:r>
            <w:r w:rsidR="00785859" w:rsidRPr="0016092F">
              <w:rPr>
                <w:noProof/>
                <w:sz w:val="22"/>
                <w:szCs w:val="22"/>
                <w:lang w:val="sr-Latn-ME"/>
              </w:rPr>
              <w:t>etin i onih u kontrolnoj grupi</w:t>
            </w:r>
            <w:r w:rsidRPr="0016092F">
              <w:rPr>
                <w:noProof/>
                <w:sz w:val="22"/>
                <w:szCs w:val="22"/>
                <w:lang w:val="sr-Latn-ME"/>
              </w:rPr>
              <w:t>.</w:t>
            </w:r>
          </w:p>
          <w:p w:rsidR="000825BD" w:rsidRPr="0016092F" w:rsidRDefault="000825BD" w:rsidP="006F146B">
            <w:pPr>
              <w:pStyle w:val="Default"/>
              <w:jc w:val="both"/>
              <w:rPr>
                <w:noProof/>
                <w:sz w:val="22"/>
                <w:szCs w:val="22"/>
                <w:lang w:val="sr-Latn-ME"/>
              </w:rPr>
            </w:pPr>
            <w:r w:rsidRPr="0016092F">
              <w:rPr>
                <w:noProof/>
                <w:sz w:val="22"/>
                <w:szCs w:val="22"/>
                <w:lang w:val="sr-Latn-ME"/>
              </w:rPr>
              <w:t xml:space="preserve"> </w:t>
            </w:r>
          </w:p>
          <w:p w:rsidR="000825BD" w:rsidRPr="0016092F" w:rsidRDefault="00185CE1" w:rsidP="006F146B">
            <w:pPr>
              <w:pStyle w:val="Default"/>
              <w:jc w:val="both"/>
              <w:rPr>
                <w:noProof/>
                <w:sz w:val="22"/>
                <w:szCs w:val="22"/>
                <w:lang w:val="sr-Latn-ME"/>
              </w:rPr>
            </w:pPr>
            <w:r w:rsidRPr="0016092F">
              <w:rPr>
                <w:noProof/>
                <w:sz w:val="22"/>
                <w:szCs w:val="22"/>
                <w:lang w:val="sr-Latn-ME"/>
              </w:rPr>
              <w:t>Sp</w:t>
            </w:r>
            <w:r w:rsidR="000825BD" w:rsidRPr="0016092F">
              <w:rPr>
                <w:noProof/>
                <w:sz w:val="22"/>
                <w:szCs w:val="22"/>
                <w:lang w:val="sr-Latn-ME"/>
              </w:rPr>
              <w:t xml:space="preserve">rovedena je i analiza podataka na </w:t>
            </w:r>
            <w:r w:rsidRPr="0016092F">
              <w:rPr>
                <w:noProof/>
                <w:sz w:val="22"/>
                <w:szCs w:val="22"/>
                <w:lang w:val="sr-Latn-ME"/>
              </w:rPr>
              <w:t>vr</w:t>
            </w:r>
            <w:r w:rsidR="00F660B3" w:rsidRPr="0016092F">
              <w:rPr>
                <w:noProof/>
                <w:sz w:val="22"/>
                <w:szCs w:val="22"/>
                <w:lang w:val="sr-Latn-ME"/>
              </w:rPr>
              <w:t>ij</w:t>
            </w:r>
            <w:r w:rsidRPr="0016092F">
              <w:rPr>
                <w:noProof/>
                <w:sz w:val="22"/>
                <w:szCs w:val="22"/>
                <w:lang w:val="sr-Latn-ME"/>
              </w:rPr>
              <w:t>ednosti pacijenata</w:t>
            </w:r>
            <w:r w:rsidR="000825BD" w:rsidRPr="0016092F">
              <w:rPr>
                <w:noProof/>
                <w:sz w:val="22"/>
                <w:szCs w:val="22"/>
                <w:lang w:val="sr-Latn-ME"/>
              </w:rPr>
              <w:t xml:space="preserve"> na više o</w:t>
            </w:r>
            <w:r w:rsidRPr="0016092F">
              <w:rPr>
                <w:noProof/>
                <w:sz w:val="22"/>
                <w:szCs w:val="22"/>
                <w:lang w:val="sr-Latn-ME"/>
              </w:rPr>
              <w:t>d 13 900 onkoloških bolesnika (h</w:t>
            </w:r>
            <w:r w:rsidR="000825BD" w:rsidRPr="0016092F">
              <w:rPr>
                <w:noProof/>
                <w:sz w:val="22"/>
                <w:szCs w:val="22"/>
                <w:lang w:val="sr-Latn-ME"/>
              </w:rPr>
              <w:t xml:space="preserve">emo-, radio, </w:t>
            </w:r>
            <w:r w:rsidRPr="0016092F">
              <w:rPr>
                <w:noProof/>
                <w:sz w:val="22"/>
                <w:szCs w:val="22"/>
                <w:lang w:val="sr-Latn-ME"/>
              </w:rPr>
              <w:t>h</w:t>
            </w:r>
            <w:r w:rsidR="000825BD" w:rsidRPr="0016092F">
              <w:rPr>
                <w:noProof/>
                <w:sz w:val="22"/>
                <w:szCs w:val="22"/>
                <w:lang w:val="sr-Latn-ME"/>
              </w:rPr>
              <w:t xml:space="preserve">emoradioterapija ili bez ikakve terapije) koji su </w:t>
            </w:r>
            <w:r w:rsidRPr="0016092F">
              <w:rPr>
                <w:noProof/>
                <w:sz w:val="22"/>
                <w:szCs w:val="22"/>
                <w:lang w:val="sr-Latn-ME"/>
              </w:rPr>
              <w:t>učestvovali u 53 kontrolisane kliničke studije</w:t>
            </w:r>
            <w:r w:rsidR="000825BD" w:rsidRPr="0016092F">
              <w:rPr>
                <w:noProof/>
                <w:sz w:val="22"/>
                <w:szCs w:val="22"/>
                <w:lang w:val="sr-Latn-ME"/>
              </w:rPr>
              <w:t xml:space="preserve"> koj</w:t>
            </w:r>
            <w:r w:rsidRPr="0016092F">
              <w:rPr>
                <w:noProof/>
                <w:sz w:val="22"/>
                <w:szCs w:val="22"/>
                <w:lang w:val="sr-Latn-ME"/>
              </w:rPr>
              <w:t xml:space="preserve">e </w:t>
            </w:r>
            <w:r w:rsidR="000825BD" w:rsidRPr="0016092F">
              <w:rPr>
                <w:noProof/>
                <w:sz w:val="22"/>
                <w:szCs w:val="22"/>
                <w:lang w:val="sr-Latn-ME"/>
              </w:rPr>
              <w:t>su uključival</w:t>
            </w:r>
            <w:r w:rsidRPr="0016092F">
              <w:rPr>
                <w:noProof/>
                <w:sz w:val="22"/>
                <w:szCs w:val="22"/>
                <w:lang w:val="sr-Latn-ME"/>
              </w:rPr>
              <w:t>e</w:t>
            </w:r>
            <w:r w:rsidR="000825BD" w:rsidRPr="0016092F">
              <w:rPr>
                <w:noProof/>
                <w:sz w:val="22"/>
                <w:szCs w:val="22"/>
                <w:lang w:val="sr-Latn-ME"/>
              </w:rPr>
              <w:t xml:space="preserve"> nekoliko epoetina. Meta</w:t>
            </w:r>
            <w:r w:rsidRPr="0016092F">
              <w:rPr>
                <w:noProof/>
                <w:sz w:val="22"/>
                <w:szCs w:val="22"/>
                <w:lang w:val="sr-Latn-ME"/>
              </w:rPr>
              <w:t>-</w:t>
            </w:r>
            <w:r w:rsidR="000825BD" w:rsidRPr="0016092F">
              <w:rPr>
                <w:noProof/>
                <w:sz w:val="22"/>
                <w:szCs w:val="22"/>
                <w:lang w:val="sr-Latn-ME"/>
              </w:rPr>
              <w:t>analizom podataka o ukupnom preživljenju proc</w:t>
            </w:r>
            <w:r w:rsidR="00F660B3" w:rsidRPr="0016092F">
              <w:rPr>
                <w:noProof/>
                <w:sz w:val="22"/>
                <w:szCs w:val="22"/>
                <w:lang w:val="sr-Latn-ME"/>
              </w:rPr>
              <w:t>ij</w:t>
            </w:r>
            <w:r w:rsidRPr="0016092F">
              <w:rPr>
                <w:noProof/>
                <w:sz w:val="22"/>
                <w:szCs w:val="22"/>
                <w:lang w:val="sr-Latn-ME"/>
              </w:rPr>
              <w:t>enjeno je da je tačna proc</w:t>
            </w:r>
            <w:r w:rsidR="00F660B3" w:rsidRPr="0016092F">
              <w:rPr>
                <w:noProof/>
                <w:sz w:val="22"/>
                <w:szCs w:val="22"/>
                <w:lang w:val="sr-Latn-ME"/>
              </w:rPr>
              <w:t>j</w:t>
            </w:r>
            <w:r w:rsidRPr="0016092F">
              <w:rPr>
                <w:noProof/>
                <w:sz w:val="22"/>
                <w:szCs w:val="22"/>
                <w:lang w:val="sr-Latn-ME"/>
              </w:rPr>
              <w:t xml:space="preserve">ena stepena rizika </w:t>
            </w:r>
            <w:r w:rsidR="000825BD" w:rsidRPr="0016092F">
              <w:rPr>
                <w:noProof/>
                <w:sz w:val="22"/>
                <w:szCs w:val="22"/>
                <w:lang w:val="sr-Latn-ME"/>
              </w:rPr>
              <w:t xml:space="preserve">1,06 u korist kontrolnih ispitanika (95 % CI: 1,00, 1,12; 53 </w:t>
            </w:r>
            <w:r w:rsidRPr="0016092F">
              <w:rPr>
                <w:noProof/>
                <w:sz w:val="22"/>
                <w:szCs w:val="22"/>
                <w:lang w:val="sr-Latn-ME"/>
              </w:rPr>
              <w:t>studije</w:t>
            </w:r>
            <w:r w:rsidR="000825BD" w:rsidRPr="0016092F">
              <w:rPr>
                <w:noProof/>
                <w:sz w:val="22"/>
                <w:szCs w:val="22"/>
                <w:lang w:val="sr-Latn-ME"/>
              </w:rPr>
              <w:t xml:space="preserve"> i 13 933 </w:t>
            </w:r>
            <w:r w:rsidRPr="0016092F">
              <w:rPr>
                <w:noProof/>
                <w:sz w:val="22"/>
                <w:szCs w:val="22"/>
                <w:lang w:val="sr-Latn-ME"/>
              </w:rPr>
              <w:t>pacijenata</w:t>
            </w:r>
            <w:r w:rsidR="000825BD" w:rsidRPr="0016092F">
              <w:rPr>
                <w:noProof/>
                <w:sz w:val="22"/>
                <w:szCs w:val="22"/>
                <w:lang w:val="sr-Latn-ME"/>
              </w:rPr>
              <w:t xml:space="preserve">), dok je </w:t>
            </w:r>
            <w:r w:rsidRPr="0016092F">
              <w:rPr>
                <w:noProof/>
                <w:sz w:val="22"/>
                <w:szCs w:val="22"/>
                <w:lang w:val="sr-Latn-ME"/>
              </w:rPr>
              <w:t>kod</w:t>
            </w:r>
            <w:r w:rsidR="000825BD" w:rsidRPr="0016092F">
              <w:rPr>
                <w:noProof/>
                <w:sz w:val="22"/>
                <w:szCs w:val="22"/>
                <w:lang w:val="sr-Latn-ME"/>
              </w:rPr>
              <w:t xml:space="preserve"> onkoloških </w:t>
            </w:r>
            <w:r w:rsidRPr="0016092F">
              <w:rPr>
                <w:noProof/>
                <w:sz w:val="22"/>
                <w:szCs w:val="22"/>
                <w:lang w:val="sr-Latn-ME"/>
              </w:rPr>
              <w:t>pacijenata koji su primali h</w:t>
            </w:r>
            <w:r w:rsidR="000825BD" w:rsidRPr="0016092F">
              <w:rPr>
                <w:noProof/>
                <w:sz w:val="22"/>
                <w:szCs w:val="22"/>
                <w:lang w:val="sr-Latn-ME"/>
              </w:rPr>
              <w:t xml:space="preserve">emoterapiju, ukupni </w:t>
            </w:r>
            <w:r w:rsidRPr="0016092F">
              <w:rPr>
                <w:noProof/>
                <w:sz w:val="22"/>
                <w:szCs w:val="22"/>
                <w:lang w:val="sr-Latn-ME"/>
              </w:rPr>
              <w:t xml:space="preserve">stepen rizika </w:t>
            </w:r>
            <w:r w:rsidR="000825BD" w:rsidRPr="0016092F">
              <w:rPr>
                <w:noProof/>
                <w:sz w:val="22"/>
                <w:szCs w:val="22"/>
                <w:lang w:val="sr-Latn-ME"/>
              </w:rPr>
              <w:t xml:space="preserve"> preživljenja iznosio 1,04 (95 % CI: 0,97, 1,11; 38 </w:t>
            </w:r>
            <w:r w:rsidRPr="0016092F">
              <w:rPr>
                <w:noProof/>
                <w:sz w:val="22"/>
                <w:szCs w:val="22"/>
                <w:lang w:val="sr-Latn-ME"/>
              </w:rPr>
              <w:t>studija i 10 441 pacijent</w:t>
            </w:r>
            <w:r w:rsidR="000825BD" w:rsidRPr="0016092F">
              <w:rPr>
                <w:noProof/>
                <w:sz w:val="22"/>
                <w:szCs w:val="22"/>
                <w:lang w:val="sr-Latn-ME"/>
              </w:rPr>
              <w:t>). Meta</w:t>
            </w:r>
            <w:r w:rsidRPr="0016092F">
              <w:rPr>
                <w:noProof/>
                <w:sz w:val="22"/>
                <w:szCs w:val="22"/>
                <w:lang w:val="sr-Latn-ME"/>
              </w:rPr>
              <w:t>-</w:t>
            </w:r>
            <w:r w:rsidR="000825BD" w:rsidRPr="0016092F">
              <w:rPr>
                <w:noProof/>
                <w:sz w:val="22"/>
                <w:szCs w:val="22"/>
                <w:lang w:val="sr-Latn-ME"/>
              </w:rPr>
              <w:t>analize takođe</w:t>
            </w:r>
            <w:r w:rsidRPr="0016092F">
              <w:rPr>
                <w:noProof/>
                <w:sz w:val="22"/>
                <w:szCs w:val="22"/>
                <w:lang w:val="sr-Latn-ME"/>
              </w:rPr>
              <w:t xml:space="preserve"> dosl</w:t>
            </w:r>
            <w:r w:rsidR="002C6A3C" w:rsidRPr="0016092F">
              <w:rPr>
                <w:noProof/>
                <w:sz w:val="22"/>
                <w:szCs w:val="22"/>
                <w:lang w:val="sr-Latn-ME"/>
              </w:rPr>
              <w:t>j</w:t>
            </w:r>
            <w:r w:rsidR="000825BD" w:rsidRPr="0016092F">
              <w:rPr>
                <w:noProof/>
                <w:sz w:val="22"/>
                <w:szCs w:val="22"/>
                <w:lang w:val="sr-Latn-ME"/>
              </w:rPr>
              <w:t xml:space="preserve">edno pokazuju značajno povišen relativni rizik od tromboembolijskih događaja </w:t>
            </w:r>
            <w:r w:rsidRPr="0016092F">
              <w:rPr>
                <w:noProof/>
                <w:sz w:val="22"/>
                <w:szCs w:val="22"/>
                <w:lang w:val="sr-Latn-ME"/>
              </w:rPr>
              <w:t>kod</w:t>
            </w:r>
            <w:r w:rsidR="000825BD" w:rsidRPr="0016092F">
              <w:rPr>
                <w:noProof/>
                <w:sz w:val="22"/>
                <w:szCs w:val="22"/>
                <w:lang w:val="sr-Latn-ME"/>
              </w:rPr>
              <w:t xml:space="preserve"> onkoloških </w:t>
            </w:r>
            <w:r w:rsidRPr="0016092F">
              <w:rPr>
                <w:noProof/>
                <w:sz w:val="22"/>
                <w:szCs w:val="22"/>
                <w:lang w:val="sr-Latn-ME"/>
              </w:rPr>
              <w:t>pacijenata</w:t>
            </w:r>
            <w:r w:rsidR="000825BD" w:rsidRPr="0016092F">
              <w:rPr>
                <w:noProof/>
                <w:sz w:val="22"/>
                <w:szCs w:val="22"/>
                <w:lang w:val="sr-Latn-ME"/>
              </w:rPr>
              <w:t xml:space="preserve"> koji su primali rekombin</w:t>
            </w:r>
            <w:r w:rsidRPr="0016092F">
              <w:rPr>
                <w:noProof/>
                <w:sz w:val="22"/>
                <w:szCs w:val="22"/>
                <w:lang w:val="sr-Latn-ME"/>
              </w:rPr>
              <w:t>ovani</w:t>
            </w:r>
            <w:r w:rsidR="000825BD" w:rsidRPr="0016092F">
              <w:rPr>
                <w:noProof/>
                <w:sz w:val="22"/>
                <w:szCs w:val="22"/>
                <w:lang w:val="sr-Latn-ME"/>
              </w:rPr>
              <w:t xml:space="preserve"> humani eritropoetin (</w:t>
            </w:r>
            <w:r w:rsidRPr="0016092F">
              <w:rPr>
                <w:noProof/>
                <w:sz w:val="22"/>
                <w:szCs w:val="22"/>
                <w:lang w:val="sr-Latn-ME"/>
              </w:rPr>
              <w:t>vid</w:t>
            </w:r>
            <w:r w:rsidR="002C6A3C" w:rsidRPr="0016092F">
              <w:rPr>
                <w:noProof/>
                <w:sz w:val="22"/>
                <w:szCs w:val="22"/>
                <w:lang w:val="sr-Latn-ME"/>
              </w:rPr>
              <w:t>j</w:t>
            </w:r>
            <w:r w:rsidRPr="0016092F">
              <w:rPr>
                <w:noProof/>
                <w:sz w:val="22"/>
                <w:szCs w:val="22"/>
                <w:lang w:val="sr-Latn-ME"/>
              </w:rPr>
              <w:t>eti od</w:t>
            </w:r>
            <w:r w:rsidR="002C6A3C" w:rsidRPr="0016092F">
              <w:rPr>
                <w:noProof/>
                <w:sz w:val="22"/>
                <w:szCs w:val="22"/>
                <w:lang w:val="sr-Latn-ME"/>
              </w:rPr>
              <w:t>j</w:t>
            </w:r>
            <w:r w:rsidRPr="0016092F">
              <w:rPr>
                <w:noProof/>
                <w:sz w:val="22"/>
                <w:szCs w:val="22"/>
                <w:lang w:val="sr-Latn-ME"/>
              </w:rPr>
              <w:t>eljak</w:t>
            </w:r>
            <w:r w:rsidR="000825BD" w:rsidRPr="0016092F">
              <w:rPr>
                <w:noProof/>
                <w:sz w:val="22"/>
                <w:szCs w:val="22"/>
                <w:lang w:val="sr-Latn-ME"/>
              </w:rPr>
              <w:t xml:space="preserve"> 4.4). </w:t>
            </w:r>
          </w:p>
          <w:p w:rsidR="00185CE1" w:rsidRPr="0016092F" w:rsidRDefault="00185CE1" w:rsidP="006F146B">
            <w:pPr>
              <w:pStyle w:val="Default"/>
              <w:jc w:val="both"/>
              <w:rPr>
                <w:noProof/>
                <w:sz w:val="22"/>
                <w:szCs w:val="22"/>
                <w:lang w:val="sr-Latn-ME"/>
              </w:rPr>
            </w:pPr>
          </w:p>
          <w:p w:rsidR="000825BD" w:rsidRPr="0016092F" w:rsidRDefault="000825BD" w:rsidP="006F146B">
            <w:pPr>
              <w:pStyle w:val="Default"/>
              <w:jc w:val="both"/>
              <w:rPr>
                <w:noProof/>
                <w:sz w:val="22"/>
                <w:szCs w:val="22"/>
                <w:lang w:val="sr-Latn-ME"/>
              </w:rPr>
            </w:pPr>
            <w:r w:rsidRPr="0016092F">
              <w:rPr>
                <w:i/>
                <w:iCs/>
                <w:noProof/>
                <w:sz w:val="22"/>
                <w:szCs w:val="22"/>
                <w:lang w:val="sr-Latn-ME"/>
              </w:rPr>
              <w:t xml:space="preserve">Program autologne predonacije </w:t>
            </w:r>
          </w:p>
          <w:p w:rsidR="00185CE1" w:rsidRPr="0016092F" w:rsidRDefault="00185CE1" w:rsidP="006F146B">
            <w:pPr>
              <w:pStyle w:val="Default"/>
              <w:jc w:val="both"/>
              <w:rPr>
                <w:noProof/>
                <w:sz w:val="22"/>
                <w:szCs w:val="22"/>
                <w:lang w:val="sr-Latn-ME"/>
              </w:rPr>
            </w:pPr>
            <w:r w:rsidRPr="0016092F">
              <w:rPr>
                <w:noProof/>
                <w:sz w:val="22"/>
                <w:szCs w:val="22"/>
                <w:lang w:val="sr-Latn-ME"/>
              </w:rPr>
              <w:t>Efekat</w:t>
            </w:r>
            <w:r w:rsidR="000825BD" w:rsidRPr="0016092F">
              <w:rPr>
                <w:noProof/>
                <w:sz w:val="22"/>
                <w:szCs w:val="22"/>
                <w:lang w:val="sr-Latn-ME"/>
              </w:rPr>
              <w:t xml:space="preserve"> epoetina alfa na olakšavanje donacije autologne krvi </w:t>
            </w:r>
            <w:r w:rsidRPr="0016092F">
              <w:rPr>
                <w:noProof/>
                <w:sz w:val="22"/>
                <w:szCs w:val="22"/>
                <w:lang w:val="sr-Latn-ME"/>
              </w:rPr>
              <w:t xml:space="preserve">kod pacijenata </w:t>
            </w:r>
            <w:r w:rsidR="000825BD" w:rsidRPr="0016092F">
              <w:rPr>
                <w:noProof/>
                <w:sz w:val="22"/>
                <w:szCs w:val="22"/>
                <w:lang w:val="sr-Latn-ME"/>
              </w:rPr>
              <w:t xml:space="preserve"> s</w:t>
            </w:r>
            <w:r w:rsidRPr="0016092F">
              <w:rPr>
                <w:noProof/>
                <w:sz w:val="22"/>
                <w:szCs w:val="22"/>
                <w:lang w:val="sr-Latn-ME"/>
              </w:rPr>
              <w:t>a</w:t>
            </w:r>
            <w:r w:rsidR="000825BD" w:rsidRPr="0016092F">
              <w:rPr>
                <w:noProof/>
                <w:sz w:val="22"/>
                <w:szCs w:val="22"/>
                <w:lang w:val="sr-Latn-ME"/>
              </w:rPr>
              <w:t xml:space="preserve"> niskim hematokritom (≤ 39% i bez po</w:t>
            </w:r>
            <w:r w:rsidRPr="0016092F">
              <w:rPr>
                <w:noProof/>
                <w:sz w:val="22"/>
                <w:szCs w:val="22"/>
                <w:lang w:val="sr-Latn-ME"/>
              </w:rPr>
              <w:t>stojeće</w:t>
            </w:r>
            <w:r w:rsidR="000825BD" w:rsidRPr="0016092F">
              <w:rPr>
                <w:noProof/>
                <w:sz w:val="22"/>
                <w:szCs w:val="22"/>
                <w:lang w:val="sr-Latn-ME"/>
              </w:rPr>
              <w:t xml:space="preserve"> anemije zbog nedostatka </w:t>
            </w:r>
            <w:r w:rsidRPr="0016092F">
              <w:rPr>
                <w:noProof/>
                <w:sz w:val="22"/>
                <w:szCs w:val="22"/>
                <w:lang w:val="sr-Latn-ME"/>
              </w:rPr>
              <w:t>gvožđa</w:t>
            </w:r>
            <w:r w:rsidR="000825BD" w:rsidRPr="0016092F">
              <w:rPr>
                <w:noProof/>
                <w:sz w:val="22"/>
                <w:szCs w:val="22"/>
                <w:lang w:val="sr-Latn-ME"/>
              </w:rPr>
              <w:t xml:space="preserve">) predviđenih za veliki ortopedski </w:t>
            </w:r>
            <w:r w:rsidRPr="0016092F">
              <w:rPr>
                <w:noProof/>
                <w:sz w:val="22"/>
                <w:szCs w:val="22"/>
                <w:lang w:val="sr-Latn-ME"/>
              </w:rPr>
              <w:t>h</w:t>
            </w:r>
            <w:r w:rsidR="000825BD" w:rsidRPr="0016092F">
              <w:rPr>
                <w:noProof/>
                <w:sz w:val="22"/>
                <w:szCs w:val="22"/>
                <w:lang w:val="sr-Latn-ME"/>
              </w:rPr>
              <w:t xml:space="preserve">irurški zahvat </w:t>
            </w:r>
            <w:r w:rsidRPr="0016092F">
              <w:rPr>
                <w:noProof/>
                <w:sz w:val="22"/>
                <w:szCs w:val="22"/>
                <w:lang w:val="sr-Latn-ME"/>
              </w:rPr>
              <w:lastRenderedPageBreak/>
              <w:t>proc</w:t>
            </w:r>
            <w:r w:rsidR="002C6A3C" w:rsidRPr="0016092F">
              <w:rPr>
                <w:noProof/>
                <w:sz w:val="22"/>
                <w:szCs w:val="22"/>
                <w:lang w:val="sr-Latn-ME"/>
              </w:rPr>
              <w:t>ij</w:t>
            </w:r>
            <w:r w:rsidR="000825BD" w:rsidRPr="0016092F">
              <w:rPr>
                <w:noProof/>
                <w:sz w:val="22"/>
                <w:szCs w:val="22"/>
                <w:lang w:val="sr-Latn-ME"/>
              </w:rPr>
              <w:t>enjen je u dvostruko s</w:t>
            </w:r>
            <w:r w:rsidRPr="0016092F">
              <w:rPr>
                <w:noProof/>
                <w:sz w:val="22"/>
                <w:szCs w:val="22"/>
                <w:lang w:val="sr-Latn-ME"/>
              </w:rPr>
              <w:t>l</w:t>
            </w:r>
            <w:r w:rsidR="002C6A3C" w:rsidRPr="0016092F">
              <w:rPr>
                <w:noProof/>
                <w:sz w:val="22"/>
                <w:szCs w:val="22"/>
                <w:lang w:val="sr-Latn-ME"/>
              </w:rPr>
              <w:t>ij</w:t>
            </w:r>
            <w:r w:rsidRPr="0016092F">
              <w:rPr>
                <w:noProof/>
                <w:sz w:val="22"/>
                <w:szCs w:val="22"/>
                <w:lang w:val="sr-Latn-ME"/>
              </w:rPr>
              <w:t>epoj, placebo kontroliranoj</w:t>
            </w:r>
            <w:r w:rsidR="000825BD" w:rsidRPr="0016092F">
              <w:rPr>
                <w:noProof/>
                <w:sz w:val="22"/>
                <w:szCs w:val="22"/>
                <w:lang w:val="sr-Latn-ME"/>
              </w:rPr>
              <w:t xml:space="preserve"> </w:t>
            </w:r>
            <w:r w:rsidRPr="0016092F">
              <w:rPr>
                <w:noProof/>
                <w:sz w:val="22"/>
                <w:szCs w:val="22"/>
                <w:lang w:val="sr-Latn-ME"/>
              </w:rPr>
              <w:t>studiji</w:t>
            </w:r>
            <w:r w:rsidR="000825BD" w:rsidRPr="0016092F">
              <w:rPr>
                <w:noProof/>
                <w:sz w:val="22"/>
                <w:szCs w:val="22"/>
                <w:lang w:val="sr-Latn-ME"/>
              </w:rPr>
              <w:t xml:space="preserve"> </w:t>
            </w:r>
            <w:r w:rsidRPr="0016092F">
              <w:rPr>
                <w:noProof/>
                <w:sz w:val="22"/>
                <w:szCs w:val="22"/>
                <w:lang w:val="sr-Latn-ME"/>
              </w:rPr>
              <w:t>sprovedenoj</w:t>
            </w:r>
            <w:r w:rsidR="000825BD" w:rsidRPr="0016092F">
              <w:rPr>
                <w:noProof/>
                <w:sz w:val="22"/>
                <w:szCs w:val="22"/>
                <w:lang w:val="sr-Latn-ME"/>
              </w:rPr>
              <w:t xml:space="preserve"> na 204 </w:t>
            </w:r>
            <w:r w:rsidRPr="0016092F">
              <w:rPr>
                <w:noProof/>
                <w:sz w:val="22"/>
                <w:szCs w:val="22"/>
                <w:lang w:val="sr-Latn-ME"/>
              </w:rPr>
              <w:t>pacijenta</w:t>
            </w:r>
            <w:r w:rsidR="000825BD" w:rsidRPr="0016092F">
              <w:rPr>
                <w:noProof/>
                <w:sz w:val="22"/>
                <w:szCs w:val="22"/>
                <w:lang w:val="sr-Latn-ME"/>
              </w:rPr>
              <w:t xml:space="preserve"> i jednostruko s</w:t>
            </w:r>
            <w:r w:rsidRPr="0016092F">
              <w:rPr>
                <w:noProof/>
                <w:sz w:val="22"/>
                <w:szCs w:val="22"/>
                <w:lang w:val="sr-Latn-ME"/>
              </w:rPr>
              <w:t>l</w:t>
            </w:r>
            <w:r w:rsidR="002C6A3C" w:rsidRPr="0016092F">
              <w:rPr>
                <w:noProof/>
                <w:sz w:val="22"/>
                <w:szCs w:val="22"/>
                <w:lang w:val="sr-Latn-ME"/>
              </w:rPr>
              <w:t>ij</w:t>
            </w:r>
            <w:r w:rsidRPr="0016092F">
              <w:rPr>
                <w:noProof/>
                <w:sz w:val="22"/>
                <w:szCs w:val="22"/>
                <w:lang w:val="sr-Latn-ME"/>
              </w:rPr>
              <w:t>epoj</w:t>
            </w:r>
            <w:r w:rsidR="000825BD" w:rsidRPr="0016092F">
              <w:rPr>
                <w:noProof/>
                <w:sz w:val="22"/>
                <w:szCs w:val="22"/>
                <w:lang w:val="sr-Latn-ME"/>
              </w:rPr>
              <w:t>, placebo</w:t>
            </w:r>
            <w:r w:rsidRPr="0016092F">
              <w:rPr>
                <w:noProof/>
                <w:sz w:val="22"/>
                <w:szCs w:val="22"/>
                <w:lang w:val="sr-Latn-ME"/>
              </w:rPr>
              <w:t xml:space="preserve"> kontroliranoj</w:t>
            </w:r>
            <w:r w:rsidR="000825BD" w:rsidRPr="0016092F">
              <w:rPr>
                <w:noProof/>
                <w:sz w:val="22"/>
                <w:szCs w:val="22"/>
                <w:lang w:val="sr-Latn-ME"/>
              </w:rPr>
              <w:t xml:space="preserve"> </w:t>
            </w:r>
            <w:r w:rsidRPr="0016092F">
              <w:rPr>
                <w:noProof/>
                <w:sz w:val="22"/>
                <w:szCs w:val="22"/>
                <w:lang w:val="sr-Latn-ME"/>
              </w:rPr>
              <w:t>stud</w:t>
            </w:r>
            <w:r w:rsidR="00BD61A7" w:rsidRPr="0016092F">
              <w:rPr>
                <w:noProof/>
                <w:sz w:val="22"/>
                <w:szCs w:val="22"/>
                <w:lang w:val="sr-Latn-ME"/>
              </w:rPr>
              <w:t>i</w:t>
            </w:r>
            <w:r w:rsidRPr="0016092F">
              <w:rPr>
                <w:noProof/>
                <w:sz w:val="22"/>
                <w:szCs w:val="22"/>
                <w:lang w:val="sr-Latn-ME"/>
              </w:rPr>
              <w:t>ji</w:t>
            </w:r>
            <w:r w:rsidR="000825BD" w:rsidRPr="0016092F">
              <w:rPr>
                <w:noProof/>
                <w:sz w:val="22"/>
                <w:szCs w:val="22"/>
                <w:lang w:val="sr-Latn-ME"/>
              </w:rPr>
              <w:t xml:space="preserve"> na 55 </w:t>
            </w:r>
            <w:r w:rsidRPr="0016092F">
              <w:rPr>
                <w:noProof/>
                <w:sz w:val="22"/>
                <w:szCs w:val="22"/>
                <w:lang w:val="sr-Latn-ME"/>
              </w:rPr>
              <w:t>pacijenata</w:t>
            </w:r>
            <w:r w:rsidR="000825BD" w:rsidRPr="0016092F">
              <w:rPr>
                <w:noProof/>
                <w:sz w:val="22"/>
                <w:szCs w:val="22"/>
                <w:lang w:val="sr-Latn-ME"/>
              </w:rPr>
              <w:t>.</w:t>
            </w:r>
          </w:p>
          <w:p w:rsidR="000825BD" w:rsidRPr="0016092F" w:rsidRDefault="000825BD" w:rsidP="006F146B">
            <w:pPr>
              <w:pStyle w:val="Default"/>
              <w:jc w:val="both"/>
              <w:rPr>
                <w:noProof/>
                <w:sz w:val="22"/>
                <w:szCs w:val="22"/>
                <w:lang w:val="sr-Latn-ME"/>
              </w:rPr>
            </w:pPr>
            <w:r w:rsidRPr="0016092F">
              <w:rPr>
                <w:noProof/>
                <w:sz w:val="22"/>
                <w:szCs w:val="22"/>
                <w:lang w:val="sr-Latn-ME"/>
              </w:rPr>
              <w:t xml:space="preserve"> </w:t>
            </w:r>
          </w:p>
          <w:p w:rsidR="000825BD" w:rsidRPr="0016092F" w:rsidRDefault="000825BD" w:rsidP="006F146B">
            <w:pPr>
              <w:pStyle w:val="Default"/>
              <w:jc w:val="both"/>
              <w:rPr>
                <w:noProof/>
                <w:sz w:val="22"/>
                <w:szCs w:val="22"/>
                <w:lang w:val="sr-Latn-ME"/>
              </w:rPr>
            </w:pPr>
            <w:r w:rsidRPr="0016092F">
              <w:rPr>
                <w:noProof/>
                <w:sz w:val="22"/>
                <w:szCs w:val="22"/>
                <w:lang w:val="sr-Latn-ME"/>
              </w:rPr>
              <w:t>U dvostruko sl</w:t>
            </w:r>
            <w:r w:rsidR="002C6A3C" w:rsidRPr="0016092F">
              <w:rPr>
                <w:noProof/>
                <w:sz w:val="22"/>
                <w:szCs w:val="22"/>
                <w:lang w:val="sr-Latn-ME"/>
              </w:rPr>
              <w:t>ij</w:t>
            </w:r>
            <w:r w:rsidR="00185CE1" w:rsidRPr="0016092F">
              <w:rPr>
                <w:noProof/>
                <w:sz w:val="22"/>
                <w:szCs w:val="22"/>
                <w:lang w:val="sr-Latn-ME"/>
              </w:rPr>
              <w:t>epoj</w:t>
            </w:r>
            <w:r w:rsidRPr="0016092F">
              <w:rPr>
                <w:noProof/>
                <w:sz w:val="22"/>
                <w:szCs w:val="22"/>
                <w:lang w:val="sr-Latn-ME"/>
              </w:rPr>
              <w:t xml:space="preserve"> </w:t>
            </w:r>
            <w:r w:rsidR="00185CE1" w:rsidRPr="0016092F">
              <w:rPr>
                <w:noProof/>
                <w:sz w:val="22"/>
                <w:szCs w:val="22"/>
                <w:lang w:val="sr-Latn-ME"/>
              </w:rPr>
              <w:t>studiji</w:t>
            </w:r>
            <w:r w:rsidRPr="0016092F">
              <w:rPr>
                <w:noProof/>
                <w:sz w:val="22"/>
                <w:szCs w:val="22"/>
                <w:lang w:val="sr-Latn-ME"/>
              </w:rPr>
              <w:t xml:space="preserve">, </w:t>
            </w:r>
            <w:r w:rsidR="00185CE1" w:rsidRPr="0016092F">
              <w:rPr>
                <w:noProof/>
                <w:sz w:val="22"/>
                <w:szCs w:val="22"/>
                <w:lang w:val="sr-Latn-ME"/>
              </w:rPr>
              <w:t>pacijenti su l</w:t>
            </w:r>
            <w:r w:rsidR="002C6A3C" w:rsidRPr="0016092F">
              <w:rPr>
                <w:noProof/>
                <w:sz w:val="22"/>
                <w:szCs w:val="22"/>
                <w:lang w:val="sr-Latn-ME"/>
              </w:rPr>
              <w:t>ij</w:t>
            </w:r>
            <w:r w:rsidR="00185CE1" w:rsidRPr="0016092F">
              <w:rPr>
                <w:noProof/>
                <w:sz w:val="22"/>
                <w:szCs w:val="22"/>
                <w:lang w:val="sr-Latn-ME"/>
              </w:rPr>
              <w:t>ečeni sa 600 i.j.</w:t>
            </w:r>
            <w:r w:rsidRPr="0016092F">
              <w:rPr>
                <w:noProof/>
                <w:sz w:val="22"/>
                <w:szCs w:val="22"/>
                <w:lang w:val="sr-Latn-ME"/>
              </w:rPr>
              <w:t>/kg epoetina alfa ili placebom</w:t>
            </w:r>
            <w:r w:rsidR="00185CE1" w:rsidRPr="0016092F">
              <w:rPr>
                <w:noProof/>
                <w:sz w:val="22"/>
                <w:szCs w:val="22"/>
                <w:lang w:val="sr-Latn-ME"/>
              </w:rPr>
              <w:t xml:space="preserve">, intravenski, </w:t>
            </w:r>
            <w:r w:rsidRPr="0016092F">
              <w:rPr>
                <w:noProof/>
                <w:sz w:val="22"/>
                <w:szCs w:val="22"/>
                <w:lang w:val="sr-Latn-ME"/>
              </w:rPr>
              <w:t xml:space="preserve">jednom dnevno </w:t>
            </w:r>
            <w:r w:rsidR="00185CE1" w:rsidRPr="0016092F">
              <w:rPr>
                <w:noProof/>
                <w:sz w:val="22"/>
                <w:szCs w:val="22"/>
                <w:lang w:val="sr-Latn-ME"/>
              </w:rPr>
              <w:t>svak</w:t>
            </w:r>
            <w:r w:rsidR="00B8617A" w:rsidRPr="0016092F">
              <w:rPr>
                <w:noProof/>
                <w:sz w:val="22"/>
                <w:szCs w:val="22"/>
                <w:lang w:val="sr-Latn-ME"/>
              </w:rPr>
              <w:t xml:space="preserve">a 3 do 4 daba, tokom </w:t>
            </w:r>
            <w:r w:rsidRPr="0016092F">
              <w:rPr>
                <w:noProof/>
                <w:sz w:val="22"/>
                <w:szCs w:val="22"/>
                <w:lang w:val="sr-Latn-ME"/>
              </w:rPr>
              <w:t xml:space="preserve"> 3 </w:t>
            </w:r>
            <w:r w:rsidR="00B8617A" w:rsidRPr="0016092F">
              <w:rPr>
                <w:noProof/>
                <w:sz w:val="22"/>
                <w:szCs w:val="22"/>
                <w:lang w:val="sr-Latn-ME"/>
              </w:rPr>
              <w:t>ned</w:t>
            </w:r>
            <w:r w:rsidR="002C6A3C" w:rsidRPr="0016092F">
              <w:rPr>
                <w:noProof/>
                <w:sz w:val="22"/>
                <w:szCs w:val="22"/>
                <w:lang w:val="sr-Latn-ME"/>
              </w:rPr>
              <w:t>j</w:t>
            </w:r>
            <w:r w:rsidR="00B8617A" w:rsidRPr="0016092F">
              <w:rPr>
                <w:noProof/>
                <w:sz w:val="22"/>
                <w:szCs w:val="22"/>
                <w:lang w:val="sr-Latn-ME"/>
              </w:rPr>
              <w:t>elje</w:t>
            </w:r>
            <w:r w:rsidRPr="0016092F">
              <w:rPr>
                <w:noProof/>
                <w:sz w:val="22"/>
                <w:szCs w:val="22"/>
                <w:lang w:val="sr-Latn-ME"/>
              </w:rPr>
              <w:t xml:space="preserve"> (ukupno 6 doza). </w:t>
            </w:r>
            <w:r w:rsidR="00B8617A" w:rsidRPr="0016092F">
              <w:rPr>
                <w:noProof/>
                <w:sz w:val="22"/>
                <w:szCs w:val="22"/>
                <w:lang w:val="sr-Latn-ME"/>
              </w:rPr>
              <w:t>Pacijenti l</w:t>
            </w:r>
            <w:r w:rsidR="002C6A3C" w:rsidRPr="0016092F">
              <w:rPr>
                <w:noProof/>
                <w:sz w:val="22"/>
                <w:szCs w:val="22"/>
                <w:lang w:val="sr-Latn-ME"/>
              </w:rPr>
              <w:t>ij</w:t>
            </w:r>
            <w:r w:rsidR="00B8617A" w:rsidRPr="0016092F">
              <w:rPr>
                <w:noProof/>
                <w:sz w:val="22"/>
                <w:szCs w:val="22"/>
                <w:lang w:val="sr-Latn-ME"/>
              </w:rPr>
              <w:t>ečeni</w:t>
            </w:r>
            <w:r w:rsidRPr="0016092F">
              <w:rPr>
                <w:noProof/>
                <w:sz w:val="22"/>
                <w:szCs w:val="22"/>
                <w:lang w:val="sr-Latn-ME"/>
              </w:rPr>
              <w:t xml:space="preserve"> epoetino</w:t>
            </w:r>
            <w:r w:rsidR="00B8617A" w:rsidRPr="0016092F">
              <w:rPr>
                <w:noProof/>
                <w:sz w:val="22"/>
                <w:szCs w:val="22"/>
                <w:lang w:val="sr-Latn-ME"/>
              </w:rPr>
              <w:t>m alfa mogli su, pros</w:t>
            </w:r>
            <w:r w:rsidR="002C6A3C" w:rsidRPr="0016092F">
              <w:rPr>
                <w:noProof/>
                <w:sz w:val="22"/>
                <w:szCs w:val="22"/>
                <w:lang w:val="sr-Latn-ME"/>
              </w:rPr>
              <w:t>j</w:t>
            </w:r>
            <w:r w:rsidRPr="0016092F">
              <w:rPr>
                <w:noProof/>
                <w:sz w:val="22"/>
                <w:szCs w:val="22"/>
                <w:lang w:val="sr-Latn-ME"/>
              </w:rPr>
              <w:t>ečno, prethodno po</w:t>
            </w:r>
            <w:r w:rsidR="00B8617A" w:rsidRPr="0016092F">
              <w:rPr>
                <w:noProof/>
                <w:sz w:val="22"/>
                <w:szCs w:val="22"/>
                <w:lang w:val="sr-Latn-ME"/>
              </w:rPr>
              <w:t>t</w:t>
            </w:r>
            <w:r w:rsidRPr="0016092F">
              <w:rPr>
                <w:noProof/>
                <w:sz w:val="22"/>
                <w:szCs w:val="22"/>
                <w:lang w:val="sr-Latn-ME"/>
              </w:rPr>
              <w:t xml:space="preserve">hraniti značajno više jedinica krvi (4,5 jedinice) nego </w:t>
            </w:r>
            <w:r w:rsidR="00B8617A" w:rsidRPr="0016092F">
              <w:rPr>
                <w:noProof/>
                <w:sz w:val="22"/>
                <w:szCs w:val="22"/>
                <w:lang w:val="sr-Latn-ME"/>
              </w:rPr>
              <w:t>pacijenti l</w:t>
            </w:r>
            <w:r w:rsidR="002C6A3C" w:rsidRPr="0016092F">
              <w:rPr>
                <w:noProof/>
                <w:sz w:val="22"/>
                <w:szCs w:val="22"/>
                <w:lang w:val="sr-Latn-ME"/>
              </w:rPr>
              <w:t>ij</w:t>
            </w:r>
            <w:r w:rsidRPr="0016092F">
              <w:rPr>
                <w:noProof/>
                <w:sz w:val="22"/>
                <w:szCs w:val="22"/>
                <w:lang w:val="sr-Latn-ME"/>
              </w:rPr>
              <w:t xml:space="preserve">ečeni placebom (3,0 jedinice). </w:t>
            </w:r>
          </w:p>
          <w:p w:rsidR="00B8617A" w:rsidRPr="0016092F" w:rsidRDefault="00B8617A" w:rsidP="006F146B">
            <w:pPr>
              <w:pStyle w:val="Default"/>
              <w:jc w:val="both"/>
              <w:rPr>
                <w:noProof/>
                <w:sz w:val="22"/>
                <w:szCs w:val="22"/>
                <w:lang w:val="sr-Latn-ME"/>
              </w:rPr>
            </w:pPr>
          </w:p>
          <w:p w:rsidR="00B8617A" w:rsidRPr="0016092F" w:rsidRDefault="000825BD" w:rsidP="006F146B">
            <w:pPr>
              <w:pStyle w:val="Default"/>
              <w:jc w:val="both"/>
              <w:rPr>
                <w:noProof/>
                <w:sz w:val="22"/>
                <w:szCs w:val="22"/>
                <w:lang w:val="sr-Latn-ME"/>
              </w:rPr>
            </w:pPr>
            <w:r w:rsidRPr="0016092F">
              <w:rPr>
                <w:noProof/>
                <w:sz w:val="22"/>
                <w:szCs w:val="22"/>
                <w:lang w:val="sr-Latn-ME"/>
              </w:rPr>
              <w:t xml:space="preserve">U jednostruko </w:t>
            </w:r>
            <w:r w:rsidR="00B8617A" w:rsidRPr="0016092F">
              <w:rPr>
                <w:noProof/>
                <w:sz w:val="22"/>
                <w:szCs w:val="22"/>
                <w:lang w:val="sr-Latn-ME"/>
              </w:rPr>
              <w:t>sl</w:t>
            </w:r>
            <w:r w:rsidR="002C6A3C" w:rsidRPr="0016092F">
              <w:rPr>
                <w:noProof/>
                <w:sz w:val="22"/>
                <w:szCs w:val="22"/>
                <w:lang w:val="sr-Latn-ME"/>
              </w:rPr>
              <w:t>ij</w:t>
            </w:r>
            <w:r w:rsidR="00B8617A" w:rsidRPr="0016092F">
              <w:rPr>
                <w:noProof/>
                <w:sz w:val="22"/>
                <w:szCs w:val="22"/>
                <w:lang w:val="sr-Latn-ME"/>
              </w:rPr>
              <w:t>epoj studiji</w:t>
            </w:r>
            <w:r w:rsidRPr="0016092F">
              <w:rPr>
                <w:noProof/>
                <w:sz w:val="22"/>
                <w:szCs w:val="22"/>
                <w:lang w:val="sr-Latn-ME"/>
              </w:rPr>
              <w:t xml:space="preserve">, </w:t>
            </w:r>
            <w:r w:rsidR="00B8617A" w:rsidRPr="0016092F">
              <w:rPr>
                <w:noProof/>
                <w:sz w:val="22"/>
                <w:szCs w:val="22"/>
                <w:lang w:val="sr-Latn-ME"/>
              </w:rPr>
              <w:t>pacijenti su l</w:t>
            </w:r>
            <w:r w:rsidR="002C6A3C" w:rsidRPr="0016092F">
              <w:rPr>
                <w:noProof/>
                <w:sz w:val="22"/>
                <w:szCs w:val="22"/>
                <w:lang w:val="sr-Latn-ME"/>
              </w:rPr>
              <w:t>ij</w:t>
            </w:r>
            <w:r w:rsidR="00B8617A" w:rsidRPr="0016092F">
              <w:rPr>
                <w:noProof/>
                <w:sz w:val="22"/>
                <w:szCs w:val="22"/>
                <w:lang w:val="sr-Latn-ME"/>
              </w:rPr>
              <w:t>ečeni sa 300 i.i.</w:t>
            </w:r>
            <w:r w:rsidRPr="0016092F">
              <w:rPr>
                <w:noProof/>
                <w:sz w:val="22"/>
                <w:szCs w:val="22"/>
                <w:lang w:val="sr-Latn-ME"/>
              </w:rPr>
              <w:t>/kg ili 600 I</w:t>
            </w:r>
            <w:r w:rsidR="00B8617A" w:rsidRPr="0016092F">
              <w:rPr>
                <w:noProof/>
                <w:sz w:val="22"/>
                <w:szCs w:val="22"/>
                <w:lang w:val="sr-Latn-ME"/>
              </w:rPr>
              <w:t>i.j.</w:t>
            </w:r>
            <w:r w:rsidRPr="0016092F">
              <w:rPr>
                <w:noProof/>
                <w:sz w:val="22"/>
                <w:szCs w:val="22"/>
                <w:lang w:val="sr-Latn-ME"/>
              </w:rPr>
              <w:t>/kg epoetina alfa ili placebom intravenski jednom dnevno svaka 3 do 4 dana</w:t>
            </w:r>
            <w:r w:rsidR="00B8617A" w:rsidRPr="0016092F">
              <w:rPr>
                <w:noProof/>
                <w:sz w:val="22"/>
                <w:szCs w:val="22"/>
                <w:lang w:val="sr-Latn-ME"/>
              </w:rPr>
              <w:t>, to</w:t>
            </w:r>
            <w:r w:rsidRPr="0016092F">
              <w:rPr>
                <w:noProof/>
                <w:sz w:val="22"/>
                <w:szCs w:val="22"/>
                <w:lang w:val="sr-Latn-ME"/>
              </w:rPr>
              <w:t xml:space="preserve">kom 3 </w:t>
            </w:r>
            <w:r w:rsidR="00B8617A" w:rsidRPr="0016092F">
              <w:rPr>
                <w:noProof/>
                <w:sz w:val="22"/>
                <w:szCs w:val="22"/>
                <w:lang w:val="sr-Latn-ME"/>
              </w:rPr>
              <w:t>ned</w:t>
            </w:r>
            <w:r w:rsidR="002C6A3C" w:rsidRPr="0016092F">
              <w:rPr>
                <w:noProof/>
                <w:sz w:val="22"/>
                <w:szCs w:val="22"/>
                <w:lang w:val="sr-Latn-ME"/>
              </w:rPr>
              <w:t>j</w:t>
            </w:r>
            <w:r w:rsidR="00B8617A" w:rsidRPr="0016092F">
              <w:rPr>
                <w:noProof/>
                <w:sz w:val="22"/>
                <w:szCs w:val="22"/>
                <w:lang w:val="sr-Latn-ME"/>
              </w:rPr>
              <w:t>elje</w:t>
            </w:r>
            <w:r w:rsidRPr="0016092F">
              <w:rPr>
                <w:noProof/>
                <w:sz w:val="22"/>
                <w:szCs w:val="22"/>
                <w:lang w:val="sr-Latn-ME"/>
              </w:rPr>
              <w:t xml:space="preserve"> (ukupno 6 doza). </w:t>
            </w:r>
            <w:r w:rsidR="00B8617A" w:rsidRPr="0016092F">
              <w:rPr>
                <w:noProof/>
                <w:sz w:val="22"/>
                <w:szCs w:val="22"/>
                <w:lang w:val="sr-Latn-ME"/>
              </w:rPr>
              <w:t>Pacijenti l</w:t>
            </w:r>
            <w:r w:rsidR="002C6A3C" w:rsidRPr="0016092F">
              <w:rPr>
                <w:noProof/>
                <w:sz w:val="22"/>
                <w:szCs w:val="22"/>
                <w:lang w:val="sr-Latn-ME"/>
              </w:rPr>
              <w:t>ij</w:t>
            </w:r>
            <w:r w:rsidR="00B8617A" w:rsidRPr="0016092F">
              <w:rPr>
                <w:noProof/>
                <w:sz w:val="22"/>
                <w:szCs w:val="22"/>
                <w:lang w:val="sr-Latn-ME"/>
              </w:rPr>
              <w:t>ečeni</w:t>
            </w:r>
            <w:r w:rsidRPr="0016092F">
              <w:rPr>
                <w:noProof/>
                <w:sz w:val="22"/>
                <w:szCs w:val="22"/>
                <w:lang w:val="sr-Latn-ME"/>
              </w:rPr>
              <w:t xml:space="preserve"> </w:t>
            </w:r>
            <w:r w:rsidR="00B8617A" w:rsidRPr="0016092F">
              <w:rPr>
                <w:noProof/>
                <w:sz w:val="22"/>
                <w:szCs w:val="22"/>
                <w:lang w:val="sr-Latn-ME"/>
              </w:rPr>
              <w:t>epoetinom alfa mogli su, takođe</w:t>
            </w:r>
            <w:r w:rsidRPr="0016092F">
              <w:rPr>
                <w:noProof/>
                <w:sz w:val="22"/>
                <w:szCs w:val="22"/>
                <w:lang w:val="sr-Latn-ME"/>
              </w:rPr>
              <w:t>, prethodno po</w:t>
            </w:r>
            <w:r w:rsidR="00B8617A" w:rsidRPr="0016092F">
              <w:rPr>
                <w:noProof/>
                <w:sz w:val="22"/>
                <w:szCs w:val="22"/>
                <w:lang w:val="sr-Latn-ME"/>
              </w:rPr>
              <w:t>t</w:t>
            </w:r>
            <w:r w:rsidRPr="0016092F">
              <w:rPr>
                <w:noProof/>
                <w:sz w:val="22"/>
                <w:szCs w:val="22"/>
                <w:lang w:val="sr-Latn-ME"/>
              </w:rPr>
              <w:t>hraniti značajno više j</w:t>
            </w:r>
            <w:r w:rsidR="00B8617A" w:rsidRPr="0016092F">
              <w:rPr>
                <w:noProof/>
                <w:sz w:val="22"/>
                <w:szCs w:val="22"/>
                <w:lang w:val="sr-Latn-ME"/>
              </w:rPr>
              <w:t>edinica krvi (epoetin alfa 300 i.j.</w:t>
            </w:r>
            <w:r w:rsidRPr="0016092F">
              <w:rPr>
                <w:noProof/>
                <w:sz w:val="22"/>
                <w:szCs w:val="22"/>
                <w:lang w:val="sr-Latn-ME"/>
              </w:rPr>
              <w:t xml:space="preserve">/kg = 4,4 jedinice; epoetin alfa 600 </w:t>
            </w:r>
            <w:r w:rsidR="00B8617A" w:rsidRPr="0016092F">
              <w:rPr>
                <w:noProof/>
                <w:sz w:val="22"/>
                <w:szCs w:val="22"/>
                <w:lang w:val="sr-Latn-ME"/>
              </w:rPr>
              <w:t>i.j.</w:t>
            </w:r>
            <w:r w:rsidRPr="0016092F">
              <w:rPr>
                <w:noProof/>
                <w:sz w:val="22"/>
                <w:szCs w:val="22"/>
                <w:lang w:val="sr-Latn-ME"/>
              </w:rPr>
              <w:t>/kg = 4,7 jedinica) ne</w:t>
            </w:r>
            <w:r w:rsidR="00B8617A" w:rsidRPr="0016092F">
              <w:rPr>
                <w:noProof/>
                <w:sz w:val="22"/>
                <w:szCs w:val="22"/>
                <w:lang w:val="sr-Latn-ME"/>
              </w:rPr>
              <w:t>go pacij</w:t>
            </w:r>
            <w:r w:rsidR="00104EA0" w:rsidRPr="0016092F">
              <w:rPr>
                <w:noProof/>
                <w:sz w:val="22"/>
                <w:szCs w:val="22"/>
                <w:lang w:val="sr-Latn-ME"/>
              </w:rPr>
              <w:t>e</w:t>
            </w:r>
            <w:r w:rsidR="00B8617A" w:rsidRPr="0016092F">
              <w:rPr>
                <w:noProof/>
                <w:sz w:val="22"/>
                <w:szCs w:val="22"/>
                <w:lang w:val="sr-Latn-ME"/>
              </w:rPr>
              <w:t>nti l</w:t>
            </w:r>
            <w:r w:rsidR="002C6A3C" w:rsidRPr="0016092F">
              <w:rPr>
                <w:noProof/>
                <w:sz w:val="22"/>
                <w:szCs w:val="22"/>
                <w:lang w:val="sr-Latn-ME"/>
              </w:rPr>
              <w:t>ij</w:t>
            </w:r>
            <w:r w:rsidRPr="0016092F">
              <w:rPr>
                <w:noProof/>
                <w:sz w:val="22"/>
                <w:szCs w:val="22"/>
                <w:lang w:val="sr-Latn-ME"/>
              </w:rPr>
              <w:t>ečeni placebom (2,9 jedinica).</w:t>
            </w:r>
          </w:p>
          <w:p w:rsidR="000825BD" w:rsidRPr="0016092F" w:rsidRDefault="000825BD" w:rsidP="006F146B">
            <w:pPr>
              <w:pStyle w:val="Default"/>
              <w:jc w:val="both"/>
              <w:rPr>
                <w:noProof/>
                <w:sz w:val="22"/>
                <w:szCs w:val="22"/>
                <w:lang w:val="sr-Latn-ME"/>
              </w:rPr>
            </w:pPr>
            <w:r w:rsidRPr="0016092F">
              <w:rPr>
                <w:noProof/>
                <w:sz w:val="22"/>
                <w:szCs w:val="22"/>
                <w:lang w:val="sr-Latn-ME"/>
              </w:rPr>
              <w:t xml:space="preserve"> </w:t>
            </w:r>
          </w:p>
          <w:p w:rsidR="000825BD" w:rsidRPr="0016092F" w:rsidRDefault="000825BD" w:rsidP="006F146B">
            <w:pPr>
              <w:pStyle w:val="Default"/>
              <w:jc w:val="both"/>
              <w:rPr>
                <w:noProof/>
                <w:sz w:val="22"/>
                <w:szCs w:val="22"/>
                <w:lang w:val="sr-Latn-ME"/>
              </w:rPr>
            </w:pPr>
            <w:r w:rsidRPr="0016092F">
              <w:rPr>
                <w:noProof/>
                <w:sz w:val="22"/>
                <w:szCs w:val="22"/>
                <w:lang w:val="sr-Latn-ME"/>
              </w:rPr>
              <w:t xml:space="preserve">Terapija epoetinom alfa smanjila je rizik od izloženosti alogenoj krvi za 50 % u odnosu na </w:t>
            </w:r>
            <w:r w:rsidR="00B8617A" w:rsidRPr="0016092F">
              <w:rPr>
                <w:noProof/>
                <w:sz w:val="22"/>
                <w:szCs w:val="22"/>
                <w:lang w:val="sr-Latn-ME"/>
              </w:rPr>
              <w:t>pacijente k</w:t>
            </w:r>
            <w:r w:rsidRPr="0016092F">
              <w:rPr>
                <w:noProof/>
                <w:sz w:val="22"/>
                <w:szCs w:val="22"/>
                <w:lang w:val="sr-Latn-ME"/>
              </w:rPr>
              <w:t>oji ni</w:t>
            </w:r>
            <w:r w:rsidR="002C6A3C" w:rsidRPr="0016092F">
              <w:rPr>
                <w:noProof/>
                <w:sz w:val="22"/>
                <w:szCs w:val="22"/>
                <w:lang w:val="sr-Latn-ME"/>
              </w:rPr>
              <w:t>je</w:t>
            </w:r>
            <w:r w:rsidRPr="0016092F">
              <w:rPr>
                <w:noProof/>
                <w:sz w:val="22"/>
                <w:szCs w:val="22"/>
                <w:lang w:val="sr-Latn-ME"/>
              </w:rPr>
              <w:t xml:space="preserve">su primali epoetin alfa. </w:t>
            </w:r>
          </w:p>
          <w:p w:rsidR="00B8617A" w:rsidRPr="0016092F" w:rsidRDefault="00B8617A" w:rsidP="006F146B">
            <w:pPr>
              <w:pStyle w:val="Default"/>
              <w:jc w:val="both"/>
              <w:rPr>
                <w:noProof/>
                <w:sz w:val="22"/>
                <w:szCs w:val="22"/>
                <w:lang w:val="sr-Latn-ME"/>
              </w:rPr>
            </w:pPr>
          </w:p>
          <w:p w:rsidR="000825BD" w:rsidRPr="0016092F" w:rsidRDefault="000825BD" w:rsidP="006F146B">
            <w:pPr>
              <w:pStyle w:val="Default"/>
              <w:jc w:val="both"/>
              <w:rPr>
                <w:noProof/>
                <w:sz w:val="22"/>
                <w:szCs w:val="22"/>
                <w:lang w:val="sr-Latn-ME"/>
              </w:rPr>
            </w:pPr>
            <w:r w:rsidRPr="0016092F">
              <w:rPr>
                <w:i/>
                <w:iCs/>
                <w:noProof/>
                <w:sz w:val="22"/>
                <w:szCs w:val="22"/>
                <w:lang w:val="sr-Latn-ME"/>
              </w:rPr>
              <w:t xml:space="preserve">Veliki elektivni ortopedski kirurški zahvat </w:t>
            </w:r>
          </w:p>
          <w:p w:rsidR="000825BD" w:rsidRPr="0016092F" w:rsidRDefault="00B8617A" w:rsidP="006F146B">
            <w:pPr>
              <w:pStyle w:val="Default"/>
              <w:jc w:val="both"/>
              <w:rPr>
                <w:noProof/>
                <w:sz w:val="22"/>
                <w:szCs w:val="22"/>
                <w:lang w:val="sr-Latn-ME"/>
              </w:rPr>
            </w:pPr>
            <w:r w:rsidRPr="0016092F">
              <w:rPr>
                <w:noProof/>
                <w:sz w:val="22"/>
                <w:szCs w:val="22"/>
                <w:lang w:val="sr-Latn-ME"/>
              </w:rPr>
              <w:t>Efekat</w:t>
            </w:r>
            <w:r w:rsidR="000825BD" w:rsidRPr="0016092F">
              <w:rPr>
                <w:noProof/>
                <w:sz w:val="22"/>
                <w:szCs w:val="22"/>
                <w:lang w:val="sr-Latn-ME"/>
              </w:rPr>
              <w:t xml:space="preserve"> epoetina alfa (300 </w:t>
            </w:r>
            <w:r w:rsidRPr="0016092F">
              <w:rPr>
                <w:noProof/>
                <w:sz w:val="22"/>
                <w:szCs w:val="22"/>
                <w:lang w:val="sr-Latn-ME"/>
              </w:rPr>
              <w:t>i.j.</w:t>
            </w:r>
            <w:r w:rsidR="000825BD" w:rsidRPr="0016092F">
              <w:rPr>
                <w:noProof/>
                <w:sz w:val="22"/>
                <w:szCs w:val="22"/>
                <w:lang w:val="sr-Latn-ME"/>
              </w:rPr>
              <w:t xml:space="preserve">/kg ili 100 </w:t>
            </w:r>
            <w:r w:rsidRPr="0016092F">
              <w:rPr>
                <w:noProof/>
                <w:sz w:val="22"/>
                <w:szCs w:val="22"/>
                <w:lang w:val="sr-Latn-ME"/>
              </w:rPr>
              <w:t>i.j.</w:t>
            </w:r>
            <w:r w:rsidR="000825BD" w:rsidRPr="0016092F">
              <w:rPr>
                <w:noProof/>
                <w:sz w:val="22"/>
                <w:szCs w:val="22"/>
                <w:lang w:val="sr-Latn-ME"/>
              </w:rPr>
              <w:t>/kg) na izlož</w:t>
            </w:r>
            <w:r w:rsidRPr="0016092F">
              <w:rPr>
                <w:noProof/>
                <w:sz w:val="22"/>
                <w:szCs w:val="22"/>
                <w:lang w:val="sr-Latn-ME"/>
              </w:rPr>
              <w:t>enost transfuziji alogene krvi proc</w:t>
            </w:r>
            <w:r w:rsidR="002C6A3C" w:rsidRPr="0016092F">
              <w:rPr>
                <w:noProof/>
                <w:sz w:val="22"/>
                <w:szCs w:val="22"/>
                <w:lang w:val="sr-Latn-ME"/>
              </w:rPr>
              <w:t>ij</w:t>
            </w:r>
            <w:r w:rsidRPr="0016092F">
              <w:rPr>
                <w:noProof/>
                <w:sz w:val="22"/>
                <w:szCs w:val="22"/>
                <w:lang w:val="sr-Latn-ME"/>
              </w:rPr>
              <w:t>enjen je u dvostruko sl</w:t>
            </w:r>
            <w:r w:rsidR="002C6A3C" w:rsidRPr="0016092F">
              <w:rPr>
                <w:noProof/>
                <w:sz w:val="22"/>
                <w:szCs w:val="22"/>
                <w:lang w:val="sr-Latn-ME"/>
              </w:rPr>
              <w:t>ij</w:t>
            </w:r>
            <w:r w:rsidRPr="0016092F">
              <w:rPr>
                <w:noProof/>
                <w:sz w:val="22"/>
                <w:szCs w:val="22"/>
                <w:lang w:val="sr-Latn-ME"/>
              </w:rPr>
              <w:t>epoj, placebo kontrolisanoj kliničkoj</w:t>
            </w:r>
            <w:r w:rsidR="000825BD" w:rsidRPr="0016092F">
              <w:rPr>
                <w:noProof/>
                <w:sz w:val="22"/>
                <w:szCs w:val="22"/>
                <w:lang w:val="sr-Latn-ME"/>
              </w:rPr>
              <w:t xml:space="preserve"> </w:t>
            </w:r>
            <w:r w:rsidRPr="0016092F">
              <w:rPr>
                <w:noProof/>
                <w:sz w:val="22"/>
                <w:szCs w:val="22"/>
                <w:lang w:val="sr-Latn-ME"/>
              </w:rPr>
              <w:t>studiji</w:t>
            </w:r>
            <w:r w:rsidR="000825BD" w:rsidRPr="0016092F">
              <w:rPr>
                <w:noProof/>
                <w:sz w:val="22"/>
                <w:szCs w:val="22"/>
                <w:lang w:val="sr-Latn-ME"/>
              </w:rPr>
              <w:t xml:space="preserve"> </w:t>
            </w:r>
            <w:r w:rsidRPr="0016092F">
              <w:rPr>
                <w:noProof/>
                <w:sz w:val="22"/>
                <w:szCs w:val="22"/>
                <w:lang w:val="sr-Latn-ME"/>
              </w:rPr>
              <w:t>kod</w:t>
            </w:r>
            <w:r w:rsidR="000825BD" w:rsidRPr="0016092F">
              <w:rPr>
                <w:noProof/>
                <w:sz w:val="22"/>
                <w:szCs w:val="22"/>
                <w:lang w:val="sr-Latn-ME"/>
              </w:rPr>
              <w:t xml:space="preserve"> odraslih </w:t>
            </w:r>
            <w:r w:rsidRPr="0016092F">
              <w:rPr>
                <w:noProof/>
                <w:sz w:val="22"/>
                <w:szCs w:val="22"/>
                <w:lang w:val="sr-Latn-ME"/>
              </w:rPr>
              <w:t>pacijenata</w:t>
            </w:r>
            <w:r w:rsidR="000825BD" w:rsidRPr="0016092F">
              <w:rPr>
                <w:noProof/>
                <w:sz w:val="22"/>
                <w:szCs w:val="22"/>
                <w:lang w:val="sr-Latn-ME"/>
              </w:rPr>
              <w:t xml:space="preserve"> koji nemaju nedostatak </w:t>
            </w:r>
            <w:r w:rsidRPr="0016092F">
              <w:rPr>
                <w:noProof/>
                <w:sz w:val="22"/>
                <w:szCs w:val="22"/>
                <w:lang w:val="sr-Latn-ME"/>
              </w:rPr>
              <w:t>gvožđa</w:t>
            </w:r>
            <w:r w:rsidR="000825BD" w:rsidRPr="0016092F">
              <w:rPr>
                <w:noProof/>
                <w:sz w:val="22"/>
                <w:szCs w:val="22"/>
                <w:lang w:val="sr-Latn-ME"/>
              </w:rPr>
              <w:t xml:space="preserve"> predviđenih </w:t>
            </w:r>
            <w:r w:rsidRPr="0016092F">
              <w:rPr>
                <w:noProof/>
                <w:sz w:val="22"/>
                <w:szCs w:val="22"/>
                <w:lang w:val="sr-Latn-ME"/>
              </w:rPr>
              <w:t>za veliki elektivni ortopedski h</w:t>
            </w:r>
            <w:r w:rsidR="000825BD" w:rsidRPr="0016092F">
              <w:rPr>
                <w:noProof/>
                <w:sz w:val="22"/>
                <w:szCs w:val="22"/>
                <w:lang w:val="sr-Latn-ME"/>
              </w:rPr>
              <w:t xml:space="preserve">irurški zahvat na kuku </w:t>
            </w:r>
            <w:r w:rsidRPr="0016092F">
              <w:rPr>
                <w:noProof/>
                <w:sz w:val="22"/>
                <w:szCs w:val="22"/>
                <w:lang w:val="sr-Latn-ME"/>
              </w:rPr>
              <w:t>ili kol</w:t>
            </w:r>
            <w:r w:rsidR="002C6A3C" w:rsidRPr="0016092F">
              <w:rPr>
                <w:noProof/>
                <w:sz w:val="22"/>
                <w:szCs w:val="22"/>
                <w:lang w:val="sr-Latn-ME"/>
              </w:rPr>
              <w:t>j</w:t>
            </w:r>
            <w:r w:rsidR="000825BD" w:rsidRPr="0016092F">
              <w:rPr>
                <w:noProof/>
                <w:sz w:val="22"/>
                <w:szCs w:val="22"/>
                <w:lang w:val="sr-Latn-ME"/>
              </w:rPr>
              <w:t>enu. Epoetin alfa primje</w:t>
            </w:r>
            <w:r w:rsidRPr="0016092F">
              <w:rPr>
                <w:noProof/>
                <w:sz w:val="22"/>
                <w:szCs w:val="22"/>
                <w:lang w:val="sr-Latn-ME"/>
              </w:rPr>
              <w:t>njivan je supkutano 10 dana pr</w:t>
            </w:r>
            <w:r w:rsidR="002C6A3C" w:rsidRPr="0016092F">
              <w:rPr>
                <w:noProof/>
                <w:sz w:val="22"/>
                <w:szCs w:val="22"/>
                <w:lang w:val="sr-Latn-ME"/>
              </w:rPr>
              <w:t>ij</w:t>
            </w:r>
            <w:r w:rsidR="000825BD" w:rsidRPr="0016092F">
              <w:rPr>
                <w:noProof/>
                <w:sz w:val="22"/>
                <w:szCs w:val="22"/>
                <w:lang w:val="sr-Latn-ME"/>
              </w:rPr>
              <w:t xml:space="preserve">e operacije, na dan operacije i još 4 dana nakon operacije. </w:t>
            </w:r>
            <w:r w:rsidRPr="0016092F">
              <w:rPr>
                <w:noProof/>
                <w:sz w:val="22"/>
                <w:szCs w:val="22"/>
                <w:lang w:val="sr-Latn-ME"/>
              </w:rPr>
              <w:t>Pacijenti su pod</w:t>
            </w:r>
            <w:r w:rsidR="002C6A3C" w:rsidRPr="0016092F">
              <w:rPr>
                <w:noProof/>
                <w:sz w:val="22"/>
                <w:szCs w:val="22"/>
                <w:lang w:val="sr-Latn-ME"/>
              </w:rPr>
              <w:t>ij</w:t>
            </w:r>
            <w:r w:rsidR="000825BD" w:rsidRPr="0016092F">
              <w:rPr>
                <w:noProof/>
                <w:sz w:val="22"/>
                <w:szCs w:val="22"/>
                <w:lang w:val="sr-Latn-ME"/>
              </w:rPr>
              <w:t xml:space="preserve">eljeni u </w:t>
            </w:r>
            <w:r w:rsidRPr="0016092F">
              <w:rPr>
                <w:noProof/>
                <w:sz w:val="22"/>
                <w:szCs w:val="22"/>
                <w:lang w:val="sr-Latn-ME"/>
              </w:rPr>
              <w:t>grupe</w:t>
            </w:r>
            <w:r w:rsidR="000825BD" w:rsidRPr="0016092F">
              <w:rPr>
                <w:noProof/>
                <w:sz w:val="22"/>
                <w:szCs w:val="22"/>
                <w:lang w:val="sr-Latn-ME"/>
              </w:rPr>
              <w:t xml:space="preserve"> prema početnoj </w:t>
            </w:r>
            <w:r w:rsidRPr="0016092F">
              <w:rPr>
                <w:noProof/>
                <w:sz w:val="22"/>
                <w:szCs w:val="22"/>
                <w:lang w:val="sr-Latn-ME"/>
              </w:rPr>
              <w:t>vr</w:t>
            </w:r>
            <w:r w:rsidR="002C6A3C" w:rsidRPr="0016092F">
              <w:rPr>
                <w:noProof/>
                <w:sz w:val="22"/>
                <w:szCs w:val="22"/>
                <w:lang w:val="sr-Latn-ME"/>
              </w:rPr>
              <w:t>ij</w:t>
            </w:r>
            <w:r w:rsidRPr="0016092F">
              <w:rPr>
                <w:noProof/>
                <w:sz w:val="22"/>
                <w:szCs w:val="22"/>
                <w:lang w:val="sr-Latn-ME"/>
              </w:rPr>
              <w:t xml:space="preserve">ednosti </w:t>
            </w:r>
            <w:r w:rsidR="000825BD" w:rsidRPr="0016092F">
              <w:rPr>
                <w:noProof/>
                <w:sz w:val="22"/>
                <w:szCs w:val="22"/>
                <w:lang w:val="sr-Latn-ME"/>
              </w:rPr>
              <w:t xml:space="preserve">hemoglobina (≤ 10 g/dl, &gt; 10 do ≤ 13 g/dl i &gt; 13 g/dl). </w:t>
            </w:r>
          </w:p>
          <w:p w:rsidR="00B8617A" w:rsidRPr="0016092F" w:rsidRDefault="00B8617A" w:rsidP="006F146B">
            <w:pPr>
              <w:pStyle w:val="Default"/>
              <w:jc w:val="both"/>
              <w:rPr>
                <w:noProof/>
                <w:sz w:val="22"/>
                <w:szCs w:val="22"/>
                <w:lang w:val="sr-Latn-ME"/>
              </w:rPr>
            </w:pPr>
          </w:p>
          <w:p w:rsidR="00B8617A" w:rsidRPr="0016092F" w:rsidRDefault="000825BD" w:rsidP="006F146B">
            <w:pPr>
              <w:pStyle w:val="Default"/>
              <w:jc w:val="both"/>
              <w:rPr>
                <w:noProof/>
                <w:sz w:val="22"/>
                <w:szCs w:val="22"/>
                <w:lang w:val="sr-Latn-ME"/>
              </w:rPr>
            </w:pPr>
            <w:r w:rsidRPr="0016092F">
              <w:rPr>
                <w:noProof/>
                <w:sz w:val="22"/>
                <w:szCs w:val="22"/>
                <w:lang w:val="sr-Latn-ME"/>
              </w:rPr>
              <w:t>Epoetin alfa u doz</w:t>
            </w:r>
            <w:r w:rsidR="00B8617A" w:rsidRPr="0016092F">
              <w:rPr>
                <w:noProof/>
                <w:sz w:val="22"/>
                <w:szCs w:val="22"/>
                <w:lang w:val="sr-Latn-ME"/>
              </w:rPr>
              <w:t>i od 300 i.j.</w:t>
            </w:r>
            <w:r w:rsidRPr="0016092F">
              <w:rPr>
                <w:noProof/>
                <w:sz w:val="22"/>
                <w:szCs w:val="22"/>
                <w:lang w:val="sr-Latn-ME"/>
              </w:rPr>
              <w:t xml:space="preserve">/kg značajno je smanjio rizik od alogene transfuzije </w:t>
            </w:r>
            <w:r w:rsidR="00B8617A" w:rsidRPr="0016092F">
              <w:rPr>
                <w:noProof/>
                <w:sz w:val="22"/>
                <w:szCs w:val="22"/>
                <w:lang w:val="sr-Latn-ME"/>
              </w:rPr>
              <w:t>kod pacijenata sa vr</w:t>
            </w:r>
            <w:r w:rsidR="002C6A3C" w:rsidRPr="0016092F">
              <w:rPr>
                <w:noProof/>
                <w:sz w:val="22"/>
                <w:szCs w:val="22"/>
                <w:lang w:val="sr-Latn-ME"/>
              </w:rPr>
              <w:t>ij</w:t>
            </w:r>
            <w:r w:rsidR="00B8617A" w:rsidRPr="0016092F">
              <w:rPr>
                <w:noProof/>
                <w:sz w:val="22"/>
                <w:szCs w:val="22"/>
                <w:lang w:val="sr-Latn-ME"/>
              </w:rPr>
              <w:t>ednostima hemoglobina pr</w:t>
            </w:r>
            <w:r w:rsidR="002C6A3C" w:rsidRPr="0016092F">
              <w:rPr>
                <w:noProof/>
                <w:sz w:val="22"/>
                <w:szCs w:val="22"/>
                <w:lang w:val="sr-Latn-ME"/>
              </w:rPr>
              <w:t>ij</w:t>
            </w:r>
            <w:r w:rsidR="00B8617A" w:rsidRPr="0016092F">
              <w:rPr>
                <w:noProof/>
                <w:sz w:val="22"/>
                <w:szCs w:val="22"/>
                <w:lang w:val="sr-Latn-ME"/>
              </w:rPr>
              <w:t>e početka l</w:t>
            </w:r>
            <w:r w:rsidR="002C6A3C" w:rsidRPr="0016092F">
              <w:rPr>
                <w:noProof/>
                <w:sz w:val="22"/>
                <w:szCs w:val="22"/>
                <w:lang w:val="sr-Latn-ME"/>
              </w:rPr>
              <w:t>ij</w:t>
            </w:r>
            <w:r w:rsidRPr="0016092F">
              <w:rPr>
                <w:noProof/>
                <w:sz w:val="22"/>
                <w:szCs w:val="22"/>
                <w:lang w:val="sr-Latn-ME"/>
              </w:rPr>
              <w:t xml:space="preserve">ečenja od &gt; 10 do ≤ 13 g/dl. </w:t>
            </w:r>
            <w:r w:rsidR="00B8617A" w:rsidRPr="0016092F">
              <w:rPr>
                <w:noProof/>
                <w:sz w:val="22"/>
                <w:szCs w:val="22"/>
                <w:lang w:val="sr-Latn-ME"/>
              </w:rPr>
              <w:t>Kod 16%</w:t>
            </w:r>
            <w:r w:rsidRPr="0016092F">
              <w:rPr>
                <w:noProof/>
                <w:sz w:val="22"/>
                <w:szCs w:val="22"/>
                <w:lang w:val="sr-Latn-ME"/>
              </w:rPr>
              <w:t xml:space="preserve"> </w:t>
            </w:r>
            <w:r w:rsidR="00B8617A" w:rsidRPr="0016092F">
              <w:rPr>
                <w:noProof/>
                <w:sz w:val="22"/>
                <w:szCs w:val="22"/>
                <w:lang w:val="sr-Latn-ME"/>
              </w:rPr>
              <w:t>pacijenata koji su primali 300 i.j.</w:t>
            </w:r>
            <w:r w:rsidRPr="0016092F">
              <w:rPr>
                <w:noProof/>
                <w:sz w:val="22"/>
                <w:szCs w:val="22"/>
                <w:lang w:val="sr-Latn-ME"/>
              </w:rPr>
              <w:t xml:space="preserve">/kg epoetina alfa, 23 % </w:t>
            </w:r>
            <w:r w:rsidR="00B8617A" w:rsidRPr="0016092F">
              <w:rPr>
                <w:noProof/>
                <w:sz w:val="22"/>
                <w:szCs w:val="22"/>
                <w:lang w:val="sr-Latn-ME"/>
              </w:rPr>
              <w:t>pacijenata</w:t>
            </w:r>
            <w:r w:rsidRPr="0016092F">
              <w:rPr>
                <w:noProof/>
                <w:sz w:val="22"/>
                <w:szCs w:val="22"/>
                <w:lang w:val="sr-Latn-ME"/>
              </w:rPr>
              <w:t xml:space="preserve"> koji su primali 100 </w:t>
            </w:r>
            <w:r w:rsidR="00B8617A" w:rsidRPr="0016092F">
              <w:rPr>
                <w:noProof/>
                <w:sz w:val="22"/>
                <w:szCs w:val="22"/>
                <w:lang w:val="sr-Latn-ME"/>
              </w:rPr>
              <w:t>i.j.</w:t>
            </w:r>
            <w:r w:rsidRPr="0016092F">
              <w:rPr>
                <w:noProof/>
                <w:sz w:val="22"/>
                <w:szCs w:val="22"/>
                <w:lang w:val="sr-Latn-ME"/>
              </w:rPr>
              <w:t xml:space="preserve">/kg epoetina alfa i 45% </w:t>
            </w:r>
            <w:r w:rsidR="00B8617A" w:rsidRPr="0016092F">
              <w:rPr>
                <w:noProof/>
                <w:sz w:val="22"/>
                <w:szCs w:val="22"/>
                <w:lang w:val="sr-Latn-ME"/>
              </w:rPr>
              <w:t>pacijenata</w:t>
            </w:r>
            <w:r w:rsidRPr="0016092F">
              <w:rPr>
                <w:noProof/>
                <w:sz w:val="22"/>
                <w:szCs w:val="22"/>
                <w:lang w:val="sr-Latn-ME"/>
              </w:rPr>
              <w:t xml:space="preserve"> koji su primali placebo </w:t>
            </w:r>
            <w:r w:rsidR="00B8617A" w:rsidRPr="0016092F">
              <w:rPr>
                <w:noProof/>
                <w:sz w:val="22"/>
                <w:szCs w:val="22"/>
                <w:lang w:val="sr-Latn-ME"/>
              </w:rPr>
              <w:t>bil aje neophodna transfuzija</w:t>
            </w:r>
            <w:r w:rsidRPr="0016092F">
              <w:rPr>
                <w:noProof/>
                <w:sz w:val="22"/>
                <w:szCs w:val="22"/>
                <w:lang w:val="sr-Latn-ME"/>
              </w:rPr>
              <w:t>.</w:t>
            </w:r>
          </w:p>
          <w:p w:rsidR="000825BD" w:rsidRPr="0016092F" w:rsidRDefault="000825BD" w:rsidP="006F146B">
            <w:pPr>
              <w:pStyle w:val="Default"/>
              <w:jc w:val="both"/>
              <w:rPr>
                <w:noProof/>
                <w:sz w:val="22"/>
                <w:szCs w:val="22"/>
                <w:lang w:val="sr-Latn-ME"/>
              </w:rPr>
            </w:pPr>
            <w:r w:rsidRPr="0016092F">
              <w:rPr>
                <w:noProof/>
                <w:sz w:val="22"/>
                <w:szCs w:val="22"/>
                <w:lang w:val="sr-Latn-ME"/>
              </w:rPr>
              <w:t xml:space="preserve"> </w:t>
            </w:r>
          </w:p>
          <w:p w:rsidR="000825BD" w:rsidRPr="0016092F" w:rsidRDefault="00B8617A" w:rsidP="006F146B">
            <w:pPr>
              <w:pStyle w:val="Default"/>
              <w:jc w:val="both"/>
              <w:rPr>
                <w:noProof/>
                <w:sz w:val="22"/>
                <w:szCs w:val="22"/>
                <w:lang w:val="sr-Latn-ME"/>
              </w:rPr>
            </w:pPr>
            <w:r w:rsidRPr="0016092F">
              <w:rPr>
                <w:noProof/>
                <w:sz w:val="22"/>
                <w:szCs w:val="22"/>
                <w:lang w:val="sr-Latn-ME"/>
              </w:rPr>
              <w:t>U otvorenoj</w:t>
            </w:r>
            <w:r w:rsidR="000825BD" w:rsidRPr="0016092F">
              <w:rPr>
                <w:noProof/>
                <w:sz w:val="22"/>
                <w:szCs w:val="22"/>
                <w:lang w:val="sr-Latn-ME"/>
              </w:rPr>
              <w:t xml:space="preserve"> </w:t>
            </w:r>
            <w:r w:rsidRPr="0016092F">
              <w:rPr>
                <w:noProof/>
                <w:sz w:val="22"/>
                <w:szCs w:val="22"/>
                <w:lang w:val="sr-Latn-ME"/>
              </w:rPr>
              <w:t>studiji</w:t>
            </w:r>
            <w:r w:rsidR="000825BD" w:rsidRPr="0016092F">
              <w:rPr>
                <w:noProof/>
                <w:sz w:val="22"/>
                <w:szCs w:val="22"/>
                <w:lang w:val="sr-Latn-ME"/>
              </w:rPr>
              <w:t xml:space="preserve"> </w:t>
            </w:r>
            <w:r w:rsidRPr="0016092F">
              <w:rPr>
                <w:noProof/>
                <w:sz w:val="22"/>
                <w:szCs w:val="22"/>
                <w:lang w:val="sr-Latn-ME"/>
              </w:rPr>
              <w:t>paralelnih grupa kod</w:t>
            </w:r>
            <w:r w:rsidR="000825BD" w:rsidRPr="0016092F">
              <w:rPr>
                <w:noProof/>
                <w:sz w:val="22"/>
                <w:szCs w:val="22"/>
                <w:lang w:val="sr-Latn-ME"/>
              </w:rPr>
              <w:t xml:space="preserve"> odraslih </w:t>
            </w:r>
            <w:r w:rsidRPr="0016092F">
              <w:rPr>
                <w:noProof/>
                <w:sz w:val="22"/>
                <w:szCs w:val="22"/>
                <w:lang w:val="sr-Latn-ME"/>
              </w:rPr>
              <w:t>pacijenata</w:t>
            </w:r>
            <w:r w:rsidR="000825BD" w:rsidRPr="0016092F">
              <w:rPr>
                <w:noProof/>
                <w:sz w:val="22"/>
                <w:szCs w:val="22"/>
                <w:lang w:val="sr-Latn-ME"/>
              </w:rPr>
              <w:t xml:space="preserve"> koji nemaju nedostatak </w:t>
            </w:r>
            <w:r w:rsidRPr="0016092F">
              <w:rPr>
                <w:noProof/>
                <w:sz w:val="22"/>
                <w:szCs w:val="22"/>
                <w:lang w:val="sr-Latn-ME"/>
              </w:rPr>
              <w:t>gvožđa sa vr</w:t>
            </w:r>
            <w:r w:rsidR="002C6A3C" w:rsidRPr="0016092F">
              <w:rPr>
                <w:noProof/>
                <w:sz w:val="22"/>
                <w:szCs w:val="22"/>
                <w:lang w:val="sr-Latn-ME"/>
              </w:rPr>
              <w:t>ij</w:t>
            </w:r>
            <w:r w:rsidRPr="0016092F">
              <w:rPr>
                <w:noProof/>
                <w:sz w:val="22"/>
                <w:szCs w:val="22"/>
                <w:lang w:val="sr-Latn-ME"/>
              </w:rPr>
              <w:t>ednostima hemoglobina pr</w:t>
            </w:r>
            <w:r w:rsidR="002C6A3C" w:rsidRPr="0016092F">
              <w:rPr>
                <w:noProof/>
                <w:sz w:val="22"/>
                <w:szCs w:val="22"/>
                <w:lang w:val="sr-Latn-ME"/>
              </w:rPr>
              <w:t>ij</w:t>
            </w:r>
            <w:r w:rsidRPr="0016092F">
              <w:rPr>
                <w:noProof/>
                <w:sz w:val="22"/>
                <w:szCs w:val="22"/>
                <w:lang w:val="sr-Latn-ME"/>
              </w:rPr>
              <w:t>e početka l</w:t>
            </w:r>
            <w:r w:rsidR="002C6A3C" w:rsidRPr="0016092F">
              <w:rPr>
                <w:noProof/>
                <w:sz w:val="22"/>
                <w:szCs w:val="22"/>
                <w:lang w:val="sr-Latn-ME"/>
              </w:rPr>
              <w:t>ij</w:t>
            </w:r>
            <w:r w:rsidR="000825BD" w:rsidRPr="0016092F">
              <w:rPr>
                <w:noProof/>
                <w:sz w:val="22"/>
                <w:szCs w:val="22"/>
                <w:lang w:val="sr-Latn-ME"/>
              </w:rPr>
              <w:t xml:space="preserve">ečenja od &gt; 10 do ≤ 13 g/dl predviđenih za veliki elektivni ortopedski </w:t>
            </w:r>
            <w:r w:rsidRPr="0016092F">
              <w:rPr>
                <w:noProof/>
                <w:sz w:val="22"/>
                <w:szCs w:val="22"/>
                <w:lang w:val="sr-Latn-ME"/>
              </w:rPr>
              <w:t>hirurški zahvat na kuku ili kol</w:t>
            </w:r>
            <w:r w:rsidR="002C6A3C" w:rsidRPr="0016092F">
              <w:rPr>
                <w:noProof/>
                <w:sz w:val="22"/>
                <w:szCs w:val="22"/>
                <w:lang w:val="sr-Latn-ME"/>
              </w:rPr>
              <w:t>j</w:t>
            </w:r>
            <w:r w:rsidR="000825BD" w:rsidRPr="0016092F">
              <w:rPr>
                <w:noProof/>
                <w:sz w:val="22"/>
                <w:szCs w:val="22"/>
                <w:lang w:val="sr-Latn-ME"/>
              </w:rPr>
              <w:t xml:space="preserve">enu </w:t>
            </w:r>
            <w:r w:rsidRPr="0016092F">
              <w:rPr>
                <w:noProof/>
                <w:sz w:val="22"/>
                <w:szCs w:val="22"/>
                <w:lang w:val="sr-Latn-ME"/>
              </w:rPr>
              <w:t>poređena je prim</w:t>
            </w:r>
            <w:r w:rsidR="002C6A3C" w:rsidRPr="0016092F">
              <w:rPr>
                <w:noProof/>
                <w:sz w:val="22"/>
                <w:szCs w:val="22"/>
                <w:lang w:val="sr-Latn-ME"/>
              </w:rPr>
              <w:t>j</w:t>
            </w:r>
            <w:r w:rsidRPr="0016092F">
              <w:rPr>
                <w:noProof/>
                <w:sz w:val="22"/>
                <w:szCs w:val="22"/>
                <w:lang w:val="sr-Latn-ME"/>
              </w:rPr>
              <w:t>ena 300 i.j.</w:t>
            </w:r>
            <w:r w:rsidR="000825BD" w:rsidRPr="0016092F">
              <w:rPr>
                <w:noProof/>
                <w:sz w:val="22"/>
                <w:szCs w:val="22"/>
                <w:lang w:val="sr-Latn-ME"/>
              </w:rPr>
              <w:t>/kg ep</w:t>
            </w:r>
            <w:r w:rsidRPr="0016092F">
              <w:rPr>
                <w:noProof/>
                <w:sz w:val="22"/>
                <w:szCs w:val="22"/>
                <w:lang w:val="sr-Latn-ME"/>
              </w:rPr>
              <w:t>oetina alfa na dan supkutano tokom 10 dana pr</w:t>
            </w:r>
            <w:r w:rsidR="002C6A3C" w:rsidRPr="0016092F">
              <w:rPr>
                <w:noProof/>
                <w:sz w:val="22"/>
                <w:szCs w:val="22"/>
                <w:lang w:val="sr-Latn-ME"/>
              </w:rPr>
              <w:t>ij</w:t>
            </w:r>
            <w:r w:rsidR="000825BD" w:rsidRPr="0016092F">
              <w:rPr>
                <w:noProof/>
                <w:sz w:val="22"/>
                <w:szCs w:val="22"/>
                <w:lang w:val="sr-Latn-ME"/>
              </w:rPr>
              <w:t>e operacije, na dan operacije i još 4 dana nakon operacije s</w:t>
            </w:r>
            <w:r w:rsidRPr="0016092F">
              <w:rPr>
                <w:noProof/>
                <w:sz w:val="22"/>
                <w:szCs w:val="22"/>
                <w:lang w:val="sr-Latn-ME"/>
              </w:rPr>
              <w:t>a prim</w:t>
            </w:r>
            <w:r w:rsidR="002C6A3C" w:rsidRPr="0016092F">
              <w:rPr>
                <w:noProof/>
                <w:sz w:val="22"/>
                <w:szCs w:val="22"/>
                <w:lang w:val="sr-Latn-ME"/>
              </w:rPr>
              <w:t>j</w:t>
            </w:r>
            <w:r w:rsidRPr="0016092F">
              <w:rPr>
                <w:noProof/>
                <w:sz w:val="22"/>
                <w:szCs w:val="22"/>
                <w:lang w:val="sr-Latn-ME"/>
              </w:rPr>
              <w:t>enom 600 i.j.</w:t>
            </w:r>
            <w:r w:rsidR="000825BD" w:rsidRPr="0016092F">
              <w:rPr>
                <w:noProof/>
                <w:sz w:val="22"/>
                <w:szCs w:val="22"/>
                <w:lang w:val="sr-Latn-ME"/>
              </w:rPr>
              <w:t xml:space="preserve">/kg epoetina alfa supkutano jednom </w:t>
            </w:r>
            <w:r w:rsidRPr="0016092F">
              <w:rPr>
                <w:noProof/>
                <w:sz w:val="22"/>
                <w:szCs w:val="22"/>
                <w:lang w:val="sr-Latn-ME"/>
              </w:rPr>
              <w:t>ned</w:t>
            </w:r>
            <w:r w:rsidR="002C6A3C" w:rsidRPr="0016092F">
              <w:rPr>
                <w:noProof/>
                <w:sz w:val="22"/>
                <w:szCs w:val="22"/>
                <w:lang w:val="sr-Latn-ME"/>
              </w:rPr>
              <w:t>j</w:t>
            </w:r>
            <w:r w:rsidRPr="0016092F">
              <w:rPr>
                <w:noProof/>
                <w:sz w:val="22"/>
                <w:szCs w:val="22"/>
                <w:lang w:val="sr-Latn-ME"/>
              </w:rPr>
              <w:t>eljeno</w:t>
            </w:r>
            <w:r w:rsidR="000825BD" w:rsidRPr="0016092F">
              <w:rPr>
                <w:noProof/>
                <w:sz w:val="22"/>
                <w:szCs w:val="22"/>
                <w:lang w:val="sr-Latn-ME"/>
              </w:rPr>
              <w:t xml:space="preserve">, 3 </w:t>
            </w:r>
            <w:r w:rsidRPr="0016092F">
              <w:rPr>
                <w:noProof/>
                <w:sz w:val="22"/>
                <w:szCs w:val="22"/>
                <w:lang w:val="sr-Latn-ME"/>
              </w:rPr>
              <w:t>ned</w:t>
            </w:r>
            <w:r w:rsidR="002C6A3C" w:rsidRPr="0016092F">
              <w:rPr>
                <w:noProof/>
                <w:sz w:val="22"/>
                <w:szCs w:val="22"/>
                <w:lang w:val="sr-Latn-ME"/>
              </w:rPr>
              <w:t>j</w:t>
            </w:r>
            <w:r w:rsidRPr="0016092F">
              <w:rPr>
                <w:noProof/>
                <w:sz w:val="22"/>
                <w:szCs w:val="22"/>
                <w:lang w:val="sr-Latn-ME"/>
              </w:rPr>
              <w:t>elje pr</w:t>
            </w:r>
            <w:r w:rsidR="002C6A3C" w:rsidRPr="0016092F">
              <w:rPr>
                <w:noProof/>
                <w:sz w:val="22"/>
                <w:szCs w:val="22"/>
                <w:lang w:val="sr-Latn-ME"/>
              </w:rPr>
              <w:t>ij</w:t>
            </w:r>
            <w:r w:rsidR="000825BD" w:rsidRPr="0016092F">
              <w:rPr>
                <w:noProof/>
                <w:sz w:val="22"/>
                <w:szCs w:val="22"/>
                <w:lang w:val="sr-Latn-ME"/>
              </w:rPr>
              <w:t xml:space="preserve">e operacije i na dan operacije. </w:t>
            </w:r>
          </w:p>
          <w:p w:rsidR="00B8617A" w:rsidRPr="0016092F" w:rsidRDefault="00B8617A" w:rsidP="006F146B">
            <w:pPr>
              <w:pStyle w:val="Default"/>
              <w:jc w:val="both"/>
              <w:rPr>
                <w:noProof/>
                <w:sz w:val="22"/>
                <w:szCs w:val="22"/>
                <w:lang w:val="sr-Latn-ME"/>
              </w:rPr>
            </w:pPr>
          </w:p>
          <w:p w:rsidR="000825BD" w:rsidRPr="0016092F" w:rsidRDefault="00C404C5" w:rsidP="006F146B">
            <w:pPr>
              <w:pStyle w:val="Default"/>
              <w:jc w:val="both"/>
              <w:rPr>
                <w:noProof/>
                <w:sz w:val="22"/>
                <w:szCs w:val="22"/>
                <w:lang w:val="sr-Latn-ME"/>
              </w:rPr>
            </w:pPr>
            <w:r w:rsidRPr="0016092F">
              <w:rPr>
                <w:noProof/>
                <w:sz w:val="22"/>
                <w:szCs w:val="22"/>
                <w:lang w:val="sr-Latn-ME"/>
              </w:rPr>
              <w:t>Srednja vr</w:t>
            </w:r>
            <w:r w:rsidR="002C6A3C" w:rsidRPr="0016092F">
              <w:rPr>
                <w:noProof/>
                <w:sz w:val="22"/>
                <w:szCs w:val="22"/>
                <w:lang w:val="sr-Latn-ME"/>
              </w:rPr>
              <w:t>ij</w:t>
            </w:r>
            <w:r w:rsidR="000825BD" w:rsidRPr="0016092F">
              <w:rPr>
                <w:noProof/>
                <w:sz w:val="22"/>
                <w:szCs w:val="22"/>
                <w:lang w:val="sr-Latn-ME"/>
              </w:rPr>
              <w:t xml:space="preserve">ednost porasta </w:t>
            </w:r>
            <w:r w:rsidRPr="0016092F">
              <w:rPr>
                <w:noProof/>
                <w:sz w:val="22"/>
                <w:szCs w:val="22"/>
                <w:lang w:val="sr-Latn-ME"/>
              </w:rPr>
              <w:t>vr</w:t>
            </w:r>
            <w:r w:rsidR="002C6A3C" w:rsidRPr="0016092F">
              <w:rPr>
                <w:noProof/>
                <w:sz w:val="22"/>
                <w:szCs w:val="22"/>
                <w:lang w:val="sr-Latn-ME"/>
              </w:rPr>
              <w:t>ij</w:t>
            </w:r>
            <w:r w:rsidRPr="0016092F">
              <w:rPr>
                <w:noProof/>
                <w:sz w:val="22"/>
                <w:szCs w:val="22"/>
                <w:lang w:val="sr-Latn-ME"/>
              </w:rPr>
              <w:t>ednosti</w:t>
            </w:r>
            <w:r w:rsidR="000825BD" w:rsidRPr="0016092F">
              <w:rPr>
                <w:noProof/>
                <w:sz w:val="22"/>
                <w:szCs w:val="22"/>
                <w:lang w:val="sr-Latn-ME"/>
              </w:rPr>
              <w:t xml:space="preserve"> hemoglobina </w:t>
            </w:r>
            <w:r w:rsidRPr="0016092F">
              <w:rPr>
                <w:noProof/>
                <w:sz w:val="22"/>
                <w:szCs w:val="22"/>
                <w:lang w:val="sr-Latn-ME"/>
              </w:rPr>
              <w:t xml:space="preserve">u odnosu na </w:t>
            </w:r>
            <w:r w:rsidR="000825BD" w:rsidRPr="0016092F">
              <w:rPr>
                <w:noProof/>
                <w:sz w:val="22"/>
                <w:szCs w:val="22"/>
                <w:lang w:val="sr-Latn-ME"/>
              </w:rPr>
              <w:t xml:space="preserve"> </w:t>
            </w:r>
            <w:r w:rsidRPr="0016092F">
              <w:rPr>
                <w:noProof/>
                <w:sz w:val="22"/>
                <w:szCs w:val="22"/>
                <w:lang w:val="sr-Latn-ME"/>
              </w:rPr>
              <w:t>vr</w:t>
            </w:r>
            <w:r w:rsidR="002C6A3C" w:rsidRPr="0016092F">
              <w:rPr>
                <w:noProof/>
                <w:sz w:val="22"/>
                <w:szCs w:val="22"/>
                <w:lang w:val="sr-Latn-ME"/>
              </w:rPr>
              <w:t>ij</w:t>
            </w:r>
            <w:r w:rsidRPr="0016092F">
              <w:rPr>
                <w:noProof/>
                <w:sz w:val="22"/>
                <w:szCs w:val="22"/>
                <w:lang w:val="sr-Latn-ME"/>
              </w:rPr>
              <w:t>ednosti pr</w:t>
            </w:r>
            <w:r w:rsidR="002C6A3C" w:rsidRPr="0016092F">
              <w:rPr>
                <w:noProof/>
                <w:sz w:val="22"/>
                <w:szCs w:val="22"/>
                <w:lang w:val="sr-Latn-ME"/>
              </w:rPr>
              <w:t>ij</w:t>
            </w:r>
            <w:r w:rsidRPr="0016092F">
              <w:rPr>
                <w:noProof/>
                <w:sz w:val="22"/>
                <w:szCs w:val="22"/>
                <w:lang w:val="sr-Latn-ME"/>
              </w:rPr>
              <w:t>e l</w:t>
            </w:r>
            <w:r w:rsidR="002C6A3C" w:rsidRPr="0016092F">
              <w:rPr>
                <w:noProof/>
                <w:sz w:val="22"/>
                <w:szCs w:val="22"/>
                <w:lang w:val="sr-Latn-ME"/>
              </w:rPr>
              <w:t>ij</w:t>
            </w:r>
            <w:r w:rsidR="000825BD" w:rsidRPr="0016092F">
              <w:rPr>
                <w:noProof/>
                <w:sz w:val="22"/>
                <w:szCs w:val="22"/>
                <w:lang w:val="sr-Latn-ME"/>
              </w:rPr>
              <w:t>ečenja do r</w:t>
            </w:r>
            <w:r w:rsidRPr="0016092F">
              <w:rPr>
                <w:noProof/>
                <w:sz w:val="22"/>
                <w:szCs w:val="22"/>
                <w:lang w:val="sr-Latn-ME"/>
              </w:rPr>
              <w:t>vr</w:t>
            </w:r>
            <w:r w:rsidR="002C6A3C" w:rsidRPr="0016092F">
              <w:rPr>
                <w:noProof/>
                <w:sz w:val="22"/>
                <w:szCs w:val="22"/>
                <w:lang w:val="sr-Latn-ME"/>
              </w:rPr>
              <w:t>ij</w:t>
            </w:r>
            <w:r w:rsidRPr="0016092F">
              <w:rPr>
                <w:noProof/>
                <w:sz w:val="22"/>
                <w:szCs w:val="22"/>
                <w:lang w:val="sr-Latn-ME"/>
              </w:rPr>
              <w:t>ednosti pr</w:t>
            </w:r>
            <w:r w:rsidR="002C6A3C" w:rsidRPr="0016092F">
              <w:rPr>
                <w:noProof/>
                <w:sz w:val="22"/>
                <w:szCs w:val="22"/>
                <w:lang w:val="sr-Latn-ME"/>
              </w:rPr>
              <w:t>ij</w:t>
            </w:r>
            <w:r w:rsidR="000825BD" w:rsidRPr="0016092F">
              <w:rPr>
                <w:noProof/>
                <w:sz w:val="22"/>
                <w:szCs w:val="22"/>
                <w:lang w:val="sr-Latn-ME"/>
              </w:rPr>
              <w:t xml:space="preserve">e operacije bila je dvostruko veća u </w:t>
            </w:r>
            <w:r w:rsidRPr="0016092F">
              <w:rPr>
                <w:noProof/>
                <w:sz w:val="22"/>
                <w:szCs w:val="22"/>
                <w:lang w:val="sr-Latn-ME"/>
              </w:rPr>
              <w:t>grupi</w:t>
            </w:r>
            <w:r w:rsidR="000825BD" w:rsidRPr="0016092F">
              <w:rPr>
                <w:noProof/>
                <w:sz w:val="22"/>
                <w:szCs w:val="22"/>
                <w:lang w:val="sr-Latn-ME"/>
              </w:rPr>
              <w:t xml:space="preserve"> koja je primala 600 </w:t>
            </w:r>
            <w:r w:rsidRPr="0016092F">
              <w:rPr>
                <w:noProof/>
                <w:sz w:val="22"/>
                <w:szCs w:val="22"/>
                <w:lang w:val="sr-Latn-ME"/>
              </w:rPr>
              <w:t>i.j.</w:t>
            </w:r>
            <w:r w:rsidR="000825BD" w:rsidRPr="0016092F">
              <w:rPr>
                <w:noProof/>
                <w:sz w:val="22"/>
                <w:szCs w:val="22"/>
                <w:lang w:val="sr-Latn-ME"/>
              </w:rPr>
              <w:t xml:space="preserve">/kg epoetina alfa </w:t>
            </w:r>
            <w:r w:rsidRPr="0016092F">
              <w:rPr>
                <w:noProof/>
                <w:sz w:val="22"/>
                <w:szCs w:val="22"/>
                <w:lang w:val="sr-Latn-ME"/>
              </w:rPr>
              <w:t>ned</w:t>
            </w:r>
            <w:r w:rsidR="002C6A3C" w:rsidRPr="0016092F">
              <w:rPr>
                <w:noProof/>
                <w:sz w:val="22"/>
                <w:szCs w:val="22"/>
                <w:lang w:val="sr-Latn-ME"/>
              </w:rPr>
              <w:t>j</w:t>
            </w:r>
            <w:r w:rsidRPr="0016092F">
              <w:rPr>
                <w:noProof/>
                <w:sz w:val="22"/>
                <w:szCs w:val="22"/>
                <w:lang w:val="sr-Latn-ME"/>
              </w:rPr>
              <w:t xml:space="preserve">eljno </w:t>
            </w:r>
            <w:r w:rsidR="000825BD" w:rsidRPr="0016092F">
              <w:rPr>
                <w:noProof/>
                <w:sz w:val="22"/>
                <w:szCs w:val="22"/>
                <w:lang w:val="sr-Latn-ME"/>
              </w:rPr>
              <w:t xml:space="preserve">(1,44 g/dl) nego u </w:t>
            </w:r>
            <w:r w:rsidRPr="0016092F">
              <w:rPr>
                <w:noProof/>
                <w:sz w:val="22"/>
                <w:szCs w:val="22"/>
                <w:lang w:val="sr-Latn-ME"/>
              </w:rPr>
              <w:t>grupi</w:t>
            </w:r>
            <w:r w:rsidR="000825BD" w:rsidRPr="0016092F">
              <w:rPr>
                <w:noProof/>
                <w:sz w:val="22"/>
                <w:szCs w:val="22"/>
                <w:lang w:val="sr-Latn-ME"/>
              </w:rPr>
              <w:t xml:space="preserve"> koja je primala 300 </w:t>
            </w:r>
            <w:r w:rsidRPr="0016092F">
              <w:rPr>
                <w:noProof/>
                <w:sz w:val="22"/>
                <w:szCs w:val="22"/>
                <w:lang w:val="sr-Latn-ME"/>
              </w:rPr>
              <w:t>i.j.</w:t>
            </w:r>
            <w:r w:rsidR="000825BD" w:rsidRPr="0016092F">
              <w:rPr>
                <w:noProof/>
                <w:sz w:val="22"/>
                <w:szCs w:val="22"/>
                <w:lang w:val="sr-Latn-ME"/>
              </w:rPr>
              <w:t xml:space="preserve">/kg epoetina alfa </w:t>
            </w:r>
            <w:r w:rsidRPr="0016092F">
              <w:rPr>
                <w:noProof/>
                <w:sz w:val="22"/>
                <w:szCs w:val="22"/>
                <w:lang w:val="sr-Latn-ME"/>
              </w:rPr>
              <w:t>dnevno (0,73 g/dl). Srednja vr</w:t>
            </w:r>
            <w:r w:rsidR="002C6A3C" w:rsidRPr="0016092F">
              <w:rPr>
                <w:noProof/>
                <w:sz w:val="22"/>
                <w:szCs w:val="22"/>
                <w:lang w:val="sr-Latn-ME"/>
              </w:rPr>
              <w:t>ij</w:t>
            </w:r>
            <w:r w:rsidR="000825BD" w:rsidRPr="0016092F">
              <w:rPr>
                <w:noProof/>
                <w:sz w:val="22"/>
                <w:szCs w:val="22"/>
                <w:lang w:val="sr-Latn-ME"/>
              </w:rPr>
              <w:t xml:space="preserve">ednost </w:t>
            </w:r>
            <w:r w:rsidRPr="0016092F">
              <w:rPr>
                <w:noProof/>
                <w:sz w:val="22"/>
                <w:szCs w:val="22"/>
                <w:lang w:val="sr-Latn-ME"/>
              </w:rPr>
              <w:t>hemoglobina to</w:t>
            </w:r>
            <w:r w:rsidR="000825BD" w:rsidRPr="0016092F">
              <w:rPr>
                <w:noProof/>
                <w:sz w:val="22"/>
                <w:szCs w:val="22"/>
                <w:lang w:val="sr-Latn-ME"/>
              </w:rPr>
              <w:t xml:space="preserve">kom postoperacijskog </w:t>
            </w:r>
            <w:r w:rsidRPr="0016092F">
              <w:rPr>
                <w:noProof/>
                <w:sz w:val="22"/>
                <w:szCs w:val="22"/>
                <w:lang w:val="sr-Latn-ME"/>
              </w:rPr>
              <w:t>perioda</w:t>
            </w:r>
            <w:r w:rsidR="000825BD" w:rsidRPr="0016092F">
              <w:rPr>
                <w:noProof/>
                <w:sz w:val="22"/>
                <w:szCs w:val="22"/>
                <w:lang w:val="sr-Latn-ME"/>
              </w:rPr>
              <w:t xml:space="preserve"> bila je slična u </w:t>
            </w:r>
            <w:r w:rsidRPr="0016092F">
              <w:rPr>
                <w:noProof/>
                <w:sz w:val="22"/>
                <w:szCs w:val="22"/>
                <w:lang w:val="sr-Latn-ME"/>
              </w:rPr>
              <w:t>ob</w:t>
            </w:r>
            <w:r w:rsidR="002C6A3C" w:rsidRPr="0016092F">
              <w:rPr>
                <w:noProof/>
                <w:sz w:val="22"/>
                <w:szCs w:val="22"/>
                <w:lang w:val="sr-Latn-ME"/>
              </w:rPr>
              <w:t>ij</w:t>
            </w:r>
            <w:r w:rsidRPr="0016092F">
              <w:rPr>
                <w:noProof/>
                <w:sz w:val="22"/>
                <w:szCs w:val="22"/>
                <w:lang w:val="sr-Latn-ME"/>
              </w:rPr>
              <w:t>e grupe</w:t>
            </w:r>
            <w:r w:rsidR="000825BD" w:rsidRPr="0016092F">
              <w:rPr>
                <w:noProof/>
                <w:sz w:val="22"/>
                <w:szCs w:val="22"/>
                <w:lang w:val="sr-Latn-ME"/>
              </w:rPr>
              <w:t xml:space="preserve">. </w:t>
            </w:r>
          </w:p>
          <w:p w:rsidR="00C404C5" w:rsidRPr="0016092F" w:rsidRDefault="00C404C5" w:rsidP="006F146B">
            <w:pPr>
              <w:pStyle w:val="Default"/>
              <w:jc w:val="both"/>
              <w:rPr>
                <w:noProof/>
                <w:sz w:val="22"/>
                <w:szCs w:val="22"/>
                <w:lang w:val="sr-Latn-ME"/>
              </w:rPr>
            </w:pPr>
          </w:p>
          <w:p w:rsidR="000825BD" w:rsidRPr="0016092F" w:rsidRDefault="000825BD" w:rsidP="006F146B">
            <w:pPr>
              <w:pStyle w:val="Default"/>
              <w:jc w:val="both"/>
              <w:rPr>
                <w:noProof/>
                <w:sz w:val="22"/>
                <w:szCs w:val="22"/>
                <w:lang w:val="sr-Latn-ME"/>
              </w:rPr>
            </w:pPr>
            <w:r w:rsidRPr="0016092F">
              <w:rPr>
                <w:noProof/>
                <w:sz w:val="22"/>
                <w:szCs w:val="22"/>
                <w:lang w:val="sr-Latn-ME"/>
              </w:rPr>
              <w:t>E</w:t>
            </w:r>
            <w:r w:rsidR="00C404C5" w:rsidRPr="0016092F">
              <w:rPr>
                <w:noProof/>
                <w:sz w:val="22"/>
                <w:szCs w:val="22"/>
                <w:lang w:val="sr-Latn-ME"/>
              </w:rPr>
              <w:t>ritropoetski odgovor uočen u ob</w:t>
            </w:r>
            <w:r w:rsidR="002C6A3C" w:rsidRPr="0016092F">
              <w:rPr>
                <w:noProof/>
                <w:sz w:val="22"/>
                <w:szCs w:val="22"/>
                <w:lang w:val="sr-Latn-ME"/>
              </w:rPr>
              <w:t>ij</w:t>
            </w:r>
            <w:r w:rsidRPr="0016092F">
              <w:rPr>
                <w:noProof/>
                <w:sz w:val="22"/>
                <w:szCs w:val="22"/>
                <w:lang w:val="sr-Latn-ME"/>
              </w:rPr>
              <w:t xml:space="preserve">e terapijske </w:t>
            </w:r>
            <w:r w:rsidR="00C404C5" w:rsidRPr="0016092F">
              <w:rPr>
                <w:noProof/>
                <w:sz w:val="22"/>
                <w:szCs w:val="22"/>
                <w:lang w:val="sr-Latn-ME"/>
              </w:rPr>
              <w:t>grupe</w:t>
            </w:r>
            <w:r w:rsidRPr="0016092F">
              <w:rPr>
                <w:noProof/>
                <w:sz w:val="22"/>
                <w:szCs w:val="22"/>
                <w:lang w:val="sr-Latn-ME"/>
              </w:rPr>
              <w:t xml:space="preserve"> rezultirao je sličnim </w:t>
            </w:r>
            <w:r w:rsidR="00C404C5" w:rsidRPr="0016092F">
              <w:rPr>
                <w:noProof/>
                <w:sz w:val="22"/>
                <w:szCs w:val="22"/>
                <w:lang w:val="sr-Latn-ME"/>
              </w:rPr>
              <w:t>stopama</w:t>
            </w:r>
            <w:r w:rsidRPr="0016092F">
              <w:rPr>
                <w:noProof/>
                <w:sz w:val="22"/>
                <w:szCs w:val="22"/>
                <w:lang w:val="sr-Latn-ME"/>
              </w:rPr>
              <w:t xml:space="preserve"> transfuzije (16 % u </w:t>
            </w:r>
            <w:r w:rsidR="00C404C5" w:rsidRPr="0016092F">
              <w:rPr>
                <w:noProof/>
                <w:sz w:val="22"/>
                <w:szCs w:val="22"/>
                <w:lang w:val="sr-Latn-ME"/>
              </w:rPr>
              <w:t>grupi koja je primala 600 i.j.</w:t>
            </w:r>
            <w:r w:rsidRPr="0016092F">
              <w:rPr>
                <w:noProof/>
                <w:sz w:val="22"/>
                <w:szCs w:val="22"/>
                <w:lang w:val="sr-Latn-ME"/>
              </w:rPr>
              <w:t xml:space="preserve">/kg </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eljno</w:t>
            </w:r>
            <w:r w:rsidRPr="0016092F">
              <w:rPr>
                <w:noProof/>
                <w:sz w:val="22"/>
                <w:szCs w:val="22"/>
                <w:lang w:val="sr-Latn-ME"/>
              </w:rPr>
              <w:t xml:space="preserve"> i 20% u </w:t>
            </w:r>
            <w:r w:rsidR="00C404C5" w:rsidRPr="0016092F">
              <w:rPr>
                <w:noProof/>
                <w:sz w:val="22"/>
                <w:szCs w:val="22"/>
                <w:lang w:val="sr-Latn-ME"/>
              </w:rPr>
              <w:t>grupi koja je primala 300 i.j.</w:t>
            </w:r>
            <w:r w:rsidRPr="0016092F">
              <w:rPr>
                <w:noProof/>
                <w:sz w:val="22"/>
                <w:szCs w:val="22"/>
                <w:lang w:val="sr-Latn-ME"/>
              </w:rPr>
              <w:t xml:space="preserve">/kg </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eljno</w:t>
            </w:r>
            <w:r w:rsidRPr="0016092F">
              <w:rPr>
                <w:noProof/>
                <w:sz w:val="22"/>
                <w:szCs w:val="22"/>
                <w:lang w:val="sr-Latn-ME"/>
              </w:rPr>
              <w:t xml:space="preserve">). </w:t>
            </w:r>
          </w:p>
          <w:p w:rsidR="00C404C5" w:rsidRPr="0016092F" w:rsidRDefault="00C404C5" w:rsidP="006F146B">
            <w:pPr>
              <w:pStyle w:val="Default"/>
              <w:jc w:val="both"/>
              <w:rPr>
                <w:noProof/>
                <w:sz w:val="22"/>
                <w:szCs w:val="22"/>
                <w:lang w:val="sr-Latn-ME"/>
              </w:rPr>
            </w:pPr>
          </w:p>
          <w:p w:rsidR="000825BD" w:rsidRPr="0016092F" w:rsidRDefault="000825BD" w:rsidP="006F146B">
            <w:pPr>
              <w:pStyle w:val="Default"/>
              <w:jc w:val="both"/>
              <w:rPr>
                <w:noProof/>
                <w:sz w:val="22"/>
                <w:szCs w:val="22"/>
                <w:u w:val="single"/>
                <w:lang w:val="sr-Latn-ME"/>
              </w:rPr>
            </w:pPr>
            <w:r w:rsidRPr="0016092F">
              <w:rPr>
                <w:iCs/>
                <w:noProof/>
                <w:sz w:val="22"/>
                <w:szCs w:val="22"/>
                <w:u w:val="single"/>
                <w:lang w:val="sr-Latn-ME"/>
              </w:rPr>
              <w:t xml:space="preserve">Pedijatrijska populacija </w:t>
            </w:r>
          </w:p>
          <w:p w:rsidR="000825BD" w:rsidRPr="0016092F" w:rsidRDefault="00C404C5" w:rsidP="006F146B">
            <w:pPr>
              <w:pStyle w:val="Default"/>
              <w:jc w:val="both"/>
              <w:rPr>
                <w:noProof/>
                <w:sz w:val="22"/>
                <w:szCs w:val="22"/>
                <w:lang w:val="sr-Latn-ME"/>
              </w:rPr>
            </w:pPr>
            <w:r w:rsidRPr="0016092F">
              <w:rPr>
                <w:i/>
                <w:iCs/>
                <w:noProof/>
                <w:sz w:val="22"/>
                <w:szCs w:val="22"/>
                <w:lang w:val="sr-Latn-ME"/>
              </w:rPr>
              <w:t>Hronična insuficijencija bubrega</w:t>
            </w:r>
          </w:p>
          <w:p w:rsidR="00C404C5" w:rsidRPr="0016092F" w:rsidRDefault="000825BD" w:rsidP="006F146B">
            <w:pPr>
              <w:pStyle w:val="Default"/>
              <w:jc w:val="both"/>
              <w:rPr>
                <w:noProof/>
                <w:sz w:val="22"/>
                <w:szCs w:val="22"/>
                <w:lang w:val="sr-Latn-ME"/>
              </w:rPr>
            </w:pPr>
            <w:r w:rsidRPr="0016092F">
              <w:rPr>
                <w:noProof/>
                <w:sz w:val="22"/>
                <w:szCs w:val="22"/>
                <w:lang w:val="sr-Latn-ME"/>
              </w:rPr>
              <w:t xml:space="preserve">Epoetin alfa </w:t>
            </w:r>
            <w:r w:rsidR="00C404C5" w:rsidRPr="0016092F">
              <w:rPr>
                <w:noProof/>
                <w:sz w:val="22"/>
                <w:szCs w:val="22"/>
                <w:lang w:val="sr-Latn-ME"/>
              </w:rPr>
              <w:t>proc</w:t>
            </w:r>
            <w:r w:rsidR="002C6A3C" w:rsidRPr="0016092F">
              <w:rPr>
                <w:noProof/>
                <w:sz w:val="22"/>
                <w:szCs w:val="22"/>
                <w:lang w:val="sr-Latn-ME"/>
              </w:rPr>
              <w:t>ij</w:t>
            </w:r>
            <w:r w:rsidR="00C404C5" w:rsidRPr="0016092F">
              <w:rPr>
                <w:noProof/>
                <w:sz w:val="22"/>
                <w:szCs w:val="22"/>
                <w:lang w:val="sr-Latn-ME"/>
              </w:rPr>
              <w:t>enjen je u otvorenoj, nerandomiziranoj kliničkoj</w:t>
            </w:r>
            <w:r w:rsidRPr="0016092F">
              <w:rPr>
                <w:noProof/>
                <w:sz w:val="22"/>
                <w:szCs w:val="22"/>
                <w:lang w:val="sr-Latn-ME"/>
              </w:rPr>
              <w:t xml:space="preserve"> </w:t>
            </w:r>
            <w:r w:rsidR="00C404C5" w:rsidRPr="0016092F">
              <w:rPr>
                <w:noProof/>
                <w:sz w:val="22"/>
                <w:szCs w:val="22"/>
                <w:lang w:val="sr-Latn-ME"/>
              </w:rPr>
              <w:t>studjij</w:t>
            </w:r>
            <w:r w:rsidRPr="0016092F">
              <w:rPr>
                <w:noProof/>
                <w:sz w:val="22"/>
                <w:szCs w:val="22"/>
                <w:lang w:val="sr-Latn-ME"/>
              </w:rPr>
              <w:t xml:space="preserve"> otvorenog raspona doza koje je trajalo 52 </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elje</w:t>
            </w:r>
            <w:r w:rsidRPr="0016092F">
              <w:rPr>
                <w:noProof/>
                <w:sz w:val="22"/>
                <w:szCs w:val="22"/>
                <w:lang w:val="sr-Latn-ME"/>
              </w:rPr>
              <w:t xml:space="preserve"> </w:t>
            </w:r>
            <w:r w:rsidR="00C404C5" w:rsidRPr="0016092F">
              <w:rPr>
                <w:noProof/>
                <w:sz w:val="22"/>
                <w:szCs w:val="22"/>
                <w:lang w:val="sr-Latn-ME"/>
              </w:rPr>
              <w:t>kod</w:t>
            </w:r>
            <w:r w:rsidRPr="0016092F">
              <w:rPr>
                <w:noProof/>
                <w:sz w:val="22"/>
                <w:szCs w:val="22"/>
                <w:lang w:val="sr-Latn-ME"/>
              </w:rPr>
              <w:t xml:space="preserve"> pedijatrijskih </w:t>
            </w:r>
            <w:r w:rsidR="00C404C5" w:rsidRPr="0016092F">
              <w:rPr>
                <w:noProof/>
                <w:sz w:val="22"/>
                <w:szCs w:val="22"/>
                <w:lang w:val="sr-Latn-ME"/>
              </w:rPr>
              <w:t>pacijenata</w:t>
            </w:r>
            <w:r w:rsidRPr="0016092F">
              <w:rPr>
                <w:noProof/>
                <w:sz w:val="22"/>
                <w:szCs w:val="22"/>
                <w:lang w:val="sr-Latn-ME"/>
              </w:rPr>
              <w:t xml:space="preserve"> s</w:t>
            </w:r>
            <w:r w:rsidR="00C404C5" w:rsidRPr="0016092F">
              <w:rPr>
                <w:noProof/>
                <w:sz w:val="22"/>
                <w:szCs w:val="22"/>
                <w:lang w:val="sr-Latn-ME"/>
              </w:rPr>
              <w:t>a</w:t>
            </w:r>
            <w:r w:rsidRPr="0016092F">
              <w:rPr>
                <w:noProof/>
                <w:sz w:val="22"/>
                <w:szCs w:val="22"/>
                <w:lang w:val="sr-Latn-ME"/>
              </w:rPr>
              <w:t xml:space="preserve"> </w:t>
            </w:r>
            <w:r w:rsidR="00C404C5" w:rsidRPr="0016092F">
              <w:rPr>
                <w:noProof/>
                <w:sz w:val="22"/>
                <w:szCs w:val="22"/>
                <w:lang w:val="sr-Latn-ME"/>
              </w:rPr>
              <w:t>hroničnom insuficijencijom bubrega</w:t>
            </w:r>
            <w:r w:rsidRPr="0016092F">
              <w:rPr>
                <w:noProof/>
                <w:sz w:val="22"/>
                <w:szCs w:val="22"/>
                <w:lang w:val="sr-Latn-ME"/>
              </w:rPr>
              <w:t xml:space="preserve"> na hemodijalizi. </w:t>
            </w:r>
            <w:r w:rsidR="00C404C5" w:rsidRPr="0016092F">
              <w:rPr>
                <w:noProof/>
                <w:sz w:val="22"/>
                <w:szCs w:val="22"/>
                <w:lang w:val="sr-Latn-ME"/>
              </w:rPr>
              <w:t xml:space="preserve">Srednja starosna dob pacijenata </w:t>
            </w:r>
            <w:r w:rsidRPr="0016092F">
              <w:rPr>
                <w:noProof/>
                <w:sz w:val="22"/>
                <w:szCs w:val="22"/>
                <w:lang w:val="sr-Latn-ME"/>
              </w:rPr>
              <w:t>uključenih u ispitivanje bi</w:t>
            </w:r>
            <w:r w:rsidR="00C404C5" w:rsidRPr="0016092F">
              <w:rPr>
                <w:noProof/>
                <w:sz w:val="22"/>
                <w:szCs w:val="22"/>
                <w:lang w:val="sr-Latn-ME"/>
              </w:rPr>
              <w:t>la</w:t>
            </w:r>
            <w:r w:rsidRPr="0016092F">
              <w:rPr>
                <w:noProof/>
                <w:sz w:val="22"/>
                <w:szCs w:val="22"/>
                <w:lang w:val="sr-Latn-ME"/>
              </w:rPr>
              <w:t xml:space="preserve"> je 11,6 g</w:t>
            </w:r>
            <w:r w:rsidR="00C404C5" w:rsidRPr="0016092F">
              <w:rPr>
                <w:noProof/>
                <w:sz w:val="22"/>
                <w:szCs w:val="22"/>
                <w:lang w:val="sr-Latn-ME"/>
              </w:rPr>
              <w:t>odina (raspon 0,5 do 20,1 godina</w:t>
            </w:r>
            <w:r w:rsidRPr="0016092F">
              <w:rPr>
                <w:noProof/>
                <w:sz w:val="22"/>
                <w:szCs w:val="22"/>
                <w:lang w:val="sr-Latn-ME"/>
              </w:rPr>
              <w:t xml:space="preserve">). </w:t>
            </w:r>
          </w:p>
          <w:p w:rsidR="00BD61A7" w:rsidRPr="0016092F" w:rsidRDefault="00BD61A7" w:rsidP="006F146B">
            <w:pPr>
              <w:pStyle w:val="Default"/>
              <w:jc w:val="both"/>
              <w:rPr>
                <w:noProof/>
                <w:sz w:val="22"/>
                <w:szCs w:val="22"/>
                <w:lang w:val="sr-Latn-ME"/>
              </w:rPr>
            </w:pPr>
          </w:p>
          <w:p w:rsidR="000825BD" w:rsidRPr="0016092F" w:rsidRDefault="000825BD" w:rsidP="006F146B">
            <w:pPr>
              <w:pStyle w:val="Default"/>
              <w:jc w:val="both"/>
              <w:rPr>
                <w:noProof/>
                <w:sz w:val="22"/>
                <w:szCs w:val="22"/>
                <w:lang w:val="sr-Latn-ME"/>
              </w:rPr>
            </w:pPr>
            <w:r w:rsidRPr="0016092F">
              <w:rPr>
                <w:noProof/>
                <w:sz w:val="22"/>
                <w:szCs w:val="22"/>
                <w:lang w:val="sr-Latn-ME"/>
              </w:rPr>
              <w:lastRenderedPageBreak/>
              <w:t>Epoetin alfa primjenjiv</w:t>
            </w:r>
            <w:r w:rsidR="00C404C5" w:rsidRPr="0016092F">
              <w:rPr>
                <w:noProof/>
                <w:sz w:val="22"/>
                <w:szCs w:val="22"/>
                <w:lang w:val="sr-Latn-ME"/>
              </w:rPr>
              <w:t>an je</w:t>
            </w:r>
            <w:r w:rsidRPr="0016092F">
              <w:rPr>
                <w:noProof/>
                <w:sz w:val="22"/>
                <w:szCs w:val="22"/>
                <w:lang w:val="sr-Latn-ME"/>
              </w:rPr>
              <w:t xml:space="preserve"> intravenski u dozi od 75 </w:t>
            </w:r>
            <w:r w:rsidR="00C404C5" w:rsidRPr="0016092F">
              <w:rPr>
                <w:noProof/>
                <w:sz w:val="22"/>
                <w:szCs w:val="22"/>
                <w:lang w:val="sr-Latn-ME"/>
              </w:rPr>
              <w:t>i.j.</w:t>
            </w:r>
            <w:r w:rsidRPr="0016092F">
              <w:rPr>
                <w:noProof/>
                <w:sz w:val="22"/>
                <w:szCs w:val="22"/>
                <w:lang w:val="sr-Latn-ME"/>
              </w:rPr>
              <w:t>kg/</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eljno</w:t>
            </w:r>
            <w:r w:rsidRPr="0016092F">
              <w:rPr>
                <w:noProof/>
                <w:sz w:val="22"/>
                <w:szCs w:val="22"/>
                <w:lang w:val="sr-Latn-ME"/>
              </w:rPr>
              <w:t xml:space="preserve"> pod</w:t>
            </w:r>
            <w:r w:rsidR="002C6A3C" w:rsidRPr="0016092F">
              <w:rPr>
                <w:noProof/>
                <w:sz w:val="22"/>
                <w:szCs w:val="22"/>
                <w:lang w:val="sr-Latn-ME"/>
              </w:rPr>
              <w:t>ij</w:t>
            </w:r>
            <w:r w:rsidRPr="0016092F">
              <w:rPr>
                <w:noProof/>
                <w:sz w:val="22"/>
                <w:szCs w:val="22"/>
                <w:lang w:val="sr-Latn-ME"/>
              </w:rPr>
              <w:t xml:space="preserve">eljeno u 2 ili 3 doze nakon dijalize i titrirano od po 75 </w:t>
            </w:r>
            <w:r w:rsidR="00C404C5" w:rsidRPr="0016092F">
              <w:rPr>
                <w:noProof/>
                <w:sz w:val="22"/>
                <w:szCs w:val="22"/>
                <w:lang w:val="sr-Latn-ME"/>
              </w:rPr>
              <w:t>i.j.</w:t>
            </w:r>
            <w:r w:rsidRPr="0016092F">
              <w:rPr>
                <w:noProof/>
                <w:sz w:val="22"/>
                <w:szCs w:val="22"/>
                <w:lang w:val="sr-Latn-ME"/>
              </w:rPr>
              <w:t>/kg/</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eljno</w:t>
            </w:r>
            <w:r w:rsidRPr="0016092F">
              <w:rPr>
                <w:noProof/>
                <w:sz w:val="22"/>
                <w:szCs w:val="22"/>
                <w:lang w:val="sr-Latn-ME"/>
              </w:rPr>
              <w:t xml:space="preserve"> u intervalima od 4 </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elje</w:t>
            </w:r>
            <w:r w:rsidRPr="0016092F">
              <w:rPr>
                <w:noProof/>
                <w:sz w:val="22"/>
                <w:szCs w:val="22"/>
                <w:lang w:val="sr-Latn-ME"/>
              </w:rPr>
              <w:t xml:space="preserve"> (do najviše 300 </w:t>
            </w:r>
            <w:r w:rsidR="00C404C5" w:rsidRPr="0016092F">
              <w:rPr>
                <w:noProof/>
                <w:sz w:val="22"/>
                <w:szCs w:val="22"/>
                <w:lang w:val="sr-Latn-ME"/>
              </w:rPr>
              <w:t>i.j.</w:t>
            </w:r>
            <w:r w:rsidRPr="0016092F">
              <w:rPr>
                <w:noProof/>
                <w:sz w:val="22"/>
                <w:szCs w:val="22"/>
                <w:lang w:val="sr-Latn-ME"/>
              </w:rPr>
              <w:t>/kg/</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eljno</w:t>
            </w:r>
            <w:r w:rsidRPr="0016092F">
              <w:rPr>
                <w:noProof/>
                <w:sz w:val="22"/>
                <w:szCs w:val="22"/>
                <w:lang w:val="sr-Latn-ME"/>
              </w:rPr>
              <w:t>) kako bi se postigao</w:t>
            </w:r>
            <w:r w:rsidR="00C404C5" w:rsidRPr="0016092F">
              <w:rPr>
                <w:noProof/>
                <w:sz w:val="22"/>
                <w:szCs w:val="22"/>
                <w:lang w:val="sr-Latn-ME"/>
              </w:rPr>
              <w:t xml:space="preserve"> porast hemoglobina od 1 g/dl/m</w:t>
            </w:r>
            <w:r w:rsidR="002C6A3C" w:rsidRPr="0016092F">
              <w:rPr>
                <w:noProof/>
                <w:sz w:val="22"/>
                <w:szCs w:val="22"/>
                <w:lang w:val="sr-Latn-ME"/>
              </w:rPr>
              <w:t>j</w:t>
            </w:r>
            <w:r w:rsidRPr="0016092F">
              <w:rPr>
                <w:noProof/>
                <w:sz w:val="22"/>
                <w:szCs w:val="22"/>
                <w:lang w:val="sr-Latn-ME"/>
              </w:rPr>
              <w:t xml:space="preserve">esečno. Željeni raspon koncentracije hemoglobina bio je 9,6 do 11,2 g/dl. Osamdeset i jedan posto </w:t>
            </w:r>
            <w:r w:rsidR="00C404C5" w:rsidRPr="0016092F">
              <w:rPr>
                <w:noProof/>
                <w:sz w:val="22"/>
                <w:szCs w:val="22"/>
                <w:lang w:val="sr-Latn-ME"/>
              </w:rPr>
              <w:t>pacijenata</w:t>
            </w:r>
            <w:r w:rsidRPr="0016092F">
              <w:rPr>
                <w:noProof/>
                <w:sz w:val="22"/>
                <w:szCs w:val="22"/>
                <w:lang w:val="sr-Latn-ME"/>
              </w:rPr>
              <w:t xml:space="preserve"> postigao je </w:t>
            </w:r>
            <w:r w:rsidR="00C404C5" w:rsidRPr="0016092F">
              <w:rPr>
                <w:noProof/>
                <w:sz w:val="22"/>
                <w:szCs w:val="22"/>
                <w:lang w:val="sr-Latn-ME"/>
              </w:rPr>
              <w:t>vr</w:t>
            </w:r>
            <w:r w:rsidR="002C6A3C" w:rsidRPr="0016092F">
              <w:rPr>
                <w:noProof/>
                <w:sz w:val="22"/>
                <w:szCs w:val="22"/>
                <w:lang w:val="sr-Latn-ME"/>
              </w:rPr>
              <w:t>ij</w:t>
            </w:r>
            <w:r w:rsidR="00C404C5" w:rsidRPr="0016092F">
              <w:rPr>
                <w:noProof/>
                <w:sz w:val="22"/>
                <w:szCs w:val="22"/>
                <w:lang w:val="sr-Latn-ME"/>
              </w:rPr>
              <w:t>ednosti</w:t>
            </w:r>
            <w:r w:rsidRPr="0016092F">
              <w:rPr>
                <w:noProof/>
                <w:sz w:val="22"/>
                <w:szCs w:val="22"/>
                <w:lang w:val="sr-Latn-ME"/>
              </w:rPr>
              <w:t xml:space="preserve"> koncentracije hemoglobina. </w:t>
            </w:r>
            <w:r w:rsidR="00C404C5" w:rsidRPr="0016092F">
              <w:rPr>
                <w:noProof/>
                <w:sz w:val="22"/>
                <w:szCs w:val="22"/>
                <w:lang w:val="sr-Latn-ME"/>
              </w:rPr>
              <w:t>Srednje vr</w:t>
            </w:r>
            <w:r w:rsidR="002C6A3C" w:rsidRPr="0016092F">
              <w:rPr>
                <w:noProof/>
                <w:sz w:val="22"/>
                <w:szCs w:val="22"/>
                <w:lang w:val="sr-Latn-ME"/>
              </w:rPr>
              <w:t>ij</w:t>
            </w:r>
            <w:r w:rsidR="00C404C5" w:rsidRPr="0016092F">
              <w:rPr>
                <w:noProof/>
                <w:sz w:val="22"/>
                <w:szCs w:val="22"/>
                <w:lang w:val="sr-Latn-ME"/>
              </w:rPr>
              <w:t>eme do postizanja ciljne vr</w:t>
            </w:r>
            <w:r w:rsidR="002C6A3C" w:rsidRPr="0016092F">
              <w:rPr>
                <w:noProof/>
                <w:sz w:val="22"/>
                <w:szCs w:val="22"/>
                <w:lang w:val="sr-Latn-ME"/>
              </w:rPr>
              <w:t>ij</w:t>
            </w:r>
            <w:r w:rsidRPr="0016092F">
              <w:rPr>
                <w:noProof/>
                <w:sz w:val="22"/>
                <w:szCs w:val="22"/>
                <w:lang w:val="sr-Latn-ME"/>
              </w:rPr>
              <w:t xml:space="preserve">ednosti bio je 11 </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elja</w:t>
            </w:r>
            <w:r w:rsidRPr="0016092F">
              <w:rPr>
                <w:noProof/>
                <w:sz w:val="22"/>
                <w:szCs w:val="22"/>
                <w:lang w:val="sr-Latn-ME"/>
              </w:rPr>
              <w:t xml:space="preserve">, </w:t>
            </w:r>
            <w:r w:rsidR="00C404C5" w:rsidRPr="0016092F">
              <w:rPr>
                <w:noProof/>
                <w:sz w:val="22"/>
                <w:szCs w:val="22"/>
                <w:lang w:val="sr-Latn-ME"/>
              </w:rPr>
              <w:t>srednja doza</w:t>
            </w:r>
            <w:r w:rsidRPr="0016092F">
              <w:rPr>
                <w:noProof/>
                <w:sz w:val="22"/>
                <w:szCs w:val="22"/>
                <w:lang w:val="sr-Latn-ME"/>
              </w:rPr>
              <w:t xml:space="preserve"> pri tome je bio 150 </w:t>
            </w:r>
            <w:r w:rsidR="00C404C5" w:rsidRPr="0016092F">
              <w:rPr>
                <w:noProof/>
                <w:sz w:val="22"/>
                <w:szCs w:val="22"/>
                <w:lang w:val="sr-Latn-ME"/>
              </w:rPr>
              <w:t>i.j./kg/ned</w:t>
            </w:r>
            <w:r w:rsidR="002C6A3C" w:rsidRPr="0016092F">
              <w:rPr>
                <w:noProof/>
                <w:sz w:val="22"/>
                <w:szCs w:val="22"/>
                <w:lang w:val="sr-Latn-ME"/>
              </w:rPr>
              <w:t>j</w:t>
            </w:r>
            <w:r w:rsidR="00C404C5" w:rsidRPr="0016092F">
              <w:rPr>
                <w:noProof/>
                <w:sz w:val="22"/>
                <w:szCs w:val="22"/>
                <w:lang w:val="sr-Latn-ME"/>
              </w:rPr>
              <w:t>eljno</w:t>
            </w:r>
            <w:r w:rsidRPr="0016092F">
              <w:rPr>
                <w:noProof/>
                <w:sz w:val="22"/>
                <w:szCs w:val="22"/>
                <w:lang w:val="sr-Latn-ME"/>
              </w:rPr>
              <w:t xml:space="preserve">. Od </w:t>
            </w:r>
            <w:r w:rsidR="00C404C5" w:rsidRPr="0016092F">
              <w:rPr>
                <w:noProof/>
                <w:sz w:val="22"/>
                <w:szCs w:val="22"/>
                <w:lang w:val="sr-Latn-ME"/>
              </w:rPr>
              <w:t>pacijenata koji su postigli ciljnu vr</w:t>
            </w:r>
            <w:r w:rsidR="002C6A3C" w:rsidRPr="0016092F">
              <w:rPr>
                <w:noProof/>
                <w:sz w:val="22"/>
                <w:szCs w:val="22"/>
                <w:lang w:val="sr-Latn-ME"/>
              </w:rPr>
              <w:t>ij</w:t>
            </w:r>
            <w:r w:rsidRPr="0016092F">
              <w:rPr>
                <w:noProof/>
                <w:sz w:val="22"/>
                <w:szCs w:val="22"/>
                <w:lang w:val="sr-Latn-ME"/>
              </w:rPr>
              <w:t xml:space="preserve">ednost, 90 % njih ju je postiglo pri režimu doziranja 3 puta </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eljno</w:t>
            </w:r>
            <w:r w:rsidRPr="0016092F">
              <w:rPr>
                <w:noProof/>
                <w:sz w:val="22"/>
                <w:szCs w:val="22"/>
                <w:lang w:val="sr-Latn-ME"/>
              </w:rPr>
              <w:t xml:space="preserve">. </w:t>
            </w:r>
          </w:p>
          <w:p w:rsidR="00C404C5" w:rsidRPr="0016092F" w:rsidRDefault="00C404C5" w:rsidP="006F146B">
            <w:pPr>
              <w:pStyle w:val="Default"/>
              <w:jc w:val="both"/>
              <w:rPr>
                <w:noProof/>
                <w:sz w:val="22"/>
                <w:szCs w:val="22"/>
                <w:lang w:val="sr-Latn-ME"/>
              </w:rPr>
            </w:pPr>
          </w:p>
          <w:p w:rsidR="00B405D6" w:rsidRPr="0016092F" w:rsidRDefault="000825BD" w:rsidP="006F146B">
            <w:pPr>
              <w:pStyle w:val="Default"/>
              <w:jc w:val="both"/>
              <w:rPr>
                <w:noProof/>
                <w:sz w:val="22"/>
                <w:szCs w:val="22"/>
                <w:lang w:val="sr-Latn-ME"/>
              </w:rPr>
            </w:pPr>
            <w:r w:rsidRPr="0016092F">
              <w:rPr>
                <w:noProof/>
                <w:sz w:val="22"/>
                <w:szCs w:val="22"/>
                <w:lang w:val="sr-Latn-ME"/>
              </w:rPr>
              <w:t xml:space="preserve">Nakon 52 </w:t>
            </w:r>
            <w:r w:rsidR="00C404C5" w:rsidRPr="0016092F">
              <w:rPr>
                <w:noProof/>
                <w:sz w:val="22"/>
                <w:szCs w:val="22"/>
                <w:lang w:val="sr-Latn-ME"/>
              </w:rPr>
              <w:t>ned</w:t>
            </w:r>
            <w:r w:rsidR="002C6A3C" w:rsidRPr="0016092F">
              <w:rPr>
                <w:noProof/>
                <w:sz w:val="22"/>
                <w:szCs w:val="22"/>
                <w:lang w:val="sr-Latn-ME"/>
              </w:rPr>
              <w:t>j</w:t>
            </w:r>
            <w:r w:rsidR="00C404C5" w:rsidRPr="0016092F">
              <w:rPr>
                <w:noProof/>
                <w:sz w:val="22"/>
                <w:szCs w:val="22"/>
                <w:lang w:val="sr-Latn-ME"/>
              </w:rPr>
              <w:t>elje</w:t>
            </w:r>
            <w:r w:rsidRPr="0016092F">
              <w:rPr>
                <w:noProof/>
                <w:sz w:val="22"/>
                <w:szCs w:val="22"/>
                <w:lang w:val="sr-Latn-ME"/>
              </w:rPr>
              <w:t xml:space="preserve">, 57 % </w:t>
            </w:r>
            <w:r w:rsidR="00C404C5" w:rsidRPr="0016092F">
              <w:rPr>
                <w:noProof/>
                <w:sz w:val="22"/>
                <w:szCs w:val="22"/>
                <w:lang w:val="sr-Latn-ME"/>
              </w:rPr>
              <w:t>pacijenata</w:t>
            </w:r>
            <w:r w:rsidRPr="0016092F">
              <w:rPr>
                <w:noProof/>
                <w:sz w:val="22"/>
                <w:szCs w:val="22"/>
                <w:lang w:val="sr-Latn-ME"/>
              </w:rPr>
              <w:t xml:space="preserve"> ostalo je u ispitivanju, a </w:t>
            </w:r>
            <w:r w:rsidR="00C404C5" w:rsidRPr="0016092F">
              <w:rPr>
                <w:noProof/>
                <w:sz w:val="22"/>
                <w:szCs w:val="22"/>
                <w:lang w:val="sr-Latn-ME"/>
              </w:rPr>
              <w:t>srednja doza</w:t>
            </w:r>
            <w:r w:rsidRPr="0016092F">
              <w:rPr>
                <w:noProof/>
                <w:sz w:val="22"/>
                <w:szCs w:val="22"/>
                <w:lang w:val="sr-Latn-ME"/>
              </w:rPr>
              <w:t xml:space="preserve"> koju su primali bio je 200 </w:t>
            </w:r>
            <w:r w:rsidR="00C404C5" w:rsidRPr="0016092F">
              <w:rPr>
                <w:noProof/>
                <w:sz w:val="22"/>
                <w:szCs w:val="22"/>
                <w:lang w:val="sr-Latn-ME"/>
              </w:rPr>
              <w:t>i.j./kg/ned</w:t>
            </w:r>
            <w:r w:rsidR="002C6A3C" w:rsidRPr="0016092F">
              <w:rPr>
                <w:noProof/>
                <w:sz w:val="22"/>
                <w:szCs w:val="22"/>
                <w:lang w:val="sr-Latn-ME"/>
              </w:rPr>
              <w:t>j</w:t>
            </w:r>
            <w:r w:rsidR="00C404C5" w:rsidRPr="0016092F">
              <w:rPr>
                <w:noProof/>
                <w:sz w:val="22"/>
                <w:szCs w:val="22"/>
                <w:lang w:val="sr-Latn-ME"/>
              </w:rPr>
              <w:t>eljn</w:t>
            </w:r>
            <w:r w:rsidRPr="0016092F">
              <w:rPr>
                <w:noProof/>
                <w:sz w:val="22"/>
                <w:szCs w:val="22"/>
                <w:lang w:val="sr-Latn-ME"/>
              </w:rPr>
              <w:t xml:space="preserve">o. </w:t>
            </w:r>
          </w:p>
        </w:tc>
      </w:tr>
      <w:tr w:rsidR="00834DBB" w:rsidRPr="0016092F" w:rsidTr="006F146B">
        <w:tc>
          <w:tcPr>
            <w:tcW w:w="5000" w:type="pct"/>
            <w:gridSpan w:val="4"/>
            <w:vAlign w:val="center"/>
          </w:tcPr>
          <w:p w:rsidR="00834DB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lastRenderedPageBreak/>
              <w:t>5.2. Farmakokinetički podaci</w:t>
            </w:r>
          </w:p>
        </w:tc>
      </w:tr>
      <w:tr w:rsidR="00834DBB" w:rsidRPr="0016092F" w:rsidTr="006F146B">
        <w:trPr>
          <w:trHeight w:val="1145"/>
        </w:trPr>
        <w:tc>
          <w:tcPr>
            <w:tcW w:w="5000" w:type="pct"/>
            <w:gridSpan w:val="4"/>
            <w:vAlign w:val="center"/>
          </w:tcPr>
          <w:p w:rsidR="006F146B" w:rsidRPr="0016092F" w:rsidRDefault="006F146B" w:rsidP="006F146B">
            <w:pPr>
              <w:pStyle w:val="Header"/>
              <w:tabs>
                <w:tab w:val="clear" w:pos="4536"/>
                <w:tab w:val="clear" w:pos="9072"/>
                <w:tab w:val="left" w:pos="284"/>
              </w:tabs>
              <w:rPr>
                <w:rFonts w:ascii="Times New Roman" w:hAnsi="Times New Roman"/>
                <w:sz w:val="22"/>
                <w:szCs w:val="22"/>
                <w:u w:val="single"/>
              </w:rPr>
            </w:pPr>
          </w:p>
          <w:p w:rsidR="00F24279" w:rsidRPr="0016092F" w:rsidRDefault="00F24279"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Resorpcija</w:t>
            </w:r>
          </w:p>
          <w:p w:rsidR="00D94F38" w:rsidRPr="0016092F" w:rsidRDefault="00D94F38"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Nakon supkutane injekcije, serumske vr</w:t>
            </w:r>
            <w:r w:rsidR="002C6A3C" w:rsidRPr="0016092F">
              <w:rPr>
                <w:rFonts w:ascii="Times New Roman" w:hAnsi="Times New Roman"/>
                <w:sz w:val="22"/>
                <w:szCs w:val="22"/>
              </w:rPr>
              <w:t>ij</w:t>
            </w:r>
            <w:r w:rsidRPr="0016092F">
              <w:rPr>
                <w:rFonts w:ascii="Times New Roman" w:hAnsi="Times New Roman"/>
                <w:sz w:val="22"/>
                <w:szCs w:val="22"/>
              </w:rPr>
              <w:t>ednosti epoetina alfa dostižu maksimalnu vr</w:t>
            </w:r>
            <w:r w:rsidR="002C6A3C" w:rsidRPr="0016092F">
              <w:rPr>
                <w:rFonts w:ascii="Times New Roman" w:hAnsi="Times New Roman"/>
                <w:sz w:val="22"/>
                <w:szCs w:val="22"/>
              </w:rPr>
              <w:t>ij</w:t>
            </w:r>
            <w:r w:rsidRPr="0016092F">
              <w:rPr>
                <w:rFonts w:ascii="Times New Roman" w:hAnsi="Times New Roman"/>
                <w:sz w:val="22"/>
                <w:szCs w:val="22"/>
              </w:rPr>
              <w:t>ednost 12 do 18 sati nakon prim</w:t>
            </w:r>
            <w:r w:rsidR="002C6A3C" w:rsidRPr="0016092F">
              <w:rPr>
                <w:rFonts w:ascii="Times New Roman" w:hAnsi="Times New Roman"/>
                <w:sz w:val="22"/>
                <w:szCs w:val="22"/>
              </w:rPr>
              <w:t>j</w:t>
            </w:r>
            <w:r w:rsidRPr="0016092F">
              <w:rPr>
                <w:rFonts w:ascii="Times New Roman" w:hAnsi="Times New Roman"/>
                <w:sz w:val="22"/>
                <w:szCs w:val="22"/>
              </w:rPr>
              <w:t>ene doze. Nije bilo nakupljanja nakon supkutane prim</w:t>
            </w:r>
            <w:r w:rsidR="002C6A3C" w:rsidRPr="0016092F">
              <w:rPr>
                <w:rFonts w:ascii="Times New Roman" w:hAnsi="Times New Roman"/>
                <w:sz w:val="22"/>
                <w:szCs w:val="22"/>
              </w:rPr>
              <w:t>j</w:t>
            </w:r>
            <w:r w:rsidRPr="0016092F">
              <w:rPr>
                <w:rFonts w:ascii="Times New Roman" w:hAnsi="Times New Roman"/>
                <w:sz w:val="22"/>
                <w:szCs w:val="22"/>
              </w:rPr>
              <w:t>ene višestrukih doza od 600 i.j./kg ned</w:t>
            </w:r>
            <w:r w:rsidR="002C6A3C" w:rsidRPr="0016092F">
              <w:rPr>
                <w:rFonts w:ascii="Times New Roman" w:hAnsi="Times New Roman"/>
                <w:sz w:val="22"/>
                <w:szCs w:val="22"/>
              </w:rPr>
              <w:t>j</w:t>
            </w:r>
            <w:r w:rsidRPr="0016092F">
              <w:rPr>
                <w:rFonts w:ascii="Times New Roman" w:hAnsi="Times New Roman"/>
                <w:sz w:val="22"/>
                <w:szCs w:val="22"/>
              </w:rPr>
              <w:t>eljno.</w:t>
            </w:r>
          </w:p>
          <w:p w:rsidR="00D94F38" w:rsidRPr="0016092F" w:rsidRDefault="00D94F38" w:rsidP="006F146B">
            <w:pPr>
              <w:pStyle w:val="Header"/>
              <w:tabs>
                <w:tab w:val="clear" w:pos="4536"/>
                <w:tab w:val="clear" w:pos="9072"/>
                <w:tab w:val="left" w:pos="284"/>
              </w:tabs>
              <w:rPr>
                <w:rFonts w:ascii="Times New Roman" w:hAnsi="Times New Roman"/>
                <w:sz w:val="22"/>
                <w:szCs w:val="22"/>
              </w:rPr>
            </w:pPr>
          </w:p>
          <w:p w:rsidR="00F24279" w:rsidRPr="0016092F" w:rsidRDefault="00F24279"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Bioraspoloživost </w:t>
            </w:r>
            <w:r w:rsidR="00D94F38" w:rsidRPr="0016092F">
              <w:rPr>
                <w:rFonts w:ascii="Times New Roman" w:hAnsi="Times New Roman"/>
                <w:sz w:val="22"/>
                <w:szCs w:val="22"/>
              </w:rPr>
              <w:t xml:space="preserve">supkutano </w:t>
            </w:r>
            <w:r w:rsidRPr="0016092F">
              <w:rPr>
                <w:rFonts w:ascii="Times New Roman" w:hAnsi="Times New Roman"/>
                <w:sz w:val="22"/>
                <w:szCs w:val="22"/>
              </w:rPr>
              <w:t>prim</w:t>
            </w:r>
            <w:r w:rsidR="002C6A3C" w:rsidRPr="0016092F">
              <w:rPr>
                <w:rFonts w:ascii="Times New Roman" w:hAnsi="Times New Roman"/>
                <w:sz w:val="22"/>
                <w:szCs w:val="22"/>
              </w:rPr>
              <w:t>ij</w:t>
            </w:r>
            <w:r w:rsidRPr="0016092F">
              <w:rPr>
                <w:rFonts w:ascii="Times New Roman" w:hAnsi="Times New Roman"/>
                <w:sz w:val="22"/>
                <w:szCs w:val="22"/>
              </w:rPr>
              <w:t xml:space="preserve">enjenog epoetina alfa </w:t>
            </w:r>
            <w:r w:rsidR="00D94F38" w:rsidRPr="0016092F">
              <w:rPr>
                <w:rFonts w:ascii="Times New Roman" w:hAnsi="Times New Roman"/>
                <w:sz w:val="22"/>
                <w:szCs w:val="22"/>
              </w:rPr>
              <w:t xml:space="preserve">kod zdravih dobrovoljaca </w:t>
            </w:r>
            <w:r w:rsidRPr="0016092F">
              <w:rPr>
                <w:rFonts w:ascii="Times New Roman" w:hAnsi="Times New Roman"/>
                <w:sz w:val="22"/>
                <w:szCs w:val="22"/>
              </w:rPr>
              <w:t>je u pros</w:t>
            </w:r>
            <w:r w:rsidR="002C6A3C" w:rsidRPr="0016092F">
              <w:rPr>
                <w:rFonts w:ascii="Times New Roman" w:hAnsi="Times New Roman"/>
                <w:sz w:val="22"/>
                <w:szCs w:val="22"/>
              </w:rPr>
              <w:t>j</w:t>
            </w:r>
            <w:r w:rsidRPr="0016092F">
              <w:rPr>
                <w:rFonts w:ascii="Times New Roman" w:hAnsi="Times New Roman"/>
                <w:sz w:val="22"/>
                <w:szCs w:val="22"/>
              </w:rPr>
              <w:t>eku 20%.</w:t>
            </w:r>
          </w:p>
          <w:p w:rsidR="00D94F38" w:rsidRPr="0016092F" w:rsidRDefault="00D94F38" w:rsidP="006F146B">
            <w:pPr>
              <w:pStyle w:val="Header"/>
              <w:tabs>
                <w:tab w:val="clear" w:pos="4536"/>
                <w:tab w:val="clear" w:pos="9072"/>
                <w:tab w:val="left" w:pos="284"/>
              </w:tabs>
              <w:rPr>
                <w:rFonts w:ascii="Times New Roman" w:hAnsi="Times New Roman"/>
                <w:sz w:val="22"/>
                <w:szCs w:val="22"/>
              </w:rPr>
            </w:pPr>
          </w:p>
          <w:p w:rsidR="00D94F38" w:rsidRPr="0016092F" w:rsidRDefault="00D94F38"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Distribucija</w:t>
            </w:r>
          </w:p>
          <w:p w:rsidR="00D94F38" w:rsidRPr="0016092F" w:rsidRDefault="00D94F38"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Srednja vr</w:t>
            </w:r>
            <w:r w:rsidR="00D34772" w:rsidRPr="0016092F">
              <w:rPr>
                <w:rFonts w:ascii="Times New Roman" w:hAnsi="Times New Roman"/>
                <w:sz w:val="22"/>
                <w:szCs w:val="22"/>
              </w:rPr>
              <w:t>ij</w:t>
            </w:r>
            <w:r w:rsidRPr="0016092F">
              <w:rPr>
                <w:rFonts w:ascii="Times New Roman" w:hAnsi="Times New Roman"/>
                <w:sz w:val="22"/>
                <w:szCs w:val="22"/>
              </w:rPr>
              <w:t>ednost volumena distribucije bila je 49,3 ml/kg nakon intravenske doze od 50 i 100 i.j./kg kod zdravih ispitanika. Nakon intravenske prim</w:t>
            </w:r>
            <w:r w:rsidR="00D34772" w:rsidRPr="0016092F">
              <w:rPr>
                <w:rFonts w:ascii="Times New Roman" w:hAnsi="Times New Roman"/>
                <w:sz w:val="22"/>
                <w:szCs w:val="22"/>
              </w:rPr>
              <w:t>j</w:t>
            </w:r>
            <w:r w:rsidRPr="0016092F">
              <w:rPr>
                <w:rFonts w:ascii="Times New Roman" w:hAnsi="Times New Roman"/>
                <w:sz w:val="22"/>
                <w:szCs w:val="22"/>
              </w:rPr>
              <w:t>ene epoetina alfa kod pacijenata sa hroničnom insuficijencijom bubrega, volumen distribucije je bio u rasponu 57-107 ml/kg nakon jednokratne doze (12 i.j./kg), odnosno 42-64 ml/kg nakon višestrukih doza (48-192 i.j./kg). Prema tome, volumen distribucije je malo veći od volumena plazme.</w:t>
            </w:r>
          </w:p>
          <w:p w:rsidR="00F24279" w:rsidRPr="0016092F" w:rsidRDefault="00F24279" w:rsidP="006F146B">
            <w:pPr>
              <w:pStyle w:val="Header"/>
              <w:tabs>
                <w:tab w:val="clear" w:pos="4536"/>
                <w:tab w:val="clear" w:pos="9072"/>
                <w:tab w:val="left" w:pos="284"/>
              </w:tabs>
              <w:rPr>
                <w:rFonts w:ascii="Times New Roman" w:hAnsi="Times New Roman"/>
                <w:sz w:val="22"/>
                <w:szCs w:val="22"/>
                <w:u w:val="single"/>
              </w:rPr>
            </w:pPr>
          </w:p>
          <w:p w:rsidR="00F24279" w:rsidRPr="0016092F" w:rsidRDefault="00F24279"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Eliminacija</w:t>
            </w:r>
          </w:p>
          <w:p w:rsidR="00830CBA" w:rsidRPr="0016092F" w:rsidRDefault="00830CBA" w:rsidP="006F146B">
            <w:pPr>
              <w:pStyle w:val="Header"/>
              <w:tabs>
                <w:tab w:val="clear" w:pos="4536"/>
                <w:tab w:val="clear" w:pos="9072"/>
                <w:tab w:val="left" w:pos="284"/>
              </w:tabs>
              <w:rPr>
                <w:rFonts w:ascii="Times New Roman" w:hAnsi="Times New Roman"/>
                <w:sz w:val="22"/>
                <w:szCs w:val="22"/>
              </w:rPr>
            </w:pPr>
          </w:p>
          <w:p w:rsidR="00830CBA" w:rsidRPr="0016092F" w:rsidRDefault="00830CBA" w:rsidP="006F146B">
            <w:pPr>
              <w:pStyle w:val="Default"/>
              <w:jc w:val="both"/>
              <w:rPr>
                <w:noProof/>
                <w:sz w:val="22"/>
                <w:szCs w:val="22"/>
                <w:lang w:val="sr-Latn-ME"/>
              </w:rPr>
            </w:pPr>
            <w:r w:rsidRPr="0016092F">
              <w:rPr>
                <w:noProof/>
                <w:sz w:val="22"/>
                <w:szCs w:val="22"/>
                <w:lang w:val="sr-Latn-ME"/>
              </w:rPr>
              <w:t>Poluvr</w:t>
            </w:r>
            <w:r w:rsidR="00D34772" w:rsidRPr="0016092F">
              <w:rPr>
                <w:noProof/>
                <w:sz w:val="22"/>
                <w:szCs w:val="22"/>
                <w:lang w:val="sr-Latn-ME"/>
              </w:rPr>
              <w:t>ij</w:t>
            </w:r>
            <w:r w:rsidRPr="0016092F">
              <w:rPr>
                <w:noProof/>
                <w:sz w:val="22"/>
                <w:szCs w:val="22"/>
                <w:lang w:val="sr-Latn-ME"/>
              </w:rPr>
              <w:t>eme eliminacije epoetina alfa nakon intravenske prim</w:t>
            </w:r>
            <w:r w:rsidR="00D34772" w:rsidRPr="0016092F">
              <w:rPr>
                <w:noProof/>
                <w:sz w:val="22"/>
                <w:szCs w:val="22"/>
                <w:lang w:val="sr-Latn-ME"/>
              </w:rPr>
              <w:t>j</w:t>
            </w:r>
            <w:r w:rsidRPr="0016092F">
              <w:rPr>
                <w:noProof/>
                <w:sz w:val="22"/>
                <w:szCs w:val="22"/>
                <w:lang w:val="sr-Latn-ME"/>
              </w:rPr>
              <w:t xml:space="preserve">ene višestruke doze je približno 4 sata kod zdravih ispitanika. </w:t>
            </w:r>
          </w:p>
          <w:p w:rsidR="00830CBA" w:rsidRPr="0016092F" w:rsidRDefault="00830CBA" w:rsidP="006F146B">
            <w:pPr>
              <w:pStyle w:val="Default"/>
              <w:jc w:val="both"/>
              <w:rPr>
                <w:noProof/>
                <w:sz w:val="22"/>
                <w:szCs w:val="22"/>
                <w:lang w:val="sr-Latn-ME"/>
              </w:rPr>
            </w:pPr>
            <w:r w:rsidRPr="0016092F">
              <w:rPr>
                <w:noProof/>
                <w:sz w:val="22"/>
                <w:szCs w:val="22"/>
                <w:lang w:val="sr-Latn-ME"/>
              </w:rPr>
              <w:t>Poluvr</w:t>
            </w:r>
            <w:r w:rsidR="00D34772" w:rsidRPr="0016092F">
              <w:rPr>
                <w:noProof/>
                <w:sz w:val="22"/>
                <w:szCs w:val="22"/>
                <w:lang w:val="sr-Latn-ME"/>
              </w:rPr>
              <w:t>ij</w:t>
            </w:r>
            <w:r w:rsidRPr="0016092F">
              <w:rPr>
                <w:noProof/>
                <w:sz w:val="22"/>
                <w:szCs w:val="22"/>
                <w:lang w:val="sr-Latn-ME"/>
              </w:rPr>
              <w:t>eme eliminacije kod supkutanog puta prim</w:t>
            </w:r>
            <w:r w:rsidR="00D34772" w:rsidRPr="0016092F">
              <w:rPr>
                <w:noProof/>
                <w:sz w:val="22"/>
                <w:szCs w:val="22"/>
                <w:lang w:val="sr-Latn-ME"/>
              </w:rPr>
              <w:t>j</w:t>
            </w:r>
            <w:r w:rsidRPr="0016092F">
              <w:rPr>
                <w:noProof/>
                <w:sz w:val="22"/>
                <w:szCs w:val="22"/>
                <w:lang w:val="sr-Latn-ME"/>
              </w:rPr>
              <w:t>ene proc</w:t>
            </w:r>
            <w:r w:rsidR="00D34772" w:rsidRPr="0016092F">
              <w:rPr>
                <w:noProof/>
                <w:sz w:val="22"/>
                <w:szCs w:val="22"/>
                <w:lang w:val="sr-Latn-ME"/>
              </w:rPr>
              <w:t>j</w:t>
            </w:r>
            <w:r w:rsidRPr="0016092F">
              <w:rPr>
                <w:noProof/>
                <w:sz w:val="22"/>
                <w:szCs w:val="22"/>
                <w:lang w:val="sr-Latn-ME"/>
              </w:rPr>
              <w:t>enjuje se na približno 24 sata kod zdravih ispitanika.</w:t>
            </w:r>
          </w:p>
          <w:p w:rsidR="00830CBA" w:rsidRPr="0016092F" w:rsidRDefault="00830CBA" w:rsidP="006F146B">
            <w:pPr>
              <w:pStyle w:val="Default"/>
              <w:jc w:val="both"/>
              <w:rPr>
                <w:noProof/>
                <w:sz w:val="22"/>
                <w:szCs w:val="22"/>
                <w:lang w:val="sr-Latn-ME"/>
              </w:rPr>
            </w:pPr>
            <w:r w:rsidRPr="0016092F">
              <w:rPr>
                <w:noProof/>
                <w:sz w:val="22"/>
                <w:szCs w:val="22"/>
                <w:lang w:val="sr-Latn-ME"/>
              </w:rPr>
              <w:t xml:space="preserve"> </w:t>
            </w:r>
          </w:p>
          <w:p w:rsidR="00830CBA" w:rsidRPr="0016092F" w:rsidRDefault="00830CB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Srednja vr</w:t>
            </w:r>
            <w:r w:rsidR="00D34772" w:rsidRPr="0016092F">
              <w:rPr>
                <w:rFonts w:ascii="Times New Roman" w:hAnsi="Times New Roman"/>
                <w:sz w:val="22"/>
                <w:szCs w:val="22"/>
              </w:rPr>
              <w:t>ij</w:t>
            </w:r>
            <w:r w:rsidRPr="0016092F">
              <w:rPr>
                <w:rFonts w:ascii="Times New Roman" w:hAnsi="Times New Roman"/>
                <w:sz w:val="22"/>
                <w:szCs w:val="22"/>
              </w:rPr>
              <w:t>ednost oralnog klirensa (CL/F) kod zdravih ispitanika za režim doziranja od 150 i.j./kg 3 puta ned</w:t>
            </w:r>
            <w:r w:rsidR="00D34772" w:rsidRPr="0016092F">
              <w:rPr>
                <w:rFonts w:ascii="Times New Roman" w:hAnsi="Times New Roman"/>
                <w:sz w:val="22"/>
                <w:szCs w:val="22"/>
              </w:rPr>
              <w:t>j</w:t>
            </w:r>
            <w:r w:rsidRPr="0016092F">
              <w:rPr>
                <w:rFonts w:ascii="Times New Roman" w:hAnsi="Times New Roman"/>
                <w:sz w:val="22"/>
                <w:szCs w:val="22"/>
              </w:rPr>
              <w:t>eljno bila je 31,2 ml/h/kg, a za 40 000 i.j.  jednom ned</w:t>
            </w:r>
            <w:r w:rsidR="00D34772" w:rsidRPr="0016092F">
              <w:rPr>
                <w:rFonts w:ascii="Times New Roman" w:hAnsi="Times New Roman"/>
                <w:sz w:val="22"/>
                <w:szCs w:val="22"/>
              </w:rPr>
              <w:t>j</w:t>
            </w:r>
            <w:r w:rsidRPr="0016092F">
              <w:rPr>
                <w:rFonts w:ascii="Times New Roman" w:hAnsi="Times New Roman"/>
                <w:sz w:val="22"/>
                <w:szCs w:val="22"/>
              </w:rPr>
              <w:t>eljno 12,6 ml/h/kg. Srednja vrijednost CL/F kod anemičnih onkoloških ispitanika za režim doziranja od 150 i.j./kg 3 puta ned</w:t>
            </w:r>
            <w:r w:rsidR="00D34772" w:rsidRPr="0016092F">
              <w:rPr>
                <w:rFonts w:ascii="Times New Roman" w:hAnsi="Times New Roman"/>
                <w:sz w:val="22"/>
                <w:szCs w:val="22"/>
              </w:rPr>
              <w:t>j</w:t>
            </w:r>
            <w:r w:rsidRPr="0016092F">
              <w:rPr>
                <w:rFonts w:ascii="Times New Roman" w:hAnsi="Times New Roman"/>
                <w:sz w:val="22"/>
                <w:szCs w:val="22"/>
              </w:rPr>
              <w:t>eljno bila je 45,8 ml/h/kg, a za 40 000 i.j. jednom ned</w:t>
            </w:r>
            <w:r w:rsidR="00D34772" w:rsidRPr="0016092F">
              <w:rPr>
                <w:rFonts w:ascii="Times New Roman" w:hAnsi="Times New Roman"/>
                <w:sz w:val="22"/>
                <w:szCs w:val="22"/>
              </w:rPr>
              <w:t>j</w:t>
            </w:r>
            <w:r w:rsidRPr="0016092F">
              <w:rPr>
                <w:rFonts w:ascii="Times New Roman" w:hAnsi="Times New Roman"/>
                <w:sz w:val="22"/>
                <w:szCs w:val="22"/>
              </w:rPr>
              <w:t>eljno 11,3 ml/h/kg. Kod većine anemičnih ispitanika sa karcinomom koji su primali cikličku hemoterapiju CL/F nakon supkutane prim</w:t>
            </w:r>
            <w:r w:rsidR="00D34772" w:rsidRPr="0016092F">
              <w:rPr>
                <w:rFonts w:ascii="Times New Roman" w:hAnsi="Times New Roman"/>
                <w:sz w:val="22"/>
                <w:szCs w:val="22"/>
              </w:rPr>
              <w:t>j</w:t>
            </w:r>
            <w:r w:rsidRPr="0016092F">
              <w:rPr>
                <w:rFonts w:ascii="Times New Roman" w:hAnsi="Times New Roman"/>
                <w:sz w:val="22"/>
                <w:szCs w:val="22"/>
              </w:rPr>
              <w:t>ene doza od 40 000 i.j. jednom ned</w:t>
            </w:r>
            <w:r w:rsidR="00D34772" w:rsidRPr="0016092F">
              <w:rPr>
                <w:rFonts w:ascii="Times New Roman" w:hAnsi="Times New Roman"/>
                <w:sz w:val="22"/>
                <w:szCs w:val="22"/>
              </w:rPr>
              <w:t>j</w:t>
            </w:r>
            <w:r w:rsidRPr="0016092F">
              <w:rPr>
                <w:rFonts w:ascii="Times New Roman" w:hAnsi="Times New Roman"/>
                <w:sz w:val="22"/>
                <w:szCs w:val="22"/>
              </w:rPr>
              <w:t>eljno i 150 i.j./kg 3 puta ned</w:t>
            </w:r>
            <w:r w:rsidR="00D34772" w:rsidRPr="0016092F">
              <w:rPr>
                <w:rFonts w:ascii="Times New Roman" w:hAnsi="Times New Roman"/>
                <w:sz w:val="22"/>
                <w:szCs w:val="22"/>
              </w:rPr>
              <w:t>j</w:t>
            </w:r>
            <w:r w:rsidRPr="0016092F">
              <w:rPr>
                <w:rFonts w:ascii="Times New Roman" w:hAnsi="Times New Roman"/>
                <w:sz w:val="22"/>
                <w:szCs w:val="22"/>
              </w:rPr>
              <w:t>eljno bio je niži u poređenju sa vr</w:t>
            </w:r>
            <w:r w:rsidR="00D34772" w:rsidRPr="0016092F">
              <w:rPr>
                <w:rFonts w:ascii="Times New Roman" w:hAnsi="Times New Roman"/>
                <w:sz w:val="22"/>
                <w:szCs w:val="22"/>
              </w:rPr>
              <w:t>ij</w:t>
            </w:r>
            <w:r w:rsidRPr="0016092F">
              <w:rPr>
                <w:rFonts w:ascii="Times New Roman" w:hAnsi="Times New Roman"/>
                <w:sz w:val="22"/>
                <w:szCs w:val="22"/>
              </w:rPr>
              <w:t>ednostima kod zdravih ispitanika.</w:t>
            </w:r>
          </w:p>
          <w:p w:rsidR="00830CBA" w:rsidRPr="0016092F" w:rsidRDefault="00830CBA" w:rsidP="006F146B">
            <w:pPr>
              <w:pStyle w:val="Header"/>
              <w:tabs>
                <w:tab w:val="clear" w:pos="4536"/>
                <w:tab w:val="clear" w:pos="9072"/>
                <w:tab w:val="left" w:pos="284"/>
              </w:tabs>
              <w:rPr>
                <w:rFonts w:ascii="Times New Roman" w:hAnsi="Times New Roman"/>
                <w:sz w:val="22"/>
                <w:szCs w:val="22"/>
              </w:rPr>
            </w:pPr>
          </w:p>
          <w:p w:rsidR="00830CBA" w:rsidRPr="0016092F" w:rsidRDefault="00830CBA" w:rsidP="006F146B">
            <w:pPr>
              <w:pStyle w:val="Default"/>
              <w:jc w:val="both"/>
              <w:rPr>
                <w:noProof/>
                <w:sz w:val="22"/>
                <w:szCs w:val="22"/>
                <w:lang w:val="sr-Latn-ME"/>
              </w:rPr>
            </w:pPr>
            <w:r w:rsidRPr="0016092F">
              <w:rPr>
                <w:i/>
                <w:iCs/>
                <w:noProof/>
                <w:sz w:val="22"/>
                <w:szCs w:val="22"/>
                <w:lang w:val="sr-Latn-ME"/>
              </w:rPr>
              <w:t xml:space="preserve">Linearnost/nelinearnost </w:t>
            </w:r>
          </w:p>
          <w:p w:rsidR="00830CBA" w:rsidRPr="0016092F" w:rsidRDefault="00830CBA" w:rsidP="006F146B">
            <w:pPr>
              <w:pStyle w:val="Default"/>
              <w:jc w:val="both"/>
              <w:rPr>
                <w:noProof/>
                <w:sz w:val="22"/>
                <w:szCs w:val="22"/>
                <w:lang w:val="sr-Latn-ME"/>
              </w:rPr>
            </w:pPr>
            <w:r w:rsidRPr="0016092F">
              <w:rPr>
                <w:noProof/>
                <w:sz w:val="22"/>
                <w:szCs w:val="22"/>
                <w:lang w:val="sr-Latn-ME"/>
              </w:rPr>
              <w:t>Kod zdravih ispitanika nakon intravenske prim</w:t>
            </w:r>
            <w:r w:rsidR="00D34772" w:rsidRPr="0016092F">
              <w:rPr>
                <w:noProof/>
                <w:sz w:val="22"/>
                <w:szCs w:val="22"/>
                <w:lang w:val="sr-Latn-ME"/>
              </w:rPr>
              <w:t>j</w:t>
            </w:r>
            <w:r w:rsidRPr="0016092F">
              <w:rPr>
                <w:noProof/>
                <w:sz w:val="22"/>
                <w:szCs w:val="22"/>
                <w:lang w:val="sr-Latn-ME"/>
              </w:rPr>
              <w:t>ene 150 i 300 i.j./kg 3 puta ned</w:t>
            </w:r>
            <w:r w:rsidR="00D34772" w:rsidRPr="0016092F">
              <w:rPr>
                <w:noProof/>
                <w:sz w:val="22"/>
                <w:szCs w:val="22"/>
                <w:lang w:val="sr-Latn-ME"/>
              </w:rPr>
              <w:t>j</w:t>
            </w:r>
            <w:r w:rsidRPr="0016092F">
              <w:rPr>
                <w:noProof/>
                <w:sz w:val="22"/>
                <w:szCs w:val="22"/>
                <w:lang w:val="sr-Latn-ME"/>
              </w:rPr>
              <w:t>eljno uočen je porast serumske koncentracije epoetina alfa proporcionalan dozi. Prim</w:t>
            </w:r>
            <w:r w:rsidR="00D34772" w:rsidRPr="0016092F">
              <w:rPr>
                <w:noProof/>
                <w:sz w:val="22"/>
                <w:szCs w:val="22"/>
                <w:lang w:val="sr-Latn-ME"/>
              </w:rPr>
              <w:t>j</w:t>
            </w:r>
            <w:r w:rsidRPr="0016092F">
              <w:rPr>
                <w:noProof/>
                <w:sz w:val="22"/>
                <w:szCs w:val="22"/>
                <w:lang w:val="sr-Latn-ME"/>
              </w:rPr>
              <w:t>ena jednokratnih doza od 300 do 2400 i.j./kg epoetina alfa supkutano pokazala je linearnu povezanost srednje vrijednosti C</w:t>
            </w:r>
            <w:r w:rsidRPr="0016092F">
              <w:rPr>
                <w:noProof/>
                <w:sz w:val="22"/>
                <w:szCs w:val="22"/>
                <w:vertAlign w:val="subscript"/>
                <w:lang w:val="sr-Latn-ME"/>
              </w:rPr>
              <w:t>max</w:t>
            </w:r>
            <w:r w:rsidRPr="0016092F">
              <w:rPr>
                <w:noProof/>
                <w:sz w:val="22"/>
                <w:szCs w:val="22"/>
                <w:lang w:val="sr-Latn-ME"/>
              </w:rPr>
              <w:t xml:space="preserve"> i doze i srednje vr</w:t>
            </w:r>
            <w:r w:rsidR="00D34772" w:rsidRPr="0016092F">
              <w:rPr>
                <w:noProof/>
                <w:sz w:val="22"/>
                <w:szCs w:val="22"/>
                <w:lang w:val="sr-Latn-ME"/>
              </w:rPr>
              <w:t>ij</w:t>
            </w:r>
            <w:r w:rsidRPr="0016092F">
              <w:rPr>
                <w:noProof/>
                <w:sz w:val="22"/>
                <w:szCs w:val="22"/>
                <w:lang w:val="sr-Latn-ME"/>
              </w:rPr>
              <w:t xml:space="preserve">ednosti PIK i doze. </w:t>
            </w:r>
            <w:r w:rsidR="00D34772" w:rsidRPr="0016092F">
              <w:rPr>
                <w:noProof/>
                <w:sz w:val="22"/>
                <w:szCs w:val="22"/>
                <w:lang w:val="sr-Latn-ME"/>
              </w:rPr>
              <w:t>Zabi</w:t>
            </w:r>
            <w:r w:rsidRPr="0016092F">
              <w:rPr>
                <w:noProof/>
                <w:sz w:val="22"/>
                <w:szCs w:val="22"/>
                <w:lang w:val="sr-Latn-ME"/>
              </w:rPr>
              <w:t>l</w:t>
            </w:r>
            <w:r w:rsidR="00D34772" w:rsidRPr="0016092F">
              <w:rPr>
                <w:noProof/>
                <w:sz w:val="22"/>
                <w:szCs w:val="22"/>
                <w:lang w:val="sr-Latn-ME"/>
              </w:rPr>
              <w:t>j</w:t>
            </w:r>
            <w:r w:rsidRPr="0016092F">
              <w:rPr>
                <w:noProof/>
                <w:sz w:val="22"/>
                <w:szCs w:val="22"/>
                <w:lang w:val="sr-Latn-ME"/>
              </w:rPr>
              <w:t xml:space="preserve">ežena je obrnuta povezanost između prividnog klirensa i doze kod zdravih ispitanika. </w:t>
            </w:r>
          </w:p>
          <w:p w:rsidR="00BD61A7" w:rsidRPr="0016092F" w:rsidRDefault="00BD61A7" w:rsidP="006F146B">
            <w:pPr>
              <w:pStyle w:val="Default"/>
              <w:jc w:val="both"/>
              <w:rPr>
                <w:noProof/>
                <w:sz w:val="22"/>
                <w:szCs w:val="22"/>
                <w:lang w:val="sr-Latn-ME"/>
              </w:rPr>
            </w:pPr>
          </w:p>
          <w:p w:rsidR="00830CBA" w:rsidRPr="0016092F" w:rsidRDefault="00830CBA" w:rsidP="006F146B">
            <w:pPr>
              <w:pStyle w:val="Default"/>
              <w:jc w:val="both"/>
              <w:rPr>
                <w:noProof/>
                <w:sz w:val="22"/>
                <w:szCs w:val="22"/>
                <w:lang w:val="sr-Latn-ME"/>
              </w:rPr>
            </w:pPr>
            <w:r w:rsidRPr="0016092F">
              <w:rPr>
                <w:noProof/>
                <w:sz w:val="22"/>
                <w:szCs w:val="22"/>
                <w:lang w:val="sr-Latn-ME"/>
              </w:rPr>
              <w:lastRenderedPageBreak/>
              <w:t>U studijima koje su ispitivale produuženje intervala doziranja (40 000 i.j. jednom ned</w:t>
            </w:r>
            <w:r w:rsidR="00D34772" w:rsidRPr="0016092F">
              <w:rPr>
                <w:noProof/>
                <w:sz w:val="22"/>
                <w:szCs w:val="22"/>
                <w:lang w:val="sr-Latn-ME"/>
              </w:rPr>
              <w:t>j</w:t>
            </w:r>
            <w:r w:rsidRPr="0016092F">
              <w:rPr>
                <w:noProof/>
                <w:sz w:val="22"/>
                <w:szCs w:val="22"/>
                <w:lang w:val="sr-Latn-ME"/>
              </w:rPr>
              <w:t>eljno i 80 000, 100 000 i 120 000 i.j. jednom u 2 ned</w:t>
            </w:r>
            <w:r w:rsidR="00D34772" w:rsidRPr="0016092F">
              <w:rPr>
                <w:noProof/>
                <w:sz w:val="22"/>
                <w:szCs w:val="22"/>
                <w:lang w:val="sr-Latn-ME"/>
              </w:rPr>
              <w:t>j</w:t>
            </w:r>
            <w:r w:rsidRPr="0016092F">
              <w:rPr>
                <w:noProof/>
                <w:sz w:val="22"/>
                <w:szCs w:val="22"/>
                <w:lang w:val="sr-Latn-ME"/>
              </w:rPr>
              <w:t>elje) uočeno je da je odnos između srednje vr</w:t>
            </w:r>
            <w:r w:rsidR="00D34772" w:rsidRPr="0016092F">
              <w:rPr>
                <w:noProof/>
                <w:sz w:val="22"/>
                <w:szCs w:val="22"/>
                <w:lang w:val="sr-Latn-ME"/>
              </w:rPr>
              <w:t>ij</w:t>
            </w:r>
            <w:r w:rsidRPr="0016092F">
              <w:rPr>
                <w:noProof/>
                <w:sz w:val="22"/>
                <w:szCs w:val="22"/>
                <w:lang w:val="sr-Latn-ME"/>
              </w:rPr>
              <w:t>ednosti C</w:t>
            </w:r>
            <w:r w:rsidRPr="0016092F">
              <w:rPr>
                <w:noProof/>
                <w:sz w:val="22"/>
                <w:szCs w:val="22"/>
                <w:vertAlign w:val="subscript"/>
                <w:lang w:val="sr-Latn-ME"/>
              </w:rPr>
              <w:t>max</w:t>
            </w:r>
            <w:r w:rsidRPr="0016092F">
              <w:rPr>
                <w:noProof/>
                <w:sz w:val="22"/>
                <w:szCs w:val="22"/>
                <w:lang w:val="sr-Latn-ME"/>
              </w:rPr>
              <w:t xml:space="preserve"> i doze i srednje vr</w:t>
            </w:r>
            <w:r w:rsidR="00D34772" w:rsidRPr="0016092F">
              <w:rPr>
                <w:noProof/>
                <w:sz w:val="22"/>
                <w:szCs w:val="22"/>
                <w:lang w:val="sr-Latn-ME"/>
              </w:rPr>
              <w:t>ij</w:t>
            </w:r>
            <w:r w:rsidRPr="0016092F">
              <w:rPr>
                <w:noProof/>
                <w:sz w:val="22"/>
                <w:szCs w:val="22"/>
                <w:lang w:val="sr-Latn-ME"/>
              </w:rPr>
              <w:t xml:space="preserve">ednosti PIK i doze u stanju ravnoteže linearan, ali ne i proporcionalan dozi. </w:t>
            </w:r>
          </w:p>
          <w:p w:rsidR="00830CBA" w:rsidRPr="0016092F" w:rsidRDefault="00830CBA" w:rsidP="006F146B">
            <w:pPr>
              <w:pStyle w:val="Default"/>
              <w:jc w:val="both"/>
              <w:rPr>
                <w:noProof/>
                <w:sz w:val="22"/>
                <w:szCs w:val="22"/>
                <w:lang w:val="sr-Latn-ME"/>
              </w:rPr>
            </w:pPr>
          </w:p>
          <w:p w:rsidR="00830CBA" w:rsidRPr="0016092F" w:rsidRDefault="00830CBA" w:rsidP="006F146B">
            <w:pPr>
              <w:pStyle w:val="Default"/>
              <w:jc w:val="both"/>
              <w:rPr>
                <w:noProof/>
                <w:sz w:val="22"/>
                <w:szCs w:val="22"/>
                <w:lang w:val="sr-Latn-ME"/>
              </w:rPr>
            </w:pPr>
            <w:r w:rsidRPr="0016092F">
              <w:rPr>
                <w:i/>
                <w:iCs/>
                <w:noProof/>
                <w:sz w:val="22"/>
                <w:szCs w:val="22"/>
                <w:lang w:val="sr-Latn-ME"/>
              </w:rPr>
              <w:t xml:space="preserve">Farmakokinetički/farmakodinamički odnosi </w:t>
            </w:r>
          </w:p>
          <w:p w:rsidR="00830CBA" w:rsidRPr="0016092F" w:rsidRDefault="00830CBA" w:rsidP="006F146B">
            <w:pPr>
              <w:pStyle w:val="Default"/>
              <w:jc w:val="both"/>
              <w:rPr>
                <w:noProof/>
                <w:sz w:val="22"/>
                <w:szCs w:val="22"/>
                <w:lang w:val="sr-Latn-ME"/>
              </w:rPr>
            </w:pPr>
            <w:r w:rsidRPr="0016092F">
              <w:rPr>
                <w:noProof/>
                <w:sz w:val="22"/>
                <w:szCs w:val="22"/>
                <w:lang w:val="sr-Latn-ME"/>
              </w:rPr>
              <w:t>Epoetin alfa pokazuje efekat na hematološke parametre zavisne od doze, a nezavisne od načina prim</w:t>
            </w:r>
            <w:r w:rsidR="00D34772" w:rsidRPr="0016092F">
              <w:rPr>
                <w:noProof/>
                <w:sz w:val="22"/>
                <w:szCs w:val="22"/>
                <w:lang w:val="sr-Latn-ME"/>
              </w:rPr>
              <w:t>j</w:t>
            </w:r>
            <w:r w:rsidRPr="0016092F">
              <w:rPr>
                <w:noProof/>
                <w:sz w:val="22"/>
                <w:szCs w:val="22"/>
                <w:lang w:val="sr-Latn-ME"/>
              </w:rPr>
              <w:t xml:space="preserve">ene. </w:t>
            </w:r>
          </w:p>
          <w:p w:rsidR="00830CBA" w:rsidRPr="0016092F" w:rsidRDefault="00830CBA" w:rsidP="006F146B">
            <w:pPr>
              <w:pStyle w:val="Default"/>
              <w:jc w:val="both"/>
              <w:rPr>
                <w:i/>
                <w:iCs/>
                <w:noProof/>
                <w:sz w:val="22"/>
                <w:szCs w:val="22"/>
                <w:lang w:val="sr-Latn-ME"/>
              </w:rPr>
            </w:pPr>
          </w:p>
          <w:p w:rsidR="00830CBA" w:rsidRPr="0016092F" w:rsidRDefault="00830CBA" w:rsidP="006F146B">
            <w:pPr>
              <w:pStyle w:val="Default"/>
              <w:jc w:val="both"/>
              <w:rPr>
                <w:noProof/>
                <w:sz w:val="22"/>
                <w:szCs w:val="22"/>
                <w:lang w:val="sr-Latn-ME"/>
              </w:rPr>
            </w:pPr>
            <w:r w:rsidRPr="0016092F">
              <w:rPr>
                <w:i/>
                <w:iCs/>
                <w:noProof/>
                <w:sz w:val="22"/>
                <w:szCs w:val="22"/>
                <w:lang w:val="sr-Latn-ME"/>
              </w:rPr>
              <w:t xml:space="preserve">Pedijatrijska populacija </w:t>
            </w:r>
          </w:p>
          <w:p w:rsidR="00830CBA" w:rsidRPr="0016092F" w:rsidRDefault="00830CBA" w:rsidP="006F146B">
            <w:pPr>
              <w:pStyle w:val="Default"/>
              <w:jc w:val="both"/>
              <w:rPr>
                <w:noProof/>
                <w:sz w:val="22"/>
                <w:szCs w:val="22"/>
                <w:lang w:val="sr-Latn-ME"/>
              </w:rPr>
            </w:pPr>
            <w:r w:rsidRPr="0016092F">
              <w:rPr>
                <w:noProof/>
                <w:sz w:val="22"/>
                <w:szCs w:val="22"/>
                <w:lang w:val="sr-Latn-ME"/>
              </w:rPr>
              <w:t>K</w:t>
            </w:r>
            <w:r w:rsidR="00BD61A7" w:rsidRPr="0016092F">
              <w:rPr>
                <w:noProof/>
                <w:sz w:val="22"/>
                <w:szCs w:val="22"/>
                <w:lang w:val="sr-Latn-ME"/>
              </w:rPr>
              <w:t>o</w:t>
            </w:r>
            <w:r w:rsidRPr="0016092F">
              <w:rPr>
                <w:noProof/>
                <w:sz w:val="22"/>
                <w:szCs w:val="22"/>
                <w:lang w:val="sr-Latn-ME"/>
              </w:rPr>
              <w:t xml:space="preserve">d pedijatrijskih ispitanika sa hroničnom insuficijencijom bubrega </w:t>
            </w:r>
            <w:r w:rsidR="00D34772" w:rsidRPr="0016092F">
              <w:rPr>
                <w:noProof/>
                <w:sz w:val="22"/>
                <w:szCs w:val="22"/>
                <w:lang w:val="sr-Latn-ME"/>
              </w:rPr>
              <w:t>zabi</w:t>
            </w:r>
            <w:r w:rsidRPr="0016092F">
              <w:rPr>
                <w:noProof/>
                <w:sz w:val="22"/>
                <w:szCs w:val="22"/>
                <w:lang w:val="sr-Latn-ME"/>
              </w:rPr>
              <w:t>l</w:t>
            </w:r>
            <w:r w:rsidR="00D34772" w:rsidRPr="0016092F">
              <w:rPr>
                <w:noProof/>
                <w:sz w:val="22"/>
                <w:szCs w:val="22"/>
                <w:lang w:val="sr-Latn-ME"/>
              </w:rPr>
              <w:t>j</w:t>
            </w:r>
            <w:r w:rsidRPr="0016092F">
              <w:rPr>
                <w:noProof/>
                <w:sz w:val="22"/>
                <w:szCs w:val="22"/>
                <w:lang w:val="sr-Latn-ME"/>
              </w:rPr>
              <w:t>eženo je poluvr</w:t>
            </w:r>
            <w:r w:rsidR="00D34772" w:rsidRPr="0016092F">
              <w:rPr>
                <w:noProof/>
                <w:sz w:val="22"/>
                <w:szCs w:val="22"/>
                <w:lang w:val="sr-Latn-ME"/>
              </w:rPr>
              <w:t>ij</w:t>
            </w:r>
            <w:r w:rsidRPr="0016092F">
              <w:rPr>
                <w:noProof/>
                <w:sz w:val="22"/>
                <w:szCs w:val="22"/>
                <w:lang w:val="sr-Latn-ME"/>
              </w:rPr>
              <w:t>eme eliminacije od približno 6,2 do 8,7 sati nakon višestrukih doza epoetina alfa prim</w:t>
            </w:r>
            <w:r w:rsidR="00D34772" w:rsidRPr="0016092F">
              <w:rPr>
                <w:noProof/>
                <w:sz w:val="22"/>
                <w:szCs w:val="22"/>
                <w:lang w:val="sr-Latn-ME"/>
              </w:rPr>
              <w:t>ij</w:t>
            </w:r>
            <w:r w:rsidRPr="0016092F">
              <w:rPr>
                <w:noProof/>
                <w:sz w:val="22"/>
                <w:szCs w:val="22"/>
                <w:lang w:val="sr-Latn-ME"/>
              </w:rPr>
              <w:t>enjenih intravenski. Čini se da je farmakokinetički profil epoetina alfa kod d</w:t>
            </w:r>
            <w:r w:rsidR="00D34772" w:rsidRPr="0016092F">
              <w:rPr>
                <w:noProof/>
                <w:sz w:val="22"/>
                <w:szCs w:val="22"/>
                <w:lang w:val="sr-Latn-ME"/>
              </w:rPr>
              <w:t>j</w:t>
            </w:r>
            <w:r w:rsidRPr="0016092F">
              <w:rPr>
                <w:noProof/>
                <w:sz w:val="22"/>
                <w:szCs w:val="22"/>
                <w:lang w:val="sr-Latn-ME"/>
              </w:rPr>
              <w:t xml:space="preserve">ece i adolescenata sličan onom kod odraslih. </w:t>
            </w:r>
          </w:p>
          <w:p w:rsidR="00830CBA" w:rsidRPr="0016092F" w:rsidRDefault="00830CBA" w:rsidP="006F146B">
            <w:pPr>
              <w:pStyle w:val="Default"/>
              <w:jc w:val="both"/>
              <w:rPr>
                <w:noProof/>
                <w:sz w:val="22"/>
                <w:szCs w:val="22"/>
                <w:lang w:val="sr-Latn-ME"/>
              </w:rPr>
            </w:pPr>
          </w:p>
          <w:p w:rsidR="00830CBA" w:rsidRPr="0016092F" w:rsidRDefault="00830CBA" w:rsidP="006F146B">
            <w:pPr>
              <w:pStyle w:val="Default"/>
              <w:jc w:val="both"/>
              <w:rPr>
                <w:noProof/>
                <w:sz w:val="22"/>
                <w:szCs w:val="22"/>
                <w:lang w:val="sr-Latn-ME"/>
              </w:rPr>
            </w:pPr>
            <w:r w:rsidRPr="0016092F">
              <w:rPr>
                <w:i/>
                <w:iCs/>
                <w:noProof/>
                <w:sz w:val="22"/>
                <w:szCs w:val="22"/>
                <w:lang w:val="sr-Latn-ME"/>
              </w:rPr>
              <w:t xml:space="preserve">Oštećenje bubrega </w:t>
            </w:r>
          </w:p>
          <w:p w:rsidR="00830CBA" w:rsidRPr="0016092F" w:rsidRDefault="00830CBA"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Kod pacijenata sa hroničnom insuficijencijom bubrega, poluvr</w:t>
            </w:r>
            <w:r w:rsidR="00D34772" w:rsidRPr="0016092F">
              <w:rPr>
                <w:rFonts w:ascii="Times New Roman" w:hAnsi="Times New Roman"/>
                <w:sz w:val="22"/>
                <w:szCs w:val="22"/>
              </w:rPr>
              <w:t>ij</w:t>
            </w:r>
            <w:r w:rsidRPr="0016092F">
              <w:rPr>
                <w:rFonts w:ascii="Times New Roman" w:hAnsi="Times New Roman"/>
                <w:sz w:val="22"/>
                <w:szCs w:val="22"/>
              </w:rPr>
              <w:t>eme eliminacije intravenski prim</w:t>
            </w:r>
            <w:r w:rsidR="00D34772" w:rsidRPr="0016092F">
              <w:rPr>
                <w:rFonts w:ascii="Times New Roman" w:hAnsi="Times New Roman"/>
                <w:sz w:val="22"/>
                <w:szCs w:val="22"/>
              </w:rPr>
              <w:t>ij</w:t>
            </w:r>
            <w:r w:rsidRPr="0016092F">
              <w:rPr>
                <w:rFonts w:ascii="Times New Roman" w:hAnsi="Times New Roman"/>
                <w:sz w:val="22"/>
                <w:szCs w:val="22"/>
              </w:rPr>
              <w:t>enjenog epoetina alfa blago je produžen, približno 5 sati, u poređenju sa zdravim ispitanicima.</w:t>
            </w:r>
          </w:p>
          <w:p w:rsidR="007A2380" w:rsidRPr="0016092F" w:rsidRDefault="007A2380" w:rsidP="006F146B">
            <w:pPr>
              <w:pStyle w:val="Header"/>
              <w:tabs>
                <w:tab w:val="clear" w:pos="4536"/>
                <w:tab w:val="clear" w:pos="9072"/>
                <w:tab w:val="left" w:pos="284"/>
              </w:tabs>
              <w:rPr>
                <w:rFonts w:ascii="Times New Roman" w:hAnsi="Times New Roman"/>
                <w:sz w:val="22"/>
                <w:szCs w:val="22"/>
              </w:rPr>
            </w:pPr>
          </w:p>
        </w:tc>
      </w:tr>
      <w:tr w:rsidR="00834DBB" w:rsidRPr="0016092F" w:rsidTr="006F146B">
        <w:tc>
          <w:tcPr>
            <w:tcW w:w="5000" w:type="pct"/>
            <w:gridSpan w:val="4"/>
            <w:vAlign w:val="center"/>
          </w:tcPr>
          <w:p w:rsidR="00834DBB" w:rsidRPr="0016092F" w:rsidRDefault="00842FF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lastRenderedPageBreak/>
              <w:t>5.3. Pret</w:t>
            </w:r>
            <w:r w:rsidR="00834DBB" w:rsidRPr="0016092F">
              <w:rPr>
                <w:rFonts w:ascii="Times New Roman" w:hAnsi="Times New Roman"/>
                <w:b/>
                <w:bCs/>
                <w:sz w:val="22"/>
                <w:szCs w:val="22"/>
              </w:rPr>
              <w:t>klinički podaci o bezbednosti l</w:t>
            </w:r>
            <w:r w:rsidR="00D34772" w:rsidRPr="0016092F">
              <w:rPr>
                <w:rFonts w:ascii="Times New Roman" w:hAnsi="Times New Roman"/>
                <w:b/>
                <w:bCs/>
                <w:sz w:val="22"/>
                <w:szCs w:val="22"/>
              </w:rPr>
              <w:t>ij</w:t>
            </w:r>
            <w:r w:rsidR="00834DBB" w:rsidRPr="0016092F">
              <w:rPr>
                <w:rFonts w:ascii="Times New Roman" w:hAnsi="Times New Roman"/>
                <w:b/>
                <w:bCs/>
                <w:sz w:val="22"/>
                <w:szCs w:val="22"/>
              </w:rPr>
              <w:t>eka</w:t>
            </w:r>
          </w:p>
        </w:tc>
      </w:tr>
      <w:tr w:rsidR="00834DBB" w:rsidRPr="0016092F" w:rsidTr="006F146B">
        <w:trPr>
          <w:trHeight w:val="1307"/>
        </w:trPr>
        <w:tc>
          <w:tcPr>
            <w:tcW w:w="5000" w:type="pct"/>
            <w:gridSpan w:val="4"/>
            <w:vAlign w:val="center"/>
          </w:tcPr>
          <w:p w:rsidR="00834DBB" w:rsidRPr="0016092F" w:rsidRDefault="007A2380"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U toksikološkim studijama </w:t>
            </w:r>
            <w:r w:rsidR="001573AB" w:rsidRPr="0016092F">
              <w:rPr>
                <w:rFonts w:ascii="Times New Roman" w:hAnsi="Times New Roman"/>
                <w:sz w:val="22"/>
                <w:szCs w:val="22"/>
              </w:rPr>
              <w:t xml:space="preserve">ponavljanih doza </w:t>
            </w:r>
            <w:r w:rsidRPr="0016092F">
              <w:rPr>
                <w:rFonts w:ascii="Times New Roman" w:hAnsi="Times New Roman"/>
                <w:sz w:val="22"/>
                <w:szCs w:val="22"/>
              </w:rPr>
              <w:t xml:space="preserve">kod pasa i pacova, ali ne kod majmuna, terapija epoetinom alfa bila je udružena sa sublikičkom fibrozom kostne srži </w:t>
            </w:r>
            <w:r w:rsidR="001573AB" w:rsidRPr="0016092F">
              <w:rPr>
                <w:rFonts w:ascii="Times New Roman" w:hAnsi="Times New Roman"/>
                <w:sz w:val="22"/>
                <w:szCs w:val="22"/>
              </w:rPr>
              <w:t>F</w:t>
            </w:r>
            <w:r w:rsidRPr="0016092F">
              <w:rPr>
                <w:rFonts w:ascii="Times New Roman" w:hAnsi="Times New Roman"/>
                <w:sz w:val="22"/>
                <w:szCs w:val="22"/>
              </w:rPr>
              <w:t xml:space="preserve">ibroza kostne srži je poznata komplikacija hronične insuficijencije bubrega  kod ljudi i može biti povezana sa sekundarnim hiperpartireoidizmom ili nepoznatim faktorima. </w:t>
            </w:r>
            <w:r w:rsidR="000D213F" w:rsidRPr="0016092F">
              <w:rPr>
                <w:rFonts w:ascii="Times New Roman" w:hAnsi="Times New Roman"/>
                <w:sz w:val="22"/>
                <w:szCs w:val="22"/>
              </w:rPr>
              <w:t>Incidenca fibroze kostne srži nije bila povećana u studiji kod pacijenata na hemodijalizi koji su bili l</w:t>
            </w:r>
            <w:r w:rsidR="00D34772" w:rsidRPr="0016092F">
              <w:rPr>
                <w:rFonts w:ascii="Times New Roman" w:hAnsi="Times New Roman"/>
                <w:sz w:val="22"/>
                <w:szCs w:val="22"/>
              </w:rPr>
              <w:t>ij</w:t>
            </w:r>
            <w:r w:rsidR="000D213F" w:rsidRPr="0016092F">
              <w:rPr>
                <w:rFonts w:ascii="Times New Roman" w:hAnsi="Times New Roman"/>
                <w:sz w:val="22"/>
                <w:szCs w:val="22"/>
              </w:rPr>
              <w:t>ečeni epoetinom alfa tokom 3 godine u poređenju sa kontrolnom grupom pacijenata na hemodijalizi koji ni</w:t>
            </w:r>
            <w:r w:rsidR="00D34772" w:rsidRPr="0016092F">
              <w:rPr>
                <w:rFonts w:ascii="Times New Roman" w:hAnsi="Times New Roman"/>
                <w:sz w:val="22"/>
                <w:szCs w:val="22"/>
              </w:rPr>
              <w:t>je</w:t>
            </w:r>
            <w:r w:rsidR="000D213F" w:rsidRPr="0016092F">
              <w:rPr>
                <w:rFonts w:ascii="Times New Roman" w:hAnsi="Times New Roman"/>
                <w:sz w:val="22"/>
                <w:szCs w:val="22"/>
              </w:rPr>
              <w:t>su l</w:t>
            </w:r>
            <w:r w:rsidR="00D34772" w:rsidRPr="0016092F">
              <w:rPr>
                <w:rFonts w:ascii="Times New Roman" w:hAnsi="Times New Roman"/>
                <w:sz w:val="22"/>
                <w:szCs w:val="22"/>
              </w:rPr>
              <w:t>ij</w:t>
            </w:r>
            <w:r w:rsidR="000D213F" w:rsidRPr="0016092F">
              <w:rPr>
                <w:rFonts w:ascii="Times New Roman" w:hAnsi="Times New Roman"/>
                <w:sz w:val="22"/>
                <w:szCs w:val="22"/>
              </w:rPr>
              <w:t>ečeni epoetinom alfa.</w:t>
            </w:r>
          </w:p>
          <w:p w:rsidR="000D213F" w:rsidRPr="0016092F" w:rsidRDefault="000D213F" w:rsidP="006F146B">
            <w:pPr>
              <w:pStyle w:val="Header"/>
              <w:tabs>
                <w:tab w:val="clear" w:pos="4536"/>
                <w:tab w:val="clear" w:pos="9072"/>
                <w:tab w:val="left" w:pos="284"/>
              </w:tabs>
              <w:rPr>
                <w:rFonts w:ascii="Times New Roman" w:hAnsi="Times New Roman"/>
                <w:sz w:val="22"/>
                <w:szCs w:val="22"/>
              </w:rPr>
            </w:pPr>
          </w:p>
          <w:p w:rsidR="00BD61A7" w:rsidRPr="0016092F" w:rsidRDefault="000D213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Epoetin alfa </w:t>
            </w:r>
            <w:r w:rsidR="001573AB" w:rsidRPr="0016092F">
              <w:rPr>
                <w:rFonts w:ascii="Times New Roman" w:hAnsi="Times New Roman"/>
                <w:sz w:val="22"/>
                <w:szCs w:val="22"/>
              </w:rPr>
              <w:t xml:space="preserve">ne dovodi do mutacija bakterijskih gena (Ames test), hromozomskih aberacija u ćelijama sisara, mikronukeusa kod miševa ili genskih mutacija HGPRT lokusa. </w:t>
            </w:r>
          </w:p>
          <w:p w:rsidR="00BD61A7" w:rsidRPr="0016092F" w:rsidRDefault="00BD61A7" w:rsidP="006F146B">
            <w:pPr>
              <w:pStyle w:val="Header"/>
              <w:tabs>
                <w:tab w:val="clear" w:pos="4536"/>
                <w:tab w:val="clear" w:pos="9072"/>
                <w:tab w:val="left" w:pos="284"/>
              </w:tabs>
              <w:rPr>
                <w:rFonts w:ascii="Times New Roman" w:hAnsi="Times New Roman"/>
                <w:sz w:val="22"/>
                <w:szCs w:val="22"/>
              </w:rPr>
            </w:pPr>
          </w:p>
          <w:p w:rsidR="000D213F" w:rsidRPr="0016092F" w:rsidRDefault="000D213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Dugotrajne studije karcinogenosti ni</w:t>
            </w:r>
            <w:r w:rsidR="00D34772" w:rsidRPr="0016092F">
              <w:rPr>
                <w:rFonts w:ascii="Times New Roman" w:hAnsi="Times New Roman"/>
                <w:sz w:val="22"/>
                <w:szCs w:val="22"/>
              </w:rPr>
              <w:t>je</w:t>
            </w:r>
            <w:r w:rsidRPr="0016092F">
              <w:rPr>
                <w:rFonts w:ascii="Times New Roman" w:hAnsi="Times New Roman"/>
                <w:sz w:val="22"/>
                <w:szCs w:val="22"/>
              </w:rPr>
              <w:t>su sprovedene. Postoje oprečni izv</w:t>
            </w:r>
            <w:r w:rsidR="00D34772" w:rsidRPr="0016092F">
              <w:rPr>
                <w:rFonts w:ascii="Times New Roman" w:hAnsi="Times New Roman"/>
                <w:sz w:val="22"/>
                <w:szCs w:val="22"/>
              </w:rPr>
              <w:t>j</w:t>
            </w:r>
            <w:r w:rsidRPr="0016092F">
              <w:rPr>
                <w:rFonts w:ascii="Times New Roman" w:hAnsi="Times New Roman"/>
                <w:sz w:val="22"/>
                <w:szCs w:val="22"/>
              </w:rPr>
              <w:t>eštaji u literaturi</w:t>
            </w:r>
            <w:r w:rsidR="001573AB" w:rsidRPr="0016092F">
              <w:rPr>
                <w:rFonts w:ascii="Times New Roman" w:hAnsi="Times New Roman"/>
                <w:sz w:val="22"/>
                <w:szCs w:val="22"/>
              </w:rPr>
              <w:t xml:space="preserve">, bazirani na in vitro nalazima iz uzoraka tumora kod ljudi, navode moguću ulogu epoetina kao tumorskih proliferatora. </w:t>
            </w:r>
            <w:r w:rsidRPr="0016092F">
              <w:rPr>
                <w:rFonts w:ascii="Times New Roman" w:hAnsi="Times New Roman"/>
                <w:sz w:val="22"/>
                <w:szCs w:val="22"/>
              </w:rPr>
              <w:t xml:space="preserve"> </w:t>
            </w:r>
            <w:r w:rsidR="001573AB" w:rsidRPr="0016092F">
              <w:rPr>
                <w:rFonts w:ascii="Times New Roman" w:hAnsi="Times New Roman"/>
                <w:sz w:val="22"/>
                <w:szCs w:val="22"/>
              </w:rPr>
              <w:t>K</w:t>
            </w:r>
            <w:r w:rsidR="008B6009" w:rsidRPr="0016092F">
              <w:rPr>
                <w:rFonts w:ascii="Times New Roman" w:hAnsi="Times New Roman"/>
                <w:sz w:val="22"/>
                <w:szCs w:val="22"/>
              </w:rPr>
              <w:t xml:space="preserve">linički </w:t>
            </w:r>
            <w:r w:rsidRPr="0016092F">
              <w:rPr>
                <w:rFonts w:ascii="Times New Roman" w:hAnsi="Times New Roman"/>
                <w:sz w:val="22"/>
                <w:szCs w:val="22"/>
              </w:rPr>
              <w:t xml:space="preserve">značaj </w:t>
            </w:r>
            <w:r w:rsidR="001573AB" w:rsidRPr="0016092F">
              <w:rPr>
                <w:rFonts w:ascii="Times New Roman" w:hAnsi="Times New Roman"/>
                <w:sz w:val="22"/>
                <w:szCs w:val="22"/>
              </w:rPr>
              <w:t xml:space="preserve">ovih nalaza </w:t>
            </w:r>
            <w:r w:rsidRPr="0016092F">
              <w:rPr>
                <w:rFonts w:ascii="Times New Roman" w:hAnsi="Times New Roman"/>
                <w:sz w:val="22"/>
                <w:szCs w:val="22"/>
              </w:rPr>
              <w:t>nije siguran.</w:t>
            </w:r>
          </w:p>
          <w:p w:rsidR="000D213F" w:rsidRPr="0016092F" w:rsidRDefault="000D213F"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 xml:space="preserve"> </w:t>
            </w:r>
          </w:p>
          <w:p w:rsidR="001573AB" w:rsidRPr="0016092F" w:rsidRDefault="001573AB" w:rsidP="006F146B">
            <w:pPr>
              <w:pStyle w:val="Default"/>
              <w:jc w:val="both"/>
              <w:rPr>
                <w:noProof/>
                <w:sz w:val="22"/>
                <w:szCs w:val="22"/>
                <w:lang w:val="sr-Latn-ME"/>
              </w:rPr>
            </w:pPr>
            <w:r w:rsidRPr="0016092F">
              <w:rPr>
                <w:noProof/>
                <w:sz w:val="22"/>
                <w:szCs w:val="22"/>
                <w:lang w:val="sr-Latn-ME"/>
              </w:rPr>
              <w:t>U ćelijskim kulturama ćelija ljudske kostne srži, epoetin alfa specifično stimuliše eritripoezu i ne utiče na leukopoezu. Nije zapaženo citotoksično d</w:t>
            </w:r>
            <w:r w:rsidR="00D34772" w:rsidRPr="0016092F">
              <w:rPr>
                <w:noProof/>
                <w:sz w:val="22"/>
                <w:szCs w:val="22"/>
                <w:lang w:val="sr-Latn-ME"/>
              </w:rPr>
              <w:t>j</w:t>
            </w:r>
            <w:r w:rsidRPr="0016092F">
              <w:rPr>
                <w:noProof/>
                <w:sz w:val="22"/>
                <w:szCs w:val="22"/>
                <w:lang w:val="sr-Latn-ME"/>
              </w:rPr>
              <w:t xml:space="preserve">elovanje epoetina alfa na ćelije kostne srži. </w:t>
            </w:r>
          </w:p>
          <w:p w:rsidR="001573AB" w:rsidRPr="0016092F" w:rsidRDefault="001573A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ispitivanjima na životinjama pokazano je da epoetin alfa smanjuje fetalnu t</w:t>
            </w:r>
            <w:r w:rsidR="00D34772" w:rsidRPr="0016092F">
              <w:rPr>
                <w:rFonts w:ascii="Times New Roman" w:hAnsi="Times New Roman"/>
                <w:sz w:val="22"/>
                <w:szCs w:val="22"/>
              </w:rPr>
              <w:t>j</w:t>
            </w:r>
            <w:r w:rsidRPr="0016092F">
              <w:rPr>
                <w:rFonts w:ascii="Times New Roman" w:hAnsi="Times New Roman"/>
                <w:sz w:val="22"/>
                <w:szCs w:val="22"/>
              </w:rPr>
              <w:t xml:space="preserve">elesnu </w:t>
            </w:r>
            <w:r w:rsidR="00DC43DC" w:rsidRPr="0016092F">
              <w:rPr>
                <w:rFonts w:ascii="Times New Roman" w:hAnsi="Times New Roman"/>
                <w:sz w:val="22"/>
                <w:szCs w:val="22"/>
              </w:rPr>
              <w:t>mase</w:t>
            </w:r>
            <w:r w:rsidRPr="0016092F">
              <w:rPr>
                <w:rFonts w:ascii="Times New Roman" w:hAnsi="Times New Roman"/>
                <w:sz w:val="22"/>
                <w:szCs w:val="22"/>
              </w:rPr>
              <w:t>, usporava osifikaciju i povećava fetalni mortalitet kada se daje u ned</w:t>
            </w:r>
            <w:r w:rsidR="00D34772" w:rsidRPr="0016092F">
              <w:rPr>
                <w:rFonts w:ascii="Times New Roman" w:hAnsi="Times New Roman"/>
                <w:sz w:val="22"/>
                <w:szCs w:val="22"/>
              </w:rPr>
              <w:t>j</w:t>
            </w:r>
            <w:r w:rsidRPr="0016092F">
              <w:rPr>
                <w:rFonts w:ascii="Times New Roman" w:hAnsi="Times New Roman"/>
                <w:sz w:val="22"/>
                <w:szCs w:val="22"/>
              </w:rPr>
              <w:t>eljnim dozama približno 20 puta većim od preporučene ned</w:t>
            </w:r>
            <w:r w:rsidR="00D34772" w:rsidRPr="0016092F">
              <w:rPr>
                <w:rFonts w:ascii="Times New Roman" w:hAnsi="Times New Roman"/>
                <w:sz w:val="22"/>
                <w:szCs w:val="22"/>
              </w:rPr>
              <w:t>j</w:t>
            </w:r>
            <w:r w:rsidRPr="0016092F">
              <w:rPr>
                <w:rFonts w:ascii="Times New Roman" w:hAnsi="Times New Roman"/>
                <w:sz w:val="22"/>
                <w:szCs w:val="22"/>
              </w:rPr>
              <w:t>eljne doze kod ljudi. Ove prom</w:t>
            </w:r>
            <w:r w:rsidR="00D34772" w:rsidRPr="0016092F">
              <w:rPr>
                <w:rFonts w:ascii="Times New Roman" w:hAnsi="Times New Roman"/>
                <w:sz w:val="22"/>
                <w:szCs w:val="22"/>
              </w:rPr>
              <w:t>j</w:t>
            </w:r>
            <w:r w:rsidRPr="0016092F">
              <w:rPr>
                <w:rFonts w:ascii="Times New Roman" w:hAnsi="Times New Roman"/>
                <w:sz w:val="22"/>
                <w:szCs w:val="22"/>
              </w:rPr>
              <w:t>ene se tumače kao sekundarne usl</w:t>
            </w:r>
            <w:r w:rsidR="00D34772" w:rsidRPr="0016092F">
              <w:rPr>
                <w:rFonts w:ascii="Times New Roman" w:hAnsi="Times New Roman"/>
                <w:sz w:val="22"/>
                <w:szCs w:val="22"/>
              </w:rPr>
              <w:t>j</w:t>
            </w:r>
            <w:r w:rsidRPr="0016092F">
              <w:rPr>
                <w:rFonts w:ascii="Times New Roman" w:hAnsi="Times New Roman"/>
                <w:sz w:val="22"/>
                <w:szCs w:val="22"/>
              </w:rPr>
              <w:t>ed smanjen</w:t>
            </w:r>
            <w:r w:rsidR="00DC43DC" w:rsidRPr="0016092F">
              <w:rPr>
                <w:rFonts w:ascii="Times New Roman" w:hAnsi="Times New Roman"/>
                <w:sz w:val="22"/>
                <w:szCs w:val="22"/>
              </w:rPr>
              <w:t>og povećanja t</w:t>
            </w:r>
            <w:r w:rsidR="00D34772" w:rsidRPr="0016092F">
              <w:rPr>
                <w:rFonts w:ascii="Times New Roman" w:hAnsi="Times New Roman"/>
                <w:sz w:val="22"/>
                <w:szCs w:val="22"/>
              </w:rPr>
              <w:t>j</w:t>
            </w:r>
            <w:r w:rsidR="00DC43DC" w:rsidRPr="0016092F">
              <w:rPr>
                <w:rFonts w:ascii="Times New Roman" w:hAnsi="Times New Roman"/>
                <w:sz w:val="22"/>
                <w:szCs w:val="22"/>
              </w:rPr>
              <w:t>elesne mase ženke</w:t>
            </w:r>
            <w:r w:rsidRPr="0016092F">
              <w:rPr>
                <w:rFonts w:ascii="Times New Roman" w:hAnsi="Times New Roman"/>
                <w:sz w:val="22"/>
                <w:szCs w:val="22"/>
              </w:rPr>
              <w:t xml:space="preserve">, a njihov značaj za ljude nije poznat s obzirom na </w:t>
            </w:r>
            <w:r w:rsidR="00DC43DC" w:rsidRPr="0016092F">
              <w:rPr>
                <w:rFonts w:ascii="Times New Roman" w:hAnsi="Times New Roman"/>
                <w:sz w:val="22"/>
                <w:szCs w:val="22"/>
              </w:rPr>
              <w:t>vr</w:t>
            </w:r>
            <w:r w:rsidR="00D34772" w:rsidRPr="0016092F">
              <w:rPr>
                <w:rFonts w:ascii="Times New Roman" w:hAnsi="Times New Roman"/>
                <w:sz w:val="22"/>
                <w:szCs w:val="22"/>
              </w:rPr>
              <w:t>ij</w:t>
            </w:r>
            <w:r w:rsidR="00DC43DC" w:rsidRPr="0016092F">
              <w:rPr>
                <w:rFonts w:ascii="Times New Roman" w:hAnsi="Times New Roman"/>
                <w:sz w:val="22"/>
                <w:szCs w:val="22"/>
              </w:rPr>
              <w:t>ednosti</w:t>
            </w:r>
            <w:r w:rsidRPr="0016092F">
              <w:rPr>
                <w:rFonts w:ascii="Times New Roman" w:hAnsi="Times New Roman"/>
                <w:sz w:val="22"/>
                <w:szCs w:val="22"/>
              </w:rPr>
              <w:t xml:space="preserve"> terapijskih doza.</w:t>
            </w:r>
          </w:p>
          <w:p w:rsidR="001573AB" w:rsidRPr="0016092F" w:rsidRDefault="001573AB" w:rsidP="006F146B">
            <w:pPr>
              <w:pStyle w:val="Header"/>
              <w:tabs>
                <w:tab w:val="clear" w:pos="4536"/>
                <w:tab w:val="clear" w:pos="9072"/>
                <w:tab w:val="left" w:pos="284"/>
              </w:tabs>
              <w:rPr>
                <w:rFonts w:ascii="Times New Roman" w:hAnsi="Times New Roman"/>
                <w:sz w:val="22"/>
                <w:szCs w:val="22"/>
              </w:rPr>
            </w:pPr>
          </w:p>
        </w:tc>
      </w:tr>
      <w:tr w:rsidR="00834DBB" w:rsidRPr="0016092F" w:rsidTr="009559C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6. FARMACEUTSKI PODACI</w:t>
            </w:r>
          </w:p>
        </w:tc>
      </w:tr>
      <w:tr w:rsidR="00834DBB" w:rsidRPr="0016092F" w:rsidTr="009559CB">
        <w:trPr>
          <w:trHeight w:val="743"/>
        </w:trPr>
        <w:tc>
          <w:tcPr>
            <w:tcW w:w="5000" w:type="pct"/>
            <w:gridSpan w:val="4"/>
            <w:vAlign w:val="center"/>
          </w:tcPr>
          <w:p w:rsidR="006F146B" w:rsidRPr="0016092F" w:rsidRDefault="006F146B" w:rsidP="006F146B">
            <w:pPr>
              <w:pStyle w:val="Header"/>
              <w:tabs>
                <w:tab w:val="clear" w:pos="4536"/>
                <w:tab w:val="clear" w:pos="9072"/>
                <w:tab w:val="left" w:pos="284"/>
              </w:tabs>
              <w:rPr>
                <w:rFonts w:ascii="Times New Roman" w:hAnsi="Times New Roman"/>
                <w:b/>
                <w:bCs/>
                <w:sz w:val="22"/>
                <w:szCs w:val="22"/>
              </w:rPr>
            </w:pPr>
          </w:p>
          <w:p w:rsidR="006F146B" w:rsidRPr="0016092F" w:rsidRDefault="00834DB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b/>
                <w:bCs/>
                <w:sz w:val="22"/>
                <w:szCs w:val="22"/>
              </w:rPr>
              <w:t xml:space="preserve">6.1. Lista </w:t>
            </w:r>
            <w:r w:rsidR="002B6F6A" w:rsidRPr="0016092F">
              <w:rPr>
                <w:rFonts w:ascii="Times New Roman" w:hAnsi="Times New Roman"/>
                <w:b/>
                <w:bCs/>
                <w:sz w:val="22"/>
                <w:szCs w:val="22"/>
              </w:rPr>
              <w:t>pomoćnih supstanci</w:t>
            </w:r>
            <w:r w:rsidR="006F146B" w:rsidRPr="0016092F">
              <w:rPr>
                <w:rFonts w:ascii="Times New Roman" w:hAnsi="Times New Roman"/>
                <w:sz w:val="22"/>
                <w:szCs w:val="22"/>
              </w:rPr>
              <w:t xml:space="preserve"> </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Natrijum dihidrogenfosfat, dihidrat</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Dinatrijum fosfat, dihidrat</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Natrijum hlorid</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Glicin</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Polisorbat 80</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Hlorovodonična kiselina (za podešavanje pH vrijednosti)</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lastRenderedPageBreak/>
              <w:t>Natrijum hidroksid (za podešavanje pH vrijednosti)</w:t>
            </w:r>
          </w:p>
          <w:p w:rsidR="00834DB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Voda za injekciju</w:t>
            </w:r>
          </w:p>
        </w:tc>
      </w:tr>
      <w:tr w:rsidR="00834DBB" w:rsidRPr="0016092F" w:rsidTr="009559CB">
        <w:trPr>
          <w:trHeight w:val="939"/>
        </w:trPr>
        <w:tc>
          <w:tcPr>
            <w:tcW w:w="5000" w:type="pct"/>
            <w:gridSpan w:val="4"/>
            <w:vAlign w:val="center"/>
          </w:tcPr>
          <w:p w:rsidR="006F146B" w:rsidRPr="0016092F" w:rsidRDefault="00834DBB" w:rsidP="006F146B">
            <w:pPr>
              <w:pStyle w:val="Header"/>
              <w:tabs>
                <w:tab w:val="clear" w:pos="4536"/>
                <w:tab w:val="clear" w:pos="9072"/>
                <w:tab w:val="left" w:pos="284"/>
              </w:tabs>
              <w:spacing w:before="80" w:after="80"/>
              <w:rPr>
                <w:rFonts w:ascii="Times New Roman" w:hAnsi="Times New Roman"/>
                <w:sz w:val="22"/>
                <w:szCs w:val="22"/>
              </w:rPr>
            </w:pPr>
            <w:r w:rsidRPr="0016092F">
              <w:rPr>
                <w:rFonts w:ascii="Times New Roman" w:hAnsi="Times New Roman"/>
                <w:b/>
                <w:bCs/>
                <w:sz w:val="22"/>
                <w:szCs w:val="22"/>
              </w:rPr>
              <w:lastRenderedPageBreak/>
              <w:t>6.2. Inkompatibilnost</w:t>
            </w:r>
            <w:r w:rsidR="00D34772" w:rsidRPr="0016092F">
              <w:rPr>
                <w:rFonts w:ascii="Times New Roman" w:hAnsi="Times New Roman"/>
                <w:b/>
                <w:bCs/>
                <w:sz w:val="22"/>
                <w:szCs w:val="22"/>
              </w:rPr>
              <w:t>i</w:t>
            </w:r>
            <w:r w:rsidR="006F146B" w:rsidRPr="0016092F">
              <w:rPr>
                <w:rFonts w:ascii="Times New Roman" w:hAnsi="Times New Roman"/>
                <w:sz w:val="22"/>
                <w:szCs w:val="22"/>
              </w:rPr>
              <w:t xml:space="preserve"> </w:t>
            </w:r>
          </w:p>
          <w:p w:rsidR="00834DBB" w:rsidRPr="0016092F" w:rsidRDefault="006F146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sz w:val="22"/>
                <w:szCs w:val="22"/>
              </w:rPr>
              <w:t>U odsustvu kompatibilnih studija, ovaj lijek se ne smije miješati sa ostalim ljekovima.</w:t>
            </w:r>
          </w:p>
        </w:tc>
      </w:tr>
      <w:tr w:rsidR="00834DBB" w:rsidRPr="0016092F" w:rsidTr="009559CB">
        <w:trPr>
          <w:trHeight w:val="1022"/>
        </w:trPr>
        <w:tc>
          <w:tcPr>
            <w:tcW w:w="5000" w:type="pct"/>
            <w:gridSpan w:val="4"/>
            <w:vAlign w:val="center"/>
          </w:tcPr>
          <w:p w:rsidR="006F146B" w:rsidRPr="0016092F" w:rsidRDefault="00834DB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b/>
                <w:bCs/>
                <w:sz w:val="22"/>
                <w:szCs w:val="22"/>
              </w:rPr>
              <w:t>6.3. Rok upotrebe</w:t>
            </w:r>
          </w:p>
          <w:p w:rsidR="00834DBB" w:rsidRPr="0016092F" w:rsidRDefault="006F146B" w:rsidP="006F146B">
            <w:pPr>
              <w:pStyle w:val="Header"/>
              <w:tabs>
                <w:tab w:val="clear" w:pos="4536"/>
                <w:tab w:val="clear" w:pos="9072"/>
                <w:tab w:val="left" w:pos="284"/>
              </w:tabs>
              <w:spacing w:before="80" w:after="80"/>
              <w:rPr>
                <w:rFonts w:ascii="Times New Roman" w:hAnsi="Times New Roman"/>
                <w:b/>
                <w:bCs/>
                <w:sz w:val="22"/>
                <w:szCs w:val="22"/>
              </w:rPr>
            </w:pPr>
            <w:r w:rsidRPr="0016092F">
              <w:rPr>
                <w:rFonts w:ascii="Times New Roman" w:hAnsi="Times New Roman"/>
                <w:sz w:val="22"/>
                <w:szCs w:val="22"/>
              </w:rPr>
              <w:t>2 godine.</w:t>
            </w:r>
          </w:p>
        </w:tc>
      </w:tr>
      <w:tr w:rsidR="00834DBB" w:rsidRPr="0016092F" w:rsidTr="009559CB">
        <w:trPr>
          <w:trHeight w:val="2255"/>
        </w:trPr>
        <w:tc>
          <w:tcPr>
            <w:tcW w:w="5000" w:type="pct"/>
            <w:gridSpan w:val="4"/>
            <w:vAlign w:val="center"/>
          </w:tcPr>
          <w:p w:rsidR="006F146B" w:rsidRPr="0016092F" w:rsidRDefault="00834DB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b/>
                <w:bCs/>
                <w:sz w:val="22"/>
                <w:szCs w:val="22"/>
              </w:rPr>
              <w:t>6.4. Posebne m</w:t>
            </w:r>
            <w:r w:rsidR="00D34772" w:rsidRPr="0016092F">
              <w:rPr>
                <w:rFonts w:ascii="Times New Roman" w:hAnsi="Times New Roman"/>
                <w:b/>
                <w:bCs/>
                <w:sz w:val="22"/>
                <w:szCs w:val="22"/>
              </w:rPr>
              <w:t>j</w:t>
            </w:r>
            <w:r w:rsidRPr="0016092F">
              <w:rPr>
                <w:rFonts w:ascii="Times New Roman" w:hAnsi="Times New Roman"/>
                <w:b/>
                <w:bCs/>
                <w:sz w:val="22"/>
                <w:szCs w:val="22"/>
              </w:rPr>
              <w:t>ere upozorenja pri čuvanju</w:t>
            </w:r>
            <w:r w:rsidR="00D34772" w:rsidRPr="0016092F">
              <w:rPr>
                <w:rFonts w:ascii="Times New Roman" w:hAnsi="Times New Roman"/>
                <w:b/>
                <w:bCs/>
                <w:sz w:val="22"/>
                <w:szCs w:val="22"/>
              </w:rPr>
              <w:t xml:space="preserve"> lijeka</w:t>
            </w:r>
            <w:r w:rsidR="006F146B" w:rsidRPr="0016092F">
              <w:rPr>
                <w:rFonts w:ascii="Times New Roman" w:hAnsi="Times New Roman"/>
                <w:sz w:val="22"/>
                <w:szCs w:val="22"/>
              </w:rPr>
              <w:t xml:space="preserve"> </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Čuvati i transportovati u frižideru (2ºC- 8ºC). Navedeni temperaturni raspon je potrebno pažljivo održavati sve do primjene lijeka pacijentu.</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Ne zamrzavati i protresati.</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Čuvati u napunjenom injekcionom špricu, u spoljašnjem pakovanju, radi zaštite od svjetlosti.</w:t>
            </w:r>
          </w:p>
          <w:p w:rsidR="00834DB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Za ambulantnu upotrebu, pacijent može izvaditi lijek Binocrit iz frižidera i čuvati na temperaturi do 25ºC, bez vraćanja u frižider, u periodu do 3 dana. Ukoliko se ne primijeni u tom periodu, lijek je potrebno baciti.</w:t>
            </w:r>
          </w:p>
        </w:tc>
      </w:tr>
      <w:tr w:rsidR="00834DBB" w:rsidRPr="0016092F" w:rsidTr="009559CB">
        <w:trPr>
          <w:trHeight w:val="3252"/>
        </w:trPr>
        <w:tc>
          <w:tcPr>
            <w:tcW w:w="5000" w:type="pct"/>
            <w:gridSpan w:val="4"/>
            <w:vAlign w:val="center"/>
          </w:tcPr>
          <w:p w:rsidR="006F146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 xml:space="preserve">6.5. </w:t>
            </w:r>
            <w:r w:rsidR="00D34772" w:rsidRPr="0016092F">
              <w:rPr>
                <w:rFonts w:ascii="Times New Roman" w:hAnsi="Times New Roman"/>
                <w:b/>
                <w:bCs/>
                <w:sz w:val="22"/>
                <w:szCs w:val="22"/>
              </w:rPr>
              <w:t>Vrsta i sadržaj pakovanja</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U blisteru se nalazi napunjeni injekcioni špric (staklo tip I), sa ili bez zaštitnog poklopca za iglu,sa klipom (gumeni zatvarač obmotan teflonom).</w:t>
            </w:r>
          </w:p>
          <w:p w:rsidR="006F146B" w:rsidRPr="0016092F" w:rsidRDefault="006F146B" w:rsidP="006F146B">
            <w:pPr>
              <w:rPr>
                <w:rFonts w:ascii="Times New Roman" w:hAnsi="Times New Roman"/>
                <w:sz w:val="22"/>
                <w:szCs w:val="22"/>
                <w:u w:val="single"/>
              </w:rPr>
            </w:pPr>
          </w:p>
          <w:p w:rsidR="006F146B" w:rsidRPr="0016092F" w:rsidRDefault="006F146B" w:rsidP="006F146B">
            <w:pPr>
              <w:rPr>
                <w:rFonts w:ascii="Times New Roman" w:hAnsi="Times New Roman"/>
                <w:sz w:val="22"/>
                <w:szCs w:val="22"/>
                <w:u w:val="single"/>
              </w:rPr>
            </w:pPr>
            <w:r w:rsidRPr="0016092F">
              <w:rPr>
                <w:rFonts w:ascii="Times New Roman" w:hAnsi="Times New Roman"/>
                <w:sz w:val="22"/>
                <w:szCs w:val="22"/>
                <w:u w:val="single"/>
              </w:rPr>
              <w:t>Binocrit  rastvor za injekcije 2,000 i.j./ ml</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Injekcioni špric sadrži 1 ml (2,000 i.j.) rastvora.</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6F146B" w:rsidRPr="0016092F" w:rsidRDefault="006F146B" w:rsidP="006F146B">
            <w:pPr>
              <w:rPr>
                <w:rFonts w:ascii="Times New Roman" w:hAnsi="Times New Roman"/>
                <w:sz w:val="22"/>
                <w:szCs w:val="22"/>
                <w:u w:val="single"/>
              </w:rPr>
            </w:pPr>
            <w:r w:rsidRPr="0016092F">
              <w:rPr>
                <w:rFonts w:ascii="Times New Roman" w:hAnsi="Times New Roman"/>
                <w:sz w:val="22"/>
                <w:szCs w:val="22"/>
                <w:u w:val="single"/>
              </w:rPr>
              <w:t>Binocrit rastvor za injekcije 10,000 i.j./ ml</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Injekcioni špric sadrži 1 ml (10,000 i.j.) rastvora.</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834DBB" w:rsidRPr="0016092F" w:rsidRDefault="006F146B"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rPr>
              <w:t>Pakovanje sadrži 6 napunjenih injekcionih špriceva.</w:t>
            </w:r>
          </w:p>
        </w:tc>
      </w:tr>
      <w:tr w:rsidR="00834DBB" w:rsidRPr="0016092F" w:rsidTr="009559CB">
        <w:trPr>
          <w:trHeight w:val="2019"/>
        </w:trPr>
        <w:tc>
          <w:tcPr>
            <w:tcW w:w="5000" w:type="pct"/>
            <w:gridSpan w:val="4"/>
            <w:vAlign w:val="center"/>
          </w:tcPr>
          <w:p w:rsidR="006F146B" w:rsidRPr="0016092F" w:rsidRDefault="00834DBB" w:rsidP="006F146B">
            <w:pPr>
              <w:pStyle w:val="Header"/>
              <w:tabs>
                <w:tab w:val="clear" w:pos="4536"/>
                <w:tab w:val="clear" w:pos="9072"/>
                <w:tab w:val="left" w:pos="284"/>
              </w:tabs>
              <w:jc w:val="left"/>
              <w:rPr>
                <w:rFonts w:ascii="Times New Roman" w:hAnsi="Times New Roman"/>
                <w:b/>
                <w:bCs/>
                <w:sz w:val="22"/>
                <w:szCs w:val="22"/>
              </w:rPr>
            </w:pPr>
            <w:r w:rsidRPr="0016092F">
              <w:rPr>
                <w:rFonts w:ascii="Times New Roman" w:hAnsi="Times New Roman"/>
                <w:b/>
                <w:bCs/>
                <w:sz w:val="22"/>
                <w:szCs w:val="22"/>
              </w:rPr>
              <w:t>6.6. Posebne m</w:t>
            </w:r>
            <w:r w:rsidR="00A33152" w:rsidRPr="0016092F">
              <w:rPr>
                <w:rFonts w:ascii="Times New Roman" w:hAnsi="Times New Roman"/>
                <w:b/>
                <w:bCs/>
                <w:sz w:val="22"/>
                <w:szCs w:val="22"/>
              </w:rPr>
              <w:t>j</w:t>
            </w:r>
            <w:r w:rsidRPr="0016092F">
              <w:rPr>
                <w:rFonts w:ascii="Times New Roman" w:hAnsi="Times New Roman"/>
                <w:b/>
                <w:bCs/>
                <w:sz w:val="22"/>
                <w:szCs w:val="22"/>
              </w:rPr>
              <w:t>ere opreza pri odlaganju materijala koji treba odbaciti nakon prim</w:t>
            </w:r>
            <w:r w:rsidR="00A33152" w:rsidRPr="0016092F">
              <w:rPr>
                <w:rFonts w:ascii="Times New Roman" w:hAnsi="Times New Roman"/>
                <w:b/>
                <w:bCs/>
                <w:sz w:val="22"/>
                <w:szCs w:val="22"/>
              </w:rPr>
              <w:t>j</w:t>
            </w:r>
            <w:r w:rsidRPr="0016092F">
              <w:rPr>
                <w:rFonts w:ascii="Times New Roman" w:hAnsi="Times New Roman"/>
                <w:b/>
                <w:bCs/>
                <w:sz w:val="22"/>
                <w:szCs w:val="22"/>
              </w:rPr>
              <w:t>ene l</w:t>
            </w:r>
            <w:r w:rsidR="00A33152" w:rsidRPr="0016092F">
              <w:rPr>
                <w:rFonts w:ascii="Times New Roman" w:hAnsi="Times New Roman"/>
                <w:b/>
                <w:bCs/>
                <w:sz w:val="22"/>
                <w:szCs w:val="22"/>
              </w:rPr>
              <w:t>ij</w:t>
            </w:r>
            <w:r w:rsidRPr="0016092F">
              <w:rPr>
                <w:rFonts w:ascii="Times New Roman" w:hAnsi="Times New Roman"/>
                <w:b/>
                <w:bCs/>
                <w:sz w:val="22"/>
                <w:szCs w:val="22"/>
              </w:rPr>
              <w:t>eka</w:t>
            </w:r>
          </w:p>
          <w:p w:rsidR="009E18D1" w:rsidRPr="0016092F" w:rsidRDefault="009E18D1" w:rsidP="006F146B">
            <w:pPr>
              <w:pStyle w:val="Header"/>
              <w:tabs>
                <w:tab w:val="clear" w:pos="4536"/>
                <w:tab w:val="clear" w:pos="9072"/>
                <w:tab w:val="left" w:pos="284"/>
              </w:tabs>
              <w:jc w:val="left"/>
              <w:rPr>
                <w:rFonts w:ascii="Times New Roman" w:hAnsi="Times New Roman"/>
                <w:sz w:val="22"/>
                <w:szCs w:val="22"/>
              </w:rPr>
            </w:pPr>
          </w:p>
          <w:p w:rsidR="006F146B" w:rsidRPr="0016092F" w:rsidRDefault="006F146B" w:rsidP="006F146B">
            <w:pPr>
              <w:pStyle w:val="Header"/>
              <w:tabs>
                <w:tab w:val="clear" w:pos="4536"/>
                <w:tab w:val="clear" w:pos="9072"/>
                <w:tab w:val="left" w:pos="284"/>
              </w:tabs>
              <w:jc w:val="left"/>
              <w:rPr>
                <w:rFonts w:ascii="Times New Roman" w:hAnsi="Times New Roman"/>
                <w:sz w:val="22"/>
                <w:szCs w:val="22"/>
              </w:rPr>
            </w:pPr>
            <w:r w:rsidRPr="0016092F">
              <w:rPr>
                <w:rFonts w:ascii="Times New Roman" w:hAnsi="Times New Roman"/>
                <w:sz w:val="22"/>
                <w:szCs w:val="22"/>
              </w:rPr>
              <w:t>Lijek Binocrit se ne smije primjenjivati :</w:t>
            </w:r>
          </w:p>
          <w:p w:rsidR="006F146B" w:rsidRPr="0016092F" w:rsidRDefault="006F146B" w:rsidP="006F146B">
            <w:pPr>
              <w:pStyle w:val="Header"/>
              <w:tabs>
                <w:tab w:val="clear" w:pos="4536"/>
                <w:tab w:val="clear" w:pos="9072"/>
                <w:tab w:val="left" w:pos="284"/>
              </w:tabs>
              <w:jc w:val="left"/>
              <w:rPr>
                <w:rFonts w:ascii="Times New Roman" w:hAnsi="Times New Roman"/>
                <w:sz w:val="22"/>
                <w:szCs w:val="22"/>
              </w:rPr>
            </w:pPr>
            <w:r w:rsidRPr="0016092F">
              <w:rPr>
                <w:rFonts w:ascii="Times New Roman" w:hAnsi="Times New Roman"/>
                <w:sz w:val="22"/>
                <w:szCs w:val="22"/>
              </w:rPr>
              <w:t>- ako je rastvor mutan ili ima čestica u njemu</w:t>
            </w:r>
          </w:p>
          <w:p w:rsidR="006F146B" w:rsidRPr="0016092F" w:rsidRDefault="006F146B" w:rsidP="006F146B">
            <w:pPr>
              <w:pStyle w:val="Header"/>
              <w:tabs>
                <w:tab w:val="clear" w:pos="4536"/>
                <w:tab w:val="clear" w:pos="9072"/>
                <w:tab w:val="left" w:pos="284"/>
              </w:tabs>
              <w:jc w:val="left"/>
              <w:rPr>
                <w:rFonts w:ascii="Times New Roman" w:hAnsi="Times New Roman"/>
                <w:sz w:val="22"/>
                <w:szCs w:val="22"/>
              </w:rPr>
            </w:pPr>
            <w:r w:rsidRPr="0016092F">
              <w:rPr>
                <w:rFonts w:ascii="Times New Roman" w:hAnsi="Times New Roman"/>
                <w:sz w:val="22"/>
                <w:szCs w:val="22"/>
              </w:rPr>
              <w:t xml:space="preserve">- ako je oštećena zaštitna folija </w:t>
            </w:r>
          </w:p>
          <w:p w:rsidR="006F146B" w:rsidRPr="0016092F" w:rsidRDefault="006F146B" w:rsidP="006F146B">
            <w:pPr>
              <w:pStyle w:val="Header"/>
              <w:tabs>
                <w:tab w:val="clear" w:pos="4536"/>
                <w:tab w:val="clear" w:pos="9072"/>
                <w:tab w:val="left" w:pos="284"/>
              </w:tabs>
              <w:jc w:val="left"/>
              <w:rPr>
                <w:rFonts w:ascii="Times New Roman" w:hAnsi="Times New Roman"/>
                <w:sz w:val="22"/>
                <w:szCs w:val="22"/>
              </w:rPr>
            </w:pPr>
            <w:r w:rsidRPr="0016092F">
              <w:rPr>
                <w:rFonts w:ascii="Times New Roman" w:hAnsi="Times New Roman"/>
                <w:sz w:val="22"/>
                <w:szCs w:val="22"/>
              </w:rPr>
              <w:t>- ako je, ili mislite da je, rastvor slučajno zamrznut</w:t>
            </w:r>
          </w:p>
          <w:p w:rsidR="006F146B" w:rsidRPr="0016092F" w:rsidRDefault="006F146B" w:rsidP="006F146B">
            <w:pPr>
              <w:pStyle w:val="Header"/>
              <w:tabs>
                <w:tab w:val="clear" w:pos="4536"/>
                <w:tab w:val="clear" w:pos="9072"/>
                <w:tab w:val="left" w:pos="284"/>
              </w:tabs>
              <w:jc w:val="left"/>
              <w:rPr>
                <w:rFonts w:ascii="Times New Roman" w:hAnsi="Times New Roman"/>
                <w:sz w:val="22"/>
                <w:szCs w:val="22"/>
              </w:rPr>
            </w:pPr>
            <w:r w:rsidRPr="0016092F">
              <w:rPr>
                <w:rFonts w:ascii="Times New Roman" w:hAnsi="Times New Roman"/>
                <w:sz w:val="22"/>
                <w:szCs w:val="22"/>
              </w:rPr>
              <w:t>- ako je došlo do kvara frižidera</w:t>
            </w:r>
          </w:p>
          <w:p w:rsidR="006F146B" w:rsidRPr="0016092F" w:rsidRDefault="006F146B" w:rsidP="006F146B">
            <w:pPr>
              <w:pStyle w:val="Header"/>
              <w:tabs>
                <w:tab w:val="clear" w:pos="4536"/>
                <w:tab w:val="clear" w:pos="9072"/>
                <w:tab w:val="left" w:pos="284"/>
              </w:tabs>
              <w:jc w:val="left"/>
              <w:rPr>
                <w:rFonts w:ascii="Times New Roman" w:hAnsi="Times New Roman"/>
                <w:sz w:val="22"/>
                <w:szCs w:val="22"/>
              </w:rPr>
            </w:pP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Napunjeni injekcioni špricevi su spremni za upotrebu (vidjeti odjeljak 4.2). Napunjeni injekcioni špric ne treba protresati. Injekcioni špricevi imaju utisnute granuisane prstenova da bi se omogućila, po potrebi, parcijalna upotreba lijeka. Svaki graduisani prsten odgovara količini od 0.1 ml. Napunjeni injekcioni špric je za jednokratnu upotrebu. Uzmite samo jednu dozu lijeka Binocrit iz svakog injekcionog šprica, uklanjajući višak rastvora prije injekcije.</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9E18D1" w:rsidRPr="0016092F" w:rsidRDefault="009E18D1" w:rsidP="006F146B">
            <w:pPr>
              <w:pStyle w:val="Header"/>
              <w:tabs>
                <w:tab w:val="clear" w:pos="4536"/>
                <w:tab w:val="clear" w:pos="9072"/>
                <w:tab w:val="left" w:pos="284"/>
              </w:tabs>
              <w:rPr>
                <w:rFonts w:ascii="Times New Roman" w:hAnsi="Times New Roman"/>
                <w:sz w:val="22"/>
                <w:szCs w:val="22"/>
                <w:u w:val="single"/>
              </w:rPr>
            </w:pPr>
          </w:p>
          <w:p w:rsidR="009E18D1" w:rsidRPr="0016092F" w:rsidRDefault="009E18D1" w:rsidP="006F146B">
            <w:pPr>
              <w:pStyle w:val="Header"/>
              <w:tabs>
                <w:tab w:val="clear" w:pos="4536"/>
                <w:tab w:val="clear" w:pos="9072"/>
                <w:tab w:val="left" w:pos="284"/>
              </w:tabs>
              <w:rPr>
                <w:rFonts w:ascii="Times New Roman" w:hAnsi="Times New Roman"/>
                <w:sz w:val="22"/>
                <w:szCs w:val="22"/>
                <w:u w:val="single"/>
              </w:rPr>
            </w:pPr>
          </w:p>
          <w:p w:rsidR="006F146B" w:rsidRPr="0016092F" w:rsidRDefault="006F146B"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lastRenderedPageBreak/>
              <w:t>Upotreba napunjenog injekcionog šprica sa zaštitnim poklopcem za iglu</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Zaštitni poklopac za iglu prekriva iglu nakon ubriglavanja lijeka kako bi se spriječile povrede izazvane ubodom igle. Ovo ne utiče na normalno rukovanje špricem. Pritisnite klip polako i i ujednačeno sve dok ne primijenite cjelokupnu dozu lijeka i klip se više ne može pritiskati. Dok vršite pritisak na klip, izvadite špric iz kože pacijenta. Zaštitni poklopac će prekriti iglu kada pustite klip.</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6F146B" w:rsidRPr="0016092F" w:rsidRDefault="006F146B" w:rsidP="006F146B">
            <w:pPr>
              <w:pStyle w:val="Header"/>
              <w:tabs>
                <w:tab w:val="clear" w:pos="4536"/>
                <w:tab w:val="clear" w:pos="9072"/>
                <w:tab w:val="left" w:pos="284"/>
              </w:tabs>
              <w:rPr>
                <w:rFonts w:ascii="Times New Roman" w:hAnsi="Times New Roman"/>
                <w:sz w:val="22"/>
                <w:szCs w:val="22"/>
                <w:u w:val="single"/>
              </w:rPr>
            </w:pPr>
            <w:r w:rsidRPr="0016092F">
              <w:rPr>
                <w:rFonts w:ascii="Times New Roman" w:hAnsi="Times New Roman"/>
                <w:sz w:val="22"/>
                <w:szCs w:val="22"/>
                <w:u w:val="single"/>
              </w:rPr>
              <w:t>Upotreba napunjenog injekcionog šprica bez zaštitnog poklopcea za iglu</w:t>
            </w:r>
          </w:p>
          <w:p w:rsidR="006F146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Primijenite dozu prema standardnom protokolu.</w:t>
            </w:r>
          </w:p>
          <w:p w:rsidR="006F146B" w:rsidRPr="0016092F" w:rsidRDefault="006F146B" w:rsidP="006F146B">
            <w:pPr>
              <w:pStyle w:val="Header"/>
              <w:tabs>
                <w:tab w:val="clear" w:pos="4536"/>
                <w:tab w:val="clear" w:pos="9072"/>
                <w:tab w:val="left" w:pos="284"/>
              </w:tabs>
              <w:rPr>
                <w:rFonts w:ascii="Times New Roman" w:hAnsi="Times New Roman"/>
                <w:sz w:val="22"/>
                <w:szCs w:val="22"/>
              </w:rPr>
            </w:pPr>
          </w:p>
          <w:p w:rsidR="00834DBB" w:rsidRPr="0016092F" w:rsidRDefault="006F146B" w:rsidP="006F146B">
            <w:pPr>
              <w:pStyle w:val="Header"/>
              <w:tabs>
                <w:tab w:val="clear" w:pos="4536"/>
                <w:tab w:val="clear" w:pos="9072"/>
                <w:tab w:val="left" w:pos="284"/>
              </w:tabs>
              <w:rPr>
                <w:rFonts w:ascii="Times New Roman" w:hAnsi="Times New Roman"/>
                <w:sz w:val="22"/>
                <w:szCs w:val="22"/>
              </w:rPr>
            </w:pPr>
            <w:r w:rsidRPr="0016092F">
              <w:rPr>
                <w:rFonts w:ascii="Times New Roman" w:hAnsi="Times New Roman"/>
                <w:sz w:val="22"/>
                <w:szCs w:val="22"/>
              </w:rPr>
              <w:t>Nema posebnih zahtjeva za odlaganje materijala nakon primjene lijeka.</w:t>
            </w:r>
          </w:p>
        </w:tc>
      </w:tr>
      <w:tr w:rsidR="00834DBB" w:rsidRPr="0016092F" w:rsidTr="009559CB">
        <w:trPr>
          <w:trHeight w:val="842"/>
        </w:trPr>
        <w:tc>
          <w:tcPr>
            <w:tcW w:w="5000" w:type="pct"/>
            <w:gridSpan w:val="4"/>
            <w:vAlign w:val="center"/>
          </w:tcPr>
          <w:p w:rsidR="00A33152" w:rsidRPr="0016092F" w:rsidRDefault="00A33152" w:rsidP="006F146B">
            <w:pPr>
              <w:tabs>
                <w:tab w:val="left" w:pos="540"/>
                <w:tab w:val="left" w:pos="569"/>
              </w:tabs>
              <w:rPr>
                <w:rFonts w:ascii="Times New Roman" w:hAnsi="Times New Roman"/>
                <w:b/>
                <w:bCs/>
                <w:sz w:val="22"/>
                <w:szCs w:val="22"/>
              </w:rPr>
            </w:pPr>
            <w:r w:rsidRPr="0016092F">
              <w:rPr>
                <w:rFonts w:ascii="Times New Roman" w:hAnsi="Times New Roman"/>
                <w:b/>
                <w:bCs/>
                <w:sz w:val="22"/>
                <w:szCs w:val="22"/>
              </w:rPr>
              <w:lastRenderedPageBreak/>
              <w:t xml:space="preserve">6.7. </w:t>
            </w:r>
            <w:r w:rsidRPr="0016092F">
              <w:rPr>
                <w:rFonts w:ascii="Times New Roman" w:hAnsi="Times New Roman"/>
                <w:b/>
                <w:bCs/>
                <w:sz w:val="22"/>
                <w:szCs w:val="22"/>
              </w:rPr>
              <w:tab/>
              <w:t>Režim izdavanja lijeka</w:t>
            </w:r>
          </w:p>
          <w:p w:rsidR="00A33152" w:rsidRPr="0016092F" w:rsidRDefault="00A33152" w:rsidP="009559CB">
            <w:pPr>
              <w:tabs>
                <w:tab w:val="left" w:pos="540"/>
                <w:tab w:val="left" w:pos="569"/>
              </w:tabs>
              <w:rPr>
                <w:rFonts w:ascii="Times New Roman" w:hAnsi="Times New Roman"/>
                <w:bCs/>
                <w:sz w:val="22"/>
                <w:szCs w:val="22"/>
              </w:rPr>
            </w:pPr>
            <w:r w:rsidRPr="0016092F">
              <w:rPr>
                <w:rFonts w:ascii="Times New Roman" w:hAnsi="Times New Roman"/>
                <w:bCs/>
                <w:sz w:val="22"/>
                <w:szCs w:val="22"/>
              </w:rPr>
              <w:t>Ograničen recept.</w:t>
            </w:r>
          </w:p>
        </w:tc>
      </w:tr>
      <w:tr w:rsidR="00834DBB" w:rsidRPr="0016092F" w:rsidTr="009559CB">
        <w:trPr>
          <w:trHeight w:val="356"/>
        </w:trPr>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 xml:space="preserve">7. NOSILAC DOZVOLE </w:t>
            </w:r>
          </w:p>
        </w:tc>
      </w:tr>
      <w:tr w:rsidR="00834DBB" w:rsidRPr="0016092F" w:rsidTr="009559CB">
        <w:trPr>
          <w:trHeight w:val="1082"/>
        </w:trPr>
        <w:tc>
          <w:tcPr>
            <w:tcW w:w="5000" w:type="pct"/>
            <w:gridSpan w:val="4"/>
            <w:vAlign w:val="center"/>
          </w:tcPr>
          <w:p w:rsidR="00A33152" w:rsidRPr="0016092F" w:rsidRDefault="00A33152" w:rsidP="006F146B">
            <w:pPr>
              <w:widowControl w:val="0"/>
              <w:autoSpaceDE w:val="0"/>
              <w:autoSpaceDN w:val="0"/>
              <w:rPr>
                <w:rFonts w:ascii="Times New Roman" w:hAnsi="Times New Roman"/>
                <w:bCs/>
                <w:sz w:val="22"/>
                <w:szCs w:val="22"/>
              </w:rPr>
            </w:pPr>
            <w:r w:rsidRPr="0016092F">
              <w:rPr>
                <w:rFonts w:ascii="Times New Roman" w:hAnsi="Times New Roman"/>
                <w:bCs/>
                <w:sz w:val="22"/>
                <w:szCs w:val="22"/>
              </w:rPr>
              <w:t>Glosarij d</w:t>
            </w:r>
            <w:r w:rsidR="006D47F9" w:rsidRPr="0016092F">
              <w:rPr>
                <w:rFonts w:ascii="Times New Roman" w:hAnsi="Times New Roman"/>
                <w:bCs/>
                <w:sz w:val="22"/>
                <w:szCs w:val="22"/>
              </w:rPr>
              <w:t>.</w:t>
            </w:r>
            <w:r w:rsidRPr="0016092F">
              <w:rPr>
                <w:rFonts w:ascii="Times New Roman" w:hAnsi="Times New Roman"/>
                <w:bCs/>
                <w:sz w:val="22"/>
                <w:szCs w:val="22"/>
              </w:rPr>
              <w:t>o</w:t>
            </w:r>
            <w:r w:rsidR="006D47F9" w:rsidRPr="0016092F">
              <w:rPr>
                <w:rFonts w:ascii="Times New Roman" w:hAnsi="Times New Roman"/>
                <w:bCs/>
                <w:sz w:val="22"/>
                <w:szCs w:val="22"/>
              </w:rPr>
              <w:t>.</w:t>
            </w:r>
            <w:r w:rsidRPr="0016092F">
              <w:rPr>
                <w:rFonts w:ascii="Times New Roman" w:hAnsi="Times New Roman"/>
                <w:bCs/>
                <w:sz w:val="22"/>
                <w:szCs w:val="22"/>
              </w:rPr>
              <w:t>o</w:t>
            </w:r>
            <w:r w:rsidR="006D47F9" w:rsidRPr="0016092F">
              <w:rPr>
                <w:rFonts w:ascii="Times New Roman" w:hAnsi="Times New Roman"/>
                <w:bCs/>
                <w:sz w:val="22"/>
                <w:szCs w:val="22"/>
              </w:rPr>
              <w:t>.</w:t>
            </w:r>
          </w:p>
          <w:p w:rsidR="00321C95" w:rsidRPr="0016092F" w:rsidRDefault="00A33152" w:rsidP="006F146B">
            <w:pPr>
              <w:widowControl w:val="0"/>
              <w:autoSpaceDE w:val="0"/>
              <w:autoSpaceDN w:val="0"/>
              <w:rPr>
                <w:rFonts w:ascii="Times New Roman" w:hAnsi="Times New Roman"/>
                <w:bCs/>
                <w:sz w:val="22"/>
                <w:szCs w:val="22"/>
              </w:rPr>
            </w:pPr>
            <w:r w:rsidRPr="0016092F">
              <w:rPr>
                <w:rFonts w:ascii="Times New Roman" w:hAnsi="Times New Roman"/>
                <w:bCs/>
                <w:sz w:val="22"/>
                <w:szCs w:val="22"/>
              </w:rPr>
              <w:t>Vojislavljevića 76, Podgorica, Crna Gora</w:t>
            </w:r>
          </w:p>
        </w:tc>
      </w:tr>
      <w:tr w:rsidR="00834DBB" w:rsidRPr="0016092F" w:rsidTr="006F146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 xml:space="preserve">8. BROJ PRVE DOZVOLE </w:t>
            </w:r>
            <w:r w:rsidR="006D59F7" w:rsidRPr="0016092F">
              <w:rPr>
                <w:rFonts w:ascii="Times New Roman" w:hAnsi="Times New Roman"/>
                <w:b/>
                <w:bCs/>
                <w:sz w:val="22"/>
                <w:szCs w:val="22"/>
              </w:rPr>
              <w:t>/</w:t>
            </w:r>
            <w:r w:rsidRPr="0016092F">
              <w:rPr>
                <w:rFonts w:ascii="Times New Roman" w:hAnsi="Times New Roman"/>
                <w:b/>
                <w:bCs/>
                <w:sz w:val="22"/>
                <w:szCs w:val="22"/>
              </w:rPr>
              <w:t xml:space="preserve"> OBNOVE DOZVOLE</w:t>
            </w:r>
          </w:p>
        </w:tc>
      </w:tr>
      <w:tr w:rsidR="00834DBB" w:rsidRPr="0016092F" w:rsidTr="009559CB">
        <w:trPr>
          <w:trHeight w:val="1582"/>
        </w:trPr>
        <w:tc>
          <w:tcPr>
            <w:tcW w:w="5000" w:type="pct"/>
            <w:gridSpan w:val="4"/>
            <w:vAlign w:val="center"/>
          </w:tcPr>
          <w:p w:rsidR="009559CB" w:rsidRPr="0016092F" w:rsidRDefault="009559CB" w:rsidP="009559CB">
            <w:pPr>
              <w:pStyle w:val="NoSpacing"/>
              <w:jc w:val="both"/>
              <w:rPr>
                <w:noProof/>
                <w:sz w:val="22"/>
                <w:lang w:val="sr-Latn-ME"/>
              </w:rPr>
            </w:pPr>
            <w:r w:rsidRPr="0016092F">
              <w:rPr>
                <w:noProof/>
                <w:sz w:val="22"/>
                <w:lang w:val="sr-Latn-ME"/>
              </w:rPr>
              <w:t xml:space="preserve">Binocrit®, rastvor za injekciju u napunjenom injekcionom špricu, 2,000 i.j./ml, napunjeni injekcioni špric, 6 x 1ml: </w:t>
            </w:r>
            <w:r w:rsidR="00F80827" w:rsidRPr="00F80827">
              <w:rPr>
                <w:noProof/>
                <w:sz w:val="22"/>
                <w:lang w:val="sr-Latn-ME"/>
              </w:rPr>
              <w:t>2030/16/182 - 6304</w:t>
            </w:r>
          </w:p>
          <w:p w:rsidR="00834DBB" w:rsidRPr="0016092F" w:rsidRDefault="009559CB" w:rsidP="00F80827">
            <w:pPr>
              <w:pStyle w:val="NoSpacing"/>
              <w:jc w:val="both"/>
              <w:rPr>
                <w:noProof/>
                <w:sz w:val="22"/>
                <w:lang w:val="sr-Latn-ME"/>
              </w:rPr>
            </w:pPr>
            <w:r w:rsidRPr="0016092F">
              <w:rPr>
                <w:noProof/>
                <w:sz w:val="22"/>
                <w:lang w:val="sr-Latn-ME"/>
              </w:rPr>
              <w:t xml:space="preserve">Binocrit®, rastvor za injekciju u napunjenom injekcionom špricu, 10,000 i.j./ml, napunjeni injekcioni špric, 6 x 1ml: </w:t>
            </w:r>
            <w:r w:rsidR="00510034" w:rsidRPr="00510034">
              <w:rPr>
                <w:noProof/>
                <w:sz w:val="22"/>
                <w:lang w:val="sr-Latn-ME"/>
              </w:rPr>
              <w:t xml:space="preserve">2030/16/181 </w:t>
            </w:r>
            <w:r w:rsidR="00510034">
              <w:rPr>
                <w:noProof/>
                <w:sz w:val="22"/>
                <w:lang w:val="sr-Latn-ME"/>
              </w:rPr>
              <w:t>-</w:t>
            </w:r>
            <w:r w:rsidR="00510034" w:rsidRPr="00510034">
              <w:rPr>
                <w:noProof/>
                <w:sz w:val="22"/>
                <w:lang w:val="sr-Latn-ME"/>
              </w:rPr>
              <w:t xml:space="preserve"> 6305</w:t>
            </w:r>
          </w:p>
        </w:tc>
      </w:tr>
      <w:tr w:rsidR="00834DBB" w:rsidRPr="0016092F" w:rsidTr="006F146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 xml:space="preserve">9. DATUM PRVE DOZVOLE </w:t>
            </w:r>
            <w:r w:rsidR="006D59F7" w:rsidRPr="0016092F">
              <w:rPr>
                <w:rFonts w:ascii="Times New Roman" w:hAnsi="Times New Roman"/>
                <w:b/>
                <w:bCs/>
                <w:sz w:val="22"/>
                <w:szCs w:val="22"/>
              </w:rPr>
              <w:t>/</w:t>
            </w:r>
            <w:r w:rsidRPr="0016092F">
              <w:rPr>
                <w:rFonts w:ascii="Times New Roman" w:hAnsi="Times New Roman"/>
                <w:b/>
                <w:bCs/>
                <w:sz w:val="22"/>
                <w:szCs w:val="22"/>
              </w:rPr>
              <w:t xml:space="preserve"> DATUM OBNOVE DOZVOLE</w:t>
            </w:r>
          </w:p>
        </w:tc>
      </w:tr>
      <w:tr w:rsidR="00834DBB" w:rsidRPr="0016092F" w:rsidTr="009559CB">
        <w:trPr>
          <w:trHeight w:val="1722"/>
        </w:trPr>
        <w:tc>
          <w:tcPr>
            <w:tcW w:w="5000" w:type="pct"/>
            <w:gridSpan w:val="4"/>
            <w:vAlign w:val="center"/>
          </w:tcPr>
          <w:p w:rsidR="009559CB" w:rsidRPr="0016092F" w:rsidRDefault="009559CB" w:rsidP="009559CB">
            <w:pPr>
              <w:pStyle w:val="NoSpacing"/>
              <w:jc w:val="both"/>
              <w:rPr>
                <w:noProof/>
                <w:sz w:val="22"/>
                <w:lang w:val="sr-Latn-ME"/>
              </w:rPr>
            </w:pPr>
            <w:r w:rsidRPr="0016092F">
              <w:rPr>
                <w:noProof/>
                <w:sz w:val="22"/>
                <w:lang w:val="sr-Latn-ME"/>
              </w:rPr>
              <w:t xml:space="preserve">Binocrit®, rastvor za injekciju u napunjenom injekcionom špricu, 2,000 i.j./ml, napunjeni injekcioni špric, 6 x 1ml: </w:t>
            </w:r>
            <w:r w:rsidR="00F80827" w:rsidRPr="00F80827">
              <w:rPr>
                <w:noProof/>
                <w:sz w:val="22"/>
                <w:lang w:val="sr-Latn-ME"/>
              </w:rPr>
              <w:t>02.02.2016. godine</w:t>
            </w:r>
          </w:p>
          <w:p w:rsidR="00834DBB" w:rsidRPr="0016092F" w:rsidRDefault="009559CB" w:rsidP="009559CB">
            <w:pPr>
              <w:pStyle w:val="NoSpacing"/>
              <w:jc w:val="both"/>
              <w:rPr>
                <w:noProof/>
                <w:sz w:val="22"/>
                <w:lang w:val="sr-Latn-ME"/>
              </w:rPr>
            </w:pPr>
            <w:r w:rsidRPr="0016092F">
              <w:rPr>
                <w:noProof/>
                <w:sz w:val="22"/>
                <w:lang w:val="sr-Latn-ME"/>
              </w:rPr>
              <w:t xml:space="preserve">Binocrit®, rastvor za injekciju u napunjenom injekcionom špricu, 10,000 i.j./ml, napunjeni injekcioni špric, 6 x 1ml: </w:t>
            </w:r>
            <w:r w:rsidR="00F80827">
              <w:rPr>
                <w:rFonts w:ascii="TimesNewRoman" w:hAnsi="TimesNewRoman" w:cs="TimesNewRoman"/>
                <w:sz w:val="22"/>
              </w:rPr>
              <w:t>02.02.2016. god</w:t>
            </w:r>
            <w:bookmarkStart w:id="0" w:name="_GoBack"/>
            <w:bookmarkEnd w:id="0"/>
            <w:r w:rsidR="00F80827">
              <w:rPr>
                <w:rFonts w:ascii="TimesNewRoman" w:hAnsi="TimesNewRoman" w:cs="TimesNewRoman"/>
                <w:sz w:val="22"/>
              </w:rPr>
              <w:t>ine</w:t>
            </w:r>
          </w:p>
        </w:tc>
      </w:tr>
      <w:tr w:rsidR="00834DBB" w:rsidRPr="0016092F" w:rsidTr="006F146B">
        <w:tc>
          <w:tcPr>
            <w:tcW w:w="5000" w:type="pct"/>
            <w:gridSpan w:val="4"/>
            <w:shd w:val="clear" w:color="auto" w:fill="E0E0E0"/>
            <w:vAlign w:val="center"/>
          </w:tcPr>
          <w:p w:rsidR="00834DBB" w:rsidRPr="0016092F" w:rsidRDefault="00834DBB" w:rsidP="006F146B">
            <w:pPr>
              <w:pStyle w:val="Header"/>
              <w:tabs>
                <w:tab w:val="clear" w:pos="4536"/>
                <w:tab w:val="clear" w:pos="9072"/>
                <w:tab w:val="left" w:pos="284"/>
              </w:tabs>
              <w:rPr>
                <w:rFonts w:ascii="Times New Roman" w:hAnsi="Times New Roman"/>
                <w:b/>
                <w:bCs/>
                <w:sz w:val="22"/>
                <w:szCs w:val="22"/>
              </w:rPr>
            </w:pPr>
            <w:r w:rsidRPr="0016092F">
              <w:rPr>
                <w:rFonts w:ascii="Times New Roman" w:hAnsi="Times New Roman"/>
                <w:b/>
                <w:bCs/>
                <w:sz w:val="22"/>
                <w:szCs w:val="22"/>
              </w:rPr>
              <w:t xml:space="preserve">10. </w:t>
            </w:r>
            <w:r w:rsidR="006D59F7" w:rsidRPr="0016092F">
              <w:rPr>
                <w:rFonts w:ascii="Times New Roman" w:hAnsi="Times New Roman"/>
                <w:b/>
                <w:bCs/>
                <w:sz w:val="22"/>
                <w:szCs w:val="22"/>
              </w:rPr>
              <w:t>DATUM POSLEDNJE REVIZIJE TEKSTA SAŽETKA OSNOVNIH KARAKTERISTIKA LIJEKA</w:t>
            </w:r>
          </w:p>
        </w:tc>
      </w:tr>
      <w:tr w:rsidR="00834DBB" w:rsidRPr="0016092F" w:rsidTr="006F146B">
        <w:trPr>
          <w:trHeight w:val="824"/>
        </w:trPr>
        <w:tc>
          <w:tcPr>
            <w:tcW w:w="5000" w:type="pct"/>
            <w:gridSpan w:val="4"/>
            <w:vAlign w:val="center"/>
          </w:tcPr>
          <w:p w:rsidR="00834DBB" w:rsidRPr="0016092F" w:rsidRDefault="00F80827" w:rsidP="006F146B">
            <w:pPr>
              <w:pStyle w:val="Header"/>
              <w:tabs>
                <w:tab w:val="clear" w:pos="4536"/>
                <w:tab w:val="clear" w:pos="9072"/>
                <w:tab w:val="left" w:pos="284"/>
              </w:tabs>
              <w:rPr>
                <w:rFonts w:ascii="Times New Roman" w:hAnsi="Times New Roman"/>
                <w:sz w:val="22"/>
                <w:szCs w:val="22"/>
              </w:rPr>
            </w:pPr>
            <w:r>
              <w:rPr>
                <w:rFonts w:ascii="Times New Roman" w:hAnsi="Times New Roman"/>
                <w:sz w:val="22"/>
                <w:szCs w:val="22"/>
              </w:rPr>
              <w:t>Februar, 2016. godine.</w:t>
            </w:r>
          </w:p>
        </w:tc>
      </w:tr>
    </w:tbl>
    <w:p w:rsidR="00834DBB" w:rsidRPr="0016092F" w:rsidRDefault="00834DBB" w:rsidP="009F4449"/>
    <w:sectPr w:rsidR="00834DBB" w:rsidRPr="0016092F" w:rsidSect="006F146B">
      <w:headerReference w:type="even" r:id="rId9"/>
      <w:headerReference w:type="default" r:id="rId10"/>
      <w:footerReference w:type="even" r:id="rId11"/>
      <w:footerReference w:type="default" r:id="rId12"/>
      <w:headerReference w:type="first" r:id="rId13"/>
      <w:footerReference w:type="first" r:id="rId14"/>
      <w:pgSz w:w="11907" w:h="16840" w:code="9"/>
      <w:pgMar w:top="2155" w:right="1134" w:bottom="1701"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8F7" w:rsidRDefault="008368F7">
      <w:r>
        <w:separator/>
      </w:r>
    </w:p>
  </w:endnote>
  <w:endnote w:type="continuationSeparator" w:id="0">
    <w:p w:rsidR="008368F7" w:rsidRDefault="0083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B" w:rsidRDefault="006F1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146B" w:rsidRDefault="006F14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B" w:rsidRPr="006F146B" w:rsidRDefault="006F146B" w:rsidP="006F146B">
    <w:pPr>
      <w:framePr w:wrap="around" w:vAnchor="text" w:hAnchor="margin" w:xAlign="right" w:y="1"/>
      <w:tabs>
        <w:tab w:val="clear" w:pos="284"/>
        <w:tab w:val="center" w:pos="4320"/>
        <w:tab w:val="right" w:pos="8640"/>
      </w:tabs>
      <w:jc w:val="left"/>
      <w:rPr>
        <w:rFonts w:ascii="Times New Roman" w:hAnsi="Times New Roman"/>
        <w:sz w:val="20"/>
        <w:szCs w:val="20"/>
      </w:rPr>
    </w:pPr>
  </w:p>
  <w:p w:rsidR="006F146B" w:rsidRPr="006F146B" w:rsidRDefault="006F146B" w:rsidP="006F146B">
    <w:pPr>
      <w:pBdr>
        <w:top w:val="thinThickSmallGap" w:sz="24" w:space="1" w:color="auto"/>
      </w:pBdr>
      <w:tabs>
        <w:tab w:val="clear" w:pos="284"/>
        <w:tab w:val="center" w:pos="4320"/>
        <w:tab w:val="right" w:pos="8640"/>
      </w:tabs>
      <w:jc w:val="center"/>
      <w:rPr>
        <w:rFonts w:ascii="Times New Roman" w:hAnsi="Times New Roman"/>
        <w:sz w:val="20"/>
        <w:szCs w:val="20"/>
      </w:rPr>
    </w:pPr>
  </w:p>
  <w:p w:rsidR="006F146B" w:rsidRPr="006F146B" w:rsidRDefault="006F146B" w:rsidP="006F146B">
    <w:pPr>
      <w:tabs>
        <w:tab w:val="clear" w:pos="284"/>
        <w:tab w:val="center" w:pos="4320"/>
        <w:tab w:val="right" w:pos="8640"/>
      </w:tabs>
      <w:jc w:val="center"/>
      <w:rPr>
        <w:rFonts w:ascii="Times New Roman" w:hAnsi="Times New Roman"/>
        <w:color w:val="E65900"/>
        <w:sz w:val="16"/>
        <w:szCs w:val="18"/>
      </w:rPr>
    </w:pPr>
    <w:r w:rsidRPr="006F146B">
      <w:rPr>
        <w:rFonts w:ascii="Times New Roman" w:hAnsi="Times New Roman"/>
        <w:color w:val="FA0000"/>
        <w:sz w:val="16"/>
        <w:szCs w:val="18"/>
      </w:rPr>
      <w:t>Agencija za ljekove i medicinska sredstva Crne Gore,</w:t>
    </w:r>
    <w:r w:rsidRPr="006F146B">
      <w:rPr>
        <w:rFonts w:ascii="Times New Roman" w:hAnsi="Times New Roman"/>
        <w:sz w:val="16"/>
        <w:szCs w:val="18"/>
      </w:rPr>
      <w:t xml:space="preserve"> </w:t>
    </w:r>
    <w:r w:rsidRPr="006F146B">
      <w:rPr>
        <w:rFonts w:ascii="Times New Roman" w:hAnsi="Times New Roman"/>
        <w:color w:val="E65900"/>
        <w:sz w:val="16"/>
        <w:szCs w:val="18"/>
      </w:rPr>
      <w:t>81000 Podgorica, Bul. Ivana Crnojevića 64a</w:t>
    </w:r>
  </w:p>
  <w:p w:rsidR="006F146B" w:rsidRPr="006F146B" w:rsidRDefault="006F146B" w:rsidP="006F146B">
    <w:pPr>
      <w:tabs>
        <w:tab w:val="clear" w:pos="284"/>
        <w:tab w:val="center" w:pos="4320"/>
        <w:tab w:val="right" w:pos="8640"/>
      </w:tabs>
      <w:jc w:val="center"/>
      <w:rPr>
        <w:rFonts w:ascii="Times New Roman" w:hAnsi="Times New Roman"/>
        <w:color w:val="FA0000"/>
        <w:sz w:val="16"/>
        <w:szCs w:val="18"/>
      </w:rPr>
    </w:pPr>
    <w:r w:rsidRPr="006F146B">
      <w:rPr>
        <w:rFonts w:ascii="Times New Roman" w:hAnsi="Times New Roman"/>
        <w:color w:val="E65900"/>
        <w:sz w:val="16"/>
        <w:szCs w:val="18"/>
      </w:rPr>
      <w:t xml:space="preserve">tel: +382 (0) 20 310 280  </w:t>
    </w:r>
    <w:r w:rsidRPr="006F146B">
      <w:rPr>
        <w:rFonts w:ascii="Times New Roman" w:hAnsi="Times New Roman"/>
        <w:color w:val="FA0000"/>
        <w:sz w:val="16"/>
        <w:szCs w:val="18"/>
      </w:rPr>
      <w:t>fax: +382 (0) 20 310 581,</w:t>
    </w:r>
    <w:r w:rsidRPr="006F146B">
      <w:rPr>
        <w:rFonts w:ascii="Times New Roman" w:hAnsi="Times New Roman"/>
        <w:sz w:val="16"/>
        <w:szCs w:val="18"/>
      </w:rPr>
      <w:t xml:space="preserve"> </w:t>
    </w:r>
    <w:r w:rsidRPr="006F146B">
      <w:rPr>
        <w:rFonts w:ascii="Times New Roman" w:hAnsi="Times New Roman"/>
        <w:color w:val="E65900"/>
        <w:sz w:val="16"/>
        <w:szCs w:val="18"/>
      </w:rPr>
      <w:t>e-mail: info@calims.me,</w:t>
    </w:r>
    <w:r w:rsidRPr="006F146B">
      <w:rPr>
        <w:rFonts w:ascii="Times New Roman" w:hAnsi="Times New Roman"/>
        <w:sz w:val="16"/>
        <w:szCs w:val="18"/>
      </w:rPr>
      <w:t xml:space="preserve"> </w:t>
    </w:r>
    <w:r w:rsidRPr="006F146B">
      <w:rPr>
        <w:rFonts w:ascii="Times New Roman" w:hAnsi="Times New Roman"/>
        <w:color w:val="FA0000"/>
        <w:sz w:val="16"/>
        <w:szCs w:val="18"/>
      </w:rPr>
      <w:t>www.calims.me</w:t>
    </w:r>
    <w:r w:rsidRPr="006F146B">
      <w:rPr>
        <w:rFonts w:ascii="Times New Roman" w:hAnsi="Times New Roman"/>
        <w:sz w:val="16"/>
        <w:szCs w:val="18"/>
      </w:rPr>
      <w:t xml:space="preserve">, </w:t>
    </w:r>
    <w:r w:rsidRPr="006F146B">
      <w:rPr>
        <w:rFonts w:ascii="Times New Roman" w:hAnsi="Times New Roman"/>
        <w:color w:val="E65900"/>
        <w:sz w:val="16"/>
        <w:szCs w:val="18"/>
      </w:rPr>
      <w:t>PIB: 02739658,</w:t>
    </w:r>
    <w:r w:rsidRPr="006F146B">
      <w:rPr>
        <w:rFonts w:ascii="Times New Roman" w:hAnsi="Times New Roman"/>
        <w:sz w:val="16"/>
        <w:szCs w:val="18"/>
      </w:rPr>
      <w:t xml:space="preserve"> </w:t>
    </w:r>
    <w:r w:rsidRPr="006F146B">
      <w:rPr>
        <w:rFonts w:ascii="Times New Roman" w:hAnsi="Times New Roman"/>
        <w:color w:val="FA0000"/>
        <w:sz w:val="16"/>
        <w:szCs w:val="18"/>
      </w:rPr>
      <w:t>žiro račun: 520-3603-33</w:t>
    </w:r>
  </w:p>
  <w:p w:rsidR="006F146B" w:rsidRPr="006F146B" w:rsidRDefault="006F146B" w:rsidP="006F146B">
    <w:pPr>
      <w:tabs>
        <w:tab w:val="clear" w:pos="284"/>
        <w:tab w:val="center" w:pos="4320"/>
        <w:tab w:val="right" w:pos="8640"/>
      </w:tabs>
      <w:jc w:val="center"/>
      <w:rPr>
        <w:rFonts w:ascii="Times New Roman" w:hAnsi="Times New Roman"/>
        <w:sz w:val="16"/>
        <w:szCs w:val="18"/>
      </w:rPr>
    </w:pPr>
  </w:p>
  <w:p w:rsidR="006F146B" w:rsidRPr="006F146B" w:rsidRDefault="006F146B" w:rsidP="006F146B">
    <w:pPr>
      <w:tabs>
        <w:tab w:val="clear" w:pos="284"/>
        <w:tab w:val="center" w:pos="4320"/>
        <w:tab w:val="right" w:pos="8640"/>
      </w:tabs>
      <w:jc w:val="left"/>
      <w:rPr>
        <w:rFonts w:ascii="Times New Roman" w:hAnsi="Times New Roman"/>
        <w:sz w:val="20"/>
        <w:szCs w:val="20"/>
      </w:rPr>
    </w:pPr>
  </w:p>
  <w:p w:rsidR="006F146B" w:rsidRPr="006F146B" w:rsidRDefault="006F146B" w:rsidP="006F146B">
    <w:pPr>
      <w:tabs>
        <w:tab w:val="clear" w:pos="284"/>
        <w:tab w:val="center" w:pos="4320"/>
        <w:tab w:val="right" w:pos="8640"/>
      </w:tabs>
      <w:jc w:val="center"/>
      <w:rPr>
        <w:rFonts w:ascii="Times New Roman" w:hAnsi="Times New Roman"/>
        <w:sz w:val="22"/>
        <w:szCs w:val="22"/>
      </w:rPr>
    </w:pPr>
    <w:r w:rsidRPr="006F146B">
      <w:rPr>
        <w:rFonts w:ascii="Times New Roman" w:hAnsi="Times New Roman"/>
        <w:sz w:val="20"/>
        <w:szCs w:val="20"/>
      </w:rPr>
      <w:fldChar w:fldCharType="begin"/>
    </w:r>
    <w:r w:rsidRPr="006F146B">
      <w:rPr>
        <w:rFonts w:ascii="Times New Roman" w:hAnsi="Times New Roman"/>
        <w:sz w:val="20"/>
        <w:szCs w:val="20"/>
      </w:rPr>
      <w:instrText xml:space="preserve"> PAGE </w:instrText>
    </w:r>
    <w:r w:rsidRPr="006F146B">
      <w:rPr>
        <w:rFonts w:ascii="Times New Roman" w:hAnsi="Times New Roman"/>
        <w:sz w:val="20"/>
        <w:szCs w:val="20"/>
      </w:rPr>
      <w:fldChar w:fldCharType="separate"/>
    </w:r>
    <w:r w:rsidR="00510034">
      <w:rPr>
        <w:rFonts w:ascii="Times New Roman" w:hAnsi="Times New Roman"/>
        <w:sz w:val="20"/>
        <w:szCs w:val="20"/>
      </w:rPr>
      <w:t>23</w:t>
    </w:r>
    <w:r w:rsidRPr="006F146B">
      <w:rPr>
        <w:rFonts w:ascii="Times New Roman" w:hAnsi="Times New Roman"/>
        <w:sz w:val="20"/>
        <w:szCs w:val="20"/>
      </w:rPr>
      <w:fldChar w:fldCharType="end"/>
    </w:r>
    <w:r w:rsidRPr="006F146B">
      <w:rPr>
        <w:rFonts w:ascii="Times New Roman" w:hAnsi="Times New Roman"/>
        <w:sz w:val="20"/>
        <w:szCs w:val="20"/>
      </w:rPr>
      <w:t xml:space="preserve"> / </w:t>
    </w:r>
    <w:r w:rsidRPr="006F146B">
      <w:rPr>
        <w:rFonts w:ascii="Times New Roman" w:hAnsi="Times New Roman"/>
        <w:sz w:val="20"/>
        <w:szCs w:val="20"/>
      </w:rPr>
      <w:fldChar w:fldCharType="begin"/>
    </w:r>
    <w:r w:rsidRPr="006F146B">
      <w:rPr>
        <w:rFonts w:ascii="Times New Roman" w:hAnsi="Times New Roman"/>
        <w:sz w:val="20"/>
        <w:szCs w:val="20"/>
      </w:rPr>
      <w:instrText xml:space="preserve"> NUMPAGES </w:instrText>
    </w:r>
    <w:r w:rsidRPr="006F146B">
      <w:rPr>
        <w:rFonts w:ascii="Times New Roman" w:hAnsi="Times New Roman"/>
        <w:sz w:val="20"/>
        <w:szCs w:val="20"/>
      </w:rPr>
      <w:fldChar w:fldCharType="separate"/>
    </w:r>
    <w:r w:rsidR="00510034">
      <w:rPr>
        <w:rFonts w:ascii="Times New Roman" w:hAnsi="Times New Roman"/>
        <w:sz w:val="20"/>
        <w:szCs w:val="20"/>
      </w:rPr>
      <w:t>25</w:t>
    </w:r>
    <w:r w:rsidRPr="006F146B">
      <w:rP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F3" w:rsidRDefault="00292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8F7" w:rsidRDefault="008368F7">
      <w:r>
        <w:separator/>
      </w:r>
    </w:p>
  </w:footnote>
  <w:footnote w:type="continuationSeparator" w:id="0">
    <w:p w:rsidR="008368F7" w:rsidRDefault="00836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F3" w:rsidRDefault="00292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B" w:rsidRPr="006F146B" w:rsidRDefault="006F146B" w:rsidP="006F146B">
    <w:pPr>
      <w:pStyle w:val="Header"/>
      <w:pBdr>
        <w:top w:val="thinThickSmallGap" w:sz="24" w:space="2" w:color="auto"/>
      </w:pBdr>
      <w:tabs>
        <w:tab w:val="left" w:pos="4095"/>
      </w:tabs>
    </w:pPr>
    <w:r>
      <w:rPr>
        <w:sz w:val="16"/>
        <w:szCs w:val="16"/>
        <w:lang w:val="en-US"/>
      </w:rPr>
      <w:drawing>
        <wp:inline distT="0" distB="0" distL="0" distR="0" wp14:anchorId="31754BEE" wp14:editId="7BEEAE9E">
          <wp:extent cx="1419225" cy="971550"/>
          <wp:effectExtent l="0" t="0" r="9525" b="0"/>
          <wp:docPr id="18" name="Picture 1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F3" w:rsidRDefault="00292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709B8"/>
    <w:multiLevelType w:val="hybridMultilevel"/>
    <w:tmpl w:val="382ED00E"/>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25C05"/>
    <w:multiLevelType w:val="hybridMultilevel"/>
    <w:tmpl w:val="9B0CC3BE"/>
    <w:lvl w:ilvl="0" w:tplc="A5E00B6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A5F0F"/>
    <w:multiLevelType w:val="multilevel"/>
    <w:tmpl w:val="3234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03485"/>
    <w:multiLevelType w:val="hybridMultilevel"/>
    <w:tmpl w:val="D90A11DC"/>
    <w:lvl w:ilvl="0" w:tplc="56347F4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38A4"/>
    <w:multiLevelType w:val="hybridMultilevel"/>
    <w:tmpl w:val="E5A6A854"/>
    <w:lvl w:ilvl="0" w:tplc="65B4460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142BC4"/>
    <w:multiLevelType w:val="hybridMultilevel"/>
    <w:tmpl w:val="939406A6"/>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2773C"/>
    <w:rsid w:val="00034501"/>
    <w:rsid w:val="00034E2F"/>
    <w:rsid w:val="00042CC9"/>
    <w:rsid w:val="00044895"/>
    <w:rsid w:val="00054A10"/>
    <w:rsid w:val="00056D84"/>
    <w:rsid w:val="00074423"/>
    <w:rsid w:val="000825BD"/>
    <w:rsid w:val="00083BE0"/>
    <w:rsid w:val="000923C7"/>
    <w:rsid w:val="00092D55"/>
    <w:rsid w:val="000A428C"/>
    <w:rsid w:val="000A46D9"/>
    <w:rsid w:val="000A5035"/>
    <w:rsid w:val="000A5C4C"/>
    <w:rsid w:val="000A60D8"/>
    <w:rsid w:val="000B3055"/>
    <w:rsid w:val="000D1FEA"/>
    <w:rsid w:val="000D213F"/>
    <w:rsid w:val="000D6565"/>
    <w:rsid w:val="000E008F"/>
    <w:rsid w:val="000E326B"/>
    <w:rsid w:val="000F28D6"/>
    <w:rsid w:val="000F6C37"/>
    <w:rsid w:val="00104EA0"/>
    <w:rsid w:val="00111462"/>
    <w:rsid w:val="001302D8"/>
    <w:rsid w:val="00130FE5"/>
    <w:rsid w:val="00134E8C"/>
    <w:rsid w:val="001352A5"/>
    <w:rsid w:val="001352E8"/>
    <w:rsid w:val="00144E78"/>
    <w:rsid w:val="00145391"/>
    <w:rsid w:val="001459D7"/>
    <w:rsid w:val="0015177E"/>
    <w:rsid w:val="0015566B"/>
    <w:rsid w:val="001573AB"/>
    <w:rsid w:val="001603FA"/>
    <w:rsid w:val="0016092F"/>
    <w:rsid w:val="00162CD2"/>
    <w:rsid w:val="00170CAB"/>
    <w:rsid w:val="00180365"/>
    <w:rsid w:val="00185CE1"/>
    <w:rsid w:val="001B5BCB"/>
    <w:rsid w:val="001C6386"/>
    <w:rsid w:val="001E33B5"/>
    <w:rsid w:val="001E518C"/>
    <w:rsid w:val="001F3EB1"/>
    <w:rsid w:val="001F575B"/>
    <w:rsid w:val="001F5825"/>
    <w:rsid w:val="002046BA"/>
    <w:rsid w:val="00214AF8"/>
    <w:rsid w:val="00235107"/>
    <w:rsid w:val="0025394F"/>
    <w:rsid w:val="00264AC2"/>
    <w:rsid w:val="00270CBE"/>
    <w:rsid w:val="002732D1"/>
    <w:rsid w:val="00273BE0"/>
    <w:rsid w:val="00291DAB"/>
    <w:rsid w:val="002925F3"/>
    <w:rsid w:val="0029337A"/>
    <w:rsid w:val="00296DEA"/>
    <w:rsid w:val="002974CC"/>
    <w:rsid w:val="002A483F"/>
    <w:rsid w:val="002A5149"/>
    <w:rsid w:val="002B6DE2"/>
    <w:rsid w:val="002B6F6A"/>
    <w:rsid w:val="002C6A3C"/>
    <w:rsid w:val="002D41E5"/>
    <w:rsid w:val="002D7A0A"/>
    <w:rsid w:val="002E10CD"/>
    <w:rsid w:val="002E4098"/>
    <w:rsid w:val="002E53C4"/>
    <w:rsid w:val="00317434"/>
    <w:rsid w:val="0032011F"/>
    <w:rsid w:val="0032170C"/>
    <w:rsid w:val="00321C95"/>
    <w:rsid w:val="003251D3"/>
    <w:rsid w:val="003267F0"/>
    <w:rsid w:val="00327913"/>
    <w:rsid w:val="00327AB9"/>
    <w:rsid w:val="00330C4B"/>
    <w:rsid w:val="00354392"/>
    <w:rsid w:val="003635DF"/>
    <w:rsid w:val="0036480E"/>
    <w:rsid w:val="00366044"/>
    <w:rsid w:val="00371C17"/>
    <w:rsid w:val="00376D3D"/>
    <w:rsid w:val="0039539B"/>
    <w:rsid w:val="003A2C7E"/>
    <w:rsid w:val="003A596D"/>
    <w:rsid w:val="003B1519"/>
    <w:rsid w:val="003B2082"/>
    <w:rsid w:val="003B7FAD"/>
    <w:rsid w:val="003C2E0F"/>
    <w:rsid w:val="003D5CC4"/>
    <w:rsid w:val="003D5F3A"/>
    <w:rsid w:val="003E29A4"/>
    <w:rsid w:val="003F5890"/>
    <w:rsid w:val="004002B1"/>
    <w:rsid w:val="00401FE9"/>
    <w:rsid w:val="004029CF"/>
    <w:rsid w:val="00406214"/>
    <w:rsid w:val="00412C73"/>
    <w:rsid w:val="00416877"/>
    <w:rsid w:val="00421A7D"/>
    <w:rsid w:val="00427A89"/>
    <w:rsid w:val="00427D41"/>
    <w:rsid w:val="0043712B"/>
    <w:rsid w:val="00442B43"/>
    <w:rsid w:val="004471D0"/>
    <w:rsid w:val="00456670"/>
    <w:rsid w:val="00462902"/>
    <w:rsid w:val="004721F0"/>
    <w:rsid w:val="00474E63"/>
    <w:rsid w:val="0047744F"/>
    <w:rsid w:val="00480F7F"/>
    <w:rsid w:val="0048375F"/>
    <w:rsid w:val="00495A90"/>
    <w:rsid w:val="004A0B01"/>
    <w:rsid w:val="004A241D"/>
    <w:rsid w:val="004B16CC"/>
    <w:rsid w:val="004C53A0"/>
    <w:rsid w:val="004C5530"/>
    <w:rsid w:val="004D2384"/>
    <w:rsid w:val="004D4BC4"/>
    <w:rsid w:val="004F290E"/>
    <w:rsid w:val="00500E88"/>
    <w:rsid w:val="00510034"/>
    <w:rsid w:val="00512EE6"/>
    <w:rsid w:val="00516C35"/>
    <w:rsid w:val="00521DF9"/>
    <w:rsid w:val="005445AC"/>
    <w:rsid w:val="00562626"/>
    <w:rsid w:val="00564EA3"/>
    <w:rsid w:val="005808B1"/>
    <w:rsid w:val="00582717"/>
    <w:rsid w:val="00582AB5"/>
    <w:rsid w:val="00583C1F"/>
    <w:rsid w:val="00584EC9"/>
    <w:rsid w:val="00591A40"/>
    <w:rsid w:val="005B2E06"/>
    <w:rsid w:val="005C0735"/>
    <w:rsid w:val="005C3F73"/>
    <w:rsid w:val="005C5F21"/>
    <w:rsid w:val="005C5FBF"/>
    <w:rsid w:val="005C6336"/>
    <w:rsid w:val="005C7891"/>
    <w:rsid w:val="005E5E30"/>
    <w:rsid w:val="0060482D"/>
    <w:rsid w:val="006054EE"/>
    <w:rsid w:val="00613359"/>
    <w:rsid w:val="00614789"/>
    <w:rsid w:val="00627B6C"/>
    <w:rsid w:val="00635CE9"/>
    <w:rsid w:val="00646252"/>
    <w:rsid w:val="00647937"/>
    <w:rsid w:val="006559AF"/>
    <w:rsid w:val="00657695"/>
    <w:rsid w:val="00657F5B"/>
    <w:rsid w:val="00690400"/>
    <w:rsid w:val="00691964"/>
    <w:rsid w:val="00696040"/>
    <w:rsid w:val="006C516E"/>
    <w:rsid w:val="006C67DE"/>
    <w:rsid w:val="006D2C5C"/>
    <w:rsid w:val="006D47F9"/>
    <w:rsid w:val="006D59F7"/>
    <w:rsid w:val="006F146B"/>
    <w:rsid w:val="007026C1"/>
    <w:rsid w:val="007128A8"/>
    <w:rsid w:val="00712B02"/>
    <w:rsid w:val="00723896"/>
    <w:rsid w:val="00730016"/>
    <w:rsid w:val="00741919"/>
    <w:rsid w:val="0074618B"/>
    <w:rsid w:val="00754BFC"/>
    <w:rsid w:val="00756B1E"/>
    <w:rsid w:val="00757751"/>
    <w:rsid w:val="00785859"/>
    <w:rsid w:val="007957A8"/>
    <w:rsid w:val="007A023D"/>
    <w:rsid w:val="007A2380"/>
    <w:rsid w:val="007B7E5C"/>
    <w:rsid w:val="007C0D84"/>
    <w:rsid w:val="007C5A61"/>
    <w:rsid w:val="007C6FC7"/>
    <w:rsid w:val="007D7F8D"/>
    <w:rsid w:val="007E7CBB"/>
    <w:rsid w:val="0080203B"/>
    <w:rsid w:val="00805768"/>
    <w:rsid w:val="00807903"/>
    <w:rsid w:val="008144C9"/>
    <w:rsid w:val="00815CD2"/>
    <w:rsid w:val="00820067"/>
    <w:rsid w:val="008256BB"/>
    <w:rsid w:val="00830283"/>
    <w:rsid w:val="00830CBA"/>
    <w:rsid w:val="00833E5E"/>
    <w:rsid w:val="00834DBB"/>
    <w:rsid w:val="008368F7"/>
    <w:rsid w:val="00842FFB"/>
    <w:rsid w:val="0084510E"/>
    <w:rsid w:val="00845942"/>
    <w:rsid w:val="0084605B"/>
    <w:rsid w:val="00847D42"/>
    <w:rsid w:val="00864545"/>
    <w:rsid w:val="008670FC"/>
    <w:rsid w:val="00867AB4"/>
    <w:rsid w:val="00875A03"/>
    <w:rsid w:val="00880F84"/>
    <w:rsid w:val="00897414"/>
    <w:rsid w:val="008B6009"/>
    <w:rsid w:val="008D0C9D"/>
    <w:rsid w:val="008E112B"/>
    <w:rsid w:val="008E12B0"/>
    <w:rsid w:val="009005CB"/>
    <w:rsid w:val="00900718"/>
    <w:rsid w:val="00900AF1"/>
    <w:rsid w:val="00907CDB"/>
    <w:rsid w:val="009217AE"/>
    <w:rsid w:val="00943055"/>
    <w:rsid w:val="009559CB"/>
    <w:rsid w:val="00957B85"/>
    <w:rsid w:val="00957CC7"/>
    <w:rsid w:val="00964999"/>
    <w:rsid w:val="009663F7"/>
    <w:rsid w:val="00980891"/>
    <w:rsid w:val="009808AE"/>
    <w:rsid w:val="00984156"/>
    <w:rsid w:val="00990FB4"/>
    <w:rsid w:val="009922C0"/>
    <w:rsid w:val="00993787"/>
    <w:rsid w:val="00993B14"/>
    <w:rsid w:val="009A16F4"/>
    <w:rsid w:val="009A6BB9"/>
    <w:rsid w:val="009B6A45"/>
    <w:rsid w:val="009C12B5"/>
    <w:rsid w:val="009E0538"/>
    <w:rsid w:val="009E18D1"/>
    <w:rsid w:val="009F1475"/>
    <w:rsid w:val="009F4449"/>
    <w:rsid w:val="00A059B6"/>
    <w:rsid w:val="00A12C57"/>
    <w:rsid w:val="00A22A8F"/>
    <w:rsid w:val="00A271D3"/>
    <w:rsid w:val="00A3188F"/>
    <w:rsid w:val="00A33152"/>
    <w:rsid w:val="00A40F78"/>
    <w:rsid w:val="00A45FE0"/>
    <w:rsid w:val="00A47E97"/>
    <w:rsid w:val="00A55E51"/>
    <w:rsid w:val="00A66F4F"/>
    <w:rsid w:val="00A81776"/>
    <w:rsid w:val="00A83658"/>
    <w:rsid w:val="00A85581"/>
    <w:rsid w:val="00A8617C"/>
    <w:rsid w:val="00AA7801"/>
    <w:rsid w:val="00AB0443"/>
    <w:rsid w:val="00AC122F"/>
    <w:rsid w:val="00AD4228"/>
    <w:rsid w:val="00AD503C"/>
    <w:rsid w:val="00AE00EC"/>
    <w:rsid w:val="00AE7CA0"/>
    <w:rsid w:val="00B00186"/>
    <w:rsid w:val="00B03FAE"/>
    <w:rsid w:val="00B065FC"/>
    <w:rsid w:val="00B078E7"/>
    <w:rsid w:val="00B142EA"/>
    <w:rsid w:val="00B31F2E"/>
    <w:rsid w:val="00B370E6"/>
    <w:rsid w:val="00B405D6"/>
    <w:rsid w:val="00B40EDF"/>
    <w:rsid w:val="00B41C70"/>
    <w:rsid w:val="00B51964"/>
    <w:rsid w:val="00B67C4C"/>
    <w:rsid w:val="00B8617A"/>
    <w:rsid w:val="00B87E95"/>
    <w:rsid w:val="00B916FA"/>
    <w:rsid w:val="00B91D75"/>
    <w:rsid w:val="00B92298"/>
    <w:rsid w:val="00BA0491"/>
    <w:rsid w:val="00BA15C4"/>
    <w:rsid w:val="00BA5361"/>
    <w:rsid w:val="00BA78ED"/>
    <w:rsid w:val="00BB07EA"/>
    <w:rsid w:val="00BB148A"/>
    <w:rsid w:val="00BC440A"/>
    <w:rsid w:val="00BC4AD6"/>
    <w:rsid w:val="00BD214F"/>
    <w:rsid w:val="00BD61A7"/>
    <w:rsid w:val="00BD725A"/>
    <w:rsid w:val="00BE62DC"/>
    <w:rsid w:val="00BF3E2B"/>
    <w:rsid w:val="00BF7B6B"/>
    <w:rsid w:val="00C10C9C"/>
    <w:rsid w:val="00C14799"/>
    <w:rsid w:val="00C27189"/>
    <w:rsid w:val="00C3132E"/>
    <w:rsid w:val="00C404C5"/>
    <w:rsid w:val="00C4363D"/>
    <w:rsid w:val="00C45D69"/>
    <w:rsid w:val="00C4627B"/>
    <w:rsid w:val="00C47009"/>
    <w:rsid w:val="00C5543D"/>
    <w:rsid w:val="00C55F47"/>
    <w:rsid w:val="00C65805"/>
    <w:rsid w:val="00CB50BC"/>
    <w:rsid w:val="00CC1AE8"/>
    <w:rsid w:val="00CC4C88"/>
    <w:rsid w:val="00CE543B"/>
    <w:rsid w:val="00CE5DC1"/>
    <w:rsid w:val="00CE66A0"/>
    <w:rsid w:val="00CE76DA"/>
    <w:rsid w:val="00CF6F69"/>
    <w:rsid w:val="00D0193D"/>
    <w:rsid w:val="00D22953"/>
    <w:rsid w:val="00D22C43"/>
    <w:rsid w:val="00D30D1F"/>
    <w:rsid w:val="00D31B26"/>
    <w:rsid w:val="00D34772"/>
    <w:rsid w:val="00D42E02"/>
    <w:rsid w:val="00D43996"/>
    <w:rsid w:val="00D447D0"/>
    <w:rsid w:val="00D54A3D"/>
    <w:rsid w:val="00D6472C"/>
    <w:rsid w:val="00D762EC"/>
    <w:rsid w:val="00D774AE"/>
    <w:rsid w:val="00D94F38"/>
    <w:rsid w:val="00D97781"/>
    <w:rsid w:val="00D97C7A"/>
    <w:rsid w:val="00DA67E2"/>
    <w:rsid w:val="00DC43DC"/>
    <w:rsid w:val="00DC444A"/>
    <w:rsid w:val="00DD1929"/>
    <w:rsid w:val="00DD344A"/>
    <w:rsid w:val="00DD4407"/>
    <w:rsid w:val="00DE1195"/>
    <w:rsid w:val="00DE1646"/>
    <w:rsid w:val="00DF2A92"/>
    <w:rsid w:val="00DF6C29"/>
    <w:rsid w:val="00E0184C"/>
    <w:rsid w:val="00E168D8"/>
    <w:rsid w:val="00E32555"/>
    <w:rsid w:val="00E33B9E"/>
    <w:rsid w:val="00E43641"/>
    <w:rsid w:val="00E47380"/>
    <w:rsid w:val="00E56529"/>
    <w:rsid w:val="00E56E5D"/>
    <w:rsid w:val="00E60689"/>
    <w:rsid w:val="00E675C2"/>
    <w:rsid w:val="00E71B0A"/>
    <w:rsid w:val="00E81E18"/>
    <w:rsid w:val="00E84DA7"/>
    <w:rsid w:val="00E8709F"/>
    <w:rsid w:val="00E90092"/>
    <w:rsid w:val="00E96B62"/>
    <w:rsid w:val="00EA020F"/>
    <w:rsid w:val="00EA2AA1"/>
    <w:rsid w:val="00EA4A84"/>
    <w:rsid w:val="00EB0E9E"/>
    <w:rsid w:val="00EB3C53"/>
    <w:rsid w:val="00EC73B3"/>
    <w:rsid w:val="00EC7A1D"/>
    <w:rsid w:val="00EE07C0"/>
    <w:rsid w:val="00EE1FD9"/>
    <w:rsid w:val="00EE6D60"/>
    <w:rsid w:val="00EF0C82"/>
    <w:rsid w:val="00EF3A62"/>
    <w:rsid w:val="00EF6BDE"/>
    <w:rsid w:val="00F112F5"/>
    <w:rsid w:val="00F14833"/>
    <w:rsid w:val="00F23596"/>
    <w:rsid w:val="00F24279"/>
    <w:rsid w:val="00F30ABD"/>
    <w:rsid w:val="00F32B26"/>
    <w:rsid w:val="00F37907"/>
    <w:rsid w:val="00F57B5A"/>
    <w:rsid w:val="00F6079C"/>
    <w:rsid w:val="00F660B3"/>
    <w:rsid w:val="00F77688"/>
    <w:rsid w:val="00F80827"/>
    <w:rsid w:val="00F81A81"/>
    <w:rsid w:val="00F90CC3"/>
    <w:rsid w:val="00F97056"/>
    <w:rsid w:val="00FA5818"/>
    <w:rsid w:val="00FB1067"/>
    <w:rsid w:val="00FB2D63"/>
    <w:rsid w:val="00FB3E2D"/>
    <w:rsid w:val="00FB462E"/>
    <w:rsid w:val="00FB7388"/>
    <w:rsid w:val="00FD3D7B"/>
    <w:rsid w:val="00FD401C"/>
    <w:rsid w:val="00FD6E1D"/>
    <w:rsid w:val="00FE0D54"/>
    <w:rsid w:val="00FE64A4"/>
    <w:rsid w:val="00FE6DFC"/>
    <w:rsid w:val="00FF1717"/>
    <w:rsid w:val="00F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noProof/>
      <w:sz w:val="24"/>
      <w:szCs w:val="24"/>
      <w:lang w:val="sr-Latn-ME"/>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lear" w:pos="284"/>
        <w:tab w:val="center" w:pos="4536"/>
        <w:tab w:val="right" w:pos="9072"/>
      </w:tabs>
    </w:pPr>
  </w:style>
  <w:style w:type="paragraph" w:styleId="Footer">
    <w:name w:val="footer"/>
    <w:basedOn w:val="Normal"/>
    <w:pPr>
      <w:tabs>
        <w:tab w:val="clear" w:pos="284"/>
        <w:tab w:val="center" w:pos="4536"/>
        <w:tab w:val="right" w:pos="9072"/>
      </w:tabs>
    </w:pPr>
  </w:style>
  <w:style w:type="character" w:styleId="PageNumber">
    <w:name w:val="page number"/>
    <w:basedOn w:val="DefaultParagraphFont"/>
  </w:style>
  <w:style w:type="character" w:styleId="CommentReference">
    <w:name w:val="annotation reference"/>
    <w:semiHidden/>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table" w:styleId="TableGrid">
    <w:name w:val="Table Grid"/>
    <w:basedOn w:val="TableNormal"/>
    <w:rsid w:val="00F32B26"/>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0400"/>
    <w:rPr>
      <w:rFonts w:eastAsia="Calibri"/>
      <w:sz w:val="24"/>
      <w:szCs w:val="22"/>
    </w:rPr>
  </w:style>
  <w:style w:type="character" w:styleId="Hyperlink">
    <w:name w:val="Hyperlink"/>
    <w:uiPriority w:val="99"/>
    <w:unhideWhenUsed/>
    <w:rsid w:val="0002773C"/>
    <w:rPr>
      <w:color w:val="0000FF"/>
      <w:u w:val="single"/>
    </w:rPr>
  </w:style>
  <w:style w:type="paragraph" w:customStyle="1" w:styleId="Default">
    <w:name w:val="Default"/>
    <w:rsid w:val="000825BD"/>
    <w:pPr>
      <w:autoSpaceDE w:val="0"/>
      <w:autoSpaceDN w:val="0"/>
      <w:adjustRightInd w:val="0"/>
    </w:pPr>
    <w:rPr>
      <w:color w:val="000000"/>
      <w:sz w:val="24"/>
      <w:szCs w:val="24"/>
      <w:lang w:eastAsia="zh-TW"/>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5C0735"/>
    <w:rPr>
      <w:rFonts w:ascii="Humanist777" w:hAnsi="Humanist777"/>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6F146B"/>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9928</Words>
  <Characters>56591</Characters>
  <Application>Microsoft Office Word</Application>
  <DocSecurity>0</DocSecurity>
  <Lines>471</Lines>
  <Paragraphs>132</Paragraphs>
  <ScaleCrop>false</ScaleCrop>
  <Company/>
  <LinksUpToDate>false</LinksUpToDate>
  <CharactersWithSpaces>66387</CharactersWithSpaces>
  <SharedDoc>false</SharedDoc>
  <HLinks>
    <vt:vector size="12" baseType="variant">
      <vt:variant>
        <vt:i4>2621465</vt:i4>
      </vt:variant>
      <vt:variant>
        <vt:i4>6</vt:i4>
      </vt:variant>
      <vt:variant>
        <vt:i4>0</vt:i4>
      </vt:variant>
      <vt:variant>
        <vt:i4>5</vt:i4>
      </vt:variant>
      <vt:variant>
        <vt:lpwstr>mailto:nezeljenadejstva@calims.me</vt:lpwstr>
      </vt:variant>
      <vt:variant>
        <vt:lpwstr/>
      </vt:variant>
      <vt:variant>
        <vt:i4>131142</vt:i4>
      </vt:variant>
      <vt:variant>
        <vt:i4>3</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2016-07-29T10:30:00Z</dcterms:created>
  <dcterms:modified xsi:type="dcterms:W3CDTF">2016-07-29T12:44:00Z</dcterms:modified>
</cp:coreProperties>
</file>