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F9E" w:rsidRDefault="00EC0F9E" w:rsidP="00EC0F9E">
      <w:pPr>
        <w:spacing w:before="1000"/>
        <w:rPr>
          <w:rFonts w:cs="Arial"/>
          <w:sz w:val="22"/>
        </w:rPr>
      </w:pPr>
      <w:bookmarkStart w:id="0" w:name="_GoBack"/>
      <w:bookmarkEnd w:id="0"/>
    </w:p>
    <w:tbl>
      <w:tblPr>
        <w:tblW w:w="9360" w:type="dxa"/>
        <w:jc w:val="center"/>
        <w:tblLook w:val="0000" w:firstRow="0" w:lastRow="0" w:firstColumn="0" w:lastColumn="0" w:noHBand="0" w:noVBand="0"/>
      </w:tblPr>
      <w:tblGrid>
        <w:gridCol w:w="2160"/>
        <w:gridCol w:w="7200"/>
      </w:tblGrid>
      <w:tr w:rsidR="00EC0F9E">
        <w:tblPrEx>
          <w:tblCellMar>
            <w:top w:w="0" w:type="dxa"/>
            <w:bottom w:w="0" w:type="dxa"/>
          </w:tblCellMar>
        </w:tblPrEx>
        <w:trPr>
          <w:trHeight w:val="530"/>
          <w:jc w:val="center"/>
        </w:trPr>
        <w:tc>
          <w:tcPr>
            <w:tcW w:w="9360" w:type="dxa"/>
            <w:gridSpan w:val="2"/>
            <w:vAlign w:val="center"/>
          </w:tcPr>
          <w:p w:rsidR="00EC0F9E" w:rsidRDefault="00EC0F9E" w:rsidP="00B750B6">
            <w:pPr>
              <w:jc w:val="center"/>
              <w:rPr>
                <w:rFonts w:cs="Arial"/>
                <w:b/>
                <w:bCs/>
                <w:i/>
                <w:iCs/>
                <w:sz w:val="22"/>
                <w:u w:val="single"/>
              </w:rPr>
            </w:pPr>
            <w:r>
              <w:rPr>
                <w:rFonts w:cs="Arial"/>
                <w:b/>
                <w:bCs/>
                <w:i/>
                <w:iCs/>
                <w:sz w:val="22"/>
                <w:u w:val="single"/>
              </w:rPr>
              <w:t>SAŽETAK KARAKTERISTIKA LIJEKA</w:t>
            </w:r>
          </w:p>
        </w:tc>
      </w:tr>
      <w:tr w:rsidR="00EC0F9E" w:rsidRPr="001D2CAB">
        <w:tblPrEx>
          <w:tblCellMar>
            <w:top w:w="0" w:type="dxa"/>
            <w:bottom w:w="0" w:type="dxa"/>
          </w:tblCellMar>
        </w:tblPrEx>
        <w:trPr>
          <w:trHeight w:val="1969"/>
          <w:jc w:val="center"/>
        </w:trPr>
        <w:tc>
          <w:tcPr>
            <w:tcW w:w="9360" w:type="dxa"/>
            <w:gridSpan w:val="2"/>
            <w:vAlign w:val="bottom"/>
          </w:tcPr>
          <w:p w:rsidR="00EC0F9E" w:rsidRDefault="00EC0F9E" w:rsidP="00B750B6">
            <w:pPr>
              <w:spacing w:after="40"/>
              <w:jc w:val="center"/>
              <w:rPr>
                <w:rFonts w:cs="Arial"/>
                <w:b/>
                <w:bCs/>
                <w:sz w:val="32"/>
                <w:szCs w:val="32"/>
              </w:rPr>
            </w:pPr>
          </w:p>
          <w:p w:rsidR="00EC0F9E" w:rsidRDefault="00EC0F9E" w:rsidP="00B750B6">
            <w:pPr>
              <w:spacing w:after="40"/>
              <w:jc w:val="center"/>
              <w:rPr>
                <w:rFonts w:cs="Arial"/>
                <w:b/>
                <w:bCs/>
                <w:sz w:val="32"/>
                <w:szCs w:val="32"/>
              </w:rPr>
            </w:pPr>
          </w:p>
          <w:p w:rsidR="00EC0F9E" w:rsidRDefault="00EC0F9E" w:rsidP="00B750B6">
            <w:pPr>
              <w:spacing w:after="40"/>
              <w:jc w:val="center"/>
              <w:rPr>
                <w:rFonts w:cs="Arial"/>
                <w:b/>
                <w:bCs/>
                <w:sz w:val="32"/>
                <w:szCs w:val="32"/>
              </w:rPr>
            </w:pPr>
          </w:p>
          <w:p w:rsidR="00EC0F9E" w:rsidRDefault="00EC0F9E" w:rsidP="00B750B6">
            <w:pPr>
              <w:spacing w:after="40"/>
              <w:jc w:val="center"/>
              <w:rPr>
                <w:rFonts w:cs="Arial"/>
                <w:b/>
                <w:bCs/>
                <w:sz w:val="32"/>
                <w:szCs w:val="32"/>
              </w:rPr>
            </w:pPr>
          </w:p>
          <w:p w:rsidR="00EC0F9E" w:rsidRDefault="00EC0F9E" w:rsidP="00B750B6">
            <w:pPr>
              <w:spacing w:after="40"/>
              <w:jc w:val="center"/>
              <w:rPr>
                <w:rFonts w:cs="Arial"/>
                <w:b/>
                <w:bCs/>
                <w:sz w:val="32"/>
                <w:szCs w:val="32"/>
              </w:rPr>
            </w:pPr>
          </w:p>
          <w:p w:rsidR="00EC0F9E" w:rsidRDefault="00EC0F9E" w:rsidP="00B750B6">
            <w:pPr>
              <w:spacing w:after="40"/>
              <w:jc w:val="center"/>
              <w:rPr>
                <w:rFonts w:cs="Arial"/>
                <w:b/>
                <w:bCs/>
                <w:sz w:val="32"/>
                <w:szCs w:val="32"/>
              </w:rPr>
            </w:pPr>
          </w:p>
          <w:p w:rsidR="00EC0F9E" w:rsidRDefault="00EC0F9E" w:rsidP="00B750B6">
            <w:pPr>
              <w:spacing w:after="40"/>
              <w:jc w:val="center"/>
              <w:rPr>
                <w:rFonts w:cs="Arial"/>
                <w:b/>
                <w:bCs/>
                <w:sz w:val="32"/>
                <w:szCs w:val="32"/>
              </w:rPr>
            </w:pPr>
          </w:p>
          <w:p w:rsidR="00EC0F9E" w:rsidRDefault="00EC0F9E" w:rsidP="00B750B6">
            <w:pPr>
              <w:spacing w:after="40"/>
              <w:jc w:val="center"/>
              <w:rPr>
                <w:rFonts w:cs="Arial"/>
                <w:b/>
                <w:bCs/>
                <w:sz w:val="32"/>
                <w:szCs w:val="32"/>
              </w:rPr>
            </w:pPr>
          </w:p>
          <w:p w:rsidR="00EC0F9E" w:rsidRPr="00A36E25" w:rsidRDefault="00EC0F9E" w:rsidP="00B750B6">
            <w:pPr>
              <w:spacing w:after="40"/>
              <w:jc w:val="center"/>
              <w:rPr>
                <w:rFonts w:cs="Arial"/>
                <w:b/>
                <w:bCs/>
                <w:sz w:val="32"/>
                <w:szCs w:val="32"/>
              </w:rPr>
            </w:pPr>
            <w:r w:rsidRPr="00A36E25">
              <w:rPr>
                <w:rFonts w:cs="Arial"/>
                <w:b/>
                <w:bCs/>
                <w:sz w:val="32"/>
                <w:szCs w:val="32"/>
              </w:rPr>
              <w:t>Gabagamma</w:t>
            </w:r>
            <w:r w:rsidRPr="00A36E25">
              <w:rPr>
                <w:b/>
                <w:bCs/>
                <w:sz w:val="32"/>
                <w:szCs w:val="32"/>
                <w:vertAlign w:val="superscript"/>
              </w:rPr>
              <w:t>®</w:t>
            </w:r>
            <w:r w:rsidRPr="00A36E25">
              <w:rPr>
                <w:rFonts w:cs="Arial"/>
                <w:b/>
                <w:bCs/>
                <w:sz w:val="32"/>
                <w:szCs w:val="32"/>
              </w:rPr>
              <w:t xml:space="preserve"> 100, 100 mg, tvrda kapsula</w:t>
            </w:r>
          </w:p>
          <w:p w:rsidR="00EC0F9E" w:rsidRPr="00A36E25" w:rsidRDefault="00EC0F9E" w:rsidP="00B750B6">
            <w:pPr>
              <w:spacing w:after="40"/>
              <w:jc w:val="center"/>
              <w:rPr>
                <w:rFonts w:cs="Arial"/>
                <w:b/>
                <w:bCs/>
                <w:sz w:val="32"/>
                <w:szCs w:val="32"/>
              </w:rPr>
            </w:pPr>
            <w:r w:rsidRPr="00A36E25">
              <w:rPr>
                <w:rFonts w:cs="Arial"/>
                <w:b/>
                <w:bCs/>
                <w:sz w:val="32"/>
                <w:szCs w:val="32"/>
              </w:rPr>
              <w:t>Gabagamma</w:t>
            </w:r>
            <w:r w:rsidRPr="00A36E25">
              <w:rPr>
                <w:b/>
                <w:bCs/>
                <w:sz w:val="32"/>
                <w:szCs w:val="32"/>
                <w:vertAlign w:val="superscript"/>
              </w:rPr>
              <w:t>®</w:t>
            </w:r>
            <w:r w:rsidRPr="00A36E25">
              <w:rPr>
                <w:rFonts w:cs="Arial"/>
                <w:b/>
                <w:bCs/>
                <w:sz w:val="32"/>
                <w:szCs w:val="32"/>
              </w:rPr>
              <w:t xml:space="preserve"> 300, 300 mg, tvrda kapsula</w:t>
            </w:r>
          </w:p>
          <w:p w:rsidR="00EC0F9E" w:rsidRPr="001D2CAB" w:rsidRDefault="00EC0F9E" w:rsidP="00B750B6">
            <w:pPr>
              <w:spacing w:after="40"/>
              <w:jc w:val="center"/>
              <w:rPr>
                <w:rFonts w:cs="Arial"/>
                <w:b/>
                <w:bCs/>
                <w:sz w:val="32"/>
                <w:szCs w:val="32"/>
                <w:lang w:val="de-DE"/>
              </w:rPr>
            </w:pPr>
            <w:r w:rsidRPr="001D2CAB">
              <w:rPr>
                <w:rFonts w:cs="Arial"/>
                <w:b/>
                <w:bCs/>
                <w:sz w:val="32"/>
                <w:szCs w:val="32"/>
                <w:lang w:val="de-DE"/>
              </w:rPr>
              <w:t>Gabagamma</w:t>
            </w:r>
            <w:r w:rsidRPr="001D2CAB">
              <w:rPr>
                <w:b/>
                <w:bCs/>
                <w:sz w:val="32"/>
                <w:szCs w:val="32"/>
                <w:vertAlign w:val="superscript"/>
                <w:lang w:val="de-DE"/>
              </w:rPr>
              <w:t>®</w:t>
            </w:r>
            <w:r w:rsidRPr="001D2CAB">
              <w:rPr>
                <w:rFonts w:cs="Arial"/>
                <w:b/>
                <w:bCs/>
                <w:sz w:val="32"/>
                <w:szCs w:val="32"/>
                <w:lang w:val="de-DE"/>
              </w:rPr>
              <w:t xml:space="preserve"> 400, </w:t>
            </w:r>
            <w:r>
              <w:rPr>
                <w:rFonts w:cs="Arial"/>
                <w:b/>
                <w:bCs/>
                <w:sz w:val="32"/>
                <w:szCs w:val="32"/>
                <w:lang w:val="de-DE"/>
              </w:rPr>
              <w:t>400 mg, tvrda kapsula</w:t>
            </w:r>
          </w:p>
          <w:p w:rsidR="00EC0F9E" w:rsidRDefault="00EC0F9E" w:rsidP="00B750B6">
            <w:pPr>
              <w:spacing w:after="40"/>
              <w:jc w:val="center"/>
              <w:rPr>
                <w:rFonts w:cs="Arial"/>
                <w:b/>
                <w:bCs/>
                <w:sz w:val="28"/>
                <w:szCs w:val="28"/>
                <w:lang w:val="it-IT"/>
              </w:rPr>
            </w:pPr>
          </w:p>
          <w:p w:rsidR="00EC0F9E" w:rsidRDefault="00EC0F9E" w:rsidP="00B750B6">
            <w:pPr>
              <w:spacing w:after="40"/>
              <w:jc w:val="center"/>
              <w:rPr>
                <w:rFonts w:cs="Arial"/>
                <w:b/>
                <w:bCs/>
                <w:sz w:val="28"/>
                <w:szCs w:val="28"/>
                <w:lang w:val="it-IT"/>
              </w:rPr>
            </w:pPr>
          </w:p>
          <w:p w:rsidR="00EC0F9E" w:rsidRPr="001D2CAB" w:rsidRDefault="00EC0F9E" w:rsidP="00B750B6">
            <w:pPr>
              <w:spacing w:after="40"/>
              <w:jc w:val="center"/>
              <w:rPr>
                <w:rFonts w:cs="Arial"/>
                <w:b/>
                <w:bCs/>
                <w:sz w:val="22"/>
                <w:lang w:val="de-DE"/>
              </w:rPr>
            </w:pPr>
            <w:r>
              <w:rPr>
                <w:rFonts w:cs="Arial"/>
                <w:b/>
                <w:bCs/>
                <w:sz w:val="28"/>
                <w:szCs w:val="28"/>
                <w:lang w:val="it-IT"/>
              </w:rPr>
              <w:t>ukupno 20 kom, blister 2x10 kom; 50 kom, blister 5</w:t>
            </w:r>
            <w:r w:rsidRPr="0021124A">
              <w:rPr>
                <w:rFonts w:cs="Arial"/>
                <w:b/>
                <w:bCs/>
                <w:sz w:val="28"/>
                <w:szCs w:val="28"/>
                <w:lang w:val="it-IT"/>
              </w:rPr>
              <w:t>x10 kom</w:t>
            </w:r>
            <w:r w:rsidRPr="0021124A">
              <w:rPr>
                <w:rFonts w:cs="Arial"/>
                <w:b/>
                <w:bCs/>
                <w:sz w:val="28"/>
                <w:szCs w:val="28"/>
                <w:lang w:val="sv-SE"/>
              </w:rPr>
              <w:t xml:space="preserve">                                                                                                                                                                                                                                                                             </w:t>
            </w:r>
          </w:p>
          <w:p w:rsidR="00EC0F9E" w:rsidRPr="001D2CAB" w:rsidRDefault="00EC0F9E" w:rsidP="00B750B6">
            <w:pPr>
              <w:spacing w:after="40"/>
              <w:jc w:val="center"/>
              <w:rPr>
                <w:rFonts w:cs="Arial"/>
                <w:b/>
                <w:bCs/>
                <w:sz w:val="22"/>
                <w:lang w:val="de-DE"/>
              </w:rPr>
            </w:pPr>
            <w:r w:rsidRPr="001D2CAB">
              <w:rPr>
                <w:rFonts w:cs="Arial"/>
                <w:b/>
                <w:bCs/>
                <w:sz w:val="22"/>
                <w:lang w:val="de-DE"/>
              </w:rPr>
              <w:t xml:space="preserve">                                                                                                                                                                                                                                                                                  </w:t>
            </w:r>
          </w:p>
        </w:tc>
      </w:tr>
      <w:tr w:rsidR="00EC0F9E">
        <w:tblPrEx>
          <w:tblCellMar>
            <w:top w:w="0" w:type="dxa"/>
            <w:bottom w:w="0" w:type="dxa"/>
          </w:tblCellMar>
        </w:tblPrEx>
        <w:trPr>
          <w:jc w:val="center"/>
        </w:trPr>
        <w:tc>
          <w:tcPr>
            <w:tcW w:w="2160" w:type="dxa"/>
            <w:vAlign w:val="bottom"/>
          </w:tcPr>
          <w:p w:rsidR="00EC0F9E" w:rsidRDefault="00EC0F9E" w:rsidP="00B750B6">
            <w:pPr>
              <w:spacing w:before="200"/>
              <w:jc w:val="right"/>
              <w:rPr>
                <w:rFonts w:cs="Arial"/>
                <w:sz w:val="22"/>
              </w:rPr>
            </w:pPr>
            <w:r>
              <w:rPr>
                <w:rFonts w:cs="Arial"/>
                <w:sz w:val="22"/>
              </w:rPr>
              <w:t>Proizvođač:</w:t>
            </w:r>
          </w:p>
        </w:tc>
        <w:tc>
          <w:tcPr>
            <w:tcW w:w="7200" w:type="dxa"/>
            <w:vAlign w:val="bottom"/>
          </w:tcPr>
          <w:p w:rsidR="00EC0F9E" w:rsidRDefault="00EC0F9E" w:rsidP="00B750B6">
            <w:pPr>
              <w:spacing w:before="200"/>
              <w:rPr>
                <w:rFonts w:cs="Arial"/>
                <w:b/>
                <w:bCs/>
                <w:sz w:val="22"/>
              </w:rPr>
            </w:pPr>
            <w:r>
              <w:rPr>
                <w:rFonts w:cs="Arial"/>
                <w:b/>
                <w:bCs/>
                <w:sz w:val="22"/>
              </w:rPr>
              <w:t>Artesan Pharma GmbH&amp;Co. KG, Wendlandstr. 1, 29349 L</w:t>
            </w:r>
            <w:r>
              <w:rPr>
                <w:b/>
                <w:bCs/>
                <w:sz w:val="22"/>
              </w:rPr>
              <w:t>ü</w:t>
            </w:r>
            <w:r>
              <w:rPr>
                <w:rFonts w:cs="Arial"/>
                <w:b/>
                <w:bCs/>
                <w:sz w:val="22"/>
              </w:rPr>
              <w:t>chov i/ili</w:t>
            </w:r>
          </w:p>
          <w:p w:rsidR="00EC0F9E" w:rsidRPr="0091654F" w:rsidRDefault="00EC0F9E" w:rsidP="00B750B6">
            <w:pPr>
              <w:spacing w:before="200"/>
              <w:rPr>
                <w:rFonts w:cs="Arial"/>
                <w:b/>
                <w:bCs/>
                <w:sz w:val="22"/>
              </w:rPr>
            </w:pPr>
            <w:r w:rsidRPr="0091654F">
              <w:rPr>
                <w:rFonts w:cs="Arial"/>
                <w:b/>
                <w:bCs/>
                <w:sz w:val="22"/>
              </w:rPr>
              <w:t>Dra</w:t>
            </w:r>
            <w:r>
              <w:rPr>
                <w:rFonts w:cs="Arial"/>
                <w:b/>
                <w:bCs/>
                <w:sz w:val="22"/>
              </w:rPr>
              <w:t>genopharm Apotheker P</w:t>
            </w:r>
            <w:r w:rsidRPr="0091654F">
              <w:rPr>
                <w:rFonts w:cs="Arial"/>
                <w:b/>
                <w:bCs/>
                <w:sz w:val="22"/>
              </w:rPr>
              <w:t>üschl GmbH, G</w:t>
            </w:r>
            <w:r>
              <w:rPr>
                <w:rFonts w:cs="Arial"/>
                <w:b/>
                <w:bCs/>
                <w:sz w:val="22"/>
              </w:rPr>
              <w:t>ö</w:t>
            </w:r>
            <w:r w:rsidRPr="0091654F">
              <w:rPr>
                <w:rFonts w:cs="Arial"/>
                <w:b/>
                <w:bCs/>
                <w:sz w:val="22"/>
              </w:rPr>
              <w:t xml:space="preserve">llstrasse 1, 84529 Tittmoning, </w:t>
            </w:r>
            <w:r w:rsidRPr="00A25A36">
              <w:rPr>
                <w:rFonts w:cs="Arial"/>
                <w:b/>
                <w:bCs/>
                <w:sz w:val="22"/>
              </w:rPr>
              <w:t>N</w:t>
            </w:r>
            <w:r>
              <w:rPr>
                <w:rFonts w:cs="Arial"/>
                <w:b/>
                <w:bCs/>
                <w:sz w:val="22"/>
              </w:rPr>
              <w:t>j</w:t>
            </w:r>
            <w:r w:rsidRPr="00A25A36">
              <w:rPr>
                <w:rFonts w:cs="Arial"/>
                <w:b/>
                <w:bCs/>
                <w:sz w:val="22"/>
              </w:rPr>
              <w:t>emačka</w:t>
            </w:r>
            <w:r w:rsidRPr="0091654F">
              <w:rPr>
                <w:rFonts w:cs="Arial"/>
                <w:b/>
                <w:bCs/>
                <w:sz w:val="22"/>
              </w:rPr>
              <w:t xml:space="preserve"> </w:t>
            </w:r>
          </w:p>
          <w:p w:rsidR="00EC0F9E" w:rsidRPr="00A25A36" w:rsidRDefault="00EC0F9E" w:rsidP="00B750B6">
            <w:pPr>
              <w:spacing w:before="200"/>
              <w:rPr>
                <w:rFonts w:cs="Arial"/>
                <w:b/>
                <w:bCs/>
                <w:sz w:val="22"/>
                <w:lang w:val="sr-Latn-CS"/>
              </w:rPr>
            </w:pPr>
            <w:r>
              <w:rPr>
                <w:rFonts w:cs="Arial"/>
                <w:b/>
                <w:bCs/>
                <w:sz w:val="22"/>
              </w:rPr>
              <w:t xml:space="preserve"> za </w:t>
            </w:r>
            <w:r>
              <w:rPr>
                <w:rFonts w:cs="Arial"/>
                <w:b/>
                <w:bCs/>
                <w:sz w:val="22"/>
                <w:lang w:val="sr-Latn-CS"/>
              </w:rPr>
              <w:t>W</w:t>
            </w:r>
            <w:r>
              <w:rPr>
                <w:b/>
                <w:bCs/>
                <w:sz w:val="22"/>
                <w:lang w:val="sr-Latn-CS"/>
              </w:rPr>
              <w:t>ö</w:t>
            </w:r>
            <w:r>
              <w:rPr>
                <w:rFonts w:cs="Arial"/>
                <w:b/>
                <w:bCs/>
                <w:sz w:val="22"/>
                <w:lang w:val="sr-Latn-CS"/>
              </w:rPr>
              <w:t xml:space="preserve">rwag Pharma GmbH </w:t>
            </w:r>
            <w:r>
              <w:rPr>
                <w:rFonts w:cs="Arial"/>
                <w:b/>
                <w:bCs/>
                <w:sz w:val="22"/>
              </w:rPr>
              <w:t xml:space="preserve">&amp; </w:t>
            </w:r>
            <w:r>
              <w:rPr>
                <w:rFonts w:cs="Arial"/>
                <w:b/>
                <w:bCs/>
                <w:sz w:val="22"/>
                <w:lang w:val="sr-Latn-CS"/>
              </w:rPr>
              <w:t>Co. KG</w:t>
            </w:r>
          </w:p>
        </w:tc>
      </w:tr>
      <w:tr w:rsidR="00EC0F9E" w:rsidRPr="00A25A36">
        <w:tblPrEx>
          <w:tblCellMar>
            <w:top w:w="0" w:type="dxa"/>
            <w:bottom w:w="0" w:type="dxa"/>
          </w:tblCellMar>
        </w:tblPrEx>
        <w:trPr>
          <w:jc w:val="center"/>
        </w:trPr>
        <w:tc>
          <w:tcPr>
            <w:tcW w:w="2160" w:type="dxa"/>
            <w:vAlign w:val="bottom"/>
          </w:tcPr>
          <w:p w:rsidR="00EC0F9E" w:rsidRDefault="00EC0F9E" w:rsidP="00B750B6">
            <w:pPr>
              <w:spacing w:before="200"/>
              <w:jc w:val="right"/>
              <w:rPr>
                <w:rFonts w:cs="Arial"/>
                <w:sz w:val="22"/>
              </w:rPr>
            </w:pPr>
            <w:r>
              <w:rPr>
                <w:rFonts w:cs="Arial"/>
                <w:sz w:val="22"/>
              </w:rPr>
              <w:t>Adresa:</w:t>
            </w:r>
          </w:p>
        </w:tc>
        <w:tc>
          <w:tcPr>
            <w:tcW w:w="7200" w:type="dxa"/>
            <w:vAlign w:val="bottom"/>
          </w:tcPr>
          <w:p w:rsidR="00EC0F9E" w:rsidRPr="00A25A36" w:rsidRDefault="00EC0F9E" w:rsidP="00B750B6">
            <w:pPr>
              <w:spacing w:before="200"/>
              <w:ind w:left="72" w:hanging="72"/>
              <w:rPr>
                <w:rFonts w:cs="Arial"/>
                <w:b/>
                <w:bCs/>
                <w:sz w:val="22"/>
              </w:rPr>
            </w:pPr>
            <w:r>
              <w:rPr>
                <w:rFonts w:cs="Arial"/>
                <w:b/>
                <w:bCs/>
                <w:sz w:val="22"/>
              </w:rPr>
              <w:t>C</w:t>
            </w:r>
            <w:r w:rsidRPr="00A25A36">
              <w:rPr>
                <w:rFonts w:cs="Arial"/>
                <w:b/>
                <w:bCs/>
                <w:sz w:val="22"/>
              </w:rPr>
              <w:t>alwer Str</w:t>
            </w:r>
            <w:r>
              <w:rPr>
                <w:rFonts w:cs="Arial"/>
                <w:b/>
                <w:bCs/>
                <w:sz w:val="22"/>
              </w:rPr>
              <w:t>asse</w:t>
            </w:r>
            <w:r w:rsidRPr="00A25A36">
              <w:rPr>
                <w:rFonts w:cs="Arial"/>
                <w:b/>
                <w:bCs/>
                <w:sz w:val="22"/>
              </w:rPr>
              <w:t xml:space="preserve"> 7, 71034 B</w:t>
            </w:r>
            <w:r w:rsidRPr="00A25A36">
              <w:rPr>
                <w:b/>
                <w:bCs/>
                <w:sz w:val="22"/>
              </w:rPr>
              <w:t>ö</w:t>
            </w:r>
            <w:r w:rsidRPr="00A25A36">
              <w:rPr>
                <w:rFonts w:cs="Arial"/>
                <w:b/>
                <w:bCs/>
                <w:sz w:val="22"/>
              </w:rPr>
              <w:t>blingen, N</w:t>
            </w:r>
            <w:r>
              <w:rPr>
                <w:rFonts w:cs="Arial"/>
                <w:b/>
                <w:bCs/>
                <w:sz w:val="22"/>
              </w:rPr>
              <w:t>j</w:t>
            </w:r>
            <w:r w:rsidRPr="00A25A36">
              <w:rPr>
                <w:rFonts w:cs="Arial"/>
                <w:b/>
                <w:bCs/>
                <w:sz w:val="22"/>
              </w:rPr>
              <w:t>emačka</w:t>
            </w:r>
          </w:p>
        </w:tc>
      </w:tr>
      <w:tr w:rsidR="00EC0F9E">
        <w:tblPrEx>
          <w:tblCellMar>
            <w:top w:w="0" w:type="dxa"/>
            <w:bottom w:w="0" w:type="dxa"/>
          </w:tblCellMar>
        </w:tblPrEx>
        <w:trPr>
          <w:jc w:val="center"/>
        </w:trPr>
        <w:tc>
          <w:tcPr>
            <w:tcW w:w="2160" w:type="dxa"/>
            <w:vAlign w:val="bottom"/>
          </w:tcPr>
          <w:p w:rsidR="00EC0F9E" w:rsidRDefault="00EC0F9E" w:rsidP="00B750B6">
            <w:pPr>
              <w:spacing w:before="200"/>
              <w:jc w:val="right"/>
              <w:rPr>
                <w:rFonts w:cs="Arial"/>
                <w:sz w:val="22"/>
              </w:rPr>
            </w:pPr>
            <w:r>
              <w:rPr>
                <w:rFonts w:cs="Arial"/>
                <w:sz w:val="22"/>
              </w:rPr>
              <w:t>Podnosilac zahteva:</w:t>
            </w:r>
          </w:p>
        </w:tc>
        <w:tc>
          <w:tcPr>
            <w:tcW w:w="7200" w:type="dxa"/>
            <w:vAlign w:val="bottom"/>
          </w:tcPr>
          <w:p w:rsidR="00EC0F9E" w:rsidRDefault="00EC0F9E" w:rsidP="00B750B6">
            <w:pPr>
              <w:spacing w:before="200"/>
              <w:ind w:left="72" w:hanging="72"/>
              <w:rPr>
                <w:rFonts w:cs="Arial"/>
                <w:b/>
                <w:bCs/>
                <w:sz w:val="22"/>
              </w:rPr>
            </w:pPr>
            <w:r>
              <w:rPr>
                <w:rFonts w:cs="Arial"/>
                <w:b/>
                <w:bCs/>
                <w:sz w:val="22"/>
              </w:rPr>
              <w:t>W</w:t>
            </w:r>
            <w:r>
              <w:rPr>
                <w:b/>
                <w:bCs/>
                <w:sz w:val="22"/>
              </w:rPr>
              <w:t>ö</w:t>
            </w:r>
            <w:r>
              <w:rPr>
                <w:rFonts w:cs="Arial"/>
                <w:b/>
                <w:bCs/>
                <w:sz w:val="22"/>
              </w:rPr>
              <w:t>rwag Pharma GmbH&amp;</w:t>
            </w:r>
            <w:r w:rsidRPr="00F22068">
              <w:rPr>
                <w:rFonts w:cs="Arial"/>
                <w:b/>
                <w:bCs/>
                <w:color w:val="000000"/>
                <w:sz w:val="22"/>
              </w:rPr>
              <w:t xml:space="preserve">Co.KG, </w:t>
            </w:r>
            <w:r>
              <w:rPr>
                <w:rFonts w:cs="Arial"/>
                <w:b/>
                <w:bCs/>
                <w:color w:val="000000"/>
                <w:sz w:val="22"/>
              </w:rPr>
              <w:t>Böblingen, Njemačka-Dio stranog društva, Podgorica</w:t>
            </w:r>
          </w:p>
        </w:tc>
      </w:tr>
      <w:tr w:rsidR="00EC0F9E">
        <w:tblPrEx>
          <w:tblCellMar>
            <w:top w:w="0" w:type="dxa"/>
            <w:bottom w:w="0" w:type="dxa"/>
          </w:tblCellMar>
        </w:tblPrEx>
        <w:trPr>
          <w:jc w:val="center"/>
        </w:trPr>
        <w:tc>
          <w:tcPr>
            <w:tcW w:w="2160" w:type="dxa"/>
            <w:vAlign w:val="bottom"/>
          </w:tcPr>
          <w:p w:rsidR="00EC0F9E" w:rsidRDefault="00EC0F9E" w:rsidP="00B750B6">
            <w:pPr>
              <w:spacing w:before="200"/>
              <w:jc w:val="right"/>
              <w:rPr>
                <w:rFonts w:cs="Arial"/>
                <w:sz w:val="22"/>
              </w:rPr>
            </w:pPr>
            <w:r>
              <w:rPr>
                <w:rFonts w:cs="Arial"/>
                <w:sz w:val="22"/>
              </w:rPr>
              <w:t>Adresa:</w:t>
            </w:r>
          </w:p>
        </w:tc>
        <w:tc>
          <w:tcPr>
            <w:tcW w:w="7200" w:type="dxa"/>
            <w:vAlign w:val="bottom"/>
          </w:tcPr>
          <w:p w:rsidR="00EC0F9E" w:rsidRDefault="00EC0F9E" w:rsidP="00B750B6">
            <w:pPr>
              <w:spacing w:before="200"/>
              <w:ind w:left="72" w:hanging="72"/>
              <w:rPr>
                <w:rFonts w:cs="Arial"/>
                <w:b/>
                <w:bCs/>
                <w:sz w:val="22"/>
              </w:rPr>
            </w:pPr>
            <w:r>
              <w:rPr>
                <w:rFonts w:cs="Arial"/>
                <w:b/>
                <w:bCs/>
                <w:sz w:val="22"/>
              </w:rPr>
              <w:t>Karađorđeva 4, 81 000 Podgorica, Crna Gora</w:t>
            </w:r>
          </w:p>
        </w:tc>
      </w:tr>
    </w:tbl>
    <w:p w:rsidR="00EC0F9E" w:rsidRDefault="00EC0F9E" w:rsidP="00EC0F9E">
      <w:pPr>
        <w:pStyle w:val="Header"/>
        <w:tabs>
          <w:tab w:val="left" w:pos="284"/>
        </w:tabs>
        <w:rPr>
          <w:rFonts w:cs="Arial"/>
          <w:sz w:val="22"/>
        </w:rPr>
      </w:pPr>
    </w:p>
    <w:p w:rsidR="00EC0F9E" w:rsidRDefault="00EC0F9E" w:rsidP="00EC0F9E">
      <w:pPr>
        <w:pStyle w:val="Header"/>
        <w:tabs>
          <w:tab w:val="left" w:pos="284"/>
        </w:tabs>
        <w:spacing w:before="400"/>
        <w:rPr>
          <w:rFonts w:cs="Arial"/>
          <w:b/>
          <w:bCs/>
          <w:sz w:val="22"/>
        </w:rPr>
      </w:pPr>
      <w:r>
        <w:rPr>
          <w:rFonts w:cs="Arial"/>
          <w:sz w:val="22"/>
        </w:rPr>
        <w:br w:type="page"/>
      </w:r>
    </w:p>
    <w:tbl>
      <w:tblPr>
        <w:tblW w:w="10188" w:type="dxa"/>
        <w:tblLayout w:type="fixed"/>
        <w:tblLook w:val="0000" w:firstRow="0" w:lastRow="0" w:firstColumn="0" w:lastColumn="0" w:noHBand="0" w:noVBand="0"/>
      </w:tblPr>
      <w:tblGrid>
        <w:gridCol w:w="828"/>
        <w:gridCol w:w="9360"/>
      </w:tblGrid>
      <w:tr w:rsidR="00EC0F9E">
        <w:tblPrEx>
          <w:tblCellMar>
            <w:top w:w="0" w:type="dxa"/>
            <w:bottom w:w="0" w:type="dxa"/>
          </w:tblCellMar>
        </w:tblPrEx>
        <w:trPr>
          <w:cantSplit/>
          <w:trHeight w:val="284"/>
        </w:trPr>
        <w:tc>
          <w:tcPr>
            <w:tcW w:w="10188" w:type="dxa"/>
            <w:gridSpan w:val="2"/>
            <w:shd w:val="clear" w:color="auto" w:fill="E0E0E0"/>
            <w:vAlign w:val="center"/>
          </w:tcPr>
          <w:p w:rsidR="00EC0F9E" w:rsidRDefault="00EC0F9E" w:rsidP="00B750B6">
            <w:pPr>
              <w:pStyle w:val="Header"/>
              <w:tabs>
                <w:tab w:val="left" w:pos="284"/>
              </w:tabs>
              <w:rPr>
                <w:rFonts w:cs="Arial"/>
                <w:b/>
                <w:bCs/>
                <w:sz w:val="22"/>
                <w:lang w:val="sr-Latn-CS"/>
              </w:rPr>
            </w:pPr>
            <w:r>
              <w:rPr>
                <w:rFonts w:cs="Arial"/>
                <w:b/>
                <w:bCs/>
                <w:sz w:val="22"/>
              </w:rPr>
              <w:lastRenderedPageBreak/>
              <w:t xml:space="preserve">1. IME LEKA, INTERNACIONALNO </w:t>
            </w:r>
            <w:r>
              <w:rPr>
                <w:rFonts w:cs="Arial"/>
                <w:b/>
                <w:bCs/>
                <w:sz w:val="22"/>
                <w:lang w:val="sr-Latn-CS"/>
              </w:rPr>
              <w:t>NEZAŠTIĆENO IME LEKA (</w:t>
            </w:r>
            <w:smartTag w:uri="urn:schemas-microsoft-com:office:smarttags" w:element="place">
              <w:r>
                <w:rPr>
                  <w:rFonts w:cs="Arial"/>
                  <w:b/>
                  <w:bCs/>
                  <w:sz w:val="22"/>
                  <w:lang w:val="sr-Latn-CS"/>
                </w:rPr>
                <w:t>INN</w:t>
              </w:r>
            </w:smartTag>
            <w:r>
              <w:rPr>
                <w:rFonts w:cs="Arial"/>
                <w:b/>
                <w:bCs/>
                <w:sz w:val="22"/>
                <w:lang w:val="sr-Latn-CS"/>
              </w:rPr>
              <w:t>)</w:t>
            </w:r>
          </w:p>
        </w:tc>
      </w:tr>
      <w:tr w:rsidR="00EC0F9E" w:rsidRPr="006546B5">
        <w:tblPrEx>
          <w:tblCellMar>
            <w:top w:w="0" w:type="dxa"/>
            <w:bottom w:w="0" w:type="dxa"/>
          </w:tblCellMar>
        </w:tblPrEx>
        <w:trPr>
          <w:cantSplit/>
          <w:trHeight w:val="525"/>
        </w:trPr>
        <w:tc>
          <w:tcPr>
            <w:tcW w:w="10188" w:type="dxa"/>
            <w:gridSpan w:val="2"/>
            <w:vAlign w:val="center"/>
          </w:tcPr>
          <w:p w:rsidR="00EC0F9E" w:rsidRPr="006546B5" w:rsidRDefault="00EC0F9E" w:rsidP="00B750B6">
            <w:pPr>
              <w:pStyle w:val="Header"/>
              <w:tabs>
                <w:tab w:val="left" w:pos="284"/>
              </w:tabs>
              <w:rPr>
                <w:rFonts w:cs="Arial"/>
                <w:sz w:val="22"/>
                <w:lang w:val="sv-SE"/>
              </w:rPr>
            </w:pPr>
            <w:r w:rsidRPr="006546B5">
              <w:rPr>
                <w:rFonts w:cs="Arial"/>
                <w:sz w:val="22"/>
                <w:lang w:val="sv-SE"/>
              </w:rPr>
              <w:t xml:space="preserve"> Gabagamma</w:t>
            </w:r>
            <w:r w:rsidRPr="006546B5">
              <w:rPr>
                <w:sz w:val="22"/>
                <w:szCs w:val="22"/>
                <w:vertAlign w:val="superscript"/>
                <w:lang w:val="sv-SE"/>
              </w:rPr>
              <w:t>®</w:t>
            </w:r>
            <w:r w:rsidRPr="006546B5">
              <w:rPr>
                <w:rFonts w:cs="Arial"/>
                <w:sz w:val="22"/>
                <w:lang w:val="sv-SE"/>
              </w:rPr>
              <w:t xml:space="preserve"> 100, 100 mg, tvrda kapsula </w:t>
            </w:r>
          </w:p>
          <w:p w:rsidR="00EC0F9E" w:rsidRPr="006546B5" w:rsidRDefault="00EC0F9E" w:rsidP="00B750B6">
            <w:pPr>
              <w:pStyle w:val="Header"/>
              <w:tabs>
                <w:tab w:val="left" w:pos="284"/>
              </w:tabs>
              <w:rPr>
                <w:rFonts w:cs="Arial"/>
                <w:sz w:val="22"/>
                <w:lang w:val="sv-SE"/>
              </w:rPr>
            </w:pPr>
            <w:r w:rsidRPr="006546B5">
              <w:rPr>
                <w:rFonts w:cs="Arial"/>
                <w:sz w:val="22"/>
                <w:lang w:val="sv-SE"/>
              </w:rPr>
              <w:t xml:space="preserve"> Gabagamma</w:t>
            </w:r>
            <w:r w:rsidRPr="006546B5">
              <w:rPr>
                <w:sz w:val="22"/>
                <w:szCs w:val="22"/>
                <w:vertAlign w:val="superscript"/>
                <w:lang w:val="sv-SE"/>
              </w:rPr>
              <w:t>®</w:t>
            </w:r>
            <w:r w:rsidRPr="006546B5">
              <w:rPr>
                <w:rFonts w:cs="Arial"/>
                <w:sz w:val="22"/>
                <w:lang w:val="sv-SE"/>
              </w:rPr>
              <w:t xml:space="preserve"> 300</w:t>
            </w:r>
            <w:r>
              <w:rPr>
                <w:rFonts w:cs="Arial"/>
                <w:sz w:val="22"/>
                <w:lang w:val="sv-SE"/>
              </w:rPr>
              <w:t>, 300 mg, tvrda kapsula</w:t>
            </w:r>
          </w:p>
          <w:p w:rsidR="00EC0F9E" w:rsidRPr="006546B5" w:rsidRDefault="00EC0F9E" w:rsidP="00B750B6">
            <w:pPr>
              <w:pStyle w:val="Header"/>
              <w:tabs>
                <w:tab w:val="left" w:pos="284"/>
              </w:tabs>
              <w:rPr>
                <w:rFonts w:cs="Arial"/>
                <w:sz w:val="22"/>
                <w:lang w:val="sv-SE"/>
              </w:rPr>
            </w:pPr>
            <w:r w:rsidRPr="006546B5">
              <w:rPr>
                <w:rFonts w:cs="Arial"/>
                <w:sz w:val="22"/>
                <w:lang w:val="sv-SE"/>
              </w:rPr>
              <w:t xml:space="preserve"> Gabagamma</w:t>
            </w:r>
            <w:r w:rsidRPr="006546B5">
              <w:rPr>
                <w:sz w:val="22"/>
                <w:szCs w:val="22"/>
                <w:vertAlign w:val="superscript"/>
                <w:lang w:val="sv-SE"/>
              </w:rPr>
              <w:t>®</w:t>
            </w:r>
            <w:r w:rsidRPr="006546B5">
              <w:rPr>
                <w:rFonts w:cs="Arial"/>
                <w:sz w:val="22"/>
                <w:lang w:val="sv-SE"/>
              </w:rPr>
              <w:t xml:space="preserve"> 400</w:t>
            </w:r>
            <w:r>
              <w:rPr>
                <w:rFonts w:cs="Arial"/>
                <w:sz w:val="22"/>
                <w:lang w:val="sv-SE"/>
              </w:rPr>
              <w:t>, 400 mg, tvrda kapsula</w:t>
            </w:r>
            <w:r w:rsidRPr="006546B5">
              <w:rPr>
                <w:rFonts w:cs="Arial"/>
                <w:sz w:val="22"/>
                <w:lang w:val="sv-SE"/>
              </w:rPr>
              <w:t xml:space="preserve"> </w:t>
            </w:r>
          </w:p>
        </w:tc>
      </w:tr>
      <w:tr w:rsidR="00EC0F9E">
        <w:tblPrEx>
          <w:tblCellMar>
            <w:top w:w="0" w:type="dxa"/>
            <w:bottom w:w="0" w:type="dxa"/>
          </w:tblCellMar>
        </w:tblPrEx>
        <w:tc>
          <w:tcPr>
            <w:tcW w:w="828" w:type="dxa"/>
          </w:tcPr>
          <w:p w:rsidR="00EC0F9E" w:rsidRDefault="00EC0F9E" w:rsidP="00B750B6">
            <w:pPr>
              <w:pStyle w:val="Header"/>
              <w:tabs>
                <w:tab w:val="left" w:pos="284"/>
              </w:tabs>
              <w:rPr>
                <w:rFonts w:cs="Arial"/>
                <w:sz w:val="22"/>
              </w:rPr>
            </w:pPr>
            <w:smartTag w:uri="urn:schemas-microsoft-com:office:smarttags" w:element="place">
              <w:r>
                <w:rPr>
                  <w:rFonts w:cs="Arial"/>
                  <w:sz w:val="22"/>
                </w:rPr>
                <w:t>INN</w:t>
              </w:r>
            </w:smartTag>
            <w:r>
              <w:rPr>
                <w:rFonts w:cs="Arial"/>
                <w:sz w:val="22"/>
              </w:rPr>
              <w:t>:</w:t>
            </w:r>
          </w:p>
        </w:tc>
        <w:tc>
          <w:tcPr>
            <w:tcW w:w="9360" w:type="dxa"/>
            <w:vAlign w:val="center"/>
          </w:tcPr>
          <w:p w:rsidR="00EC0F9E" w:rsidRDefault="00EC0F9E" w:rsidP="00B750B6">
            <w:pPr>
              <w:pStyle w:val="Header"/>
              <w:tabs>
                <w:tab w:val="left" w:pos="284"/>
              </w:tabs>
              <w:rPr>
                <w:rFonts w:cs="Arial"/>
                <w:sz w:val="22"/>
              </w:rPr>
            </w:pPr>
            <w:r>
              <w:rPr>
                <w:rFonts w:cs="Arial"/>
                <w:sz w:val="22"/>
              </w:rPr>
              <w:t>gabapentin</w:t>
            </w:r>
          </w:p>
        </w:tc>
      </w:tr>
      <w:tr w:rsidR="00EC0F9E">
        <w:tblPrEx>
          <w:tblCellMar>
            <w:top w:w="0" w:type="dxa"/>
            <w:bottom w:w="0" w:type="dxa"/>
          </w:tblCellMar>
        </w:tblPrEx>
        <w:trPr>
          <w:cantSplit/>
        </w:trPr>
        <w:tc>
          <w:tcPr>
            <w:tcW w:w="10188" w:type="dxa"/>
            <w:gridSpan w:val="2"/>
            <w:shd w:val="clear" w:color="auto" w:fill="E0E0E0"/>
            <w:vAlign w:val="center"/>
          </w:tcPr>
          <w:p w:rsidR="00EC0F9E" w:rsidRDefault="00EC0F9E" w:rsidP="00B750B6">
            <w:pPr>
              <w:pStyle w:val="Header"/>
              <w:tabs>
                <w:tab w:val="left" w:pos="284"/>
              </w:tabs>
              <w:rPr>
                <w:rFonts w:cs="Arial"/>
                <w:b/>
                <w:bCs/>
                <w:sz w:val="22"/>
              </w:rPr>
            </w:pPr>
            <w:r>
              <w:rPr>
                <w:rFonts w:cs="Arial"/>
                <w:b/>
                <w:bCs/>
                <w:sz w:val="22"/>
              </w:rPr>
              <w:t>2. KVALITATIVNI I KVANTITATIVNI SASTAV</w:t>
            </w:r>
          </w:p>
        </w:tc>
      </w:tr>
      <w:tr w:rsidR="00EC0F9E">
        <w:tblPrEx>
          <w:tblCellMar>
            <w:top w:w="0" w:type="dxa"/>
            <w:bottom w:w="0" w:type="dxa"/>
          </w:tblCellMar>
        </w:tblPrEx>
        <w:trPr>
          <w:cantSplit/>
          <w:trHeight w:val="1145"/>
        </w:trPr>
        <w:tc>
          <w:tcPr>
            <w:tcW w:w="10188" w:type="dxa"/>
            <w:gridSpan w:val="2"/>
            <w:vAlign w:val="center"/>
          </w:tcPr>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r>
              <w:rPr>
                <w:rFonts w:cs="Arial"/>
                <w:sz w:val="22"/>
              </w:rPr>
              <w:t>1 tvrda kapsula Gabagamma</w:t>
            </w:r>
            <w:r>
              <w:rPr>
                <w:sz w:val="22"/>
                <w:szCs w:val="22"/>
                <w:vertAlign w:val="superscript"/>
              </w:rPr>
              <w:t>®</w:t>
            </w:r>
            <w:r>
              <w:rPr>
                <w:rFonts w:cs="Arial"/>
                <w:sz w:val="22"/>
              </w:rPr>
              <w:t xml:space="preserve"> 100 sarži 100 mg gabapentina</w:t>
            </w:r>
          </w:p>
          <w:p w:rsidR="00EC0F9E" w:rsidRDefault="00EC0F9E" w:rsidP="00B750B6">
            <w:pPr>
              <w:pStyle w:val="Header"/>
              <w:tabs>
                <w:tab w:val="left" w:pos="284"/>
              </w:tabs>
              <w:rPr>
                <w:rFonts w:cs="Arial"/>
                <w:sz w:val="22"/>
              </w:rPr>
            </w:pPr>
            <w:r>
              <w:rPr>
                <w:rFonts w:cs="Arial"/>
                <w:sz w:val="22"/>
              </w:rPr>
              <w:t>1 tvrda kapsula Gabagamma</w:t>
            </w:r>
            <w:r>
              <w:rPr>
                <w:sz w:val="22"/>
                <w:szCs w:val="22"/>
                <w:vertAlign w:val="superscript"/>
              </w:rPr>
              <w:t>®</w:t>
            </w:r>
            <w:r>
              <w:rPr>
                <w:rFonts w:cs="Arial"/>
                <w:sz w:val="22"/>
              </w:rPr>
              <w:t xml:space="preserve"> 300 sadrži 300 mg gabapentina</w:t>
            </w:r>
          </w:p>
          <w:p w:rsidR="00EC0F9E" w:rsidRDefault="00EC0F9E" w:rsidP="00B750B6">
            <w:pPr>
              <w:pStyle w:val="Header"/>
              <w:tabs>
                <w:tab w:val="left" w:pos="284"/>
              </w:tabs>
              <w:rPr>
                <w:rFonts w:cs="Arial"/>
                <w:sz w:val="22"/>
              </w:rPr>
            </w:pPr>
            <w:r>
              <w:rPr>
                <w:rFonts w:cs="Arial"/>
                <w:sz w:val="22"/>
              </w:rPr>
              <w:t>1 tvrda kapsula Gabagamma</w:t>
            </w:r>
            <w:r>
              <w:rPr>
                <w:sz w:val="22"/>
                <w:szCs w:val="22"/>
                <w:vertAlign w:val="superscript"/>
              </w:rPr>
              <w:t>®</w:t>
            </w:r>
            <w:r>
              <w:rPr>
                <w:rFonts w:cs="Arial"/>
                <w:sz w:val="22"/>
              </w:rPr>
              <w:t xml:space="preserve"> 400 sadrži 400 mg gabapentina</w:t>
            </w:r>
          </w:p>
          <w:p w:rsidR="00EC0F9E" w:rsidRDefault="00EC0F9E" w:rsidP="00B750B6">
            <w:pPr>
              <w:rPr>
                <w:rFonts w:cs="Arial"/>
                <w:sz w:val="22"/>
              </w:rPr>
            </w:pPr>
          </w:p>
          <w:p w:rsidR="00EC0F9E" w:rsidRPr="00CA60EB" w:rsidRDefault="00EC0F9E" w:rsidP="00B750B6">
            <w:pPr>
              <w:rPr>
                <w:rFonts w:cs="Arial"/>
                <w:sz w:val="22"/>
              </w:rPr>
            </w:pPr>
            <w:r>
              <w:rPr>
                <w:rFonts w:cs="Arial"/>
                <w:sz w:val="22"/>
              </w:rPr>
              <w:t>1 tvrda kapsula Gabagamma</w:t>
            </w:r>
            <w:r>
              <w:rPr>
                <w:sz w:val="22"/>
                <w:szCs w:val="22"/>
                <w:vertAlign w:val="superscript"/>
              </w:rPr>
              <w:t>®</w:t>
            </w:r>
            <w:r>
              <w:rPr>
                <w:rFonts w:cs="Arial"/>
                <w:sz w:val="22"/>
              </w:rPr>
              <w:t xml:space="preserve"> 100 </w:t>
            </w:r>
            <w:r w:rsidRPr="00CA60EB">
              <w:rPr>
                <w:rFonts w:cs="Arial"/>
                <w:sz w:val="22"/>
              </w:rPr>
              <w:t>sadrži 22,5 mg bezvodne laktoze</w:t>
            </w:r>
          </w:p>
          <w:p w:rsidR="00EC0F9E" w:rsidRPr="00CA60EB" w:rsidRDefault="00EC0F9E" w:rsidP="00B750B6">
            <w:pPr>
              <w:rPr>
                <w:rFonts w:cs="Arial"/>
                <w:sz w:val="22"/>
              </w:rPr>
            </w:pPr>
            <w:r>
              <w:rPr>
                <w:rFonts w:cs="Arial"/>
                <w:sz w:val="22"/>
              </w:rPr>
              <w:t>1 tvrda kapsula Gabagamma</w:t>
            </w:r>
            <w:r>
              <w:rPr>
                <w:sz w:val="22"/>
                <w:szCs w:val="22"/>
                <w:vertAlign w:val="superscript"/>
              </w:rPr>
              <w:t>®</w:t>
            </w:r>
            <w:r>
              <w:rPr>
                <w:rFonts w:cs="Arial"/>
                <w:sz w:val="22"/>
              </w:rPr>
              <w:t xml:space="preserve"> 300 </w:t>
            </w:r>
            <w:r w:rsidRPr="00CA60EB">
              <w:rPr>
                <w:rFonts w:cs="Arial"/>
                <w:sz w:val="22"/>
              </w:rPr>
              <w:t>sadrži 67.5 mg bezvodne laktoze</w:t>
            </w:r>
          </w:p>
          <w:p w:rsidR="00EC0F9E" w:rsidRPr="00CA60EB" w:rsidRDefault="00EC0F9E" w:rsidP="00B750B6">
            <w:pPr>
              <w:rPr>
                <w:rFonts w:cs="Arial"/>
                <w:sz w:val="22"/>
              </w:rPr>
            </w:pPr>
            <w:r>
              <w:rPr>
                <w:rFonts w:cs="Arial"/>
                <w:sz w:val="22"/>
              </w:rPr>
              <w:t>1 tvrda kapsula Gabagamma</w:t>
            </w:r>
            <w:r>
              <w:rPr>
                <w:sz w:val="22"/>
                <w:szCs w:val="22"/>
                <w:vertAlign w:val="superscript"/>
              </w:rPr>
              <w:t>®</w:t>
            </w:r>
            <w:r>
              <w:rPr>
                <w:rFonts w:cs="Arial"/>
                <w:sz w:val="22"/>
              </w:rPr>
              <w:t xml:space="preserve"> 400 </w:t>
            </w:r>
            <w:r w:rsidRPr="00CA60EB">
              <w:rPr>
                <w:rFonts w:cs="Arial"/>
                <w:sz w:val="22"/>
              </w:rPr>
              <w:t>sadrži 90 mg bezvodne laktoze</w:t>
            </w:r>
          </w:p>
          <w:p w:rsidR="00EC0F9E" w:rsidRDefault="00EC0F9E" w:rsidP="00B750B6">
            <w:pPr>
              <w:pStyle w:val="Header"/>
              <w:tabs>
                <w:tab w:val="left" w:pos="284"/>
              </w:tabs>
              <w:rPr>
                <w:rFonts w:cs="Arial"/>
                <w:sz w:val="22"/>
              </w:rPr>
            </w:pPr>
            <w:r>
              <w:rPr>
                <w:rFonts w:cs="Arial"/>
                <w:sz w:val="22"/>
              </w:rPr>
              <w:t xml:space="preserve">Za kompletnu listu pomoćnih supstanci vidjeti odjeljak 6.1 </w:t>
            </w:r>
          </w:p>
          <w:p w:rsidR="00EC0F9E" w:rsidRDefault="00EC0F9E" w:rsidP="00B750B6">
            <w:pPr>
              <w:pStyle w:val="Header"/>
              <w:tabs>
                <w:tab w:val="left" w:pos="284"/>
              </w:tabs>
              <w:rPr>
                <w:rFonts w:cs="Arial"/>
                <w:sz w:val="22"/>
              </w:rPr>
            </w:pPr>
          </w:p>
        </w:tc>
      </w:tr>
      <w:tr w:rsidR="00EC0F9E">
        <w:tblPrEx>
          <w:tblCellMar>
            <w:top w:w="0" w:type="dxa"/>
            <w:bottom w:w="0" w:type="dxa"/>
          </w:tblCellMar>
        </w:tblPrEx>
        <w:trPr>
          <w:cantSplit/>
        </w:trPr>
        <w:tc>
          <w:tcPr>
            <w:tcW w:w="10188" w:type="dxa"/>
            <w:gridSpan w:val="2"/>
            <w:shd w:val="clear" w:color="auto" w:fill="E0E0E0"/>
            <w:vAlign w:val="center"/>
          </w:tcPr>
          <w:p w:rsidR="00EC0F9E" w:rsidRDefault="00EC0F9E" w:rsidP="00B750B6">
            <w:pPr>
              <w:pStyle w:val="Header"/>
              <w:tabs>
                <w:tab w:val="left" w:pos="284"/>
              </w:tabs>
              <w:rPr>
                <w:rFonts w:cs="Arial"/>
                <w:b/>
                <w:bCs/>
                <w:sz w:val="22"/>
              </w:rPr>
            </w:pPr>
            <w:r>
              <w:rPr>
                <w:rFonts w:cs="Arial"/>
                <w:b/>
                <w:bCs/>
                <w:sz w:val="22"/>
              </w:rPr>
              <w:t>3. FARMACEUTSKI OBLIK</w:t>
            </w:r>
          </w:p>
        </w:tc>
      </w:tr>
      <w:tr w:rsidR="00EC0F9E" w:rsidRPr="001879C9">
        <w:tblPrEx>
          <w:tblCellMar>
            <w:top w:w="0" w:type="dxa"/>
            <w:bottom w:w="0" w:type="dxa"/>
          </w:tblCellMar>
        </w:tblPrEx>
        <w:trPr>
          <w:cantSplit/>
          <w:trHeight w:val="1145"/>
        </w:trPr>
        <w:tc>
          <w:tcPr>
            <w:tcW w:w="10188" w:type="dxa"/>
            <w:gridSpan w:val="2"/>
            <w:vAlign w:val="center"/>
          </w:tcPr>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r>
              <w:rPr>
                <w:rFonts w:cs="Arial"/>
                <w:sz w:val="22"/>
              </w:rPr>
              <w:t>Tvrda kapsula</w:t>
            </w:r>
          </w:p>
          <w:p w:rsidR="00EC0F9E" w:rsidRPr="001879C9" w:rsidRDefault="00EC0F9E" w:rsidP="00B750B6">
            <w:pPr>
              <w:pStyle w:val="Header"/>
              <w:tabs>
                <w:tab w:val="left" w:pos="284"/>
              </w:tabs>
              <w:rPr>
                <w:rFonts w:cs="Arial"/>
                <w:sz w:val="22"/>
              </w:rPr>
            </w:pPr>
          </w:p>
          <w:p w:rsidR="00EC0F9E" w:rsidRPr="001879C9" w:rsidRDefault="00EC0F9E" w:rsidP="00B750B6">
            <w:pPr>
              <w:pStyle w:val="Header"/>
              <w:tabs>
                <w:tab w:val="left" w:pos="284"/>
              </w:tabs>
              <w:rPr>
                <w:rFonts w:cs="Arial"/>
                <w:sz w:val="22"/>
              </w:rPr>
            </w:pPr>
            <w:r w:rsidRPr="001879C9">
              <w:rPr>
                <w:rFonts w:cs="Arial"/>
                <w:sz w:val="22"/>
              </w:rPr>
              <w:t>Gabagamma</w:t>
            </w:r>
            <w:r w:rsidRPr="001879C9">
              <w:rPr>
                <w:rFonts w:cs="Arial"/>
                <w:sz w:val="22"/>
                <w:szCs w:val="22"/>
                <w:vertAlign w:val="superscript"/>
              </w:rPr>
              <w:t>®</w:t>
            </w:r>
            <w:r w:rsidRPr="001879C9">
              <w:rPr>
                <w:rFonts w:cs="Arial"/>
                <w:sz w:val="22"/>
              </w:rPr>
              <w:t xml:space="preserve"> 100 mg tvrde kapsule: tvrde želatinske kapsule sa belim neprovidnim telom i kapicom</w:t>
            </w:r>
          </w:p>
          <w:p w:rsidR="00EC0F9E" w:rsidRPr="001879C9" w:rsidRDefault="00EC0F9E" w:rsidP="00B750B6">
            <w:pPr>
              <w:pStyle w:val="Header"/>
              <w:tabs>
                <w:tab w:val="left" w:pos="284"/>
              </w:tabs>
              <w:rPr>
                <w:rFonts w:cs="Arial"/>
                <w:sz w:val="22"/>
              </w:rPr>
            </w:pPr>
            <w:r w:rsidRPr="001879C9">
              <w:rPr>
                <w:rFonts w:cs="Arial"/>
                <w:sz w:val="22"/>
              </w:rPr>
              <w:t>Gabagamma</w:t>
            </w:r>
            <w:r w:rsidRPr="001879C9">
              <w:rPr>
                <w:rFonts w:cs="Arial"/>
                <w:sz w:val="22"/>
                <w:szCs w:val="22"/>
                <w:vertAlign w:val="superscript"/>
              </w:rPr>
              <w:t>®</w:t>
            </w:r>
            <w:r w:rsidRPr="001879C9">
              <w:rPr>
                <w:rFonts w:cs="Arial"/>
                <w:sz w:val="22"/>
              </w:rPr>
              <w:t xml:space="preserve"> 300 mg tvrde kapsule: tvrde želatinske kapsule  sa žutim neprovidnim telom i kapicom</w:t>
            </w:r>
          </w:p>
          <w:p w:rsidR="00EC0F9E" w:rsidRPr="001879C9" w:rsidRDefault="00EC0F9E" w:rsidP="00B750B6">
            <w:pPr>
              <w:pStyle w:val="Header"/>
              <w:tabs>
                <w:tab w:val="left" w:pos="284"/>
              </w:tabs>
              <w:rPr>
                <w:rFonts w:cs="Arial"/>
                <w:sz w:val="22"/>
              </w:rPr>
            </w:pPr>
            <w:r w:rsidRPr="001879C9">
              <w:rPr>
                <w:rFonts w:cs="Arial"/>
                <w:sz w:val="22"/>
              </w:rPr>
              <w:t>Gabagamma</w:t>
            </w:r>
            <w:r w:rsidRPr="001879C9">
              <w:rPr>
                <w:rFonts w:cs="Arial"/>
                <w:sz w:val="22"/>
                <w:szCs w:val="22"/>
                <w:vertAlign w:val="superscript"/>
              </w:rPr>
              <w:t>®</w:t>
            </w:r>
            <w:r w:rsidRPr="001879C9">
              <w:rPr>
                <w:rFonts w:cs="Arial"/>
                <w:sz w:val="22"/>
              </w:rPr>
              <w:t xml:space="preserve"> 400 mg tvrde kapsule: tvrde želatinske kapsule sa narandžastim neprovidnim telom i kapicom</w:t>
            </w:r>
          </w:p>
          <w:p w:rsidR="00EC0F9E" w:rsidRPr="001879C9" w:rsidRDefault="00EC0F9E" w:rsidP="00B750B6">
            <w:pPr>
              <w:pStyle w:val="Header"/>
              <w:tabs>
                <w:tab w:val="left" w:pos="284"/>
              </w:tabs>
              <w:rPr>
                <w:rFonts w:cs="Arial"/>
                <w:sz w:val="22"/>
                <w:lang w:val="sr-Latn-CS"/>
              </w:rPr>
            </w:pPr>
          </w:p>
        </w:tc>
      </w:tr>
      <w:tr w:rsidR="00EC0F9E">
        <w:tblPrEx>
          <w:tblCellMar>
            <w:top w:w="0" w:type="dxa"/>
            <w:bottom w:w="0" w:type="dxa"/>
          </w:tblCellMar>
        </w:tblPrEx>
        <w:trPr>
          <w:cantSplit/>
        </w:trPr>
        <w:tc>
          <w:tcPr>
            <w:tcW w:w="10188" w:type="dxa"/>
            <w:gridSpan w:val="2"/>
            <w:shd w:val="clear" w:color="auto" w:fill="E0E0E0"/>
            <w:vAlign w:val="center"/>
          </w:tcPr>
          <w:p w:rsidR="00EC0F9E" w:rsidRDefault="00EC0F9E" w:rsidP="00B750B6">
            <w:pPr>
              <w:pStyle w:val="Header"/>
              <w:tabs>
                <w:tab w:val="left" w:pos="284"/>
              </w:tabs>
              <w:rPr>
                <w:rFonts w:cs="Arial"/>
                <w:b/>
                <w:bCs/>
                <w:sz w:val="22"/>
              </w:rPr>
            </w:pPr>
            <w:r>
              <w:rPr>
                <w:rFonts w:cs="Arial"/>
                <w:b/>
                <w:bCs/>
                <w:sz w:val="22"/>
              </w:rPr>
              <w:t>4. KLINIČKI PODACI</w:t>
            </w:r>
          </w:p>
        </w:tc>
      </w:tr>
      <w:tr w:rsidR="00EC0F9E">
        <w:tblPrEx>
          <w:tblCellMar>
            <w:top w:w="0" w:type="dxa"/>
            <w:bottom w:w="0" w:type="dxa"/>
          </w:tblCellMar>
        </w:tblPrEx>
        <w:trPr>
          <w:cantSplit/>
        </w:trPr>
        <w:tc>
          <w:tcPr>
            <w:tcW w:w="10188" w:type="dxa"/>
            <w:gridSpan w:val="2"/>
            <w:vAlign w:val="center"/>
          </w:tcPr>
          <w:p w:rsidR="00EC0F9E" w:rsidRDefault="00EC0F9E" w:rsidP="00B750B6">
            <w:pPr>
              <w:pStyle w:val="Header"/>
              <w:tabs>
                <w:tab w:val="left" w:pos="284"/>
              </w:tabs>
              <w:spacing w:before="80" w:after="80"/>
              <w:rPr>
                <w:rFonts w:cs="Arial"/>
                <w:b/>
                <w:bCs/>
                <w:sz w:val="22"/>
              </w:rPr>
            </w:pPr>
            <w:r>
              <w:rPr>
                <w:rFonts w:cs="Arial"/>
                <w:b/>
                <w:bCs/>
                <w:sz w:val="22"/>
              </w:rPr>
              <w:t>4.1. Terapijske indikacije</w:t>
            </w:r>
          </w:p>
        </w:tc>
      </w:tr>
      <w:tr w:rsidR="00EC0F9E" w:rsidRPr="007F10E1">
        <w:tblPrEx>
          <w:tblCellMar>
            <w:top w:w="0" w:type="dxa"/>
            <w:bottom w:w="0" w:type="dxa"/>
          </w:tblCellMar>
        </w:tblPrEx>
        <w:trPr>
          <w:cantSplit/>
          <w:trHeight w:val="1145"/>
        </w:trPr>
        <w:tc>
          <w:tcPr>
            <w:tcW w:w="10188" w:type="dxa"/>
            <w:gridSpan w:val="2"/>
            <w:vAlign w:val="center"/>
          </w:tcPr>
          <w:p w:rsidR="00EC0F9E" w:rsidRDefault="00EC0F9E" w:rsidP="00B750B6">
            <w:pPr>
              <w:pStyle w:val="BodyText"/>
              <w:rPr>
                <w:sz w:val="22"/>
                <w:szCs w:val="22"/>
                <w:u w:val="single"/>
              </w:rPr>
            </w:pPr>
          </w:p>
          <w:p w:rsidR="00EC0F9E" w:rsidRPr="006E64C7" w:rsidRDefault="00EC0F9E" w:rsidP="00B750B6">
            <w:pPr>
              <w:pStyle w:val="BodyText"/>
              <w:rPr>
                <w:sz w:val="22"/>
                <w:szCs w:val="22"/>
                <w:u w:val="single"/>
              </w:rPr>
            </w:pPr>
            <w:r w:rsidRPr="006E64C7">
              <w:rPr>
                <w:sz w:val="22"/>
                <w:szCs w:val="22"/>
                <w:u w:val="single"/>
              </w:rPr>
              <w:t>Epilepsija</w:t>
            </w:r>
          </w:p>
          <w:p w:rsidR="00EC0F9E" w:rsidRPr="006E64C7" w:rsidRDefault="00EC0F9E" w:rsidP="00B750B6">
            <w:pPr>
              <w:pStyle w:val="BodyText"/>
              <w:rPr>
                <w:sz w:val="22"/>
                <w:szCs w:val="22"/>
              </w:rPr>
            </w:pPr>
            <w:r w:rsidRPr="006E64C7">
              <w:rPr>
                <w:sz w:val="22"/>
                <w:szCs w:val="22"/>
              </w:rPr>
              <w:t>Gabapentin je indikovan kao dodatna terapija u l</w:t>
            </w:r>
            <w:r>
              <w:rPr>
                <w:sz w:val="22"/>
                <w:szCs w:val="22"/>
              </w:rPr>
              <w:t>j</w:t>
            </w:r>
            <w:r w:rsidRPr="006E64C7">
              <w:rPr>
                <w:sz w:val="22"/>
                <w:szCs w:val="22"/>
              </w:rPr>
              <w:t>ečenju parcijalnih konvulzija sa ili bez sekundarnih generalizovanih konvulzija kod odraslih i d</w:t>
            </w:r>
            <w:r>
              <w:rPr>
                <w:sz w:val="22"/>
                <w:szCs w:val="22"/>
              </w:rPr>
              <w:t>ij</w:t>
            </w:r>
            <w:r w:rsidRPr="006E64C7">
              <w:rPr>
                <w:sz w:val="22"/>
                <w:szCs w:val="22"/>
              </w:rPr>
              <w:t>ece stare 6 i više godina (</w:t>
            </w:r>
            <w:r>
              <w:rPr>
                <w:sz w:val="22"/>
                <w:szCs w:val="22"/>
              </w:rPr>
              <w:t>v</w:t>
            </w:r>
            <w:r w:rsidRPr="006E64C7">
              <w:rPr>
                <w:sz w:val="22"/>
                <w:szCs w:val="22"/>
              </w:rPr>
              <w:t xml:space="preserve">ideti odeljak 5.1) </w:t>
            </w:r>
          </w:p>
          <w:p w:rsidR="00EC0F9E" w:rsidRPr="006E64C7" w:rsidRDefault="00EC0F9E" w:rsidP="00B750B6">
            <w:pPr>
              <w:pStyle w:val="BodyText"/>
              <w:rPr>
                <w:sz w:val="22"/>
                <w:szCs w:val="22"/>
              </w:rPr>
            </w:pPr>
            <w:r w:rsidRPr="006E64C7">
              <w:rPr>
                <w:sz w:val="22"/>
                <w:szCs w:val="22"/>
              </w:rPr>
              <w:t xml:space="preserve">Gabapentin je indikovan kao monoterapija u lečenju parcijalnih konvulzija sa ili bez sekundarnih generalizovanih konvulzija </w:t>
            </w:r>
            <w:r>
              <w:rPr>
                <w:sz w:val="22"/>
                <w:szCs w:val="22"/>
              </w:rPr>
              <w:t xml:space="preserve">kod </w:t>
            </w:r>
            <w:r w:rsidRPr="006E64C7">
              <w:rPr>
                <w:sz w:val="22"/>
                <w:szCs w:val="22"/>
              </w:rPr>
              <w:t>odraslih i adolescenata starih 12 i više godina</w:t>
            </w:r>
            <w:r>
              <w:rPr>
                <w:sz w:val="22"/>
                <w:szCs w:val="22"/>
              </w:rPr>
              <w:t>.</w:t>
            </w:r>
            <w:r w:rsidRPr="006E64C7">
              <w:rPr>
                <w:sz w:val="22"/>
                <w:szCs w:val="22"/>
              </w:rPr>
              <w:t xml:space="preserve"> </w:t>
            </w:r>
          </w:p>
          <w:p w:rsidR="00EC0F9E" w:rsidRPr="006E64C7" w:rsidRDefault="00EC0F9E" w:rsidP="00B750B6">
            <w:pPr>
              <w:pStyle w:val="BodyText"/>
              <w:rPr>
                <w:sz w:val="22"/>
                <w:szCs w:val="22"/>
              </w:rPr>
            </w:pPr>
          </w:p>
          <w:p w:rsidR="00EC0F9E" w:rsidRPr="00657189" w:rsidRDefault="00EC0F9E" w:rsidP="00B750B6">
            <w:pPr>
              <w:pStyle w:val="BodyText"/>
              <w:rPr>
                <w:sz w:val="22"/>
                <w:szCs w:val="22"/>
                <w:u w:val="single"/>
              </w:rPr>
            </w:pPr>
            <w:r w:rsidRPr="00657189">
              <w:rPr>
                <w:sz w:val="22"/>
                <w:szCs w:val="22"/>
                <w:u w:val="single"/>
              </w:rPr>
              <w:t>L</w:t>
            </w:r>
            <w:r>
              <w:rPr>
                <w:sz w:val="22"/>
                <w:szCs w:val="22"/>
                <w:u w:val="single"/>
              </w:rPr>
              <w:t>j</w:t>
            </w:r>
            <w:r w:rsidRPr="00657189">
              <w:rPr>
                <w:sz w:val="22"/>
                <w:szCs w:val="22"/>
                <w:u w:val="single"/>
              </w:rPr>
              <w:t>ečenje bola kod periferne neuropatije</w:t>
            </w:r>
          </w:p>
          <w:p w:rsidR="00EC0F9E" w:rsidRPr="006E64C7" w:rsidRDefault="00EC0F9E" w:rsidP="00B750B6">
            <w:pPr>
              <w:pStyle w:val="BodyText"/>
              <w:rPr>
                <w:sz w:val="22"/>
                <w:szCs w:val="22"/>
              </w:rPr>
            </w:pPr>
            <w:r w:rsidRPr="006E64C7">
              <w:rPr>
                <w:sz w:val="22"/>
                <w:szCs w:val="22"/>
              </w:rPr>
              <w:t>Gabapentin je indikovan za l</w:t>
            </w:r>
            <w:r>
              <w:rPr>
                <w:sz w:val="22"/>
                <w:szCs w:val="22"/>
              </w:rPr>
              <w:t>j</w:t>
            </w:r>
            <w:r w:rsidRPr="006E64C7">
              <w:rPr>
                <w:sz w:val="22"/>
                <w:szCs w:val="22"/>
              </w:rPr>
              <w:t>ečenje bola kod periferne neuropatije kao što je to slučaj kod bolne dijab</w:t>
            </w:r>
            <w:r>
              <w:rPr>
                <w:sz w:val="22"/>
                <w:szCs w:val="22"/>
              </w:rPr>
              <w:t>e</w:t>
            </w:r>
            <w:r w:rsidRPr="006E64C7">
              <w:rPr>
                <w:sz w:val="22"/>
                <w:szCs w:val="22"/>
              </w:rPr>
              <w:t>tske neuropatije i postherpetične neuralgije kog odraslih.</w:t>
            </w:r>
          </w:p>
          <w:p w:rsidR="00EC0F9E" w:rsidRPr="007F10E1" w:rsidRDefault="00EC0F9E" w:rsidP="00B750B6">
            <w:pPr>
              <w:pStyle w:val="Header"/>
              <w:tabs>
                <w:tab w:val="left" w:pos="284"/>
              </w:tabs>
              <w:rPr>
                <w:rFonts w:cs="Arial"/>
                <w:sz w:val="22"/>
                <w:lang w:val="sr-Latn-CS"/>
              </w:rPr>
            </w:pPr>
          </w:p>
        </w:tc>
      </w:tr>
      <w:tr w:rsidR="00EC0F9E">
        <w:tblPrEx>
          <w:tblCellMar>
            <w:top w:w="0" w:type="dxa"/>
            <w:bottom w:w="0" w:type="dxa"/>
          </w:tblCellMar>
        </w:tblPrEx>
        <w:trPr>
          <w:cantSplit/>
        </w:trPr>
        <w:tc>
          <w:tcPr>
            <w:tcW w:w="10188" w:type="dxa"/>
            <w:gridSpan w:val="2"/>
            <w:vAlign w:val="center"/>
          </w:tcPr>
          <w:p w:rsidR="00EC0F9E" w:rsidRDefault="00EC0F9E" w:rsidP="00B750B6">
            <w:pPr>
              <w:pStyle w:val="Header"/>
              <w:tabs>
                <w:tab w:val="left" w:pos="284"/>
              </w:tabs>
              <w:spacing w:before="80" w:after="80"/>
              <w:rPr>
                <w:rFonts w:cs="Arial"/>
                <w:b/>
                <w:bCs/>
                <w:sz w:val="22"/>
              </w:rPr>
            </w:pPr>
            <w:r>
              <w:rPr>
                <w:rFonts w:cs="Arial"/>
                <w:b/>
                <w:bCs/>
                <w:sz w:val="22"/>
              </w:rPr>
              <w:t>4.2. Doziranje i način primjene</w:t>
            </w:r>
          </w:p>
        </w:tc>
      </w:tr>
      <w:tr w:rsidR="00EC0F9E" w:rsidRPr="00080FAE">
        <w:tblPrEx>
          <w:tblCellMar>
            <w:top w:w="0" w:type="dxa"/>
            <w:bottom w:w="0" w:type="dxa"/>
          </w:tblCellMar>
        </w:tblPrEx>
        <w:trPr>
          <w:cantSplit/>
          <w:trHeight w:val="1145"/>
        </w:trPr>
        <w:tc>
          <w:tcPr>
            <w:tcW w:w="10188" w:type="dxa"/>
            <w:gridSpan w:val="2"/>
            <w:vAlign w:val="center"/>
          </w:tcPr>
          <w:p w:rsidR="00EC0F9E" w:rsidRPr="006E64C7" w:rsidRDefault="00EC0F9E" w:rsidP="00B750B6">
            <w:pPr>
              <w:pStyle w:val="BodyText"/>
              <w:rPr>
                <w:sz w:val="22"/>
                <w:szCs w:val="22"/>
              </w:rPr>
            </w:pPr>
            <w:r w:rsidRPr="006E64C7">
              <w:rPr>
                <w:sz w:val="22"/>
                <w:szCs w:val="22"/>
              </w:rPr>
              <w:lastRenderedPageBreak/>
              <w:t>Za oralnu upotrebu</w:t>
            </w:r>
          </w:p>
          <w:p w:rsidR="00EC0F9E" w:rsidRPr="006E64C7" w:rsidRDefault="00EC0F9E" w:rsidP="00B750B6">
            <w:pPr>
              <w:pStyle w:val="BodyText"/>
              <w:rPr>
                <w:sz w:val="22"/>
                <w:szCs w:val="22"/>
              </w:rPr>
            </w:pPr>
            <w:r w:rsidRPr="006E64C7">
              <w:rPr>
                <w:sz w:val="22"/>
                <w:szCs w:val="22"/>
              </w:rPr>
              <w:t xml:space="preserve">Gabapentin se može </w:t>
            </w:r>
            <w:r>
              <w:rPr>
                <w:sz w:val="22"/>
                <w:szCs w:val="22"/>
              </w:rPr>
              <w:t>uzimati</w:t>
            </w:r>
            <w:r w:rsidRPr="006E64C7">
              <w:rPr>
                <w:sz w:val="22"/>
                <w:szCs w:val="22"/>
              </w:rPr>
              <w:t xml:space="preserve"> sa ili bez hrane</w:t>
            </w:r>
            <w:r>
              <w:rPr>
                <w:sz w:val="22"/>
                <w:szCs w:val="22"/>
              </w:rPr>
              <w:t>,</w:t>
            </w:r>
            <w:r w:rsidRPr="006E64C7">
              <w:rPr>
                <w:sz w:val="22"/>
                <w:szCs w:val="22"/>
              </w:rPr>
              <w:t xml:space="preserve"> a kapsule treba progutati c</w:t>
            </w:r>
            <w:r>
              <w:rPr>
                <w:sz w:val="22"/>
                <w:szCs w:val="22"/>
              </w:rPr>
              <w:t>ij</w:t>
            </w:r>
            <w:r w:rsidRPr="006E64C7">
              <w:rPr>
                <w:sz w:val="22"/>
                <w:szCs w:val="22"/>
              </w:rPr>
              <w:t>ele sa dovoljno tečnosti (npr. čaša vode).</w:t>
            </w:r>
          </w:p>
          <w:p w:rsidR="00EC0F9E" w:rsidRPr="006E64C7" w:rsidRDefault="00EC0F9E" w:rsidP="00B750B6">
            <w:pPr>
              <w:pStyle w:val="BodyText"/>
              <w:tabs>
                <w:tab w:val="left" w:pos="1830"/>
              </w:tabs>
              <w:rPr>
                <w:sz w:val="22"/>
                <w:szCs w:val="22"/>
              </w:rPr>
            </w:pPr>
            <w:r>
              <w:rPr>
                <w:sz w:val="22"/>
                <w:szCs w:val="22"/>
              </w:rPr>
              <w:tab/>
            </w:r>
          </w:p>
          <w:p w:rsidR="00EC0F9E" w:rsidRDefault="00EC0F9E" w:rsidP="00B750B6">
            <w:pPr>
              <w:pStyle w:val="BodyText"/>
              <w:rPr>
                <w:sz w:val="22"/>
                <w:szCs w:val="22"/>
              </w:rPr>
            </w:pPr>
            <w:r>
              <w:rPr>
                <w:sz w:val="22"/>
                <w:szCs w:val="22"/>
              </w:rPr>
              <w:t>S</w:t>
            </w:r>
            <w:r w:rsidRPr="006E64C7">
              <w:rPr>
                <w:sz w:val="22"/>
                <w:szCs w:val="22"/>
              </w:rPr>
              <w:t xml:space="preserve">hema titracije </w:t>
            </w:r>
            <w:r>
              <w:rPr>
                <w:sz w:val="22"/>
                <w:szCs w:val="22"/>
              </w:rPr>
              <w:t>z</w:t>
            </w:r>
            <w:r w:rsidRPr="006E64C7">
              <w:rPr>
                <w:sz w:val="22"/>
                <w:szCs w:val="22"/>
              </w:rPr>
              <w:t>a sve indikacije za započinjanje terapije data je u Tabeli 1 i ona se preporučuje k</w:t>
            </w:r>
            <w:r>
              <w:rPr>
                <w:sz w:val="22"/>
                <w:szCs w:val="22"/>
              </w:rPr>
              <w:t>od odraslih i adolescenata starosti</w:t>
            </w:r>
            <w:r w:rsidRPr="006E64C7">
              <w:rPr>
                <w:sz w:val="22"/>
                <w:szCs w:val="22"/>
              </w:rPr>
              <w:t xml:space="preserve"> 12 i više godin</w:t>
            </w:r>
            <w:r>
              <w:rPr>
                <w:sz w:val="22"/>
                <w:szCs w:val="22"/>
              </w:rPr>
              <w:t>a</w:t>
            </w:r>
            <w:r w:rsidRPr="006E64C7">
              <w:rPr>
                <w:sz w:val="22"/>
                <w:szCs w:val="22"/>
              </w:rPr>
              <w:t>. Uputstva vezana za doziranje kod d</w:t>
            </w:r>
            <w:r>
              <w:rPr>
                <w:sz w:val="22"/>
                <w:szCs w:val="22"/>
              </w:rPr>
              <w:t>ij</w:t>
            </w:r>
            <w:r w:rsidRPr="006E64C7">
              <w:rPr>
                <w:sz w:val="22"/>
                <w:szCs w:val="22"/>
              </w:rPr>
              <w:t>ece mlađe od 12 godine</w:t>
            </w:r>
            <w:r>
              <w:rPr>
                <w:sz w:val="22"/>
                <w:szCs w:val="22"/>
              </w:rPr>
              <w:t xml:space="preserve"> data su kasnije u ovom odjeljku.</w:t>
            </w:r>
            <w:r w:rsidRPr="006E64C7">
              <w:rPr>
                <w:sz w:val="22"/>
                <w:szCs w:val="22"/>
              </w:rPr>
              <w:t xml:space="preserve"> </w:t>
            </w:r>
          </w:p>
          <w:p w:rsidR="00EC0F9E" w:rsidRPr="00080FAE" w:rsidRDefault="00EC0F9E" w:rsidP="00B750B6">
            <w:pPr>
              <w:pStyle w:val="Header"/>
              <w:tabs>
                <w:tab w:val="left" w:pos="284"/>
              </w:tabs>
              <w:rPr>
                <w:rFonts w:cs="Arial"/>
                <w:i/>
                <w:sz w:val="22"/>
                <w:lang w:val="sr-Latn-CS"/>
              </w:rPr>
            </w:pPr>
          </w:p>
        </w:tc>
      </w:tr>
    </w:tbl>
    <w:p w:rsidR="00EC0F9E" w:rsidRPr="00491F33" w:rsidRDefault="00EC0F9E" w:rsidP="00EC0F9E">
      <w:pPr>
        <w:rPr>
          <w:vanish/>
        </w:rPr>
      </w:pPr>
    </w:p>
    <w:tbl>
      <w:tblPr>
        <w:tblW w:w="0" w:type="auto"/>
        <w:tblLayout w:type="fixed"/>
        <w:tblLook w:val="01E0" w:firstRow="1" w:lastRow="1" w:firstColumn="1" w:lastColumn="1" w:noHBand="0" w:noVBand="0"/>
      </w:tblPr>
      <w:tblGrid>
        <w:gridCol w:w="2841"/>
        <w:gridCol w:w="2842"/>
        <w:gridCol w:w="2842"/>
      </w:tblGrid>
      <w:tr w:rsidR="00EC0F9E" w:rsidRPr="00491F33">
        <w:tc>
          <w:tcPr>
            <w:tcW w:w="2841" w:type="dxa"/>
            <w:shd w:val="clear" w:color="auto" w:fill="auto"/>
          </w:tcPr>
          <w:p w:rsidR="00EC0F9E" w:rsidRPr="00491F33" w:rsidRDefault="00EC0F9E" w:rsidP="00B750B6">
            <w:pPr>
              <w:pStyle w:val="BodyText"/>
              <w:rPr>
                <w:sz w:val="22"/>
                <w:szCs w:val="22"/>
              </w:rPr>
            </w:pPr>
            <w:r w:rsidRPr="00491F33">
              <w:rPr>
                <w:sz w:val="22"/>
                <w:szCs w:val="22"/>
              </w:rPr>
              <w:t>Tabela 1</w:t>
            </w:r>
          </w:p>
        </w:tc>
        <w:tc>
          <w:tcPr>
            <w:tcW w:w="2842" w:type="dxa"/>
            <w:shd w:val="clear" w:color="auto" w:fill="auto"/>
          </w:tcPr>
          <w:p w:rsidR="00EC0F9E" w:rsidRPr="00491F33" w:rsidRDefault="00EC0F9E" w:rsidP="00B750B6">
            <w:pPr>
              <w:pStyle w:val="BodyText"/>
              <w:rPr>
                <w:sz w:val="22"/>
                <w:szCs w:val="22"/>
              </w:rPr>
            </w:pPr>
          </w:p>
        </w:tc>
        <w:tc>
          <w:tcPr>
            <w:tcW w:w="2842" w:type="dxa"/>
            <w:shd w:val="clear" w:color="auto" w:fill="auto"/>
          </w:tcPr>
          <w:p w:rsidR="00EC0F9E" w:rsidRPr="00491F33" w:rsidRDefault="00EC0F9E" w:rsidP="00B750B6">
            <w:pPr>
              <w:pStyle w:val="BodyText"/>
              <w:rPr>
                <w:sz w:val="22"/>
                <w:szCs w:val="22"/>
              </w:rPr>
            </w:pPr>
          </w:p>
        </w:tc>
      </w:tr>
      <w:tr w:rsidR="00EC0F9E" w:rsidRPr="00491F33">
        <w:tc>
          <w:tcPr>
            <w:tcW w:w="2841" w:type="dxa"/>
            <w:shd w:val="clear" w:color="auto" w:fill="auto"/>
          </w:tcPr>
          <w:p w:rsidR="00EC0F9E" w:rsidRPr="00491F33" w:rsidRDefault="00EC0F9E" w:rsidP="00B750B6">
            <w:pPr>
              <w:pStyle w:val="BodyText"/>
              <w:rPr>
                <w:sz w:val="22"/>
                <w:szCs w:val="22"/>
              </w:rPr>
            </w:pPr>
            <w:r w:rsidRPr="00491F33">
              <w:rPr>
                <w:sz w:val="22"/>
                <w:szCs w:val="22"/>
              </w:rPr>
              <w:t>GRAFIKON DOZIRANJA – INICIJALNA TITRACIJA</w:t>
            </w:r>
          </w:p>
        </w:tc>
        <w:tc>
          <w:tcPr>
            <w:tcW w:w="2842" w:type="dxa"/>
            <w:shd w:val="clear" w:color="auto" w:fill="auto"/>
          </w:tcPr>
          <w:p w:rsidR="00EC0F9E" w:rsidRPr="00491F33" w:rsidRDefault="00EC0F9E" w:rsidP="00B750B6">
            <w:pPr>
              <w:pStyle w:val="BodyText"/>
              <w:rPr>
                <w:sz w:val="22"/>
                <w:szCs w:val="22"/>
              </w:rPr>
            </w:pPr>
          </w:p>
        </w:tc>
        <w:tc>
          <w:tcPr>
            <w:tcW w:w="2842" w:type="dxa"/>
            <w:shd w:val="clear" w:color="auto" w:fill="auto"/>
          </w:tcPr>
          <w:p w:rsidR="00EC0F9E" w:rsidRPr="00491F33" w:rsidRDefault="00EC0F9E" w:rsidP="00B750B6">
            <w:pPr>
              <w:pStyle w:val="BodyText"/>
              <w:rPr>
                <w:sz w:val="22"/>
                <w:szCs w:val="22"/>
              </w:rPr>
            </w:pPr>
          </w:p>
        </w:tc>
      </w:tr>
      <w:tr w:rsidR="00EC0F9E" w:rsidRPr="00491F33">
        <w:tc>
          <w:tcPr>
            <w:tcW w:w="2841" w:type="dxa"/>
            <w:shd w:val="clear" w:color="auto" w:fill="auto"/>
          </w:tcPr>
          <w:p w:rsidR="00EC0F9E" w:rsidRPr="00491F33" w:rsidRDefault="00EC0F9E" w:rsidP="00B750B6">
            <w:pPr>
              <w:pStyle w:val="BodyText"/>
              <w:rPr>
                <w:sz w:val="22"/>
                <w:szCs w:val="22"/>
              </w:rPr>
            </w:pPr>
            <w:r w:rsidRPr="00491F33">
              <w:rPr>
                <w:sz w:val="22"/>
                <w:szCs w:val="22"/>
              </w:rPr>
              <w:t>Dan 1</w:t>
            </w:r>
          </w:p>
        </w:tc>
        <w:tc>
          <w:tcPr>
            <w:tcW w:w="2842" w:type="dxa"/>
            <w:shd w:val="clear" w:color="auto" w:fill="auto"/>
          </w:tcPr>
          <w:p w:rsidR="00EC0F9E" w:rsidRPr="00491F33" w:rsidRDefault="00EC0F9E" w:rsidP="00B750B6">
            <w:pPr>
              <w:pStyle w:val="BodyText"/>
              <w:rPr>
                <w:sz w:val="22"/>
                <w:szCs w:val="22"/>
              </w:rPr>
            </w:pPr>
            <w:r w:rsidRPr="00491F33">
              <w:rPr>
                <w:sz w:val="22"/>
                <w:szCs w:val="22"/>
              </w:rPr>
              <w:t>Dan 2</w:t>
            </w:r>
          </w:p>
        </w:tc>
        <w:tc>
          <w:tcPr>
            <w:tcW w:w="2842" w:type="dxa"/>
            <w:shd w:val="clear" w:color="auto" w:fill="auto"/>
          </w:tcPr>
          <w:p w:rsidR="00EC0F9E" w:rsidRPr="00491F33" w:rsidRDefault="00EC0F9E" w:rsidP="00B750B6">
            <w:pPr>
              <w:pStyle w:val="BodyText"/>
              <w:rPr>
                <w:sz w:val="22"/>
                <w:szCs w:val="22"/>
              </w:rPr>
            </w:pPr>
            <w:r w:rsidRPr="00491F33">
              <w:rPr>
                <w:sz w:val="22"/>
                <w:szCs w:val="22"/>
              </w:rPr>
              <w:t>Dan 3</w:t>
            </w:r>
          </w:p>
        </w:tc>
      </w:tr>
      <w:tr w:rsidR="00EC0F9E" w:rsidRPr="00491F33">
        <w:tc>
          <w:tcPr>
            <w:tcW w:w="2841" w:type="dxa"/>
            <w:shd w:val="clear" w:color="auto" w:fill="auto"/>
          </w:tcPr>
          <w:p w:rsidR="00EC0F9E" w:rsidRPr="00491F33" w:rsidRDefault="00EC0F9E" w:rsidP="00B750B6">
            <w:pPr>
              <w:pStyle w:val="BodyText"/>
              <w:rPr>
                <w:sz w:val="22"/>
                <w:szCs w:val="22"/>
              </w:rPr>
            </w:pPr>
            <w:r w:rsidRPr="00491F33">
              <w:rPr>
                <w:sz w:val="22"/>
                <w:szCs w:val="22"/>
              </w:rPr>
              <w:t>300 mg jednom na dan</w:t>
            </w:r>
          </w:p>
        </w:tc>
        <w:tc>
          <w:tcPr>
            <w:tcW w:w="2842" w:type="dxa"/>
            <w:shd w:val="clear" w:color="auto" w:fill="auto"/>
          </w:tcPr>
          <w:p w:rsidR="00EC0F9E" w:rsidRPr="00491F33" w:rsidRDefault="00EC0F9E" w:rsidP="00B750B6">
            <w:pPr>
              <w:pStyle w:val="BodyText"/>
              <w:rPr>
                <w:sz w:val="22"/>
                <w:szCs w:val="22"/>
              </w:rPr>
            </w:pPr>
            <w:r w:rsidRPr="00491F33">
              <w:rPr>
                <w:sz w:val="22"/>
                <w:szCs w:val="22"/>
              </w:rPr>
              <w:t>300 mg dva puta na dan</w:t>
            </w:r>
          </w:p>
        </w:tc>
        <w:tc>
          <w:tcPr>
            <w:tcW w:w="2842" w:type="dxa"/>
            <w:shd w:val="clear" w:color="auto" w:fill="auto"/>
          </w:tcPr>
          <w:p w:rsidR="00EC0F9E" w:rsidRPr="00491F33" w:rsidRDefault="00EC0F9E" w:rsidP="00B750B6">
            <w:pPr>
              <w:pStyle w:val="BodyText"/>
              <w:rPr>
                <w:sz w:val="22"/>
                <w:szCs w:val="22"/>
              </w:rPr>
            </w:pPr>
            <w:r w:rsidRPr="00491F33">
              <w:rPr>
                <w:sz w:val="22"/>
                <w:szCs w:val="22"/>
              </w:rPr>
              <w:t>300 mg tri puta na dan</w:t>
            </w:r>
          </w:p>
        </w:tc>
      </w:tr>
    </w:tbl>
    <w:p w:rsidR="00EC0F9E" w:rsidRPr="00491F33" w:rsidRDefault="00EC0F9E" w:rsidP="00EC0F9E">
      <w:pPr>
        <w:rPr>
          <w:vanish/>
        </w:rPr>
      </w:pPr>
    </w:p>
    <w:tbl>
      <w:tblPr>
        <w:tblW w:w="10188" w:type="dxa"/>
        <w:tblLayout w:type="fixed"/>
        <w:tblLook w:val="0000" w:firstRow="0" w:lastRow="0" w:firstColumn="0" w:lastColumn="0" w:noHBand="0" w:noVBand="0"/>
      </w:tblPr>
      <w:tblGrid>
        <w:gridCol w:w="108"/>
        <w:gridCol w:w="1080"/>
        <w:gridCol w:w="1620"/>
        <w:gridCol w:w="1620"/>
        <w:gridCol w:w="4320"/>
        <w:gridCol w:w="1440"/>
      </w:tblGrid>
      <w:tr w:rsidR="00EC0F9E" w:rsidRPr="005676DE">
        <w:tblPrEx>
          <w:tblCellMar>
            <w:top w:w="0" w:type="dxa"/>
            <w:bottom w:w="0" w:type="dxa"/>
          </w:tblCellMar>
        </w:tblPrEx>
        <w:trPr>
          <w:cantSplit/>
          <w:trHeight w:val="1145"/>
        </w:trPr>
        <w:tc>
          <w:tcPr>
            <w:tcW w:w="10188" w:type="dxa"/>
            <w:gridSpan w:val="6"/>
            <w:vAlign w:val="center"/>
          </w:tcPr>
          <w:p w:rsidR="00EC0F9E" w:rsidRPr="0045037E" w:rsidRDefault="00EC0F9E" w:rsidP="00B750B6">
            <w:pPr>
              <w:pStyle w:val="Header"/>
              <w:tabs>
                <w:tab w:val="left" w:pos="284"/>
              </w:tabs>
              <w:rPr>
                <w:rFonts w:cs="Arial"/>
                <w:sz w:val="22"/>
                <w:szCs w:val="22"/>
                <w:lang w:val="sr-Latn-CS"/>
              </w:rPr>
            </w:pPr>
          </w:p>
          <w:p w:rsidR="00EC0F9E" w:rsidRPr="00657189" w:rsidRDefault="00EC0F9E" w:rsidP="00B750B6">
            <w:pPr>
              <w:pStyle w:val="BodyText"/>
              <w:rPr>
                <w:sz w:val="22"/>
                <w:szCs w:val="22"/>
                <w:u w:val="single"/>
              </w:rPr>
            </w:pPr>
            <w:r w:rsidRPr="00657189">
              <w:rPr>
                <w:sz w:val="22"/>
                <w:szCs w:val="22"/>
                <w:u w:val="single"/>
              </w:rPr>
              <w:t>Prekid prim</w:t>
            </w:r>
            <w:r>
              <w:rPr>
                <w:sz w:val="22"/>
                <w:szCs w:val="22"/>
                <w:u w:val="single"/>
              </w:rPr>
              <w:t>j</w:t>
            </w:r>
            <w:r w:rsidRPr="00657189">
              <w:rPr>
                <w:sz w:val="22"/>
                <w:szCs w:val="22"/>
                <w:u w:val="single"/>
              </w:rPr>
              <w:t>ene gabapentina</w:t>
            </w:r>
          </w:p>
          <w:p w:rsidR="00EC0F9E" w:rsidRPr="006E64C7" w:rsidRDefault="00EC0F9E" w:rsidP="00B750B6">
            <w:pPr>
              <w:pStyle w:val="BodyText"/>
              <w:rPr>
                <w:sz w:val="22"/>
                <w:szCs w:val="22"/>
              </w:rPr>
            </w:pPr>
            <w:r>
              <w:rPr>
                <w:sz w:val="22"/>
                <w:szCs w:val="22"/>
              </w:rPr>
              <w:t>Doze određuje lj</w:t>
            </w:r>
            <w:r w:rsidRPr="006E64C7">
              <w:rPr>
                <w:sz w:val="22"/>
                <w:szCs w:val="22"/>
              </w:rPr>
              <w:t xml:space="preserve">ekar prema individualnoj podnošljivosti i efikasnosti. Radi individualnog prilagođavanja doze postoje jačine od 100, 300 i </w:t>
            </w:r>
            <w:r w:rsidRPr="00657189">
              <w:rPr>
                <w:sz w:val="22"/>
                <w:szCs w:val="22"/>
              </w:rPr>
              <w:t>400</w:t>
            </w:r>
            <w:r w:rsidRPr="006E64C7">
              <w:rPr>
                <w:sz w:val="22"/>
                <w:szCs w:val="22"/>
              </w:rPr>
              <w:t xml:space="preserve"> mg. </w:t>
            </w:r>
          </w:p>
          <w:p w:rsidR="00EC0F9E" w:rsidRPr="006E64C7" w:rsidRDefault="00EC0F9E" w:rsidP="00B750B6">
            <w:pPr>
              <w:pStyle w:val="BodyText"/>
              <w:rPr>
                <w:sz w:val="22"/>
                <w:szCs w:val="22"/>
              </w:rPr>
            </w:pPr>
            <w:r w:rsidRPr="006E64C7">
              <w:rPr>
                <w:sz w:val="22"/>
                <w:szCs w:val="22"/>
              </w:rPr>
              <w:t>Prema tekućoj kliničkoj praksi, ukoliko je potrebno da se prekine prim</w:t>
            </w:r>
            <w:r>
              <w:rPr>
                <w:sz w:val="22"/>
                <w:szCs w:val="22"/>
              </w:rPr>
              <w:t>j</w:t>
            </w:r>
            <w:r w:rsidRPr="006E64C7">
              <w:rPr>
                <w:sz w:val="22"/>
                <w:szCs w:val="22"/>
              </w:rPr>
              <w:t xml:space="preserve">ena gabapentina, preporučuje se da se to uradi postepeno tokom perioda od najmanje nedelju dana u zavisnosti od indikacije. </w:t>
            </w:r>
          </w:p>
          <w:p w:rsidR="00EC0F9E" w:rsidRPr="006E64C7" w:rsidRDefault="00EC0F9E" w:rsidP="00B750B6">
            <w:pPr>
              <w:pStyle w:val="BodyText"/>
              <w:rPr>
                <w:sz w:val="22"/>
                <w:szCs w:val="22"/>
              </w:rPr>
            </w:pPr>
          </w:p>
          <w:p w:rsidR="00EC0F9E" w:rsidRPr="001E66F2" w:rsidRDefault="00EC0F9E" w:rsidP="00B750B6">
            <w:pPr>
              <w:pStyle w:val="BodyText"/>
              <w:rPr>
                <w:sz w:val="22"/>
                <w:szCs w:val="22"/>
                <w:u w:val="single"/>
              </w:rPr>
            </w:pPr>
            <w:r w:rsidRPr="001E66F2">
              <w:rPr>
                <w:sz w:val="22"/>
                <w:szCs w:val="22"/>
                <w:u w:val="single"/>
              </w:rPr>
              <w:t>Epilepsija</w:t>
            </w:r>
          </w:p>
          <w:p w:rsidR="00EC0F9E" w:rsidRPr="006E64C7" w:rsidRDefault="00EC0F9E" w:rsidP="00B750B6">
            <w:pPr>
              <w:pStyle w:val="BodyText"/>
              <w:rPr>
                <w:sz w:val="22"/>
                <w:szCs w:val="22"/>
              </w:rPr>
            </w:pPr>
            <w:r w:rsidRPr="006E64C7">
              <w:rPr>
                <w:sz w:val="22"/>
                <w:szCs w:val="22"/>
              </w:rPr>
              <w:t xml:space="preserve">Epilepsija </w:t>
            </w:r>
            <w:r>
              <w:rPr>
                <w:sz w:val="22"/>
                <w:szCs w:val="22"/>
              </w:rPr>
              <w:t xml:space="preserve">zahteva </w:t>
            </w:r>
            <w:r w:rsidRPr="006E64C7">
              <w:rPr>
                <w:sz w:val="22"/>
                <w:szCs w:val="22"/>
              </w:rPr>
              <w:t>dug</w:t>
            </w:r>
            <w:r>
              <w:rPr>
                <w:sz w:val="22"/>
                <w:szCs w:val="22"/>
              </w:rPr>
              <w:t xml:space="preserve">otrajnu terapiju. Dozu utvrđuje </w:t>
            </w:r>
            <w:r w:rsidRPr="006E64C7">
              <w:rPr>
                <w:sz w:val="22"/>
                <w:szCs w:val="22"/>
              </w:rPr>
              <w:t>l</w:t>
            </w:r>
            <w:r>
              <w:rPr>
                <w:sz w:val="22"/>
                <w:szCs w:val="22"/>
              </w:rPr>
              <w:t>j</w:t>
            </w:r>
            <w:r w:rsidRPr="006E64C7">
              <w:rPr>
                <w:sz w:val="22"/>
                <w:szCs w:val="22"/>
              </w:rPr>
              <w:t>ekar u skladu sa individualnim podnošenjem i efikasnošću.</w:t>
            </w:r>
          </w:p>
          <w:p w:rsidR="00EC0F9E" w:rsidRPr="006E64C7" w:rsidRDefault="00EC0F9E" w:rsidP="00B750B6">
            <w:pPr>
              <w:pStyle w:val="BodyText"/>
              <w:rPr>
                <w:sz w:val="22"/>
                <w:szCs w:val="22"/>
              </w:rPr>
            </w:pPr>
          </w:p>
          <w:p w:rsidR="00EC0F9E" w:rsidRPr="0045037E" w:rsidRDefault="00EC0F9E" w:rsidP="00B750B6">
            <w:pPr>
              <w:pStyle w:val="BodyText"/>
              <w:rPr>
                <w:sz w:val="22"/>
                <w:szCs w:val="22"/>
                <w:u w:val="single"/>
              </w:rPr>
            </w:pPr>
            <w:r w:rsidRPr="0045037E">
              <w:rPr>
                <w:sz w:val="22"/>
                <w:szCs w:val="22"/>
                <w:u w:val="single"/>
              </w:rPr>
              <w:t>Odrasli i adolescenti</w:t>
            </w:r>
          </w:p>
          <w:p w:rsidR="00EC0F9E" w:rsidRPr="006E64C7" w:rsidRDefault="00EC0F9E" w:rsidP="00B750B6">
            <w:pPr>
              <w:pStyle w:val="BodyText"/>
              <w:rPr>
                <w:sz w:val="22"/>
                <w:szCs w:val="22"/>
              </w:rPr>
            </w:pPr>
            <w:r w:rsidRPr="006E64C7">
              <w:rPr>
                <w:sz w:val="22"/>
                <w:szCs w:val="22"/>
              </w:rPr>
              <w:t>U kliničkim studijama se efikasna doza kreće od 900 do 3600 mg/dan. Terapija može da se započne titriranjem doze kako je opisano u Tabeli 1 ili prim</w:t>
            </w:r>
            <w:r>
              <w:rPr>
                <w:sz w:val="22"/>
                <w:szCs w:val="22"/>
              </w:rPr>
              <w:t>j</w:t>
            </w:r>
            <w:r w:rsidRPr="006E64C7">
              <w:rPr>
                <w:sz w:val="22"/>
                <w:szCs w:val="22"/>
              </w:rPr>
              <w:t xml:space="preserve">enom 300 mg tri puta na dan (TID) prvoga dana. Potom, na osnovu individualnog odgovora pacijenta i podnošljivosti, </w:t>
            </w:r>
            <w:r>
              <w:rPr>
                <w:sz w:val="22"/>
                <w:szCs w:val="22"/>
              </w:rPr>
              <w:t xml:space="preserve">doza se može dalje povećavati </w:t>
            </w:r>
            <w:r w:rsidRPr="006E64C7">
              <w:rPr>
                <w:sz w:val="22"/>
                <w:szCs w:val="22"/>
              </w:rPr>
              <w:t xml:space="preserve"> po 300 mg na dan na svaka 2-3 dana sve do maksimalne doze od 3600 mg/dan. </w:t>
            </w:r>
          </w:p>
          <w:p w:rsidR="00EC0F9E" w:rsidRPr="006E64C7" w:rsidRDefault="00EC0F9E" w:rsidP="00B750B6">
            <w:pPr>
              <w:pStyle w:val="BodyText"/>
              <w:rPr>
                <w:sz w:val="22"/>
                <w:szCs w:val="22"/>
              </w:rPr>
            </w:pPr>
            <w:r w:rsidRPr="006E64C7">
              <w:rPr>
                <w:sz w:val="22"/>
                <w:szCs w:val="22"/>
              </w:rPr>
              <w:t>Kod pojedinih pacijenata može biti potrebna sporija ti</w:t>
            </w:r>
            <w:r>
              <w:rPr>
                <w:sz w:val="22"/>
                <w:szCs w:val="22"/>
              </w:rPr>
              <w:t>t</w:t>
            </w:r>
            <w:r w:rsidRPr="006E64C7">
              <w:rPr>
                <w:sz w:val="22"/>
                <w:szCs w:val="22"/>
              </w:rPr>
              <w:t>racija doze gabapentina. Minimalno vr</w:t>
            </w:r>
            <w:r>
              <w:rPr>
                <w:sz w:val="22"/>
                <w:szCs w:val="22"/>
              </w:rPr>
              <w:t>ij</w:t>
            </w:r>
            <w:r w:rsidRPr="006E64C7">
              <w:rPr>
                <w:sz w:val="22"/>
                <w:szCs w:val="22"/>
              </w:rPr>
              <w:t>eme tokom koga treba dostići dozu od 1800 mg/dan je nedelju dana,  da bi se dostigla doza od 2400 mg/dan potrebno je ukupno 2 nedelje</w:t>
            </w:r>
            <w:r>
              <w:rPr>
                <w:sz w:val="22"/>
                <w:szCs w:val="22"/>
              </w:rPr>
              <w:t>,</w:t>
            </w:r>
            <w:r w:rsidRPr="006E64C7">
              <w:rPr>
                <w:sz w:val="22"/>
                <w:szCs w:val="22"/>
              </w:rPr>
              <w:t xml:space="preserve"> a da bi se dostigla doza od 3600 mg/dan potrebno je ukupno 3 nedelje. Doze do 4800 mg/dan su dobro podnošene u otvorenim kliničkim studijama. Ukupnu dnevnu dozu treba pod</w:t>
            </w:r>
            <w:r>
              <w:rPr>
                <w:sz w:val="22"/>
                <w:szCs w:val="22"/>
              </w:rPr>
              <w:t>ij</w:t>
            </w:r>
            <w:r w:rsidRPr="006E64C7">
              <w:rPr>
                <w:sz w:val="22"/>
                <w:szCs w:val="22"/>
              </w:rPr>
              <w:t>eliti na tri pojedinačne doze</w:t>
            </w:r>
            <w:r>
              <w:rPr>
                <w:sz w:val="22"/>
                <w:szCs w:val="22"/>
              </w:rPr>
              <w:t>,</w:t>
            </w:r>
            <w:r w:rsidRPr="006E64C7">
              <w:rPr>
                <w:sz w:val="22"/>
                <w:szCs w:val="22"/>
              </w:rPr>
              <w:t xml:space="preserve"> a maksimalni interval između doza ne treba da bude duži od 12 sati kako bi se sprečio proboj konvulzija (breakthrough). </w:t>
            </w:r>
          </w:p>
          <w:p w:rsidR="00EC0F9E" w:rsidRPr="006E64C7" w:rsidRDefault="00EC0F9E" w:rsidP="00B750B6">
            <w:pPr>
              <w:pStyle w:val="BodyText"/>
              <w:rPr>
                <w:sz w:val="22"/>
                <w:szCs w:val="22"/>
              </w:rPr>
            </w:pPr>
          </w:p>
          <w:p w:rsidR="00EC0F9E" w:rsidRPr="0045037E" w:rsidRDefault="00EC0F9E" w:rsidP="00B750B6">
            <w:pPr>
              <w:pStyle w:val="BodyText"/>
              <w:rPr>
                <w:sz w:val="22"/>
                <w:szCs w:val="22"/>
                <w:u w:val="single"/>
              </w:rPr>
            </w:pPr>
            <w:r w:rsidRPr="0045037E">
              <w:rPr>
                <w:sz w:val="22"/>
                <w:szCs w:val="22"/>
                <w:u w:val="single"/>
              </w:rPr>
              <w:t>D</w:t>
            </w:r>
            <w:r>
              <w:rPr>
                <w:sz w:val="22"/>
                <w:szCs w:val="22"/>
                <w:u w:val="single"/>
              </w:rPr>
              <w:t>ijeca starosti</w:t>
            </w:r>
            <w:r w:rsidRPr="0045037E">
              <w:rPr>
                <w:sz w:val="22"/>
                <w:szCs w:val="22"/>
                <w:u w:val="single"/>
              </w:rPr>
              <w:t xml:space="preserve"> 6 i više godina</w:t>
            </w:r>
          </w:p>
          <w:p w:rsidR="00EC0F9E" w:rsidRPr="006E64C7" w:rsidRDefault="00EC0F9E" w:rsidP="00B750B6">
            <w:pPr>
              <w:pStyle w:val="BodyText"/>
              <w:rPr>
                <w:sz w:val="22"/>
                <w:szCs w:val="22"/>
              </w:rPr>
            </w:pPr>
            <w:r w:rsidRPr="006E64C7">
              <w:rPr>
                <w:sz w:val="22"/>
                <w:szCs w:val="22"/>
              </w:rPr>
              <w:t>Početna doza treba da se kreće između 10 i 15 mg/kg/dan</w:t>
            </w:r>
            <w:r>
              <w:rPr>
                <w:sz w:val="22"/>
                <w:szCs w:val="22"/>
              </w:rPr>
              <w:t>,</w:t>
            </w:r>
            <w:r w:rsidRPr="006E64C7">
              <w:rPr>
                <w:sz w:val="22"/>
                <w:szCs w:val="22"/>
              </w:rPr>
              <w:t xml:space="preserve"> a efektivna doza se dostiže uzlaznom titracijom tokom period</w:t>
            </w:r>
            <w:r>
              <w:rPr>
                <w:sz w:val="22"/>
                <w:szCs w:val="22"/>
              </w:rPr>
              <w:t>a</w:t>
            </w:r>
            <w:r w:rsidRPr="006E64C7">
              <w:rPr>
                <w:sz w:val="22"/>
                <w:szCs w:val="22"/>
              </w:rPr>
              <w:t xml:space="preserve"> od približno tri dana. Efektivna doza gabapentina kod d</w:t>
            </w:r>
            <w:r>
              <w:rPr>
                <w:sz w:val="22"/>
                <w:szCs w:val="22"/>
              </w:rPr>
              <w:t>ij</w:t>
            </w:r>
            <w:r w:rsidRPr="006E64C7">
              <w:rPr>
                <w:sz w:val="22"/>
                <w:szCs w:val="22"/>
              </w:rPr>
              <w:t>ece stare 6 i više godina je 25 do 35 mg/kg/dan. Doze do 50 mg/kg/dan su dobro podnošene u dugoročnim kliničkim studijama. Ukupnu dnevnu dozu treba pod</w:t>
            </w:r>
            <w:r>
              <w:rPr>
                <w:sz w:val="22"/>
                <w:szCs w:val="22"/>
              </w:rPr>
              <w:t>ij</w:t>
            </w:r>
            <w:r w:rsidRPr="006E64C7">
              <w:rPr>
                <w:sz w:val="22"/>
                <w:szCs w:val="22"/>
              </w:rPr>
              <w:t>eliti na tri pojedinačne doze</w:t>
            </w:r>
            <w:r>
              <w:rPr>
                <w:sz w:val="22"/>
                <w:szCs w:val="22"/>
              </w:rPr>
              <w:t>,</w:t>
            </w:r>
            <w:r w:rsidRPr="006E64C7">
              <w:rPr>
                <w:sz w:val="22"/>
                <w:szCs w:val="22"/>
              </w:rPr>
              <w:t xml:space="preserve"> a maksimalni interval između doza ne treba da bude duži od 12 sati.</w:t>
            </w:r>
          </w:p>
          <w:p w:rsidR="00EC0F9E" w:rsidRDefault="00EC0F9E" w:rsidP="00B750B6">
            <w:pPr>
              <w:pStyle w:val="BodyText"/>
              <w:rPr>
                <w:sz w:val="22"/>
                <w:szCs w:val="22"/>
              </w:rPr>
            </w:pPr>
            <w:r w:rsidRPr="00B021B9">
              <w:rPr>
                <w:sz w:val="22"/>
                <w:szCs w:val="22"/>
              </w:rPr>
              <w:t>Nije potrebno praćenje koncentracije gabapentina u plazmi da bi se optimizovala terapija gabapentinom. Takođe, gabapentin se može koristiti  u kombinaciji sa drugim antiepilepticima, a da ne dodje do promjene koncentracije gabapentina u plazmi ili serumskih koncentracija drugih antiepileptika.</w:t>
            </w:r>
          </w:p>
          <w:p w:rsidR="00EC0F9E" w:rsidRPr="006D6CA4" w:rsidRDefault="00EC0F9E" w:rsidP="00B750B6">
            <w:pPr>
              <w:pStyle w:val="BodyText"/>
              <w:rPr>
                <w:rFonts w:cs="Arial"/>
                <w:sz w:val="22"/>
                <w:szCs w:val="22"/>
              </w:rPr>
            </w:pPr>
          </w:p>
        </w:tc>
      </w:tr>
      <w:tr w:rsidR="00EC0F9E" w:rsidRPr="00281FD2">
        <w:tblPrEx>
          <w:tblCellMar>
            <w:top w:w="0" w:type="dxa"/>
            <w:bottom w:w="0" w:type="dxa"/>
          </w:tblCellMar>
        </w:tblPrEx>
        <w:trPr>
          <w:cantSplit/>
          <w:trHeight w:val="3961"/>
        </w:trPr>
        <w:tc>
          <w:tcPr>
            <w:tcW w:w="10188" w:type="dxa"/>
            <w:gridSpan w:val="6"/>
            <w:vAlign w:val="center"/>
          </w:tcPr>
          <w:p w:rsidR="00EC0F9E" w:rsidRPr="00281FD2" w:rsidRDefault="00EC0F9E" w:rsidP="00B750B6">
            <w:pPr>
              <w:pStyle w:val="Header"/>
              <w:tabs>
                <w:tab w:val="left" w:pos="284"/>
              </w:tabs>
              <w:rPr>
                <w:rFonts w:cs="Arial"/>
                <w:sz w:val="22"/>
                <w:szCs w:val="22"/>
                <w:u w:val="single"/>
                <w:lang w:val="sr-Latn-CS"/>
              </w:rPr>
            </w:pPr>
            <w:r w:rsidRPr="00281FD2">
              <w:rPr>
                <w:rFonts w:cs="Arial"/>
                <w:sz w:val="22"/>
                <w:szCs w:val="22"/>
                <w:u w:val="single"/>
                <w:lang w:val="sr-Latn-CS"/>
              </w:rPr>
              <w:lastRenderedPageBreak/>
              <w:t>Bol kod periferne neuropatije</w:t>
            </w:r>
          </w:p>
          <w:p w:rsidR="00EC0F9E" w:rsidRPr="00281FD2" w:rsidRDefault="00EC0F9E" w:rsidP="00B750B6">
            <w:pPr>
              <w:pStyle w:val="Header"/>
              <w:tabs>
                <w:tab w:val="left" w:pos="284"/>
              </w:tabs>
              <w:rPr>
                <w:rFonts w:cs="Arial"/>
                <w:sz w:val="22"/>
                <w:szCs w:val="22"/>
                <w:lang w:val="sr-Latn-CS"/>
              </w:rPr>
            </w:pPr>
          </w:p>
          <w:p w:rsidR="00EC0F9E" w:rsidRPr="00281FD2" w:rsidRDefault="00EC0F9E" w:rsidP="00B750B6">
            <w:pPr>
              <w:pStyle w:val="Header"/>
              <w:tabs>
                <w:tab w:val="left" w:pos="284"/>
              </w:tabs>
              <w:rPr>
                <w:rFonts w:cs="Arial"/>
                <w:i/>
                <w:sz w:val="22"/>
                <w:szCs w:val="22"/>
                <w:lang w:val="sr-Latn-CS"/>
              </w:rPr>
            </w:pPr>
            <w:r w:rsidRPr="00281FD2">
              <w:rPr>
                <w:rFonts w:cs="Arial"/>
                <w:i/>
                <w:sz w:val="22"/>
                <w:szCs w:val="22"/>
                <w:lang w:val="sr-Latn-CS"/>
              </w:rPr>
              <w:t>Odrasli</w:t>
            </w:r>
          </w:p>
          <w:p w:rsidR="00EC0F9E" w:rsidRPr="00281FD2" w:rsidRDefault="00EC0F9E" w:rsidP="00B750B6">
            <w:pPr>
              <w:pStyle w:val="Header"/>
              <w:tabs>
                <w:tab w:val="left" w:pos="284"/>
              </w:tabs>
              <w:rPr>
                <w:rFonts w:cs="Arial"/>
                <w:sz w:val="22"/>
                <w:szCs w:val="22"/>
                <w:lang w:val="sr-Latn-CS"/>
              </w:rPr>
            </w:pPr>
            <w:r w:rsidRPr="00281FD2">
              <w:rPr>
                <w:rFonts w:cs="Arial"/>
                <w:sz w:val="22"/>
                <w:szCs w:val="22"/>
                <w:lang w:val="sr-Latn-CS"/>
              </w:rPr>
              <w:t>Terapija se može započeti titracijom doze kako je opisano u Tabeli 1. Um</w:t>
            </w:r>
            <w:r>
              <w:rPr>
                <w:rFonts w:cs="Arial"/>
                <w:sz w:val="22"/>
                <w:szCs w:val="22"/>
                <w:lang w:val="sr-Latn-CS"/>
              </w:rPr>
              <w:t>j</w:t>
            </w:r>
            <w:r w:rsidRPr="00281FD2">
              <w:rPr>
                <w:rFonts w:cs="Arial"/>
                <w:sz w:val="22"/>
                <w:szCs w:val="22"/>
                <w:lang w:val="sr-Latn-CS"/>
              </w:rPr>
              <w:t>esto toga, početna doza može da bude 900 mg/dan i ona se daje u tri podjednake pod</w:t>
            </w:r>
            <w:r>
              <w:rPr>
                <w:rFonts w:cs="Arial"/>
                <w:sz w:val="22"/>
                <w:szCs w:val="22"/>
                <w:lang w:val="sr-Latn-CS"/>
              </w:rPr>
              <w:t>ij</w:t>
            </w:r>
            <w:r w:rsidRPr="00281FD2">
              <w:rPr>
                <w:rFonts w:cs="Arial"/>
                <w:sz w:val="22"/>
                <w:szCs w:val="22"/>
                <w:lang w:val="sr-Latn-CS"/>
              </w:rPr>
              <w:t>eljene doze, Potom se na osnovu individualnog odgovora pacijenata i podnošljivosti, ov</w:t>
            </w:r>
            <w:r>
              <w:rPr>
                <w:rFonts w:cs="Arial"/>
                <w:sz w:val="22"/>
                <w:szCs w:val="22"/>
                <w:lang w:val="sr-Latn-CS"/>
              </w:rPr>
              <w:t xml:space="preserve">a doza može dalje povećavati </w:t>
            </w:r>
            <w:r w:rsidRPr="00281FD2">
              <w:rPr>
                <w:rFonts w:cs="Arial"/>
                <w:sz w:val="22"/>
                <w:szCs w:val="22"/>
                <w:lang w:val="sr-Latn-CS"/>
              </w:rPr>
              <w:t>po 300 mg/dan na svaka 2-3 dana do maksimalne doze od 3600 mg/dan. Kod pojedinih pacijenata može biti potrebna sporija titracija doze gabapentina. Minimalno vr</w:t>
            </w:r>
            <w:r>
              <w:rPr>
                <w:rFonts w:cs="Arial"/>
                <w:sz w:val="22"/>
                <w:szCs w:val="22"/>
                <w:lang w:val="sr-Latn-CS"/>
              </w:rPr>
              <w:t>ij</w:t>
            </w:r>
            <w:r w:rsidRPr="00281FD2">
              <w:rPr>
                <w:rFonts w:cs="Arial"/>
                <w:sz w:val="22"/>
                <w:szCs w:val="22"/>
                <w:lang w:val="sr-Latn-CS"/>
              </w:rPr>
              <w:t>eme potrebno da se dostigne doza od 1800 mg/dan je nedeljnu dana, da se dostigne 2400 mg/dan potrebno je ukupno 2 nedelje</w:t>
            </w:r>
            <w:r>
              <w:rPr>
                <w:rFonts w:cs="Arial"/>
                <w:sz w:val="22"/>
                <w:szCs w:val="22"/>
                <w:lang w:val="sr-Latn-CS"/>
              </w:rPr>
              <w:t>,</w:t>
            </w:r>
            <w:r w:rsidRPr="00281FD2">
              <w:rPr>
                <w:rFonts w:cs="Arial"/>
                <w:sz w:val="22"/>
                <w:szCs w:val="22"/>
                <w:lang w:val="sr-Latn-CS"/>
              </w:rPr>
              <w:t xml:space="preserve"> a da se dostigne 3600 mg/dan neophodno je ukupno 3 nedelje. </w:t>
            </w:r>
          </w:p>
          <w:p w:rsidR="00EC0F9E" w:rsidRPr="00281FD2" w:rsidRDefault="00EC0F9E" w:rsidP="00B750B6">
            <w:pPr>
              <w:pStyle w:val="Header"/>
              <w:tabs>
                <w:tab w:val="left" w:pos="284"/>
              </w:tabs>
              <w:rPr>
                <w:rFonts w:cs="Arial"/>
                <w:sz w:val="22"/>
                <w:szCs w:val="22"/>
                <w:lang w:val="sr-Latn-CS"/>
              </w:rPr>
            </w:pPr>
          </w:p>
          <w:p w:rsidR="00EC0F9E" w:rsidRPr="00281FD2" w:rsidRDefault="00EC0F9E" w:rsidP="00B750B6">
            <w:pPr>
              <w:pStyle w:val="Header"/>
              <w:tabs>
                <w:tab w:val="left" w:pos="284"/>
              </w:tabs>
              <w:rPr>
                <w:rFonts w:cs="Arial"/>
                <w:sz w:val="22"/>
                <w:szCs w:val="22"/>
                <w:lang w:val="sr-Latn-CS"/>
              </w:rPr>
            </w:pPr>
            <w:r w:rsidRPr="00281FD2">
              <w:rPr>
                <w:rFonts w:cs="Arial"/>
                <w:sz w:val="22"/>
                <w:szCs w:val="22"/>
                <w:lang w:val="sr-Latn-CS"/>
              </w:rPr>
              <w:t>U l</w:t>
            </w:r>
            <w:r>
              <w:rPr>
                <w:rFonts w:cs="Arial"/>
                <w:sz w:val="22"/>
                <w:szCs w:val="22"/>
                <w:lang w:val="sr-Latn-CS"/>
              </w:rPr>
              <w:t>j</w:t>
            </w:r>
            <w:r w:rsidRPr="00281FD2">
              <w:rPr>
                <w:rFonts w:cs="Arial"/>
                <w:sz w:val="22"/>
                <w:szCs w:val="22"/>
                <w:lang w:val="sr-Latn-CS"/>
              </w:rPr>
              <w:t>ečenju bola kod periferne neuropatije, kao što je to slučaj kod bolne dijabetske neuropatije i post-herpetične neuralgije, efikasnost i bezb</w:t>
            </w:r>
            <w:r>
              <w:rPr>
                <w:rFonts w:cs="Arial"/>
                <w:sz w:val="22"/>
                <w:szCs w:val="22"/>
                <w:lang w:val="sr-Latn-CS"/>
              </w:rPr>
              <w:t>j</w:t>
            </w:r>
            <w:r w:rsidRPr="00281FD2">
              <w:rPr>
                <w:rFonts w:cs="Arial"/>
                <w:sz w:val="22"/>
                <w:szCs w:val="22"/>
                <w:lang w:val="sr-Latn-CS"/>
              </w:rPr>
              <w:t>ednost nisu ispitivane u kliničkim studijama ukoliko je terapija trajala duže od 5 m</w:t>
            </w:r>
            <w:r>
              <w:rPr>
                <w:rFonts w:cs="Arial"/>
                <w:sz w:val="22"/>
                <w:szCs w:val="22"/>
                <w:lang w:val="sr-Latn-CS"/>
              </w:rPr>
              <w:t>j</w:t>
            </w:r>
            <w:r w:rsidRPr="00281FD2">
              <w:rPr>
                <w:rFonts w:cs="Arial"/>
                <w:sz w:val="22"/>
                <w:szCs w:val="22"/>
                <w:lang w:val="sr-Latn-CS"/>
              </w:rPr>
              <w:t>eseci. Ukoliko je kod nekog pacijent</w:t>
            </w:r>
            <w:r>
              <w:rPr>
                <w:rFonts w:cs="Arial"/>
                <w:sz w:val="22"/>
                <w:szCs w:val="22"/>
                <w:lang w:val="sr-Latn-CS"/>
              </w:rPr>
              <w:t xml:space="preserve">a potrebna duža terapija od </w:t>
            </w:r>
            <w:r w:rsidRPr="00281FD2">
              <w:rPr>
                <w:rFonts w:cs="Arial"/>
                <w:sz w:val="22"/>
                <w:szCs w:val="22"/>
                <w:lang w:val="sr-Latn-CS"/>
              </w:rPr>
              <w:t>5 m</w:t>
            </w:r>
            <w:r>
              <w:rPr>
                <w:rFonts w:cs="Arial"/>
                <w:sz w:val="22"/>
                <w:szCs w:val="22"/>
                <w:lang w:val="sr-Latn-CS"/>
              </w:rPr>
              <w:t>j</w:t>
            </w:r>
            <w:r w:rsidRPr="00281FD2">
              <w:rPr>
                <w:rFonts w:cs="Arial"/>
                <w:sz w:val="22"/>
                <w:szCs w:val="22"/>
                <w:lang w:val="sr-Latn-CS"/>
              </w:rPr>
              <w:t>eseci radi l</w:t>
            </w:r>
            <w:r>
              <w:rPr>
                <w:rFonts w:cs="Arial"/>
                <w:sz w:val="22"/>
                <w:szCs w:val="22"/>
                <w:lang w:val="sr-Latn-CS"/>
              </w:rPr>
              <w:t>j</w:t>
            </w:r>
            <w:r w:rsidRPr="00281FD2">
              <w:rPr>
                <w:rFonts w:cs="Arial"/>
                <w:sz w:val="22"/>
                <w:szCs w:val="22"/>
                <w:lang w:val="sr-Latn-CS"/>
              </w:rPr>
              <w:t>ečenja bola kod periferne neuropatije, l</w:t>
            </w:r>
            <w:r>
              <w:rPr>
                <w:rFonts w:cs="Arial"/>
                <w:sz w:val="22"/>
                <w:szCs w:val="22"/>
                <w:lang w:val="sr-Latn-CS"/>
              </w:rPr>
              <w:t>j</w:t>
            </w:r>
            <w:r w:rsidRPr="00281FD2">
              <w:rPr>
                <w:rFonts w:cs="Arial"/>
                <w:sz w:val="22"/>
                <w:szCs w:val="22"/>
                <w:lang w:val="sr-Latn-CS"/>
              </w:rPr>
              <w:t>ekar treba da proc</w:t>
            </w:r>
            <w:r>
              <w:rPr>
                <w:rFonts w:cs="Arial"/>
                <w:sz w:val="22"/>
                <w:szCs w:val="22"/>
                <w:lang w:val="sr-Latn-CS"/>
              </w:rPr>
              <w:t>j</w:t>
            </w:r>
            <w:r w:rsidRPr="00281FD2">
              <w:rPr>
                <w:rFonts w:cs="Arial"/>
                <w:sz w:val="22"/>
                <w:szCs w:val="22"/>
                <w:lang w:val="sr-Latn-CS"/>
              </w:rPr>
              <w:t xml:space="preserve">eni klinički status pacijenta i utvrdi potrebu za dodatnom terapijom. </w:t>
            </w:r>
          </w:p>
          <w:p w:rsidR="00EC0F9E" w:rsidRPr="00281FD2" w:rsidRDefault="00EC0F9E" w:rsidP="00B750B6">
            <w:pPr>
              <w:pStyle w:val="Header"/>
              <w:tabs>
                <w:tab w:val="left" w:pos="284"/>
              </w:tabs>
              <w:rPr>
                <w:rFonts w:cs="Arial"/>
                <w:b/>
                <w:sz w:val="22"/>
                <w:szCs w:val="22"/>
                <w:lang w:val="sr-Latn-CS"/>
              </w:rPr>
            </w:pPr>
          </w:p>
        </w:tc>
      </w:tr>
      <w:tr w:rsidR="00EC0F9E" w:rsidRPr="00EA6B4E">
        <w:tblPrEx>
          <w:tblCellMar>
            <w:top w:w="0" w:type="dxa"/>
            <w:bottom w:w="0" w:type="dxa"/>
          </w:tblCellMar>
        </w:tblPrEx>
        <w:trPr>
          <w:cantSplit/>
          <w:trHeight w:val="1145"/>
        </w:trPr>
        <w:tc>
          <w:tcPr>
            <w:tcW w:w="10188" w:type="dxa"/>
            <w:gridSpan w:val="6"/>
            <w:vAlign w:val="center"/>
          </w:tcPr>
          <w:p w:rsidR="00EC0F9E" w:rsidRPr="002D06A3" w:rsidRDefault="00EC0F9E" w:rsidP="00B750B6">
            <w:pPr>
              <w:rPr>
                <w:rFonts w:cs="Arial"/>
                <w:sz w:val="22"/>
                <w:szCs w:val="22"/>
                <w:u w:val="single"/>
                <w:lang w:val="sr-Latn-CS"/>
              </w:rPr>
            </w:pPr>
            <w:r w:rsidRPr="002D06A3">
              <w:rPr>
                <w:rFonts w:cs="Arial"/>
                <w:sz w:val="22"/>
                <w:szCs w:val="22"/>
                <w:u w:val="single"/>
                <w:lang w:val="sr-Latn-CS"/>
              </w:rPr>
              <w:t>Uputstva za sve oblasti indikacija</w:t>
            </w:r>
          </w:p>
          <w:p w:rsidR="00EC0F9E" w:rsidRPr="002D06A3" w:rsidRDefault="00EC0F9E" w:rsidP="00B750B6">
            <w:pPr>
              <w:rPr>
                <w:rFonts w:cs="Arial"/>
                <w:sz w:val="22"/>
                <w:szCs w:val="22"/>
                <w:lang w:val="sr-Latn-CS"/>
              </w:rPr>
            </w:pPr>
            <w:r w:rsidRPr="002D06A3">
              <w:rPr>
                <w:rFonts w:cs="Arial"/>
                <w:sz w:val="22"/>
                <w:szCs w:val="22"/>
                <w:lang w:val="sr-Latn-CS"/>
              </w:rPr>
              <w:t>Kod pacijenata u lošem opštem zdravstvenom stanju, posle transplantacije organa, itd., dozu treba sporije titrirati ili upotrebom slabijih doza ili uz produženjem intervala između doza,</w:t>
            </w:r>
          </w:p>
          <w:p w:rsidR="00EC0F9E" w:rsidRPr="002D06A3" w:rsidRDefault="00EC0F9E" w:rsidP="00B750B6">
            <w:pPr>
              <w:rPr>
                <w:rFonts w:cs="Arial"/>
                <w:sz w:val="22"/>
                <w:szCs w:val="22"/>
                <w:lang w:val="sr-Latn-CS"/>
              </w:rPr>
            </w:pPr>
          </w:p>
          <w:p w:rsidR="00EC0F9E" w:rsidRPr="002D06A3" w:rsidRDefault="00EC0F9E" w:rsidP="00B750B6">
            <w:pPr>
              <w:rPr>
                <w:rFonts w:cs="Arial"/>
                <w:sz w:val="22"/>
                <w:szCs w:val="22"/>
                <w:u w:val="single"/>
                <w:lang w:val="sr-Latn-CS"/>
              </w:rPr>
            </w:pPr>
            <w:r w:rsidRPr="002D06A3">
              <w:rPr>
                <w:rFonts w:cs="Arial"/>
                <w:sz w:val="22"/>
                <w:szCs w:val="22"/>
                <w:u w:val="single"/>
                <w:lang w:val="sr-Latn-CS"/>
              </w:rPr>
              <w:t>Upotreba kod starijih pacijenata (stari</w:t>
            </w:r>
            <w:r>
              <w:rPr>
                <w:rFonts w:cs="Arial"/>
                <w:sz w:val="22"/>
                <w:szCs w:val="22"/>
                <w:u w:val="single"/>
                <w:lang w:val="sr-Latn-CS"/>
              </w:rPr>
              <w:t>ji</w:t>
            </w:r>
            <w:r w:rsidRPr="002D06A3">
              <w:rPr>
                <w:rFonts w:cs="Arial"/>
                <w:sz w:val="22"/>
                <w:szCs w:val="22"/>
                <w:u w:val="single"/>
                <w:lang w:val="sr-Latn-CS"/>
              </w:rPr>
              <w:t>h preko 65 godina)</w:t>
            </w:r>
          </w:p>
          <w:p w:rsidR="00EC0F9E" w:rsidRPr="002D06A3" w:rsidRDefault="00EC0F9E" w:rsidP="00B750B6">
            <w:pPr>
              <w:rPr>
                <w:rFonts w:cs="Arial"/>
                <w:sz w:val="22"/>
                <w:szCs w:val="22"/>
                <w:lang w:val="sr-Latn-CS"/>
              </w:rPr>
            </w:pPr>
            <w:r w:rsidRPr="002D06A3">
              <w:rPr>
                <w:rFonts w:cs="Arial"/>
                <w:sz w:val="22"/>
                <w:szCs w:val="22"/>
                <w:lang w:val="sr-Latn-CS"/>
              </w:rPr>
              <w:t xml:space="preserve">Kod starijih pacijenata može da bude potrebno prilagođavanje doze zbog slabljenja bubrežne funkcije sa starošću (videti Tabelu 2). Somnolencija, periferni edem i astenija mogu da budu češći kod starijih pacijenata </w:t>
            </w:r>
          </w:p>
          <w:p w:rsidR="00EC0F9E" w:rsidRPr="002D06A3" w:rsidRDefault="00EC0F9E" w:rsidP="00B750B6">
            <w:pPr>
              <w:rPr>
                <w:rFonts w:cs="Arial"/>
                <w:sz w:val="22"/>
                <w:szCs w:val="22"/>
                <w:lang w:val="sr-Latn-CS"/>
              </w:rPr>
            </w:pPr>
          </w:p>
          <w:p w:rsidR="00EC0F9E" w:rsidRPr="002D06A3" w:rsidRDefault="00EC0F9E" w:rsidP="00B750B6">
            <w:pPr>
              <w:rPr>
                <w:rFonts w:cs="Arial"/>
                <w:sz w:val="22"/>
                <w:szCs w:val="22"/>
                <w:u w:val="single"/>
                <w:lang w:val="sr-Latn-CS"/>
              </w:rPr>
            </w:pPr>
            <w:r w:rsidRPr="002D06A3">
              <w:rPr>
                <w:rFonts w:cs="Arial"/>
                <w:sz w:val="22"/>
                <w:szCs w:val="22"/>
                <w:u w:val="single"/>
                <w:lang w:val="sr-Latn-CS"/>
              </w:rPr>
              <w:t>Upotreba kod pacijenata sa oštećenjem bubrega</w:t>
            </w:r>
          </w:p>
          <w:p w:rsidR="00EC0F9E" w:rsidRPr="002D06A3" w:rsidRDefault="00EC0F9E" w:rsidP="00B750B6">
            <w:pPr>
              <w:rPr>
                <w:rFonts w:cs="Arial"/>
                <w:sz w:val="22"/>
                <w:szCs w:val="22"/>
                <w:lang w:val="sr-Latn-CS"/>
              </w:rPr>
            </w:pPr>
            <w:r w:rsidRPr="002D06A3">
              <w:rPr>
                <w:rFonts w:cs="Arial"/>
                <w:sz w:val="22"/>
                <w:szCs w:val="22"/>
                <w:lang w:val="sr-Latn-CS"/>
              </w:rPr>
              <w:t>Prilagođavanje doze se preporučuje kod pacijenata sa kompromitovanom funkcijom bubrega kako je opisano u Tabeli 2 i/ili kod pacijenata na hemodijalizi. Gabapentin tvrde kapsule od 100 mg se mogu koristiti kako bi se pratile preporuke vezane za doziranje kod pacijenata sa bubrežnom insuficijencijom.</w:t>
            </w:r>
          </w:p>
          <w:p w:rsidR="00EC0F9E" w:rsidRPr="00EA6B4E" w:rsidRDefault="00EC0F9E" w:rsidP="00B750B6">
            <w:pPr>
              <w:pStyle w:val="Header"/>
              <w:tabs>
                <w:tab w:val="left" w:pos="284"/>
              </w:tabs>
              <w:rPr>
                <w:rFonts w:cs="Arial"/>
                <w:sz w:val="22"/>
                <w:szCs w:val="22"/>
                <w:lang w:val="sr-Latn-CS"/>
              </w:rPr>
            </w:pPr>
          </w:p>
        </w:tc>
      </w:tr>
      <w:tr w:rsidR="00EC0F9E" w:rsidRPr="00EA6B4E">
        <w:tblPrEx>
          <w:tblCellMar>
            <w:top w:w="0" w:type="dxa"/>
            <w:bottom w:w="0" w:type="dxa"/>
          </w:tblCellMar>
        </w:tblPrEx>
        <w:trPr>
          <w:cantSplit/>
          <w:trHeight w:val="1145"/>
        </w:trPr>
        <w:tc>
          <w:tcPr>
            <w:tcW w:w="10188" w:type="dxa"/>
            <w:gridSpan w:val="6"/>
            <w:vAlign w:val="center"/>
          </w:tcPr>
          <w:tbl>
            <w:tblPr>
              <w:tblW w:w="8640" w:type="dxa"/>
              <w:tblInd w:w="8" w:type="dxa"/>
              <w:tblLayout w:type="fixed"/>
              <w:tblCellMar>
                <w:left w:w="0" w:type="dxa"/>
                <w:right w:w="0" w:type="dxa"/>
              </w:tblCellMar>
              <w:tblLook w:val="0000" w:firstRow="0" w:lastRow="0" w:firstColumn="0" w:lastColumn="0" w:noHBand="0" w:noVBand="0"/>
            </w:tblPr>
            <w:tblGrid>
              <w:gridCol w:w="4320"/>
              <w:gridCol w:w="4320"/>
            </w:tblGrid>
            <w:tr w:rsidR="00EC0F9E" w:rsidRPr="006E64C7">
              <w:tblPrEx>
                <w:tblCellMar>
                  <w:top w:w="0" w:type="dxa"/>
                  <w:left w:w="0" w:type="dxa"/>
                  <w:bottom w:w="0" w:type="dxa"/>
                  <w:right w:w="0" w:type="dxa"/>
                </w:tblCellMar>
              </w:tblPrEx>
              <w:tc>
                <w:tcPr>
                  <w:tcW w:w="8640" w:type="dxa"/>
                  <w:gridSpan w:val="2"/>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Tabela 2</w:t>
                  </w:r>
                </w:p>
              </w:tc>
            </w:tr>
            <w:tr w:rsidR="00EC0F9E" w:rsidRPr="006E64C7">
              <w:tblPrEx>
                <w:tblCellMar>
                  <w:top w:w="0" w:type="dxa"/>
                  <w:left w:w="0" w:type="dxa"/>
                  <w:bottom w:w="0" w:type="dxa"/>
                  <w:right w:w="0" w:type="dxa"/>
                </w:tblCellMar>
              </w:tblPrEx>
              <w:tc>
                <w:tcPr>
                  <w:tcW w:w="8640" w:type="dxa"/>
                  <w:gridSpan w:val="2"/>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 xml:space="preserve">DOZIRANJE GABAPENTINA KOD ODRASLIH NA OSNOVU BUBREŽNE FUNKCIJE </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Klirens kreatinina (ml/min)</w:t>
                  </w:r>
                </w:p>
              </w:tc>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Ukupna dnevna doza</w:t>
                  </w:r>
                  <w:r w:rsidRPr="009B3100">
                    <w:rPr>
                      <w:rFonts w:cs="Arial"/>
                      <w:sz w:val="22"/>
                      <w:szCs w:val="22"/>
                      <w:vertAlign w:val="superscript"/>
                      <w:lang w:val="sr-Latn-CS"/>
                    </w:rPr>
                    <w:t xml:space="preserve">a </w:t>
                  </w:r>
                  <w:r w:rsidRPr="005A58F4">
                    <w:rPr>
                      <w:rFonts w:cs="Arial"/>
                      <w:sz w:val="22"/>
                      <w:szCs w:val="22"/>
                      <w:lang w:val="sr-Latn-CS"/>
                    </w:rPr>
                    <w:t>(mg/dan)</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80</w:t>
                  </w:r>
                </w:p>
              </w:tc>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900-3600</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50-79</w:t>
                  </w:r>
                </w:p>
              </w:tc>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600-1800</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30-49</w:t>
                  </w:r>
                </w:p>
              </w:tc>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300-90</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15-29</w:t>
                  </w:r>
                </w:p>
              </w:tc>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150</w:t>
                  </w:r>
                  <w:r w:rsidRPr="00A56526">
                    <w:rPr>
                      <w:rFonts w:cs="Arial"/>
                      <w:sz w:val="22"/>
                      <w:szCs w:val="22"/>
                      <w:vertAlign w:val="superscript"/>
                      <w:lang w:val="sr-Latn-CS"/>
                    </w:rPr>
                    <w:t xml:space="preserve"> b</w:t>
                  </w:r>
                  <w:r w:rsidRPr="005A58F4">
                    <w:rPr>
                      <w:rFonts w:cs="Arial"/>
                      <w:sz w:val="22"/>
                      <w:szCs w:val="22"/>
                      <w:lang w:val="sr-Latn-CS"/>
                    </w:rPr>
                    <w:t>-600</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&lt;15</w:t>
                  </w:r>
                  <w:r w:rsidRPr="00A56526">
                    <w:rPr>
                      <w:rFonts w:cs="Arial"/>
                      <w:sz w:val="22"/>
                      <w:szCs w:val="22"/>
                      <w:vertAlign w:val="superscript"/>
                      <w:lang w:val="sr-Latn-CS"/>
                    </w:rPr>
                    <w:t>c</w:t>
                  </w:r>
                </w:p>
              </w:tc>
              <w:tc>
                <w:tcPr>
                  <w:tcW w:w="4320" w:type="dxa"/>
                  <w:tcBorders>
                    <w:top w:val="single" w:sz="6" w:space="0" w:color="C0C0C0"/>
                    <w:left w:val="single" w:sz="6" w:space="0" w:color="C0C0C0"/>
                    <w:bottom w:val="single" w:sz="6" w:space="0" w:color="C0C0C0"/>
                    <w:right w:val="single" w:sz="6" w:space="0" w:color="C0C0C0"/>
                  </w:tcBorders>
                </w:tcPr>
                <w:p w:rsidR="00EC0F9E" w:rsidRPr="005A58F4" w:rsidRDefault="00EC0F9E" w:rsidP="00B750B6">
                  <w:pPr>
                    <w:rPr>
                      <w:rFonts w:cs="Arial"/>
                      <w:sz w:val="22"/>
                      <w:szCs w:val="22"/>
                      <w:lang w:val="sr-Latn-CS"/>
                    </w:rPr>
                  </w:pPr>
                  <w:r w:rsidRPr="005A58F4">
                    <w:rPr>
                      <w:rFonts w:cs="Arial"/>
                      <w:sz w:val="22"/>
                      <w:szCs w:val="22"/>
                      <w:lang w:val="sr-Latn-CS"/>
                    </w:rPr>
                    <w:t>150</w:t>
                  </w:r>
                  <w:r w:rsidRPr="00A56526">
                    <w:rPr>
                      <w:rFonts w:cs="Arial"/>
                      <w:sz w:val="22"/>
                      <w:szCs w:val="22"/>
                      <w:vertAlign w:val="superscript"/>
                      <w:lang w:val="sr-Latn-CS"/>
                    </w:rPr>
                    <w:t>b</w:t>
                  </w:r>
                  <w:r w:rsidRPr="005A58F4">
                    <w:rPr>
                      <w:rFonts w:cs="Arial"/>
                      <w:sz w:val="22"/>
                      <w:szCs w:val="22"/>
                      <w:lang w:val="sr-Latn-CS"/>
                    </w:rPr>
                    <w:t>-300</w:t>
                  </w:r>
                </w:p>
              </w:tc>
            </w:tr>
          </w:tbl>
          <w:p w:rsidR="00EC0F9E" w:rsidRPr="00EA6B4E" w:rsidRDefault="00EC0F9E" w:rsidP="00B750B6">
            <w:pPr>
              <w:pStyle w:val="Header"/>
              <w:tabs>
                <w:tab w:val="left" w:pos="284"/>
              </w:tabs>
              <w:rPr>
                <w:rFonts w:cs="Arial"/>
                <w:sz w:val="22"/>
                <w:szCs w:val="22"/>
                <w:lang w:val="sr-Latn-CS"/>
              </w:rPr>
            </w:pPr>
          </w:p>
        </w:tc>
      </w:tr>
      <w:tr w:rsidR="00EC0F9E" w:rsidRPr="00EA6B4E">
        <w:tblPrEx>
          <w:tblCellMar>
            <w:top w:w="0" w:type="dxa"/>
            <w:bottom w:w="0" w:type="dxa"/>
          </w:tblCellMar>
        </w:tblPrEx>
        <w:trPr>
          <w:cantSplit/>
          <w:trHeight w:val="1145"/>
        </w:trPr>
        <w:tc>
          <w:tcPr>
            <w:tcW w:w="10188" w:type="dxa"/>
            <w:gridSpan w:val="6"/>
            <w:vAlign w:val="center"/>
          </w:tcPr>
          <w:p w:rsidR="00EC0F9E" w:rsidRPr="00E6794D" w:rsidRDefault="00EC0F9E" w:rsidP="00B750B6">
            <w:pPr>
              <w:rPr>
                <w:rFonts w:cs="Arial"/>
                <w:sz w:val="22"/>
                <w:szCs w:val="22"/>
                <w:lang w:val="sr-Latn-CS"/>
              </w:rPr>
            </w:pPr>
            <w:r w:rsidRPr="00E6794D">
              <w:rPr>
                <w:rFonts w:cs="Arial"/>
                <w:sz w:val="22"/>
                <w:szCs w:val="22"/>
                <w:vertAlign w:val="superscript"/>
                <w:lang w:val="sr-Latn-CS"/>
              </w:rPr>
              <w:lastRenderedPageBreak/>
              <w:t>a</w:t>
            </w:r>
            <w:r w:rsidRPr="00E6794D">
              <w:rPr>
                <w:rFonts w:cs="Arial"/>
                <w:sz w:val="22"/>
                <w:szCs w:val="22"/>
                <w:lang w:val="sr-Latn-CS"/>
              </w:rPr>
              <w:t xml:space="preserve">Ukupnu dnevnu dozu treba davati u tri odvojene doze. Smanjene doze su potrebne kod pacijenata sa oslabljenom funkcijom bubrega (klirens kreatinina &lt; 79 ml/min). </w:t>
            </w:r>
            <w:r w:rsidRPr="00E6794D">
              <w:rPr>
                <w:rFonts w:cs="Arial"/>
                <w:sz w:val="22"/>
                <w:szCs w:val="22"/>
                <w:lang w:val="sr-Latn-CS"/>
              </w:rPr>
              <w:cr/>
            </w:r>
            <w:r w:rsidRPr="00E6794D">
              <w:rPr>
                <w:rFonts w:cs="Arial"/>
                <w:sz w:val="22"/>
                <w:szCs w:val="22"/>
                <w:vertAlign w:val="superscript"/>
                <w:lang w:val="sr-Latn-CS"/>
              </w:rPr>
              <w:t>b</w:t>
            </w:r>
            <w:r w:rsidRPr="00E6794D">
              <w:rPr>
                <w:rFonts w:cs="Arial"/>
                <w:sz w:val="22"/>
                <w:szCs w:val="22"/>
                <w:lang w:val="sr-Latn-CS"/>
              </w:rPr>
              <w:t>Prim</w:t>
            </w:r>
            <w:r>
              <w:rPr>
                <w:rFonts w:cs="Arial"/>
                <w:sz w:val="22"/>
                <w:szCs w:val="22"/>
                <w:lang w:val="sr-Latn-CS"/>
              </w:rPr>
              <w:t>j</w:t>
            </w:r>
            <w:r w:rsidRPr="00E6794D">
              <w:rPr>
                <w:rFonts w:cs="Arial"/>
                <w:sz w:val="22"/>
                <w:szCs w:val="22"/>
                <w:lang w:val="sr-Latn-CS"/>
              </w:rPr>
              <w:t xml:space="preserve">enjivati dozu od 300 mg svaki drugi dan. </w:t>
            </w:r>
            <w:r w:rsidRPr="00E6794D">
              <w:rPr>
                <w:rFonts w:cs="Arial"/>
                <w:sz w:val="22"/>
                <w:szCs w:val="22"/>
                <w:lang w:val="sr-Latn-CS"/>
              </w:rPr>
              <w:cr/>
            </w:r>
            <w:r w:rsidRPr="00E6794D">
              <w:rPr>
                <w:rFonts w:cs="Arial"/>
                <w:sz w:val="22"/>
                <w:szCs w:val="22"/>
                <w:vertAlign w:val="superscript"/>
                <w:lang w:val="sr-Latn-CS"/>
              </w:rPr>
              <w:t>c</w:t>
            </w:r>
            <w:r w:rsidRPr="00E6794D">
              <w:rPr>
                <w:rFonts w:cs="Arial"/>
                <w:sz w:val="22"/>
                <w:szCs w:val="22"/>
                <w:lang w:val="sr-Latn-CS"/>
              </w:rPr>
              <w:t xml:space="preserve">Kod pacijenata sa klirensom kreatinina &lt;15 ml/min, dnevnu dozu treba smanjiti srazmerno sa klirensom kreatinina (npr. pacijenti sa klirensom kreatinina od 7.5 ml/min treba da dobijaju polovinu dnevne doze koju dobijaju pacijenti sa klirensom kreatinina od 15 ml/min). </w:t>
            </w:r>
          </w:p>
          <w:p w:rsidR="00EC0F9E" w:rsidRPr="00E6794D" w:rsidRDefault="00EC0F9E" w:rsidP="00B750B6">
            <w:pPr>
              <w:rPr>
                <w:rFonts w:cs="Arial"/>
                <w:sz w:val="22"/>
                <w:szCs w:val="22"/>
                <w:lang w:val="sr-Latn-CS"/>
              </w:rPr>
            </w:pPr>
            <w:r w:rsidRPr="00E6794D">
              <w:rPr>
                <w:rFonts w:cs="Arial"/>
                <w:sz w:val="22"/>
                <w:szCs w:val="22"/>
                <w:lang w:val="sr-Latn-CS"/>
              </w:rPr>
              <w:t xml:space="preserve">Upotreba kod pacijenata na hemodijalizi </w:t>
            </w:r>
            <w:r w:rsidRPr="00E6794D">
              <w:rPr>
                <w:rFonts w:cs="Arial"/>
                <w:sz w:val="22"/>
                <w:szCs w:val="22"/>
                <w:lang w:val="sr-Latn-CS"/>
              </w:rPr>
              <w:cr/>
              <w:t>Kod anuričnih pacijenata na hemodijalizi koji nikada nisu dobijali gabapentin, preporučuje se udarna doza od 300 do 400 mg</w:t>
            </w:r>
            <w:r>
              <w:rPr>
                <w:rFonts w:cs="Arial"/>
                <w:sz w:val="22"/>
                <w:szCs w:val="22"/>
                <w:lang w:val="sr-Latn-CS"/>
              </w:rPr>
              <w:t>,</w:t>
            </w:r>
            <w:r w:rsidRPr="00E6794D">
              <w:rPr>
                <w:rFonts w:cs="Arial"/>
                <w:sz w:val="22"/>
                <w:szCs w:val="22"/>
                <w:lang w:val="sr-Latn-CS"/>
              </w:rPr>
              <w:t xml:space="preserve"> a zatim doza gabapentina od 200 do 300 mg posle svakih 4 sata hemodijalize. Terapiju gabapentinom ne treba davati onim danima kada se ne sprovodi hemodijaliza. </w:t>
            </w:r>
            <w:r w:rsidRPr="00E6794D">
              <w:rPr>
                <w:rFonts w:cs="Arial"/>
                <w:sz w:val="22"/>
                <w:szCs w:val="22"/>
                <w:lang w:val="sr-Latn-CS"/>
              </w:rPr>
              <w:cr/>
              <w:t>Kod pacijenata sa oštećenjem bubrega koji se podvrgavaju hemodijalizi, doza održavanja gabapentina treba da se bazira na preporukama vezanim za doziranje koje su date u Tabeli 2. Osim doze održavanja preporučuje se prim</w:t>
            </w:r>
            <w:r>
              <w:rPr>
                <w:rFonts w:cs="Arial"/>
                <w:sz w:val="22"/>
                <w:szCs w:val="22"/>
                <w:lang w:val="sr-Latn-CS"/>
              </w:rPr>
              <w:t>j</w:t>
            </w:r>
            <w:r w:rsidRPr="00E6794D">
              <w:rPr>
                <w:rFonts w:cs="Arial"/>
                <w:sz w:val="22"/>
                <w:szCs w:val="22"/>
                <w:lang w:val="sr-Latn-CS"/>
              </w:rPr>
              <w:t>ena dodatne doze od 200 do 300 mg posl</w:t>
            </w:r>
            <w:r>
              <w:rPr>
                <w:rFonts w:cs="Arial"/>
                <w:sz w:val="22"/>
                <w:szCs w:val="22"/>
                <w:lang w:val="sr-Latn-CS"/>
              </w:rPr>
              <w:t>j</w:t>
            </w:r>
            <w:r w:rsidRPr="00E6794D">
              <w:rPr>
                <w:rFonts w:cs="Arial"/>
                <w:sz w:val="22"/>
                <w:szCs w:val="22"/>
                <w:lang w:val="sr-Latn-CS"/>
              </w:rPr>
              <w:t>e svakih 4 sata hemodijalize.</w:t>
            </w:r>
          </w:p>
          <w:p w:rsidR="00EC0F9E" w:rsidRPr="00EA6B4E" w:rsidRDefault="00EC0F9E" w:rsidP="00B750B6">
            <w:pPr>
              <w:pStyle w:val="Header"/>
              <w:tabs>
                <w:tab w:val="left" w:pos="284"/>
              </w:tabs>
              <w:rPr>
                <w:rFonts w:cs="Arial"/>
                <w:i/>
                <w:sz w:val="22"/>
                <w:szCs w:val="22"/>
                <w:lang w:val="sr-Latn-CS"/>
              </w:rPr>
            </w:pP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4.3. Kontraindikacije</w:t>
            </w:r>
          </w:p>
        </w:tc>
      </w:tr>
      <w:tr w:rsidR="00EC0F9E">
        <w:tblPrEx>
          <w:tblCellMar>
            <w:top w:w="0" w:type="dxa"/>
            <w:bottom w:w="0" w:type="dxa"/>
          </w:tblCellMar>
        </w:tblPrEx>
        <w:trPr>
          <w:cantSplit/>
          <w:trHeight w:val="1145"/>
        </w:trPr>
        <w:tc>
          <w:tcPr>
            <w:tcW w:w="10188" w:type="dxa"/>
            <w:gridSpan w:val="6"/>
            <w:vAlign w:val="center"/>
          </w:tcPr>
          <w:p w:rsidR="00EC0F9E" w:rsidRPr="00D93AB7" w:rsidRDefault="00EC0F9E" w:rsidP="00B750B6">
            <w:pPr>
              <w:rPr>
                <w:rFonts w:cs="Arial"/>
                <w:sz w:val="22"/>
                <w:szCs w:val="22"/>
                <w:lang w:val="sr-Latn-CS"/>
              </w:rPr>
            </w:pPr>
            <w:r w:rsidRPr="00D93AB7">
              <w:rPr>
                <w:rFonts w:cs="Arial"/>
                <w:sz w:val="22"/>
                <w:szCs w:val="22"/>
                <w:lang w:val="sr-Latn-CS"/>
              </w:rPr>
              <w:t>Preosjetljivost na aktivnu supstancu ili bilo koju pomoćnu supstancu.</w:t>
            </w:r>
          </w:p>
          <w:p w:rsidR="00EC0F9E" w:rsidRDefault="00EC0F9E" w:rsidP="00B750B6">
            <w:pPr>
              <w:pStyle w:val="Header"/>
              <w:tabs>
                <w:tab w:val="left" w:pos="284"/>
              </w:tabs>
              <w:rPr>
                <w:rFonts w:cs="Arial"/>
                <w:sz w:val="22"/>
              </w:rPr>
            </w:pP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4.4. Posebna upozorenja i mjere opreza pri upotrebi lijeka</w:t>
            </w:r>
          </w:p>
        </w:tc>
      </w:tr>
      <w:tr w:rsidR="00EC0F9E" w:rsidRPr="00D43080">
        <w:tblPrEx>
          <w:tblCellMar>
            <w:top w:w="0" w:type="dxa"/>
            <w:bottom w:w="0" w:type="dxa"/>
          </w:tblCellMar>
        </w:tblPrEx>
        <w:trPr>
          <w:cantSplit/>
          <w:trHeight w:val="1145"/>
        </w:trPr>
        <w:tc>
          <w:tcPr>
            <w:tcW w:w="10188" w:type="dxa"/>
            <w:gridSpan w:val="6"/>
            <w:vAlign w:val="center"/>
          </w:tcPr>
          <w:p w:rsidR="00EC0F9E" w:rsidRPr="00CD0506" w:rsidRDefault="00EC0F9E" w:rsidP="00B750B6">
            <w:pPr>
              <w:spacing w:before="100" w:after="75"/>
              <w:rPr>
                <w:rFonts w:cs="Arial"/>
                <w:sz w:val="22"/>
              </w:rPr>
            </w:pPr>
            <w:r w:rsidRPr="00CD0506">
              <w:rPr>
                <w:rFonts w:cs="Arial"/>
                <w:sz w:val="22"/>
              </w:rPr>
              <w:lastRenderedPageBreak/>
              <w:t>Kod nekoliko indikacija zabel</w:t>
            </w:r>
            <w:r>
              <w:rPr>
                <w:rFonts w:cs="Arial"/>
                <w:sz w:val="22"/>
              </w:rPr>
              <w:t>j</w:t>
            </w:r>
            <w:r w:rsidRPr="00CD0506">
              <w:rPr>
                <w:rFonts w:cs="Arial"/>
                <w:sz w:val="22"/>
              </w:rPr>
              <w:t>ežene  su suicidne ideje i ponašanje kod pacijenata l</w:t>
            </w:r>
            <w:r>
              <w:rPr>
                <w:rFonts w:cs="Arial"/>
                <w:sz w:val="22"/>
              </w:rPr>
              <w:t>j</w:t>
            </w:r>
            <w:r w:rsidRPr="00CD0506">
              <w:rPr>
                <w:rFonts w:cs="Arial"/>
                <w:sz w:val="22"/>
              </w:rPr>
              <w:t>ečenih antiepilepticima. Jedna meta-analiza randomizovanih studija antiepileptika sa placebo kontrolom takođe je pokazala malo povećanje rizika od suicidnih ideja i ponašanja. Mehanizam ovog rizika nije poznat</w:t>
            </w:r>
            <w:r>
              <w:rPr>
                <w:rFonts w:cs="Arial"/>
                <w:sz w:val="22"/>
              </w:rPr>
              <w:t>,</w:t>
            </w:r>
            <w:r w:rsidRPr="00CD0506">
              <w:rPr>
                <w:rFonts w:cs="Arial"/>
                <w:sz w:val="22"/>
              </w:rPr>
              <w:t xml:space="preserve"> a raspoloživi podaci ne isključuju mogućnost povećanog rizika kod prim</w:t>
            </w:r>
            <w:r>
              <w:rPr>
                <w:rFonts w:cs="Arial"/>
                <w:sz w:val="22"/>
              </w:rPr>
              <w:t>j</w:t>
            </w:r>
            <w:r w:rsidRPr="00CD0506">
              <w:rPr>
                <w:rFonts w:cs="Arial"/>
                <w:sz w:val="22"/>
              </w:rPr>
              <w:t xml:space="preserve">ene gabapentina. </w:t>
            </w:r>
            <w:r w:rsidRPr="00CD0506">
              <w:rPr>
                <w:rFonts w:cs="Arial"/>
                <w:sz w:val="22"/>
              </w:rPr>
              <w:cr/>
              <w:t>Iz tog razloga pacijente treba pratiti radi eventualne pojave znakova suicidnih ideja i ponašanja i treba razmotriti odgovarajuću terapiju. Pacijentima (i osobama koje ih n</w:t>
            </w:r>
            <w:r>
              <w:rPr>
                <w:rFonts w:cs="Arial"/>
                <w:sz w:val="22"/>
              </w:rPr>
              <w:t>j</w:t>
            </w:r>
            <w:r w:rsidRPr="00CD0506">
              <w:rPr>
                <w:rFonts w:cs="Arial"/>
                <w:sz w:val="22"/>
              </w:rPr>
              <w:t>eguju) treba sav</w:t>
            </w:r>
            <w:r>
              <w:rPr>
                <w:rFonts w:cs="Arial"/>
                <w:sz w:val="22"/>
              </w:rPr>
              <w:t>j</w:t>
            </w:r>
            <w:r w:rsidRPr="00CD0506">
              <w:rPr>
                <w:rFonts w:cs="Arial"/>
                <w:sz w:val="22"/>
              </w:rPr>
              <w:t>etovati da potraže savet l</w:t>
            </w:r>
            <w:r>
              <w:rPr>
                <w:rFonts w:cs="Arial"/>
                <w:sz w:val="22"/>
              </w:rPr>
              <w:t>j</w:t>
            </w:r>
            <w:r w:rsidRPr="00CD0506">
              <w:rPr>
                <w:rFonts w:cs="Arial"/>
                <w:sz w:val="22"/>
              </w:rPr>
              <w:t xml:space="preserve">ekara ukoliko se pojave znaci suicidnih ideja ili ponašanja. </w:t>
            </w:r>
            <w:r w:rsidRPr="00CD0506">
              <w:rPr>
                <w:rFonts w:cs="Arial"/>
                <w:sz w:val="22"/>
              </w:rPr>
              <w:cr/>
              <w:t>Ukoliko se kod nekog pacijenta razvije akutni pankreatitis tokom tretmana gabapentinom, treba razmotriti prekid prim</w:t>
            </w:r>
            <w:r>
              <w:rPr>
                <w:rFonts w:cs="Arial"/>
                <w:sz w:val="22"/>
              </w:rPr>
              <w:t>j</w:t>
            </w:r>
            <w:r w:rsidRPr="00CD0506">
              <w:rPr>
                <w:rFonts w:cs="Arial"/>
                <w:sz w:val="22"/>
              </w:rPr>
              <w:t xml:space="preserve">ene gabapentina (videti odeljak 4.8). </w:t>
            </w:r>
            <w:r w:rsidRPr="00CD0506">
              <w:rPr>
                <w:rFonts w:cs="Arial"/>
                <w:sz w:val="22"/>
              </w:rPr>
              <w:cr/>
              <w:t>Iako nema dokaza o rebound konvulzijama posle prim</w:t>
            </w:r>
            <w:r>
              <w:rPr>
                <w:rFonts w:cs="Arial"/>
                <w:sz w:val="22"/>
              </w:rPr>
              <w:t>j</w:t>
            </w:r>
            <w:r w:rsidRPr="00CD0506">
              <w:rPr>
                <w:rFonts w:cs="Arial"/>
                <w:sz w:val="22"/>
              </w:rPr>
              <w:t>ene gabapentina, nagli prekid prim</w:t>
            </w:r>
            <w:r>
              <w:rPr>
                <w:rFonts w:cs="Arial"/>
                <w:sz w:val="22"/>
              </w:rPr>
              <w:t>j</w:t>
            </w:r>
            <w:r w:rsidRPr="00CD0506">
              <w:rPr>
                <w:rFonts w:cs="Arial"/>
                <w:sz w:val="22"/>
              </w:rPr>
              <w:t>ene antikonvulzivnih agenasa kod pacijenata sa epilepsijom može da dovede do status epilepticusa (videti odeljak 4.2).</w:t>
            </w:r>
            <w:r w:rsidRPr="00CD0506">
              <w:rPr>
                <w:rFonts w:cs="Arial"/>
                <w:sz w:val="22"/>
              </w:rPr>
              <w:cr/>
              <w:t>Kao što je to slučaj i sa drugim antiepilepticima, kod nekih pacijenata može da dođe do povećanja učestalosti napada ili javljanja novih vrsta napada posle prim</w:t>
            </w:r>
            <w:r>
              <w:rPr>
                <w:rFonts w:cs="Arial"/>
                <w:sz w:val="22"/>
              </w:rPr>
              <w:t>j</w:t>
            </w:r>
            <w:r w:rsidRPr="00CD0506">
              <w:rPr>
                <w:rFonts w:cs="Arial"/>
                <w:sz w:val="22"/>
              </w:rPr>
              <w:t xml:space="preserve">ene gabapentina. </w:t>
            </w:r>
            <w:r w:rsidRPr="00CD0506">
              <w:rPr>
                <w:rFonts w:cs="Arial"/>
                <w:sz w:val="22"/>
              </w:rPr>
              <w:cr/>
              <w:t>Kao i kod drugih antiepileptika, pokušaji da se prekine prim</w:t>
            </w:r>
            <w:r>
              <w:rPr>
                <w:rFonts w:cs="Arial"/>
                <w:sz w:val="22"/>
              </w:rPr>
              <w:t>j</w:t>
            </w:r>
            <w:r w:rsidRPr="00CD0506">
              <w:rPr>
                <w:rFonts w:cs="Arial"/>
                <w:sz w:val="22"/>
              </w:rPr>
              <w:t>ena nekog drugog antiepileptika koji se istovremeno primenjuje u terapiji kod refraktornih pacijenata koji dobijaju više antiepileptika kako bi se sprovela monoterapi</w:t>
            </w:r>
            <w:r>
              <w:rPr>
                <w:rFonts w:cs="Arial"/>
                <w:sz w:val="22"/>
              </w:rPr>
              <w:t>ja gabapentinom imali su malu</w:t>
            </w:r>
            <w:r w:rsidRPr="00CD0506">
              <w:rPr>
                <w:rFonts w:cs="Arial"/>
                <w:sz w:val="22"/>
              </w:rPr>
              <w:t xml:space="preserve"> stopu uspeha. </w:t>
            </w:r>
            <w:r w:rsidRPr="00CD0506">
              <w:rPr>
                <w:rFonts w:cs="Arial"/>
                <w:sz w:val="22"/>
              </w:rPr>
              <w:cr/>
              <w:t xml:space="preserve">Gabapentin </w:t>
            </w:r>
            <w:r>
              <w:rPr>
                <w:rFonts w:cs="Arial"/>
                <w:sz w:val="22"/>
              </w:rPr>
              <w:t>nije efikasan</w:t>
            </w:r>
            <w:r w:rsidRPr="00CD0506">
              <w:rPr>
                <w:rFonts w:cs="Arial"/>
                <w:sz w:val="22"/>
              </w:rPr>
              <w:t xml:space="preserve"> kod primarnih generalizovanih epileptičnih napada kao što su epizode apsentizma i on može da pogorša ov</w:t>
            </w:r>
            <w:r>
              <w:rPr>
                <w:rFonts w:cs="Arial"/>
                <w:sz w:val="22"/>
              </w:rPr>
              <w:t xml:space="preserve">e napade kod nekih pacijenata. </w:t>
            </w:r>
            <w:r w:rsidRPr="00CD0506">
              <w:rPr>
                <w:rFonts w:cs="Arial"/>
                <w:sz w:val="22"/>
              </w:rPr>
              <w:t>Stoga, gabapentin treba koristiti oprezno kod pacijenata sa mešov</w:t>
            </w:r>
            <w:r>
              <w:rPr>
                <w:rFonts w:cs="Arial"/>
                <w:sz w:val="22"/>
              </w:rPr>
              <w:t>j</w:t>
            </w:r>
            <w:r w:rsidRPr="00CD0506">
              <w:rPr>
                <w:rFonts w:cs="Arial"/>
                <w:sz w:val="22"/>
              </w:rPr>
              <w:t xml:space="preserve">itim napadima, uključujući i apsentizme. </w:t>
            </w:r>
            <w:r w:rsidRPr="00CD0506">
              <w:rPr>
                <w:rFonts w:cs="Arial"/>
                <w:sz w:val="22"/>
              </w:rPr>
              <w:cr/>
              <w:t>Nisu sprovedene sistematične studije sa g</w:t>
            </w:r>
            <w:r>
              <w:rPr>
                <w:rFonts w:cs="Arial"/>
                <w:sz w:val="22"/>
              </w:rPr>
              <w:t>abapentinom kod pacijenata starosti</w:t>
            </w:r>
            <w:r w:rsidRPr="00CD0506">
              <w:rPr>
                <w:rFonts w:cs="Arial"/>
                <w:sz w:val="22"/>
              </w:rPr>
              <w:t xml:space="preserve"> 65 godina i više . U jednoj dvostruko slepoj studiji sprovedenoj na pacijentima sa neuropatskim bolom, somnolencija, periferni edem i astenija su se javljali kod nešto </w:t>
            </w:r>
            <w:r>
              <w:rPr>
                <w:rFonts w:cs="Arial"/>
                <w:sz w:val="22"/>
              </w:rPr>
              <w:t>većeg procenta pacijenata starosti</w:t>
            </w:r>
            <w:r w:rsidRPr="00CD0506">
              <w:rPr>
                <w:rFonts w:cs="Arial"/>
                <w:sz w:val="22"/>
              </w:rPr>
              <w:t xml:space="preserve"> 65 i više godina nego kod mlađih pacijenata. Osim ovih nalaza, klinička istraživanja sprovedena kod ove starosne grupe ne ukazuju da se profil neželjenih događaja na bilo koji način razlikuje od onog koji je zab</w:t>
            </w:r>
            <w:r>
              <w:rPr>
                <w:rFonts w:cs="Arial"/>
                <w:sz w:val="22"/>
              </w:rPr>
              <w:t>ilj</w:t>
            </w:r>
            <w:r w:rsidRPr="00CD0506">
              <w:rPr>
                <w:rFonts w:cs="Arial"/>
                <w:sz w:val="22"/>
              </w:rPr>
              <w:t xml:space="preserve">ežen kod mlađih pacijenata. </w:t>
            </w:r>
            <w:r w:rsidRPr="00CD0506">
              <w:rPr>
                <w:rFonts w:cs="Arial"/>
                <w:sz w:val="22"/>
              </w:rPr>
              <w:cr/>
              <w:t>Dejstva dugoročne (duže od 36 nedelja) terapije gabapentinom na učenje, inteligenciju i razvoj kod d</w:t>
            </w:r>
            <w:r>
              <w:rPr>
                <w:rFonts w:cs="Arial"/>
                <w:sz w:val="22"/>
              </w:rPr>
              <w:t>ij</w:t>
            </w:r>
            <w:r w:rsidRPr="00CD0506">
              <w:rPr>
                <w:rFonts w:cs="Arial"/>
                <w:sz w:val="22"/>
              </w:rPr>
              <w:t>ece i adolescenata nisu adekvatno ispitivani. Stoga je neophodno proc</w:t>
            </w:r>
            <w:r>
              <w:rPr>
                <w:rFonts w:cs="Arial"/>
                <w:sz w:val="22"/>
              </w:rPr>
              <w:t>j</w:t>
            </w:r>
            <w:r w:rsidRPr="00CD0506">
              <w:rPr>
                <w:rFonts w:cs="Arial"/>
                <w:sz w:val="22"/>
              </w:rPr>
              <w:t xml:space="preserve">eniti koristi koje donosi produžena terapija u odnosu na potencijalne rizike takve terapije. </w:t>
            </w:r>
            <w:r w:rsidRPr="00CD0506">
              <w:rPr>
                <w:rFonts w:cs="Arial"/>
                <w:sz w:val="22"/>
              </w:rPr>
              <w:cr/>
              <w:t>Laboratorijske analize</w:t>
            </w:r>
            <w:r w:rsidRPr="00CD0506">
              <w:rPr>
                <w:rFonts w:cs="Arial"/>
                <w:sz w:val="22"/>
              </w:rPr>
              <w:cr/>
              <w:t xml:space="preserve">Do lažno pozitivnih očitavanje može doći pri semikvantitativnom određivanju ukupnih proteina u urinu uz pomoć testova sa trakom (dipstick). Stoga se preporučuje da se svaki takav pozitivan rezultat testa sa trakom (dipstick) potvrdi metodama koje su zasnovane na drugačijem principu analize kao što je Biuretova metoda, turbidimetrijska metoda ili metoda vezivanja boje ili upotrebom ovih alternativnih metoda od samog početka. </w:t>
            </w:r>
            <w:r w:rsidRPr="00CD0506">
              <w:rPr>
                <w:rFonts w:cs="Arial"/>
                <w:sz w:val="22"/>
              </w:rPr>
              <w:cr/>
              <w:t>Ovaj l</w:t>
            </w:r>
            <w:r>
              <w:rPr>
                <w:rFonts w:cs="Arial"/>
                <w:sz w:val="22"/>
              </w:rPr>
              <w:t>ij</w:t>
            </w:r>
            <w:r w:rsidRPr="00CD0506">
              <w:rPr>
                <w:rFonts w:cs="Arial"/>
                <w:sz w:val="22"/>
              </w:rPr>
              <w:t>ek sadrži laktozu. Pacijenti sa r</w:t>
            </w:r>
            <w:r>
              <w:rPr>
                <w:rFonts w:cs="Arial"/>
                <w:sz w:val="22"/>
              </w:rPr>
              <w:t>ij</w:t>
            </w:r>
            <w:r w:rsidRPr="00CD0506">
              <w:rPr>
                <w:rFonts w:cs="Arial"/>
                <w:sz w:val="22"/>
              </w:rPr>
              <w:t>etkim nasl</w:t>
            </w:r>
            <w:r>
              <w:rPr>
                <w:rFonts w:cs="Arial"/>
                <w:sz w:val="22"/>
              </w:rPr>
              <w:t>j</w:t>
            </w:r>
            <w:r w:rsidRPr="00CD0506">
              <w:rPr>
                <w:rFonts w:cs="Arial"/>
                <w:sz w:val="22"/>
              </w:rPr>
              <w:t>ednim problemima nepodnošenja galaktoze, deficijencijom ili malapsorpcijom Lapp laktaze ne treba da uzimaju ovaj l</w:t>
            </w:r>
            <w:r>
              <w:rPr>
                <w:rFonts w:cs="Arial"/>
                <w:sz w:val="22"/>
              </w:rPr>
              <w:t>ij</w:t>
            </w:r>
            <w:r w:rsidRPr="00CD0506">
              <w:rPr>
                <w:rFonts w:cs="Arial"/>
                <w:sz w:val="22"/>
              </w:rPr>
              <w:t>ek.</w:t>
            </w:r>
          </w:p>
          <w:p w:rsidR="00EC0F9E" w:rsidRPr="00D43080" w:rsidRDefault="00EC0F9E" w:rsidP="00B750B6">
            <w:pPr>
              <w:pStyle w:val="Header"/>
              <w:tabs>
                <w:tab w:val="left" w:pos="284"/>
              </w:tabs>
              <w:rPr>
                <w:rFonts w:cs="Arial"/>
                <w:sz w:val="22"/>
                <w:lang w:val="sr-Latn-CS"/>
              </w:rPr>
            </w:pPr>
          </w:p>
        </w:tc>
      </w:tr>
      <w:tr w:rsidR="00EC0F9E" w:rsidRPr="006C7709">
        <w:tblPrEx>
          <w:tblCellMar>
            <w:top w:w="0" w:type="dxa"/>
            <w:bottom w:w="0" w:type="dxa"/>
          </w:tblCellMar>
        </w:tblPrEx>
        <w:trPr>
          <w:cantSplit/>
        </w:trPr>
        <w:tc>
          <w:tcPr>
            <w:tcW w:w="10188" w:type="dxa"/>
            <w:gridSpan w:val="6"/>
            <w:vAlign w:val="center"/>
          </w:tcPr>
          <w:p w:rsidR="00EC0F9E" w:rsidRPr="006C7709" w:rsidRDefault="00EC0F9E" w:rsidP="00B750B6">
            <w:pPr>
              <w:pStyle w:val="Header"/>
              <w:tabs>
                <w:tab w:val="left" w:pos="284"/>
              </w:tabs>
              <w:spacing w:before="80" w:after="80"/>
              <w:rPr>
                <w:rFonts w:cs="Arial"/>
                <w:b/>
                <w:bCs/>
                <w:sz w:val="22"/>
                <w:lang w:val="de-DE"/>
              </w:rPr>
            </w:pPr>
            <w:r w:rsidRPr="006C7709">
              <w:rPr>
                <w:rFonts w:cs="Arial"/>
                <w:b/>
                <w:bCs/>
                <w:sz w:val="22"/>
                <w:lang w:val="de-DE"/>
              </w:rPr>
              <w:t>4.5. Interakcije sa drugim l</w:t>
            </w:r>
            <w:r>
              <w:rPr>
                <w:rFonts w:cs="Arial"/>
                <w:b/>
                <w:bCs/>
                <w:sz w:val="22"/>
                <w:lang w:val="de-DE"/>
              </w:rPr>
              <w:t>ij</w:t>
            </w:r>
            <w:r w:rsidRPr="006C7709">
              <w:rPr>
                <w:rFonts w:cs="Arial"/>
                <w:b/>
                <w:bCs/>
                <w:sz w:val="22"/>
                <w:lang w:val="de-DE"/>
              </w:rPr>
              <w:t>ekovima i druge vrste interakcija</w:t>
            </w:r>
          </w:p>
        </w:tc>
      </w:tr>
      <w:tr w:rsidR="00EC0F9E" w:rsidRPr="00A36E25">
        <w:tblPrEx>
          <w:tblCellMar>
            <w:top w:w="0" w:type="dxa"/>
            <w:bottom w:w="0" w:type="dxa"/>
          </w:tblCellMar>
        </w:tblPrEx>
        <w:trPr>
          <w:cantSplit/>
          <w:trHeight w:val="1145"/>
        </w:trPr>
        <w:tc>
          <w:tcPr>
            <w:tcW w:w="10188" w:type="dxa"/>
            <w:gridSpan w:val="6"/>
            <w:vAlign w:val="center"/>
          </w:tcPr>
          <w:p w:rsidR="00EC0F9E" w:rsidRPr="00A36E25" w:rsidRDefault="00EC0F9E" w:rsidP="00B750B6">
            <w:pPr>
              <w:pStyle w:val="Header"/>
              <w:tabs>
                <w:tab w:val="left" w:pos="284"/>
              </w:tabs>
              <w:rPr>
                <w:rFonts w:cs="Arial"/>
                <w:sz w:val="22"/>
                <w:lang w:val="de-DE"/>
              </w:rPr>
            </w:pPr>
            <w:r w:rsidRPr="00367F0B">
              <w:rPr>
                <w:rFonts w:cs="Arial"/>
                <w:sz w:val="22"/>
                <w:lang w:val="de-DE"/>
              </w:rPr>
              <w:t>U jednoj studiji sprovedenoj na zdravim dobrovoljcima (N=12), kada je kapsula morfijuma od 60 mg sa kontrolisanim oslobađanjem data 2 sata pr</w:t>
            </w:r>
            <w:r>
              <w:rPr>
                <w:rFonts w:cs="Arial"/>
                <w:sz w:val="22"/>
                <w:lang w:val="de-DE"/>
              </w:rPr>
              <w:t>ij</w:t>
            </w:r>
            <w:r w:rsidRPr="00367F0B">
              <w:rPr>
                <w:rFonts w:cs="Arial"/>
                <w:sz w:val="22"/>
                <w:lang w:val="de-DE"/>
              </w:rPr>
              <w:t>e kapsule gabapentina od 600 mg, srednja AUC gabapentina se povećala za 44% u odnosu na gabapentin koji je dat bez morfijuma. Iz tog razloga pacijente treba pažljivo posmatrati radi znakova depresije CNS-a, kao što je somnolencija i shodno tome treba smanjiti d</w:t>
            </w:r>
            <w:r>
              <w:rPr>
                <w:rFonts w:cs="Arial"/>
                <w:sz w:val="22"/>
                <w:lang w:val="de-DE"/>
              </w:rPr>
              <w:t>ozu gabapentina ili morfijuma. Nisu zabi</w:t>
            </w:r>
            <w:r w:rsidRPr="00367F0B">
              <w:rPr>
                <w:rFonts w:cs="Arial"/>
                <w:sz w:val="22"/>
                <w:lang w:val="de-DE"/>
              </w:rPr>
              <w:t>l</w:t>
            </w:r>
            <w:r>
              <w:rPr>
                <w:rFonts w:cs="Arial"/>
                <w:sz w:val="22"/>
                <w:lang w:val="de-DE"/>
              </w:rPr>
              <w:t>j</w:t>
            </w:r>
            <w:r w:rsidRPr="00367F0B">
              <w:rPr>
                <w:rFonts w:cs="Arial"/>
                <w:sz w:val="22"/>
                <w:lang w:val="de-DE"/>
              </w:rPr>
              <w:t>ežene interakcije između gabapentina i fenobarbitala, fenitoina, valproič</w:t>
            </w:r>
            <w:r>
              <w:rPr>
                <w:rFonts w:cs="Arial"/>
                <w:sz w:val="22"/>
                <w:lang w:val="de-DE"/>
              </w:rPr>
              <w:t xml:space="preserve">ne kiseline ili karbamazepina. </w:t>
            </w:r>
            <w:r w:rsidRPr="00367F0B">
              <w:rPr>
                <w:rFonts w:cs="Arial"/>
                <w:sz w:val="22"/>
                <w:lang w:val="de-DE"/>
              </w:rPr>
              <w:t>Farmakokinetika gabapentina u stabilnom stanju je slična kod zdravih ispitanika i pacijenata sa epilepsijom koj</w:t>
            </w:r>
            <w:r>
              <w:rPr>
                <w:rFonts w:cs="Arial"/>
                <w:sz w:val="22"/>
                <w:lang w:val="de-DE"/>
              </w:rPr>
              <w:t xml:space="preserve">i dobijaju ove antiepileptike. </w:t>
            </w:r>
            <w:r w:rsidRPr="00367F0B">
              <w:rPr>
                <w:rFonts w:cs="Arial"/>
                <w:sz w:val="22"/>
                <w:lang w:val="de-DE"/>
              </w:rPr>
              <w:t xml:space="preserve">Istovremena </w:t>
            </w:r>
            <w:r>
              <w:rPr>
                <w:rFonts w:cs="Arial"/>
                <w:sz w:val="22"/>
                <w:lang w:val="de-DE"/>
              </w:rPr>
              <w:t>primjena</w:t>
            </w:r>
            <w:r w:rsidRPr="00367F0B">
              <w:rPr>
                <w:rFonts w:cs="Arial"/>
                <w:sz w:val="22"/>
                <w:lang w:val="de-DE"/>
              </w:rPr>
              <w:t xml:space="preserve"> gabapentina i oralnih sredstava za kontracepciju koja sadrže noretindron i/ili etinil estradiol ne utiče na farmakokinetiku bilo koje od ovih komponenata u stabiln</w:t>
            </w:r>
            <w:r>
              <w:rPr>
                <w:rFonts w:cs="Arial"/>
                <w:sz w:val="22"/>
                <w:lang w:val="de-DE"/>
              </w:rPr>
              <w:t xml:space="preserve">om stanju. </w:t>
            </w:r>
            <w:r w:rsidRPr="00367F0B">
              <w:rPr>
                <w:rFonts w:cs="Arial"/>
                <w:sz w:val="22"/>
                <w:lang w:val="de-DE"/>
              </w:rPr>
              <w:t xml:space="preserve">Istovremena </w:t>
            </w:r>
            <w:r>
              <w:rPr>
                <w:rFonts w:cs="Arial"/>
                <w:sz w:val="22"/>
                <w:lang w:val="de-DE"/>
              </w:rPr>
              <w:t>primjena</w:t>
            </w:r>
            <w:r w:rsidRPr="00367F0B">
              <w:rPr>
                <w:rFonts w:cs="Arial"/>
                <w:sz w:val="22"/>
                <w:lang w:val="de-DE"/>
              </w:rPr>
              <w:t xml:space="preserve"> gabapentina i antacida koji sadrže aluminijum i magnezijum smanjuje biološku raspoloživost gabapentina i do 24%. Preporučuje se da se gabapentin uzima najranije dva sata posle prim</w:t>
            </w:r>
            <w:r>
              <w:rPr>
                <w:rFonts w:cs="Arial"/>
                <w:sz w:val="22"/>
                <w:lang w:val="de-DE"/>
              </w:rPr>
              <w:t xml:space="preserve">jene antacida. </w:t>
            </w:r>
            <w:r w:rsidRPr="00367F0B">
              <w:rPr>
                <w:rFonts w:cs="Arial"/>
                <w:sz w:val="22"/>
                <w:lang w:val="de-DE"/>
              </w:rPr>
              <w:t>Probenecid ne dovodi do prom</w:t>
            </w:r>
            <w:r>
              <w:rPr>
                <w:rFonts w:cs="Arial"/>
                <w:sz w:val="22"/>
                <w:lang w:val="de-DE"/>
              </w:rPr>
              <w:t>jen</w:t>
            </w:r>
            <w:r w:rsidRPr="00367F0B">
              <w:rPr>
                <w:rFonts w:cs="Arial"/>
                <w:sz w:val="22"/>
                <w:lang w:val="de-DE"/>
              </w:rPr>
              <w:t>e bub</w:t>
            </w:r>
            <w:r>
              <w:rPr>
                <w:rFonts w:cs="Arial"/>
                <w:sz w:val="22"/>
                <w:lang w:val="de-DE"/>
              </w:rPr>
              <w:t xml:space="preserve">režne ekskrecije gabapentina. </w:t>
            </w:r>
          </w:p>
        </w:tc>
      </w:tr>
      <w:tr w:rsidR="00EC0F9E" w:rsidRPr="00A36E25">
        <w:tblPrEx>
          <w:tblCellMar>
            <w:top w:w="0" w:type="dxa"/>
            <w:bottom w:w="0" w:type="dxa"/>
          </w:tblCellMar>
        </w:tblPrEx>
        <w:trPr>
          <w:cantSplit/>
          <w:trHeight w:val="1145"/>
        </w:trPr>
        <w:tc>
          <w:tcPr>
            <w:tcW w:w="10188" w:type="dxa"/>
            <w:gridSpan w:val="6"/>
            <w:vAlign w:val="center"/>
          </w:tcPr>
          <w:p w:rsidR="00EC0F9E" w:rsidRPr="00C36294" w:rsidRDefault="00EC0F9E" w:rsidP="00B750B6">
            <w:pPr>
              <w:pStyle w:val="Header"/>
              <w:tabs>
                <w:tab w:val="left" w:pos="284"/>
              </w:tabs>
              <w:rPr>
                <w:rFonts w:cs="Arial"/>
                <w:sz w:val="22"/>
                <w:lang w:val="sr-Latn-CS"/>
              </w:rPr>
            </w:pPr>
            <w:r w:rsidRPr="002A5E5D">
              <w:rPr>
                <w:rFonts w:cs="Arial"/>
                <w:sz w:val="22"/>
                <w:lang w:val="de-DE"/>
              </w:rPr>
              <w:lastRenderedPageBreak/>
              <w:t>Ne očekuje se da blago smanjenje bubrežne ekskrecije gabapentina koje je zab</w:t>
            </w:r>
            <w:r>
              <w:rPr>
                <w:rFonts w:cs="Arial"/>
                <w:sz w:val="22"/>
                <w:lang w:val="de-DE"/>
              </w:rPr>
              <w:t>i</w:t>
            </w:r>
            <w:r w:rsidRPr="002A5E5D">
              <w:rPr>
                <w:rFonts w:cs="Arial"/>
                <w:sz w:val="22"/>
                <w:lang w:val="de-DE"/>
              </w:rPr>
              <w:t>l</w:t>
            </w:r>
            <w:r>
              <w:rPr>
                <w:rFonts w:cs="Arial"/>
                <w:sz w:val="22"/>
                <w:lang w:val="de-DE"/>
              </w:rPr>
              <w:t>j</w:t>
            </w:r>
            <w:r w:rsidRPr="002A5E5D">
              <w:rPr>
                <w:rFonts w:cs="Arial"/>
                <w:sz w:val="22"/>
                <w:lang w:val="de-DE"/>
              </w:rPr>
              <w:t>eženo kod njegove istovremene prim</w:t>
            </w:r>
            <w:r>
              <w:rPr>
                <w:rFonts w:cs="Arial"/>
                <w:sz w:val="22"/>
                <w:lang w:val="de-DE"/>
              </w:rPr>
              <w:t>j</w:t>
            </w:r>
            <w:r w:rsidRPr="002A5E5D">
              <w:rPr>
                <w:rFonts w:cs="Arial"/>
                <w:sz w:val="22"/>
                <w:lang w:val="de-DE"/>
              </w:rPr>
              <w:t xml:space="preserve">ene sa cimetidinom može da ima klinički značaj. </w:t>
            </w: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4.6. Primjena u periodu trudnoće i dojenja</w:t>
            </w:r>
          </w:p>
        </w:tc>
      </w:tr>
      <w:tr w:rsidR="00EC0F9E">
        <w:tblPrEx>
          <w:tblCellMar>
            <w:top w:w="0" w:type="dxa"/>
            <w:bottom w:w="0" w:type="dxa"/>
          </w:tblCellMar>
        </w:tblPrEx>
        <w:trPr>
          <w:cantSplit/>
          <w:trHeight w:val="1145"/>
        </w:trPr>
        <w:tc>
          <w:tcPr>
            <w:tcW w:w="10188" w:type="dxa"/>
            <w:gridSpan w:val="6"/>
            <w:vAlign w:val="center"/>
          </w:tcPr>
          <w:p w:rsidR="00EC0F9E" w:rsidRDefault="00EC0F9E" w:rsidP="00B750B6">
            <w:pPr>
              <w:pStyle w:val="Header"/>
              <w:tabs>
                <w:tab w:val="left" w:pos="284"/>
              </w:tabs>
              <w:rPr>
                <w:rFonts w:cs="Arial"/>
                <w:sz w:val="22"/>
                <w:u w:val="single"/>
              </w:rPr>
            </w:pPr>
          </w:p>
          <w:p w:rsidR="00EC0F9E" w:rsidRPr="003B057D" w:rsidRDefault="00EC0F9E" w:rsidP="00B750B6">
            <w:pPr>
              <w:pStyle w:val="Header"/>
              <w:tabs>
                <w:tab w:val="left" w:pos="284"/>
              </w:tabs>
              <w:rPr>
                <w:rFonts w:cs="Arial"/>
                <w:sz w:val="22"/>
              </w:rPr>
            </w:pPr>
            <w:r>
              <w:rPr>
                <w:rFonts w:cs="Arial"/>
                <w:sz w:val="22"/>
                <w:u w:val="single"/>
              </w:rPr>
              <w:t xml:space="preserve">Rizik </w:t>
            </w:r>
            <w:r w:rsidRPr="003B057D">
              <w:rPr>
                <w:rFonts w:cs="Arial"/>
                <w:sz w:val="22"/>
                <w:u w:val="single"/>
              </w:rPr>
              <w:t>vezan za epilepsiju i antiepileptike generalno</w:t>
            </w:r>
            <w:r w:rsidRPr="003B057D">
              <w:rPr>
                <w:rFonts w:cs="Arial"/>
                <w:sz w:val="22"/>
              </w:rPr>
              <w:cr/>
              <w:t>Rizik od kongenitalnih defekata se povećava za faktor 2 – 3 kod potomstva majki koje su l</w:t>
            </w:r>
            <w:r>
              <w:rPr>
                <w:rFonts w:cs="Arial"/>
                <w:sz w:val="22"/>
              </w:rPr>
              <w:t>j</w:t>
            </w:r>
            <w:r w:rsidRPr="003B057D">
              <w:rPr>
                <w:rFonts w:cs="Arial"/>
                <w:sz w:val="22"/>
              </w:rPr>
              <w:t>ečene nekim</w:t>
            </w:r>
            <w:r>
              <w:rPr>
                <w:rFonts w:cs="Arial"/>
                <w:sz w:val="22"/>
              </w:rPr>
              <w:t xml:space="preserve"> antiepileptikom. Najčešće su bi</w:t>
            </w:r>
            <w:r w:rsidRPr="003B057D">
              <w:rPr>
                <w:rFonts w:cs="Arial"/>
                <w:sz w:val="22"/>
              </w:rPr>
              <w:t>l</w:t>
            </w:r>
            <w:r>
              <w:rPr>
                <w:rFonts w:cs="Arial"/>
                <w:sz w:val="22"/>
              </w:rPr>
              <w:t>j</w:t>
            </w:r>
            <w:r w:rsidRPr="003B057D">
              <w:rPr>
                <w:rFonts w:cs="Arial"/>
                <w:sz w:val="22"/>
              </w:rPr>
              <w:t>eženi rascep usne, kardiovaskularne malformacije i oštećenje neuralne cevi. Terapija sa više antiep</w:t>
            </w:r>
            <w:r>
              <w:rPr>
                <w:rFonts w:cs="Arial"/>
                <w:sz w:val="22"/>
              </w:rPr>
              <w:t>ileptika može da bude udružena s</w:t>
            </w:r>
            <w:r w:rsidRPr="003B057D">
              <w:rPr>
                <w:rFonts w:cs="Arial"/>
                <w:sz w:val="22"/>
              </w:rPr>
              <w:t>a većim rizikom od kongenitalnih malformacija nego monoterapija pa je stoga važno da se monoterapija prim</w:t>
            </w:r>
            <w:r>
              <w:rPr>
                <w:rFonts w:cs="Arial"/>
                <w:sz w:val="22"/>
              </w:rPr>
              <w:t>j</w:t>
            </w:r>
            <w:r w:rsidRPr="003B057D">
              <w:rPr>
                <w:rFonts w:cs="Arial"/>
                <w:sz w:val="22"/>
              </w:rPr>
              <w:t>enjuje kad god je to moguće.  Specijalista treba da da sav</w:t>
            </w:r>
            <w:r>
              <w:rPr>
                <w:rFonts w:cs="Arial"/>
                <w:sz w:val="22"/>
              </w:rPr>
              <w:t>j</w:t>
            </w:r>
            <w:r w:rsidRPr="003B057D">
              <w:rPr>
                <w:rFonts w:cs="Arial"/>
                <w:sz w:val="22"/>
              </w:rPr>
              <w:t>et ženama koje će verovatno ostati u drugom stanju ili ženama u reproduktivnom dobu</w:t>
            </w:r>
            <w:r>
              <w:rPr>
                <w:rFonts w:cs="Arial"/>
                <w:sz w:val="22"/>
              </w:rPr>
              <w:t>,</w:t>
            </w:r>
            <w:r w:rsidRPr="003B057D">
              <w:rPr>
                <w:rFonts w:cs="Arial"/>
                <w:sz w:val="22"/>
              </w:rPr>
              <w:t xml:space="preserve"> a potrebu za terapijom antiepilepticima treba razmotriti kada žena planira da ostane u drugom stanju. Prim</w:t>
            </w:r>
            <w:r>
              <w:rPr>
                <w:rFonts w:cs="Arial"/>
                <w:sz w:val="22"/>
              </w:rPr>
              <w:t>j</w:t>
            </w:r>
            <w:r w:rsidRPr="003B057D">
              <w:rPr>
                <w:rFonts w:cs="Arial"/>
                <w:sz w:val="22"/>
              </w:rPr>
              <w:t>enu antiepileptika nikada ne treba naglo prekidati obzirom da to može da dovede do probojnih (breakthrough) konvulzija koje mogu da imaju ozbiljne posl</w:t>
            </w:r>
            <w:r>
              <w:rPr>
                <w:rFonts w:cs="Arial"/>
                <w:sz w:val="22"/>
              </w:rPr>
              <w:t>j</w:t>
            </w:r>
            <w:r w:rsidRPr="003B057D">
              <w:rPr>
                <w:rFonts w:cs="Arial"/>
                <w:sz w:val="22"/>
              </w:rPr>
              <w:t>edice i po majku i po d</w:t>
            </w:r>
            <w:r>
              <w:rPr>
                <w:rFonts w:cs="Arial"/>
                <w:sz w:val="22"/>
              </w:rPr>
              <w:t>ij</w:t>
            </w:r>
            <w:r w:rsidRPr="003B057D">
              <w:rPr>
                <w:rFonts w:cs="Arial"/>
                <w:sz w:val="22"/>
              </w:rPr>
              <w:t>ete. R</w:t>
            </w:r>
            <w:r>
              <w:rPr>
                <w:rFonts w:cs="Arial"/>
                <w:sz w:val="22"/>
              </w:rPr>
              <w:t>ijetko je bi</w:t>
            </w:r>
            <w:r w:rsidRPr="003B057D">
              <w:rPr>
                <w:rFonts w:cs="Arial"/>
                <w:sz w:val="22"/>
              </w:rPr>
              <w:t>l</w:t>
            </w:r>
            <w:r>
              <w:rPr>
                <w:rFonts w:cs="Arial"/>
                <w:sz w:val="22"/>
              </w:rPr>
              <w:t>j</w:t>
            </w:r>
            <w:r w:rsidRPr="003B057D">
              <w:rPr>
                <w:rFonts w:cs="Arial"/>
                <w:sz w:val="22"/>
              </w:rPr>
              <w:t>eženo zaostajanje u razvoju kod d</w:t>
            </w:r>
            <w:r>
              <w:rPr>
                <w:rFonts w:cs="Arial"/>
                <w:sz w:val="22"/>
              </w:rPr>
              <w:t>ij</w:t>
            </w:r>
            <w:r w:rsidRPr="003B057D">
              <w:rPr>
                <w:rFonts w:cs="Arial"/>
                <w:sz w:val="22"/>
              </w:rPr>
              <w:t xml:space="preserve">ece majki sa epilepsijom. Nije moguće razlikovati zaostajanje u razvoju koje je izazvano genetski, socijalnim faktorima, epilepsijom majke ili terapijom protiv epilepsije. </w:t>
            </w:r>
            <w:r w:rsidRPr="003B057D">
              <w:rPr>
                <w:rFonts w:cs="Arial"/>
                <w:sz w:val="22"/>
              </w:rPr>
              <w:cr/>
            </w:r>
            <w:r w:rsidRPr="003B057D">
              <w:rPr>
                <w:rFonts w:cs="Arial"/>
                <w:sz w:val="22"/>
                <w:u w:val="single"/>
              </w:rPr>
              <w:t>Rizici vezani za gabapentin</w:t>
            </w:r>
            <w:r w:rsidRPr="003B057D">
              <w:rPr>
                <w:rFonts w:cs="Arial"/>
                <w:sz w:val="22"/>
              </w:rPr>
              <w:cr/>
              <w:t xml:space="preserve">Nema adekvatnih podataka o upotrebi gabapentina kod trudnica. </w:t>
            </w:r>
            <w:r w:rsidRPr="003B057D">
              <w:rPr>
                <w:rFonts w:cs="Arial"/>
                <w:sz w:val="22"/>
              </w:rPr>
              <w:cr/>
              <w:t>Studije na životinjama su pokazale reproduktivnu toksičnost (vid</w:t>
            </w:r>
            <w:r>
              <w:rPr>
                <w:rFonts w:cs="Arial"/>
                <w:sz w:val="22"/>
              </w:rPr>
              <w:t>j</w:t>
            </w:r>
            <w:r w:rsidRPr="003B057D">
              <w:rPr>
                <w:rFonts w:cs="Arial"/>
                <w:sz w:val="22"/>
              </w:rPr>
              <w:t xml:space="preserve">eti odeljak 5.3). Potencijalni rizik za ljude nije poznat. Gabapentin ne treba koristiti tokom trudnoće osim ukoliko potencijalna korist sasvim jasno prevazilazi potencijalni rizik za fetus. </w:t>
            </w:r>
            <w:r w:rsidRPr="003B057D">
              <w:rPr>
                <w:rFonts w:cs="Arial"/>
                <w:sz w:val="22"/>
              </w:rPr>
              <w:cr/>
              <w:t>Nije moguće don</w:t>
            </w:r>
            <w:r>
              <w:rPr>
                <w:rFonts w:cs="Arial"/>
                <w:sz w:val="22"/>
              </w:rPr>
              <w:t>ij</w:t>
            </w:r>
            <w:r w:rsidRPr="003B057D">
              <w:rPr>
                <w:rFonts w:cs="Arial"/>
                <w:sz w:val="22"/>
              </w:rPr>
              <w:t>eti definitivan zaključak o tome da li je gabapentin udružen sa povećanim rizikom od kongenitalnih malformacija kada se uzima tokom trudnoće zbog same epilepsije i istovremene prim</w:t>
            </w:r>
            <w:r>
              <w:rPr>
                <w:rFonts w:cs="Arial"/>
                <w:sz w:val="22"/>
              </w:rPr>
              <w:t>j</w:t>
            </w:r>
            <w:r w:rsidRPr="003B057D">
              <w:rPr>
                <w:rFonts w:cs="Arial"/>
                <w:sz w:val="22"/>
              </w:rPr>
              <w:t>ene antiepileptika tokom svih zab</w:t>
            </w:r>
            <w:r>
              <w:rPr>
                <w:rFonts w:cs="Arial"/>
                <w:sz w:val="22"/>
              </w:rPr>
              <w:t>ilj</w:t>
            </w:r>
            <w:r w:rsidRPr="003B057D">
              <w:rPr>
                <w:rFonts w:cs="Arial"/>
                <w:sz w:val="22"/>
              </w:rPr>
              <w:t xml:space="preserve">eženih trudnoća. </w:t>
            </w:r>
            <w:r w:rsidRPr="003B057D">
              <w:rPr>
                <w:rFonts w:cs="Arial"/>
                <w:sz w:val="22"/>
              </w:rPr>
              <w:cr/>
              <w:t>Gabapentin se izlučuje u humano ml</w:t>
            </w:r>
            <w:r>
              <w:rPr>
                <w:rFonts w:cs="Arial"/>
                <w:sz w:val="22"/>
              </w:rPr>
              <w:t>ij</w:t>
            </w:r>
            <w:r w:rsidRPr="003B057D">
              <w:rPr>
                <w:rFonts w:cs="Arial"/>
                <w:sz w:val="22"/>
              </w:rPr>
              <w:t>eko. Obzirom da uticaj na d</w:t>
            </w:r>
            <w:r>
              <w:rPr>
                <w:rFonts w:cs="Arial"/>
                <w:sz w:val="22"/>
              </w:rPr>
              <w:t>ij</w:t>
            </w:r>
            <w:r w:rsidRPr="003B057D">
              <w:rPr>
                <w:rFonts w:cs="Arial"/>
                <w:sz w:val="22"/>
              </w:rPr>
              <w:t>ecu koja sisaju nije poznat, treba biti oprezan kada se gabapentin daje majkama koje doje. Gabapentin treba koristiti kod majki koje doje samo ukoliko koristi jasno prevazilaze rizike.</w:t>
            </w:r>
          </w:p>
          <w:p w:rsidR="00EC0F9E" w:rsidRPr="00CD0B7A" w:rsidRDefault="00EC0F9E" w:rsidP="00B750B6">
            <w:pPr>
              <w:pStyle w:val="Header"/>
              <w:tabs>
                <w:tab w:val="left" w:pos="284"/>
              </w:tabs>
              <w:rPr>
                <w:rFonts w:cs="Arial"/>
                <w:sz w:val="22"/>
              </w:rPr>
            </w:pP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pacing w:val="-8"/>
                <w:sz w:val="22"/>
              </w:rPr>
            </w:pPr>
            <w:r>
              <w:rPr>
                <w:rFonts w:cs="Arial"/>
                <w:b/>
                <w:bCs/>
                <w:spacing w:val="-8"/>
                <w:sz w:val="22"/>
              </w:rPr>
              <w:t>4.7. Uticaj na psihofizičke sposobnosti prilikom upravljanja motornim vozilom i rukovanja mašinama</w:t>
            </w:r>
          </w:p>
        </w:tc>
      </w:tr>
      <w:tr w:rsidR="00EC0F9E">
        <w:tblPrEx>
          <w:tblCellMar>
            <w:top w:w="0" w:type="dxa"/>
            <w:bottom w:w="0" w:type="dxa"/>
          </w:tblCellMar>
        </w:tblPrEx>
        <w:trPr>
          <w:cantSplit/>
          <w:trHeight w:val="1145"/>
        </w:trPr>
        <w:tc>
          <w:tcPr>
            <w:tcW w:w="10188" w:type="dxa"/>
            <w:gridSpan w:val="6"/>
            <w:vAlign w:val="center"/>
          </w:tcPr>
          <w:p w:rsidR="00EC0F9E" w:rsidRPr="00B0652B" w:rsidRDefault="00EC0F9E" w:rsidP="00B750B6">
            <w:pPr>
              <w:rPr>
                <w:rFonts w:cs="Arial"/>
                <w:sz w:val="22"/>
              </w:rPr>
            </w:pPr>
            <w:r w:rsidRPr="00B0652B">
              <w:rPr>
                <w:rFonts w:cs="Arial"/>
                <w:sz w:val="22"/>
              </w:rPr>
              <w:t>Gabapentin može da ima minimalan ili um</w:t>
            </w:r>
            <w:r>
              <w:rPr>
                <w:rFonts w:cs="Arial"/>
                <w:sz w:val="22"/>
              </w:rPr>
              <w:t>j</w:t>
            </w:r>
            <w:r w:rsidRPr="00B0652B">
              <w:rPr>
                <w:rFonts w:cs="Arial"/>
                <w:sz w:val="22"/>
              </w:rPr>
              <w:t>eren uticaj na sposobnost upravljanja motornim vozilima i upotrebe mašina. Gabapentin d</w:t>
            </w:r>
            <w:r>
              <w:rPr>
                <w:rFonts w:cs="Arial"/>
                <w:sz w:val="22"/>
              </w:rPr>
              <w:t>j</w:t>
            </w:r>
            <w:r w:rsidRPr="00B0652B">
              <w:rPr>
                <w:rFonts w:cs="Arial"/>
                <w:sz w:val="22"/>
              </w:rPr>
              <w:t>eluje na centralni nervni sistem i može da izazove pospanost, vrtoglavicu ili druge srodne simptome. Čak iako su oni samo blagog ili umerenog stepena, ova neželjena dejstva mogu da budu potencijalno opasna kod pacijenata koji upravljaju motornim vozilima ili rukuju mašinama. To se posebno odnosi na  period početka tretmana  i posle povećanja doze</w:t>
            </w:r>
            <w:r>
              <w:rPr>
                <w:rFonts w:cs="Arial"/>
                <w:sz w:val="22"/>
              </w:rPr>
              <w:t>.</w:t>
            </w:r>
          </w:p>
          <w:p w:rsidR="00EC0F9E" w:rsidRDefault="00EC0F9E" w:rsidP="00B750B6">
            <w:pPr>
              <w:pStyle w:val="Header"/>
              <w:tabs>
                <w:tab w:val="left" w:pos="284"/>
              </w:tabs>
              <w:rPr>
                <w:rFonts w:cs="Arial"/>
                <w:sz w:val="22"/>
              </w:rPr>
            </w:pP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4.8. Neželjena dejstva</w:t>
            </w:r>
          </w:p>
        </w:tc>
      </w:tr>
      <w:tr w:rsidR="00EC0F9E">
        <w:tblPrEx>
          <w:tblCellMar>
            <w:top w:w="0" w:type="dxa"/>
            <w:bottom w:w="0" w:type="dxa"/>
          </w:tblCellMar>
        </w:tblPrEx>
        <w:trPr>
          <w:cantSplit/>
          <w:trHeight w:val="1145"/>
        </w:trPr>
        <w:tc>
          <w:tcPr>
            <w:tcW w:w="10188" w:type="dxa"/>
            <w:gridSpan w:val="6"/>
            <w:vAlign w:val="center"/>
          </w:tcPr>
          <w:p w:rsidR="00EC0F9E" w:rsidRDefault="00EC0F9E" w:rsidP="00B750B6">
            <w:pPr>
              <w:pStyle w:val="Header"/>
              <w:tabs>
                <w:tab w:val="left" w:pos="284"/>
              </w:tabs>
              <w:rPr>
                <w:rFonts w:cs="Arial"/>
                <w:sz w:val="22"/>
              </w:rPr>
            </w:pPr>
            <w:r w:rsidRPr="00B507AB">
              <w:rPr>
                <w:rFonts w:cs="Arial"/>
                <w:sz w:val="22"/>
              </w:rPr>
              <w:t>Neželjene reakcije zab</w:t>
            </w:r>
            <w:r>
              <w:rPr>
                <w:rFonts w:cs="Arial"/>
                <w:sz w:val="22"/>
              </w:rPr>
              <w:t>i</w:t>
            </w:r>
            <w:r w:rsidRPr="00B507AB">
              <w:rPr>
                <w:rFonts w:cs="Arial"/>
                <w:sz w:val="22"/>
              </w:rPr>
              <w:t>l</w:t>
            </w:r>
            <w:r>
              <w:rPr>
                <w:rFonts w:cs="Arial"/>
                <w:sz w:val="22"/>
              </w:rPr>
              <w:t>j</w:t>
            </w:r>
            <w:r w:rsidRPr="00B507AB">
              <w:rPr>
                <w:rFonts w:cs="Arial"/>
                <w:sz w:val="22"/>
              </w:rPr>
              <w:t xml:space="preserve">ežene tokom kliničkih studija kod epilepsije (kombinovana terapija i monoterapija) i neuropatskog bola date su po klasama i učestalosti (veoma česte ( 1/10); česte ( 1/100 do &lt; 1/10); </w:t>
            </w:r>
            <w:r>
              <w:rPr>
                <w:rFonts w:cs="Arial"/>
                <w:sz w:val="22"/>
              </w:rPr>
              <w:t xml:space="preserve">povremene </w:t>
            </w:r>
            <w:r w:rsidRPr="00B507AB">
              <w:rPr>
                <w:rFonts w:cs="Arial"/>
                <w:sz w:val="22"/>
              </w:rPr>
              <w:t>(1/1000 do &lt; 1/100); r</w:t>
            </w:r>
            <w:r>
              <w:rPr>
                <w:rFonts w:cs="Arial"/>
                <w:sz w:val="22"/>
              </w:rPr>
              <w:t>ij</w:t>
            </w:r>
            <w:r w:rsidRPr="00B507AB">
              <w:rPr>
                <w:rFonts w:cs="Arial"/>
                <w:sz w:val="22"/>
              </w:rPr>
              <w:t>etke ( 1/10000 do &lt; 1/1000); veoma r</w:t>
            </w:r>
            <w:r>
              <w:rPr>
                <w:rFonts w:cs="Arial"/>
                <w:sz w:val="22"/>
              </w:rPr>
              <w:t>ij</w:t>
            </w:r>
            <w:r w:rsidRPr="00B507AB">
              <w:rPr>
                <w:rFonts w:cs="Arial"/>
                <w:sz w:val="22"/>
              </w:rPr>
              <w:t>etke (&lt; 1/10000). Ukoliko je učestalost neke reakcije bila različita u kliničkim studijama, navedena je najveća zab</w:t>
            </w:r>
            <w:r>
              <w:rPr>
                <w:rFonts w:cs="Arial"/>
                <w:sz w:val="22"/>
              </w:rPr>
              <w:t>i</w:t>
            </w:r>
            <w:r w:rsidRPr="00B507AB">
              <w:rPr>
                <w:rFonts w:cs="Arial"/>
                <w:sz w:val="22"/>
              </w:rPr>
              <w:t>l</w:t>
            </w:r>
            <w:r>
              <w:rPr>
                <w:rFonts w:cs="Arial"/>
                <w:sz w:val="22"/>
              </w:rPr>
              <w:t xml:space="preserve">ježena učestalost. </w:t>
            </w:r>
            <w:r w:rsidRPr="00B507AB">
              <w:rPr>
                <w:rFonts w:cs="Arial"/>
                <w:sz w:val="22"/>
              </w:rPr>
              <w:t>Dodatne reakcije zab</w:t>
            </w:r>
            <w:r>
              <w:rPr>
                <w:rFonts w:cs="Arial"/>
                <w:sz w:val="22"/>
              </w:rPr>
              <w:t>i</w:t>
            </w:r>
            <w:r w:rsidRPr="00B507AB">
              <w:rPr>
                <w:rFonts w:cs="Arial"/>
                <w:sz w:val="22"/>
              </w:rPr>
              <w:t>l</w:t>
            </w:r>
            <w:r>
              <w:rPr>
                <w:rFonts w:cs="Arial"/>
                <w:sz w:val="22"/>
              </w:rPr>
              <w:t>j</w:t>
            </w:r>
            <w:r w:rsidRPr="00B507AB">
              <w:rPr>
                <w:rFonts w:cs="Arial"/>
                <w:sz w:val="22"/>
              </w:rPr>
              <w:t>ežene na osnovu postma</w:t>
            </w:r>
            <w:r>
              <w:rPr>
                <w:rFonts w:cs="Arial"/>
                <w:sz w:val="22"/>
              </w:rPr>
              <w:t xml:space="preserve">rketinškog iskustva su </w:t>
            </w:r>
            <w:r w:rsidRPr="00B507AB">
              <w:rPr>
                <w:rFonts w:cs="Arial"/>
                <w:sz w:val="22"/>
              </w:rPr>
              <w:t>navedene kao “učestalost nije poznata” (ne može se proc</w:t>
            </w:r>
            <w:r>
              <w:rPr>
                <w:rFonts w:cs="Arial"/>
                <w:sz w:val="22"/>
              </w:rPr>
              <w:t>j</w:t>
            </w:r>
            <w:r w:rsidRPr="00B507AB">
              <w:rPr>
                <w:rFonts w:cs="Arial"/>
                <w:sz w:val="22"/>
              </w:rPr>
              <w:t xml:space="preserve">eniti na osnovu raspoloživih podataka) . Kod svake grupe učestalosti neželjena dejstva su prikazana od ozbiljnih ka manje ozbiljnim. </w:t>
            </w:r>
          </w:p>
        </w:tc>
      </w:tr>
      <w:tr w:rsidR="00EC0F9E">
        <w:tblPrEx>
          <w:tblCellMar>
            <w:top w:w="0" w:type="dxa"/>
            <w:bottom w:w="0" w:type="dxa"/>
          </w:tblCellMar>
        </w:tblPrEx>
        <w:trPr>
          <w:cantSplit/>
          <w:trHeight w:val="1145"/>
        </w:trPr>
        <w:tc>
          <w:tcPr>
            <w:tcW w:w="10188" w:type="dxa"/>
            <w:gridSpan w:val="6"/>
            <w:vAlign w:val="center"/>
          </w:tcPr>
          <w:tbl>
            <w:tblPr>
              <w:tblW w:w="0" w:type="auto"/>
              <w:tblInd w:w="8" w:type="dxa"/>
              <w:tblLayout w:type="fixed"/>
              <w:tblCellMar>
                <w:left w:w="0" w:type="dxa"/>
                <w:right w:w="0" w:type="dxa"/>
              </w:tblCellMar>
              <w:tblLook w:val="0000" w:firstRow="0" w:lastRow="0" w:firstColumn="0" w:lastColumn="0" w:noHBand="0" w:noVBand="0"/>
            </w:tblPr>
            <w:tblGrid>
              <w:gridCol w:w="4320"/>
              <w:gridCol w:w="4320"/>
            </w:tblGrid>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lastRenderedPageBreak/>
                    <w:t>Telesni sistem</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Neželjene reakcije na lekove</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535CD7" w:rsidRDefault="00EC0F9E" w:rsidP="00B750B6">
                  <w:pPr>
                    <w:pStyle w:val="Header"/>
                    <w:tabs>
                      <w:tab w:val="left" w:pos="284"/>
                    </w:tabs>
                    <w:rPr>
                      <w:rFonts w:cs="Arial"/>
                      <w:b/>
                      <w:sz w:val="22"/>
                    </w:rPr>
                  </w:pPr>
                  <w:r w:rsidRPr="00535CD7">
                    <w:rPr>
                      <w:rFonts w:cs="Arial"/>
                      <w:b/>
                      <w:sz w:val="22"/>
                    </w:rPr>
                    <w:t>Infekcije i infestacije</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Veoma 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Virusna infekcija</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Pneumonija, respiratorna infekcija, infekcija urinarnog trakta, infekcija, otitis media</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535CD7" w:rsidRDefault="00EC0F9E" w:rsidP="00B750B6">
                  <w:pPr>
                    <w:pStyle w:val="Header"/>
                    <w:tabs>
                      <w:tab w:val="left" w:pos="284"/>
                    </w:tabs>
                    <w:rPr>
                      <w:rFonts w:cs="Arial"/>
                      <w:b/>
                      <w:sz w:val="22"/>
                    </w:rPr>
                  </w:pPr>
                  <w:r w:rsidRPr="00535CD7">
                    <w:rPr>
                      <w:rFonts w:cs="Arial"/>
                      <w:b/>
                      <w:sz w:val="22"/>
                    </w:rPr>
                    <w:t>Poremećaji krvi i limfnog sistema</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leukopenija</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trombocitopenija</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535CD7" w:rsidRDefault="00EC0F9E" w:rsidP="00B750B6">
                  <w:pPr>
                    <w:pStyle w:val="Header"/>
                    <w:tabs>
                      <w:tab w:val="left" w:pos="284"/>
                    </w:tabs>
                    <w:rPr>
                      <w:rFonts w:cs="Arial"/>
                      <w:b/>
                      <w:sz w:val="22"/>
                    </w:rPr>
                  </w:pPr>
                  <w:r w:rsidRPr="00535CD7">
                    <w:rPr>
                      <w:rFonts w:cs="Arial"/>
                      <w:b/>
                      <w:sz w:val="22"/>
                    </w:rPr>
                    <w:t>Poremećaji imunog sistema</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Povremeno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Alergijske reakcije (npr. urtikarija)</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064E2E" w:rsidRDefault="00EC0F9E" w:rsidP="00B750B6">
                  <w:pPr>
                    <w:pStyle w:val="Header"/>
                    <w:tabs>
                      <w:tab w:val="left" w:pos="284"/>
                    </w:tabs>
                    <w:rPr>
                      <w:rFonts w:cs="Arial"/>
                      <w:b/>
                      <w:sz w:val="22"/>
                    </w:rPr>
                  </w:pPr>
                  <w:r w:rsidRPr="00064E2E">
                    <w:rPr>
                      <w:rFonts w:cs="Arial"/>
                      <w:b/>
                      <w:sz w:val="22"/>
                    </w:rPr>
                    <w:t>Poremećaji metabolizma i ishrane</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Anoreksija, povećan apetit</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064E2E" w:rsidRDefault="00EC0F9E" w:rsidP="00B750B6">
                  <w:pPr>
                    <w:pStyle w:val="Header"/>
                    <w:tabs>
                      <w:tab w:val="left" w:pos="284"/>
                    </w:tabs>
                    <w:rPr>
                      <w:rFonts w:cs="Arial"/>
                      <w:b/>
                      <w:sz w:val="22"/>
                    </w:rPr>
                  </w:pPr>
                  <w:r w:rsidRPr="00064E2E">
                    <w:rPr>
                      <w:rFonts w:cs="Arial"/>
                      <w:b/>
                      <w:sz w:val="22"/>
                    </w:rPr>
                    <w:t xml:space="preserve">Psihijatrijski poremećaji </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Nasilnost, konfuzija i emocionalna labilnost, depresija, anksioznost, nervoza, abnormalno mišljenje</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Halucinacije</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F62E8B" w:rsidRDefault="00EC0F9E" w:rsidP="00B750B6">
                  <w:pPr>
                    <w:pStyle w:val="Header"/>
                    <w:tabs>
                      <w:tab w:val="left" w:pos="284"/>
                    </w:tabs>
                    <w:rPr>
                      <w:rFonts w:cs="Arial"/>
                      <w:b/>
                      <w:sz w:val="22"/>
                    </w:rPr>
                  </w:pPr>
                  <w:r w:rsidRPr="00F62E8B">
                    <w:rPr>
                      <w:rFonts w:cs="Arial"/>
                      <w:b/>
                      <w:sz w:val="22"/>
                    </w:rPr>
                    <w:t>Poremećaji nervnog sistema</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Veoma 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Somnolencija, vrtoglavica, ataksija</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Često</w:t>
                  </w:r>
                  <w:r>
                    <w:rPr>
                      <w:rFonts w:cs="Arial"/>
                      <w:sz w:val="22"/>
                    </w:rPr>
                    <w:br/>
                    <w:t>Povremeno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Konvulzije, hiperkinezija, dizartrija, amnezija, tremor, insomnija, os</w:t>
                  </w:r>
                  <w:r>
                    <w:rPr>
                      <w:rFonts w:cs="Arial"/>
                      <w:sz w:val="22"/>
                    </w:rPr>
                    <w:t>j</w:t>
                  </w:r>
                  <w:r w:rsidRPr="00DF7E28">
                    <w:rPr>
                      <w:rFonts w:cs="Arial"/>
                      <w:sz w:val="22"/>
                    </w:rPr>
                    <w:t>ećaji kao što su parestezija, hiperestezija, abnormalna koordinacija, nistagmus, povećani</w:t>
                  </w:r>
                  <w:r>
                    <w:rPr>
                      <w:rFonts w:cs="Arial"/>
                      <w:sz w:val="22"/>
                    </w:rPr>
                    <w:t xml:space="preserve">, smanjeni ili odsutni refleksi, </w:t>
                  </w:r>
                  <w:r w:rsidRPr="00DF7E28">
                    <w:rPr>
                      <w:rFonts w:cs="Arial"/>
                      <w:sz w:val="22"/>
                    </w:rPr>
                    <w:t>hipokinezija</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Ostali motorni poremećaji (npr. horeoatetoza, diskinezija, distonija)</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Poremećaji oka</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Poremećaji vida kao što su ambliopija, diplopija</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 xml:space="preserve">Poremećaji uha i lavirinta </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Vrtoglavica</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Tinitus</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Srčani poremećaji</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Povremeno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palpitacije</w:t>
                  </w:r>
                </w:p>
              </w:tc>
            </w:tr>
            <w:tr w:rsidR="00EC0F9E" w:rsidRPr="00DF7E28">
              <w:tblPrEx>
                <w:tblCellMar>
                  <w:top w:w="0" w:type="dxa"/>
                  <w:left w:w="0" w:type="dxa"/>
                  <w:bottom w:w="0" w:type="dxa"/>
                  <w:right w:w="0" w:type="dxa"/>
                </w:tblCellMar>
              </w:tblPrEx>
              <w:trPr>
                <w:gridAfter w:val="1"/>
                <w:wAfter w:w="4320" w:type="dxa"/>
                <w:trHeight w:val="90"/>
              </w:trPr>
              <w:tc>
                <w:tcPr>
                  <w:tcW w:w="4320" w:type="dxa"/>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Vaskularni poremećaji</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Čest</w:t>
                  </w:r>
                  <w:r>
                    <w:rPr>
                      <w:rFonts w:cs="Arial"/>
                      <w:sz w:val="22"/>
                    </w:rPr>
                    <w: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hipertenzija, vazodilatacija</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Respiratorni, torakalni i medijastinalni poremećaji</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Dispneja, bronhitis, faringitis, kašalj, rinitis</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Gastrointestinalni poremećaji</w:t>
                  </w:r>
                </w:p>
              </w:tc>
            </w:tr>
            <w:tr w:rsidR="00EC0F9E" w:rsidRPr="006E64C7">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 xml:space="preserve">Povraćanje, mučnina, stomatološke abnormalnosti, gingivitis, dijareja, bol u abdomenu, dispepsija, konstipacija, </w:t>
                  </w:r>
                  <w:smartTag w:uri="urn:schemas-microsoft-com:office:smarttags" w:element="place">
                    <w:smartTag w:uri="urn:schemas-microsoft-com:office:smarttags" w:element="City">
                      <w:r w:rsidRPr="00DF7E28">
                        <w:rPr>
                          <w:rFonts w:cs="Arial"/>
                          <w:sz w:val="22"/>
                        </w:rPr>
                        <w:t>suva</w:t>
                      </w:r>
                    </w:smartTag>
                  </w:smartTag>
                  <w:r w:rsidRPr="00DF7E28">
                    <w:rPr>
                      <w:rFonts w:cs="Arial"/>
                      <w:sz w:val="22"/>
                    </w:rPr>
                    <w:t xml:space="preserve"> usta ili grlo, flatulencija </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pankreatitis</w:t>
                  </w: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Hepatobilijarni poremećaji</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r w:rsidRPr="00DF7E28">
                    <w:rPr>
                      <w:rFonts w:cs="Arial"/>
                      <w:sz w:val="22"/>
                    </w:rPr>
                    <w:t>hepatitis, žutica</w:t>
                  </w: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rPr>
                <w:gridAfter w:val="1"/>
                <w:wAfter w:w="4320" w:type="dxa"/>
              </w:trPr>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r w:rsidR="00EC0F9E" w:rsidRPr="00DF7E28">
              <w:tblPrEx>
                <w:tblCellMar>
                  <w:top w:w="0" w:type="dxa"/>
                  <w:left w:w="0" w:type="dxa"/>
                  <w:bottom w:w="0" w:type="dxa"/>
                  <w:right w:w="0" w:type="dxa"/>
                </w:tblCellMar>
              </w:tblPrEx>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c>
                <w:tcPr>
                  <w:tcW w:w="4320" w:type="dxa"/>
                  <w:tcBorders>
                    <w:top w:val="single" w:sz="6" w:space="0" w:color="C0C0C0"/>
                    <w:left w:val="single" w:sz="6" w:space="0" w:color="C0C0C0"/>
                    <w:bottom w:val="single" w:sz="6" w:space="0" w:color="C0C0C0"/>
                    <w:right w:val="single" w:sz="6" w:space="0" w:color="C0C0C0"/>
                  </w:tcBorders>
                </w:tcPr>
                <w:p w:rsidR="00EC0F9E" w:rsidRPr="00DF7E28" w:rsidRDefault="00EC0F9E" w:rsidP="00B750B6">
                  <w:pPr>
                    <w:pStyle w:val="Header"/>
                    <w:tabs>
                      <w:tab w:val="left" w:pos="284"/>
                    </w:tabs>
                    <w:rPr>
                      <w:rFonts w:cs="Arial"/>
                      <w:sz w:val="22"/>
                    </w:rPr>
                  </w:pPr>
                </w:p>
              </w:tc>
            </w:tr>
          </w:tbl>
          <w:p w:rsidR="00EC0F9E" w:rsidRPr="00AD2DD1" w:rsidRDefault="00EC0F9E" w:rsidP="00B750B6">
            <w:pPr>
              <w:pStyle w:val="Header"/>
              <w:tabs>
                <w:tab w:val="left" w:pos="284"/>
              </w:tabs>
              <w:rPr>
                <w:rFonts w:cs="Arial"/>
                <w:sz w:val="22"/>
              </w:rPr>
            </w:pPr>
          </w:p>
        </w:tc>
      </w:tr>
      <w:tr w:rsidR="00EC0F9E" w:rsidRPr="002C0F92">
        <w:tblPrEx>
          <w:tblCellMar>
            <w:top w:w="0" w:type="dxa"/>
            <w:left w:w="0" w:type="dxa"/>
            <w:bottom w:w="0" w:type="dxa"/>
            <w:right w:w="0" w:type="dxa"/>
          </w:tblCellMar>
        </w:tblPrEx>
        <w:trPr>
          <w:gridBefore w:val="1"/>
          <w:gridAfter w:val="2"/>
          <w:wBefore w:w="108" w:type="dxa"/>
          <w:wAfter w:w="576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lastRenderedPageBreak/>
              <w:t xml:space="preserve">Poremećaji kože i potkožnog tkiva </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Čest</w:t>
            </w:r>
            <w:r>
              <w:rPr>
                <w:rFonts w:cs="Arial"/>
                <w:sz w:val="22"/>
              </w:rPr>
              <w: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Edem lica, purpura kako je najčešće distribuirana u vidu modrica koje su rezultat fizičkih trauma, ospa, pruritus, akne</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Stevens-Johnsonov sindrom, angioedem,  erythema multiforme, alopecija</w:t>
            </w:r>
          </w:p>
        </w:tc>
      </w:tr>
      <w:tr w:rsidR="00EC0F9E" w:rsidRPr="001A331D">
        <w:tblPrEx>
          <w:tblCellMar>
            <w:top w:w="0" w:type="dxa"/>
            <w:left w:w="0" w:type="dxa"/>
            <w:bottom w:w="0" w:type="dxa"/>
            <w:right w:w="0" w:type="dxa"/>
          </w:tblCellMar>
        </w:tblPrEx>
        <w:trPr>
          <w:gridBefore w:val="1"/>
          <w:gridAfter w:val="2"/>
          <w:wBefore w:w="108" w:type="dxa"/>
          <w:wAfter w:w="576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1A331D" w:rsidRDefault="00EC0F9E" w:rsidP="00B750B6">
            <w:pPr>
              <w:pStyle w:val="Header"/>
              <w:tabs>
                <w:tab w:val="left" w:pos="284"/>
              </w:tabs>
              <w:rPr>
                <w:rFonts w:cs="Arial"/>
                <w:b/>
                <w:sz w:val="22"/>
                <w:lang w:val="sr-Latn-CS"/>
              </w:rPr>
            </w:pPr>
            <w:r w:rsidRPr="001A331D">
              <w:rPr>
                <w:rFonts w:cs="Arial"/>
                <w:b/>
                <w:sz w:val="22"/>
                <w:lang w:val="sr-Latn-CS"/>
              </w:rPr>
              <w:t xml:space="preserve">Mišično-skeletni poremećaji i poremećaji, vezivnog tkiva i kostiju </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Čest</w:t>
            </w:r>
            <w:r>
              <w:rPr>
                <w:rFonts w:cs="Arial"/>
                <w:sz w:val="22"/>
              </w:rPr>
              <w: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Artralgija, mijalgija, bol u leđima, trzaji</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mioklonus</w:t>
            </w:r>
          </w:p>
        </w:tc>
      </w:tr>
      <w:tr w:rsidR="00EC0F9E" w:rsidRPr="002C0F92">
        <w:tblPrEx>
          <w:tblCellMar>
            <w:top w:w="0" w:type="dxa"/>
            <w:left w:w="0" w:type="dxa"/>
            <w:bottom w:w="0" w:type="dxa"/>
            <w:right w:w="0" w:type="dxa"/>
          </w:tblCellMar>
        </w:tblPrEx>
        <w:trPr>
          <w:gridBefore w:val="1"/>
          <w:gridAfter w:val="2"/>
          <w:wBefore w:w="108" w:type="dxa"/>
          <w:wAfter w:w="576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Bubrežni i urinarni poremećaji</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Akutna bubrežna insuficijencija, inkontinencija</w:t>
            </w:r>
          </w:p>
        </w:tc>
      </w:tr>
      <w:tr w:rsidR="00EC0F9E" w:rsidRPr="002C0F92">
        <w:tblPrEx>
          <w:tblCellMar>
            <w:top w:w="0" w:type="dxa"/>
            <w:left w:w="0" w:type="dxa"/>
            <w:bottom w:w="0" w:type="dxa"/>
            <w:right w:w="0" w:type="dxa"/>
          </w:tblCellMar>
        </w:tblPrEx>
        <w:trPr>
          <w:gridBefore w:val="1"/>
          <w:gridAfter w:val="2"/>
          <w:wBefore w:w="108" w:type="dxa"/>
          <w:wAfter w:w="576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Poremećaji reproduktivnog sistema i dojke</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Čest</w:t>
            </w:r>
            <w:r>
              <w:rPr>
                <w:rFonts w:cs="Arial"/>
                <w:sz w:val="22"/>
              </w:rPr>
              <w: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impotencija</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Hipertrofija dojke, ginekomastija</w:t>
            </w:r>
          </w:p>
        </w:tc>
      </w:tr>
      <w:tr w:rsidR="00EC0F9E" w:rsidRPr="002C0F92">
        <w:tblPrEx>
          <w:tblCellMar>
            <w:top w:w="0" w:type="dxa"/>
            <w:left w:w="0" w:type="dxa"/>
            <w:bottom w:w="0" w:type="dxa"/>
            <w:right w:w="0" w:type="dxa"/>
          </w:tblCellMar>
        </w:tblPrEx>
        <w:trPr>
          <w:gridBefore w:val="1"/>
          <w:gridAfter w:val="2"/>
          <w:wBefore w:w="108" w:type="dxa"/>
          <w:wAfter w:w="576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187333" w:rsidRDefault="00EC0F9E" w:rsidP="00B750B6">
            <w:pPr>
              <w:pStyle w:val="Header"/>
              <w:tabs>
                <w:tab w:val="left" w:pos="284"/>
              </w:tabs>
              <w:rPr>
                <w:rFonts w:cs="Arial"/>
                <w:b/>
                <w:sz w:val="22"/>
              </w:rPr>
            </w:pPr>
            <w:r w:rsidRPr="00187333">
              <w:rPr>
                <w:rFonts w:cs="Arial"/>
                <w:b/>
                <w:sz w:val="22"/>
              </w:rPr>
              <w:t>Opšti poremećaji i stanja na m</w:t>
            </w:r>
            <w:r>
              <w:rPr>
                <w:rFonts w:cs="Arial"/>
                <w:b/>
                <w:sz w:val="22"/>
              </w:rPr>
              <w:t>j</w:t>
            </w:r>
            <w:r w:rsidRPr="00187333">
              <w:rPr>
                <w:rFonts w:cs="Arial"/>
                <w:b/>
                <w:sz w:val="22"/>
              </w:rPr>
              <w:t>estu prim</w:t>
            </w:r>
            <w:r>
              <w:rPr>
                <w:rFonts w:cs="Arial"/>
                <w:b/>
                <w:sz w:val="22"/>
              </w:rPr>
              <w:t>j</w:t>
            </w:r>
            <w:r w:rsidRPr="00187333">
              <w:rPr>
                <w:rFonts w:cs="Arial"/>
                <w:b/>
                <w:sz w:val="22"/>
              </w:rPr>
              <w:t>ene</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Pr>
                <w:rFonts w:cs="Arial"/>
                <w:sz w:val="22"/>
              </w:rPr>
              <w:t>Veoma 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Zamor, povišena temperatura</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 xml:space="preserve">Periferni edem, abnormalan hod, astenija, bol, malaksalost, sindrom gripa </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Pr>
                <w:rFonts w:cs="Arial"/>
                <w:sz w:val="22"/>
              </w:rPr>
              <w:t>Povremeno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Generalizovani edem</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Apstinencijalne reakcije (uglavnom anksioznost, insomnija, mučnina,  bolovi, znojenje), bol u grudima. Zab</w:t>
            </w:r>
            <w:r>
              <w:rPr>
                <w:rFonts w:cs="Arial"/>
                <w:sz w:val="22"/>
              </w:rPr>
              <w:t>ij</w:t>
            </w:r>
            <w:r w:rsidRPr="002C0F92">
              <w:rPr>
                <w:rFonts w:cs="Arial"/>
                <w:sz w:val="22"/>
              </w:rPr>
              <w:t>ležene su iznenadne neobjašnjive smrti kod kojih uzročna povezanost sa terapijom gabapentinom nije ustanovljena.</w:t>
            </w:r>
          </w:p>
        </w:tc>
      </w:tr>
      <w:tr w:rsidR="00EC0F9E" w:rsidRPr="002C0F92">
        <w:tblPrEx>
          <w:tblCellMar>
            <w:top w:w="0" w:type="dxa"/>
            <w:left w:w="0" w:type="dxa"/>
            <w:bottom w:w="0" w:type="dxa"/>
            <w:right w:w="0" w:type="dxa"/>
          </w:tblCellMar>
        </w:tblPrEx>
        <w:trPr>
          <w:gridBefore w:val="1"/>
          <w:gridAfter w:val="2"/>
          <w:wBefore w:w="108" w:type="dxa"/>
          <w:wAfter w:w="576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1A331D" w:rsidRDefault="00EC0F9E" w:rsidP="00B750B6">
            <w:pPr>
              <w:pStyle w:val="Header"/>
              <w:tabs>
                <w:tab w:val="left" w:pos="284"/>
              </w:tabs>
              <w:rPr>
                <w:rFonts w:cs="Arial"/>
                <w:b/>
                <w:sz w:val="22"/>
              </w:rPr>
            </w:pPr>
            <w:r w:rsidRPr="001A331D">
              <w:rPr>
                <w:rFonts w:cs="Arial"/>
                <w:b/>
                <w:sz w:val="22"/>
              </w:rPr>
              <w:t>Analize</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Pr>
                <w:rFonts w:cs="Arial"/>
                <w:sz w:val="22"/>
              </w:rPr>
              <w:t>Često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Smanjen broj leukocita, povećanje telesne težine</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Pr>
                <w:rFonts w:cs="Arial"/>
                <w:sz w:val="22"/>
              </w:rPr>
              <w:lastRenderedPageBreak/>
              <w:t>Povremeno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Povišene vrednosti testova funkcije jetre SGOT (AST), SGPT (ALT) i bilirubina</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Nije poznato</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Oscilacije glukoze u krvi kod pacijenata sa dijabetesom</w:t>
            </w:r>
          </w:p>
        </w:tc>
      </w:tr>
      <w:tr w:rsidR="00EC0F9E" w:rsidRPr="001A331D">
        <w:tblPrEx>
          <w:tblCellMar>
            <w:top w:w="0" w:type="dxa"/>
            <w:left w:w="0" w:type="dxa"/>
            <w:bottom w:w="0" w:type="dxa"/>
            <w:right w:w="0" w:type="dxa"/>
          </w:tblCellMar>
        </w:tblPrEx>
        <w:trPr>
          <w:gridBefore w:val="1"/>
          <w:gridAfter w:val="2"/>
          <w:wBefore w:w="108" w:type="dxa"/>
          <w:wAfter w:w="576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1A331D" w:rsidRDefault="00EC0F9E" w:rsidP="00B750B6">
            <w:pPr>
              <w:pStyle w:val="Header"/>
              <w:tabs>
                <w:tab w:val="left" w:pos="284"/>
              </w:tabs>
              <w:rPr>
                <w:rFonts w:cs="Arial"/>
                <w:b/>
                <w:sz w:val="22"/>
              </w:rPr>
            </w:pPr>
            <w:r w:rsidRPr="001A331D">
              <w:rPr>
                <w:rFonts w:cs="Arial"/>
                <w:b/>
                <w:sz w:val="22"/>
              </w:rPr>
              <w:t>Povreda i trovanje</w:t>
            </w:r>
          </w:p>
        </w:tc>
      </w:tr>
      <w:tr w:rsidR="00EC0F9E" w:rsidRPr="006E64C7">
        <w:tblPrEx>
          <w:tblCellMar>
            <w:top w:w="0" w:type="dxa"/>
            <w:left w:w="0" w:type="dxa"/>
            <w:bottom w:w="0" w:type="dxa"/>
            <w:right w:w="0" w:type="dxa"/>
          </w:tblCellMar>
        </w:tblPrEx>
        <w:trPr>
          <w:gridBefore w:val="1"/>
          <w:gridAfter w:val="1"/>
          <w:wBefore w:w="108" w:type="dxa"/>
          <w:wAfter w:w="1440" w:type="dxa"/>
        </w:trPr>
        <w:tc>
          <w:tcPr>
            <w:tcW w:w="4320" w:type="dxa"/>
            <w:gridSpan w:val="3"/>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Česti</w:t>
            </w:r>
          </w:p>
        </w:tc>
        <w:tc>
          <w:tcPr>
            <w:tcW w:w="4320" w:type="dxa"/>
            <w:tcBorders>
              <w:top w:val="single" w:sz="6" w:space="0" w:color="C0C0C0"/>
              <w:left w:val="single" w:sz="6" w:space="0" w:color="C0C0C0"/>
              <w:bottom w:val="single" w:sz="6" w:space="0" w:color="C0C0C0"/>
              <w:right w:val="single" w:sz="6" w:space="0" w:color="C0C0C0"/>
            </w:tcBorders>
          </w:tcPr>
          <w:p w:rsidR="00EC0F9E" w:rsidRPr="002C0F92" w:rsidRDefault="00EC0F9E" w:rsidP="00B750B6">
            <w:pPr>
              <w:pStyle w:val="Header"/>
              <w:tabs>
                <w:tab w:val="left" w:pos="284"/>
              </w:tabs>
              <w:rPr>
                <w:rFonts w:cs="Arial"/>
                <w:sz w:val="22"/>
              </w:rPr>
            </w:pPr>
            <w:r w:rsidRPr="002C0F92">
              <w:rPr>
                <w:rFonts w:cs="Arial"/>
                <w:sz w:val="22"/>
              </w:rPr>
              <w:t>Slučajna povreda, fraktura, abrazija</w:t>
            </w:r>
          </w:p>
        </w:tc>
      </w:tr>
      <w:tr w:rsidR="00EC0F9E" w:rsidRPr="00DF7E28">
        <w:tblPrEx>
          <w:tblCellMar>
            <w:top w:w="0" w:type="dxa"/>
            <w:bottom w:w="0" w:type="dxa"/>
          </w:tblCellMar>
        </w:tblPrEx>
        <w:trPr>
          <w:cantSplit/>
          <w:trHeight w:val="1145"/>
        </w:trPr>
        <w:tc>
          <w:tcPr>
            <w:tcW w:w="10188" w:type="dxa"/>
            <w:gridSpan w:val="6"/>
            <w:vAlign w:val="center"/>
          </w:tcPr>
          <w:p w:rsidR="00EC0F9E" w:rsidRPr="001A331D" w:rsidRDefault="00EC0F9E" w:rsidP="00B750B6">
            <w:pPr>
              <w:pStyle w:val="Header"/>
              <w:tabs>
                <w:tab w:val="left" w:pos="284"/>
              </w:tabs>
              <w:rPr>
                <w:rFonts w:cs="Arial"/>
                <w:sz w:val="22"/>
                <w:lang w:val="sr-Latn-CS"/>
              </w:rPr>
            </w:pPr>
          </w:p>
          <w:p w:rsidR="00EC0F9E" w:rsidRPr="001A331D" w:rsidRDefault="00EC0F9E" w:rsidP="00B750B6">
            <w:pPr>
              <w:pStyle w:val="Header"/>
              <w:tabs>
                <w:tab w:val="left" w:pos="284"/>
              </w:tabs>
              <w:rPr>
                <w:rFonts w:cs="Arial"/>
                <w:sz w:val="22"/>
                <w:lang w:val="sr-Latn-CS"/>
              </w:rPr>
            </w:pPr>
          </w:p>
          <w:p w:rsidR="00EC0F9E" w:rsidRPr="001A331D" w:rsidRDefault="00EC0F9E" w:rsidP="00B750B6">
            <w:pPr>
              <w:pStyle w:val="Header"/>
              <w:tabs>
                <w:tab w:val="left" w:pos="284"/>
              </w:tabs>
              <w:rPr>
                <w:rFonts w:cs="Arial"/>
                <w:sz w:val="22"/>
                <w:lang w:val="sr-Latn-CS"/>
              </w:rPr>
            </w:pPr>
            <w:r w:rsidRPr="001A331D">
              <w:rPr>
                <w:rFonts w:cs="Arial"/>
                <w:sz w:val="22"/>
                <w:lang w:val="sr-Latn-CS"/>
              </w:rPr>
              <w:t xml:space="preserve">Tokom terapije gabapentinom zabilježeni su slučajevi akutnog pankreatitisa. Uzročna veza sa gabapentinom nije jasna (vidjeti odeljak 4.4). </w:t>
            </w:r>
            <w:r w:rsidRPr="001A331D">
              <w:rPr>
                <w:rFonts w:cs="Arial"/>
                <w:sz w:val="22"/>
                <w:lang w:val="sr-Latn-CS"/>
              </w:rPr>
              <w:cr/>
              <w:t xml:space="preserve">Kod pacijenata na hemodijalizi zbog terminalne bubrežne insuficijencije zabilježena je miopatija sa povišenim nivoima kreatinin kinaze. </w:t>
            </w:r>
            <w:r w:rsidRPr="001A331D">
              <w:rPr>
                <w:rFonts w:cs="Arial"/>
                <w:sz w:val="22"/>
                <w:lang w:val="sr-Latn-CS"/>
              </w:rPr>
              <w:cr/>
              <w:t>Infekcije respiratornog trakta, otitis media, konvulzije i bronhitis zabilježeni su samo u kliničkim studijama kod dijece. Osim toga, u kliničkim studijama sprovedenim kod dijece, često je bilježeno agresivno ponašanje.</w:t>
            </w:r>
          </w:p>
          <w:p w:rsidR="00EC0F9E" w:rsidRPr="001A331D" w:rsidRDefault="00EC0F9E" w:rsidP="00B750B6">
            <w:pPr>
              <w:pStyle w:val="Header"/>
              <w:tabs>
                <w:tab w:val="left" w:pos="284"/>
              </w:tabs>
              <w:rPr>
                <w:rFonts w:cs="Arial"/>
                <w:sz w:val="22"/>
                <w:lang w:val="sr-Latn-CS"/>
              </w:rPr>
            </w:pP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4.9. Predoziranje</w:t>
            </w:r>
          </w:p>
        </w:tc>
      </w:tr>
      <w:tr w:rsidR="00EC0F9E" w:rsidRPr="001A331D">
        <w:tblPrEx>
          <w:tblCellMar>
            <w:top w:w="0" w:type="dxa"/>
            <w:bottom w:w="0" w:type="dxa"/>
          </w:tblCellMar>
        </w:tblPrEx>
        <w:trPr>
          <w:cantSplit/>
          <w:trHeight w:val="1145"/>
        </w:trPr>
        <w:tc>
          <w:tcPr>
            <w:tcW w:w="10188" w:type="dxa"/>
            <w:gridSpan w:val="6"/>
            <w:vAlign w:val="center"/>
          </w:tcPr>
          <w:p w:rsidR="00EC0F9E" w:rsidRPr="001A331D" w:rsidRDefault="00EC0F9E" w:rsidP="00B750B6">
            <w:pPr>
              <w:pStyle w:val="Header"/>
              <w:tabs>
                <w:tab w:val="left" w:pos="284"/>
              </w:tabs>
              <w:rPr>
                <w:rFonts w:cs="Arial"/>
                <w:sz w:val="22"/>
              </w:rPr>
            </w:pPr>
            <w:r w:rsidRPr="001A331D">
              <w:rPr>
                <w:rFonts w:cs="Arial"/>
                <w:sz w:val="22"/>
              </w:rPr>
              <w:t>Akutna, po život opasna toksičnost nije zab</w:t>
            </w:r>
            <w:r>
              <w:rPr>
                <w:rFonts w:cs="Arial"/>
                <w:sz w:val="22"/>
              </w:rPr>
              <w:t>i</w:t>
            </w:r>
            <w:r w:rsidRPr="001A331D">
              <w:rPr>
                <w:rFonts w:cs="Arial"/>
                <w:sz w:val="22"/>
              </w:rPr>
              <w:t>l</w:t>
            </w:r>
            <w:r>
              <w:rPr>
                <w:rFonts w:cs="Arial"/>
                <w:sz w:val="22"/>
              </w:rPr>
              <w:t>j</w:t>
            </w:r>
            <w:r w:rsidRPr="001A331D">
              <w:rPr>
                <w:rFonts w:cs="Arial"/>
                <w:sz w:val="22"/>
              </w:rPr>
              <w:t>ežena pri prim</w:t>
            </w:r>
            <w:r>
              <w:rPr>
                <w:rFonts w:cs="Arial"/>
                <w:sz w:val="22"/>
              </w:rPr>
              <w:t>j</w:t>
            </w:r>
            <w:r w:rsidRPr="001A331D">
              <w:rPr>
                <w:rFonts w:cs="Arial"/>
                <w:sz w:val="22"/>
              </w:rPr>
              <w:t>eni prekom</w:t>
            </w:r>
            <w:r>
              <w:rPr>
                <w:rFonts w:cs="Arial"/>
                <w:sz w:val="22"/>
              </w:rPr>
              <w:t>j</w:t>
            </w:r>
            <w:r w:rsidRPr="001A331D">
              <w:rPr>
                <w:rFonts w:cs="Arial"/>
                <w:sz w:val="22"/>
              </w:rPr>
              <w:t>ernih doza gabapentina do 49 grama. Simptomi predoziranja uključuju vrtoglavicu, dvostruki vid, nerazgov</w:t>
            </w:r>
            <w:r>
              <w:rPr>
                <w:rFonts w:cs="Arial"/>
                <w:sz w:val="22"/>
              </w:rPr>
              <w:t>j</w:t>
            </w:r>
            <w:r w:rsidRPr="001A331D">
              <w:rPr>
                <w:rFonts w:cs="Arial"/>
                <w:sz w:val="22"/>
              </w:rPr>
              <w:t>etan govor, pospanost, letargiju i blagu dijareju. Svi pacijenti su se potpuno opravili zahvaljujući potpornoj terapiji. Smanjena apsorpcija gabapentina pri prim</w:t>
            </w:r>
            <w:r>
              <w:rPr>
                <w:rFonts w:cs="Arial"/>
                <w:sz w:val="22"/>
              </w:rPr>
              <w:t>j</w:t>
            </w:r>
            <w:r w:rsidRPr="001A331D">
              <w:rPr>
                <w:rFonts w:cs="Arial"/>
                <w:sz w:val="22"/>
              </w:rPr>
              <w:t>eni viših doza može da ograniči apsorpciju l</w:t>
            </w:r>
            <w:r>
              <w:rPr>
                <w:rFonts w:cs="Arial"/>
                <w:sz w:val="22"/>
              </w:rPr>
              <w:t>ij</w:t>
            </w:r>
            <w:r w:rsidRPr="001A331D">
              <w:rPr>
                <w:rFonts w:cs="Arial"/>
                <w:sz w:val="22"/>
              </w:rPr>
              <w:t>eka u momentu predoziranja i tako svede na minimum toksičnost usled prekom</w:t>
            </w:r>
            <w:r>
              <w:rPr>
                <w:rFonts w:cs="Arial"/>
                <w:sz w:val="22"/>
              </w:rPr>
              <w:t>j</w:t>
            </w:r>
            <w:r w:rsidRPr="001A331D">
              <w:rPr>
                <w:rFonts w:cs="Arial"/>
                <w:sz w:val="22"/>
              </w:rPr>
              <w:t xml:space="preserve">ernih doza. </w:t>
            </w:r>
            <w:r w:rsidRPr="001A331D">
              <w:rPr>
                <w:rFonts w:cs="Arial"/>
                <w:sz w:val="22"/>
              </w:rPr>
              <w:cr/>
              <w:t>Prekom</w:t>
            </w:r>
            <w:r>
              <w:rPr>
                <w:rFonts w:cs="Arial"/>
                <w:sz w:val="22"/>
              </w:rPr>
              <w:t>j</w:t>
            </w:r>
            <w:r w:rsidRPr="001A331D">
              <w:rPr>
                <w:rFonts w:cs="Arial"/>
                <w:sz w:val="22"/>
              </w:rPr>
              <w:t>erne doze gabapentina, posebno u kombinaciji sa drugim l</w:t>
            </w:r>
            <w:r>
              <w:rPr>
                <w:rFonts w:cs="Arial"/>
                <w:sz w:val="22"/>
              </w:rPr>
              <w:t>ij</w:t>
            </w:r>
            <w:r w:rsidRPr="001A331D">
              <w:rPr>
                <w:rFonts w:cs="Arial"/>
                <w:sz w:val="22"/>
              </w:rPr>
              <w:t xml:space="preserve">ekovima koji dovode do depresije CNS-a mogu da dovedu do kome. </w:t>
            </w:r>
            <w:r w:rsidRPr="001A331D">
              <w:rPr>
                <w:rFonts w:cs="Arial"/>
                <w:sz w:val="22"/>
              </w:rPr>
              <w:cr/>
              <w:t xml:space="preserve">Iako se gabapentin može eliminisati hemodijalizom, na osnovu prethodnog iskustva ona obično nije potrebna. Međutim, kod pacijenata sa teškim oštećenjem bubrega, hemodijaliza  može da bude indikovana. </w:t>
            </w:r>
            <w:r w:rsidRPr="001A331D">
              <w:rPr>
                <w:rFonts w:cs="Arial"/>
                <w:sz w:val="22"/>
              </w:rPr>
              <w:cr/>
              <w:t>Oralna letalna doza gabapentina nije utvrđena kod miševa i pacova koji su dobijali doze od čak 8000 mg/kg. Znaci akutne toksičnosti kod životinja uključuju ataksiju, otežano disanje, ptozu, hipoaktivnost ili ekscitaciju.</w:t>
            </w:r>
          </w:p>
          <w:p w:rsidR="00EC0F9E" w:rsidRPr="001A331D" w:rsidRDefault="00EC0F9E" w:rsidP="00B750B6">
            <w:pPr>
              <w:pStyle w:val="Header"/>
              <w:tabs>
                <w:tab w:val="left" w:pos="284"/>
              </w:tabs>
              <w:rPr>
                <w:rFonts w:cs="Arial"/>
                <w:sz w:val="22"/>
                <w:szCs w:val="22"/>
                <w:lang w:val="sr-Latn-CS"/>
              </w:rPr>
            </w:pPr>
          </w:p>
        </w:tc>
      </w:tr>
      <w:tr w:rsidR="00EC0F9E">
        <w:tblPrEx>
          <w:tblCellMar>
            <w:top w:w="0" w:type="dxa"/>
            <w:bottom w:w="0" w:type="dxa"/>
          </w:tblCellMar>
        </w:tblPrEx>
        <w:trPr>
          <w:cantSplit/>
        </w:trPr>
        <w:tc>
          <w:tcPr>
            <w:tcW w:w="10188" w:type="dxa"/>
            <w:gridSpan w:val="6"/>
            <w:shd w:val="clear" w:color="auto" w:fill="E0E0E0"/>
            <w:vAlign w:val="center"/>
          </w:tcPr>
          <w:p w:rsidR="00EC0F9E" w:rsidRDefault="00EC0F9E" w:rsidP="00B750B6">
            <w:pPr>
              <w:pStyle w:val="Header"/>
              <w:tabs>
                <w:tab w:val="left" w:pos="284"/>
              </w:tabs>
              <w:rPr>
                <w:rFonts w:cs="Arial"/>
                <w:b/>
                <w:bCs/>
                <w:sz w:val="22"/>
              </w:rPr>
            </w:pPr>
            <w:r>
              <w:rPr>
                <w:rFonts w:cs="Arial"/>
                <w:b/>
                <w:bCs/>
                <w:sz w:val="22"/>
              </w:rPr>
              <w:t>5. FARMAKOLOŠKI PODACI</w:t>
            </w: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5.1. Farmakodinamski podaci</w:t>
            </w:r>
          </w:p>
        </w:tc>
      </w:tr>
      <w:tr w:rsidR="00EC0F9E">
        <w:tblPrEx>
          <w:tblCellMar>
            <w:top w:w="0" w:type="dxa"/>
            <w:bottom w:w="0" w:type="dxa"/>
          </w:tblCellMar>
        </w:tblPrEx>
        <w:trPr>
          <w:cantSplit/>
          <w:trHeight w:val="576"/>
        </w:trPr>
        <w:tc>
          <w:tcPr>
            <w:tcW w:w="2808" w:type="dxa"/>
            <w:gridSpan w:val="3"/>
            <w:vAlign w:val="center"/>
          </w:tcPr>
          <w:p w:rsidR="00EC0F9E" w:rsidRDefault="00EC0F9E" w:rsidP="00B750B6">
            <w:pPr>
              <w:pStyle w:val="Header"/>
              <w:tabs>
                <w:tab w:val="left" w:pos="284"/>
              </w:tabs>
              <w:rPr>
                <w:rFonts w:cs="Arial"/>
                <w:b/>
                <w:bCs/>
                <w:sz w:val="22"/>
              </w:rPr>
            </w:pPr>
            <w:r>
              <w:rPr>
                <w:rFonts w:cs="Arial"/>
                <w:b/>
                <w:bCs/>
                <w:sz w:val="22"/>
              </w:rPr>
              <w:t>Farmakoterapijska grupa:</w:t>
            </w:r>
          </w:p>
        </w:tc>
        <w:tc>
          <w:tcPr>
            <w:tcW w:w="7380" w:type="dxa"/>
            <w:gridSpan w:val="3"/>
            <w:vAlign w:val="center"/>
          </w:tcPr>
          <w:p w:rsidR="00EC0F9E" w:rsidRDefault="00EC0F9E" w:rsidP="00B750B6">
            <w:pPr>
              <w:pStyle w:val="Header"/>
              <w:tabs>
                <w:tab w:val="left" w:pos="284"/>
              </w:tabs>
              <w:rPr>
                <w:rFonts w:cs="Arial"/>
                <w:sz w:val="22"/>
              </w:rPr>
            </w:pPr>
            <w:r w:rsidRPr="00767871">
              <w:rPr>
                <w:rFonts w:cs="Arial"/>
                <w:sz w:val="22"/>
              </w:rPr>
              <w:t>Ostali antiepileptici</w:t>
            </w:r>
          </w:p>
        </w:tc>
      </w:tr>
      <w:tr w:rsidR="00EC0F9E">
        <w:tblPrEx>
          <w:tblCellMar>
            <w:top w:w="0" w:type="dxa"/>
            <w:bottom w:w="0" w:type="dxa"/>
          </w:tblCellMar>
        </w:tblPrEx>
        <w:trPr>
          <w:cantSplit/>
          <w:trHeight w:val="542"/>
        </w:trPr>
        <w:tc>
          <w:tcPr>
            <w:tcW w:w="1188" w:type="dxa"/>
            <w:gridSpan w:val="2"/>
            <w:vAlign w:val="center"/>
          </w:tcPr>
          <w:p w:rsidR="00EC0F9E" w:rsidRDefault="00EC0F9E" w:rsidP="00B750B6">
            <w:pPr>
              <w:pStyle w:val="Header"/>
              <w:tabs>
                <w:tab w:val="left" w:pos="284"/>
              </w:tabs>
              <w:rPr>
                <w:rFonts w:cs="Arial"/>
                <w:b/>
                <w:bCs/>
                <w:sz w:val="22"/>
              </w:rPr>
            </w:pPr>
            <w:r>
              <w:rPr>
                <w:rFonts w:cs="Arial"/>
                <w:b/>
                <w:bCs/>
                <w:sz w:val="22"/>
              </w:rPr>
              <w:t>ATC kod:</w:t>
            </w:r>
          </w:p>
        </w:tc>
        <w:tc>
          <w:tcPr>
            <w:tcW w:w="9000" w:type="dxa"/>
            <w:gridSpan w:val="4"/>
            <w:vAlign w:val="center"/>
          </w:tcPr>
          <w:p w:rsidR="00EC0F9E" w:rsidRDefault="00EC0F9E" w:rsidP="00B750B6">
            <w:pPr>
              <w:pStyle w:val="Header"/>
              <w:tabs>
                <w:tab w:val="left" w:pos="284"/>
              </w:tabs>
              <w:rPr>
                <w:rFonts w:cs="Arial"/>
                <w:sz w:val="22"/>
              </w:rPr>
            </w:pPr>
            <w:r>
              <w:rPr>
                <w:rFonts w:cs="Arial"/>
                <w:sz w:val="22"/>
              </w:rPr>
              <w:t>N03AX12</w:t>
            </w:r>
          </w:p>
        </w:tc>
      </w:tr>
      <w:tr w:rsidR="00EC0F9E" w:rsidRPr="009478B4">
        <w:tblPrEx>
          <w:tblCellMar>
            <w:top w:w="0" w:type="dxa"/>
            <w:bottom w:w="0" w:type="dxa"/>
          </w:tblCellMar>
        </w:tblPrEx>
        <w:trPr>
          <w:cantSplit/>
          <w:trHeight w:val="1145"/>
        </w:trPr>
        <w:tc>
          <w:tcPr>
            <w:tcW w:w="10188" w:type="dxa"/>
            <w:gridSpan w:val="6"/>
            <w:vAlign w:val="center"/>
          </w:tcPr>
          <w:p w:rsidR="00EC0F9E" w:rsidRPr="00175A88" w:rsidRDefault="00EC0F9E" w:rsidP="00B750B6">
            <w:pPr>
              <w:pStyle w:val="Header"/>
              <w:tabs>
                <w:tab w:val="left" w:pos="284"/>
              </w:tabs>
              <w:rPr>
                <w:rFonts w:cs="Arial"/>
                <w:sz w:val="22"/>
              </w:rPr>
            </w:pPr>
            <w:r w:rsidRPr="00175A88">
              <w:rPr>
                <w:rFonts w:cs="Arial"/>
                <w:sz w:val="22"/>
              </w:rPr>
              <w:lastRenderedPageBreak/>
              <w:t>Precizni mehanizam d</w:t>
            </w:r>
            <w:r>
              <w:rPr>
                <w:rFonts w:cs="Arial"/>
                <w:sz w:val="22"/>
              </w:rPr>
              <w:t xml:space="preserve">jelovanja gabapentina </w:t>
            </w:r>
            <w:r w:rsidRPr="00175A88">
              <w:rPr>
                <w:rFonts w:cs="Arial"/>
                <w:sz w:val="22"/>
              </w:rPr>
              <w:t xml:space="preserve">nije poznat. </w:t>
            </w:r>
            <w:r w:rsidRPr="00175A88">
              <w:rPr>
                <w:rFonts w:cs="Arial"/>
                <w:sz w:val="22"/>
              </w:rPr>
              <w:cr/>
              <w:t>Gabapentin je strukturno srodan sa neurotransmiterom GABA (gama-aminobut</w:t>
            </w:r>
            <w:r>
              <w:rPr>
                <w:rFonts w:cs="Arial"/>
                <w:sz w:val="22"/>
              </w:rPr>
              <w:t xml:space="preserve">erna kiselina), </w:t>
            </w:r>
            <w:r w:rsidRPr="00175A88">
              <w:rPr>
                <w:rFonts w:cs="Arial"/>
                <w:sz w:val="22"/>
              </w:rPr>
              <w:t>ali se njegov mehanizam d</w:t>
            </w:r>
            <w:r>
              <w:rPr>
                <w:rFonts w:cs="Arial"/>
                <w:sz w:val="22"/>
              </w:rPr>
              <w:t>j</w:t>
            </w:r>
            <w:r w:rsidRPr="00175A88">
              <w:rPr>
                <w:rFonts w:cs="Arial"/>
                <w:sz w:val="22"/>
              </w:rPr>
              <w:t>elovanja razlikuje od onog koji ima nekoliko drugih aktivnih supstanci koje utiču na GABA sinapse, uključujući valproat, barbiturate, benzodijazepine, inhibitore GABA transaminaze, inhibitore preuzimanja GABA, agoniste GABA i prolekove GABA. In vitro studije sa radio-obeleženim gabapentinom su omogućile karakterizaciju jednog novog mesta v</w:t>
            </w:r>
            <w:r>
              <w:rPr>
                <w:rFonts w:cs="Arial"/>
                <w:sz w:val="22"/>
              </w:rPr>
              <w:t>j</w:t>
            </w:r>
            <w:r w:rsidRPr="00175A88">
              <w:rPr>
                <w:rFonts w:cs="Arial"/>
                <w:sz w:val="22"/>
              </w:rPr>
              <w:t xml:space="preserve">ezivanja peptida u tkivima pacova, uključujući neokorteks i hipokampus, koje bi moglo da bude u vezi sa antikonvulzivnom i analgetičkom aktivnošću gabapentina i njegovih strukturnih derivata. </w:t>
            </w:r>
            <w:r w:rsidRPr="00175A88">
              <w:rPr>
                <w:rFonts w:cs="Arial"/>
                <w:sz w:val="22"/>
              </w:rPr>
              <w:cr/>
              <w:t>Ovo m</w:t>
            </w:r>
            <w:r>
              <w:rPr>
                <w:rFonts w:cs="Arial"/>
                <w:sz w:val="22"/>
              </w:rPr>
              <w:t>ij</w:t>
            </w:r>
            <w:r w:rsidRPr="00175A88">
              <w:rPr>
                <w:rFonts w:cs="Arial"/>
                <w:sz w:val="22"/>
              </w:rPr>
              <w:t xml:space="preserve">esto vezivanja gabapentina je identifikovano kao alfa2-delta podjedinica voltažno-zavisnih kalcijumovih kanala. </w:t>
            </w:r>
            <w:r w:rsidRPr="00175A88">
              <w:rPr>
                <w:rFonts w:cs="Arial"/>
                <w:sz w:val="22"/>
              </w:rPr>
              <w:cr/>
              <w:t>Gabapentin se pri kliničkim relevantnim koncentracijama ne vezuje za druge zajedničke receptore l</w:t>
            </w:r>
            <w:r>
              <w:rPr>
                <w:rFonts w:cs="Arial"/>
                <w:sz w:val="22"/>
              </w:rPr>
              <w:t>ij</w:t>
            </w:r>
            <w:r w:rsidRPr="00175A88">
              <w:rPr>
                <w:rFonts w:cs="Arial"/>
                <w:sz w:val="22"/>
              </w:rPr>
              <w:t>ekova ili neurotransmitera u mozgu, uključujući receptore za GABAA, GABAB, benzodijazepin</w:t>
            </w:r>
            <w:r>
              <w:rPr>
                <w:rFonts w:cs="Arial"/>
                <w:sz w:val="22"/>
              </w:rPr>
              <w:t>e</w:t>
            </w:r>
            <w:r w:rsidRPr="00175A88">
              <w:rPr>
                <w:rFonts w:cs="Arial"/>
                <w:sz w:val="22"/>
              </w:rPr>
              <w:t>, glutamat</w:t>
            </w:r>
            <w:r>
              <w:rPr>
                <w:rFonts w:cs="Arial"/>
                <w:sz w:val="22"/>
              </w:rPr>
              <w:t>e</w:t>
            </w:r>
            <w:r w:rsidRPr="00175A88">
              <w:rPr>
                <w:rFonts w:cs="Arial"/>
                <w:sz w:val="22"/>
              </w:rPr>
              <w:t>, glicin ili N-metil-d-aspartat.</w:t>
            </w:r>
            <w:r w:rsidRPr="00175A88">
              <w:rPr>
                <w:rFonts w:cs="Arial"/>
                <w:sz w:val="22"/>
              </w:rPr>
              <w:cr/>
              <w:t>Gabapentin ne stupa u interakciju sa natrijumovim kanalima in vitro i po tome se razlikuje od fenitoina i karbamazepina. Gabapentin</w:t>
            </w:r>
            <w:r w:rsidRPr="006E64C7">
              <w:rPr>
                <w:sz w:val="22"/>
                <w:szCs w:val="22"/>
                <w:lang w:val="sr-Latn-CS"/>
              </w:rPr>
              <w:t xml:space="preserve"> </w:t>
            </w:r>
            <w:r w:rsidRPr="00175A88">
              <w:rPr>
                <w:rFonts w:cs="Arial"/>
                <w:sz w:val="22"/>
              </w:rPr>
              <w:t xml:space="preserve">parcijalno smanjuje odgovore na agonist glutamata N-metil-D-aspartat (NMDA) u nekim  in vitro test sistemima, ali samo u koncentracijama višim od 100 μM, koje se ne dostižu in vivo. Gabapentin blago smanjuje oslobađanje neurotransmitera monoamina in vitro. </w:t>
            </w:r>
            <w:r>
              <w:rPr>
                <w:rFonts w:cs="Arial"/>
                <w:sz w:val="22"/>
              </w:rPr>
              <w:t>Primjena g</w:t>
            </w:r>
            <w:r w:rsidRPr="00175A88">
              <w:rPr>
                <w:rFonts w:cs="Arial"/>
                <w:sz w:val="22"/>
              </w:rPr>
              <w:t>abapentina kod pacova povećava promet GABA u nekoliko moždanih regiona na način sličan natrijum</w:t>
            </w:r>
            <w:r>
              <w:rPr>
                <w:rFonts w:cs="Arial"/>
                <w:sz w:val="22"/>
              </w:rPr>
              <w:t>-</w:t>
            </w:r>
            <w:r w:rsidRPr="00175A88">
              <w:rPr>
                <w:rFonts w:cs="Arial"/>
                <w:sz w:val="22"/>
              </w:rPr>
              <w:t>valproatu, mada u različitim regionima mozga. Relevantnost ovih različitih uticaja gabapentina na antikonvulzivna dejstva  tek treba ustanoviti. Kod životinja, gabapentin lako ulazi u mozak i sprečava konvulzije usled maksimalnog elektroš</w:t>
            </w:r>
            <w:r>
              <w:rPr>
                <w:rFonts w:cs="Arial"/>
                <w:sz w:val="22"/>
              </w:rPr>
              <w:t>o</w:t>
            </w:r>
            <w:r w:rsidRPr="00175A88">
              <w:rPr>
                <w:rFonts w:cs="Arial"/>
                <w:sz w:val="22"/>
              </w:rPr>
              <w:t xml:space="preserve">ka, hemijskih konvulzanata, uključujući inhibitore sinteze GABA kao i kod genetskih modela konvulzija. </w:t>
            </w:r>
            <w:r w:rsidRPr="00175A88">
              <w:rPr>
                <w:rFonts w:cs="Arial"/>
                <w:sz w:val="22"/>
              </w:rPr>
              <w:cr/>
              <w:t>Jedna klinička studija u kojoj je ispitivana kombinovana terapija parcijalnih konvulzija kod pedijatrijskih ispitanika čija se starost kretala od 3 do 12 godina pokazala je numeričku</w:t>
            </w:r>
            <w:r>
              <w:rPr>
                <w:rFonts w:cs="Arial"/>
                <w:sz w:val="22"/>
              </w:rPr>
              <w:t>,</w:t>
            </w:r>
            <w:r w:rsidRPr="00175A88">
              <w:rPr>
                <w:rFonts w:cs="Arial"/>
                <w:sz w:val="22"/>
              </w:rPr>
              <w:t xml:space="preserve"> ali ne i statistički značajnu razliku u 50% stopi onih koji su odgovorili na tretman u korist grupe koja je dobijala gabapentin u odnosu na grupu koja je dobijala placebo. Dodatne post-hoc analize stopa onih koji su odgovorili po starosti nije otkrila bilo kakav značajniji uticaj starosti kao kontinuirane ili dihotomne promenljive  (starosne grupe od 3-5 i 6-12 godina). </w:t>
            </w:r>
            <w:r w:rsidRPr="00175A88">
              <w:rPr>
                <w:rFonts w:cs="Arial"/>
                <w:sz w:val="22"/>
              </w:rPr>
              <w:cr/>
              <w:t xml:space="preserve">Podaci iz ove dodatne post-hoc analize su ukratko dati u donjoj tabeli: </w:t>
            </w:r>
          </w:p>
          <w:p w:rsidR="00EC0F9E" w:rsidRPr="009478B4" w:rsidRDefault="00EC0F9E" w:rsidP="00B750B6">
            <w:pPr>
              <w:pStyle w:val="Header"/>
              <w:tabs>
                <w:tab w:val="left" w:pos="284"/>
              </w:tabs>
              <w:rPr>
                <w:rFonts w:cs="Arial"/>
                <w:sz w:val="22"/>
                <w:szCs w:val="22"/>
              </w:rPr>
            </w:pPr>
          </w:p>
        </w:tc>
      </w:tr>
      <w:tr w:rsidR="00EC0F9E">
        <w:tblPrEx>
          <w:tblCellMar>
            <w:top w:w="0" w:type="dxa"/>
            <w:bottom w:w="0" w:type="dxa"/>
          </w:tblCellMar>
        </w:tblPrEx>
        <w:trPr>
          <w:cantSplit/>
          <w:trHeight w:val="2588"/>
        </w:trPr>
        <w:tc>
          <w:tcPr>
            <w:tcW w:w="10188" w:type="dxa"/>
            <w:gridSpan w:val="6"/>
            <w:vAlign w:val="center"/>
          </w:tcPr>
          <w:p w:rsidR="00EC0F9E" w:rsidRDefault="00EC0F9E" w:rsidP="00B750B6"/>
          <w:tbl>
            <w:tblPr>
              <w:tblW w:w="0" w:type="auto"/>
              <w:tblInd w:w="8" w:type="dxa"/>
              <w:tblLayout w:type="fixed"/>
              <w:tblCellMar>
                <w:left w:w="0" w:type="dxa"/>
                <w:right w:w="0" w:type="dxa"/>
              </w:tblCellMar>
              <w:tblLook w:val="0000" w:firstRow="0" w:lastRow="0" w:firstColumn="0" w:lastColumn="0" w:noHBand="0" w:noVBand="0"/>
            </w:tblPr>
            <w:tblGrid>
              <w:gridCol w:w="2160"/>
              <w:gridCol w:w="2160"/>
              <w:gridCol w:w="2160"/>
              <w:gridCol w:w="2160"/>
            </w:tblGrid>
            <w:tr w:rsidR="00EC0F9E" w:rsidRPr="006E64C7">
              <w:tblPrEx>
                <w:tblCellMar>
                  <w:top w:w="0" w:type="dxa"/>
                  <w:left w:w="0" w:type="dxa"/>
                  <w:bottom w:w="0" w:type="dxa"/>
                  <w:right w:w="0" w:type="dxa"/>
                </w:tblCellMar>
              </w:tblPrEx>
              <w:tc>
                <w:tcPr>
                  <w:tcW w:w="8640" w:type="dxa"/>
                  <w:gridSpan w:val="4"/>
                  <w:tcBorders>
                    <w:top w:val="single" w:sz="6" w:space="0" w:color="C0C0C0"/>
                    <w:left w:val="single" w:sz="6" w:space="0" w:color="C0C0C0"/>
                    <w:bottom w:val="single" w:sz="6" w:space="0" w:color="C0C0C0"/>
                    <w:right w:val="single" w:sz="6" w:space="0" w:color="C0C0C0"/>
                  </w:tcBorders>
                </w:tcPr>
                <w:p w:rsidR="00EC0F9E" w:rsidRPr="00952F06" w:rsidRDefault="00EC0F9E" w:rsidP="00B750B6">
                  <w:pPr>
                    <w:rPr>
                      <w:rFonts w:cs="Arial"/>
                      <w:sz w:val="22"/>
                      <w:lang w:val="sv-SE"/>
                    </w:rPr>
                  </w:pPr>
                  <w:r w:rsidRPr="00952F06">
                    <w:rPr>
                      <w:rFonts w:cs="Arial"/>
                      <w:sz w:val="22"/>
                      <w:lang w:val="sv-SE"/>
                    </w:rPr>
                    <w:t>Odgovor (50% poboljšan) prema tretmanu i starosti MITT* populacije</w:t>
                  </w:r>
                </w:p>
              </w:tc>
            </w:tr>
            <w:tr w:rsidR="00EC0F9E" w:rsidRPr="006E64C7">
              <w:tblPrEx>
                <w:tblCellMar>
                  <w:top w:w="0" w:type="dxa"/>
                  <w:left w:w="0" w:type="dxa"/>
                  <w:bottom w:w="0" w:type="dxa"/>
                  <w:right w:w="0" w:type="dxa"/>
                </w:tblCellMar>
              </w:tblPrEx>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Starosna kategorija  </w:t>
                  </w:r>
                </w:p>
              </w:tc>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Placebo</w:t>
                  </w:r>
                </w:p>
              </w:tc>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Gabapentin</w:t>
                  </w:r>
                </w:p>
              </w:tc>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P-vrednost</w:t>
                  </w:r>
                </w:p>
              </w:tc>
            </w:tr>
            <w:tr w:rsidR="00EC0F9E" w:rsidRPr="006E64C7">
              <w:tblPrEx>
                <w:tblCellMar>
                  <w:top w:w="0" w:type="dxa"/>
                  <w:left w:w="0" w:type="dxa"/>
                  <w:bottom w:w="0" w:type="dxa"/>
                  <w:right w:w="0" w:type="dxa"/>
                </w:tblCellMar>
              </w:tblPrEx>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Stari &lt; 6 godina  </w:t>
                  </w:r>
                </w:p>
              </w:tc>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4/21 (19.0%)</w:t>
                  </w:r>
                </w:p>
              </w:tc>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4/17 (23.5%)</w:t>
                  </w:r>
                </w:p>
              </w:tc>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0.7362</w:t>
                  </w:r>
                </w:p>
              </w:tc>
            </w:tr>
            <w:tr w:rsidR="00EC0F9E" w:rsidRPr="006E64C7">
              <w:tblPrEx>
                <w:tblCellMar>
                  <w:top w:w="0" w:type="dxa"/>
                  <w:left w:w="0" w:type="dxa"/>
                  <w:bottom w:w="0" w:type="dxa"/>
                  <w:right w:w="0" w:type="dxa"/>
                </w:tblCellMar>
              </w:tblPrEx>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Starost 6 do 12 godina </w:t>
                  </w:r>
                </w:p>
              </w:tc>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17/99 (17.2%)</w:t>
                  </w:r>
                </w:p>
              </w:tc>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20/96 (20.8%)</w:t>
                  </w:r>
                </w:p>
              </w:tc>
              <w:tc>
                <w:tcPr>
                  <w:tcW w:w="2160" w:type="dxa"/>
                  <w:tcBorders>
                    <w:top w:val="single" w:sz="6" w:space="0" w:color="C0C0C0"/>
                    <w:left w:val="single" w:sz="6" w:space="0" w:color="C0C0C0"/>
                    <w:bottom w:val="single" w:sz="6" w:space="0" w:color="C0C0C0"/>
                    <w:right w:val="single" w:sz="6" w:space="0" w:color="C0C0C0"/>
                  </w:tcBorders>
                </w:tcPr>
                <w:p w:rsidR="00EC0F9E" w:rsidRPr="00FA3980" w:rsidRDefault="00EC0F9E" w:rsidP="00B750B6">
                  <w:pPr>
                    <w:rPr>
                      <w:rFonts w:cs="Arial"/>
                      <w:sz w:val="22"/>
                    </w:rPr>
                  </w:pPr>
                  <w:r w:rsidRPr="00FA3980">
                    <w:rPr>
                      <w:rFonts w:cs="Arial"/>
                      <w:sz w:val="22"/>
                    </w:rPr>
                    <w:t>0.5144</w:t>
                  </w:r>
                </w:p>
              </w:tc>
            </w:tr>
          </w:tbl>
          <w:p w:rsidR="00EC0F9E" w:rsidRDefault="00EC0F9E" w:rsidP="00B750B6">
            <w:pPr>
              <w:pStyle w:val="Header"/>
              <w:tabs>
                <w:tab w:val="left" w:pos="284"/>
              </w:tabs>
              <w:rPr>
                <w:rFonts w:cs="Arial"/>
                <w:sz w:val="22"/>
                <w:szCs w:val="22"/>
              </w:rPr>
            </w:pPr>
          </w:p>
          <w:p w:rsidR="00EC0F9E" w:rsidRPr="002D02B7" w:rsidRDefault="00EC0F9E" w:rsidP="00B750B6">
            <w:pPr>
              <w:rPr>
                <w:rFonts w:cs="Arial"/>
                <w:sz w:val="22"/>
              </w:rPr>
            </w:pPr>
            <w:r w:rsidRPr="002D02B7">
              <w:rPr>
                <w:rFonts w:cs="Arial"/>
                <w:sz w:val="22"/>
              </w:rPr>
              <w:t>Modifikovana ITT (sa nam</w:t>
            </w:r>
            <w:r>
              <w:rPr>
                <w:rFonts w:cs="Arial"/>
                <w:sz w:val="22"/>
              </w:rPr>
              <w:t>j</w:t>
            </w:r>
            <w:r w:rsidRPr="002D02B7">
              <w:rPr>
                <w:rFonts w:cs="Arial"/>
                <w:sz w:val="22"/>
              </w:rPr>
              <w:t>erom da se l</w:t>
            </w:r>
            <w:r>
              <w:rPr>
                <w:rFonts w:cs="Arial"/>
                <w:sz w:val="22"/>
              </w:rPr>
              <w:t>ij</w:t>
            </w:r>
            <w:r w:rsidRPr="002D02B7">
              <w:rPr>
                <w:rFonts w:cs="Arial"/>
                <w:sz w:val="22"/>
              </w:rPr>
              <w:t>eči) populacija je definisana kao svi pacijenti koji su randomizovani u grupu koja dobija ispitivani l</w:t>
            </w:r>
            <w:r>
              <w:rPr>
                <w:rFonts w:cs="Arial"/>
                <w:sz w:val="22"/>
              </w:rPr>
              <w:t>ij</w:t>
            </w:r>
            <w:r w:rsidRPr="002D02B7">
              <w:rPr>
                <w:rFonts w:cs="Arial"/>
                <w:sz w:val="22"/>
              </w:rPr>
              <w:t>ek koja je takođe imala dnevnike napada koji su se mogli procenjivati i koji su bili na raspolaganju 28 dana kako tokom početne tako i tokom dvostruko sl</w:t>
            </w:r>
            <w:r>
              <w:rPr>
                <w:rFonts w:cs="Arial"/>
                <w:sz w:val="22"/>
              </w:rPr>
              <w:t>ij</w:t>
            </w:r>
            <w:r w:rsidRPr="002D02B7">
              <w:rPr>
                <w:rFonts w:cs="Arial"/>
                <w:sz w:val="22"/>
              </w:rPr>
              <w:t>epe faze.</w:t>
            </w:r>
            <w:r w:rsidRPr="002D02B7">
              <w:rPr>
                <w:rFonts w:cs="Arial"/>
                <w:sz w:val="22"/>
              </w:rPr>
              <w:cr/>
            </w:r>
          </w:p>
          <w:p w:rsidR="00EC0F9E" w:rsidRPr="007B4FC4" w:rsidRDefault="00EC0F9E" w:rsidP="00B750B6">
            <w:pPr>
              <w:pStyle w:val="Header"/>
              <w:tabs>
                <w:tab w:val="left" w:pos="284"/>
              </w:tabs>
              <w:rPr>
                <w:rFonts w:cs="Arial"/>
                <w:sz w:val="22"/>
                <w:szCs w:val="22"/>
              </w:rPr>
            </w:pP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5.2. Farmakokinetički podaci</w:t>
            </w:r>
          </w:p>
        </w:tc>
      </w:tr>
      <w:tr w:rsidR="00EC0F9E" w:rsidRPr="005E6DF6">
        <w:tblPrEx>
          <w:tblCellMar>
            <w:top w:w="0" w:type="dxa"/>
            <w:bottom w:w="0" w:type="dxa"/>
          </w:tblCellMar>
        </w:tblPrEx>
        <w:trPr>
          <w:cantSplit/>
          <w:trHeight w:val="1145"/>
        </w:trPr>
        <w:tc>
          <w:tcPr>
            <w:tcW w:w="10188" w:type="dxa"/>
            <w:gridSpan w:val="6"/>
            <w:vAlign w:val="center"/>
          </w:tcPr>
          <w:p w:rsidR="00EC0F9E" w:rsidRPr="005E6DF6" w:rsidRDefault="00EC0F9E" w:rsidP="00B750B6">
            <w:pPr>
              <w:pStyle w:val="Header"/>
              <w:tabs>
                <w:tab w:val="left" w:pos="284"/>
              </w:tabs>
              <w:rPr>
                <w:rFonts w:cs="Arial"/>
                <w:sz w:val="22"/>
              </w:rPr>
            </w:pPr>
            <w:r w:rsidRPr="00DF643C">
              <w:rPr>
                <w:rFonts w:cs="Arial"/>
                <w:sz w:val="22"/>
                <w:u w:val="single"/>
              </w:rPr>
              <w:lastRenderedPageBreak/>
              <w:t>Apsorpcija</w:t>
            </w:r>
            <w:r w:rsidRPr="005E6DF6">
              <w:rPr>
                <w:rFonts w:cs="Arial"/>
                <w:sz w:val="22"/>
              </w:rPr>
              <w:cr/>
              <w:t xml:space="preserve">Posle oralne </w:t>
            </w:r>
            <w:r>
              <w:rPr>
                <w:rFonts w:cs="Arial"/>
                <w:sz w:val="22"/>
              </w:rPr>
              <w:t>primjene</w:t>
            </w:r>
            <w:r w:rsidRPr="005E6DF6">
              <w:rPr>
                <w:rFonts w:cs="Arial"/>
                <w:sz w:val="22"/>
              </w:rPr>
              <w:t xml:space="preserve"> maksimalne koncentracije gabapentina u plazmi zab</w:t>
            </w:r>
            <w:r>
              <w:rPr>
                <w:rFonts w:cs="Arial"/>
                <w:sz w:val="22"/>
              </w:rPr>
              <w:t>ilje</w:t>
            </w:r>
            <w:r w:rsidRPr="005E6DF6">
              <w:rPr>
                <w:rFonts w:cs="Arial"/>
                <w:sz w:val="22"/>
              </w:rPr>
              <w:t xml:space="preserve">žene su u roku od 2 do 3 sata. Biološka raspoloživost gabapentina (frakcija apsorbovane doze) se smanjuje sa povećanjem doze. Apsolutna biološka raspoloživost kapsule od 300 mg je približno  60%. Hrana, uključujući i ishranu bogatu mastima, nema klinički značajan uticaj na farmakokinetiku gabapentina. </w:t>
            </w:r>
            <w:r w:rsidRPr="005E6DF6">
              <w:rPr>
                <w:rFonts w:cs="Arial"/>
                <w:sz w:val="22"/>
              </w:rPr>
              <w:cr/>
              <w:t xml:space="preserve">Ponovljena </w:t>
            </w:r>
            <w:r>
              <w:rPr>
                <w:rFonts w:cs="Arial"/>
                <w:sz w:val="22"/>
              </w:rPr>
              <w:t>primjena</w:t>
            </w:r>
            <w:r w:rsidRPr="005E6DF6">
              <w:rPr>
                <w:rFonts w:cs="Arial"/>
                <w:sz w:val="22"/>
              </w:rPr>
              <w:t xml:space="preserve"> ne utiče na farmakokinetiku gabapentina. Iako su se koncentracije gabapentina u plazmi u kliničkim studijama generalno kretale između 2 μg/ml i 20 μg/ml, takve koncentracije nisu bile prediktivne za bezbednost ili efikasnost. Farmakokinetički parametri su dati u Tabeli 3. </w:t>
            </w:r>
            <w:r w:rsidRPr="005E6DF6">
              <w:rPr>
                <w:rFonts w:cs="Arial"/>
                <w:sz w:val="22"/>
              </w:rPr>
              <w:cr/>
            </w:r>
            <w:r w:rsidRPr="005E6DF6">
              <w:rPr>
                <w:rFonts w:cs="Arial"/>
                <w:sz w:val="22"/>
              </w:rPr>
              <w:cr/>
              <w:t xml:space="preserve">Tabela 3: Kratak prikaz srednjih (% CV) farmakokinetičkih parametara gabapentina u stabilnom stanju posle svake </w:t>
            </w:r>
            <w:r>
              <w:rPr>
                <w:rFonts w:cs="Arial"/>
                <w:sz w:val="22"/>
              </w:rPr>
              <w:t>primjene</w:t>
            </w:r>
            <w:r w:rsidRPr="005E6DF6">
              <w:rPr>
                <w:rFonts w:cs="Arial"/>
                <w:sz w:val="22"/>
              </w:rPr>
              <w:t xml:space="preserve"> na osam sati </w:t>
            </w:r>
          </w:p>
          <w:tbl>
            <w:tblPr>
              <w:tblW w:w="8640" w:type="dxa"/>
              <w:tblInd w:w="8" w:type="dxa"/>
              <w:tblLayout w:type="fixed"/>
              <w:tblCellMar>
                <w:left w:w="0" w:type="dxa"/>
                <w:right w:w="0" w:type="dxa"/>
              </w:tblCellMar>
              <w:tblLook w:val="0000" w:firstRow="0" w:lastRow="0" w:firstColumn="0" w:lastColumn="0" w:noHBand="0" w:noVBand="0"/>
            </w:tblPr>
            <w:tblGrid>
              <w:gridCol w:w="1234"/>
              <w:gridCol w:w="1234"/>
              <w:gridCol w:w="1234"/>
              <w:gridCol w:w="1235"/>
              <w:gridCol w:w="1234"/>
              <w:gridCol w:w="1234"/>
              <w:gridCol w:w="1235"/>
            </w:tblGrid>
            <w:tr w:rsidR="00EC0F9E" w:rsidRPr="005E6DF6">
              <w:tblPrEx>
                <w:tblCellMar>
                  <w:top w:w="0" w:type="dxa"/>
                  <w:left w:w="0" w:type="dxa"/>
                  <w:bottom w:w="0" w:type="dxa"/>
                  <w:right w:w="0" w:type="dxa"/>
                </w:tblCellMar>
              </w:tblPrEx>
              <w:tc>
                <w:tcPr>
                  <w:tcW w:w="1234" w:type="dxa"/>
                  <w:tcBorders>
                    <w:top w:val="single" w:sz="6" w:space="0" w:color="C0C0C0"/>
                    <w:left w:val="single" w:sz="6" w:space="0" w:color="C0C0C0"/>
                    <w:bottom w:val="single" w:sz="6" w:space="0" w:color="C0C0C0"/>
                    <w:right w:val="single" w:sz="6" w:space="0" w:color="C0C0C0"/>
                  </w:tcBorders>
                </w:tcPr>
                <w:p w:rsidR="00EC0F9E" w:rsidRDefault="00EC0F9E" w:rsidP="00B750B6">
                  <w:pPr>
                    <w:pStyle w:val="Header"/>
                    <w:tabs>
                      <w:tab w:val="left" w:pos="284"/>
                    </w:tabs>
                    <w:rPr>
                      <w:rFonts w:cs="Arial"/>
                      <w:sz w:val="22"/>
                    </w:rPr>
                  </w:pPr>
                  <w:r w:rsidRPr="005E6DF6">
                    <w:rPr>
                      <w:rFonts w:cs="Arial"/>
                      <w:sz w:val="22"/>
                    </w:rPr>
                    <w:t>Farmakokinetički parametar</w:t>
                  </w:r>
                </w:p>
              </w:tc>
              <w:tc>
                <w:tcPr>
                  <w:tcW w:w="2468" w:type="dxa"/>
                  <w:gridSpan w:val="2"/>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300 mg (N = 7)</w:t>
                  </w:r>
                </w:p>
              </w:tc>
              <w:tc>
                <w:tcPr>
                  <w:tcW w:w="2469" w:type="dxa"/>
                  <w:gridSpan w:val="2"/>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400 mg(N = 14)</w:t>
                  </w:r>
                </w:p>
              </w:tc>
              <w:tc>
                <w:tcPr>
                  <w:tcW w:w="2469" w:type="dxa"/>
                  <w:gridSpan w:val="2"/>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800 mgN=14)</w:t>
                  </w:r>
                </w:p>
              </w:tc>
            </w:tr>
            <w:tr w:rsidR="00EC0F9E" w:rsidRPr="005E6DF6">
              <w:tblPrEx>
                <w:tblCellMar>
                  <w:top w:w="0" w:type="dxa"/>
                  <w:left w:w="0" w:type="dxa"/>
                  <w:bottom w:w="0" w:type="dxa"/>
                  <w:right w:w="0" w:type="dxa"/>
                </w:tblCellMar>
              </w:tblPrEx>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Pr>
                      <w:rFonts w:cs="Arial"/>
                      <w:sz w:val="22"/>
                    </w:rPr>
                    <w:t> </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Srednja</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%CV</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Srednja</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%CV</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Srednja</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%CV</w:t>
                  </w:r>
                </w:p>
              </w:tc>
            </w:tr>
            <w:tr w:rsidR="00EC0F9E" w:rsidRPr="005E6DF6">
              <w:tblPrEx>
                <w:tblCellMar>
                  <w:top w:w="0" w:type="dxa"/>
                  <w:left w:w="0" w:type="dxa"/>
                  <w:bottom w:w="0" w:type="dxa"/>
                  <w:right w:w="0" w:type="dxa"/>
                </w:tblCellMar>
              </w:tblPrEx>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Cmax (μg/ml)</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4.02</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(24)</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5.74</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(38)</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8.71</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(29)</w:t>
                  </w:r>
                </w:p>
              </w:tc>
            </w:tr>
            <w:tr w:rsidR="00EC0F9E" w:rsidRPr="005E6DF6">
              <w:tblPrEx>
                <w:tblCellMar>
                  <w:top w:w="0" w:type="dxa"/>
                  <w:left w:w="0" w:type="dxa"/>
                  <w:bottom w:w="0" w:type="dxa"/>
                  <w:right w:w="0" w:type="dxa"/>
                </w:tblCellMar>
              </w:tblPrEx>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tmax (hr)</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2.7</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(18)</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2.1</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(54)</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1.6</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(76)</w:t>
                  </w:r>
                </w:p>
              </w:tc>
            </w:tr>
            <w:tr w:rsidR="00EC0F9E" w:rsidRPr="005E6DF6">
              <w:tblPrEx>
                <w:tblCellMar>
                  <w:top w:w="0" w:type="dxa"/>
                  <w:left w:w="0" w:type="dxa"/>
                  <w:bottom w:w="0" w:type="dxa"/>
                  <w:right w:w="0" w:type="dxa"/>
                </w:tblCellMar>
              </w:tblPrEx>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T1/2 (hr)</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5.2</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(12)</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10.8</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(89)</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10.6</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(41)</w:t>
                  </w:r>
                </w:p>
              </w:tc>
            </w:tr>
            <w:tr w:rsidR="00EC0F9E" w:rsidRPr="005E6DF6">
              <w:tblPrEx>
                <w:tblCellMar>
                  <w:top w:w="0" w:type="dxa"/>
                  <w:left w:w="0" w:type="dxa"/>
                  <w:bottom w:w="0" w:type="dxa"/>
                  <w:right w:w="0" w:type="dxa"/>
                </w:tblCellMar>
              </w:tblPrEx>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AUC (0-8) μg•hr/ml)</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24.8</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(24)</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34.5</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(34)</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51.4</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(27)</w:t>
                  </w:r>
                </w:p>
              </w:tc>
            </w:tr>
            <w:tr w:rsidR="00EC0F9E" w:rsidRPr="005E6DF6">
              <w:tblPrEx>
                <w:tblCellMar>
                  <w:top w:w="0" w:type="dxa"/>
                  <w:left w:w="0" w:type="dxa"/>
                  <w:bottom w:w="0" w:type="dxa"/>
                  <w:right w:w="0" w:type="dxa"/>
                </w:tblCellMar>
              </w:tblPrEx>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Ae% (%)</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NA</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NA</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47.2</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(25)</w:t>
                  </w:r>
                </w:p>
              </w:tc>
              <w:tc>
                <w:tcPr>
                  <w:tcW w:w="1234"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34.4</w:t>
                  </w:r>
                </w:p>
              </w:tc>
              <w:tc>
                <w:tcPr>
                  <w:tcW w:w="1235" w:type="dxa"/>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(37)</w:t>
                  </w:r>
                </w:p>
              </w:tc>
            </w:tr>
            <w:tr w:rsidR="00EC0F9E" w:rsidRPr="005E6DF6">
              <w:tblPrEx>
                <w:tblCellMar>
                  <w:top w:w="0" w:type="dxa"/>
                  <w:left w:w="0" w:type="dxa"/>
                  <w:bottom w:w="0" w:type="dxa"/>
                  <w:right w:w="0" w:type="dxa"/>
                </w:tblCellMar>
              </w:tblPrEx>
              <w:tc>
                <w:tcPr>
                  <w:tcW w:w="8640" w:type="dxa"/>
                  <w:gridSpan w:val="7"/>
                  <w:tcBorders>
                    <w:top w:val="single" w:sz="6" w:space="0" w:color="C0C0C0"/>
                    <w:left w:val="single" w:sz="6" w:space="0" w:color="C0C0C0"/>
                    <w:bottom w:val="single" w:sz="6" w:space="0" w:color="C0C0C0"/>
                    <w:right w:val="single" w:sz="6" w:space="0" w:color="C0C0C0"/>
                  </w:tcBorders>
                </w:tcPr>
                <w:p w:rsidR="00EC0F9E" w:rsidRPr="005E6DF6" w:rsidRDefault="00EC0F9E" w:rsidP="00B750B6">
                  <w:pPr>
                    <w:pStyle w:val="Header"/>
                    <w:tabs>
                      <w:tab w:val="left" w:pos="284"/>
                    </w:tabs>
                    <w:rPr>
                      <w:rFonts w:cs="Arial"/>
                      <w:sz w:val="22"/>
                    </w:rPr>
                  </w:pPr>
                  <w:r w:rsidRPr="005E6DF6">
                    <w:rPr>
                      <w:rFonts w:cs="Arial"/>
                      <w:sz w:val="22"/>
                    </w:rPr>
                    <w:t>C</w:t>
                  </w:r>
                  <w:r w:rsidRPr="00DF643C">
                    <w:rPr>
                      <w:rFonts w:cs="Arial"/>
                      <w:sz w:val="22"/>
                      <w:szCs w:val="22"/>
                      <w:vertAlign w:val="subscript"/>
                    </w:rPr>
                    <w:t>max</w:t>
                  </w:r>
                  <w:r w:rsidRPr="005E6DF6">
                    <w:rPr>
                      <w:rFonts w:cs="Arial"/>
                      <w:sz w:val="22"/>
                    </w:rPr>
                    <w:t xml:space="preserve"> = Maksimalna koncentraci</w:t>
                  </w:r>
                  <w:r>
                    <w:rPr>
                      <w:rFonts w:cs="Arial"/>
                      <w:sz w:val="22"/>
                    </w:rPr>
                    <w:t xml:space="preserve">ja u plazmi u stabilnom stanju </w:t>
                  </w:r>
                  <w:r w:rsidRPr="005E6DF6">
                    <w:rPr>
                      <w:rFonts w:cs="Arial"/>
                      <w:sz w:val="22"/>
                    </w:rPr>
                    <w:t>tmax = Vreme za C</w:t>
                  </w:r>
                  <w:r w:rsidRPr="00DF643C">
                    <w:rPr>
                      <w:rFonts w:cs="Arial"/>
                      <w:sz w:val="22"/>
                      <w:szCs w:val="22"/>
                      <w:vertAlign w:val="subscript"/>
                    </w:rPr>
                    <w:t>max</w:t>
                  </w:r>
                  <w:r w:rsidRPr="005E6DF6">
                    <w:rPr>
                      <w:rFonts w:cs="Arial"/>
                      <w:sz w:val="22"/>
                    </w:rPr>
                    <w:t>T1/2 = Polu-vr</w:t>
                  </w:r>
                  <w:r>
                    <w:rPr>
                      <w:rFonts w:cs="Arial"/>
                      <w:sz w:val="22"/>
                    </w:rPr>
                    <w:t>ij</w:t>
                  </w:r>
                  <w:r w:rsidRPr="005E6DF6">
                    <w:rPr>
                      <w:rFonts w:cs="Arial"/>
                      <w:sz w:val="22"/>
                    </w:rPr>
                    <w:t>eme eliminacije AUC</w:t>
                  </w:r>
                  <w:r w:rsidRPr="00DF643C">
                    <w:rPr>
                      <w:rFonts w:cs="Arial"/>
                      <w:sz w:val="22"/>
                      <w:szCs w:val="22"/>
                      <w:vertAlign w:val="subscript"/>
                    </w:rPr>
                    <w:t>(0-8)</w:t>
                  </w:r>
                  <w:r w:rsidRPr="005E6DF6">
                    <w:rPr>
                      <w:rFonts w:cs="Arial"/>
                      <w:sz w:val="22"/>
                    </w:rPr>
                    <w:t xml:space="preserve"> = Površina ispod krive koncentracija u plazmi-vr</w:t>
                  </w:r>
                  <w:r>
                    <w:rPr>
                      <w:rFonts w:cs="Arial"/>
                      <w:sz w:val="22"/>
                    </w:rPr>
                    <w:t>ij</w:t>
                  </w:r>
                  <w:r w:rsidRPr="005E6DF6">
                    <w:rPr>
                      <w:rFonts w:cs="Arial"/>
                      <w:sz w:val="22"/>
                    </w:rPr>
                    <w:t>eme u stabilnom stanju za vreme od 0 do 8 sati posle doze</w:t>
                  </w:r>
                  <w:r>
                    <w:rPr>
                      <w:rFonts w:cs="Arial"/>
                      <w:sz w:val="22"/>
                    </w:rPr>
                    <w:t xml:space="preserve"> </w:t>
                  </w:r>
                  <w:r w:rsidRPr="005E6DF6">
                    <w:rPr>
                      <w:rFonts w:cs="Arial"/>
                      <w:sz w:val="22"/>
                    </w:rPr>
                    <w:t>Ae% = Procenat doze izlučene u neprom</w:t>
                  </w:r>
                  <w:r>
                    <w:rPr>
                      <w:rFonts w:cs="Arial"/>
                      <w:sz w:val="22"/>
                    </w:rPr>
                    <w:t>j</w:t>
                  </w:r>
                  <w:r w:rsidRPr="005E6DF6">
                    <w:rPr>
                      <w:rFonts w:cs="Arial"/>
                      <w:sz w:val="22"/>
                    </w:rPr>
                    <w:t>enjenom obliku u urinu tokom vremena od 0 do 8 sati posl</w:t>
                  </w:r>
                  <w:r>
                    <w:rPr>
                      <w:rFonts w:cs="Arial"/>
                      <w:sz w:val="22"/>
                    </w:rPr>
                    <w:t>j</w:t>
                  </w:r>
                  <w:r w:rsidRPr="005E6DF6">
                    <w:rPr>
                      <w:rFonts w:cs="Arial"/>
                      <w:sz w:val="22"/>
                    </w:rPr>
                    <w:t>e doze NA = Nije raspoloživo</w:t>
                  </w:r>
                </w:p>
              </w:tc>
            </w:tr>
          </w:tbl>
          <w:p w:rsidR="00EC0F9E" w:rsidRPr="006E64C7" w:rsidRDefault="00EC0F9E" w:rsidP="00B750B6">
            <w:pPr>
              <w:pStyle w:val="Header"/>
              <w:tabs>
                <w:tab w:val="left" w:pos="284"/>
              </w:tabs>
              <w:rPr>
                <w:sz w:val="22"/>
                <w:szCs w:val="22"/>
                <w:lang w:val="sr-Latn-CS"/>
              </w:rPr>
            </w:pPr>
            <w:r w:rsidRPr="005E6DF6">
              <w:rPr>
                <w:rFonts w:cs="Arial"/>
                <w:sz w:val="22"/>
              </w:rPr>
              <w:cr/>
            </w:r>
            <w:r w:rsidRPr="006B439E">
              <w:rPr>
                <w:rFonts w:cs="Arial"/>
                <w:sz w:val="22"/>
                <w:u w:val="single"/>
              </w:rPr>
              <w:t>Distribucija</w:t>
            </w:r>
            <w:r w:rsidRPr="006B439E">
              <w:rPr>
                <w:rFonts w:cs="Arial"/>
                <w:sz w:val="22"/>
                <w:u w:val="single"/>
              </w:rPr>
              <w:cr/>
            </w:r>
            <w:r w:rsidRPr="005E6DF6">
              <w:rPr>
                <w:rFonts w:cs="Arial"/>
                <w:sz w:val="22"/>
              </w:rPr>
              <w:t>Gabapentin se  ne vezuje za proteine plazme i njegov volumen distribucije je  57.7 litara. Kod  pacijenata sa epilepsijom, koncentracije gabapentina u cerebrospinalnoj tečnosti (CSF)  iznose približno 20% odgovarajućih minimalnih koncentracija u plazmi između dve doze  u stabilnom stanju. Gabapentin se nalazi u majčinom ml</w:t>
            </w:r>
            <w:r>
              <w:rPr>
                <w:rFonts w:cs="Arial"/>
                <w:sz w:val="22"/>
              </w:rPr>
              <w:t>ij</w:t>
            </w:r>
            <w:r w:rsidRPr="005E6DF6">
              <w:rPr>
                <w:rFonts w:cs="Arial"/>
                <w:sz w:val="22"/>
              </w:rPr>
              <w:t xml:space="preserve">eku žena koje doje. </w:t>
            </w:r>
            <w:r w:rsidRPr="005E6DF6">
              <w:rPr>
                <w:rFonts w:cs="Arial"/>
                <w:sz w:val="22"/>
              </w:rPr>
              <w:cr/>
            </w:r>
            <w:r w:rsidRPr="005E6DF6">
              <w:rPr>
                <w:rFonts w:cs="Arial"/>
                <w:sz w:val="22"/>
              </w:rPr>
              <w:cr/>
            </w:r>
            <w:r w:rsidRPr="006B439E">
              <w:rPr>
                <w:rFonts w:cs="Arial"/>
                <w:sz w:val="22"/>
                <w:u w:val="single"/>
              </w:rPr>
              <w:t>Metabolizam</w:t>
            </w:r>
            <w:r w:rsidRPr="006B439E">
              <w:rPr>
                <w:rFonts w:cs="Arial"/>
                <w:sz w:val="22"/>
                <w:u w:val="single"/>
              </w:rPr>
              <w:cr/>
            </w:r>
            <w:r w:rsidRPr="005E6DF6">
              <w:rPr>
                <w:rFonts w:cs="Arial"/>
                <w:sz w:val="22"/>
              </w:rPr>
              <w:t>Nema dokaza o metabolizmu gabapentina kod ljudi. Gabapentin ne indukuje hepatičke enzime oksidaze m</w:t>
            </w:r>
            <w:r>
              <w:rPr>
                <w:rFonts w:cs="Arial"/>
                <w:sz w:val="22"/>
              </w:rPr>
              <w:t>j</w:t>
            </w:r>
            <w:r w:rsidRPr="005E6DF6">
              <w:rPr>
                <w:rFonts w:cs="Arial"/>
                <w:sz w:val="22"/>
              </w:rPr>
              <w:t>ešovite funkcije odgovorne za metabolizam l</w:t>
            </w:r>
            <w:r>
              <w:rPr>
                <w:rFonts w:cs="Arial"/>
                <w:sz w:val="22"/>
              </w:rPr>
              <w:t>ij</w:t>
            </w:r>
            <w:r w:rsidRPr="005E6DF6">
              <w:rPr>
                <w:rFonts w:cs="Arial"/>
                <w:sz w:val="22"/>
              </w:rPr>
              <w:t xml:space="preserve">eka. </w:t>
            </w:r>
            <w:r w:rsidRPr="005E6DF6">
              <w:rPr>
                <w:rFonts w:cs="Arial"/>
                <w:sz w:val="22"/>
              </w:rPr>
              <w:cr/>
            </w:r>
            <w:r w:rsidRPr="006E64C7">
              <w:rPr>
                <w:sz w:val="22"/>
                <w:szCs w:val="22"/>
                <w:u w:val="single"/>
                <w:lang w:val="sr-Latn-CS"/>
              </w:rPr>
              <w:cr/>
            </w:r>
            <w:r w:rsidRPr="006B439E">
              <w:rPr>
                <w:rFonts w:cs="Arial"/>
                <w:sz w:val="22"/>
                <w:u w:val="single"/>
                <w:lang w:val="sr-Latn-CS"/>
              </w:rPr>
              <w:t>Eliminacija</w:t>
            </w:r>
            <w:r w:rsidRPr="006B439E">
              <w:rPr>
                <w:rFonts w:cs="Arial"/>
                <w:sz w:val="22"/>
                <w:u w:val="single"/>
                <w:lang w:val="sr-Latn-CS"/>
              </w:rPr>
              <w:cr/>
            </w:r>
            <w:r w:rsidRPr="00FC132F">
              <w:rPr>
                <w:rFonts w:cs="Arial"/>
                <w:sz w:val="22"/>
                <w:lang w:val="sr-Latn-CS"/>
              </w:rPr>
              <w:t>Gabapentin se eliminiše u neprom</w:t>
            </w:r>
            <w:r>
              <w:rPr>
                <w:rFonts w:cs="Arial"/>
                <w:sz w:val="22"/>
                <w:lang w:val="sr-Latn-CS"/>
              </w:rPr>
              <w:t>j</w:t>
            </w:r>
            <w:r w:rsidRPr="00FC132F">
              <w:rPr>
                <w:rFonts w:cs="Arial"/>
                <w:sz w:val="22"/>
                <w:lang w:val="sr-Latn-CS"/>
              </w:rPr>
              <w:t xml:space="preserve">enjenom obliku isključivo bubrežnom eksrecijom. </w:t>
            </w:r>
            <w:r w:rsidRPr="005E6DF6">
              <w:rPr>
                <w:rFonts w:cs="Arial"/>
                <w:sz w:val="22"/>
              </w:rPr>
              <w:t>Polu-vr</w:t>
            </w:r>
            <w:r>
              <w:rPr>
                <w:rFonts w:cs="Arial"/>
                <w:sz w:val="22"/>
              </w:rPr>
              <w:t>ij</w:t>
            </w:r>
            <w:r w:rsidRPr="005E6DF6">
              <w:rPr>
                <w:rFonts w:cs="Arial"/>
                <w:sz w:val="22"/>
              </w:rPr>
              <w:t>eme eliminacije gabapentina ne zavisi od doze i pros</w:t>
            </w:r>
            <w:r>
              <w:rPr>
                <w:rFonts w:cs="Arial"/>
                <w:sz w:val="22"/>
              </w:rPr>
              <w:t>j</w:t>
            </w:r>
            <w:r w:rsidRPr="005E6DF6">
              <w:rPr>
                <w:rFonts w:cs="Arial"/>
                <w:sz w:val="22"/>
              </w:rPr>
              <w:t xml:space="preserve">ečno iznosi 5 do 7 sati. </w:t>
            </w:r>
            <w:r w:rsidRPr="005E6DF6">
              <w:rPr>
                <w:rFonts w:cs="Arial"/>
                <w:sz w:val="22"/>
              </w:rPr>
              <w:cr/>
              <w:t xml:space="preserve">Kod starijih pacijenata i pacijenata sa oslabljenom funkcijom bubrega klirens gabapentina iz plazme je smanjen. Konstanta brzine eliminacije gabapentina, klirens iz plazme i bubrežni klirens su direktno proporcionalni klirensu kreatinina. </w:t>
            </w:r>
            <w:r w:rsidRPr="005E6DF6">
              <w:rPr>
                <w:rFonts w:cs="Arial"/>
                <w:sz w:val="22"/>
              </w:rPr>
              <w:cr/>
            </w:r>
          </w:p>
          <w:p w:rsidR="00EC0F9E" w:rsidRPr="005E6DF6" w:rsidRDefault="00EC0F9E" w:rsidP="00B750B6">
            <w:pPr>
              <w:pStyle w:val="Header"/>
              <w:tabs>
                <w:tab w:val="left" w:pos="284"/>
              </w:tabs>
              <w:rPr>
                <w:rFonts w:cs="Arial"/>
                <w:sz w:val="22"/>
                <w:lang w:val="sr-Latn-CS"/>
              </w:rPr>
            </w:pPr>
          </w:p>
        </w:tc>
      </w:tr>
      <w:tr w:rsidR="00EC0F9E" w:rsidRPr="005E6DF6">
        <w:tblPrEx>
          <w:tblCellMar>
            <w:top w:w="0" w:type="dxa"/>
            <w:bottom w:w="0" w:type="dxa"/>
          </w:tblCellMar>
        </w:tblPrEx>
        <w:trPr>
          <w:cantSplit/>
          <w:trHeight w:val="1145"/>
        </w:trPr>
        <w:tc>
          <w:tcPr>
            <w:tcW w:w="10188" w:type="dxa"/>
            <w:gridSpan w:val="6"/>
            <w:vAlign w:val="center"/>
          </w:tcPr>
          <w:p w:rsidR="00EC0F9E" w:rsidRPr="005E6DF6" w:rsidRDefault="00EC0F9E" w:rsidP="00B750B6">
            <w:pPr>
              <w:pStyle w:val="Header"/>
              <w:tabs>
                <w:tab w:val="left" w:pos="284"/>
              </w:tabs>
              <w:rPr>
                <w:rFonts w:cs="Arial"/>
                <w:sz w:val="22"/>
              </w:rPr>
            </w:pPr>
            <w:r w:rsidRPr="005E6DF6">
              <w:rPr>
                <w:rFonts w:cs="Arial"/>
                <w:sz w:val="22"/>
              </w:rPr>
              <w:lastRenderedPageBreak/>
              <w:t xml:space="preserve">Gabapentin se eliminiše iz plazme hemodijalizom. Preporučuje se prilagođavanje doze kod pacijenata sa kompromitovanom funkcijom bubrega ili pacijenata na hemodijalizi (videti odeljak 4.2). </w:t>
            </w:r>
            <w:r w:rsidRPr="005E6DF6">
              <w:rPr>
                <w:rFonts w:cs="Arial"/>
                <w:sz w:val="22"/>
              </w:rPr>
              <w:cr/>
              <w:t>Farmakokinetika gabapentina kod d</w:t>
            </w:r>
            <w:r>
              <w:rPr>
                <w:rFonts w:cs="Arial"/>
                <w:sz w:val="22"/>
              </w:rPr>
              <w:t>ij</w:t>
            </w:r>
            <w:r w:rsidRPr="005E6DF6">
              <w:rPr>
                <w:rFonts w:cs="Arial"/>
                <w:sz w:val="22"/>
              </w:rPr>
              <w:t>ece je određivana kod 50 zdravih ispitanika star</w:t>
            </w:r>
            <w:r>
              <w:rPr>
                <w:rFonts w:cs="Arial"/>
                <w:sz w:val="22"/>
              </w:rPr>
              <w:t>osti</w:t>
            </w:r>
            <w:r w:rsidRPr="005E6DF6">
              <w:rPr>
                <w:rFonts w:cs="Arial"/>
                <w:sz w:val="22"/>
              </w:rPr>
              <w:t xml:space="preserve"> između m</w:t>
            </w:r>
            <w:r>
              <w:rPr>
                <w:rFonts w:cs="Arial"/>
                <w:sz w:val="22"/>
              </w:rPr>
              <w:t>j</w:t>
            </w:r>
            <w:r w:rsidRPr="005E6DF6">
              <w:rPr>
                <w:rFonts w:cs="Arial"/>
                <w:sz w:val="22"/>
              </w:rPr>
              <w:t>esec dana i 12 godina. Generalno, koncentracije gabapentina u plazmi kod d</w:t>
            </w:r>
            <w:r>
              <w:rPr>
                <w:rFonts w:cs="Arial"/>
                <w:sz w:val="22"/>
              </w:rPr>
              <w:t>ij</w:t>
            </w:r>
            <w:r w:rsidRPr="005E6DF6">
              <w:rPr>
                <w:rFonts w:cs="Arial"/>
                <w:sz w:val="22"/>
              </w:rPr>
              <w:t>ece star</w:t>
            </w:r>
            <w:r>
              <w:rPr>
                <w:rFonts w:cs="Arial"/>
                <w:sz w:val="22"/>
              </w:rPr>
              <w:t>osti</w:t>
            </w:r>
            <w:r w:rsidRPr="005E6DF6">
              <w:rPr>
                <w:rFonts w:cs="Arial"/>
                <w:sz w:val="22"/>
              </w:rPr>
              <w:t xml:space="preserve">  &gt; 5 godina slične su koncentracijama kod odraslih kada se doziranje vrši na bazi mg/kg. </w:t>
            </w:r>
            <w:r w:rsidRPr="005E6DF6">
              <w:rPr>
                <w:rFonts w:cs="Arial"/>
                <w:sz w:val="22"/>
              </w:rPr>
              <w:cr/>
            </w:r>
            <w:r w:rsidRPr="005E6DF6">
              <w:rPr>
                <w:rFonts w:cs="Arial"/>
                <w:sz w:val="22"/>
              </w:rPr>
              <w:cr/>
              <w:t xml:space="preserve">Linearnost/Ne-linearnost </w:t>
            </w:r>
            <w:r w:rsidRPr="005E6DF6">
              <w:rPr>
                <w:rFonts w:cs="Arial"/>
                <w:sz w:val="22"/>
              </w:rPr>
              <w:cr/>
              <w:t xml:space="preserve">Biološka raspoloživost gabapentina (frakcija </w:t>
            </w:r>
            <w:r>
              <w:rPr>
                <w:rFonts w:cs="Arial"/>
                <w:sz w:val="22"/>
              </w:rPr>
              <w:t>resorbovane</w:t>
            </w:r>
            <w:r w:rsidRPr="005E6DF6">
              <w:rPr>
                <w:rFonts w:cs="Arial"/>
                <w:sz w:val="22"/>
              </w:rPr>
              <w:t xml:space="preserve"> doze) se smanjuje sa povećanjem doze što dovodi do ne-linearnosti farmakokinetičkih parametara u koje </w:t>
            </w:r>
            <w:r>
              <w:rPr>
                <w:rFonts w:cs="Arial"/>
                <w:sz w:val="22"/>
              </w:rPr>
              <w:t>s</w:t>
            </w:r>
            <w:r w:rsidRPr="005E6DF6">
              <w:rPr>
                <w:rFonts w:cs="Arial"/>
                <w:sz w:val="22"/>
              </w:rPr>
              <w:t>padaju parametar  biološke raspoloživosti (F) npr. Ae%, CL/F, Vd/F. Farmakokinetika eliminacije (farmakokinetički  parametri koji ne uključuju F kao što su CLr i T1/2) se najbolje opisuju uz pomoć linearne farmakokinetike. Koncentracije gabapentina u plazmi u stabilnom stanju se mogu predvid</w:t>
            </w:r>
            <w:r>
              <w:rPr>
                <w:rFonts w:cs="Arial"/>
                <w:sz w:val="22"/>
              </w:rPr>
              <w:t>j</w:t>
            </w:r>
            <w:r w:rsidRPr="005E6DF6">
              <w:rPr>
                <w:rFonts w:cs="Arial"/>
                <w:sz w:val="22"/>
              </w:rPr>
              <w:t>eti na osnovu podataka o pojedinačnim dozama.</w:t>
            </w:r>
          </w:p>
          <w:p w:rsidR="00EC0F9E" w:rsidRPr="005E6DF6" w:rsidRDefault="00EC0F9E" w:rsidP="00B750B6">
            <w:pPr>
              <w:pStyle w:val="Header"/>
              <w:tabs>
                <w:tab w:val="left" w:pos="284"/>
              </w:tabs>
              <w:rPr>
                <w:rFonts w:cs="Arial"/>
                <w:sz w:val="22"/>
                <w:lang w:val="sr-Latn-CS"/>
              </w:rPr>
            </w:pPr>
          </w:p>
        </w:tc>
      </w:tr>
      <w:tr w:rsidR="00EC0F9E" w:rsidRPr="005E079F">
        <w:tblPrEx>
          <w:tblCellMar>
            <w:top w:w="0" w:type="dxa"/>
            <w:bottom w:w="0" w:type="dxa"/>
          </w:tblCellMar>
        </w:tblPrEx>
        <w:trPr>
          <w:cantSplit/>
        </w:trPr>
        <w:tc>
          <w:tcPr>
            <w:tcW w:w="10188" w:type="dxa"/>
            <w:gridSpan w:val="6"/>
            <w:vAlign w:val="center"/>
          </w:tcPr>
          <w:p w:rsidR="00EC0F9E" w:rsidRPr="005E079F" w:rsidRDefault="00EC0F9E" w:rsidP="00B750B6">
            <w:pPr>
              <w:pStyle w:val="Header"/>
              <w:tabs>
                <w:tab w:val="left" w:pos="284"/>
              </w:tabs>
              <w:spacing w:before="80" w:after="80"/>
              <w:rPr>
                <w:rFonts w:cs="Arial"/>
                <w:b/>
                <w:bCs/>
                <w:sz w:val="22"/>
                <w:lang w:val="sr-Latn-CS"/>
              </w:rPr>
            </w:pPr>
            <w:r w:rsidRPr="005E079F">
              <w:rPr>
                <w:rFonts w:cs="Arial"/>
                <w:b/>
                <w:bCs/>
                <w:sz w:val="22"/>
                <w:lang w:val="sr-Latn-CS"/>
              </w:rPr>
              <w:t>5.3. Predklinički podaci o bezbednosti l</w:t>
            </w:r>
            <w:r>
              <w:rPr>
                <w:rFonts w:cs="Arial"/>
                <w:b/>
                <w:bCs/>
                <w:sz w:val="22"/>
                <w:lang w:val="sr-Latn-CS"/>
              </w:rPr>
              <w:t>ij</w:t>
            </w:r>
            <w:r w:rsidRPr="005E079F">
              <w:rPr>
                <w:rFonts w:cs="Arial"/>
                <w:b/>
                <w:bCs/>
                <w:sz w:val="22"/>
                <w:lang w:val="sr-Latn-CS"/>
              </w:rPr>
              <w:t>eka</w:t>
            </w:r>
          </w:p>
        </w:tc>
      </w:tr>
      <w:tr w:rsidR="00EC0F9E" w:rsidRPr="00565BB9">
        <w:tblPrEx>
          <w:tblCellMar>
            <w:top w:w="0" w:type="dxa"/>
            <w:bottom w:w="0" w:type="dxa"/>
          </w:tblCellMar>
        </w:tblPrEx>
        <w:trPr>
          <w:cantSplit/>
          <w:trHeight w:val="1145"/>
        </w:trPr>
        <w:tc>
          <w:tcPr>
            <w:tcW w:w="10188" w:type="dxa"/>
            <w:gridSpan w:val="6"/>
            <w:vAlign w:val="center"/>
          </w:tcPr>
          <w:p w:rsidR="00EC0F9E" w:rsidRPr="00334313" w:rsidRDefault="00EC0F9E" w:rsidP="00B750B6">
            <w:pPr>
              <w:rPr>
                <w:rFonts w:cs="Arial"/>
                <w:sz w:val="22"/>
              </w:rPr>
            </w:pPr>
            <w:r w:rsidRPr="00334313">
              <w:rPr>
                <w:rFonts w:cs="Arial"/>
                <w:sz w:val="22"/>
                <w:u w:val="single"/>
              </w:rPr>
              <w:lastRenderedPageBreak/>
              <w:t>Kancerogeneza</w:t>
            </w:r>
            <w:r w:rsidRPr="00334313">
              <w:rPr>
                <w:rFonts w:cs="Arial"/>
                <w:sz w:val="22"/>
                <w:u w:val="single"/>
              </w:rPr>
              <w:cr/>
            </w:r>
            <w:r w:rsidRPr="00334313">
              <w:rPr>
                <w:rFonts w:cs="Arial"/>
                <w:sz w:val="22"/>
              </w:rPr>
              <w:t>Gabapentin je davan u hrani miševima u dozama od  200, 600, i 2000 mg/kg/dan i pacovima u dozama od  250, 1000 i 2000 mg/kg/dan tokom dve godine. Statistički značajno povećanje incidence tumora acinarnih ćelija pankresa  utvrđeno je samo kod mužjaka pacova pri prim</w:t>
            </w:r>
            <w:r>
              <w:rPr>
                <w:rFonts w:cs="Arial"/>
                <w:sz w:val="22"/>
              </w:rPr>
              <w:t>j</w:t>
            </w:r>
            <w:r w:rsidRPr="00334313">
              <w:rPr>
                <w:rFonts w:cs="Arial"/>
                <w:sz w:val="22"/>
              </w:rPr>
              <w:t>eni najviših doza. Maksimalne koncentracije l</w:t>
            </w:r>
            <w:r>
              <w:rPr>
                <w:rFonts w:cs="Arial"/>
                <w:sz w:val="22"/>
              </w:rPr>
              <w:t>ij</w:t>
            </w:r>
            <w:r w:rsidRPr="00334313">
              <w:rPr>
                <w:rFonts w:cs="Arial"/>
                <w:sz w:val="22"/>
              </w:rPr>
              <w:t>eka u plazmi pacova pri prim</w:t>
            </w:r>
            <w:r>
              <w:rPr>
                <w:rFonts w:cs="Arial"/>
                <w:sz w:val="22"/>
              </w:rPr>
              <w:t>j</w:t>
            </w:r>
            <w:r w:rsidRPr="00334313">
              <w:rPr>
                <w:rFonts w:cs="Arial"/>
                <w:sz w:val="22"/>
              </w:rPr>
              <w:t xml:space="preserve">eni doze od 2000 mg/kg su 10 puta više od koncentracija u plazmi kod ljudi koji su dobijali 3600 mg/dan. Tumori acinarnih ćelija pankreasa kod mužjaka pacova su maligniteti niskog gradusa i ne utiču na preživljavanje, ne metastaziraju niti dovode do invazije okolnog tkiva i slični su onima koji se viđaju kod istovremenih kontrolnih slučajeva. Relevantnost ovih tumora acinarnih ćelija pankreasa kod mužjaka pacova za kancerogeni rizik kod ljudi nije jasna. </w:t>
            </w:r>
            <w:r w:rsidRPr="00334313">
              <w:rPr>
                <w:rFonts w:cs="Arial"/>
                <w:sz w:val="22"/>
              </w:rPr>
              <w:cr/>
            </w:r>
            <w:r w:rsidRPr="00334313">
              <w:rPr>
                <w:rFonts w:cs="Arial"/>
                <w:sz w:val="22"/>
              </w:rPr>
              <w:cr/>
            </w:r>
            <w:r w:rsidRPr="00334313">
              <w:rPr>
                <w:rFonts w:cs="Arial"/>
                <w:sz w:val="22"/>
                <w:u w:val="single"/>
              </w:rPr>
              <w:t>Mutageneza</w:t>
            </w:r>
            <w:r w:rsidRPr="00334313">
              <w:rPr>
                <w:rFonts w:cs="Arial"/>
                <w:sz w:val="22"/>
              </w:rPr>
              <w:cr/>
              <w:t>Gabapentin ne ispoljava genotoksični potencijal. Gabapentin nije bio mutagen in vitro k</w:t>
            </w:r>
            <w:r>
              <w:rPr>
                <w:rFonts w:cs="Arial"/>
                <w:sz w:val="22"/>
              </w:rPr>
              <w:t>ada</w:t>
            </w:r>
            <w:r w:rsidRPr="00334313">
              <w:rPr>
                <w:rFonts w:cs="Arial"/>
                <w:sz w:val="22"/>
              </w:rPr>
              <w:t xml:space="preserve"> su korišćene ćelije bakterija ili sisara. Gabapentin nije izazivao strukturne hromozomske aberacije na ćelijama sisara in vitro ili in vivo i nije izazivao formiranje mikronukleusa u kostnoj srži hrčaka. </w:t>
            </w:r>
            <w:r w:rsidRPr="00334313">
              <w:rPr>
                <w:rFonts w:cs="Arial"/>
                <w:sz w:val="22"/>
              </w:rPr>
              <w:cr/>
            </w:r>
            <w:r w:rsidRPr="00334313">
              <w:rPr>
                <w:rFonts w:cs="Arial"/>
                <w:sz w:val="22"/>
              </w:rPr>
              <w:cr/>
            </w:r>
            <w:r w:rsidRPr="00334313">
              <w:rPr>
                <w:rFonts w:cs="Arial"/>
                <w:sz w:val="22"/>
                <w:u w:val="single"/>
              </w:rPr>
              <w:t>Oštećenje fertiliteta</w:t>
            </w:r>
            <w:r w:rsidRPr="00334313">
              <w:rPr>
                <w:rFonts w:cs="Arial"/>
                <w:sz w:val="22"/>
                <w:u w:val="single"/>
              </w:rPr>
              <w:cr/>
            </w:r>
            <w:r w:rsidRPr="00334313">
              <w:rPr>
                <w:rFonts w:cs="Arial"/>
                <w:sz w:val="22"/>
              </w:rPr>
              <w:t>Nisu zab</w:t>
            </w:r>
            <w:r>
              <w:rPr>
                <w:rFonts w:cs="Arial"/>
                <w:sz w:val="22"/>
              </w:rPr>
              <w:t>i</w:t>
            </w:r>
            <w:r w:rsidRPr="00334313">
              <w:rPr>
                <w:rFonts w:cs="Arial"/>
                <w:sz w:val="22"/>
              </w:rPr>
              <w:t>l</w:t>
            </w:r>
            <w:r>
              <w:rPr>
                <w:rFonts w:cs="Arial"/>
                <w:sz w:val="22"/>
              </w:rPr>
              <w:t>j</w:t>
            </w:r>
            <w:r w:rsidRPr="00334313">
              <w:rPr>
                <w:rFonts w:cs="Arial"/>
                <w:sz w:val="22"/>
              </w:rPr>
              <w:t>ežena neželjena dejstva na reprodukciju kod pacova koji su dobijali doze do 2000 mg/kg (približno pet puta više od maksimalne dnevne humane doze izražene na bazi mg/m</w:t>
            </w:r>
            <w:r w:rsidRPr="00065180">
              <w:rPr>
                <w:rFonts w:cs="Arial"/>
                <w:sz w:val="22"/>
                <w:szCs w:val="22"/>
                <w:vertAlign w:val="superscript"/>
              </w:rPr>
              <w:t>2</w:t>
            </w:r>
            <w:r w:rsidRPr="00334313">
              <w:rPr>
                <w:rFonts w:cs="Arial"/>
                <w:sz w:val="22"/>
              </w:rPr>
              <w:t xml:space="preserve"> telesne površine). </w:t>
            </w:r>
            <w:r w:rsidRPr="00334313">
              <w:rPr>
                <w:rFonts w:cs="Arial"/>
                <w:sz w:val="22"/>
              </w:rPr>
              <w:cr/>
            </w:r>
            <w:r w:rsidRPr="00334313">
              <w:rPr>
                <w:rFonts w:cs="Arial"/>
                <w:sz w:val="22"/>
              </w:rPr>
              <w:cr/>
            </w:r>
            <w:r w:rsidRPr="00334313">
              <w:rPr>
                <w:rFonts w:cs="Arial"/>
                <w:sz w:val="22"/>
                <w:u w:val="single"/>
              </w:rPr>
              <w:t>Teratogeneza</w:t>
            </w:r>
            <w:r w:rsidRPr="00334313">
              <w:rPr>
                <w:rFonts w:cs="Arial"/>
                <w:sz w:val="22"/>
                <w:u w:val="single"/>
              </w:rPr>
              <w:cr/>
            </w:r>
            <w:r w:rsidRPr="00334313">
              <w:rPr>
                <w:rFonts w:cs="Arial"/>
                <w:sz w:val="22"/>
              </w:rPr>
              <w:t>Gabapentin nije povećavao incidencu malformacija u poređenju sa kontrolnim slučajevima, kod potomstva miševa, pacova ili zečeva pri dozama koje su bile do 50, 30 odnosno 25 više od dnevne humane doze od 3600 mg (četiri, pet odnosno osam puta više od humane dnevne doze izražene u vidu mg/m</w:t>
            </w:r>
            <w:r w:rsidRPr="00130B25">
              <w:rPr>
                <w:rFonts w:cs="Arial"/>
                <w:sz w:val="22"/>
                <w:szCs w:val="22"/>
                <w:vertAlign w:val="superscript"/>
              </w:rPr>
              <w:t>2</w:t>
            </w:r>
            <w:r w:rsidRPr="00334313">
              <w:rPr>
                <w:rFonts w:cs="Arial"/>
                <w:sz w:val="22"/>
              </w:rPr>
              <w:t xml:space="preserve">). </w:t>
            </w:r>
            <w:r w:rsidRPr="00334313">
              <w:rPr>
                <w:rFonts w:cs="Arial"/>
                <w:sz w:val="22"/>
              </w:rPr>
              <w:cr/>
              <w:t>Gabapentin je izazivao odloženu osifikaciju lobanje, pršljenova, prednjih i zadnjih udova kod glodara što je ukazivalo na zaostajanje fetalnog rasta. Ovakva dejstva su se javljala kada su gravidni miševi dobijali oralne doze od 1000 ili 3000 mg/kg/dan tokom organogeneze kao i kod pacova koji su dobijali 500, 1000 ili 2000 mg/kg pre i tokom parenja i tokom c</w:t>
            </w:r>
            <w:r>
              <w:rPr>
                <w:rFonts w:cs="Arial"/>
                <w:sz w:val="22"/>
              </w:rPr>
              <w:t>ij</w:t>
            </w:r>
            <w:r w:rsidRPr="00334313">
              <w:rPr>
                <w:rFonts w:cs="Arial"/>
                <w:sz w:val="22"/>
              </w:rPr>
              <w:t>elog perioda gestacije. Ove doze su približno 1 do 5 puta više od humane doze od 3600 mg izražene u vidu mg/m</w:t>
            </w:r>
            <w:r w:rsidRPr="00130B25">
              <w:rPr>
                <w:rFonts w:cs="Arial"/>
                <w:sz w:val="22"/>
                <w:szCs w:val="22"/>
                <w:vertAlign w:val="superscript"/>
              </w:rPr>
              <w:t>2</w:t>
            </w:r>
            <w:r w:rsidRPr="00334313">
              <w:rPr>
                <w:rFonts w:cs="Arial"/>
                <w:sz w:val="22"/>
              </w:rPr>
              <w:t xml:space="preserve">. </w:t>
            </w:r>
            <w:r w:rsidRPr="00334313">
              <w:rPr>
                <w:rFonts w:cs="Arial"/>
                <w:sz w:val="22"/>
              </w:rPr>
              <w:cr/>
              <w:t>Nikakva dejstva nisu zab</w:t>
            </w:r>
            <w:r>
              <w:rPr>
                <w:rFonts w:cs="Arial"/>
                <w:sz w:val="22"/>
              </w:rPr>
              <w:t>i</w:t>
            </w:r>
            <w:r w:rsidRPr="00334313">
              <w:rPr>
                <w:rFonts w:cs="Arial"/>
                <w:sz w:val="22"/>
              </w:rPr>
              <w:t>l</w:t>
            </w:r>
            <w:r>
              <w:rPr>
                <w:rFonts w:cs="Arial"/>
                <w:sz w:val="22"/>
              </w:rPr>
              <w:t>j</w:t>
            </w:r>
            <w:r w:rsidRPr="00334313">
              <w:rPr>
                <w:rFonts w:cs="Arial"/>
                <w:sz w:val="22"/>
              </w:rPr>
              <w:t>ežena kod gravidnih miševa koji su dobijali 500 mg/kg/dan (približno 1/2 dnevne humane doze izražene u vidu mg/m</w:t>
            </w:r>
            <w:r w:rsidRPr="00130B25">
              <w:rPr>
                <w:rFonts w:cs="Arial"/>
                <w:sz w:val="22"/>
                <w:szCs w:val="22"/>
                <w:vertAlign w:val="superscript"/>
              </w:rPr>
              <w:t>2</w:t>
            </w:r>
            <w:r w:rsidRPr="00334313">
              <w:rPr>
                <w:rFonts w:cs="Arial"/>
                <w:sz w:val="22"/>
              </w:rPr>
              <w:t xml:space="preserve">). </w:t>
            </w:r>
            <w:r w:rsidRPr="00334313">
              <w:rPr>
                <w:rFonts w:cs="Arial"/>
                <w:sz w:val="22"/>
              </w:rPr>
              <w:cr/>
              <w:t>Povećana incidenca hidrouretera i/ili hidronefroze je zab</w:t>
            </w:r>
            <w:r>
              <w:rPr>
                <w:rFonts w:cs="Arial"/>
                <w:sz w:val="22"/>
              </w:rPr>
              <w:t>i</w:t>
            </w:r>
            <w:r w:rsidRPr="00334313">
              <w:rPr>
                <w:rFonts w:cs="Arial"/>
                <w:sz w:val="22"/>
              </w:rPr>
              <w:t>l</w:t>
            </w:r>
            <w:r>
              <w:rPr>
                <w:rFonts w:cs="Arial"/>
                <w:sz w:val="22"/>
              </w:rPr>
              <w:t>j</w:t>
            </w:r>
            <w:r w:rsidRPr="00334313">
              <w:rPr>
                <w:rFonts w:cs="Arial"/>
                <w:sz w:val="22"/>
              </w:rPr>
              <w:t>ežena kod pacova koji su dobijali</w:t>
            </w:r>
            <w:r w:rsidRPr="006E64C7">
              <w:rPr>
                <w:sz w:val="22"/>
                <w:szCs w:val="22"/>
                <w:lang w:val="sr-Latn-CS"/>
              </w:rPr>
              <w:t xml:space="preserve">  </w:t>
            </w:r>
            <w:r w:rsidRPr="00334313">
              <w:rPr>
                <w:rFonts w:cs="Arial"/>
                <w:sz w:val="22"/>
              </w:rPr>
              <w:t>2000 mg/kg/dan u jednoj studiji fertiliteta i opšte reprodukcije, 1500 mg/kg/dan u jednoj teratološkoj studiji i  500, 1000 i 2000 mg/kg/dan u jednoj perinatalnoj i postnatalnoj studiji. Značaj ovih nalaza nije poznat</w:t>
            </w:r>
            <w:r>
              <w:rPr>
                <w:rFonts w:cs="Arial"/>
                <w:sz w:val="22"/>
              </w:rPr>
              <w:t>,</w:t>
            </w:r>
            <w:r w:rsidRPr="00334313">
              <w:rPr>
                <w:rFonts w:cs="Arial"/>
                <w:sz w:val="22"/>
              </w:rPr>
              <w:t xml:space="preserve"> ali su oni udruženi sa zaostajanjem u razvoju. Ove doze su takođe približno 1 do 5 puta više od humane doze od 3600 mg izražene u vidu mg/m</w:t>
            </w:r>
            <w:r w:rsidRPr="00130B25">
              <w:rPr>
                <w:rFonts w:cs="Arial"/>
                <w:sz w:val="22"/>
                <w:szCs w:val="22"/>
                <w:vertAlign w:val="superscript"/>
              </w:rPr>
              <w:t>2</w:t>
            </w:r>
            <w:r w:rsidRPr="00334313">
              <w:rPr>
                <w:rFonts w:cs="Arial"/>
                <w:sz w:val="22"/>
              </w:rPr>
              <w:t xml:space="preserve">. </w:t>
            </w:r>
            <w:r w:rsidRPr="00334313">
              <w:rPr>
                <w:rFonts w:cs="Arial"/>
                <w:sz w:val="22"/>
              </w:rPr>
              <w:cr/>
              <w:t>U jednoj teratološkoj studiji na zečevima, došlo je do postimplantacionog gubitka fetusa pri prim</w:t>
            </w:r>
            <w:r>
              <w:rPr>
                <w:rFonts w:cs="Arial"/>
                <w:sz w:val="22"/>
              </w:rPr>
              <w:t>j</w:t>
            </w:r>
            <w:r w:rsidRPr="00334313">
              <w:rPr>
                <w:rFonts w:cs="Arial"/>
                <w:sz w:val="22"/>
              </w:rPr>
              <w:t>eni doza od 60, 300 i 1500 mg/kg/dan tokom organogeneze. Ove doze su približno za 1/4 do 8 puta više od dnevne humane doze od 3600 mg izražene u vidu mg/m</w:t>
            </w:r>
            <w:r w:rsidRPr="00130B25">
              <w:rPr>
                <w:rFonts w:cs="Arial"/>
                <w:sz w:val="22"/>
                <w:szCs w:val="22"/>
                <w:vertAlign w:val="superscript"/>
              </w:rPr>
              <w:t>2</w:t>
            </w:r>
            <w:r w:rsidRPr="00334313">
              <w:rPr>
                <w:rFonts w:cs="Arial"/>
                <w:sz w:val="22"/>
              </w:rPr>
              <w:t>.</w:t>
            </w:r>
          </w:p>
          <w:p w:rsidR="00EC0F9E" w:rsidRPr="00565BB9" w:rsidRDefault="00EC0F9E" w:rsidP="00B750B6">
            <w:pPr>
              <w:pStyle w:val="Header"/>
              <w:tabs>
                <w:tab w:val="left" w:pos="284"/>
              </w:tabs>
              <w:rPr>
                <w:rFonts w:cs="Arial"/>
                <w:i/>
                <w:sz w:val="22"/>
                <w:lang w:val="sr-Latn-CS"/>
              </w:rPr>
            </w:pPr>
          </w:p>
        </w:tc>
      </w:tr>
      <w:tr w:rsidR="00EC0F9E">
        <w:tblPrEx>
          <w:tblCellMar>
            <w:top w:w="0" w:type="dxa"/>
            <w:bottom w:w="0" w:type="dxa"/>
          </w:tblCellMar>
        </w:tblPrEx>
        <w:trPr>
          <w:cantSplit/>
        </w:trPr>
        <w:tc>
          <w:tcPr>
            <w:tcW w:w="10188" w:type="dxa"/>
            <w:gridSpan w:val="6"/>
            <w:shd w:val="clear" w:color="auto" w:fill="E0E0E0"/>
            <w:vAlign w:val="center"/>
          </w:tcPr>
          <w:p w:rsidR="00EC0F9E" w:rsidRDefault="00EC0F9E" w:rsidP="00B750B6">
            <w:pPr>
              <w:pStyle w:val="Header"/>
              <w:tabs>
                <w:tab w:val="left" w:pos="284"/>
              </w:tabs>
              <w:rPr>
                <w:rFonts w:cs="Arial"/>
                <w:b/>
                <w:bCs/>
                <w:sz w:val="22"/>
              </w:rPr>
            </w:pPr>
            <w:r>
              <w:rPr>
                <w:rFonts w:cs="Arial"/>
                <w:b/>
                <w:bCs/>
                <w:sz w:val="22"/>
              </w:rPr>
              <w:t>6. FARMACEUTSKI PODACI</w:t>
            </w: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6.1. Lista ekscipijenasa</w:t>
            </w:r>
          </w:p>
        </w:tc>
      </w:tr>
      <w:tr w:rsidR="00EC0F9E" w:rsidRPr="00F0171C">
        <w:tblPrEx>
          <w:tblCellMar>
            <w:top w:w="0" w:type="dxa"/>
            <w:bottom w:w="0" w:type="dxa"/>
          </w:tblCellMar>
        </w:tblPrEx>
        <w:trPr>
          <w:cantSplit/>
          <w:trHeight w:val="1145"/>
        </w:trPr>
        <w:tc>
          <w:tcPr>
            <w:tcW w:w="10188" w:type="dxa"/>
            <w:gridSpan w:val="6"/>
            <w:vAlign w:val="center"/>
          </w:tcPr>
          <w:p w:rsidR="00EC0F9E" w:rsidRPr="00F0171C" w:rsidRDefault="00EC0F9E" w:rsidP="00B750B6">
            <w:pPr>
              <w:rPr>
                <w:lang w:val="sr-Latn-CS"/>
              </w:rPr>
            </w:pPr>
            <w:r w:rsidRPr="00F0171C">
              <w:rPr>
                <w:i/>
                <w:lang w:val="sr-Latn-CS"/>
              </w:rPr>
              <w:lastRenderedPageBreak/>
              <w:t>Sadržaj kapsule</w:t>
            </w:r>
            <w:r w:rsidRPr="00F0171C">
              <w:rPr>
                <w:lang w:val="sr-Latn-CS"/>
              </w:rPr>
              <w:t>:</w:t>
            </w:r>
            <w:r w:rsidRPr="00F0171C">
              <w:rPr>
                <w:lang w:val="sr-Latn-CS"/>
              </w:rPr>
              <w:cr/>
            </w:r>
            <w:r>
              <w:rPr>
                <w:lang w:val="sr-Latn-CS"/>
              </w:rPr>
              <w:t>Laktoza, bezvodna</w:t>
            </w:r>
            <w:r w:rsidRPr="00F0171C">
              <w:rPr>
                <w:lang w:val="sr-Latn-CS"/>
              </w:rPr>
              <w:cr/>
              <w:t>Kukuruzni skrob</w:t>
            </w:r>
          </w:p>
          <w:p w:rsidR="00EC0F9E" w:rsidRPr="00F0171C" w:rsidRDefault="00EC0F9E" w:rsidP="00B750B6">
            <w:pPr>
              <w:rPr>
                <w:lang w:val="sr-Latn-CS"/>
              </w:rPr>
            </w:pPr>
            <w:r w:rsidRPr="00F0171C">
              <w:rPr>
                <w:lang w:val="sr-Latn-CS"/>
              </w:rPr>
              <w:t>Talk</w:t>
            </w:r>
            <w:r w:rsidRPr="00F0171C">
              <w:rPr>
                <w:lang w:val="sr-Latn-CS"/>
              </w:rPr>
              <w:cr/>
            </w:r>
            <w:r w:rsidRPr="00F0171C">
              <w:rPr>
                <w:lang w:val="sr-Latn-CS"/>
              </w:rPr>
              <w:cr/>
              <w:t>Omotač kapsule:</w:t>
            </w:r>
            <w:r w:rsidRPr="00F0171C">
              <w:rPr>
                <w:lang w:val="sr-Latn-CS"/>
              </w:rPr>
              <w:cr/>
              <w:t>Želatin</w:t>
            </w:r>
          </w:p>
          <w:p w:rsidR="00EC0F9E" w:rsidRPr="00F0171C" w:rsidRDefault="00EC0F9E" w:rsidP="00B750B6">
            <w:pPr>
              <w:rPr>
                <w:lang w:val="sr-Latn-CS"/>
              </w:rPr>
            </w:pPr>
            <w:r w:rsidRPr="00F0171C">
              <w:rPr>
                <w:lang w:val="sr-Latn-CS"/>
              </w:rPr>
              <w:t>Titan</w:t>
            </w:r>
            <w:r>
              <w:rPr>
                <w:lang w:val="sr-Latn-CS"/>
              </w:rPr>
              <w:t>-</w:t>
            </w:r>
            <w:r w:rsidRPr="00F0171C">
              <w:rPr>
                <w:lang w:val="sr-Latn-CS"/>
              </w:rPr>
              <w:t>dioksid (E171)</w:t>
            </w:r>
          </w:p>
          <w:p w:rsidR="00EC0F9E" w:rsidRDefault="00EC0F9E" w:rsidP="00B750B6">
            <w:pPr>
              <w:rPr>
                <w:lang w:val="sr-Latn-CS"/>
              </w:rPr>
            </w:pPr>
            <w:r w:rsidRPr="00F0171C">
              <w:rPr>
                <w:lang w:val="sr-Latn-CS"/>
              </w:rPr>
              <w:t>Osim toga u tvrdim kapsulama Gabagamma od 300 mg:Gvožđe</w:t>
            </w:r>
            <w:r>
              <w:rPr>
                <w:lang w:val="sr-Latn-CS"/>
              </w:rPr>
              <w:t xml:space="preserve"> (III)-</w:t>
            </w:r>
            <w:r w:rsidRPr="00F0171C">
              <w:rPr>
                <w:lang w:val="sr-Latn-CS"/>
              </w:rPr>
              <w:t xml:space="preserve"> oksid</w:t>
            </w:r>
            <w:r>
              <w:rPr>
                <w:lang w:val="sr-Latn-CS"/>
              </w:rPr>
              <w:t xml:space="preserve">, </w:t>
            </w:r>
            <w:r w:rsidRPr="00F0171C">
              <w:rPr>
                <w:lang w:val="sr-Latn-CS"/>
              </w:rPr>
              <w:t>žut</w:t>
            </w:r>
            <w:r>
              <w:rPr>
                <w:lang w:val="sr-Latn-CS"/>
              </w:rPr>
              <w:t>i</w:t>
            </w:r>
            <w:r w:rsidRPr="00F0171C">
              <w:rPr>
                <w:lang w:val="sr-Latn-CS"/>
              </w:rPr>
              <w:t xml:space="preserve"> (E 172)</w:t>
            </w:r>
          </w:p>
          <w:p w:rsidR="00EC0F9E" w:rsidRDefault="00EC0F9E" w:rsidP="00B750B6">
            <w:pPr>
              <w:rPr>
                <w:lang w:val="sr-Latn-CS"/>
              </w:rPr>
            </w:pPr>
            <w:r w:rsidRPr="00F0171C">
              <w:rPr>
                <w:lang w:val="sr-Latn-CS"/>
              </w:rPr>
              <w:t>Osim toga u tvrdim kapsulama Gabagamma od 400 mg: Gvožđe</w:t>
            </w:r>
            <w:r>
              <w:rPr>
                <w:lang w:val="sr-Latn-CS"/>
              </w:rPr>
              <w:t xml:space="preserve"> (III)-</w:t>
            </w:r>
            <w:r w:rsidRPr="00F0171C">
              <w:rPr>
                <w:lang w:val="sr-Latn-CS"/>
              </w:rPr>
              <w:t xml:space="preserve"> oksid</w:t>
            </w:r>
            <w:r>
              <w:rPr>
                <w:lang w:val="sr-Latn-CS"/>
              </w:rPr>
              <w:t xml:space="preserve">, </w:t>
            </w:r>
            <w:r w:rsidRPr="00F0171C">
              <w:rPr>
                <w:lang w:val="sr-Latn-CS"/>
              </w:rPr>
              <w:t>žut</w:t>
            </w:r>
            <w:r>
              <w:rPr>
                <w:lang w:val="sr-Latn-CS"/>
              </w:rPr>
              <w:t>i</w:t>
            </w:r>
            <w:r w:rsidRPr="00F0171C">
              <w:rPr>
                <w:lang w:val="sr-Latn-CS"/>
              </w:rPr>
              <w:t xml:space="preserve"> (E 172)</w:t>
            </w:r>
            <w:r>
              <w:rPr>
                <w:lang w:val="sr-Latn-CS"/>
              </w:rPr>
              <w:t xml:space="preserve"> i </w:t>
            </w:r>
          </w:p>
          <w:p w:rsidR="00EC0F9E" w:rsidRDefault="00EC0F9E" w:rsidP="00B750B6">
            <w:pPr>
              <w:rPr>
                <w:lang w:val="sr-Latn-CS"/>
              </w:rPr>
            </w:pPr>
            <w:r w:rsidRPr="00F0171C">
              <w:rPr>
                <w:lang w:val="sr-Latn-CS"/>
              </w:rPr>
              <w:t>Gvožđe</w:t>
            </w:r>
            <w:r>
              <w:rPr>
                <w:lang w:val="sr-Latn-CS"/>
              </w:rPr>
              <w:t xml:space="preserve"> (III)-</w:t>
            </w:r>
            <w:r w:rsidRPr="00F0171C">
              <w:rPr>
                <w:lang w:val="sr-Latn-CS"/>
              </w:rPr>
              <w:t xml:space="preserve"> oksid</w:t>
            </w:r>
            <w:r>
              <w:rPr>
                <w:lang w:val="sr-Latn-CS"/>
              </w:rPr>
              <w:t>, crveni</w:t>
            </w:r>
            <w:r w:rsidRPr="00F0171C">
              <w:rPr>
                <w:lang w:val="sr-Latn-CS"/>
              </w:rPr>
              <w:t xml:space="preserve"> (E 172)</w:t>
            </w:r>
          </w:p>
          <w:p w:rsidR="00EC0F9E" w:rsidRPr="00F0171C" w:rsidRDefault="00EC0F9E" w:rsidP="00B750B6">
            <w:pPr>
              <w:rPr>
                <w:lang w:val="sr-Latn-CS"/>
              </w:rPr>
            </w:pP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6.2. Inkompatibilnost</w:t>
            </w:r>
          </w:p>
        </w:tc>
      </w:tr>
      <w:tr w:rsidR="00EC0F9E">
        <w:tblPrEx>
          <w:tblCellMar>
            <w:top w:w="0" w:type="dxa"/>
            <w:bottom w:w="0" w:type="dxa"/>
          </w:tblCellMar>
        </w:tblPrEx>
        <w:trPr>
          <w:cantSplit/>
          <w:trHeight w:val="1145"/>
        </w:trPr>
        <w:tc>
          <w:tcPr>
            <w:tcW w:w="10188" w:type="dxa"/>
            <w:gridSpan w:val="6"/>
            <w:vAlign w:val="center"/>
          </w:tcPr>
          <w:p w:rsidR="00EC0F9E" w:rsidRDefault="00EC0F9E" w:rsidP="00B750B6">
            <w:pPr>
              <w:pStyle w:val="Header"/>
              <w:tabs>
                <w:tab w:val="left" w:pos="284"/>
              </w:tabs>
              <w:rPr>
                <w:rFonts w:cs="Arial"/>
                <w:sz w:val="22"/>
              </w:rPr>
            </w:pPr>
            <w:r>
              <w:rPr>
                <w:rFonts w:cs="Arial"/>
                <w:sz w:val="22"/>
              </w:rPr>
              <w:t>Nije primenjljivo.</w:t>
            </w: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6.3. Rok upotrebe</w:t>
            </w:r>
          </w:p>
        </w:tc>
      </w:tr>
      <w:tr w:rsidR="00EC0F9E">
        <w:tblPrEx>
          <w:tblCellMar>
            <w:top w:w="0" w:type="dxa"/>
            <w:bottom w:w="0" w:type="dxa"/>
          </w:tblCellMar>
        </w:tblPrEx>
        <w:trPr>
          <w:cantSplit/>
          <w:trHeight w:val="1145"/>
        </w:trPr>
        <w:tc>
          <w:tcPr>
            <w:tcW w:w="10188" w:type="dxa"/>
            <w:gridSpan w:val="6"/>
            <w:vAlign w:val="center"/>
          </w:tcPr>
          <w:p w:rsidR="00EC0F9E" w:rsidRDefault="00EC0F9E" w:rsidP="00B750B6">
            <w:pPr>
              <w:pStyle w:val="Header"/>
              <w:tabs>
                <w:tab w:val="left" w:pos="284"/>
              </w:tabs>
              <w:rPr>
                <w:rFonts w:cs="Arial"/>
                <w:sz w:val="22"/>
              </w:rPr>
            </w:pPr>
            <w:r>
              <w:rPr>
                <w:rFonts w:cs="Arial"/>
                <w:sz w:val="22"/>
              </w:rPr>
              <w:t>3 godine</w:t>
            </w: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6.4. Posebne mjere upozorenja pri čuvanju</w:t>
            </w:r>
          </w:p>
        </w:tc>
      </w:tr>
      <w:tr w:rsidR="00EC0F9E">
        <w:tblPrEx>
          <w:tblCellMar>
            <w:top w:w="0" w:type="dxa"/>
            <w:bottom w:w="0" w:type="dxa"/>
          </w:tblCellMar>
        </w:tblPrEx>
        <w:trPr>
          <w:cantSplit/>
          <w:trHeight w:val="1145"/>
        </w:trPr>
        <w:tc>
          <w:tcPr>
            <w:tcW w:w="10188" w:type="dxa"/>
            <w:gridSpan w:val="6"/>
            <w:vAlign w:val="center"/>
          </w:tcPr>
          <w:p w:rsidR="00EC0F9E" w:rsidRDefault="00EC0F9E" w:rsidP="00B750B6">
            <w:pPr>
              <w:pStyle w:val="Header"/>
              <w:tabs>
                <w:tab w:val="left" w:pos="284"/>
              </w:tabs>
              <w:rPr>
                <w:rFonts w:cs="Arial"/>
                <w:sz w:val="22"/>
                <w:szCs w:val="22"/>
              </w:rPr>
            </w:pPr>
            <w:r w:rsidRPr="006C4F98">
              <w:rPr>
                <w:rFonts w:cs="Arial"/>
                <w:sz w:val="22"/>
              </w:rPr>
              <w:t>Čuvati na temperaturi do 25</w:t>
            </w:r>
            <w:r w:rsidRPr="006C4F98">
              <w:rPr>
                <w:rFonts w:cs="Arial"/>
                <w:sz w:val="22"/>
                <w:szCs w:val="22"/>
                <w:vertAlign w:val="superscript"/>
              </w:rPr>
              <w:t>0</w:t>
            </w:r>
            <w:r w:rsidRPr="006C4F98">
              <w:rPr>
                <w:rFonts w:cs="Arial"/>
                <w:sz w:val="22"/>
                <w:szCs w:val="22"/>
              </w:rPr>
              <w:t xml:space="preserve">C, u originalnom pakovanju. </w:t>
            </w:r>
          </w:p>
          <w:p w:rsidR="00EC0F9E" w:rsidRPr="006C4F98" w:rsidRDefault="00EC0F9E" w:rsidP="00B750B6">
            <w:pPr>
              <w:pStyle w:val="Header"/>
              <w:tabs>
                <w:tab w:val="left" w:pos="284"/>
              </w:tabs>
              <w:rPr>
                <w:rFonts w:cs="Arial"/>
                <w:sz w:val="22"/>
              </w:rPr>
            </w:pPr>
            <w:r w:rsidRPr="006C4F98">
              <w:rPr>
                <w:rFonts w:cs="Arial"/>
                <w:sz w:val="22"/>
                <w:szCs w:val="22"/>
              </w:rPr>
              <w:t xml:space="preserve"> </w:t>
            </w: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6.5. Priroda i sadržaj kontaktne ambalaže</w:t>
            </w:r>
          </w:p>
        </w:tc>
      </w:tr>
      <w:tr w:rsidR="00EC0F9E">
        <w:tblPrEx>
          <w:tblCellMar>
            <w:top w:w="0" w:type="dxa"/>
            <w:bottom w:w="0" w:type="dxa"/>
          </w:tblCellMar>
        </w:tblPrEx>
        <w:trPr>
          <w:cantSplit/>
          <w:trHeight w:val="1145"/>
        </w:trPr>
        <w:tc>
          <w:tcPr>
            <w:tcW w:w="10188" w:type="dxa"/>
            <w:gridSpan w:val="6"/>
            <w:vAlign w:val="center"/>
          </w:tcPr>
          <w:p w:rsidR="00EC0F9E" w:rsidRDefault="00EC0F9E" w:rsidP="00B750B6">
            <w:pPr>
              <w:pStyle w:val="Header"/>
              <w:tabs>
                <w:tab w:val="left" w:pos="284"/>
              </w:tabs>
              <w:rPr>
                <w:rFonts w:cs="Arial"/>
                <w:sz w:val="22"/>
              </w:rPr>
            </w:pPr>
            <w:r w:rsidRPr="00C051ED">
              <w:rPr>
                <w:rFonts w:cs="Arial"/>
                <w:sz w:val="22"/>
                <w:lang w:val="de-DE"/>
              </w:rPr>
              <w:t>PVC/Alu blister</w:t>
            </w:r>
          </w:p>
        </w:tc>
      </w:tr>
      <w:tr w:rsidR="00EC0F9E">
        <w:tblPrEx>
          <w:tblCellMar>
            <w:top w:w="0" w:type="dxa"/>
            <w:bottom w:w="0" w:type="dxa"/>
          </w:tblCellMar>
        </w:tblPrEx>
        <w:trPr>
          <w:cantSplit/>
        </w:trPr>
        <w:tc>
          <w:tcPr>
            <w:tcW w:w="10188" w:type="dxa"/>
            <w:gridSpan w:val="6"/>
            <w:vAlign w:val="center"/>
          </w:tcPr>
          <w:p w:rsidR="00EC0F9E" w:rsidRDefault="00EC0F9E" w:rsidP="00B750B6">
            <w:pPr>
              <w:pStyle w:val="Header"/>
              <w:tabs>
                <w:tab w:val="left" w:pos="284"/>
              </w:tabs>
              <w:spacing w:before="80" w:after="80"/>
              <w:rPr>
                <w:rFonts w:cs="Arial"/>
                <w:b/>
                <w:bCs/>
                <w:sz w:val="22"/>
              </w:rPr>
            </w:pPr>
            <w:r>
              <w:rPr>
                <w:rFonts w:cs="Arial"/>
                <w:b/>
                <w:bCs/>
                <w:sz w:val="22"/>
              </w:rPr>
              <w:t xml:space="preserve">6.6. Posebne mjere opreza pri odlaganju materijala koji treba odbaciti nakon primjene lijeka </w:t>
            </w:r>
          </w:p>
        </w:tc>
      </w:tr>
      <w:tr w:rsidR="00EC0F9E" w:rsidRPr="00C051ED">
        <w:tblPrEx>
          <w:tblCellMar>
            <w:top w:w="0" w:type="dxa"/>
            <w:bottom w:w="0" w:type="dxa"/>
          </w:tblCellMar>
        </w:tblPrEx>
        <w:trPr>
          <w:cantSplit/>
          <w:trHeight w:val="1145"/>
        </w:trPr>
        <w:tc>
          <w:tcPr>
            <w:tcW w:w="10188" w:type="dxa"/>
            <w:gridSpan w:val="6"/>
            <w:vAlign w:val="center"/>
          </w:tcPr>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r>
              <w:rPr>
                <w:rFonts w:cs="Arial"/>
                <w:sz w:val="22"/>
              </w:rPr>
              <w:t>Neupotrebljeni lijek se uništava u skladu sa važećim propisima.</w:t>
            </w:r>
          </w:p>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p>
          <w:p w:rsidR="00EC0F9E" w:rsidRDefault="00EC0F9E" w:rsidP="00B750B6">
            <w:pPr>
              <w:pStyle w:val="Header"/>
              <w:tabs>
                <w:tab w:val="left" w:pos="284"/>
              </w:tabs>
              <w:rPr>
                <w:rFonts w:cs="Arial"/>
                <w:sz w:val="22"/>
              </w:rPr>
            </w:pPr>
          </w:p>
          <w:p w:rsidR="00EC0F9E" w:rsidRPr="00C051ED" w:rsidRDefault="00EC0F9E" w:rsidP="00B750B6">
            <w:pPr>
              <w:pStyle w:val="Header"/>
              <w:tabs>
                <w:tab w:val="left" w:pos="284"/>
              </w:tabs>
              <w:rPr>
                <w:rFonts w:cs="Arial"/>
                <w:sz w:val="22"/>
              </w:rPr>
            </w:pPr>
          </w:p>
        </w:tc>
      </w:tr>
      <w:tr w:rsidR="00EC0F9E">
        <w:tblPrEx>
          <w:tblCellMar>
            <w:top w:w="0" w:type="dxa"/>
            <w:bottom w:w="0" w:type="dxa"/>
          </w:tblCellMar>
        </w:tblPrEx>
        <w:trPr>
          <w:cantSplit/>
        </w:trPr>
        <w:tc>
          <w:tcPr>
            <w:tcW w:w="10188" w:type="dxa"/>
            <w:gridSpan w:val="6"/>
            <w:shd w:val="clear" w:color="auto" w:fill="E0E0E0"/>
            <w:vAlign w:val="center"/>
          </w:tcPr>
          <w:p w:rsidR="00EC0F9E" w:rsidRDefault="00EC0F9E" w:rsidP="00B750B6">
            <w:pPr>
              <w:pStyle w:val="Header"/>
              <w:tabs>
                <w:tab w:val="left" w:pos="284"/>
              </w:tabs>
              <w:rPr>
                <w:rFonts w:cs="Arial"/>
                <w:b/>
                <w:bCs/>
                <w:sz w:val="22"/>
              </w:rPr>
            </w:pPr>
            <w:r>
              <w:rPr>
                <w:rFonts w:cs="Arial"/>
                <w:b/>
                <w:bCs/>
                <w:sz w:val="22"/>
              </w:rPr>
              <w:lastRenderedPageBreak/>
              <w:t xml:space="preserve">7. NOSILAC DOZVOLE </w:t>
            </w:r>
          </w:p>
        </w:tc>
      </w:tr>
      <w:tr w:rsidR="00EC0F9E">
        <w:tblPrEx>
          <w:tblCellMar>
            <w:top w:w="0" w:type="dxa"/>
            <w:bottom w:w="0" w:type="dxa"/>
          </w:tblCellMar>
        </w:tblPrEx>
        <w:trPr>
          <w:cantSplit/>
          <w:trHeight w:val="1145"/>
        </w:trPr>
        <w:tc>
          <w:tcPr>
            <w:tcW w:w="10188" w:type="dxa"/>
            <w:gridSpan w:val="6"/>
            <w:vAlign w:val="center"/>
          </w:tcPr>
          <w:p w:rsidR="00EC0F9E" w:rsidRDefault="00EC0F9E" w:rsidP="00B750B6">
            <w:pPr>
              <w:pStyle w:val="Header"/>
              <w:tabs>
                <w:tab w:val="left" w:pos="284"/>
              </w:tabs>
              <w:rPr>
                <w:rFonts w:cs="Arial"/>
                <w:bCs/>
                <w:color w:val="000000"/>
                <w:sz w:val="22"/>
              </w:rPr>
            </w:pPr>
            <w:r w:rsidRPr="00E362CC">
              <w:rPr>
                <w:rFonts w:cs="Arial"/>
                <w:bCs/>
                <w:sz w:val="22"/>
              </w:rPr>
              <w:t>W</w:t>
            </w:r>
            <w:r w:rsidRPr="00E362CC">
              <w:rPr>
                <w:bCs/>
                <w:sz w:val="22"/>
              </w:rPr>
              <w:t>ö</w:t>
            </w:r>
            <w:r w:rsidRPr="00E362CC">
              <w:rPr>
                <w:rFonts w:cs="Arial"/>
                <w:bCs/>
                <w:sz w:val="22"/>
              </w:rPr>
              <w:t>rwag Pharma GmbH</w:t>
            </w:r>
            <w:r>
              <w:rPr>
                <w:rFonts w:cs="Arial"/>
                <w:bCs/>
                <w:sz w:val="22"/>
              </w:rPr>
              <w:t xml:space="preserve"> </w:t>
            </w:r>
            <w:r w:rsidRPr="00E362CC">
              <w:rPr>
                <w:rFonts w:cs="Arial"/>
                <w:bCs/>
                <w:sz w:val="22"/>
              </w:rPr>
              <w:t>&amp;</w:t>
            </w:r>
            <w:r>
              <w:rPr>
                <w:rFonts w:cs="Arial"/>
                <w:bCs/>
                <w:sz w:val="22"/>
              </w:rPr>
              <w:t xml:space="preserve"> </w:t>
            </w:r>
            <w:r w:rsidRPr="00E362CC">
              <w:rPr>
                <w:rFonts w:cs="Arial"/>
                <w:bCs/>
                <w:color w:val="000000"/>
                <w:sz w:val="22"/>
              </w:rPr>
              <w:t>Co.KG, Böblingen, Njemačka-Dio stranog društva, Podgorica</w:t>
            </w:r>
          </w:p>
          <w:p w:rsidR="00EC0F9E" w:rsidRDefault="00EC0F9E" w:rsidP="00B750B6">
            <w:pPr>
              <w:pStyle w:val="Header"/>
              <w:tabs>
                <w:tab w:val="left" w:pos="284"/>
              </w:tabs>
              <w:rPr>
                <w:rFonts w:cs="Arial"/>
                <w:sz w:val="22"/>
              </w:rPr>
            </w:pPr>
            <w:r w:rsidRPr="00871002">
              <w:rPr>
                <w:rFonts w:cs="Arial"/>
                <w:bCs/>
                <w:sz w:val="22"/>
              </w:rPr>
              <w:t>Karađorđeva 4, 81 000 Podgorica, Crna Gora</w:t>
            </w:r>
          </w:p>
        </w:tc>
      </w:tr>
      <w:tr w:rsidR="00EC0F9E">
        <w:tblPrEx>
          <w:tblCellMar>
            <w:top w:w="0" w:type="dxa"/>
            <w:bottom w:w="0" w:type="dxa"/>
          </w:tblCellMar>
        </w:tblPrEx>
        <w:trPr>
          <w:cantSplit/>
        </w:trPr>
        <w:tc>
          <w:tcPr>
            <w:tcW w:w="10188" w:type="dxa"/>
            <w:gridSpan w:val="6"/>
            <w:shd w:val="clear" w:color="auto" w:fill="E0E0E0"/>
            <w:vAlign w:val="center"/>
          </w:tcPr>
          <w:p w:rsidR="00EC0F9E" w:rsidRDefault="00EC0F9E" w:rsidP="00B750B6">
            <w:pPr>
              <w:pStyle w:val="Header"/>
              <w:tabs>
                <w:tab w:val="left" w:pos="284"/>
              </w:tabs>
              <w:rPr>
                <w:rFonts w:cs="Arial"/>
                <w:b/>
                <w:bCs/>
                <w:sz w:val="22"/>
              </w:rPr>
            </w:pPr>
            <w:r>
              <w:rPr>
                <w:rFonts w:cs="Arial"/>
                <w:b/>
                <w:bCs/>
                <w:sz w:val="22"/>
              </w:rPr>
              <w:t>8. BROJ PRVE DOZVOLE I OBNOVE DOZVOLE</w:t>
            </w:r>
          </w:p>
        </w:tc>
      </w:tr>
      <w:tr w:rsidR="00EC0F9E" w:rsidRPr="005E079F">
        <w:tblPrEx>
          <w:tblCellMar>
            <w:top w:w="0" w:type="dxa"/>
            <w:bottom w:w="0" w:type="dxa"/>
          </w:tblCellMar>
        </w:tblPrEx>
        <w:trPr>
          <w:cantSplit/>
          <w:trHeight w:val="1145"/>
        </w:trPr>
        <w:tc>
          <w:tcPr>
            <w:tcW w:w="10188" w:type="dxa"/>
            <w:gridSpan w:val="6"/>
            <w:vAlign w:val="center"/>
          </w:tcPr>
          <w:p w:rsidR="004144B0" w:rsidRDefault="004144B0" w:rsidP="00EC0F9E">
            <w:pPr>
              <w:pStyle w:val="Header"/>
              <w:tabs>
                <w:tab w:val="left" w:pos="284"/>
              </w:tabs>
              <w:rPr>
                <w:rFonts w:cs="Arial"/>
                <w:sz w:val="22"/>
                <w:szCs w:val="22"/>
              </w:rPr>
            </w:pPr>
          </w:p>
          <w:p w:rsidR="00EC0F9E" w:rsidRPr="004144B0" w:rsidRDefault="00EC0F9E" w:rsidP="00EC0F9E">
            <w:pPr>
              <w:pStyle w:val="Header"/>
              <w:tabs>
                <w:tab w:val="left" w:pos="284"/>
              </w:tabs>
              <w:rPr>
                <w:rFonts w:cs="Arial"/>
                <w:sz w:val="22"/>
                <w:szCs w:val="22"/>
              </w:rPr>
            </w:pPr>
            <w:r w:rsidRPr="00EC0F9E">
              <w:rPr>
                <w:rFonts w:cs="Arial"/>
                <w:sz w:val="22"/>
                <w:szCs w:val="22"/>
              </w:rPr>
              <w:t>Gabagamma® 100, 100 mg, tvrda kapsula</w:t>
            </w:r>
            <w:r>
              <w:rPr>
                <w:rFonts w:cs="Arial"/>
                <w:sz w:val="22"/>
                <w:szCs w:val="22"/>
              </w:rPr>
              <w:t>,</w:t>
            </w:r>
            <w:r w:rsidRPr="00EC0F9E">
              <w:rPr>
                <w:rFonts w:cs="Arial"/>
                <w:sz w:val="22"/>
                <w:szCs w:val="22"/>
              </w:rPr>
              <w:t xml:space="preserve"> 20 kom, blister 2x10 kom</w:t>
            </w:r>
            <w:r w:rsidR="004144B0">
              <w:rPr>
                <w:rFonts w:cs="Arial"/>
                <w:sz w:val="22"/>
                <w:szCs w:val="22"/>
              </w:rPr>
              <w:t>:</w:t>
            </w:r>
            <w:r w:rsidR="004144B0">
              <w:t xml:space="preserve"> </w:t>
            </w:r>
            <w:r w:rsidR="004144B0" w:rsidRPr="004144B0">
              <w:rPr>
                <w:rFonts w:cs="Arial"/>
                <w:sz w:val="22"/>
                <w:szCs w:val="22"/>
              </w:rPr>
              <w:t>2030/10/50 - 593</w:t>
            </w:r>
          </w:p>
          <w:p w:rsidR="00EC0F9E" w:rsidRPr="004144B0" w:rsidRDefault="00EC0F9E" w:rsidP="00EC0F9E">
            <w:pPr>
              <w:pStyle w:val="Header"/>
              <w:tabs>
                <w:tab w:val="left" w:pos="284"/>
              </w:tabs>
              <w:rPr>
                <w:rFonts w:cs="Arial"/>
                <w:sz w:val="22"/>
                <w:szCs w:val="22"/>
              </w:rPr>
            </w:pPr>
            <w:r w:rsidRPr="00EC0F9E">
              <w:rPr>
                <w:rFonts w:cs="Arial"/>
                <w:sz w:val="22"/>
                <w:szCs w:val="22"/>
              </w:rPr>
              <w:t>Gabagamma® 100, 100 mg, tvrda kapsula</w:t>
            </w:r>
            <w:r>
              <w:rPr>
                <w:rFonts w:cs="Arial"/>
                <w:sz w:val="22"/>
                <w:szCs w:val="22"/>
              </w:rPr>
              <w:t>,</w:t>
            </w:r>
            <w:r w:rsidR="004144B0">
              <w:rPr>
                <w:rFonts w:cs="Arial"/>
                <w:sz w:val="22"/>
                <w:szCs w:val="22"/>
              </w:rPr>
              <w:t xml:space="preserve"> 50 kom, blister 5x10 kom: </w:t>
            </w:r>
            <w:r w:rsidR="004144B0" w:rsidRPr="004144B0">
              <w:rPr>
                <w:rFonts w:cs="Arial"/>
                <w:sz w:val="22"/>
                <w:szCs w:val="22"/>
              </w:rPr>
              <w:t>2030/10/57 - 594</w:t>
            </w:r>
          </w:p>
          <w:p w:rsidR="00EC0F9E" w:rsidRPr="004144B0" w:rsidRDefault="00EC0F9E" w:rsidP="00EC0F9E">
            <w:pPr>
              <w:pStyle w:val="Header"/>
              <w:tabs>
                <w:tab w:val="left" w:pos="284"/>
              </w:tabs>
              <w:rPr>
                <w:rFonts w:cs="Arial"/>
                <w:sz w:val="22"/>
                <w:szCs w:val="22"/>
              </w:rPr>
            </w:pPr>
            <w:r w:rsidRPr="00EC0F9E">
              <w:rPr>
                <w:rFonts w:cs="Arial"/>
                <w:sz w:val="22"/>
                <w:szCs w:val="22"/>
              </w:rPr>
              <w:t>Gabagamma® 300, 300 mg, tvrda kapsula</w:t>
            </w:r>
            <w:r>
              <w:rPr>
                <w:rFonts w:cs="Arial"/>
                <w:sz w:val="22"/>
                <w:szCs w:val="22"/>
              </w:rPr>
              <w:t xml:space="preserve">, </w:t>
            </w:r>
            <w:r w:rsidRPr="00EC0F9E">
              <w:rPr>
                <w:rFonts w:cs="Arial"/>
                <w:sz w:val="22"/>
                <w:szCs w:val="22"/>
              </w:rPr>
              <w:t>20 kom, blister 2x10 kom</w:t>
            </w:r>
            <w:r w:rsidR="004144B0">
              <w:rPr>
                <w:rFonts w:cs="Arial"/>
                <w:sz w:val="22"/>
                <w:szCs w:val="22"/>
              </w:rPr>
              <w:t xml:space="preserve">: </w:t>
            </w:r>
            <w:r w:rsidR="004144B0" w:rsidRPr="004144B0">
              <w:rPr>
                <w:rFonts w:cs="Arial"/>
                <w:sz w:val="22"/>
                <w:szCs w:val="22"/>
              </w:rPr>
              <w:t>2030/10/56 - 595</w:t>
            </w:r>
          </w:p>
          <w:p w:rsidR="00EC0F9E" w:rsidRPr="004144B0" w:rsidRDefault="00EC0F9E" w:rsidP="00EC0F9E">
            <w:pPr>
              <w:pStyle w:val="Header"/>
              <w:tabs>
                <w:tab w:val="left" w:pos="284"/>
              </w:tabs>
              <w:rPr>
                <w:rFonts w:cs="Arial"/>
                <w:sz w:val="22"/>
                <w:szCs w:val="22"/>
              </w:rPr>
            </w:pPr>
            <w:r w:rsidRPr="00EC0F9E">
              <w:rPr>
                <w:rFonts w:cs="Arial"/>
                <w:sz w:val="22"/>
                <w:szCs w:val="22"/>
              </w:rPr>
              <w:t>Gabagamma® 300, 300 mg, tvrda kapsula</w:t>
            </w:r>
            <w:r>
              <w:rPr>
                <w:rFonts w:cs="Arial"/>
                <w:sz w:val="22"/>
                <w:szCs w:val="22"/>
              </w:rPr>
              <w:t xml:space="preserve">, </w:t>
            </w:r>
            <w:r w:rsidRPr="00EC0F9E">
              <w:rPr>
                <w:rFonts w:cs="Arial"/>
                <w:sz w:val="22"/>
                <w:szCs w:val="22"/>
              </w:rPr>
              <w:t>50 kom, blister 5x10 kom</w:t>
            </w:r>
            <w:r w:rsidR="004144B0">
              <w:rPr>
                <w:rFonts w:cs="Arial"/>
                <w:sz w:val="22"/>
                <w:szCs w:val="22"/>
              </w:rPr>
              <w:t xml:space="preserve">: </w:t>
            </w:r>
            <w:r w:rsidR="004144B0" w:rsidRPr="004144B0">
              <w:rPr>
                <w:rFonts w:cs="Arial"/>
                <w:sz w:val="22"/>
                <w:szCs w:val="22"/>
              </w:rPr>
              <w:t>2030/10/58 - 596</w:t>
            </w:r>
          </w:p>
          <w:p w:rsidR="00EC0F9E" w:rsidRPr="00EC72D4" w:rsidRDefault="00EC0F9E" w:rsidP="00EC0F9E">
            <w:pPr>
              <w:pStyle w:val="Header"/>
              <w:tabs>
                <w:tab w:val="left" w:pos="284"/>
              </w:tabs>
              <w:rPr>
                <w:rFonts w:cs="Arial"/>
                <w:sz w:val="22"/>
                <w:szCs w:val="22"/>
              </w:rPr>
            </w:pPr>
            <w:r w:rsidRPr="00EC0F9E">
              <w:rPr>
                <w:rFonts w:cs="Arial"/>
                <w:sz w:val="22"/>
                <w:szCs w:val="22"/>
              </w:rPr>
              <w:t>Gabagamma® 400, 400 mg, tvrda kapsula</w:t>
            </w:r>
            <w:r>
              <w:rPr>
                <w:rFonts w:cs="Arial"/>
                <w:sz w:val="22"/>
                <w:szCs w:val="22"/>
              </w:rPr>
              <w:t xml:space="preserve">, </w:t>
            </w:r>
            <w:r w:rsidRPr="00EC0F9E">
              <w:rPr>
                <w:rFonts w:cs="Arial"/>
                <w:sz w:val="22"/>
                <w:szCs w:val="22"/>
              </w:rPr>
              <w:t>20 kom, blister 2x10 kom</w:t>
            </w:r>
            <w:r w:rsidR="00EC72D4">
              <w:rPr>
                <w:rFonts w:cs="Arial"/>
                <w:sz w:val="22"/>
                <w:szCs w:val="22"/>
              </w:rPr>
              <w:t xml:space="preserve">. </w:t>
            </w:r>
            <w:r w:rsidR="00EC72D4" w:rsidRPr="00EC72D4">
              <w:rPr>
                <w:rFonts w:cs="Arial"/>
                <w:sz w:val="22"/>
                <w:szCs w:val="22"/>
              </w:rPr>
              <w:t>2030/10/59 - 597</w:t>
            </w:r>
          </w:p>
          <w:p w:rsidR="00EC0F9E" w:rsidRPr="00EC72D4" w:rsidRDefault="00EC0F9E" w:rsidP="00EC0F9E">
            <w:pPr>
              <w:pStyle w:val="Header"/>
              <w:tabs>
                <w:tab w:val="left" w:pos="284"/>
              </w:tabs>
              <w:rPr>
                <w:rFonts w:cs="Arial"/>
                <w:sz w:val="22"/>
                <w:szCs w:val="22"/>
              </w:rPr>
            </w:pPr>
            <w:r w:rsidRPr="00EC0F9E">
              <w:rPr>
                <w:rFonts w:cs="Arial"/>
                <w:sz w:val="22"/>
                <w:szCs w:val="22"/>
              </w:rPr>
              <w:t>Gabagamma® 400, 400 mg, tvrda kapsula</w:t>
            </w:r>
            <w:r>
              <w:rPr>
                <w:rFonts w:cs="Arial"/>
                <w:sz w:val="22"/>
                <w:szCs w:val="22"/>
              </w:rPr>
              <w:t xml:space="preserve">, </w:t>
            </w:r>
            <w:r w:rsidRPr="00EC0F9E">
              <w:rPr>
                <w:rFonts w:cs="Arial"/>
                <w:sz w:val="22"/>
                <w:szCs w:val="22"/>
              </w:rPr>
              <w:t>50 kom, blister 5x10 kom</w:t>
            </w:r>
            <w:r w:rsidR="00EC72D4">
              <w:rPr>
                <w:rFonts w:cs="Arial"/>
                <w:sz w:val="22"/>
                <w:szCs w:val="22"/>
              </w:rPr>
              <w:t xml:space="preserve">: </w:t>
            </w:r>
            <w:r w:rsidR="00EC72D4" w:rsidRPr="00EC72D4">
              <w:rPr>
                <w:rFonts w:cs="Arial"/>
                <w:sz w:val="22"/>
                <w:szCs w:val="22"/>
              </w:rPr>
              <w:t>2030/10/60 - 598</w:t>
            </w:r>
          </w:p>
          <w:p w:rsidR="00EC0F9E" w:rsidRPr="00EC0F9E" w:rsidRDefault="00EC0F9E" w:rsidP="00EC0F9E">
            <w:pPr>
              <w:pStyle w:val="Header"/>
              <w:tabs>
                <w:tab w:val="left" w:pos="284"/>
              </w:tabs>
              <w:rPr>
                <w:rFonts w:cs="Arial"/>
                <w:sz w:val="22"/>
                <w:szCs w:val="22"/>
              </w:rPr>
            </w:pPr>
          </w:p>
          <w:p w:rsidR="00EC0F9E" w:rsidRPr="00EC0F9E" w:rsidRDefault="00EC0F9E" w:rsidP="00EC0F9E">
            <w:pPr>
              <w:pStyle w:val="Header"/>
              <w:tabs>
                <w:tab w:val="left" w:pos="284"/>
              </w:tabs>
              <w:rPr>
                <w:rFonts w:cs="Arial"/>
                <w:sz w:val="22"/>
                <w:szCs w:val="22"/>
              </w:rPr>
            </w:pPr>
          </w:p>
          <w:p w:rsidR="00EC0F9E" w:rsidRPr="00EC0F9E" w:rsidRDefault="00EC0F9E" w:rsidP="00EC0F9E">
            <w:pPr>
              <w:pStyle w:val="Header"/>
              <w:tabs>
                <w:tab w:val="left" w:pos="284"/>
              </w:tabs>
              <w:rPr>
                <w:rFonts w:cs="Arial"/>
                <w:sz w:val="22"/>
                <w:szCs w:val="22"/>
              </w:rPr>
            </w:pPr>
          </w:p>
        </w:tc>
      </w:tr>
      <w:tr w:rsidR="00EC0F9E">
        <w:tblPrEx>
          <w:tblCellMar>
            <w:top w:w="0" w:type="dxa"/>
            <w:bottom w:w="0" w:type="dxa"/>
          </w:tblCellMar>
        </w:tblPrEx>
        <w:trPr>
          <w:cantSplit/>
        </w:trPr>
        <w:tc>
          <w:tcPr>
            <w:tcW w:w="10188" w:type="dxa"/>
            <w:gridSpan w:val="6"/>
            <w:shd w:val="clear" w:color="auto" w:fill="E0E0E0"/>
            <w:vAlign w:val="center"/>
          </w:tcPr>
          <w:p w:rsidR="00EC0F9E" w:rsidRDefault="00EC0F9E" w:rsidP="00B750B6">
            <w:pPr>
              <w:pStyle w:val="Header"/>
              <w:tabs>
                <w:tab w:val="left" w:pos="284"/>
              </w:tabs>
              <w:rPr>
                <w:rFonts w:cs="Arial"/>
                <w:b/>
                <w:bCs/>
                <w:sz w:val="22"/>
              </w:rPr>
            </w:pPr>
            <w:r>
              <w:rPr>
                <w:rFonts w:cs="Arial"/>
                <w:b/>
                <w:bCs/>
                <w:sz w:val="22"/>
              </w:rPr>
              <w:t>9. DATUM PRVE DOZVOLE I DATUM OBNOVE DOZVOLE</w:t>
            </w:r>
          </w:p>
        </w:tc>
      </w:tr>
      <w:tr w:rsidR="00EC0F9E">
        <w:tblPrEx>
          <w:tblCellMar>
            <w:top w:w="0" w:type="dxa"/>
            <w:bottom w:w="0" w:type="dxa"/>
          </w:tblCellMar>
        </w:tblPrEx>
        <w:trPr>
          <w:cantSplit/>
          <w:trHeight w:val="1145"/>
        </w:trPr>
        <w:tc>
          <w:tcPr>
            <w:tcW w:w="10188" w:type="dxa"/>
            <w:gridSpan w:val="6"/>
            <w:vAlign w:val="center"/>
          </w:tcPr>
          <w:p w:rsidR="004144B0" w:rsidRDefault="004144B0" w:rsidP="00EC0F9E">
            <w:pPr>
              <w:pStyle w:val="Header"/>
              <w:tabs>
                <w:tab w:val="left" w:pos="284"/>
              </w:tabs>
              <w:rPr>
                <w:rFonts w:cs="Arial"/>
                <w:sz w:val="22"/>
                <w:szCs w:val="22"/>
              </w:rPr>
            </w:pPr>
          </w:p>
          <w:p w:rsidR="00EC0F9E" w:rsidRDefault="00EC0F9E" w:rsidP="00EC0F9E">
            <w:pPr>
              <w:pStyle w:val="Header"/>
              <w:tabs>
                <w:tab w:val="left" w:pos="284"/>
              </w:tabs>
              <w:rPr>
                <w:rFonts w:cs="Arial"/>
                <w:sz w:val="22"/>
                <w:szCs w:val="22"/>
              </w:rPr>
            </w:pPr>
            <w:r w:rsidRPr="00EC0F9E">
              <w:rPr>
                <w:rFonts w:cs="Arial"/>
                <w:sz w:val="22"/>
                <w:szCs w:val="22"/>
              </w:rPr>
              <w:t>Gabagamma® 100, 100 mg, tvrda kapsula</w:t>
            </w:r>
            <w:r>
              <w:rPr>
                <w:rFonts w:cs="Arial"/>
                <w:sz w:val="22"/>
                <w:szCs w:val="22"/>
              </w:rPr>
              <w:t>,</w:t>
            </w:r>
            <w:r w:rsidRPr="00EC0F9E">
              <w:rPr>
                <w:rFonts w:cs="Arial"/>
                <w:sz w:val="22"/>
                <w:szCs w:val="22"/>
              </w:rPr>
              <w:t xml:space="preserve"> 20 kom, blister 2x10 kom</w:t>
            </w:r>
            <w:r w:rsidR="00311BA9">
              <w:rPr>
                <w:rFonts w:cs="Arial"/>
                <w:sz w:val="22"/>
                <w:szCs w:val="22"/>
              </w:rPr>
              <w:t xml:space="preserve">: </w:t>
            </w:r>
            <w:r w:rsidR="00311BA9">
              <w:rPr>
                <w:sz w:val="22"/>
                <w:szCs w:val="22"/>
                <w:lang w:val="sr-Latn-CS"/>
              </w:rPr>
              <w:t>15.09.2010</w:t>
            </w:r>
          </w:p>
          <w:p w:rsidR="00EC0F9E" w:rsidRDefault="00EC0F9E" w:rsidP="00EC0F9E">
            <w:pPr>
              <w:pStyle w:val="Header"/>
              <w:tabs>
                <w:tab w:val="left" w:pos="284"/>
              </w:tabs>
              <w:rPr>
                <w:rFonts w:cs="Arial"/>
                <w:sz w:val="22"/>
                <w:szCs w:val="22"/>
              </w:rPr>
            </w:pPr>
            <w:r w:rsidRPr="00EC0F9E">
              <w:rPr>
                <w:rFonts w:cs="Arial"/>
                <w:sz w:val="22"/>
                <w:szCs w:val="22"/>
              </w:rPr>
              <w:t>Gabagamma® 100, 100 mg, tvrda kapsula</w:t>
            </w:r>
            <w:r>
              <w:rPr>
                <w:rFonts w:cs="Arial"/>
                <w:sz w:val="22"/>
                <w:szCs w:val="22"/>
              </w:rPr>
              <w:t>,</w:t>
            </w:r>
            <w:r w:rsidRPr="00EC0F9E">
              <w:rPr>
                <w:rFonts w:cs="Arial"/>
                <w:sz w:val="22"/>
                <w:szCs w:val="22"/>
              </w:rPr>
              <w:t xml:space="preserve"> 50 kom, blister 5x10 kom</w:t>
            </w:r>
            <w:r w:rsidR="00311BA9">
              <w:rPr>
                <w:rFonts w:cs="Arial"/>
                <w:sz w:val="22"/>
                <w:szCs w:val="22"/>
              </w:rPr>
              <w:t xml:space="preserve">: </w:t>
            </w:r>
            <w:r w:rsidR="00311BA9">
              <w:rPr>
                <w:sz w:val="22"/>
                <w:szCs w:val="22"/>
                <w:lang w:val="sr-Latn-CS"/>
              </w:rPr>
              <w:t>15.09.2010</w:t>
            </w:r>
            <w:r w:rsidRPr="00EC0F9E">
              <w:rPr>
                <w:rFonts w:cs="Arial"/>
                <w:sz w:val="22"/>
                <w:szCs w:val="22"/>
              </w:rPr>
              <w:t xml:space="preserve"> </w:t>
            </w:r>
          </w:p>
          <w:p w:rsidR="00EC0F9E" w:rsidRDefault="00EC0F9E" w:rsidP="00EC0F9E">
            <w:pPr>
              <w:pStyle w:val="Header"/>
              <w:tabs>
                <w:tab w:val="left" w:pos="284"/>
              </w:tabs>
              <w:rPr>
                <w:rFonts w:cs="Arial"/>
                <w:sz w:val="22"/>
                <w:szCs w:val="22"/>
              </w:rPr>
            </w:pPr>
            <w:r w:rsidRPr="00EC0F9E">
              <w:rPr>
                <w:rFonts w:cs="Arial"/>
                <w:sz w:val="22"/>
                <w:szCs w:val="22"/>
              </w:rPr>
              <w:t>Gabagamma® 300, 300 mg, tvrda kapsula</w:t>
            </w:r>
            <w:r>
              <w:rPr>
                <w:rFonts w:cs="Arial"/>
                <w:sz w:val="22"/>
                <w:szCs w:val="22"/>
              </w:rPr>
              <w:t xml:space="preserve">, </w:t>
            </w:r>
            <w:r w:rsidRPr="00EC0F9E">
              <w:rPr>
                <w:rFonts w:cs="Arial"/>
                <w:sz w:val="22"/>
                <w:szCs w:val="22"/>
              </w:rPr>
              <w:t>20 kom, blister 2x10 kom</w:t>
            </w:r>
            <w:r w:rsidR="00311BA9">
              <w:rPr>
                <w:rFonts w:cs="Arial"/>
                <w:sz w:val="22"/>
                <w:szCs w:val="22"/>
              </w:rPr>
              <w:t xml:space="preserve">: </w:t>
            </w:r>
            <w:r w:rsidR="00311BA9">
              <w:rPr>
                <w:sz w:val="22"/>
                <w:szCs w:val="22"/>
                <w:lang w:val="sr-Latn-CS"/>
              </w:rPr>
              <w:t>15.09.2010</w:t>
            </w:r>
          </w:p>
          <w:p w:rsidR="00EC0F9E" w:rsidRPr="00EC0F9E" w:rsidRDefault="00EC0F9E" w:rsidP="00EC0F9E">
            <w:pPr>
              <w:pStyle w:val="Header"/>
              <w:tabs>
                <w:tab w:val="left" w:pos="284"/>
              </w:tabs>
              <w:rPr>
                <w:rFonts w:cs="Arial"/>
                <w:sz w:val="22"/>
                <w:szCs w:val="22"/>
              </w:rPr>
            </w:pPr>
            <w:r w:rsidRPr="00EC0F9E">
              <w:rPr>
                <w:rFonts w:cs="Arial"/>
                <w:sz w:val="22"/>
                <w:szCs w:val="22"/>
              </w:rPr>
              <w:t>Gabagamma® 300, 300 mg, tvrda kapsula</w:t>
            </w:r>
            <w:r>
              <w:rPr>
                <w:rFonts w:cs="Arial"/>
                <w:sz w:val="22"/>
                <w:szCs w:val="22"/>
              </w:rPr>
              <w:t xml:space="preserve">, </w:t>
            </w:r>
            <w:r w:rsidRPr="00EC0F9E">
              <w:rPr>
                <w:rFonts w:cs="Arial"/>
                <w:sz w:val="22"/>
                <w:szCs w:val="22"/>
              </w:rPr>
              <w:t>50 kom, blister 5x10 kom</w:t>
            </w:r>
            <w:r w:rsidR="00311BA9">
              <w:rPr>
                <w:rFonts w:cs="Arial"/>
                <w:sz w:val="22"/>
                <w:szCs w:val="22"/>
              </w:rPr>
              <w:t xml:space="preserve">: </w:t>
            </w:r>
            <w:r w:rsidR="00311BA9">
              <w:rPr>
                <w:sz w:val="22"/>
                <w:szCs w:val="22"/>
                <w:lang w:val="sr-Latn-CS"/>
              </w:rPr>
              <w:t>15.09.2010</w:t>
            </w:r>
          </w:p>
          <w:p w:rsidR="00311BA9" w:rsidRDefault="00EC0F9E" w:rsidP="00EC0F9E">
            <w:pPr>
              <w:pStyle w:val="Header"/>
              <w:tabs>
                <w:tab w:val="left" w:pos="284"/>
              </w:tabs>
              <w:rPr>
                <w:sz w:val="22"/>
                <w:szCs w:val="22"/>
                <w:lang w:val="sr-Latn-CS"/>
              </w:rPr>
            </w:pPr>
            <w:r w:rsidRPr="00EC0F9E">
              <w:rPr>
                <w:rFonts w:cs="Arial"/>
                <w:sz w:val="22"/>
                <w:szCs w:val="22"/>
              </w:rPr>
              <w:t>Gabagamma® 400, 400 mg, tvrda kapsula</w:t>
            </w:r>
            <w:r>
              <w:rPr>
                <w:rFonts w:cs="Arial"/>
                <w:sz w:val="22"/>
                <w:szCs w:val="22"/>
              </w:rPr>
              <w:t xml:space="preserve">, </w:t>
            </w:r>
            <w:r w:rsidRPr="00EC0F9E">
              <w:rPr>
                <w:rFonts w:cs="Arial"/>
                <w:sz w:val="22"/>
                <w:szCs w:val="22"/>
              </w:rPr>
              <w:t>20 kom, blister 2x10 kom</w:t>
            </w:r>
            <w:r w:rsidR="00311BA9">
              <w:rPr>
                <w:rFonts w:cs="Arial"/>
                <w:sz w:val="22"/>
                <w:szCs w:val="22"/>
              </w:rPr>
              <w:t xml:space="preserve">: </w:t>
            </w:r>
            <w:r w:rsidR="00311BA9">
              <w:rPr>
                <w:sz w:val="22"/>
                <w:szCs w:val="22"/>
                <w:lang w:val="sr-Latn-CS"/>
              </w:rPr>
              <w:t>15.09.2010</w:t>
            </w:r>
          </w:p>
          <w:p w:rsidR="00EC0F9E" w:rsidRPr="00EC0F9E" w:rsidRDefault="00EC0F9E" w:rsidP="00EC0F9E">
            <w:pPr>
              <w:pStyle w:val="Header"/>
              <w:tabs>
                <w:tab w:val="left" w:pos="284"/>
              </w:tabs>
              <w:rPr>
                <w:rFonts w:cs="Arial"/>
                <w:sz w:val="22"/>
                <w:szCs w:val="22"/>
              </w:rPr>
            </w:pPr>
            <w:r w:rsidRPr="00EC0F9E">
              <w:rPr>
                <w:rFonts w:cs="Arial"/>
                <w:sz w:val="22"/>
                <w:szCs w:val="22"/>
              </w:rPr>
              <w:t>Gabagamma® 400, 400 mg, tvrda kapsula</w:t>
            </w:r>
            <w:r>
              <w:rPr>
                <w:rFonts w:cs="Arial"/>
                <w:sz w:val="22"/>
                <w:szCs w:val="22"/>
              </w:rPr>
              <w:t xml:space="preserve">, </w:t>
            </w:r>
            <w:r w:rsidRPr="00EC0F9E">
              <w:rPr>
                <w:rFonts w:cs="Arial"/>
                <w:sz w:val="22"/>
                <w:szCs w:val="22"/>
              </w:rPr>
              <w:t>50 kom, blister 5x10 kom</w:t>
            </w:r>
            <w:r w:rsidR="00311BA9">
              <w:rPr>
                <w:rFonts w:cs="Arial"/>
                <w:sz w:val="22"/>
                <w:szCs w:val="22"/>
              </w:rPr>
              <w:t xml:space="preserve">: </w:t>
            </w:r>
            <w:r w:rsidR="00311BA9">
              <w:rPr>
                <w:sz w:val="22"/>
                <w:szCs w:val="22"/>
                <w:lang w:val="sr-Latn-CS"/>
              </w:rPr>
              <w:t>15.09.2010</w:t>
            </w:r>
          </w:p>
          <w:p w:rsidR="00EC0F9E" w:rsidRDefault="00EC0F9E" w:rsidP="00B750B6">
            <w:pPr>
              <w:pStyle w:val="Header"/>
              <w:tabs>
                <w:tab w:val="left" w:pos="284"/>
              </w:tabs>
              <w:rPr>
                <w:rFonts w:cs="Arial"/>
                <w:sz w:val="22"/>
              </w:rPr>
            </w:pPr>
          </w:p>
          <w:p w:rsidR="004144B0" w:rsidRDefault="004144B0" w:rsidP="00B750B6">
            <w:pPr>
              <w:pStyle w:val="Header"/>
              <w:tabs>
                <w:tab w:val="left" w:pos="284"/>
              </w:tabs>
              <w:rPr>
                <w:rFonts w:cs="Arial"/>
                <w:sz w:val="22"/>
              </w:rPr>
            </w:pPr>
          </w:p>
        </w:tc>
      </w:tr>
      <w:tr w:rsidR="00EC0F9E">
        <w:tblPrEx>
          <w:tblCellMar>
            <w:top w:w="0" w:type="dxa"/>
            <w:bottom w:w="0" w:type="dxa"/>
          </w:tblCellMar>
        </w:tblPrEx>
        <w:trPr>
          <w:cantSplit/>
        </w:trPr>
        <w:tc>
          <w:tcPr>
            <w:tcW w:w="10188" w:type="dxa"/>
            <w:gridSpan w:val="6"/>
            <w:shd w:val="clear" w:color="auto" w:fill="E0E0E0"/>
            <w:vAlign w:val="center"/>
          </w:tcPr>
          <w:p w:rsidR="00EC0F9E" w:rsidRDefault="00EC0F9E" w:rsidP="00B750B6">
            <w:pPr>
              <w:pStyle w:val="Header"/>
              <w:tabs>
                <w:tab w:val="left" w:pos="284"/>
              </w:tabs>
              <w:rPr>
                <w:rFonts w:cs="Arial"/>
                <w:b/>
                <w:bCs/>
                <w:sz w:val="22"/>
              </w:rPr>
            </w:pPr>
            <w:r>
              <w:rPr>
                <w:rFonts w:cs="Arial"/>
                <w:b/>
                <w:bCs/>
                <w:sz w:val="22"/>
              </w:rPr>
              <w:t>10. DATUM REVIZIJE TEKSTA</w:t>
            </w:r>
          </w:p>
        </w:tc>
      </w:tr>
      <w:tr w:rsidR="00EC0F9E">
        <w:tblPrEx>
          <w:tblCellMar>
            <w:top w:w="0" w:type="dxa"/>
            <w:bottom w:w="0" w:type="dxa"/>
          </w:tblCellMar>
        </w:tblPrEx>
        <w:trPr>
          <w:cantSplit/>
          <w:trHeight w:val="1145"/>
        </w:trPr>
        <w:tc>
          <w:tcPr>
            <w:tcW w:w="10188" w:type="dxa"/>
            <w:gridSpan w:val="6"/>
            <w:vAlign w:val="center"/>
          </w:tcPr>
          <w:p w:rsidR="00EC0F9E" w:rsidRDefault="00EC0F9E" w:rsidP="00B750B6">
            <w:pPr>
              <w:pStyle w:val="Header"/>
              <w:tabs>
                <w:tab w:val="left" w:pos="284"/>
              </w:tabs>
              <w:rPr>
                <w:rFonts w:cs="Arial"/>
                <w:sz w:val="22"/>
              </w:rPr>
            </w:pPr>
            <w:r>
              <w:rPr>
                <w:rFonts w:cs="Arial"/>
                <w:sz w:val="22"/>
              </w:rPr>
              <w:t>Septembar 2010. godine</w:t>
            </w:r>
          </w:p>
        </w:tc>
      </w:tr>
    </w:tbl>
    <w:p w:rsidR="00EC0F9E" w:rsidRDefault="00EC0F9E" w:rsidP="00EC0F9E">
      <w:pPr>
        <w:pStyle w:val="Header"/>
        <w:tabs>
          <w:tab w:val="left" w:pos="284"/>
        </w:tabs>
        <w:rPr>
          <w:rFonts w:cs="Arial"/>
          <w:sz w:val="22"/>
        </w:rPr>
      </w:pPr>
    </w:p>
    <w:p w:rsidR="00EC0F9E" w:rsidRDefault="00EC0F9E" w:rsidP="00EC0F9E">
      <w:pPr>
        <w:rPr>
          <w:sz w:val="22"/>
        </w:rPr>
      </w:pPr>
    </w:p>
    <w:p w:rsidR="00EC0F9E" w:rsidRDefault="00EC0F9E" w:rsidP="00EC0F9E">
      <w:pPr>
        <w:rPr>
          <w:sz w:val="22"/>
        </w:rPr>
      </w:pPr>
    </w:p>
    <w:p w:rsidR="00A207E3" w:rsidRPr="00EC0F9E" w:rsidRDefault="00A207E3" w:rsidP="00EC0F9E">
      <w:pPr>
        <w:rPr>
          <w:szCs w:val="22"/>
        </w:rPr>
      </w:pPr>
    </w:p>
    <w:sectPr w:rsidR="00A207E3" w:rsidRPr="00EC0F9E"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051" w:rsidRDefault="00742051">
      <w:r>
        <w:separator/>
      </w:r>
    </w:p>
  </w:endnote>
  <w:endnote w:type="continuationSeparator" w:id="0">
    <w:p w:rsidR="00742051" w:rsidRDefault="0074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Humanist777">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BA9" w:rsidRDefault="00311BA9"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1BA9" w:rsidRDefault="00311BA9"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BA9" w:rsidRDefault="00311BA9" w:rsidP="00E70869">
    <w:pPr>
      <w:pStyle w:val="Footer"/>
      <w:framePr w:wrap="around" w:vAnchor="text" w:hAnchor="margin" w:xAlign="right" w:y="1"/>
      <w:rPr>
        <w:rStyle w:val="PageNumber"/>
      </w:rPr>
    </w:pPr>
  </w:p>
  <w:p w:rsidR="00311BA9" w:rsidRDefault="00CB356D" w:rsidP="00F96E5A">
    <w:pPr>
      <w:pStyle w:val="Header"/>
      <w:pBdr>
        <w:top w:val="thinThickSmallGap" w:sz="24" w:space="1" w:color="auto"/>
      </w:pBdr>
      <w:jc w:val="center"/>
    </w:pPr>
    <w:r>
      <w:rPr>
        <w:noProof/>
      </w:rPr>
      <w:drawing>
        <wp:inline distT="0" distB="0" distL="0" distR="0">
          <wp:extent cx="5705475" cy="361950"/>
          <wp:effectExtent l="0" t="0" r="0" b="0"/>
          <wp:docPr id="2" name="Picture 2"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361950"/>
                  </a:xfrm>
                  <a:prstGeom prst="rect">
                    <a:avLst/>
                  </a:prstGeom>
                  <a:noFill/>
                  <a:ln>
                    <a:noFill/>
                  </a:ln>
                </pic:spPr>
              </pic:pic>
            </a:graphicData>
          </a:graphic>
        </wp:inline>
      </w:drawing>
    </w:r>
  </w:p>
  <w:p w:rsidR="00311BA9" w:rsidRPr="00F96E5A" w:rsidRDefault="00311BA9" w:rsidP="00F96E5A">
    <w:pPr>
      <w:pStyle w:val="Header"/>
      <w:pBdr>
        <w:top w:val="thinThickSmallGap" w:sz="24" w:space="1" w:color="auto"/>
      </w:pBdr>
      <w:jc w:val="center"/>
      <w:rPr>
        <w:sz w:val="22"/>
        <w:szCs w:val="22"/>
      </w:rPr>
    </w:pPr>
    <w:r w:rsidRPr="001F3C63">
      <w:rPr>
        <w:rStyle w:val="PageNumber"/>
      </w:rPr>
      <w:fldChar w:fldCharType="begin"/>
    </w:r>
    <w:r w:rsidRPr="001F3C63">
      <w:rPr>
        <w:rStyle w:val="PageNumber"/>
      </w:rPr>
      <w:instrText xml:space="preserve"> PAGE </w:instrText>
    </w:r>
    <w:r>
      <w:rPr>
        <w:rStyle w:val="PageNumber"/>
      </w:rPr>
      <w:fldChar w:fldCharType="separate"/>
    </w:r>
    <w:r w:rsidR="00CB356D">
      <w:rPr>
        <w:rStyle w:val="PageNumber"/>
        <w:noProof/>
      </w:rPr>
      <w:t>11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Pr>
        <w:rStyle w:val="PageNumber"/>
      </w:rPr>
      <w:fldChar w:fldCharType="separate"/>
    </w:r>
    <w:r w:rsidR="00CB356D">
      <w:rPr>
        <w:rStyle w:val="PageNumber"/>
        <w:noProof/>
      </w:rPr>
      <w:t>17</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BA9" w:rsidRDefault="00311BA9"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051" w:rsidRDefault="00742051">
      <w:r>
        <w:separator/>
      </w:r>
    </w:p>
  </w:footnote>
  <w:footnote w:type="continuationSeparator" w:id="0">
    <w:p w:rsidR="00742051" w:rsidRDefault="00742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BA9" w:rsidRPr="00615ADD" w:rsidRDefault="00CB356D" w:rsidP="0008350D">
    <w:pPr>
      <w:pStyle w:val="Header"/>
      <w:pBdr>
        <w:top w:val="thinThickSmallGap" w:sz="24" w:space="1" w:color="auto"/>
      </w:pBdr>
    </w:pPr>
    <w:r>
      <w:rPr>
        <w:noProof/>
      </w:rPr>
      <w:drawing>
        <wp:inline distT="0" distB="0" distL="0" distR="0">
          <wp:extent cx="1438275" cy="1076325"/>
          <wp:effectExtent l="0" t="0" r="0" b="0"/>
          <wp:docPr id="1" name="Picture 1"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BA9" w:rsidRDefault="00CB356D">
    <w:pPr>
      <w:pStyle w:val="Header"/>
      <w:rPr>
        <w:sz w:val="16"/>
        <w:szCs w:val="16"/>
      </w:rPr>
    </w:pPr>
    <w:r w:rsidRPr="005319EA">
      <w:rPr>
        <w:noProof/>
        <w:sz w:val="16"/>
        <w:szCs w:val="16"/>
      </w:rPr>
      <w:drawing>
        <wp:inline distT="0" distB="0" distL="0" distR="0">
          <wp:extent cx="14478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311BA9" w:rsidRDefault="00311BA9">
    <w:pPr>
      <w:pStyle w:val="Header"/>
      <w:rPr>
        <w:sz w:val="16"/>
        <w:szCs w:val="16"/>
      </w:rPr>
    </w:pPr>
  </w:p>
  <w:p w:rsidR="00311BA9" w:rsidRDefault="00311BA9"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540C9"/>
    <w:multiLevelType w:val="hybridMultilevel"/>
    <w:tmpl w:val="21D08B02"/>
    <w:lvl w:ilvl="0" w:tplc="3C448478">
      <w:start w:val="8"/>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C31154"/>
    <w:multiLevelType w:val="hybridMultilevel"/>
    <w:tmpl w:val="D73A8894"/>
    <w:lvl w:ilvl="0" w:tplc="81D652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5" w15:restartNumberingAfterBreak="0">
    <w:nsid w:val="38542C71"/>
    <w:multiLevelType w:val="hybridMultilevel"/>
    <w:tmpl w:val="587AC020"/>
    <w:lvl w:ilvl="0" w:tplc="4C2EEEA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331B40"/>
    <w:multiLevelType w:val="hybridMultilevel"/>
    <w:tmpl w:val="D922992C"/>
    <w:lvl w:ilvl="0" w:tplc="8ADC7C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FB68A0"/>
    <w:multiLevelType w:val="hybridMultilevel"/>
    <w:tmpl w:val="8572C6DA"/>
    <w:lvl w:ilvl="0" w:tplc="4C2EEEA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C60966"/>
    <w:multiLevelType w:val="hybridMultilevel"/>
    <w:tmpl w:val="A1861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304DC7"/>
    <w:multiLevelType w:val="hybridMultilevel"/>
    <w:tmpl w:val="25EC4A8E"/>
    <w:lvl w:ilvl="0" w:tplc="ED0EF2DC">
      <w:start w:val="37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E13F25"/>
    <w:multiLevelType w:val="hybridMultilevel"/>
    <w:tmpl w:val="F996AF32"/>
    <w:lvl w:ilvl="0" w:tplc="C08EA274">
      <w:start w:val="8"/>
      <w:numFmt w:val="bullet"/>
      <w:lvlText w:val="-"/>
      <w:lvlJc w:val="left"/>
      <w:pPr>
        <w:tabs>
          <w:tab w:val="num" w:pos="567"/>
        </w:tabs>
        <w:ind w:left="567" w:hanging="567"/>
      </w:pPr>
      <w:rPr>
        <w:rFonts w:ascii="Arial" w:eastAsia="Times New Roman" w:hAnsi="Arial" w:hint="default"/>
      </w:rPr>
    </w:lvl>
    <w:lvl w:ilvl="1" w:tplc="D40A3CC6">
      <w:start w:val="4"/>
      <w:numFmt w:val="decimal"/>
      <w:lvlText w:val="4.%2."/>
      <w:lvlJc w:val="left"/>
      <w:pPr>
        <w:tabs>
          <w:tab w:val="num" w:pos="567"/>
        </w:tabs>
        <w:ind w:left="567" w:hanging="567"/>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lvlOverride w:ilvl="0"/>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num>
  <w:num w:numId="15">
    <w:abstractNumId w:val="13"/>
  </w:num>
  <w:num w:numId="16">
    <w:abstractNumId w:val="20"/>
  </w:num>
  <w:num w:numId="17">
    <w:abstractNumId w:val="11"/>
  </w:num>
  <w:num w:numId="18">
    <w:abstractNumId w:val="15"/>
  </w:num>
  <w:num w:numId="19">
    <w:abstractNumId w:val="18"/>
  </w:num>
  <w:num w:numId="20">
    <w:abstractNumId w:val="10"/>
  </w:num>
  <w:num w:numId="21">
    <w:abstractNumId w:val="23"/>
  </w:num>
  <w:num w:numId="22">
    <w:abstractNumId w:val="17"/>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4B28"/>
    <w:rsid w:val="00005D7D"/>
    <w:rsid w:val="00006E5C"/>
    <w:rsid w:val="00007DC9"/>
    <w:rsid w:val="000119D9"/>
    <w:rsid w:val="00012793"/>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1B1A"/>
    <w:rsid w:val="000771E2"/>
    <w:rsid w:val="00081747"/>
    <w:rsid w:val="0008350D"/>
    <w:rsid w:val="000855A9"/>
    <w:rsid w:val="00086A28"/>
    <w:rsid w:val="00094BE7"/>
    <w:rsid w:val="000975AB"/>
    <w:rsid w:val="00097935"/>
    <w:rsid w:val="000A137E"/>
    <w:rsid w:val="000A2EA1"/>
    <w:rsid w:val="000A33A7"/>
    <w:rsid w:val="000A3DA4"/>
    <w:rsid w:val="000A4786"/>
    <w:rsid w:val="000A47D0"/>
    <w:rsid w:val="000A738C"/>
    <w:rsid w:val="000B06E9"/>
    <w:rsid w:val="000B0D38"/>
    <w:rsid w:val="000B2A18"/>
    <w:rsid w:val="000B5AFB"/>
    <w:rsid w:val="000C3B84"/>
    <w:rsid w:val="000C7728"/>
    <w:rsid w:val="000D03EF"/>
    <w:rsid w:val="000D6526"/>
    <w:rsid w:val="000E1847"/>
    <w:rsid w:val="000E251A"/>
    <w:rsid w:val="000E30D4"/>
    <w:rsid w:val="000E376D"/>
    <w:rsid w:val="000F1C30"/>
    <w:rsid w:val="000F5734"/>
    <w:rsid w:val="000F5E16"/>
    <w:rsid w:val="000F7222"/>
    <w:rsid w:val="0010177B"/>
    <w:rsid w:val="00123901"/>
    <w:rsid w:val="00125032"/>
    <w:rsid w:val="00130E5B"/>
    <w:rsid w:val="001327A9"/>
    <w:rsid w:val="001346AA"/>
    <w:rsid w:val="00134B56"/>
    <w:rsid w:val="001379A3"/>
    <w:rsid w:val="00140DDE"/>
    <w:rsid w:val="00141C6D"/>
    <w:rsid w:val="00142921"/>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77943"/>
    <w:rsid w:val="0018296F"/>
    <w:rsid w:val="00185B9B"/>
    <w:rsid w:val="001B3424"/>
    <w:rsid w:val="001B61E4"/>
    <w:rsid w:val="001B731A"/>
    <w:rsid w:val="001C0FD7"/>
    <w:rsid w:val="001C691D"/>
    <w:rsid w:val="001C711D"/>
    <w:rsid w:val="001D301F"/>
    <w:rsid w:val="001D31CB"/>
    <w:rsid w:val="001D7370"/>
    <w:rsid w:val="001E195D"/>
    <w:rsid w:val="001F02DE"/>
    <w:rsid w:val="001F3C63"/>
    <w:rsid w:val="001F6994"/>
    <w:rsid w:val="00203D65"/>
    <w:rsid w:val="0020566A"/>
    <w:rsid w:val="002109DD"/>
    <w:rsid w:val="0021208F"/>
    <w:rsid w:val="002139ED"/>
    <w:rsid w:val="002168F5"/>
    <w:rsid w:val="00226477"/>
    <w:rsid w:val="00235129"/>
    <w:rsid w:val="002426EA"/>
    <w:rsid w:val="00243CA4"/>
    <w:rsid w:val="00245A64"/>
    <w:rsid w:val="00246244"/>
    <w:rsid w:val="00246606"/>
    <w:rsid w:val="002470D6"/>
    <w:rsid w:val="0025222F"/>
    <w:rsid w:val="00256BAA"/>
    <w:rsid w:val="002570F6"/>
    <w:rsid w:val="0026475C"/>
    <w:rsid w:val="00267FB1"/>
    <w:rsid w:val="00273A51"/>
    <w:rsid w:val="002769B2"/>
    <w:rsid w:val="00281972"/>
    <w:rsid w:val="002860CA"/>
    <w:rsid w:val="002905A8"/>
    <w:rsid w:val="00291DB3"/>
    <w:rsid w:val="00293D8E"/>
    <w:rsid w:val="002B1B18"/>
    <w:rsid w:val="002B21F6"/>
    <w:rsid w:val="002B3EBC"/>
    <w:rsid w:val="002B4447"/>
    <w:rsid w:val="002B4ADA"/>
    <w:rsid w:val="002B5DE3"/>
    <w:rsid w:val="002B6650"/>
    <w:rsid w:val="002B6EA3"/>
    <w:rsid w:val="002C6682"/>
    <w:rsid w:val="002D4B25"/>
    <w:rsid w:val="002D7DF8"/>
    <w:rsid w:val="002E0261"/>
    <w:rsid w:val="002E15EE"/>
    <w:rsid w:val="002E5013"/>
    <w:rsid w:val="002F1791"/>
    <w:rsid w:val="002F727F"/>
    <w:rsid w:val="00300DA5"/>
    <w:rsid w:val="00311BA9"/>
    <w:rsid w:val="0031366D"/>
    <w:rsid w:val="0031466D"/>
    <w:rsid w:val="00314D92"/>
    <w:rsid w:val="00315EF8"/>
    <w:rsid w:val="003161E2"/>
    <w:rsid w:val="0031692B"/>
    <w:rsid w:val="003208CF"/>
    <w:rsid w:val="00326D07"/>
    <w:rsid w:val="00327CA0"/>
    <w:rsid w:val="00327F66"/>
    <w:rsid w:val="0033120A"/>
    <w:rsid w:val="003348A5"/>
    <w:rsid w:val="003417D5"/>
    <w:rsid w:val="0034181A"/>
    <w:rsid w:val="00341DEF"/>
    <w:rsid w:val="003437A3"/>
    <w:rsid w:val="00351634"/>
    <w:rsid w:val="0035469B"/>
    <w:rsid w:val="00371CCC"/>
    <w:rsid w:val="003731D0"/>
    <w:rsid w:val="00377385"/>
    <w:rsid w:val="00383CAA"/>
    <w:rsid w:val="00384EA9"/>
    <w:rsid w:val="00387233"/>
    <w:rsid w:val="003920A5"/>
    <w:rsid w:val="003A321E"/>
    <w:rsid w:val="003A4AAF"/>
    <w:rsid w:val="003B5243"/>
    <w:rsid w:val="003B609E"/>
    <w:rsid w:val="003B698E"/>
    <w:rsid w:val="003C255F"/>
    <w:rsid w:val="003C3390"/>
    <w:rsid w:val="003C640B"/>
    <w:rsid w:val="003D195D"/>
    <w:rsid w:val="003D4D9E"/>
    <w:rsid w:val="003E03A3"/>
    <w:rsid w:val="003E1E0B"/>
    <w:rsid w:val="003E26F5"/>
    <w:rsid w:val="003E4328"/>
    <w:rsid w:val="003E4634"/>
    <w:rsid w:val="003E70F7"/>
    <w:rsid w:val="003F1984"/>
    <w:rsid w:val="003F2DBF"/>
    <w:rsid w:val="003F43B4"/>
    <w:rsid w:val="00405585"/>
    <w:rsid w:val="004064CB"/>
    <w:rsid w:val="004068E7"/>
    <w:rsid w:val="004125B7"/>
    <w:rsid w:val="00413E18"/>
    <w:rsid w:val="004144B0"/>
    <w:rsid w:val="00416AF0"/>
    <w:rsid w:val="00417A42"/>
    <w:rsid w:val="004205CC"/>
    <w:rsid w:val="00424645"/>
    <w:rsid w:val="00426B3B"/>
    <w:rsid w:val="00440169"/>
    <w:rsid w:val="00443B2A"/>
    <w:rsid w:val="00454A9F"/>
    <w:rsid w:val="00457C0D"/>
    <w:rsid w:val="00463C95"/>
    <w:rsid w:val="00465608"/>
    <w:rsid w:val="00465C8B"/>
    <w:rsid w:val="00471865"/>
    <w:rsid w:val="0047297A"/>
    <w:rsid w:val="00484DDA"/>
    <w:rsid w:val="00485B8C"/>
    <w:rsid w:val="00485C29"/>
    <w:rsid w:val="0048792E"/>
    <w:rsid w:val="00493D45"/>
    <w:rsid w:val="00494AD0"/>
    <w:rsid w:val="004A0078"/>
    <w:rsid w:val="004A6C86"/>
    <w:rsid w:val="004A7514"/>
    <w:rsid w:val="004B2780"/>
    <w:rsid w:val="004B6BB6"/>
    <w:rsid w:val="004C19EC"/>
    <w:rsid w:val="004C2D24"/>
    <w:rsid w:val="004C4FB4"/>
    <w:rsid w:val="004D2F3A"/>
    <w:rsid w:val="004D368C"/>
    <w:rsid w:val="004D60D6"/>
    <w:rsid w:val="004D7094"/>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626B"/>
    <w:rsid w:val="00556ABD"/>
    <w:rsid w:val="0056093F"/>
    <w:rsid w:val="00562D34"/>
    <w:rsid w:val="005635E1"/>
    <w:rsid w:val="00564B7F"/>
    <w:rsid w:val="00565A3A"/>
    <w:rsid w:val="005720FC"/>
    <w:rsid w:val="00573D9C"/>
    <w:rsid w:val="00576237"/>
    <w:rsid w:val="005854ED"/>
    <w:rsid w:val="00585E11"/>
    <w:rsid w:val="00587765"/>
    <w:rsid w:val="00596B06"/>
    <w:rsid w:val="005A2368"/>
    <w:rsid w:val="005A244B"/>
    <w:rsid w:val="005A2E76"/>
    <w:rsid w:val="005A2EAF"/>
    <w:rsid w:val="005A6E7B"/>
    <w:rsid w:val="005B5A33"/>
    <w:rsid w:val="005C5709"/>
    <w:rsid w:val="005C59E0"/>
    <w:rsid w:val="005C704B"/>
    <w:rsid w:val="005E5E28"/>
    <w:rsid w:val="005E6DD4"/>
    <w:rsid w:val="005F2208"/>
    <w:rsid w:val="006010CA"/>
    <w:rsid w:val="00605C78"/>
    <w:rsid w:val="00606874"/>
    <w:rsid w:val="00607C1C"/>
    <w:rsid w:val="00611CBC"/>
    <w:rsid w:val="0061344F"/>
    <w:rsid w:val="00614428"/>
    <w:rsid w:val="00615817"/>
    <w:rsid w:val="00615ADD"/>
    <w:rsid w:val="00624CB8"/>
    <w:rsid w:val="00627D20"/>
    <w:rsid w:val="00627E89"/>
    <w:rsid w:val="00633042"/>
    <w:rsid w:val="00633A7F"/>
    <w:rsid w:val="00635F30"/>
    <w:rsid w:val="00636E7D"/>
    <w:rsid w:val="00637C1C"/>
    <w:rsid w:val="00643A41"/>
    <w:rsid w:val="0064728E"/>
    <w:rsid w:val="00651794"/>
    <w:rsid w:val="0065786F"/>
    <w:rsid w:val="00662494"/>
    <w:rsid w:val="0066660C"/>
    <w:rsid w:val="00670D40"/>
    <w:rsid w:val="0067132D"/>
    <w:rsid w:val="006827B6"/>
    <w:rsid w:val="006A1550"/>
    <w:rsid w:val="006A1C21"/>
    <w:rsid w:val="006A207D"/>
    <w:rsid w:val="006A7DAC"/>
    <w:rsid w:val="006B03F6"/>
    <w:rsid w:val="006B2095"/>
    <w:rsid w:val="006B379B"/>
    <w:rsid w:val="006B39EF"/>
    <w:rsid w:val="006B4924"/>
    <w:rsid w:val="006B78F9"/>
    <w:rsid w:val="006C1781"/>
    <w:rsid w:val="006C3244"/>
    <w:rsid w:val="006D48E5"/>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2051"/>
    <w:rsid w:val="007445FA"/>
    <w:rsid w:val="00744BE7"/>
    <w:rsid w:val="007524D0"/>
    <w:rsid w:val="00755FC3"/>
    <w:rsid w:val="00756B6F"/>
    <w:rsid w:val="00762662"/>
    <w:rsid w:val="00763206"/>
    <w:rsid w:val="007632B9"/>
    <w:rsid w:val="007633E3"/>
    <w:rsid w:val="00765261"/>
    <w:rsid w:val="00784958"/>
    <w:rsid w:val="00786E51"/>
    <w:rsid w:val="00791ECA"/>
    <w:rsid w:val="0079225E"/>
    <w:rsid w:val="00796C3D"/>
    <w:rsid w:val="00797074"/>
    <w:rsid w:val="007970D9"/>
    <w:rsid w:val="007A2347"/>
    <w:rsid w:val="007C024B"/>
    <w:rsid w:val="007C4173"/>
    <w:rsid w:val="007C5293"/>
    <w:rsid w:val="007D10A3"/>
    <w:rsid w:val="007F0CD9"/>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5687"/>
    <w:rsid w:val="00856F31"/>
    <w:rsid w:val="0086367B"/>
    <w:rsid w:val="008642BD"/>
    <w:rsid w:val="0086712D"/>
    <w:rsid w:val="0087395E"/>
    <w:rsid w:val="0087404B"/>
    <w:rsid w:val="00882974"/>
    <w:rsid w:val="00883815"/>
    <w:rsid w:val="00886613"/>
    <w:rsid w:val="0089204B"/>
    <w:rsid w:val="00892205"/>
    <w:rsid w:val="008A132B"/>
    <w:rsid w:val="008A49E3"/>
    <w:rsid w:val="008A7F54"/>
    <w:rsid w:val="008B1957"/>
    <w:rsid w:val="008B6223"/>
    <w:rsid w:val="008B7A48"/>
    <w:rsid w:val="008C6130"/>
    <w:rsid w:val="008D2F97"/>
    <w:rsid w:val="008D7ED7"/>
    <w:rsid w:val="008E3485"/>
    <w:rsid w:val="008E44E5"/>
    <w:rsid w:val="008E7128"/>
    <w:rsid w:val="008F4CFF"/>
    <w:rsid w:val="008F55C9"/>
    <w:rsid w:val="00901880"/>
    <w:rsid w:val="00902A3E"/>
    <w:rsid w:val="00907BF3"/>
    <w:rsid w:val="00911701"/>
    <w:rsid w:val="00912B84"/>
    <w:rsid w:val="00914FD1"/>
    <w:rsid w:val="0091730D"/>
    <w:rsid w:val="00924C4A"/>
    <w:rsid w:val="00925001"/>
    <w:rsid w:val="00927223"/>
    <w:rsid w:val="0093504B"/>
    <w:rsid w:val="00935E5B"/>
    <w:rsid w:val="00936D52"/>
    <w:rsid w:val="0094055C"/>
    <w:rsid w:val="00942167"/>
    <w:rsid w:val="00945F9C"/>
    <w:rsid w:val="00952CF7"/>
    <w:rsid w:val="009550DA"/>
    <w:rsid w:val="00963573"/>
    <w:rsid w:val="0096506F"/>
    <w:rsid w:val="00970F5F"/>
    <w:rsid w:val="00972890"/>
    <w:rsid w:val="00981916"/>
    <w:rsid w:val="00985C83"/>
    <w:rsid w:val="00986B3F"/>
    <w:rsid w:val="00987AEE"/>
    <w:rsid w:val="009907A2"/>
    <w:rsid w:val="00991D9E"/>
    <w:rsid w:val="009971B0"/>
    <w:rsid w:val="009A1129"/>
    <w:rsid w:val="009A1960"/>
    <w:rsid w:val="009A548F"/>
    <w:rsid w:val="009B3EAE"/>
    <w:rsid w:val="009C33E7"/>
    <w:rsid w:val="009C4818"/>
    <w:rsid w:val="009D13B3"/>
    <w:rsid w:val="009D535F"/>
    <w:rsid w:val="009E257E"/>
    <w:rsid w:val="009E3730"/>
    <w:rsid w:val="009E4453"/>
    <w:rsid w:val="009F7CBF"/>
    <w:rsid w:val="00A03AC8"/>
    <w:rsid w:val="00A05297"/>
    <w:rsid w:val="00A05D7F"/>
    <w:rsid w:val="00A05DB0"/>
    <w:rsid w:val="00A0674D"/>
    <w:rsid w:val="00A074DA"/>
    <w:rsid w:val="00A12788"/>
    <w:rsid w:val="00A158DB"/>
    <w:rsid w:val="00A15F28"/>
    <w:rsid w:val="00A206EC"/>
    <w:rsid w:val="00A207E3"/>
    <w:rsid w:val="00A24879"/>
    <w:rsid w:val="00A24FE3"/>
    <w:rsid w:val="00A27591"/>
    <w:rsid w:val="00A27A7A"/>
    <w:rsid w:val="00A316A0"/>
    <w:rsid w:val="00A32C16"/>
    <w:rsid w:val="00A34BBF"/>
    <w:rsid w:val="00A43B24"/>
    <w:rsid w:val="00A618E0"/>
    <w:rsid w:val="00A63CD3"/>
    <w:rsid w:val="00A6561C"/>
    <w:rsid w:val="00A677D4"/>
    <w:rsid w:val="00A721BC"/>
    <w:rsid w:val="00A73B77"/>
    <w:rsid w:val="00A74A50"/>
    <w:rsid w:val="00A75187"/>
    <w:rsid w:val="00A7626D"/>
    <w:rsid w:val="00A802C9"/>
    <w:rsid w:val="00A86A67"/>
    <w:rsid w:val="00A87ACB"/>
    <w:rsid w:val="00A900D5"/>
    <w:rsid w:val="00A922B3"/>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718B"/>
    <w:rsid w:val="00B034D4"/>
    <w:rsid w:val="00B04A09"/>
    <w:rsid w:val="00B0620F"/>
    <w:rsid w:val="00B12AAE"/>
    <w:rsid w:val="00B23A38"/>
    <w:rsid w:val="00B26FFA"/>
    <w:rsid w:val="00B46B55"/>
    <w:rsid w:val="00B46BE5"/>
    <w:rsid w:val="00B46C91"/>
    <w:rsid w:val="00B47308"/>
    <w:rsid w:val="00B54E17"/>
    <w:rsid w:val="00B5690F"/>
    <w:rsid w:val="00B60222"/>
    <w:rsid w:val="00B72426"/>
    <w:rsid w:val="00B72FDA"/>
    <w:rsid w:val="00B750B6"/>
    <w:rsid w:val="00B7529A"/>
    <w:rsid w:val="00B82353"/>
    <w:rsid w:val="00B86396"/>
    <w:rsid w:val="00B91092"/>
    <w:rsid w:val="00B9256B"/>
    <w:rsid w:val="00BA0C98"/>
    <w:rsid w:val="00BA5672"/>
    <w:rsid w:val="00BA65C4"/>
    <w:rsid w:val="00BB11C3"/>
    <w:rsid w:val="00BB261C"/>
    <w:rsid w:val="00BB7050"/>
    <w:rsid w:val="00BC1513"/>
    <w:rsid w:val="00BC4DE2"/>
    <w:rsid w:val="00BD58C5"/>
    <w:rsid w:val="00BD76CB"/>
    <w:rsid w:val="00BE1CFA"/>
    <w:rsid w:val="00BE3FAC"/>
    <w:rsid w:val="00BF1A10"/>
    <w:rsid w:val="00BF353B"/>
    <w:rsid w:val="00C016C0"/>
    <w:rsid w:val="00C04194"/>
    <w:rsid w:val="00C04C5F"/>
    <w:rsid w:val="00C0557A"/>
    <w:rsid w:val="00C13630"/>
    <w:rsid w:val="00C17F0F"/>
    <w:rsid w:val="00C23B01"/>
    <w:rsid w:val="00C325D1"/>
    <w:rsid w:val="00C42008"/>
    <w:rsid w:val="00C45B7C"/>
    <w:rsid w:val="00C527B5"/>
    <w:rsid w:val="00C5558E"/>
    <w:rsid w:val="00C64BFF"/>
    <w:rsid w:val="00C74F9D"/>
    <w:rsid w:val="00C77AD1"/>
    <w:rsid w:val="00C82701"/>
    <w:rsid w:val="00C8417E"/>
    <w:rsid w:val="00C859EE"/>
    <w:rsid w:val="00C85E52"/>
    <w:rsid w:val="00C86BA0"/>
    <w:rsid w:val="00C93081"/>
    <w:rsid w:val="00CA1646"/>
    <w:rsid w:val="00CA4860"/>
    <w:rsid w:val="00CA7F87"/>
    <w:rsid w:val="00CB0F56"/>
    <w:rsid w:val="00CB100E"/>
    <w:rsid w:val="00CB2CB2"/>
    <w:rsid w:val="00CB356D"/>
    <w:rsid w:val="00CB51CA"/>
    <w:rsid w:val="00CB70DD"/>
    <w:rsid w:val="00CC7315"/>
    <w:rsid w:val="00CD0B60"/>
    <w:rsid w:val="00CD1757"/>
    <w:rsid w:val="00CD3612"/>
    <w:rsid w:val="00CD4383"/>
    <w:rsid w:val="00CD5312"/>
    <w:rsid w:val="00CE402B"/>
    <w:rsid w:val="00CE6BB2"/>
    <w:rsid w:val="00CE74A5"/>
    <w:rsid w:val="00CF11B7"/>
    <w:rsid w:val="00CF6FD4"/>
    <w:rsid w:val="00D00E59"/>
    <w:rsid w:val="00D03C24"/>
    <w:rsid w:val="00D10F18"/>
    <w:rsid w:val="00D125C2"/>
    <w:rsid w:val="00D14EBE"/>
    <w:rsid w:val="00D178E2"/>
    <w:rsid w:val="00D17CBD"/>
    <w:rsid w:val="00D23391"/>
    <w:rsid w:val="00D2354D"/>
    <w:rsid w:val="00D25CE6"/>
    <w:rsid w:val="00D26BDF"/>
    <w:rsid w:val="00D32FA5"/>
    <w:rsid w:val="00D33E11"/>
    <w:rsid w:val="00D358A5"/>
    <w:rsid w:val="00D35E5C"/>
    <w:rsid w:val="00D44586"/>
    <w:rsid w:val="00D45A18"/>
    <w:rsid w:val="00D5482E"/>
    <w:rsid w:val="00D55FE5"/>
    <w:rsid w:val="00D57CE1"/>
    <w:rsid w:val="00D660BC"/>
    <w:rsid w:val="00D678EE"/>
    <w:rsid w:val="00D74226"/>
    <w:rsid w:val="00D74590"/>
    <w:rsid w:val="00D749DE"/>
    <w:rsid w:val="00D74E93"/>
    <w:rsid w:val="00D760ED"/>
    <w:rsid w:val="00D7686D"/>
    <w:rsid w:val="00D774C1"/>
    <w:rsid w:val="00D80DCB"/>
    <w:rsid w:val="00D93365"/>
    <w:rsid w:val="00D94615"/>
    <w:rsid w:val="00DA05A4"/>
    <w:rsid w:val="00DA43D3"/>
    <w:rsid w:val="00DA4FA9"/>
    <w:rsid w:val="00DA7663"/>
    <w:rsid w:val="00DB019A"/>
    <w:rsid w:val="00DB1EB2"/>
    <w:rsid w:val="00DB4456"/>
    <w:rsid w:val="00DC730A"/>
    <w:rsid w:val="00DD12E9"/>
    <w:rsid w:val="00DD40A8"/>
    <w:rsid w:val="00DE44D4"/>
    <w:rsid w:val="00DF7182"/>
    <w:rsid w:val="00DF71E5"/>
    <w:rsid w:val="00E05616"/>
    <w:rsid w:val="00E06D98"/>
    <w:rsid w:val="00E11BA6"/>
    <w:rsid w:val="00E229D3"/>
    <w:rsid w:val="00E23201"/>
    <w:rsid w:val="00E271CE"/>
    <w:rsid w:val="00E33254"/>
    <w:rsid w:val="00E35015"/>
    <w:rsid w:val="00E358F5"/>
    <w:rsid w:val="00E35C3E"/>
    <w:rsid w:val="00E46202"/>
    <w:rsid w:val="00E520B8"/>
    <w:rsid w:val="00E529D9"/>
    <w:rsid w:val="00E622AB"/>
    <w:rsid w:val="00E62DDA"/>
    <w:rsid w:val="00E67261"/>
    <w:rsid w:val="00E677D1"/>
    <w:rsid w:val="00E70869"/>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0F9E"/>
    <w:rsid w:val="00EC299D"/>
    <w:rsid w:val="00EC3180"/>
    <w:rsid w:val="00EC3D7E"/>
    <w:rsid w:val="00EC4575"/>
    <w:rsid w:val="00EC72D4"/>
    <w:rsid w:val="00EC7E83"/>
    <w:rsid w:val="00ED3781"/>
    <w:rsid w:val="00ED7528"/>
    <w:rsid w:val="00EE2DC2"/>
    <w:rsid w:val="00EE7BD3"/>
    <w:rsid w:val="00EF2BAF"/>
    <w:rsid w:val="00F01E3B"/>
    <w:rsid w:val="00F02314"/>
    <w:rsid w:val="00F0521F"/>
    <w:rsid w:val="00F07897"/>
    <w:rsid w:val="00F1575B"/>
    <w:rsid w:val="00F20BD2"/>
    <w:rsid w:val="00F2562D"/>
    <w:rsid w:val="00F26CE1"/>
    <w:rsid w:val="00F27BDF"/>
    <w:rsid w:val="00F32B75"/>
    <w:rsid w:val="00F35626"/>
    <w:rsid w:val="00F3792F"/>
    <w:rsid w:val="00F40E2D"/>
    <w:rsid w:val="00F41717"/>
    <w:rsid w:val="00F472DD"/>
    <w:rsid w:val="00F47951"/>
    <w:rsid w:val="00F51887"/>
    <w:rsid w:val="00F51A4B"/>
    <w:rsid w:val="00F53A0F"/>
    <w:rsid w:val="00F570AD"/>
    <w:rsid w:val="00F57CDA"/>
    <w:rsid w:val="00F6158D"/>
    <w:rsid w:val="00F65572"/>
    <w:rsid w:val="00F6620F"/>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C2367"/>
    <w:rsid w:val="00FC2728"/>
    <w:rsid w:val="00FC440B"/>
    <w:rsid w:val="00FC4CDB"/>
    <w:rsid w:val="00FC4E98"/>
    <w:rsid w:val="00FC5FFD"/>
    <w:rsid w:val="00FD30D9"/>
    <w:rsid w:val="00FD36A2"/>
    <w:rsid w:val="00FD73BD"/>
    <w:rsid w:val="00FD767F"/>
    <w:rsid w:val="00FE1ADB"/>
    <w:rsid w:val="00FE22A7"/>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060C49E-2B2F-43CE-A50A-30AD1217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1">
    <w:name w:val="heading 1"/>
    <w:basedOn w:val="Normal"/>
    <w:next w:val="Normal"/>
    <w:qFormat/>
    <w:rsid w:val="0018296F"/>
    <w:pPr>
      <w:keepNext/>
      <w:tabs>
        <w:tab w:val="left" w:pos="284"/>
      </w:tabs>
      <w:jc w:val="center"/>
      <w:outlineLvl w:val="0"/>
    </w:pPr>
    <w:rPr>
      <w:rFonts w:ascii="Arial (W1)" w:hAnsi="Arial (W1)" w:cs="Arial"/>
      <w:b/>
      <w:bCs/>
      <w:i/>
      <w:iCs/>
      <w:sz w:val="32"/>
      <w:szCs w:val="24"/>
      <w:u w:val="single"/>
      <w:lang w:val="sr-Latn-C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8296F"/>
    <w:pPr>
      <w:keepNext/>
      <w:ind w:left="72" w:hanging="72"/>
      <w:outlineLvl w:val="2"/>
    </w:pPr>
    <w:rPr>
      <w:rFonts w:ascii="Arial" w:hAnsi="Arial" w:cs="Arial"/>
      <w:i/>
      <w:iCs/>
      <w:color w:val="999999"/>
      <w:sz w:val="18"/>
      <w:szCs w:val="24"/>
    </w:rPr>
  </w:style>
  <w:style w:type="paragraph" w:styleId="Heading4">
    <w:name w:val="heading 4"/>
    <w:basedOn w:val="Normal"/>
    <w:next w:val="Normal"/>
    <w:qFormat/>
    <w:rsid w:val="0018296F"/>
    <w:pPr>
      <w:keepNext/>
      <w:tabs>
        <w:tab w:val="left" w:pos="284"/>
      </w:tabs>
      <w:ind w:right="265"/>
      <w:jc w:val="right"/>
      <w:outlineLvl w:val="3"/>
    </w:pPr>
    <w:rPr>
      <w:rFonts w:ascii="Arial" w:hAnsi="Arial" w:cs="Arial"/>
      <w:i/>
      <w:iCs/>
      <w:color w:val="999999"/>
      <w:sz w:val="16"/>
      <w:szCs w:val="24"/>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paragraph" w:styleId="CommentText">
    <w:name w:val="annotation text"/>
    <w:basedOn w:val="Normal"/>
    <w:semiHidden/>
    <w:rsid w:val="0018296F"/>
    <w:pPr>
      <w:tabs>
        <w:tab w:val="left" w:pos="284"/>
      </w:tabs>
      <w:jc w:val="both"/>
    </w:pPr>
    <w:rPr>
      <w:rFonts w:ascii="Humanist777" w:hAnsi="Humanist7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4564</Words>
  <Characters>28429</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dc:description/>
  <cp:lastModifiedBy>Snezana.Mugosa</cp:lastModifiedBy>
  <cp:revision>2</cp:revision>
  <cp:lastPrinted>2009-11-25T07:21:00Z</cp:lastPrinted>
  <dcterms:created xsi:type="dcterms:W3CDTF">2016-10-21T09:13:00Z</dcterms:created>
  <dcterms:modified xsi:type="dcterms:W3CDTF">2016-10-21T09:13:00Z</dcterms:modified>
</cp:coreProperties>
</file>