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4F" w:rsidRPr="00BC4C82" w:rsidRDefault="00BF6D4F" w:rsidP="00BF6D4F">
      <w:pPr>
        <w:spacing w:before="1000"/>
        <w:rPr>
          <w:sz w:val="22"/>
          <w:szCs w:val="22"/>
        </w:rPr>
      </w:pPr>
    </w:p>
    <w:tbl>
      <w:tblPr>
        <w:tblW w:w="9360" w:type="dxa"/>
        <w:jc w:val="center"/>
        <w:tblLayout w:type="fixed"/>
        <w:tblLook w:val="0000" w:firstRow="0" w:lastRow="0" w:firstColumn="0" w:lastColumn="0" w:noHBand="0" w:noVBand="0"/>
      </w:tblPr>
      <w:tblGrid>
        <w:gridCol w:w="2694"/>
        <w:gridCol w:w="6666"/>
      </w:tblGrid>
      <w:tr w:rsidR="00BF6D4F" w:rsidRPr="00BC4C82" w:rsidTr="00BB3274">
        <w:trPr>
          <w:trHeight w:val="530"/>
          <w:jc w:val="center"/>
        </w:trPr>
        <w:tc>
          <w:tcPr>
            <w:tcW w:w="9360" w:type="dxa"/>
            <w:gridSpan w:val="2"/>
            <w:vAlign w:val="center"/>
          </w:tcPr>
          <w:p w:rsidR="00BF6D4F" w:rsidRPr="005C1F69" w:rsidRDefault="00BF6D4F" w:rsidP="00BB3274">
            <w:pPr>
              <w:jc w:val="center"/>
              <w:rPr>
                <w:b/>
                <w:bCs/>
                <w:iCs/>
                <w:sz w:val="22"/>
                <w:szCs w:val="22"/>
                <w:u w:val="single"/>
              </w:rPr>
            </w:pPr>
            <w:r w:rsidRPr="005C1F69">
              <w:rPr>
                <w:b/>
                <w:bCs/>
                <w:iCs/>
                <w:sz w:val="22"/>
                <w:szCs w:val="22"/>
                <w:u w:val="single"/>
              </w:rPr>
              <w:t>SAŽETAK KARAKTERISTIKA LIJEKA</w:t>
            </w:r>
          </w:p>
        </w:tc>
      </w:tr>
      <w:tr w:rsidR="00BF6D4F" w:rsidRPr="00BC4C82" w:rsidTr="00BB3274">
        <w:trPr>
          <w:trHeight w:val="1969"/>
          <w:jc w:val="center"/>
        </w:trPr>
        <w:tc>
          <w:tcPr>
            <w:tcW w:w="9360" w:type="dxa"/>
            <w:gridSpan w:val="2"/>
            <w:vAlign w:val="bottom"/>
          </w:tcPr>
          <w:p w:rsidR="00BF6D4F" w:rsidRPr="00BC4C82" w:rsidRDefault="00BF6D4F" w:rsidP="00BB3274">
            <w:pPr>
              <w:spacing w:after="40"/>
              <w:jc w:val="center"/>
              <w:rPr>
                <w:b/>
                <w:bCs/>
                <w:sz w:val="22"/>
                <w:szCs w:val="22"/>
                <w:u w:val="single"/>
              </w:rPr>
            </w:pPr>
            <w:r w:rsidRPr="00BC4C82">
              <w:rPr>
                <w:b/>
                <w:bCs/>
                <w:sz w:val="22"/>
                <w:szCs w:val="22"/>
                <w:u w:val="single"/>
              </w:rPr>
              <w:t>LASIX</w:t>
            </w:r>
            <w:r w:rsidRPr="00BC4C82">
              <w:rPr>
                <w:b/>
                <w:bCs/>
                <w:sz w:val="22"/>
                <w:szCs w:val="22"/>
                <w:u w:val="single"/>
                <w:vertAlign w:val="superscript"/>
              </w:rPr>
              <w:t>®</w:t>
            </w:r>
            <w:r w:rsidRPr="00BC4C82">
              <w:rPr>
                <w:b/>
                <w:bCs/>
                <w:sz w:val="22"/>
                <w:szCs w:val="22"/>
                <w:u w:val="single"/>
              </w:rPr>
              <w:t>, tablet</w:t>
            </w:r>
            <w:r w:rsidR="00DE294C">
              <w:rPr>
                <w:b/>
                <w:bCs/>
                <w:sz w:val="22"/>
                <w:szCs w:val="22"/>
                <w:u w:val="single"/>
              </w:rPr>
              <w:t>a</w:t>
            </w:r>
            <w:r w:rsidRPr="00BC4C82">
              <w:rPr>
                <w:b/>
                <w:bCs/>
                <w:sz w:val="22"/>
                <w:szCs w:val="22"/>
                <w:u w:val="single"/>
              </w:rPr>
              <w:t>, 40 mg</w:t>
            </w:r>
          </w:p>
          <w:p w:rsidR="00BF6D4F" w:rsidRPr="00BC4C82" w:rsidRDefault="00BF6D4F" w:rsidP="00BB3274">
            <w:pPr>
              <w:spacing w:after="40"/>
              <w:jc w:val="center"/>
              <w:rPr>
                <w:b/>
                <w:bCs/>
                <w:sz w:val="22"/>
                <w:szCs w:val="22"/>
                <w:u w:val="single"/>
              </w:rPr>
            </w:pPr>
            <w:r w:rsidRPr="00BC4C82">
              <w:rPr>
                <w:b/>
                <w:bCs/>
                <w:sz w:val="22"/>
                <w:szCs w:val="22"/>
                <w:u w:val="single"/>
              </w:rPr>
              <w:t>Pakovanje: 1 x 12 tableta</w:t>
            </w:r>
          </w:p>
          <w:p w:rsidR="00BF6D4F" w:rsidRPr="00BC4C82" w:rsidRDefault="00BF6D4F" w:rsidP="00BB3274">
            <w:pPr>
              <w:spacing w:after="40"/>
              <w:jc w:val="center"/>
              <w:rPr>
                <w:b/>
                <w:bCs/>
                <w:sz w:val="22"/>
                <w:szCs w:val="22"/>
                <w:u w:val="single"/>
              </w:rPr>
            </w:pPr>
          </w:p>
        </w:tc>
        <w:bookmarkStart w:id="0" w:name="_GoBack"/>
        <w:bookmarkEnd w:id="0"/>
      </w:tr>
      <w:tr w:rsidR="00BF6D4F" w:rsidRPr="00BC4C82" w:rsidTr="00BB3274">
        <w:trPr>
          <w:trHeight w:val="1225"/>
          <w:jc w:val="center"/>
        </w:trPr>
        <w:tc>
          <w:tcPr>
            <w:tcW w:w="9360" w:type="dxa"/>
            <w:gridSpan w:val="2"/>
          </w:tcPr>
          <w:p w:rsidR="00BF6D4F" w:rsidRPr="00BC4C82" w:rsidRDefault="00BF6D4F" w:rsidP="00BB3274">
            <w:pPr>
              <w:pStyle w:val="Heading2"/>
              <w:rPr>
                <w:rFonts w:ascii="Times New Roman" w:hAnsi="Times New Roman" w:cs="Times New Roman"/>
                <w:color w:val="808080"/>
                <w:sz w:val="22"/>
                <w:szCs w:val="22"/>
              </w:rPr>
            </w:pPr>
          </w:p>
        </w:tc>
      </w:tr>
      <w:tr w:rsidR="00BF6D4F" w:rsidRPr="00BC4C82" w:rsidTr="009D2492">
        <w:trPr>
          <w:jc w:val="center"/>
        </w:trPr>
        <w:tc>
          <w:tcPr>
            <w:tcW w:w="2694" w:type="dxa"/>
            <w:vAlign w:val="bottom"/>
          </w:tcPr>
          <w:p w:rsidR="00BF6D4F" w:rsidRPr="00BC4C82" w:rsidRDefault="00BF6D4F" w:rsidP="00BB3274">
            <w:pPr>
              <w:spacing w:before="200"/>
              <w:jc w:val="right"/>
              <w:rPr>
                <w:sz w:val="22"/>
                <w:szCs w:val="22"/>
              </w:rPr>
            </w:pPr>
            <w:r w:rsidRPr="00BC4C82">
              <w:rPr>
                <w:sz w:val="22"/>
                <w:szCs w:val="22"/>
              </w:rPr>
              <w:t>Proizvođač:</w:t>
            </w:r>
          </w:p>
        </w:tc>
        <w:tc>
          <w:tcPr>
            <w:tcW w:w="6666" w:type="dxa"/>
            <w:vAlign w:val="bottom"/>
          </w:tcPr>
          <w:p w:rsidR="00BF6D4F" w:rsidRPr="009D2492" w:rsidRDefault="00BF6D4F" w:rsidP="00BB3274">
            <w:pPr>
              <w:spacing w:before="200"/>
              <w:ind w:left="72" w:hanging="72"/>
              <w:rPr>
                <w:bCs/>
                <w:sz w:val="22"/>
                <w:szCs w:val="22"/>
              </w:rPr>
            </w:pPr>
            <w:r w:rsidRPr="009D2492">
              <w:rPr>
                <w:bCs/>
                <w:sz w:val="22"/>
                <w:szCs w:val="22"/>
              </w:rPr>
              <w:t>SANOFI WINTHROP INDUSTRIE</w:t>
            </w:r>
          </w:p>
        </w:tc>
      </w:tr>
      <w:tr w:rsidR="00BF6D4F" w:rsidRPr="00BC4C82" w:rsidTr="009D2492">
        <w:trPr>
          <w:jc w:val="center"/>
        </w:trPr>
        <w:tc>
          <w:tcPr>
            <w:tcW w:w="2694" w:type="dxa"/>
            <w:vAlign w:val="bottom"/>
          </w:tcPr>
          <w:p w:rsidR="00BF6D4F" w:rsidRPr="00BC4C82" w:rsidRDefault="00BF6D4F" w:rsidP="00BB3274">
            <w:pPr>
              <w:spacing w:before="200"/>
              <w:jc w:val="right"/>
              <w:rPr>
                <w:sz w:val="22"/>
                <w:szCs w:val="22"/>
              </w:rPr>
            </w:pPr>
            <w:r w:rsidRPr="00BC4C82">
              <w:rPr>
                <w:sz w:val="22"/>
                <w:szCs w:val="22"/>
              </w:rPr>
              <w:t>Adresa:</w:t>
            </w:r>
          </w:p>
        </w:tc>
        <w:tc>
          <w:tcPr>
            <w:tcW w:w="6666" w:type="dxa"/>
            <w:vAlign w:val="bottom"/>
          </w:tcPr>
          <w:p w:rsidR="00BF6D4F" w:rsidRPr="009D2492" w:rsidRDefault="00BF6D4F" w:rsidP="00BB3274">
            <w:pPr>
              <w:spacing w:before="200"/>
              <w:ind w:left="72" w:hanging="72"/>
              <w:rPr>
                <w:bCs/>
                <w:sz w:val="22"/>
                <w:szCs w:val="22"/>
              </w:rPr>
            </w:pPr>
            <w:r w:rsidRPr="009D2492">
              <w:rPr>
                <w:bCs/>
                <w:sz w:val="22"/>
                <w:szCs w:val="22"/>
              </w:rPr>
              <w:t xml:space="preserve">56, Route de Choisy au Bac, </w:t>
            </w:r>
            <w:r w:rsidR="005E0DF4">
              <w:rPr>
                <w:rFonts w:ascii="TimesNewRoman" w:hAnsi="TimesNewRoman" w:cs="TimesNewRoman"/>
                <w:sz w:val="22"/>
                <w:szCs w:val="22"/>
                <w:lang w:val="en-US" w:eastAsia="sr-Latn-ME"/>
              </w:rPr>
              <w:t xml:space="preserve">60205 </w:t>
            </w:r>
            <w:r w:rsidRPr="009D2492">
              <w:rPr>
                <w:bCs/>
                <w:sz w:val="22"/>
                <w:szCs w:val="22"/>
              </w:rPr>
              <w:t>Compiegne, Francuska</w:t>
            </w:r>
          </w:p>
        </w:tc>
      </w:tr>
      <w:tr w:rsidR="00BF6D4F" w:rsidRPr="00BC4C82" w:rsidTr="009D2492">
        <w:trPr>
          <w:jc w:val="center"/>
        </w:trPr>
        <w:tc>
          <w:tcPr>
            <w:tcW w:w="2694" w:type="dxa"/>
            <w:vAlign w:val="bottom"/>
          </w:tcPr>
          <w:p w:rsidR="00BF6D4F" w:rsidRPr="00BC4C82" w:rsidRDefault="00BF6D4F" w:rsidP="00BB3274">
            <w:pPr>
              <w:spacing w:before="200"/>
              <w:jc w:val="right"/>
              <w:rPr>
                <w:sz w:val="22"/>
                <w:szCs w:val="22"/>
              </w:rPr>
            </w:pPr>
            <w:r w:rsidRPr="00BC4C82">
              <w:rPr>
                <w:sz w:val="22"/>
                <w:szCs w:val="22"/>
              </w:rPr>
              <w:t>Podnosilac zahtijeva:</w:t>
            </w:r>
          </w:p>
        </w:tc>
        <w:tc>
          <w:tcPr>
            <w:tcW w:w="6666" w:type="dxa"/>
            <w:vAlign w:val="bottom"/>
          </w:tcPr>
          <w:p w:rsidR="00BF6D4F" w:rsidRPr="00BC4C82" w:rsidRDefault="00BF6D4F" w:rsidP="00BB3274">
            <w:pPr>
              <w:pStyle w:val="Header"/>
              <w:tabs>
                <w:tab w:val="left" w:pos="284"/>
              </w:tabs>
              <w:rPr>
                <w:b/>
                <w:bCs/>
                <w:sz w:val="22"/>
                <w:szCs w:val="22"/>
              </w:rPr>
            </w:pPr>
            <w:r w:rsidRPr="00BC4C82">
              <w:rPr>
                <w:b/>
                <w:bCs/>
                <w:sz w:val="22"/>
                <w:szCs w:val="22"/>
              </w:rPr>
              <w:t xml:space="preserve"> </w:t>
            </w:r>
          </w:p>
          <w:p w:rsidR="00BF6D4F" w:rsidRPr="00BC4C82" w:rsidRDefault="00BF6D4F" w:rsidP="00BB3274">
            <w:pPr>
              <w:pStyle w:val="Header"/>
              <w:tabs>
                <w:tab w:val="left" w:pos="284"/>
              </w:tabs>
              <w:rPr>
                <w:b/>
                <w:bCs/>
                <w:sz w:val="22"/>
                <w:szCs w:val="22"/>
              </w:rPr>
            </w:pPr>
          </w:p>
          <w:p w:rsidR="00BF6D4F" w:rsidRPr="00BC4C82" w:rsidRDefault="00BF6D4F" w:rsidP="00903819">
            <w:pPr>
              <w:pStyle w:val="Header"/>
              <w:tabs>
                <w:tab w:val="left" w:pos="284"/>
              </w:tabs>
              <w:rPr>
                <w:sz w:val="22"/>
                <w:szCs w:val="22"/>
              </w:rPr>
            </w:pPr>
            <w:r w:rsidRPr="00BC4C82">
              <w:rPr>
                <w:sz w:val="22"/>
                <w:szCs w:val="22"/>
              </w:rPr>
              <w:t>Sanofi Aventis d.s.d</w:t>
            </w:r>
          </w:p>
        </w:tc>
      </w:tr>
      <w:tr w:rsidR="00BF6D4F" w:rsidRPr="00BC4C82" w:rsidTr="009D2492">
        <w:trPr>
          <w:jc w:val="center"/>
        </w:trPr>
        <w:tc>
          <w:tcPr>
            <w:tcW w:w="2694" w:type="dxa"/>
            <w:vAlign w:val="bottom"/>
          </w:tcPr>
          <w:p w:rsidR="00BF6D4F" w:rsidRPr="00BC4C82" w:rsidRDefault="00BF6D4F" w:rsidP="00BB3274">
            <w:pPr>
              <w:spacing w:before="200"/>
              <w:jc w:val="right"/>
              <w:rPr>
                <w:sz w:val="22"/>
                <w:szCs w:val="22"/>
              </w:rPr>
            </w:pPr>
            <w:r w:rsidRPr="00BC4C82">
              <w:rPr>
                <w:sz w:val="22"/>
                <w:szCs w:val="22"/>
              </w:rPr>
              <w:t>Adresa:</w:t>
            </w:r>
          </w:p>
        </w:tc>
        <w:tc>
          <w:tcPr>
            <w:tcW w:w="6666" w:type="dxa"/>
            <w:vAlign w:val="bottom"/>
          </w:tcPr>
          <w:p w:rsidR="00BF6D4F" w:rsidRPr="00BC4C82" w:rsidRDefault="00BF6D4F" w:rsidP="00BB3274">
            <w:pPr>
              <w:spacing w:before="200"/>
              <w:ind w:left="72" w:hanging="72"/>
              <w:rPr>
                <w:b/>
                <w:bCs/>
                <w:sz w:val="22"/>
                <w:szCs w:val="22"/>
                <w:lang w:val="sr-Latn-RS"/>
              </w:rPr>
            </w:pPr>
            <w:r w:rsidRPr="00BC4C82">
              <w:rPr>
                <w:sz w:val="22"/>
                <w:szCs w:val="22"/>
              </w:rPr>
              <w:t>Bulevar Svetog Petra Cetinjskog 114, 81 000 Podgorica, Crna Gora</w:t>
            </w:r>
          </w:p>
        </w:tc>
      </w:tr>
    </w:tbl>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rPr>
          <w:sz w:val="22"/>
          <w:szCs w:val="22"/>
        </w:rPr>
      </w:pPr>
    </w:p>
    <w:p w:rsidR="00BF6D4F" w:rsidRPr="00BC4C82" w:rsidRDefault="00BF6D4F" w:rsidP="00BF6D4F">
      <w:pPr>
        <w:pStyle w:val="Header"/>
        <w:tabs>
          <w:tab w:val="left" w:pos="284"/>
        </w:tabs>
        <w:spacing w:before="400"/>
        <w:rPr>
          <w:b/>
          <w:bCs/>
          <w:sz w:val="22"/>
          <w:szCs w:val="22"/>
        </w:rPr>
      </w:pPr>
    </w:p>
    <w:tbl>
      <w:tblPr>
        <w:tblW w:w="9639" w:type="dxa"/>
        <w:tblLayout w:type="fixed"/>
        <w:tblLook w:val="0000" w:firstRow="0" w:lastRow="0" w:firstColumn="0" w:lastColumn="0" w:noHBand="0" w:noVBand="0"/>
      </w:tblPr>
      <w:tblGrid>
        <w:gridCol w:w="828"/>
        <w:gridCol w:w="360"/>
        <w:gridCol w:w="1620"/>
        <w:gridCol w:w="6831"/>
      </w:tblGrid>
      <w:tr w:rsidR="00BF6D4F" w:rsidRPr="00BC4C82" w:rsidTr="009D2492">
        <w:trPr>
          <w:trHeight w:val="284"/>
        </w:trPr>
        <w:tc>
          <w:tcPr>
            <w:tcW w:w="9639" w:type="dxa"/>
            <w:gridSpan w:val="4"/>
            <w:shd w:val="clear" w:color="auto" w:fill="E0E0E0"/>
            <w:vAlign w:val="center"/>
          </w:tcPr>
          <w:p w:rsidR="00BF6D4F" w:rsidRPr="00BC4C82" w:rsidRDefault="00BF6D4F" w:rsidP="00BB3274">
            <w:pPr>
              <w:pStyle w:val="Header"/>
              <w:tabs>
                <w:tab w:val="left" w:pos="284"/>
              </w:tabs>
              <w:rPr>
                <w:b/>
                <w:bCs/>
                <w:sz w:val="22"/>
                <w:szCs w:val="22"/>
                <w:lang w:val="sr-Latn-CS"/>
              </w:rPr>
            </w:pPr>
            <w:r w:rsidRPr="00BC4C82">
              <w:rPr>
                <w:b/>
                <w:bCs/>
                <w:sz w:val="22"/>
                <w:szCs w:val="22"/>
              </w:rPr>
              <w:lastRenderedPageBreak/>
              <w:t>1. IME LIJEKA</w:t>
            </w:r>
          </w:p>
        </w:tc>
      </w:tr>
      <w:tr w:rsidR="00BF6D4F" w:rsidRPr="00BC4C82" w:rsidTr="009D2492">
        <w:trPr>
          <w:trHeight w:val="205"/>
        </w:trPr>
        <w:tc>
          <w:tcPr>
            <w:tcW w:w="9639" w:type="dxa"/>
            <w:gridSpan w:val="4"/>
            <w:vAlign w:val="center"/>
          </w:tcPr>
          <w:p w:rsidR="00B77C4F" w:rsidRDefault="00B77C4F" w:rsidP="00BB3274">
            <w:pPr>
              <w:pStyle w:val="Header"/>
              <w:tabs>
                <w:tab w:val="left" w:pos="284"/>
              </w:tabs>
              <w:rPr>
                <w:sz w:val="22"/>
                <w:szCs w:val="22"/>
              </w:rPr>
            </w:pPr>
          </w:p>
          <w:p w:rsidR="00BF6D4F" w:rsidRPr="00BC4C82" w:rsidRDefault="00BF6D4F" w:rsidP="00BB3274">
            <w:pPr>
              <w:pStyle w:val="Header"/>
              <w:tabs>
                <w:tab w:val="left" w:pos="284"/>
              </w:tabs>
              <w:rPr>
                <w:sz w:val="22"/>
                <w:szCs w:val="22"/>
              </w:rPr>
            </w:pPr>
            <w:r w:rsidRPr="00BC4C82">
              <w:rPr>
                <w:sz w:val="22"/>
                <w:szCs w:val="22"/>
              </w:rPr>
              <w:t>LASIX</w:t>
            </w:r>
            <w:r w:rsidRPr="00BC4C82">
              <w:rPr>
                <w:sz w:val="22"/>
                <w:szCs w:val="22"/>
                <w:vertAlign w:val="superscript"/>
              </w:rPr>
              <w:t>®</w:t>
            </w:r>
            <w:r w:rsidRPr="00BC4C82">
              <w:rPr>
                <w:sz w:val="22"/>
                <w:szCs w:val="22"/>
              </w:rPr>
              <w:t>, 40 mg, tableta</w:t>
            </w:r>
          </w:p>
        </w:tc>
      </w:tr>
      <w:tr w:rsidR="00BF6D4F" w:rsidRPr="00BC4C82" w:rsidTr="009D2492">
        <w:trPr>
          <w:trHeight w:val="127"/>
        </w:trPr>
        <w:tc>
          <w:tcPr>
            <w:tcW w:w="828" w:type="dxa"/>
          </w:tcPr>
          <w:p w:rsidR="00BF6D4F" w:rsidRPr="00BC4C82" w:rsidRDefault="00BF6D4F" w:rsidP="009D2492">
            <w:pPr>
              <w:pStyle w:val="Header"/>
              <w:tabs>
                <w:tab w:val="left" w:pos="284"/>
              </w:tabs>
              <w:spacing w:before="120"/>
              <w:rPr>
                <w:sz w:val="22"/>
                <w:szCs w:val="22"/>
              </w:rPr>
            </w:pPr>
            <w:r w:rsidRPr="00BC4C82">
              <w:rPr>
                <w:sz w:val="22"/>
                <w:szCs w:val="22"/>
              </w:rPr>
              <w:t>INN:</w:t>
            </w:r>
          </w:p>
        </w:tc>
        <w:tc>
          <w:tcPr>
            <w:tcW w:w="8811" w:type="dxa"/>
            <w:gridSpan w:val="3"/>
            <w:vAlign w:val="center"/>
          </w:tcPr>
          <w:p w:rsidR="00BF6D4F" w:rsidRDefault="00BF6D4F" w:rsidP="009D2492">
            <w:pPr>
              <w:pStyle w:val="Header"/>
              <w:tabs>
                <w:tab w:val="left" w:pos="284"/>
              </w:tabs>
              <w:spacing w:before="120"/>
              <w:rPr>
                <w:sz w:val="22"/>
                <w:szCs w:val="22"/>
              </w:rPr>
            </w:pPr>
            <w:r w:rsidRPr="00BC4C82">
              <w:rPr>
                <w:sz w:val="22"/>
                <w:szCs w:val="22"/>
              </w:rPr>
              <w:t>furosemid</w:t>
            </w:r>
          </w:p>
          <w:p w:rsidR="00B77C4F" w:rsidRDefault="00B77C4F">
            <w:pPr>
              <w:pStyle w:val="Header"/>
              <w:tabs>
                <w:tab w:val="left" w:pos="284"/>
              </w:tabs>
              <w:rPr>
                <w:sz w:val="22"/>
                <w:szCs w:val="22"/>
              </w:rPr>
            </w:pPr>
          </w:p>
          <w:p w:rsidR="00B77C4F" w:rsidRPr="00BC4C82" w:rsidRDefault="00B77C4F">
            <w:pPr>
              <w:pStyle w:val="Header"/>
              <w:tabs>
                <w:tab w:val="left" w:pos="284"/>
              </w:tabs>
              <w:rPr>
                <w:sz w:val="22"/>
                <w:szCs w:val="22"/>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2. KVALITATIVNI I KVANTITATIVNI SASTAV</w:t>
            </w:r>
          </w:p>
        </w:tc>
      </w:tr>
      <w:tr w:rsidR="00BF6D4F" w:rsidRPr="00BC4C82" w:rsidTr="009D2492">
        <w:trPr>
          <w:trHeight w:val="695"/>
        </w:trPr>
        <w:tc>
          <w:tcPr>
            <w:tcW w:w="9639" w:type="dxa"/>
            <w:gridSpan w:val="4"/>
            <w:vAlign w:val="center"/>
          </w:tcPr>
          <w:p w:rsidR="0014481A" w:rsidRDefault="0014481A" w:rsidP="00BB3274">
            <w:pPr>
              <w:pStyle w:val="Header"/>
              <w:tabs>
                <w:tab w:val="left" w:pos="284"/>
              </w:tabs>
              <w:rPr>
                <w:sz w:val="22"/>
                <w:szCs w:val="22"/>
              </w:rPr>
            </w:pPr>
          </w:p>
          <w:p w:rsidR="00BF6D4F" w:rsidRPr="00BC4C82" w:rsidRDefault="00BF6D4F" w:rsidP="00BB3274">
            <w:pPr>
              <w:pStyle w:val="Header"/>
              <w:tabs>
                <w:tab w:val="left" w:pos="284"/>
              </w:tabs>
              <w:rPr>
                <w:sz w:val="22"/>
                <w:szCs w:val="22"/>
              </w:rPr>
            </w:pPr>
            <w:r w:rsidRPr="00BC4C82">
              <w:rPr>
                <w:sz w:val="22"/>
                <w:szCs w:val="22"/>
              </w:rPr>
              <w:t>Jedna tableta sadrži: 40 mg furosemida.</w:t>
            </w:r>
          </w:p>
          <w:p w:rsidR="00BF6D4F" w:rsidRPr="00BC4C82" w:rsidRDefault="00BF6D4F" w:rsidP="009D2492">
            <w:pPr>
              <w:pStyle w:val="Header"/>
              <w:tabs>
                <w:tab w:val="left" w:pos="284"/>
              </w:tabs>
              <w:rPr>
                <w:sz w:val="22"/>
                <w:szCs w:val="22"/>
              </w:rPr>
            </w:pPr>
            <w:r w:rsidRPr="00BC4C82">
              <w:rPr>
                <w:sz w:val="22"/>
                <w:szCs w:val="22"/>
              </w:rPr>
              <w:t>Pomoćna supstanca: laktoza, monohidrat</w:t>
            </w:r>
          </w:p>
          <w:p w:rsidR="00BF6D4F" w:rsidRDefault="00BF6D4F" w:rsidP="009D2492">
            <w:pPr>
              <w:pStyle w:val="Header"/>
              <w:tabs>
                <w:tab w:val="left" w:pos="284"/>
              </w:tabs>
              <w:rPr>
                <w:sz w:val="22"/>
                <w:szCs w:val="22"/>
              </w:rPr>
            </w:pPr>
            <w:r w:rsidRPr="00BC4C82">
              <w:rPr>
                <w:sz w:val="22"/>
                <w:szCs w:val="22"/>
              </w:rPr>
              <w:t>Za kompletnu listu pomoćnih supstanci vidjeti dio 6.1.</w:t>
            </w:r>
          </w:p>
          <w:p w:rsidR="0014481A" w:rsidRDefault="0014481A" w:rsidP="009D2492">
            <w:pPr>
              <w:pStyle w:val="Header"/>
              <w:tabs>
                <w:tab w:val="left" w:pos="284"/>
              </w:tabs>
              <w:rPr>
                <w:sz w:val="22"/>
                <w:szCs w:val="22"/>
              </w:rPr>
            </w:pPr>
          </w:p>
          <w:p w:rsidR="0014481A" w:rsidRPr="00BC4C82" w:rsidRDefault="0014481A" w:rsidP="009D2492">
            <w:pPr>
              <w:pStyle w:val="Header"/>
              <w:tabs>
                <w:tab w:val="left" w:pos="284"/>
              </w:tabs>
              <w:rPr>
                <w:sz w:val="22"/>
                <w:szCs w:val="22"/>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3. FARMACEUTSKI OBLIK</w:t>
            </w:r>
          </w:p>
        </w:tc>
      </w:tr>
      <w:tr w:rsidR="00BF6D4F" w:rsidRPr="00BC4C82" w:rsidTr="009D2492">
        <w:trPr>
          <w:trHeight w:val="621"/>
        </w:trPr>
        <w:tc>
          <w:tcPr>
            <w:tcW w:w="9639" w:type="dxa"/>
            <w:gridSpan w:val="4"/>
            <w:vAlign w:val="center"/>
          </w:tcPr>
          <w:p w:rsidR="0037467C" w:rsidRDefault="0037467C" w:rsidP="009D2492">
            <w:pPr>
              <w:pStyle w:val="Header"/>
              <w:tabs>
                <w:tab w:val="left" w:pos="284"/>
              </w:tabs>
              <w:rPr>
                <w:sz w:val="22"/>
                <w:szCs w:val="22"/>
              </w:rPr>
            </w:pPr>
          </w:p>
          <w:p w:rsidR="00BF6D4F" w:rsidRPr="00BC4C82" w:rsidRDefault="00BF6D4F" w:rsidP="009D2492">
            <w:pPr>
              <w:pStyle w:val="Header"/>
              <w:tabs>
                <w:tab w:val="left" w:pos="284"/>
              </w:tabs>
              <w:jc w:val="both"/>
              <w:rPr>
                <w:sz w:val="22"/>
                <w:szCs w:val="22"/>
              </w:rPr>
            </w:pPr>
            <w:r w:rsidRPr="00BC4C82">
              <w:rPr>
                <w:sz w:val="22"/>
                <w:szCs w:val="22"/>
              </w:rPr>
              <w:t>Tableta.</w:t>
            </w:r>
          </w:p>
          <w:p w:rsidR="00BF6D4F" w:rsidRDefault="00BF6D4F" w:rsidP="009D2492">
            <w:pPr>
              <w:pStyle w:val="Header"/>
              <w:tabs>
                <w:tab w:val="left" w:pos="284"/>
              </w:tabs>
              <w:jc w:val="both"/>
              <w:rPr>
                <w:sz w:val="22"/>
                <w:szCs w:val="22"/>
              </w:rPr>
            </w:pPr>
            <w:r w:rsidRPr="00BC4C82">
              <w:rPr>
                <w:sz w:val="22"/>
                <w:szCs w:val="22"/>
              </w:rPr>
              <w:t xml:space="preserve">Izgled: Okrugle, skoro bijele pljosnate tablete sa utisnutom podionom crtom na jednoj stani. Iznad i ispod podione crte je utisnuta oznaka </w:t>
            </w:r>
            <w:r w:rsidR="0037467C">
              <w:rPr>
                <w:sz w:val="22"/>
                <w:szCs w:val="22"/>
              </w:rPr>
              <w:t>„</w:t>
            </w:r>
            <w:r w:rsidRPr="00BC4C82">
              <w:rPr>
                <w:sz w:val="22"/>
                <w:szCs w:val="22"/>
              </w:rPr>
              <w:t>DLI</w:t>
            </w:r>
            <w:r w:rsidR="0037467C">
              <w:rPr>
                <w:sz w:val="22"/>
                <w:szCs w:val="22"/>
              </w:rPr>
              <w:t>“</w:t>
            </w:r>
            <w:r w:rsidRPr="00BC4C82">
              <w:rPr>
                <w:sz w:val="22"/>
                <w:szCs w:val="22"/>
              </w:rPr>
              <w:t xml:space="preserve">. Sa druge strane tablete je utisnut logo </w:t>
            </w:r>
            <w:r w:rsidR="0037467C">
              <w:rPr>
                <w:sz w:val="22"/>
                <w:szCs w:val="22"/>
              </w:rPr>
              <w:t>„</w:t>
            </w:r>
            <w:r w:rsidRPr="00BC4C82">
              <w:rPr>
                <w:sz w:val="22"/>
                <w:szCs w:val="22"/>
              </w:rPr>
              <w:t>Hoechst</w:t>
            </w:r>
            <w:r w:rsidR="0037467C">
              <w:rPr>
                <w:sz w:val="22"/>
                <w:szCs w:val="22"/>
              </w:rPr>
              <w:t>“</w:t>
            </w:r>
            <w:r w:rsidRPr="00BC4C82">
              <w:rPr>
                <w:sz w:val="22"/>
                <w:szCs w:val="22"/>
              </w:rPr>
              <w:t>.</w:t>
            </w:r>
          </w:p>
          <w:p w:rsidR="0037467C" w:rsidRDefault="0037467C" w:rsidP="009D2492">
            <w:pPr>
              <w:pStyle w:val="Header"/>
              <w:tabs>
                <w:tab w:val="left" w:pos="284"/>
              </w:tabs>
              <w:rPr>
                <w:sz w:val="22"/>
                <w:szCs w:val="22"/>
              </w:rPr>
            </w:pPr>
          </w:p>
          <w:p w:rsidR="0037467C" w:rsidRPr="00BC4C82" w:rsidRDefault="0037467C" w:rsidP="009D2492">
            <w:pPr>
              <w:pStyle w:val="Header"/>
              <w:tabs>
                <w:tab w:val="left" w:pos="284"/>
              </w:tabs>
              <w:rPr>
                <w:sz w:val="22"/>
                <w:szCs w:val="22"/>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4. KLINIČKI PODACI</w:t>
            </w:r>
          </w:p>
        </w:tc>
      </w:tr>
      <w:tr w:rsidR="00BF6D4F" w:rsidRPr="00BC4C82" w:rsidTr="009D2492">
        <w:trPr>
          <w:trHeight w:val="135"/>
        </w:trPr>
        <w:tc>
          <w:tcPr>
            <w:tcW w:w="9639" w:type="dxa"/>
            <w:gridSpan w:val="4"/>
            <w:vAlign w:val="center"/>
          </w:tcPr>
          <w:p w:rsidR="00DE46BE" w:rsidRDefault="00DE46BE" w:rsidP="009D2492">
            <w:pPr>
              <w:pStyle w:val="Header"/>
              <w:tabs>
                <w:tab w:val="left" w:pos="284"/>
              </w:tabs>
              <w:rPr>
                <w:b/>
                <w:bCs/>
                <w:sz w:val="22"/>
                <w:szCs w:val="22"/>
              </w:rPr>
            </w:pPr>
          </w:p>
          <w:p w:rsidR="00BF6D4F" w:rsidRPr="00BC4C82" w:rsidRDefault="00BF6D4F" w:rsidP="009D2492">
            <w:pPr>
              <w:pStyle w:val="Header"/>
              <w:tabs>
                <w:tab w:val="left" w:pos="284"/>
              </w:tabs>
              <w:rPr>
                <w:b/>
                <w:bCs/>
                <w:sz w:val="22"/>
                <w:szCs w:val="22"/>
              </w:rPr>
            </w:pPr>
            <w:r w:rsidRPr="00BC4C82">
              <w:rPr>
                <w:b/>
                <w:bCs/>
                <w:sz w:val="22"/>
                <w:szCs w:val="22"/>
              </w:rPr>
              <w:t>4.1. Terapijske indikacije</w:t>
            </w:r>
          </w:p>
        </w:tc>
      </w:tr>
      <w:tr w:rsidR="00BF6D4F" w:rsidRPr="00BC4C82" w:rsidTr="009D2492">
        <w:trPr>
          <w:trHeight w:val="483"/>
        </w:trPr>
        <w:tc>
          <w:tcPr>
            <w:tcW w:w="9639" w:type="dxa"/>
            <w:gridSpan w:val="4"/>
            <w:vAlign w:val="center"/>
          </w:tcPr>
          <w:p w:rsidR="00DE46BE" w:rsidRPr="00BC4C82" w:rsidRDefault="00DE46BE" w:rsidP="009D2492">
            <w:pPr>
              <w:pStyle w:val="Header"/>
              <w:tabs>
                <w:tab w:val="left" w:pos="284"/>
              </w:tabs>
              <w:rPr>
                <w:sz w:val="22"/>
                <w:szCs w:val="22"/>
              </w:rPr>
            </w:pPr>
          </w:p>
          <w:p w:rsidR="00BF6D4F" w:rsidRDefault="00BF6D4F" w:rsidP="009D2492">
            <w:pPr>
              <w:pStyle w:val="Header"/>
              <w:tabs>
                <w:tab w:val="left" w:pos="284"/>
              </w:tabs>
              <w:jc w:val="both"/>
              <w:rPr>
                <w:sz w:val="22"/>
                <w:szCs w:val="22"/>
              </w:rPr>
            </w:pPr>
            <w:r w:rsidRPr="00BC4C82">
              <w:rPr>
                <w:sz w:val="22"/>
                <w:szCs w:val="22"/>
              </w:rPr>
              <w:t>Lasix je indikovan za terapiju stanja koja se karakterišu retencijom tečnosti i za terapiju blage do umjerene hipertenzije bilo kao monoterapija ili kao adjuvantna terapija.</w:t>
            </w:r>
          </w:p>
          <w:p w:rsidR="00DE46BE" w:rsidRPr="00BC4C82" w:rsidRDefault="00DE46BE" w:rsidP="009D2492">
            <w:pPr>
              <w:pStyle w:val="Header"/>
              <w:tabs>
                <w:tab w:val="left" w:pos="284"/>
              </w:tabs>
              <w:jc w:val="both"/>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4.2. Doziranje i način primjene</w:t>
            </w:r>
          </w:p>
        </w:tc>
      </w:tr>
      <w:tr w:rsidR="00BF6D4F" w:rsidRPr="00BC4C82" w:rsidTr="009D2492">
        <w:trPr>
          <w:trHeight w:val="1145"/>
        </w:trPr>
        <w:tc>
          <w:tcPr>
            <w:tcW w:w="9639" w:type="dxa"/>
            <w:gridSpan w:val="4"/>
            <w:vAlign w:val="center"/>
          </w:tcPr>
          <w:p w:rsidR="00DE46BE" w:rsidRDefault="00DE46BE" w:rsidP="009D2492">
            <w:pPr>
              <w:autoSpaceDE w:val="0"/>
              <w:autoSpaceDN w:val="0"/>
              <w:adjustRightInd w:val="0"/>
              <w:rPr>
                <w:rStyle w:val="hps"/>
                <w:color w:val="333333"/>
                <w:sz w:val="22"/>
                <w:szCs w:val="22"/>
                <w:lang w:val="hr-HR"/>
              </w:rPr>
            </w:pPr>
          </w:p>
          <w:p w:rsidR="00BF6D4F" w:rsidRPr="009D2492" w:rsidRDefault="00BF6D4F" w:rsidP="009D2492">
            <w:pPr>
              <w:autoSpaceDE w:val="0"/>
              <w:autoSpaceDN w:val="0"/>
              <w:adjustRightInd w:val="0"/>
              <w:jc w:val="both"/>
              <w:rPr>
                <w:rStyle w:val="hps"/>
                <w:sz w:val="22"/>
                <w:szCs w:val="22"/>
                <w:lang w:val="hr-HR"/>
              </w:rPr>
            </w:pPr>
            <w:r w:rsidRPr="009D2492">
              <w:rPr>
                <w:rStyle w:val="hps"/>
                <w:sz w:val="22"/>
                <w:szCs w:val="22"/>
                <w:lang w:val="hr-HR"/>
              </w:rPr>
              <w:t>U principu</w:t>
            </w:r>
            <w:r w:rsidRPr="009D2492">
              <w:rPr>
                <w:rStyle w:val="longtext"/>
                <w:sz w:val="22"/>
                <w:szCs w:val="22"/>
                <w:lang w:val="hr-HR"/>
              </w:rPr>
              <w:t xml:space="preserve">, </w:t>
            </w:r>
            <w:r w:rsidRPr="009D2492">
              <w:rPr>
                <w:rStyle w:val="hps"/>
                <w:sz w:val="22"/>
                <w:szCs w:val="22"/>
                <w:lang w:val="hr-HR"/>
              </w:rPr>
              <w:t>doza koja se koristi treba da bude najmanja moguća doza koja je dovoljna da bi se postiglo željeno dejstvo.</w:t>
            </w:r>
          </w:p>
          <w:p w:rsidR="00BF6D4F" w:rsidRPr="009D2492" w:rsidRDefault="00BF6D4F" w:rsidP="009D2492">
            <w:pPr>
              <w:autoSpaceDE w:val="0"/>
              <w:autoSpaceDN w:val="0"/>
              <w:adjustRightInd w:val="0"/>
              <w:spacing w:before="120"/>
              <w:jc w:val="both"/>
              <w:rPr>
                <w:rStyle w:val="hps"/>
                <w:sz w:val="22"/>
                <w:szCs w:val="22"/>
                <w:lang w:val="hr-HR"/>
              </w:rPr>
            </w:pPr>
            <w:r w:rsidRPr="009D2492">
              <w:rPr>
                <w:rStyle w:val="hps"/>
                <w:sz w:val="22"/>
                <w:szCs w:val="22"/>
                <w:lang w:val="hr-HR"/>
              </w:rPr>
              <w:t xml:space="preserve">Lasix ima izuzetno veliku terapijsku širinu, a efekat je proporcionalan primijenjenoj dozi. Lasix je najbolje primijeniti u pojedinačnoj dozi jednom dnevno ili svaki drugi dan. </w:t>
            </w:r>
          </w:p>
          <w:p w:rsidR="00BF6D4F" w:rsidRPr="009D2492" w:rsidRDefault="00BF6D4F" w:rsidP="009D2492">
            <w:pPr>
              <w:autoSpaceDE w:val="0"/>
              <w:autoSpaceDN w:val="0"/>
              <w:adjustRightInd w:val="0"/>
              <w:spacing w:before="120"/>
              <w:jc w:val="both"/>
              <w:rPr>
                <w:rStyle w:val="hps"/>
                <w:sz w:val="22"/>
                <w:szCs w:val="22"/>
                <w:lang w:val="hr-HR"/>
              </w:rPr>
            </w:pPr>
            <w:r w:rsidRPr="009D2492">
              <w:rPr>
                <w:rStyle w:val="hps"/>
                <w:sz w:val="22"/>
                <w:szCs w:val="22"/>
                <w:lang w:val="hr-HR"/>
              </w:rPr>
              <w:t xml:space="preserve">Uobičajena početna dnevna doza je 40mg, zatim se vrši podešavanje doze sve dok se ne postigne efektivna doza tj. doza održavanja. U blažim slučajevima, dovoljno je primijeniti 20 mg/dan ili 40 mg svaki drugi dan, dok se u slučaju rezistentnih edema mogu koristiti dnevne doze od 80 mg i veće u vidu jedne ili dvije doze na dan ili intermitentno. U jako teškim slučajevima, potrebno je postepeno titrirati dozu furosemida do 600mg/dan. Maksimalna preporučena doza furosemida je 1500 mg. </w:t>
            </w:r>
          </w:p>
          <w:p w:rsidR="00BF6D4F" w:rsidRPr="009D2492" w:rsidRDefault="00BF6D4F" w:rsidP="009D2492">
            <w:pPr>
              <w:autoSpaceDE w:val="0"/>
              <w:autoSpaceDN w:val="0"/>
              <w:adjustRightInd w:val="0"/>
              <w:spacing w:before="120"/>
              <w:jc w:val="both"/>
              <w:rPr>
                <w:rStyle w:val="hps"/>
                <w:sz w:val="22"/>
                <w:szCs w:val="22"/>
                <w:lang w:val="hr-HR"/>
              </w:rPr>
            </w:pPr>
            <w:r w:rsidRPr="009D2492">
              <w:rPr>
                <w:rStyle w:val="hps"/>
                <w:i/>
                <w:sz w:val="22"/>
                <w:szCs w:val="22"/>
                <w:lang w:val="hr-HR"/>
              </w:rPr>
              <w:t>Djeca:</w:t>
            </w:r>
            <w:r w:rsidRPr="009D2492">
              <w:rPr>
                <w:rStyle w:val="hps"/>
                <w:sz w:val="22"/>
                <w:szCs w:val="22"/>
                <w:lang w:val="hr-HR"/>
              </w:rPr>
              <w:t xml:space="preserve"> Preporučena doza za oralnu primjenu kod djece je u rasponu od 1 do 3 mg/kg/dan, do maksimalne doze od 40mg/dan.</w:t>
            </w:r>
          </w:p>
          <w:p w:rsidR="00BF6D4F" w:rsidRPr="009D2492" w:rsidRDefault="00BF6D4F" w:rsidP="009D2492">
            <w:pPr>
              <w:autoSpaceDE w:val="0"/>
              <w:autoSpaceDN w:val="0"/>
              <w:adjustRightInd w:val="0"/>
              <w:spacing w:before="120"/>
              <w:jc w:val="both"/>
              <w:rPr>
                <w:rStyle w:val="longtext"/>
                <w:sz w:val="22"/>
                <w:szCs w:val="22"/>
                <w:lang w:val="hr-HR"/>
              </w:rPr>
            </w:pPr>
            <w:r w:rsidRPr="009D2492">
              <w:rPr>
                <w:rStyle w:val="hps"/>
                <w:i/>
                <w:sz w:val="22"/>
                <w:szCs w:val="22"/>
                <w:lang w:val="hr-HR"/>
              </w:rPr>
              <w:t>Stariji pacijenti:</w:t>
            </w:r>
            <w:r w:rsidRPr="009D2492">
              <w:rPr>
                <w:rStyle w:val="hps"/>
                <w:sz w:val="22"/>
                <w:szCs w:val="22"/>
                <w:lang w:val="hr-HR"/>
              </w:rPr>
              <w:t xml:space="preserve"> Mogu se primijeniti doze za odrasle, pri čemu treba imati u vidu da se furosemid kod starijih osoba sporije eliminiše. Dozu treba titrirati sve dok se ne postigne željeni odgovor.</w:t>
            </w:r>
          </w:p>
          <w:p w:rsidR="00BF6D4F" w:rsidRPr="00BC4C82" w:rsidRDefault="00BF6D4F" w:rsidP="00BB3274">
            <w:pPr>
              <w:autoSpaceDE w:val="0"/>
              <w:autoSpaceDN w:val="0"/>
              <w:adjustRightInd w:val="0"/>
              <w:spacing w:before="120" w:after="120"/>
              <w:rPr>
                <w:sz w:val="22"/>
                <w:szCs w:val="22"/>
              </w:rPr>
            </w:pPr>
          </w:p>
        </w:tc>
      </w:tr>
      <w:tr w:rsidR="00BF6D4F" w:rsidRPr="00BC4C82" w:rsidTr="009D2492">
        <w:tc>
          <w:tcPr>
            <w:tcW w:w="9639" w:type="dxa"/>
            <w:gridSpan w:val="4"/>
            <w:vAlign w:val="center"/>
          </w:tcPr>
          <w:p w:rsidR="00BF6D4F" w:rsidRDefault="00BF6D4F" w:rsidP="009D2492">
            <w:pPr>
              <w:pStyle w:val="Header"/>
              <w:tabs>
                <w:tab w:val="left" w:pos="284"/>
              </w:tabs>
              <w:rPr>
                <w:b/>
                <w:bCs/>
                <w:sz w:val="22"/>
                <w:szCs w:val="22"/>
              </w:rPr>
            </w:pPr>
            <w:r w:rsidRPr="00BC4C82">
              <w:rPr>
                <w:b/>
                <w:bCs/>
                <w:sz w:val="22"/>
                <w:szCs w:val="22"/>
              </w:rPr>
              <w:lastRenderedPageBreak/>
              <w:t>4.3. Kontraindikacije</w:t>
            </w:r>
          </w:p>
          <w:p w:rsidR="005114E6" w:rsidRPr="00BC4C82" w:rsidRDefault="005114E6" w:rsidP="009D2492">
            <w:pPr>
              <w:pStyle w:val="Header"/>
              <w:tabs>
                <w:tab w:val="left" w:pos="284"/>
              </w:tabs>
              <w:rPr>
                <w:b/>
                <w:bCs/>
                <w:sz w:val="22"/>
                <w:szCs w:val="22"/>
              </w:rPr>
            </w:pPr>
          </w:p>
        </w:tc>
      </w:tr>
      <w:tr w:rsidR="00BF6D4F" w:rsidRPr="00BC4C82" w:rsidTr="009D2492">
        <w:trPr>
          <w:trHeight w:val="1145"/>
        </w:trPr>
        <w:tc>
          <w:tcPr>
            <w:tcW w:w="9639" w:type="dxa"/>
            <w:gridSpan w:val="4"/>
            <w:vAlign w:val="center"/>
          </w:tcPr>
          <w:p w:rsidR="00BF6D4F" w:rsidRPr="009D2492" w:rsidRDefault="00BF6D4F" w:rsidP="009D2492">
            <w:pPr>
              <w:pStyle w:val="Header"/>
              <w:numPr>
                <w:ilvl w:val="0"/>
                <w:numId w:val="41"/>
              </w:numPr>
              <w:tabs>
                <w:tab w:val="clear" w:pos="4320"/>
                <w:tab w:val="clear" w:pos="8640"/>
                <w:tab w:val="left" w:pos="284"/>
              </w:tabs>
              <w:spacing w:after="120"/>
              <w:jc w:val="both"/>
              <w:rPr>
                <w:rFonts w:eastAsia="TimesNewRoman"/>
                <w:sz w:val="22"/>
                <w:szCs w:val="22"/>
                <w:lang w:val="sr-Latn-CS" w:eastAsia="sr-Latn-CS"/>
              </w:rPr>
            </w:pPr>
            <w:r w:rsidRPr="009D2492">
              <w:rPr>
                <w:rFonts w:eastAsia="TimesNewRoman"/>
                <w:sz w:val="22"/>
                <w:szCs w:val="22"/>
                <w:lang w:val="sr-Latn-CS" w:eastAsia="sr-Latn-CS"/>
              </w:rPr>
              <w:t>Kod pacijenata sa hipovolemijom ili kod dehidriranih pacijenata, kod pacijenata sa prisutnom anurijom ili smanjenom bubrežnom funkcijom sa prisutnom anurijom koja ne reaguje na furosemid, smanjenom bubrežnom funkcijom usljed trovanja nefrotoksičnim ili hepatotoksičnim agensima ili smanjenom bubrežnom funkcijom udruženom sa hepatičkom komom, teškom hipokalijemijom, teškom hiponatrijemijom, prekomatoznim i komatoznim stanjem udruženim sa hepatičkom encefalopatijom i kod žena koje doje.</w:t>
            </w:r>
          </w:p>
          <w:p w:rsidR="00A05DDC" w:rsidRDefault="00BF6D4F" w:rsidP="009D2492">
            <w:pPr>
              <w:pStyle w:val="Header"/>
              <w:numPr>
                <w:ilvl w:val="0"/>
                <w:numId w:val="41"/>
              </w:numPr>
              <w:tabs>
                <w:tab w:val="clear" w:pos="4320"/>
                <w:tab w:val="clear" w:pos="8640"/>
                <w:tab w:val="left" w:pos="284"/>
              </w:tabs>
              <w:jc w:val="both"/>
              <w:rPr>
                <w:sz w:val="22"/>
                <w:szCs w:val="22"/>
              </w:rPr>
            </w:pPr>
            <w:r w:rsidRPr="005114E6">
              <w:rPr>
                <w:rFonts w:eastAsia="TimesNewRoman"/>
                <w:sz w:val="22"/>
                <w:szCs w:val="22"/>
                <w:lang w:val="sr-Latn-CS" w:eastAsia="sr-Latn-CS"/>
              </w:rPr>
              <w:t>Preosjetljivost na furosemid ili bilo koju pomoćnu supstancu lijeka Lasix. Pacijenti alergični na sulfonamide mogu imati ukrštenu reakciju na furosemid.</w:t>
            </w:r>
          </w:p>
          <w:p w:rsidR="00A05DDC" w:rsidRPr="00A05DDC" w:rsidRDefault="00A05DDC" w:rsidP="009D2492">
            <w:pPr>
              <w:pStyle w:val="Header"/>
              <w:tabs>
                <w:tab w:val="clear" w:pos="4320"/>
                <w:tab w:val="clear" w:pos="8640"/>
                <w:tab w:val="left" w:pos="284"/>
              </w:tabs>
              <w:jc w:val="both"/>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4.4. Posebna upozorenja i mjere opreza pri upotrebi lijeka</w:t>
            </w:r>
          </w:p>
        </w:tc>
      </w:tr>
      <w:tr w:rsidR="00BF6D4F" w:rsidRPr="00BC4C82" w:rsidTr="009D2492">
        <w:trPr>
          <w:trHeight w:val="356"/>
        </w:trPr>
        <w:tc>
          <w:tcPr>
            <w:tcW w:w="9639" w:type="dxa"/>
            <w:gridSpan w:val="4"/>
            <w:vAlign w:val="center"/>
          </w:tcPr>
          <w:p w:rsidR="00A05DDC" w:rsidRDefault="00A05DDC" w:rsidP="009D2492">
            <w:pPr>
              <w:autoSpaceDE w:val="0"/>
              <w:autoSpaceDN w:val="0"/>
              <w:adjustRightInd w:val="0"/>
              <w:rPr>
                <w:rFonts w:eastAsia="TimesNewRoman"/>
                <w:sz w:val="22"/>
                <w:szCs w:val="22"/>
                <w:lang w:val="sr-Latn-CS" w:eastAsia="sr-Latn-CS"/>
              </w:rPr>
            </w:pP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Previše snažna diureza može izazvati ortostatsku hipotenziju i akutne hipotenzivne epizode.</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Prije početka primjene terapije trebalo bi preduzeti određene korake koji bi otklonili hipotenziju ili hipovolemiju.</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Redovno praćenje serumskog natrijuma, kalijuma i kreatinina se preporučuje tokom terapije furosemidom; posebno pažljivo praćenje se zahtijeva kod pacijenata sa visokim rizikom od razvoja elektrolitnog disbalansa ili u slučaju dodatnog velikog gubitka tečnosti. Hipovolemija, dehidratacija, a i bilo kakvi poremećaji vrijednosti elektrolita i acido-bazne ravnoteže moraju biti normalizovani. Ova stanja mogu zahtijevati privremeni prekid terapije furosemidom.</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Mora se obezbijediti pražnjenje bešike. Povećana produkcija urina može da izazove ili pojača nelagodnost kod pacijenata sa opstrukcijom urinarnih puteva. Ovi pacijenti zahtijevaju pažljivo praćenje. Pacijenti sa parcijalnom opstrukcijom mokraćnih kanala, na primjer pacijenti sa hipertrofijom prostate ili smanjenim mokrenjem, imaju povećan rizik od razvoja akutnog zadržavanja mokraće, i moraju se pažljivo pratiti.</w:t>
            </w:r>
          </w:p>
          <w:p w:rsidR="00A05DDC"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Naročito je neophodno praćenje pacijenata sa:</w:t>
            </w:r>
          </w:p>
          <w:p w:rsidR="00BF6D4F" w:rsidRPr="00BC4C82" w:rsidRDefault="00BF6D4F">
            <w:pPr>
              <w:numPr>
                <w:ilvl w:val="0"/>
                <w:numId w:val="36"/>
              </w:num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hipotenzijom;</w:t>
            </w:r>
          </w:p>
          <w:p w:rsidR="00BF6D4F" w:rsidRPr="00BC4C82" w:rsidRDefault="00BF6D4F">
            <w:pPr>
              <w:numPr>
                <w:ilvl w:val="0"/>
                <w:numId w:val="36"/>
              </w:num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rizikom od izraženog pada krvnog pritiska;</w:t>
            </w:r>
          </w:p>
          <w:p w:rsidR="00BF6D4F" w:rsidRPr="00BC4C82" w:rsidRDefault="00BF6D4F">
            <w:pPr>
              <w:numPr>
                <w:ilvl w:val="0"/>
                <w:numId w:val="36"/>
              </w:num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latentnim ili manifestnim dijabetesom. Pri upotrebi furosemida može biti potrebno podešavanje doze hipoglikemijskih ljekova, radi kontrole diabetes mellitus-a;</w:t>
            </w:r>
          </w:p>
          <w:p w:rsidR="00BF6D4F" w:rsidRPr="00BC4C82" w:rsidRDefault="00BF6D4F">
            <w:pPr>
              <w:numPr>
                <w:ilvl w:val="0"/>
                <w:numId w:val="36"/>
              </w:num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gihtom;</w:t>
            </w:r>
          </w:p>
          <w:p w:rsidR="00A05DDC" w:rsidRPr="00BC4C82" w:rsidRDefault="00BF6D4F">
            <w:pPr>
              <w:numPr>
                <w:ilvl w:val="0"/>
                <w:numId w:val="39"/>
              </w:num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hepato-renalnim sindromom;</w:t>
            </w:r>
          </w:p>
          <w:p w:rsidR="00A05DDC" w:rsidRPr="00A05DDC" w:rsidRDefault="00BF6D4F" w:rsidP="009D2492">
            <w:pPr>
              <w:numPr>
                <w:ilvl w:val="0"/>
                <w:numId w:val="39"/>
              </w:numPr>
              <w:autoSpaceDE w:val="0"/>
              <w:autoSpaceDN w:val="0"/>
              <w:adjustRightInd w:val="0"/>
              <w:jc w:val="both"/>
              <w:rPr>
                <w:rFonts w:eastAsia="TimesNewRoman"/>
                <w:sz w:val="22"/>
                <w:szCs w:val="22"/>
                <w:lang w:val="sr-Latn-CS" w:eastAsia="sr-Latn-CS"/>
              </w:rPr>
            </w:pPr>
            <w:r w:rsidRPr="00A05DDC">
              <w:rPr>
                <w:rFonts w:eastAsia="TimesNewRoman"/>
                <w:sz w:val="22"/>
                <w:szCs w:val="22"/>
                <w:lang w:val="sr-Latn-CS" w:eastAsia="sr-Latn-CS"/>
              </w:rPr>
              <w:t>hipoproteinemijom, na primjer udruženom sa bubrežnim sindromom (efekat furosemida može oslabiti, a ototoksičnost se povećati). Potrebna je pažljiva titracija doze.</w:t>
            </w:r>
          </w:p>
          <w:p w:rsidR="00BF6D4F" w:rsidRPr="00A05DDC" w:rsidRDefault="00BF6D4F" w:rsidP="009D2492">
            <w:pPr>
              <w:numPr>
                <w:ilvl w:val="0"/>
                <w:numId w:val="39"/>
              </w:numPr>
              <w:autoSpaceDE w:val="0"/>
              <w:autoSpaceDN w:val="0"/>
              <w:adjustRightInd w:val="0"/>
              <w:jc w:val="both"/>
              <w:rPr>
                <w:rFonts w:eastAsia="TimesNewRoman"/>
                <w:sz w:val="22"/>
                <w:szCs w:val="22"/>
                <w:lang w:val="sr-Latn-CS" w:eastAsia="sr-Latn-CS"/>
              </w:rPr>
            </w:pPr>
            <w:r w:rsidRPr="00A05DDC">
              <w:rPr>
                <w:rFonts w:eastAsia="TimesNewRoman"/>
                <w:sz w:val="22"/>
                <w:szCs w:val="22"/>
                <w:lang w:val="sr-Latn-CS" w:eastAsia="sr-Latn-CS"/>
              </w:rPr>
              <w:t>kod nedonoščadi (moguć je razvoj nefrokalcinoze/nefrolitijaze; mora se pratiti renalna funkcija i raditi renalni ultrazvučni pregled).</w:t>
            </w:r>
          </w:p>
          <w:p w:rsidR="00A05DDC"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Smatra se da upotreba diuretika kod akutne porfirije nije bezbjedna, stoga bi tome trebalo pristupiti s oprezom.</w:t>
            </w:r>
          </w:p>
          <w:p w:rsidR="00BF6D4F" w:rsidRPr="00BC4C82" w:rsidRDefault="00BF6D4F" w:rsidP="009D2492">
            <w:pPr>
              <w:autoSpaceDE w:val="0"/>
              <w:autoSpaceDN w:val="0"/>
              <w:adjustRightInd w:val="0"/>
              <w:spacing w:before="120"/>
              <w:jc w:val="both"/>
              <w:rPr>
                <w:bCs/>
                <w:sz w:val="22"/>
                <w:szCs w:val="22"/>
              </w:rPr>
            </w:pPr>
          </w:p>
          <w:p w:rsidR="00BF6D4F" w:rsidRPr="00BC4C82" w:rsidRDefault="00BF6D4F" w:rsidP="009D2492">
            <w:pPr>
              <w:autoSpaceDE w:val="0"/>
              <w:autoSpaceDN w:val="0"/>
              <w:adjustRightInd w:val="0"/>
              <w:spacing w:after="120"/>
              <w:jc w:val="both"/>
              <w:rPr>
                <w:rFonts w:eastAsia="TimesNewRoman"/>
                <w:sz w:val="22"/>
                <w:szCs w:val="22"/>
                <w:lang w:val="sr-Latn-CS" w:eastAsia="sr-Latn-CS"/>
              </w:rPr>
            </w:pPr>
            <w:r w:rsidRPr="00BC4C82">
              <w:rPr>
                <w:bCs/>
                <w:sz w:val="22"/>
                <w:szCs w:val="22"/>
              </w:rPr>
              <w:t>Istovremena</w:t>
            </w:r>
            <w:r w:rsidRPr="00BC4C82">
              <w:rPr>
                <w:bCs/>
                <w:sz w:val="22"/>
                <w:szCs w:val="22"/>
                <w:lang w:val="sr-Latn-CS"/>
              </w:rPr>
              <w:t xml:space="preserve"> </w:t>
            </w:r>
            <w:r w:rsidRPr="00BC4C82">
              <w:rPr>
                <w:bCs/>
                <w:sz w:val="22"/>
                <w:szCs w:val="22"/>
              </w:rPr>
              <w:t>upotreba</w:t>
            </w:r>
            <w:r w:rsidRPr="00BC4C82">
              <w:rPr>
                <w:bCs/>
                <w:sz w:val="22"/>
                <w:szCs w:val="22"/>
                <w:lang w:val="sr-Latn-CS"/>
              </w:rPr>
              <w:t xml:space="preserve"> </w:t>
            </w:r>
            <w:r w:rsidRPr="00BC4C82">
              <w:rPr>
                <w:bCs/>
                <w:sz w:val="22"/>
                <w:szCs w:val="22"/>
              </w:rPr>
              <w:t>furosemida</w:t>
            </w:r>
            <w:r w:rsidRPr="00BC4C82">
              <w:rPr>
                <w:bCs/>
                <w:sz w:val="22"/>
                <w:szCs w:val="22"/>
                <w:lang w:val="sr-Latn-CS"/>
              </w:rPr>
              <w:t xml:space="preserve"> </w:t>
            </w:r>
            <w:r w:rsidRPr="00BC4C82">
              <w:rPr>
                <w:bCs/>
                <w:sz w:val="22"/>
                <w:szCs w:val="22"/>
              </w:rPr>
              <w:t>sa</w:t>
            </w:r>
            <w:r w:rsidRPr="00BC4C82">
              <w:rPr>
                <w:bCs/>
                <w:sz w:val="22"/>
                <w:szCs w:val="22"/>
                <w:lang w:val="sr-Latn-CS"/>
              </w:rPr>
              <w:t xml:space="preserve"> </w:t>
            </w:r>
            <w:r w:rsidRPr="00BC4C82">
              <w:rPr>
                <w:bCs/>
                <w:sz w:val="22"/>
                <w:szCs w:val="22"/>
              </w:rPr>
              <w:t>risperidonom</w:t>
            </w:r>
          </w:p>
          <w:p w:rsidR="00BF6D4F" w:rsidRPr="00BC4C82" w:rsidRDefault="00BF6D4F" w:rsidP="009D2492">
            <w:pPr>
              <w:autoSpaceDE w:val="0"/>
              <w:autoSpaceDN w:val="0"/>
              <w:adjustRightInd w:val="0"/>
              <w:spacing w:before="120" w:after="120"/>
              <w:jc w:val="both"/>
              <w:rPr>
                <w:rFonts w:eastAsia="TimesNewRoman"/>
                <w:sz w:val="22"/>
                <w:szCs w:val="22"/>
                <w:lang w:val="sr-Latn-CS"/>
              </w:rPr>
            </w:pPr>
            <w:r w:rsidRPr="00BC4C82">
              <w:rPr>
                <w:rFonts w:eastAsia="TimesNewRoman"/>
                <w:sz w:val="22"/>
                <w:szCs w:val="22"/>
              </w:rPr>
              <w:t>U</w:t>
            </w:r>
            <w:r w:rsidRPr="00BC4C82">
              <w:rPr>
                <w:rFonts w:eastAsia="TimesNewRoman"/>
                <w:sz w:val="22"/>
                <w:szCs w:val="22"/>
                <w:lang w:val="sr-Latn-CS"/>
              </w:rPr>
              <w:t xml:space="preserve"> </w:t>
            </w:r>
            <w:r w:rsidRPr="00BC4C82">
              <w:rPr>
                <w:rFonts w:eastAsia="TimesNewRoman"/>
                <w:sz w:val="22"/>
                <w:szCs w:val="22"/>
              </w:rPr>
              <w:t>placebo</w:t>
            </w:r>
            <w:r w:rsidRPr="00BC4C82">
              <w:rPr>
                <w:rFonts w:eastAsia="TimesNewRoman"/>
                <w:sz w:val="22"/>
                <w:szCs w:val="22"/>
                <w:lang w:val="sr-Latn-CS"/>
              </w:rPr>
              <w:t xml:space="preserve"> </w:t>
            </w:r>
            <w:r w:rsidRPr="00BC4C82">
              <w:rPr>
                <w:rFonts w:eastAsia="TimesNewRoman"/>
                <w:sz w:val="22"/>
                <w:szCs w:val="22"/>
              </w:rPr>
              <w:t>kontrolisanim</w:t>
            </w:r>
            <w:r w:rsidRPr="00BC4C82">
              <w:rPr>
                <w:rFonts w:eastAsia="TimesNewRoman"/>
                <w:sz w:val="22"/>
                <w:szCs w:val="22"/>
                <w:lang w:val="sr-Latn-CS"/>
              </w:rPr>
              <w:t xml:space="preserve"> </w:t>
            </w:r>
            <w:r w:rsidRPr="00BC4C82">
              <w:rPr>
                <w:rFonts w:eastAsia="TimesNewRoman"/>
                <w:sz w:val="22"/>
                <w:szCs w:val="22"/>
              </w:rPr>
              <w:t>klini</w:t>
            </w:r>
            <w:r w:rsidRPr="00BC4C82">
              <w:rPr>
                <w:rFonts w:eastAsia="TimesNewRoman"/>
                <w:sz w:val="22"/>
                <w:szCs w:val="22"/>
                <w:lang w:val="sr-Latn-CS"/>
              </w:rPr>
              <w:t>č</w:t>
            </w:r>
            <w:r w:rsidRPr="00BC4C82">
              <w:rPr>
                <w:rFonts w:eastAsia="TimesNewRoman"/>
                <w:sz w:val="22"/>
                <w:szCs w:val="22"/>
              </w:rPr>
              <w:t>kim</w:t>
            </w:r>
            <w:r w:rsidRPr="00BC4C82">
              <w:rPr>
                <w:rFonts w:eastAsia="TimesNewRoman"/>
                <w:sz w:val="22"/>
                <w:szCs w:val="22"/>
                <w:lang w:val="sr-Latn-CS"/>
              </w:rPr>
              <w:t xml:space="preserve"> </w:t>
            </w:r>
            <w:r w:rsidRPr="00BC4C82">
              <w:rPr>
                <w:rFonts w:eastAsia="TimesNewRoman"/>
                <w:sz w:val="22"/>
                <w:szCs w:val="22"/>
              </w:rPr>
              <w:t>studijama</w:t>
            </w:r>
            <w:r w:rsidRPr="00BC4C82">
              <w:rPr>
                <w:rFonts w:eastAsia="TimesNewRoman"/>
                <w:sz w:val="22"/>
                <w:szCs w:val="22"/>
                <w:lang w:val="sr-Latn-CS"/>
              </w:rPr>
              <w:t xml:space="preserve"> </w:t>
            </w:r>
            <w:r w:rsidRPr="00BC4C82">
              <w:rPr>
                <w:rFonts w:eastAsia="TimesNewRoman"/>
                <w:sz w:val="22"/>
                <w:szCs w:val="22"/>
              </w:rPr>
              <w:t>za</w:t>
            </w:r>
            <w:r w:rsidRPr="00BC4C82">
              <w:rPr>
                <w:rFonts w:eastAsia="TimesNewRoman"/>
                <w:sz w:val="22"/>
                <w:szCs w:val="22"/>
                <w:lang w:val="sr-Latn-CS"/>
              </w:rPr>
              <w:t xml:space="preserve"> </w:t>
            </w:r>
            <w:r w:rsidRPr="00BC4C82">
              <w:rPr>
                <w:rFonts w:eastAsia="TimesNewRoman"/>
                <w:sz w:val="22"/>
                <w:szCs w:val="22"/>
              </w:rPr>
              <w:t>risperidon</w:t>
            </w:r>
            <w:r w:rsidRPr="00BC4C82">
              <w:rPr>
                <w:rFonts w:eastAsia="TimesNewRoman"/>
                <w:sz w:val="22"/>
                <w:szCs w:val="22"/>
                <w:lang w:val="sr-Latn-CS"/>
              </w:rPr>
              <w:t xml:space="preserve"> </w:t>
            </w:r>
            <w:r w:rsidRPr="00BC4C82">
              <w:rPr>
                <w:rFonts w:eastAsia="TimesNewRoman"/>
                <w:sz w:val="22"/>
                <w:szCs w:val="22"/>
              </w:rPr>
              <w:t>kod</w:t>
            </w:r>
            <w:r w:rsidRPr="00BC4C82">
              <w:rPr>
                <w:rFonts w:eastAsia="TimesNewRoman"/>
                <w:sz w:val="22"/>
                <w:szCs w:val="22"/>
                <w:lang w:val="sr-Latn-CS"/>
              </w:rPr>
              <w:t xml:space="preserve"> </w:t>
            </w:r>
            <w:r w:rsidRPr="00BC4C82">
              <w:rPr>
                <w:rFonts w:eastAsia="TimesNewRoman"/>
                <w:sz w:val="22"/>
                <w:szCs w:val="22"/>
              </w:rPr>
              <w:t>starijih</w:t>
            </w:r>
            <w:r w:rsidRPr="00BC4C82">
              <w:rPr>
                <w:rFonts w:eastAsia="TimesNewRoman"/>
                <w:sz w:val="22"/>
                <w:szCs w:val="22"/>
                <w:lang w:val="sr-Latn-CS"/>
              </w:rPr>
              <w:t xml:space="preserve"> </w:t>
            </w:r>
            <w:r w:rsidRPr="00BC4C82">
              <w:rPr>
                <w:rFonts w:eastAsia="TimesNewRoman"/>
                <w:sz w:val="22"/>
                <w:szCs w:val="22"/>
              </w:rPr>
              <w:t>pacijenata</w:t>
            </w:r>
            <w:r w:rsidRPr="00BC4C82">
              <w:rPr>
                <w:rFonts w:eastAsia="TimesNewRoman"/>
                <w:sz w:val="22"/>
                <w:szCs w:val="22"/>
                <w:lang w:val="sr-Latn-CS"/>
              </w:rPr>
              <w:t xml:space="preserve"> </w:t>
            </w:r>
            <w:r w:rsidRPr="00BC4C82">
              <w:rPr>
                <w:rFonts w:eastAsia="TimesNewRoman"/>
                <w:sz w:val="22"/>
                <w:szCs w:val="22"/>
              </w:rPr>
              <w:t>sa</w:t>
            </w:r>
            <w:r w:rsidRPr="00BC4C82">
              <w:rPr>
                <w:rFonts w:eastAsia="TimesNewRoman"/>
                <w:sz w:val="22"/>
                <w:szCs w:val="22"/>
                <w:lang w:val="sr-Latn-CS"/>
              </w:rPr>
              <w:t xml:space="preserve"> </w:t>
            </w:r>
            <w:r w:rsidRPr="00BC4C82">
              <w:rPr>
                <w:rFonts w:eastAsia="TimesNewRoman"/>
                <w:sz w:val="22"/>
                <w:szCs w:val="22"/>
              </w:rPr>
              <w:t>demencijom</w:t>
            </w:r>
            <w:r w:rsidRPr="00BC4C82">
              <w:rPr>
                <w:rFonts w:eastAsia="TimesNewRoman"/>
                <w:sz w:val="22"/>
                <w:szCs w:val="22"/>
                <w:lang w:val="sr-Latn-CS"/>
              </w:rPr>
              <w:t xml:space="preserve">, </w:t>
            </w:r>
            <w:r w:rsidRPr="00BC4C82">
              <w:rPr>
                <w:rFonts w:eastAsia="TimesNewRoman"/>
                <w:sz w:val="22"/>
                <w:szCs w:val="22"/>
              </w:rPr>
              <w:t>ve</w:t>
            </w:r>
            <w:r w:rsidRPr="00BC4C82">
              <w:rPr>
                <w:rFonts w:eastAsia="TimesNewRoman"/>
                <w:sz w:val="22"/>
                <w:szCs w:val="22"/>
                <w:lang w:val="sr-Latn-CS"/>
              </w:rPr>
              <w:t>ć</w:t>
            </w:r>
            <w:r w:rsidRPr="00BC4C82">
              <w:rPr>
                <w:rFonts w:eastAsia="TimesNewRoman"/>
                <w:sz w:val="22"/>
                <w:szCs w:val="22"/>
              </w:rPr>
              <w:t>a</w:t>
            </w:r>
            <w:r w:rsidRPr="00BC4C82">
              <w:rPr>
                <w:rFonts w:eastAsia="TimesNewRoman"/>
                <w:sz w:val="22"/>
                <w:szCs w:val="22"/>
                <w:lang w:val="sr-Latn-CS"/>
              </w:rPr>
              <w:t xml:space="preserve"> </w:t>
            </w:r>
            <w:r w:rsidRPr="00BC4C82">
              <w:rPr>
                <w:rFonts w:eastAsia="TimesNewRoman"/>
                <w:sz w:val="22"/>
                <w:szCs w:val="22"/>
              </w:rPr>
              <w:t>incidenca</w:t>
            </w:r>
            <w:r w:rsidRPr="00BC4C82">
              <w:rPr>
                <w:rFonts w:eastAsia="TimesNewRoman"/>
                <w:sz w:val="22"/>
                <w:szCs w:val="22"/>
                <w:lang w:val="sr-Latn-CS"/>
              </w:rPr>
              <w:t xml:space="preserve"> </w:t>
            </w:r>
            <w:r w:rsidRPr="00BC4C82">
              <w:rPr>
                <w:rFonts w:eastAsia="TimesNewRoman"/>
                <w:sz w:val="22"/>
                <w:szCs w:val="22"/>
              </w:rPr>
              <w:t>smrtnosti</w:t>
            </w:r>
            <w:r w:rsidRPr="00BC4C82">
              <w:rPr>
                <w:rFonts w:eastAsia="TimesNewRoman"/>
                <w:sz w:val="22"/>
                <w:szCs w:val="22"/>
                <w:lang w:val="sr-Latn-CS"/>
              </w:rPr>
              <w:t xml:space="preserve"> </w:t>
            </w:r>
            <w:r w:rsidRPr="00BC4C82">
              <w:rPr>
                <w:rFonts w:eastAsia="TimesNewRoman"/>
                <w:sz w:val="22"/>
                <w:szCs w:val="22"/>
              </w:rPr>
              <w:t>je</w:t>
            </w:r>
            <w:r w:rsidRPr="00BC4C82">
              <w:rPr>
                <w:rFonts w:eastAsia="TimesNewRoman"/>
                <w:sz w:val="22"/>
                <w:szCs w:val="22"/>
                <w:lang w:val="sr-Latn-CS"/>
              </w:rPr>
              <w:t xml:space="preserve"> </w:t>
            </w:r>
            <w:r w:rsidRPr="00BC4C82">
              <w:rPr>
                <w:rFonts w:eastAsia="TimesNewRoman"/>
                <w:sz w:val="22"/>
                <w:szCs w:val="22"/>
              </w:rPr>
              <w:t>primije</w:t>
            </w:r>
            <w:r w:rsidRPr="00BC4C82">
              <w:rPr>
                <w:rFonts w:eastAsia="TimesNewRoman"/>
                <w:sz w:val="22"/>
                <w:szCs w:val="22"/>
                <w:lang w:val="sr-Latn-CS"/>
              </w:rPr>
              <w:t>ć</w:t>
            </w:r>
            <w:r w:rsidRPr="00BC4C82">
              <w:rPr>
                <w:rFonts w:eastAsia="TimesNewRoman"/>
                <w:sz w:val="22"/>
                <w:szCs w:val="22"/>
              </w:rPr>
              <w:t>ena</w:t>
            </w:r>
            <w:r w:rsidRPr="00BC4C82">
              <w:rPr>
                <w:rFonts w:eastAsia="TimesNewRoman"/>
                <w:sz w:val="22"/>
                <w:szCs w:val="22"/>
                <w:lang w:val="sr-Latn-CS"/>
              </w:rPr>
              <w:t xml:space="preserve"> </w:t>
            </w:r>
            <w:r w:rsidRPr="00BC4C82">
              <w:rPr>
                <w:rFonts w:eastAsia="TimesNewRoman"/>
                <w:sz w:val="22"/>
                <w:szCs w:val="22"/>
              </w:rPr>
              <w:t>kod</w:t>
            </w:r>
            <w:r w:rsidRPr="00BC4C82">
              <w:rPr>
                <w:rFonts w:eastAsia="TimesNewRoman"/>
                <w:sz w:val="22"/>
                <w:szCs w:val="22"/>
                <w:lang w:val="sr-Latn-CS"/>
              </w:rPr>
              <w:t xml:space="preserve"> </w:t>
            </w:r>
            <w:r w:rsidRPr="00BC4C82">
              <w:rPr>
                <w:rFonts w:eastAsia="TimesNewRoman"/>
                <w:sz w:val="22"/>
                <w:szCs w:val="22"/>
              </w:rPr>
              <w:t>pacijenata</w:t>
            </w:r>
            <w:r w:rsidRPr="00BC4C82">
              <w:rPr>
                <w:rFonts w:eastAsia="TimesNewRoman"/>
                <w:sz w:val="22"/>
                <w:szCs w:val="22"/>
                <w:lang w:val="sr-Latn-CS"/>
              </w:rPr>
              <w:t xml:space="preserve"> </w:t>
            </w:r>
            <w:r w:rsidRPr="00BC4C82">
              <w:rPr>
                <w:rFonts w:eastAsia="TimesNewRoman"/>
                <w:sz w:val="22"/>
                <w:szCs w:val="22"/>
              </w:rPr>
              <w:t>koji</w:t>
            </w:r>
            <w:r w:rsidRPr="00BC4C82">
              <w:rPr>
                <w:rFonts w:eastAsia="TimesNewRoman"/>
                <w:sz w:val="22"/>
                <w:szCs w:val="22"/>
                <w:lang w:val="sr-Latn-CS"/>
              </w:rPr>
              <w:t xml:space="preserve"> </w:t>
            </w:r>
            <w:r w:rsidRPr="00BC4C82">
              <w:rPr>
                <w:rFonts w:eastAsia="TimesNewRoman"/>
                <w:sz w:val="22"/>
                <w:szCs w:val="22"/>
              </w:rPr>
              <w:t>su</w:t>
            </w:r>
            <w:r w:rsidRPr="00BC4C82">
              <w:rPr>
                <w:rFonts w:eastAsia="TimesNewRoman"/>
                <w:sz w:val="22"/>
                <w:szCs w:val="22"/>
                <w:lang w:val="sr-Latn-CS"/>
              </w:rPr>
              <w:t xml:space="preserve"> </w:t>
            </w:r>
            <w:r w:rsidRPr="00BC4C82">
              <w:rPr>
                <w:rFonts w:eastAsia="TimesNewRoman"/>
                <w:sz w:val="22"/>
                <w:szCs w:val="22"/>
              </w:rPr>
              <w:t>bili</w:t>
            </w:r>
            <w:r w:rsidRPr="00BC4C82">
              <w:rPr>
                <w:rFonts w:eastAsia="TimesNewRoman"/>
                <w:sz w:val="22"/>
                <w:szCs w:val="22"/>
                <w:lang w:val="sr-Latn-CS"/>
              </w:rPr>
              <w:t xml:space="preserve"> </w:t>
            </w:r>
            <w:r w:rsidRPr="00BC4C82">
              <w:rPr>
                <w:rFonts w:eastAsia="TimesNewRoman"/>
                <w:sz w:val="22"/>
                <w:szCs w:val="22"/>
              </w:rPr>
              <w:t>na</w:t>
            </w:r>
            <w:r w:rsidRPr="00BC4C82">
              <w:rPr>
                <w:rFonts w:eastAsia="TimesNewRoman"/>
                <w:sz w:val="22"/>
                <w:szCs w:val="22"/>
                <w:lang w:val="sr-Latn-CS"/>
              </w:rPr>
              <w:t xml:space="preserve"> </w:t>
            </w:r>
            <w:r w:rsidRPr="00BC4C82">
              <w:rPr>
                <w:rFonts w:eastAsia="TimesNewRoman"/>
                <w:sz w:val="22"/>
                <w:szCs w:val="22"/>
              </w:rPr>
              <w:t>terapiji</w:t>
            </w:r>
            <w:r w:rsidRPr="00BC4C82">
              <w:rPr>
                <w:rFonts w:eastAsia="TimesNewRoman"/>
                <w:sz w:val="22"/>
                <w:szCs w:val="22"/>
                <w:lang w:val="sr-Latn-CS"/>
              </w:rPr>
              <w:t xml:space="preserve"> </w:t>
            </w:r>
            <w:r w:rsidRPr="00BC4C82">
              <w:rPr>
                <w:rFonts w:eastAsia="TimesNewRoman"/>
                <w:sz w:val="22"/>
                <w:szCs w:val="22"/>
              </w:rPr>
              <w:t>furosemidom</w:t>
            </w:r>
            <w:r w:rsidRPr="00BC4C82">
              <w:rPr>
                <w:rFonts w:eastAsia="TimesNewRoman"/>
                <w:sz w:val="22"/>
                <w:szCs w:val="22"/>
                <w:lang w:val="sr-Latn-CS"/>
              </w:rPr>
              <w:t xml:space="preserve"> </w:t>
            </w:r>
            <w:r w:rsidRPr="00BC4C82">
              <w:rPr>
                <w:rFonts w:eastAsia="TimesNewRoman"/>
                <w:sz w:val="22"/>
                <w:szCs w:val="22"/>
              </w:rPr>
              <w:t>i</w:t>
            </w:r>
            <w:r w:rsidRPr="00BC4C82">
              <w:rPr>
                <w:rFonts w:eastAsia="TimesNewRoman"/>
                <w:sz w:val="22"/>
                <w:szCs w:val="22"/>
                <w:lang w:val="sr-Latn-CS"/>
              </w:rPr>
              <w:t xml:space="preserve"> </w:t>
            </w:r>
            <w:r w:rsidRPr="00BC4C82">
              <w:rPr>
                <w:rFonts w:eastAsia="TimesNewRoman"/>
                <w:sz w:val="22"/>
                <w:szCs w:val="22"/>
              </w:rPr>
              <w:t>risperidonom,</w:t>
            </w:r>
            <w:r w:rsidRPr="00BC4C82">
              <w:rPr>
                <w:rFonts w:eastAsia="TimesNewRoman"/>
                <w:sz w:val="22"/>
                <w:szCs w:val="22"/>
                <w:lang w:val="sr-Latn-CS"/>
              </w:rPr>
              <w:t xml:space="preserve"> </w:t>
            </w:r>
            <w:r w:rsidRPr="00BC4C82">
              <w:rPr>
                <w:rFonts w:eastAsia="TimesNewRoman"/>
                <w:sz w:val="22"/>
                <w:szCs w:val="22"/>
              </w:rPr>
              <w:t>u</w:t>
            </w:r>
            <w:r w:rsidRPr="00BC4C82">
              <w:rPr>
                <w:rFonts w:eastAsia="TimesNewRoman"/>
                <w:sz w:val="22"/>
                <w:szCs w:val="22"/>
                <w:lang w:val="sr-Latn-CS"/>
              </w:rPr>
              <w:t xml:space="preserve"> </w:t>
            </w:r>
            <w:r w:rsidRPr="00BC4C82">
              <w:rPr>
                <w:rFonts w:eastAsia="TimesNewRoman"/>
                <w:sz w:val="22"/>
                <w:szCs w:val="22"/>
              </w:rPr>
              <w:lastRenderedPageBreak/>
              <w:t>pore</w:t>
            </w:r>
            <w:r w:rsidRPr="00BC4C82">
              <w:rPr>
                <w:rFonts w:eastAsia="TimesNewRoman"/>
                <w:sz w:val="22"/>
                <w:szCs w:val="22"/>
                <w:lang w:val="sr-Latn-CS"/>
              </w:rPr>
              <w:t>đ</w:t>
            </w:r>
            <w:r w:rsidRPr="00BC4C82">
              <w:rPr>
                <w:rFonts w:eastAsia="TimesNewRoman"/>
                <w:sz w:val="22"/>
                <w:szCs w:val="22"/>
              </w:rPr>
              <w:t>enju</w:t>
            </w:r>
            <w:r w:rsidRPr="00BC4C82">
              <w:rPr>
                <w:rFonts w:eastAsia="TimesNewRoman"/>
                <w:sz w:val="22"/>
                <w:szCs w:val="22"/>
                <w:lang w:val="sr-Latn-CS"/>
              </w:rPr>
              <w:t xml:space="preserve"> </w:t>
            </w:r>
            <w:r w:rsidRPr="00BC4C82">
              <w:rPr>
                <w:rFonts w:eastAsia="TimesNewRoman"/>
                <w:sz w:val="22"/>
                <w:szCs w:val="22"/>
              </w:rPr>
              <w:t>sa</w:t>
            </w:r>
            <w:r w:rsidRPr="00BC4C82">
              <w:rPr>
                <w:rFonts w:eastAsia="TimesNewRoman"/>
                <w:sz w:val="22"/>
                <w:szCs w:val="22"/>
                <w:lang w:val="sr-Latn-CS"/>
              </w:rPr>
              <w:t xml:space="preserve"> </w:t>
            </w:r>
            <w:r w:rsidRPr="00BC4C82">
              <w:rPr>
                <w:rFonts w:eastAsia="TimesNewRoman"/>
                <w:sz w:val="22"/>
                <w:szCs w:val="22"/>
              </w:rPr>
              <w:t>pacijentima</w:t>
            </w:r>
            <w:r w:rsidRPr="00BC4C82">
              <w:rPr>
                <w:rFonts w:eastAsia="TimesNewRoman"/>
                <w:sz w:val="22"/>
                <w:szCs w:val="22"/>
                <w:lang w:val="sr-Latn-CS"/>
              </w:rPr>
              <w:t xml:space="preserve"> </w:t>
            </w:r>
            <w:r w:rsidRPr="00BC4C82">
              <w:rPr>
                <w:rFonts w:eastAsia="TimesNewRoman"/>
                <w:sz w:val="22"/>
                <w:szCs w:val="22"/>
              </w:rPr>
              <w:t>koji</w:t>
            </w:r>
            <w:r w:rsidRPr="00BC4C82">
              <w:rPr>
                <w:rFonts w:eastAsia="TimesNewRoman"/>
                <w:sz w:val="22"/>
                <w:szCs w:val="22"/>
                <w:lang w:val="sr-Latn-CS"/>
              </w:rPr>
              <w:t xml:space="preserve"> </w:t>
            </w:r>
            <w:r w:rsidRPr="00BC4C82">
              <w:rPr>
                <w:rFonts w:eastAsia="TimesNewRoman"/>
                <w:sz w:val="22"/>
                <w:szCs w:val="22"/>
              </w:rPr>
              <w:t>su</w:t>
            </w:r>
            <w:r w:rsidRPr="00BC4C82">
              <w:rPr>
                <w:rFonts w:eastAsia="TimesNewRoman"/>
                <w:sz w:val="22"/>
                <w:szCs w:val="22"/>
                <w:lang w:val="sr-Latn-CS"/>
              </w:rPr>
              <w:t xml:space="preserve"> </w:t>
            </w:r>
            <w:r w:rsidRPr="00BC4C82">
              <w:rPr>
                <w:rFonts w:eastAsia="TimesNewRoman"/>
                <w:sz w:val="22"/>
                <w:szCs w:val="22"/>
              </w:rPr>
              <w:t>bili</w:t>
            </w:r>
            <w:r w:rsidRPr="00BC4C82">
              <w:rPr>
                <w:rFonts w:eastAsia="TimesNewRoman"/>
                <w:sz w:val="22"/>
                <w:szCs w:val="22"/>
                <w:lang w:val="sr-Latn-CS"/>
              </w:rPr>
              <w:t xml:space="preserve"> </w:t>
            </w:r>
            <w:r w:rsidRPr="00BC4C82">
              <w:rPr>
                <w:rFonts w:eastAsia="TimesNewRoman"/>
                <w:sz w:val="22"/>
                <w:szCs w:val="22"/>
              </w:rPr>
              <w:t>na</w:t>
            </w:r>
            <w:r w:rsidRPr="00BC4C82">
              <w:rPr>
                <w:rFonts w:eastAsia="TimesNewRoman"/>
                <w:sz w:val="22"/>
                <w:szCs w:val="22"/>
                <w:lang w:val="sr-Latn-CS"/>
              </w:rPr>
              <w:t xml:space="preserve"> </w:t>
            </w:r>
            <w:r w:rsidRPr="00BC4C82">
              <w:rPr>
                <w:rFonts w:eastAsia="TimesNewRoman"/>
                <w:sz w:val="22"/>
                <w:szCs w:val="22"/>
              </w:rPr>
              <w:t>terapiji</w:t>
            </w:r>
            <w:r w:rsidRPr="00BC4C82">
              <w:rPr>
                <w:rFonts w:eastAsia="TimesNewRoman"/>
                <w:sz w:val="22"/>
                <w:szCs w:val="22"/>
                <w:lang w:val="sr-Latn-CS"/>
              </w:rPr>
              <w:t xml:space="preserve"> </w:t>
            </w:r>
            <w:r w:rsidRPr="00BC4C82">
              <w:rPr>
                <w:rFonts w:eastAsia="TimesNewRoman"/>
                <w:sz w:val="22"/>
                <w:szCs w:val="22"/>
              </w:rPr>
              <w:t>samo</w:t>
            </w:r>
            <w:r w:rsidRPr="00BC4C82">
              <w:rPr>
                <w:rFonts w:eastAsia="TimesNewRoman"/>
                <w:sz w:val="22"/>
                <w:szCs w:val="22"/>
                <w:lang w:val="sr-Latn-CS"/>
              </w:rPr>
              <w:t xml:space="preserve"> </w:t>
            </w:r>
            <w:r w:rsidRPr="00BC4C82">
              <w:rPr>
                <w:rFonts w:eastAsia="TimesNewRoman"/>
                <w:sz w:val="22"/>
                <w:szCs w:val="22"/>
              </w:rPr>
              <w:t>risperidonom</w:t>
            </w:r>
            <w:r w:rsidRPr="00BC4C82">
              <w:rPr>
                <w:rFonts w:eastAsia="TimesNewRoman"/>
                <w:sz w:val="22"/>
                <w:szCs w:val="22"/>
                <w:lang w:val="sr-Latn-CS"/>
              </w:rPr>
              <w:t xml:space="preserve"> </w:t>
            </w:r>
            <w:r w:rsidRPr="00BC4C82">
              <w:rPr>
                <w:rFonts w:eastAsia="TimesNewRoman"/>
                <w:sz w:val="22"/>
                <w:szCs w:val="22"/>
              </w:rPr>
              <w:t>ili</w:t>
            </w:r>
            <w:r w:rsidRPr="00BC4C82">
              <w:rPr>
                <w:rFonts w:eastAsia="TimesNewRoman"/>
                <w:sz w:val="22"/>
                <w:szCs w:val="22"/>
                <w:lang w:val="sr-Latn-CS"/>
              </w:rPr>
              <w:t xml:space="preserve"> </w:t>
            </w:r>
            <w:r w:rsidRPr="00BC4C82">
              <w:rPr>
                <w:rFonts w:eastAsia="TimesNewRoman"/>
                <w:sz w:val="22"/>
                <w:szCs w:val="22"/>
              </w:rPr>
              <w:t>samo</w:t>
            </w:r>
            <w:r w:rsidRPr="00BC4C82">
              <w:rPr>
                <w:rFonts w:eastAsia="TimesNewRoman"/>
                <w:sz w:val="22"/>
                <w:szCs w:val="22"/>
                <w:lang w:val="sr-Latn-CS"/>
              </w:rPr>
              <w:t xml:space="preserve"> </w:t>
            </w:r>
            <w:r w:rsidRPr="00BC4C82">
              <w:rPr>
                <w:rFonts w:eastAsia="TimesNewRoman"/>
                <w:sz w:val="22"/>
                <w:szCs w:val="22"/>
              </w:rPr>
              <w:t>furosemidom</w:t>
            </w:r>
            <w:r w:rsidRPr="00BC4C82">
              <w:rPr>
                <w:rFonts w:eastAsia="TimesNewRoman"/>
                <w:sz w:val="22"/>
                <w:szCs w:val="22"/>
                <w:lang w:val="sr-Latn-CS"/>
              </w:rPr>
              <w:t xml:space="preserve">. </w:t>
            </w:r>
            <w:r w:rsidRPr="00BC4C82">
              <w:rPr>
                <w:rFonts w:eastAsia="TimesNewRoman"/>
                <w:sz w:val="22"/>
                <w:szCs w:val="22"/>
              </w:rPr>
              <w:t>Prije</w:t>
            </w:r>
            <w:r w:rsidRPr="00BC4C82">
              <w:rPr>
                <w:rFonts w:eastAsia="TimesNewRoman"/>
                <w:sz w:val="22"/>
                <w:szCs w:val="22"/>
                <w:lang w:val="sr-Latn-CS"/>
              </w:rPr>
              <w:t xml:space="preserve"> </w:t>
            </w:r>
            <w:r w:rsidRPr="00BC4C82">
              <w:rPr>
                <w:rFonts w:eastAsia="TimesNewRoman"/>
                <w:sz w:val="22"/>
                <w:szCs w:val="22"/>
              </w:rPr>
              <w:t>odluke</w:t>
            </w:r>
            <w:r w:rsidRPr="00BC4C82">
              <w:rPr>
                <w:rFonts w:eastAsia="TimesNewRoman"/>
                <w:sz w:val="22"/>
                <w:szCs w:val="22"/>
                <w:lang w:val="sr-Latn-CS"/>
              </w:rPr>
              <w:t xml:space="preserve"> </w:t>
            </w:r>
            <w:r w:rsidRPr="00BC4C82">
              <w:rPr>
                <w:rFonts w:eastAsia="TimesNewRoman"/>
                <w:sz w:val="22"/>
                <w:szCs w:val="22"/>
              </w:rPr>
              <w:t>o</w:t>
            </w:r>
            <w:r w:rsidRPr="00BC4C82">
              <w:rPr>
                <w:rFonts w:eastAsia="TimesNewRoman"/>
                <w:sz w:val="22"/>
                <w:szCs w:val="22"/>
                <w:lang w:val="sr-Latn-CS"/>
              </w:rPr>
              <w:t xml:space="preserve"> </w:t>
            </w:r>
            <w:r w:rsidRPr="00BC4C82">
              <w:rPr>
                <w:rFonts w:eastAsia="TimesNewRoman"/>
                <w:sz w:val="22"/>
                <w:szCs w:val="22"/>
              </w:rPr>
              <w:t>primjeni</w:t>
            </w:r>
            <w:r w:rsidRPr="00BC4C82">
              <w:rPr>
                <w:rFonts w:eastAsia="TimesNewRoman"/>
                <w:sz w:val="22"/>
                <w:szCs w:val="22"/>
                <w:lang w:val="sr-Latn-CS"/>
              </w:rPr>
              <w:t xml:space="preserve"> </w:t>
            </w:r>
            <w:r w:rsidRPr="00BC4C82">
              <w:rPr>
                <w:rFonts w:eastAsia="TimesNewRoman"/>
                <w:sz w:val="22"/>
                <w:szCs w:val="22"/>
              </w:rPr>
              <w:t>istovremene</w:t>
            </w:r>
            <w:r w:rsidRPr="00BC4C82">
              <w:rPr>
                <w:rFonts w:eastAsia="TimesNewRoman"/>
                <w:sz w:val="22"/>
                <w:szCs w:val="22"/>
                <w:lang w:val="sr-Latn-CS"/>
              </w:rPr>
              <w:t xml:space="preserve"> </w:t>
            </w:r>
            <w:r w:rsidRPr="00BC4C82">
              <w:rPr>
                <w:rFonts w:eastAsia="TimesNewRoman"/>
                <w:sz w:val="22"/>
                <w:szCs w:val="22"/>
              </w:rPr>
              <w:t>terapije</w:t>
            </w:r>
            <w:r w:rsidRPr="00BC4C82">
              <w:rPr>
                <w:rFonts w:eastAsia="TimesNewRoman"/>
                <w:sz w:val="22"/>
                <w:szCs w:val="22"/>
                <w:lang w:val="sr-Latn-CS"/>
              </w:rPr>
              <w:t xml:space="preserve"> </w:t>
            </w:r>
            <w:r w:rsidRPr="00BC4C82">
              <w:rPr>
                <w:rFonts w:eastAsia="TimesNewRoman"/>
                <w:sz w:val="22"/>
                <w:szCs w:val="22"/>
              </w:rPr>
              <w:t>treba</w:t>
            </w:r>
            <w:r w:rsidRPr="00BC4C82">
              <w:rPr>
                <w:rFonts w:eastAsia="TimesNewRoman"/>
                <w:sz w:val="22"/>
                <w:szCs w:val="22"/>
                <w:lang w:val="sr-Latn-CS"/>
              </w:rPr>
              <w:t xml:space="preserve"> </w:t>
            </w:r>
            <w:r w:rsidRPr="00BC4C82">
              <w:rPr>
                <w:rFonts w:eastAsia="TimesNewRoman"/>
                <w:sz w:val="22"/>
                <w:szCs w:val="22"/>
              </w:rPr>
              <w:t>procijeniti</w:t>
            </w:r>
            <w:r w:rsidRPr="00BC4C82">
              <w:rPr>
                <w:rFonts w:eastAsia="TimesNewRoman"/>
                <w:sz w:val="22"/>
                <w:szCs w:val="22"/>
                <w:lang w:val="sr-Latn-CS"/>
              </w:rPr>
              <w:t xml:space="preserve"> </w:t>
            </w:r>
            <w:r w:rsidRPr="00BC4C82">
              <w:rPr>
                <w:rFonts w:eastAsia="TimesNewRoman"/>
                <w:sz w:val="22"/>
                <w:szCs w:val="22"/>
              </w:rPr>
              <w:t>rizik</w:t>
            </w:r>
            <w:r w:rsidRPr="00BC4C82">
              <w:rPr>
                <w:rFonts w:eastAsia="TimesNewRoman"/>
                <w:sz w:val="22"/>
                <w:szCs w:val="22"/>
                <w:lang w:val="sr-Latn-CS"/>
              </w:rPr>
              <w:t xml:space="preserve"> </w:t>
            </w:r>
            <w:r w:rsidRPr="00BC4C82">
              <w:rPr>
                <w:rFonts w:eastAsia="TimesNewRoman"/>
                <w:sz w:val="22"/>
                <w:szCs w:val="22"/>
              </w:rPr>
              <w:t>i</w:t>
            </w:r>
            <w:r w:rsidRPr="00BC4C82">
              <w:rPr>
                <w:rFonts w:eastAsia="TimesNewRoman"/>
                <w:sz w:val="22"/>
                <w:szCs w:val="22"/>
                <w:lang w:val="sr-Latn-CS"/>
              </w:rPr>
              <w:t xml:space="preserve"> </w:t>
            </w:r>
            <w:r w:rsidRPr="00BC4C82">
              <w:rPr>
                <w:rFonts w:eastAsia="TimesNewRoman"/>
                <w:sz w:val="22"/>
                <w:szCs w:val="22"/>
              </w:rPr>
              <w:t>korist</w:t>
            </w:r>
            <w:r w:rsidRPr="00BC4C82">
              <w:rPr>
                <w:rFonts w:eastAsia="TimesNewRoman"/>
                <w:sz w:val="22"/>
                <w:szCs w:val="22"/>
                <w:lang w:val="sr-Latn-CS"/>
              </w:rPr>
              <w:t xml:space="preserve"> </w:t>
            </w:r>
            <w:r w:rsidRPr="00BC4C82">
              <w:rPr>
                <w:rFonts w:eastAsia="TimesNewRoman"/>
                <w:sz w:val="22"/>
                <w:szCs w:val="22"/>
              </w:rPr>
              <w:t>ove</w:t>
            </w:r>
            <w:r w:rsidRPr="00BC4C82">
              <w:rPr>
                <w:rFonts w:eastAsia="TimesNewRoman"/>
                <w:sz w:val="22"/>
                <w:szCs w:val="22"/>
                <w:lang w:val="sr-Latn-CS"/>
              </w:rPr>
              <w:t xml:space="preserve"> </w:t>
            </w:r>
            <w:r w:rsidRPr="00BC4C82">
              <w:rPr>
                <w:rFonts w:eastAsia="TimesNewRoman"/>
                <w:sz w:val="22"/>
                <w:szCs w:val="22"/>
              </w:rPr>
              <w:t>kombinacije</w:t>
            </w:r>
            <w:r w:rsidRPr="00BC4C82">
              <w:rPr>
                <w:rFonts w:eastAsia="TimesNewRoman"/>
                <w:sz w:val="22"/>
                <w:szCs w:val="22"/>
                <w:lang w:val="sr-Latn-CS"/>
              </w:rPr>
              <w:t xml:space="preserve"> </w:t>
            </w:r>
            <w:r w:rsidRPr="00BC4C82">
              <w:rPr>
                <w:rFonts w:eastAsia="TimesNewRoman"/>
                <w:sz w:val="22"/>
                <w:szCs w:val="22"/>
              </w:rPr>
              <w:t>i</w:t>
            </w:r>
            <w:r w:rsidRPr="00BC4C82">
              <w:rPr>
                <w:rFonts w:eastAsia="TimesNewRoman"/>
                <w:sz w:val="22"/>
                <w:szCs w:val="22"/>
                <w:lang w:val="sr-Latn-CS"/>
              </w:rPr>
              <w:t xml:space="preserve"> </w:t>
            </w:r>
            <w:r w:rsidRPr="00BC4C82">
              <w:rPr>
                <w:rFonts w:eastAsia="TimesNewRoman"/>
                <w:sz w:val="22"/>
                <w:szCs w:val="22"/>
              </w:rPr>
              <w:t>potreban</w:t>
            </w:r>
            <w:r w:rsidRPr="00BC4C82">
              <w:rPr>
                <w:rFonts w:eastAsia="TimesNewRoman"/>
                <w:sz w:val="22"/>
                <w:szCs w:val="22"/>
                <w:lang w:val="sr-Latn-CS"/>
              </w:rPr>
              <w:t xml:space="preserve"> </w:t>
            </w:r>
            <w:r w:rsidRPr="00BC4C82">
              <w:rPr>
                <w:rFonts w:eastAsia="TimesNewRoman"/>
                <w:sz w:val="22"/>
                <w:szCs w:val="22"/>
              </w:rPr>
              <w:t>je</w:t>
            </w:r>
            <w:r w:rsidRPr="00BC4C82">
              <w:rPr>
                <w:rFonts w:eastAsia="TimesNewRoman"/>
                <w:sz w:val="22"/>
                <w:szCs w:val="22"/>
                <w:lang w:val="sr-Latn-CS"/>
              </w:rPr>
              <w:t xml:space="preserve"> </w:t>
            </w:r>
            <w:r w:rsidRPr="00BC4C82">
              <w:rPr>
                <w:rFonts w:eastAsia="TimesNewRoman"/>
                <w:sz w:val="22"/>
                <w:szCs w:val="22"/>
              </w:rPr>
              <w:t>pove</w:t>
            </w:r>
            <w:r w:rsidRPr="00BC4C82">
              <w:rPr>
                <w:rFonts w:eastAsia="TimesNewRoman"/>
                <w:sz w:val="22"/>
                <w:szCs w:val="22"/>
                <w:lang w:val="sr-Latn-CS"/>
              </w:rPr>
              <w:t>ć</w:t>
            </w:r>
            <w:r w:rsidRPr="00BC4C82">
              <w:rPr>
                <w:rFonts w:eastAsia="TimesNewRoman"/>
                <w:sz w:val="22"/>
                <w:szCs w:val="22"/>
              </w:rPr>
              <w:t>an</w:t>
            </w:r>
            <w:r w:rsidRPr="00BC4C82">
              <w:rPr>
                <w:rFonts w:eastAsia="TimesNewRoman"/>
                <w:sz w:val="22"/>
                <w:szCs w:val="22"/>
                <w:lang w:val="sr-Latn-CS"/>
              </w:rPr>
              <w:t xml:space="preserve"> </w:t>
            </w:r>
            <w:r w:rsidRPr="00BC4C82">
              <w:rPr>
                <w:rFonts w:eastAsia="TimesNewRoman"/>
                <w:sz w:val="22"/>
                <w:szCs w:val="22"/>
              </w:rPr>
              <w:t>oprez</w:t>
            </w:r>
            <w:r w:rsidRPr="00BC4C82">
              <w:rPr>
                <w:rFonts w:eastAsia="TimesNewRoman"/>
                <w:sz w:val="22"/>
                <w:szCs w:val="22"/>
                <w:lang w:val="sr-Latn-CS"/>
              </w:rPr>
              <w:t xml:space="preserve">. </w:t>
            </w:r>
            <w:r w:rsidRPr="00BC4C82">
              <w:rPr>
                <w:rFonts w:eastAsia="TimesNewRoman"/>
                <w:sz w:val="22"/>
                <w:szCs w:val="22"/>
              </w:rPr>
              <w:t>Treba</w:t>
            </w:r>
            <w:r w:rsidRPr="00BC4C82">
              <w:rPr>
                <w:rFonts w:eastAsia="TimesNewRoman"/>
                <w:sz w:val="22"/>
                <w:szCs w:val="22"/>
                <w:lang w:val="sr-Latn-CS"/>
              </w:rPr>
              <w:t xml:space="preserve"> </w:t>
            </w:r>
            <w:r w:rsidRPr="00BC4C82">
              <w:rPr>
                <w:rFonts w:eastAsia="TimesNewRoman"/>
                <w:sz w:val="22"/>
                <w:szCs w:val="22"/>
              </w:rPr>
              <w:t>sprije</w:t>
            </w:r>
            <w:r w:rsidRPr="00BC4C82">
              <w:rPr>
                <w:rFonts w:eastAsia="TimesNewRoman"/>
                <w:sz w:val="22"/>
                <w:szCs w:val="22"/>
                <w:lang w:val="sr-Latn-CS"/>
              </w:rPr>
              <w:t>č</w:t>
            </w:r>
            <w:r w:rsidRPr="00BC4C82">
              <w:rPr>
                <w:rFonts w:eastAsia="TimesNewRoman"/>
                <w:sz w:val="22"/>
                <w:szCs w:val="22"/>
              </w:rPr>
              <w:t>iti</w:t>
            </w:r>
            <w:r w:rsidRPr="00BC4C82">
              <w:rPr>
                <w:rFonts w:eastAsia="TimesNewRoman"/>
                <w:sz w:val="22"/>
                <w:szCs w:val="22"/>
                <w:lang w:val="sr-Latn-CS"/>
              </w:rPr>
              <w:t xml:space="preserve"> </w:t>
            </w:r>
            <w:r w:rsidRPr="00BC4C82">
              <w:rPr>
                <w:rFonts w:eastAsia="TimesNewRoman"/>
                <w:sz w:val="22"/>
                <w:szCs w:val="22"/>
              </w:rPr>
              <w:t>dehidrataciju</w:t>
            </w:r>
            <w:r w:rsidRPr="00BC4C82">
              <w:rPr>
                <w:rFonts w:eastAsia="TimesNewRoman"/>
                <w:sz w:val="22"/>
                <w:szCs w:val="22"/>
                <w:lang w:val="sr-Latn-CS"/>
              </w:rPr>
              <w:t xml:space="preserve">. </w:t>
            </w:r>
          </w:p>
          <w:p w:rsidR="00BF6D4F" w:rsidRPr="00BC4C82" w:rsidRDefault="00BF6D4F" w:rsidP="009D2492">
            <w:pPr>
              <w:autoSpaceDE w:val="0"/>
              <w:autoSpaceDN w:val="0"/>
              <w:adjustRightInd w:val="0"/>
              <w:spacing w:before="120" w:after="120"/>
              <w:jc w:val="both"/>
              <w:rPr>
                <w:sz w:val="22"/>
                <w:szCs w:val="22"/>
                <w:lang w:val="sr-Latn-CS"/>
              </w:rPr>
            </w:pPr>
            <w:r w:rsidRPr="00BC4C82">
              <w:rPr>
                <w:sz w:val="22"/>
                <w:szCs w:val="22"/>
                <w:lang w:val="sr-Latn-CS"/>
              </w:rPr>
              <w:t>Postoji mogućnost za egzarcerbaciju i aktivaciju sistemskog lupusa eritematozusa (SLE), zbog čega je potreban oprez kada se furosemid primjenjuje kod pacijenata sa istorijom SLE.</w:t>
            </w:r>
          </w:p>
          <w:p w:rsidR="00BF6D4F" w:rsidRPr="00BC4C82" w:rsidRDefault="00BF6D4F" w:rsidP="009D2492">
            <w:pPr>
              <w:pStyle w:val="Header"/>
              <w:tabs>
                <w:tab w:val="left" w:pos="284"/>
              </w:tabs>
              <w:spacing w:before="120"/>
              <w:jc w:val="both"/>
              <w:rPr>
                <w:rStyle w:val="hps"/>
                <w:color w:val="333333"/>
                <w:sz w:val="22"/>
                <w:szCs w:val="22"/>
                <w:lang w:val="en"/>
              </w:rPr>
            </w:pPr>
            <w:r w:rsidRPr="00BC4C82">
              <w:rPr>
                <w:rFonts w:eastAsia="TimesNewRoman"/>
                <w:sz w:val="22"/>
                <w:szCs w:val="22"/>
              </w:rPr>
              <w:t>Pacijenti</w:t>
            </w:r>
            <w:r w:rsidRPr="00BC4C82">
              <w:rPr>
                <w:rFonts w:eastAsia="TimesNewRoman"/>
                <w:sz w:val="22"/>
                <w:szCs w:val="22"/>
                <w:lang w:val="sr-Latn-CS"/>
              </w:rPr>
              <w:t xml:space="preserve"> </w:t>
            </w:r>
            <w:r w:rsidRPr="00BC4C82">
              <w:rPr>
                <w:rFonts w:eastAsia="TimesNewRoman"/>
                <w:sz w:val="22"/>
                <w:szCs w:val="22"/>
              </w:rPr>
              <w:t>sa</w:t>
            </w:r>
            <w:r w:rsidRPr="00BC4C82">
              <w:rPr>
                <w:rFonts w:eastAsia="TimesNewRoman"/>
                <w:sz w:val="22"/>
                <w:szCs w:val="22"/>
                <w:lang w:val="sr-Latn-CS"/>
              </w:rPr>
              <w:t xml:space="preserve"> </w:t>
            </w:r>
            <w:r w:rsidRPr="00BC4C82">
              <w:rPr>
                <w:rFonts w:eastAsia="TimesNewRoman"/>
                <w:sz w:val="22"/>
                <w:szCs w:val="22"/>
              </w:rPr>
              <w:t>rijetkim</w:t>
            </w:r>
            <w:r w:rsidRPr="00BC4C82">
              <w:rPr>
                <w:rFonts w:eastAsia="TimesNewRoman"/>
                <w:sz w:val="22"/>
                <w:szCs w:val="22"/>
                <w:lang w:val="sr-Latn-CS"/>
              </w:rPr>
              <w:t xml:space="preserve"> </w:t>
            </w:r>
            <w:r w:rsidRPr="00BC4C82">
              <w:rPr>
                <w:rFonts w:eastAsia="TimesNewRoman"/>
                <w:sz w:val="22"/>
                <w:szCs w:val="22"/>
              </w:rPr>
              <w:t>nasljednim</w:t>
            </w:r>
            <w:r w:rsidRPr="00BC4C82">
              <w:rPr>
                <w:rFonts w:eastAsia="TimesNewRoman"/>
                <w:sz w:val="22"/>
                <w:szCs w:val="22"/>
                <w:lang w:val="sr-Latn-CS"/>
              </w:rPr>
              <w:t xml:space="preserve"> </w:t>
            </w:r>
            <w:r w:rsidRPr="00BC4C82">
              <w:rPr>
                <w:rFonts w:eastAsia="TimesNewRoman"/>
                <w:sz w:val="22"/>
                <w:szCs w:val="22"/>
              </w:rPr>
              <w:t>oboljenjem</w:t>
            </w:r>
            <w:r w:rsidRPr="00BC4C82">
              <w:rPr>
                <w:rFonts w:eastAsia="TimesNewRoman"/>
                <w:sz w:val="22"/>
                <w:szCs w:val="22"/>
                <w:lang w:val="sr-Latn-CS"/>
              </w:rPr>
              <w:t xml:space="preserve"> </w:t>
            </w:r>
            <w:r w:rsidRPr="00BC4C82">
              <w:rPr>
                <w:rFonts w:eastAsia="TimesNewRoman"/>
                <w:sz w:val="22"/>
                <w:szCs w:val="22"/>
              </w:rPr>
              <w:t>intolerancije</w:t>
            </w:r>
            <w:r w:rsidRPr="00BC4C82">
              <w:rPr>
                <w:rFonts w:eastAsia="TimesNewRoman"/>
                <w:sz w:val="22"/>
                <w:szCs w:val="22"/>
                <w:lang w:val="sr-Latn-CS"/>
              </w:rPr>
              <w:t xml:space="preserve"> </w:t>
            </w:r>
            <w:r w:rsidRPr="00BC4C82">
              <w:rPr>
                <w:rFonts w:eastAsia="TimesNewRoman"/>
                <w:sz w:val="22"/>
                <w:szCs w:val="22"/>
              </w:rPr>
              <w:t>na</w:t>
            </w:r>
            <w:r w:rsidRPr="00BC4C82">
              <w:rPr>
                <w:rFonts w:eastAsia="TimesNewRoman"/>
                <w:sz w:val="22"/>
                <w:szCs w:val="22"/>
                <w:lang w:val="sr-Latn-CS"/>
              </w:rPr>
              <w:t xml:space="preserve"> </w:t>
            </w:r>
            <w:r w:rsidRPr="00BC4C82">
              <w:rPr>
                <w:rFonts w:eastAsia="TimesNewRoman"/>
                <w:sz w:val="22"/>
                <w:szCs w:val="22"/>
              </w:rPr>
              <w:t>galaktozu</w:t>
            </w:r>
            <w:r w:rsidRPr="00BC4C82">
              <w:rPr>
                <w:rFonts w:eastAsia="TimesNewRoman"/>
                <w:sz w:val="22"/>
                <w:szCs w:val="22"/>
                <w:lang w:val="sr-Latn-CS"/>
              </w:rPr>
              <w:t xml:space="preserve">, </w:t>
            </w:r>
            <w:r w:rsidRPr="00BC4C82">
              <w:rPr>
                <w:rFonts w:eastAsia="TimesNewRoman"/>
                <w:sz w:val="22"/>
                <w:szCs w:val="22"/>
              </w:rPr>
              <w:t>nedostatkom</w:t>
            </w:r>
            <w:r w:rsidRPr="00BC4C82">
              <w:rPr>
                <w:rFonts w:eastAsia="TimesNewRoman"/>
                <w:sz w:val="22"/>
                <w:szCs w:val="22"/>
                <w:lang w:val="sr-Latn-CS"/>
              </w:rPr>
              <w:t xml:space="preserve"> </w:t>
            </w:r>
            <w:r w:rsidRPr="00BC4C82">
              <w:rPr>
                <w:rFonts w:eastAsia="TimesNewRoman"/>
                <w:sz w:val="22"/>
                <w:szCs w:val="22"/>
              </w:rPr>
              <w:t>Lapp</w:t>
            </w:r>
            <w:r w:rsidRPr="00BC4C82">
              <w:rPr>
                <w:rFonts w:eastAsia="TimesNewRoman"/>
                <w:sz w:val="22"/>
                <w:szCs w:val="22"/>
                <w:lang w:val="sr-Latn-CS"/>
              </w:rPr>
              <w:t xml:space="preserve"> </w:t>
            </w:r>
            <w:r w:rsidRPr="00BC4C82">
              <w:rPr>
                <w:rFonts w:eastAsia="TimesNewRoman"/>
                <w:sz w:val="22"/>
                <w:szCs w:val="22"/>
              </w:rPr>
              <w:t>laktaze</w:t>
            </w:r>
            <w:r w:rsidRPr="00BC4C82">
              <w:rPr>
                <w:rFonts w:eastAsia="TimesNewRoman"/>
                <w:sz w:val="22"/>
                <w:szCs w:val="22"/>
                <w:lang w:val="sr-Latn-CS"/>
              </w:rPr>
              <w:t xml:space="preserve"> </w:t>
            </w:r>
            <w:r w:rsidRPr="00BC4C82">
              <w:rPr>
                <w:rFonts w:eastAsia="TimesNewRoman"/>
                <w:sz w:val="22"/>
                <w:szCs w:val="22"/>
              </w:rPr>
              <w:t>ili</w:t>
            </w:r>
            <w:r w:rsidRPr="00BC4C82">
              <w:rPr>
                <w:rFonts w:eastAsia="TimesNewRoman"/>
                <w:sz w:val="22"/>
                <w:szCs w:val="22"/>
                <w:lang w:val="sr-Latn-CS"/>
              </w:rPr>
              <w:t xml:space="preserve"> </w:t>
            </w:r>
            <w:r w:rsidRPr="00BC4C82">
              <w:rPr>
                <w:rFonts w:eastAsia="TimesNewRoman"/>
                <w:sz w:val="22"/>
                <w:szCs w:val="22"/>
              </w:rPr>
              <w:t>glukozno</w:t>
            </w:r>
            <w:r w:rsidRPr="00BC4C82">
              <w:rPr>
                <w:rFonts w:eastAsia="TimesNewRoman"/>
                <w:sz w:val="22"/>
                <w:szCs w:val="22"/>
                <w:lang w:val="sr-Latn-CS"/>
              </w:rPr>
              <w:t>-</w:t>
            </w:r>
            <w:r w:rsidRPr="00BC4C82">
              <w:rPr>
                <w:rFonts w:eastAsia="TimesNewRoman"/>
                <w:sz w:val="22"/>
                <w:szCs w:val="22"/>
              </w:rPr>
              <w:t>galaktoznom</w:t>
            </w:r>
            <w:r w:rsidRPr="00BC4C82">
              <w:rPr>
                <w:rFonts w:eastAsia="TimesNewRoman"/>
                <w:sz w:val="22"/>
                <w:szCs w:val="22"/>
                <w:lang w:val="sr-Latn-CS"/>
              </w:rPr>
              <w:t xml:space="preserve"> </w:t>
            </w:r>
            <w:r w:rsidRPr="00BC4C82">
              <w:rPr>
                <w:rFonts w:eastAsia="TimesNewRoman"/>
                <w:sz w:val="22"/>
                <w:szCs w:val="22"/>
              </w:rPr>
              <w:t>malapsorpcijom</w:t>
            </w:r>
            <w:r w:rsidRPr="00BC4C82">
              <w:rPr>
                <w:rFonts w:eastAsia="TimesNewRoman"/>
                <w:sz w:val="22"/>
                <w:szCs w:val="22"/>
                <w:lang w:val="sr-Latn-CS"/>
              </w:rPr>
              <w:t xml:space="preserve">, </w:t>
            </w:r>
            <w:r w:rsidRPr="00BC4C82">
              <w:rPr>
                <w:rFonts w:eastAsia="TimesNewRoman"/>
                <w:sz w:val="22"/>
                <w:szCs w:val="22"/>
              </w:rPr>
              <w:t>ne</w:t>
            </w:r>
            <w:r w:rsidRPr="00BC4C82">
              <w:rPr>
                <w:rFonts w:eastAsia="TimesNewRoman"/>
                <w:sz w:val="22"/>
                <w:szCs w:val="22"/>
                <w:lang w:val="sr-Latn-CS"/>
              </w:rPr>
              <w:t xml:space="preserve"> </w:t>
            </w:r>
            <w:r w:rsidRPr="00BC4C82">
              <w:rPr>
                <w:rFonts w:eastAsia="TimesNewRoman"/>
                <w:sz w:val="22"/>
                <w:szCs w:val="22"/>
              </w:rPr>
              <w:t>smiju</w:t>
            </w:r>
            <w:r w:rsidRPr="00BC4C82">
              <w:rPr>
                <w:rFonts w:eastAsia="TimesNewRoman"/>
                <w:sz w:val="22"/>
                <w:szCs w:val="22"/>
                <w:lang w:val="sr-Latn-CS"/>
              </w:rPr>
              <w:t xml:space="preserve"> </w:t>
            </w:r>
            <w:r w:rsidRPr="00BC4C82">
              <w:rPr>
                <w:rFonts w:eastAsia="TimesNewRoman"/>
                <w:sz w:val="22"/>
                <w:szCs w:val="22"/>
              </w:rPr>
              <w:t>koristiti</w:t>
            </w:r>
            <w:r w:rsidRPr="00BC4C82">
              <w:rPr>
                <w:rFonts w:eastAsia="TimesNewRoman"/>
                <w:sz w:val="22"/>
                <w:szCs w:val="22"/>
                <w:lang w:val="sr-Latn-CS"/>
              </w:rPr>
              <w:t xml:space="preserve"> </w:t>
            </w:r>
            <w:r w:rsidRPr="00BC4C82">
              <w:rPr>
                <w:rFonts w:eastAsia="TimesNewRoman"/>
                <w:sz w:val="22"/>
                <w:szCs w:val="22"/>
              </w:rPr>
              <w:t>ovaj</w:t>
            </w:r>
            <w:r w:rsidRPr="00BC4C82">
              <w:rPr>
                <w:rFonts w:eastAsia="TimesNewRoman"/>
                <w:sz w:val="22"/>
                <w:szCs w:val="22"/>
                <w:lang w:val="sr-Latn-CS"/>
              </w:rPr>
              <w:t xml:space="preserve"> </w:t>
            </w:r>
            <w:r w:rsidRPr="00BC4C82">
              <w:rPr>
                <w:rFonts w:eastAsia="TimesNewRoman"/>
                <w:sz w:val="22"/>
                <w:szCs w:val="22"/>
              </w:rPr>
              <w:t>lijek</w:t>
            </w:r>
            <w:r w:rsidRPr="00BC4C82">
              <w:rPr>
                <w:rFonts w:eastAsia="TimesNewRoman"/>
                <w:sz w:val="22"/>
                <w:szCs w:val="22"/>
                <w:lang w:val="sr-Latn-CS"/>
              </w:rPr>
              <w:t>.</w:t>
            </w:r>
          </w:p>
          <w:p w:rsidR="00BF6D4F" w:rsidRPr="00BC4C82" w:rsidRDefault="00BF6D4F" w:rsidP="009D2492">
            <w:pPr>
              <w:autoSpaceDE w:val="0"/>
              <w:autoSpaceDN w:val="0"/>
              <w:adjustRightInd w:val="0"/>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lastRenderedPageBreak/>
              <w:t>4.5. Interakcije sa drugim ljekovima i druge vrste interakcija</w:t>
            </w:r>
          </w:p>
        </w:tc>
      </w:tr>
      <w:tr w:rsidR="00BF6D4F" w:rsidRPr="00BC4C82" w:rsidTr="009D2492">
        <w:trPr>
          <w:trHeight w:val="20"/>
        </w:trPr>
        <w:tc>
          <w:tcPr>
            <w:tcW w:w="9639" w:type="dxa"/>
            <w:gridSpan w:val="4"/>
            <w:vAlign w:val="center"/>
          </w:tcPr>
          <w:p w:rsidR="00BF6D4F" w:rsidRPr="00BC4C82" w:rsidRDefault="00BF6D4F" w:rsidP="009D2492">
            <w:pPr>
              <w:pStyle w:val="BodyText"/>
              <w:spacing w:after="0"/>
              <w:rPr>
                <w:sz w:val="22"/>
                <w:szCs w:val="22"/>
                <w:lang w:val="en-US"/>
              </w:rPr>
            </w:pPr>
          </w:p>
          <w:p w:rsidR="00BF6D4F" w:rsidRPr="00BC4C82" w:rsidRDefault="00BF6D4F" w:rsidP="009D2492">
            <w:pPr>
              <w:pStyle w:val="BodyText"/>
              <w:jc w:val="both"/>
              <w:rPr>
                <w:sz w:val="22"/>
                <w:szCs w:val="22"/>
                <w:lang w:val="de-DE"/>
              </w:rPr>
            </w:pPr>
            <w:r w:rsidRPr="00BC4C82">
              <w:rPr>
                <w:sz w:val="22"/>
                <w:szCs w:val="22"/>
                <w:lang w:val="de-DE"/>
              </w:rPr>
              <w:t>Istovremena primjena ovog lijeka i kardiotoničnih glikozida ili antihipertenzivnih agenasa zahtijeva podešavanje njihovih doza.</w:t>
            </w:r>
          </w:p>
          <w:p w:rsidR="00BF6D4F" w:rsidRPr="00BC4C82" w:rsidRDefault="00BF6D4F" w:rsidP="009D2492">
            <w:pPr>
              <w:pStyle w:val="BodyText"/>
              <w:spacing w:before="120"/>
              <w:jc w:val="both"/>
              <w:rPr>
                <w:rFonts w:eastAsia="TimesNewRoman"/>
                <w:sz w:val="22"/>
                <w:szCs w:val="22"/>
                <w:lang w:val="sr-Latn-CS" w:eastAsia="sr-Latn-CS"/>
              </w:rPr>
            </w:pPr>
            <w:r w:rsidRPr="00BC4C82">
              <w:rPr>
                <w:rFonts w:eastAsia="TimesNewRoman"/>
                <w:sz w:val="22"/>
                <w:szCs w:val="22"/>
                <w:lang w:val="sr-Latn-CS" w:eastAsia="sr-Latn-CS"/>
              </w:rPr>
              <w:t xml:space="preserve">Štetno dejstvo nefrotoksičnih ljekova može biti povećano. </w:t>
            </w:r>
          </w:p>
          <w:p w:rsidR="00BF6D4F" w:rsidRPr="00BC4C82" w:rsidRDefault="00BF6D4F" w:rsidP="009D2492">
            <w:pPr>
              <w:pStyle w:val="BodyText"/>
              <w:spacing w:before="120"/>
              <w:jc w:val="both"/>
              <w:rPr>
                <w:rFonts w:eastAsia="TimesNewRoman"/>
                <w:sz w:val="22"/>
                <w:szCs w:val="22"/>
                <w:lang w:val="sr-Latn-CS" w:eastAsia="sr-Latn-CS"/>
              </w:rPr>
            </w:pPr>
            <w:r w:rsidRPr="00BC4C82">
              <w:rPr>
                <w:rFonts w:eastAsia="TimesNewRoman"/>
                <w:sz w:val="22"/>
                <w:szCs w:val="22"/>
                <w:lang w:val="sr-Latn-CS" w:eastAsia="sr-Latn-CS"/>
              </w:rPr>
              <w:t>Kod pacijenata koji istovremeno primjenjuju furosemid i visoke doze određenih cefalosporina se može razviti oštećenje renalne funkcije.</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Pošto sukralfat smanjuje resorpciju furosemida, samim tim smanjuje i njegov efekat, te između oralne primjene furosemida i sukralfata mora postojati razmak od 2 sata.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Kortikosteroidi, kortikotrofin i amfotericin B, takođe izazivaju gubitak kalijuma, i njihova istovremena primjena</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sa furosemidom može dovesti do ozbiljnog nedostatka kalijuma.</w:t>
            </w:r>
          </w:p>
          <w:p w:rsidR="00BF6D4F" w:rsidRPr="00BC4C82" w:rsidRDefault="00BF6D4F" w:rsidP="009D2492">
            <w:pPr>
              <w:autoSpaceDE w:val="0"/>
              <w:autoSpaceDN w:val="0"/>
              <w:adjustRightInd w:val="0"/>
              <w:spacing w:before="120"/>
              <w:jc w:val="both"/>
              <w:rPr>
                <w:sz w:val="22"/>
                <w:szCs w:val="22"/>
                <w:lang w:val="sr-Latn-CS"/>
              </w:rPr>
            </w:pPr>
            <w:r w:rsidRPr="00BC4C82">
              <w:rPr>
                <w:rFonts w:eastAsia="TimesNewRoman"/>
                <w:sz w:val="22"/>
                <w:szCs w:val="22"/>
                <w:lang w:val="sr-Latn-CS" w:eastAsia="sr-Latn-CS"/>
              </w:rPr>
              <w:t>Karbenoksolon, likviricin, β</w:t>
            </w:r>
            <w:r w:rsidRPr="009D2492">
              <w:rPr>
                <w:rFonts w:eastAsia="TimesNewRoman"/>
                <w:sz w:val="22"/>
                <w:szCs w:val="22"/>
                <w:vertAlign w:val="subscript"/>
                <w:lang w:val="sr-Latn-CS" w:eastAsia="sr-Latn-CS"/>
              </w:rPr>
              <w:t>2</w:t>
            </w:r>
            <w:r w:rsidRPr="00BC4C82">
              <w:rPr>
                <w:rFonts w:eastAsia="TimesNewRoman"/>
                <w:sz w:val="22"/>
                <w:szCs w:val="22"/>
                <w:lang w:val="sr-Latn-CS" w:eastAsia="sr-Latn-CS"/>
              </w:rPr>
              <w:t xml:space="preserve"> simpatikomimetici, prolongirana upotreba laksativa, reboksetin i amfotericin mogu povećati rizik od razvoja hipokalijemije.</w:t>
            </w:r>
            <w:r w:rsidRPr="00BC4C82">
              <w:rPr>
                <w:sz w:val="22"/>
                <w:szCs w:val="22"/>
                <w:lang w:val="sr-Latn-CS"/>
              </w:rPr>
              <w:t xml:space="preserve"> </w:t>
            </w:r>
          </w:p>
          <w:p w:rsidR="00BF6D4F" w:rsidRPr="00BC4C82" w:rsidRDefault="00BF6D4F" w:rsidP="009D2492">
            <w:pPr>
              <w:autoSpaceDE w:val="0"/>
              <w:autoSpaceDN w:val="0"/>
              <w:adjustRightInd w:val="0"/>
              <w:spacing w:before="120"/>
              <w:jc w:val="both"/>
              <w:rPr>
                <w:sz w:val="22"/>
                <w:szCs w:val="22"/>
                <w:lang w:val="sr-Latn-CS"/>
              </w:rPr>
            </w:pPr>
            <w:r w:rsidRPr="00BC4C82">
              <w:rPr>
                <w:rFonts w:eastAsia="TimesNewRoman"/>
                <w:sz w:val="22"/>
                <w:szCs w:val="22"/>
                <w:lang w:val="sr-Latn-CS" w:eastAsia="sr-Latn-CS"/>
              </w:rPr>
              <w:t>Kortikosteroidi primijenjeni u isto vrijeme mogu uzrokovati zadržavanje natrijuma.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Istovremena primjena antihipertenzivnih lijekova i drugih ljekova sa efektom snižavanja krvnog pritiska zahtijeva prilagođavanje, budući da se izraženiji pad krvnog pritiska mora očekivati, ako se daju zajedno sa furosemidom.</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Istovremena primjena karbamazepina ili aminoglutetimida može povećati rizik od hiponatrijemije.</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Nivo serumskog litijuma se može povećati kada se litijum daje zajedno sa furosemidom, jer furosemid smanjuje izlučivanje litijuma, što dovodi do povećanja toksičnosti litijuma, uključujući i povećanje rizika od kardiotoksičnog i nefrotoksičnog efekta litijuma. Zbog toga se preporučuje da se nivo litijuma pažljivo prati, a gdje je potrebno i da se doza litijuma prilagodi.</w:t>
            </w:r>
          </w:p>
          <w:p w:rsidR="00BF6D4F" w:rsidRPr="00BC4C82" w:rsidRDefault="00BF6D4F" w:rsidP="009D2492">
            <w:pPr>
              <w:autoSpaceDE w:val="0"/>
              <w:autoSpaceDN w:val="0"/>
              <w:adjustRightInd w:val="0"/>
              <w:spacing w:before="120"/>
              <w:jc w:val="both"/>
              <w:rPr>
                <w:rFonts w:eastAsia="TimesNewRoman"/>
                <w:sz w:val="22"/>
                <w:szCs w:val="22"/>
                <w:lang w:val="sr-Latn-RS" w:eastAsia="sr-Latn-CS"/>
              </w:rPr>
            </w:pPr>
            <w:r w:rsidRPr="00BC4C82">
              <w:rPr>
                <w:rFonts w:eastAsia="TimesNewRoman"/>
                <w:sz w:val="22"/>
                <w:szCs w:val="22"/>
                <w:lang w:val="sr-Latn-CS" w:eastAsia="sr-Latn-CS"/>
              </w:rPr>
              <w:t xml:space="preserve">Istovremena upotreba furosemida i ciklosporina A može dovesti do povećanja rizika nastanka gihta kao sekundarne bolesti usljed hiperurikemije izazvane </w:t>
            </w:r>
            <w:r w:rsidRPr="00BC4C82">
              <w:rPr>
                <w:rFonts w:eastAsia="TimesNewRoman"/>
                <w:sz w:val="22"/>
                <w:szCs w:val="22"/>
                <w:lang w:val="sr-Latn-RS" w:eastAsia="sr-Latn-CS"/>
              </w:rPr>
              <w:t>dejstvom furosemida i oštećenja ekskrecije urata izazvane dejstvom ciklosporina.</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Kod pacijenata koji imaju visok rizik od radiokontrastne nefropatije i koji su tretirani furosemidom, bilo je više slučajeva pogoršanja renalne funkcije poslije primanja radiokontrasta, u poređenju sa visoko rizičnim pacijentima koji su primali samo intavensku hidrataciju prije primanja radiokontrasta.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Značajan pad krvnog pritiska i pogoršanje renalne funkcije može se vidjeti kada se ACE inhibitori ili antagonisti angiotenzin II receptora dodaju terapiji furosemidom, ili kada se poveća njihova doza. Potrebno je razmotriti  privremeno ukidanje terapije furosemidom ili barem smanjenje doze furosemida 3 dana prije davanja ACE inhibitora i antagonista angiotenzin II receptora ili pri povećanju njihove doze.</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lastRenderedPageBreak/>
              <w:t>Neki nesteroidni antiinflamatorni agensi (na primjer indometacin, acetilsalicilna kiselina) primijenjeni istovremeno mogu da smanje dejstvo furosemida. Kod pacijenata sa postojećom hipovolemijom ili dehidratacijom se pri istovremenoj primjeni može razviti akutna bubrežna insuficijencija. Toksičnost salicilata može biti povećana furosemidom.</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Furosemid može povećati ototoksičnost aminoglikozida i drugih ototoksičnih ljekova. S obzirom da bi ovo moglo dovesti do ireverzibilnih oštećenja, ovi ljekovi se mogu koristiti sa furosemidom samo kada je njihova primjena</w:t>
            </w:r>
            <w:r w:rsidR="00A05DDC">
              <w:rPr>
                <w:rFonts w:eastAsia="TimesNewRoman"/>
                <w:sz w:val="22"/>
                <w:szCs w:val="22"/>
                <w:lang w:val="sr-Latn-CS" w:eastAsia="sr-Latn-CS"/>
              </w:rPr>
              <w:t xml:space="preserve"> </w:t>
            </w:r>
            <w:r w:rsidRPr="00BC4C82">
              <w:rPr>
                <w:rFonts w:eastAsia="TimesNewRoman"/>
                <w:sz w:val="22"/>
                <w:szCs w:val="22"/>
                <w:lang w:val="sr-Latn-CS" w:eastAsia="sr-Latn-CS"/>
              </w:rPr>
              <w:t>medicinski opravdana.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Postoji rizik od pojave ototoksičnog efekta ako se furosemid i cisplatin daju zajedno. Nefrotoksičnost cisplatina</w:t>
            </w:r>
            <w:r w:rsidR="00A05DDC">
              <w:rPr>
                <w:rFonts w:eastAsia="TimesNewRoman"/>
                <w:sz w:val="22"/>
                <w:szCs w:val="22"/>
                <w:lang w:val="sr-Latn-CS" w:eastAsia="sr-Latn-CS"/>
              </w:rPr>
              <w:t xml:space="preserve"> </w:t>
            </w:r>
            <w:r w:rsidRPr="00BC4C82">
              <w:rPr>
                <w:rFonts w:eastAsia="TimesNewRoman"/>
                <w:sz w:val="22"/>
                <w:szCs w:val="22"/>
                <w:lang w:val="sr-Latn-CS" w:eastAsia="sr-Latn-CS"/>
              </w:rPr>
              <w:t>se može povećati ako se furosemid ne daje u niskim dozama (npr. 40 mg kod pacijenata sa normalnom renalnom funkcijom) i sa pozitivnim balansom tečnosti, kada se koristi za postizanje forsirane diureze tokom tretmana cisplatinom.</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Elektrolitni disbalans (hipokalijemija, hipomagnezijemija) izazvan primjenom lijeka Lasix može povećati toksičnost nekih drugih ljekova (npr. preparata digitalisa i ljekova koji izazivaju sindrom produženog QT intervala).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Tokom istovremene primjene fenitoina i furosemida može doći do smanjenja efekta furosemida.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Istovremena upotreba furosemida i metolazona može dovesti do teške diureze.</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Probenecid, metotreksat i drugi ljekovi koji, kao i furosemid, podliježu značajnoj tubularnoj sekreciji mogu</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smanjiti efekat furosemida. I suprotno, furosemid može smanjiti izlučivanje preko bubrega ovih ljekova. U</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slučaju tretmana visokim dozama (posebno i furosemida i drugih ljekova), može doći do povećanja nivoa u</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serumu i povećanja rizika od neželjenih dejstava tokom upotrebe furosemida ili prateće terapije.</w:t>
            </w:r>
          </w:p>
          <w:p w:rsidR="00BF6D4F" w:rsidRPr="00BC4C82" w:rsidRDefault="00BF6D4F" w:rsidP="009D2492">
            <w:pPr>
              <w:autoSpaceDE w:val="0"/>
              <w:autoSpaceDN w:val="0"/>
              <w:adjustRightInd w:val="0"/>
              <w:spacing w:before="120" w:after="120"/>
              <w:jc w:val="both"/>
              <w:rPr>
                <w:rFonts w:eastAsia="TimesNewRoman"/>
                <w:sz w:val="22"/>
                <w:szCs w:val="22"/>
                <w:lang w:val="sr-Latn-CS" w:eastAsia="sr-Latn-CS"/>
              </w:rPr>
            </w:pPr>
            <w:r w:rsidRPr="00BC4C82">
              <w:rPr>
                <w:rFonts w:eastAsia="TimesNewRoman"/>
                <w:sz w:val="22"/>
                <w:szCs w:val="22"/>
                <w:lang w:val="sr-Latn-CS" w:eastAsia="sr-Latn-CS"/>
              </w:rPr>
              <w:t>Dejstvo hipoglikemika i simpatomimetika koji povećavaju krvni pritisak (npr. epinefrin, norepinefrin) može biti smanjeno. Dejstvo miorelaksanasa kurare-tipa ili teofilina može biti pojačano.</w:t>
            </w:r>
          </w:p>
          <w:p w:rsidR="00BF6D4F" w:rsidRDefault="00BF6D4F" w:rsidP="009D2492">
            <w:pPr>
              <w:pStyle w:val="BodyText"/>
              <w:spacing w:after="0"/>
              <w:jc w:val="both"/>
              <w:rPr>
                <w:rFonts w:eastAsia="TimesNewRoman"/>
                <w:sz w:val="22"/>
                <w:szCs w:val="22"/>
                <w:lang w:val="sr-Latn-CS" w:eastAsia="sr-Latn-CS"/>
              </w:rPr>
            </w:pPr>
            <w:r w:rsidRPr="00BC4C82">
              <w:rPr>
                <w:rFonts w:eastAsia="TimesNewRoman"/>
                <w:sz w:val="22"/>
                <w:szCs w:val="22"/>
                <w:lang w:val="sr-Latn-CS" w:eastAsia="sr-Latn-CS"/>
              </w:rPr>
              <w:t>Risperidon: Oprezno treba da se procijeni rizik u odnosu na korist kombinacije ili istovremene primjene sa furosemidom ili drugim jakim diureticima, prije nego što se odluči da se uvede ova kombinacija u terapiju (vidjeti dio 4.4 Posebna upozorenja i mjere opreza pri upotrebi lijeka, u pogledu porasta mortaliteta pri upotrebi kod starijih pacijenata sa demencijom koji su istovremeno na terapiji risperidonom).</w:t>
            </w:r>
          </w:p>
          <w:p w:rsidR="00A05DDC" w:rsidRPr="00BC4C82" w:rsidRDefault="00A05DDC" w:rsidP="009D2492">
            <w:pPr>
              <w:pStyle w:val="BodyText"/>
              <w:spacing w:after="0"/>
              <w:jc w:val="both"/>
              <w:rPr>
                <w:sz w:val="22"/>
                <w:szCs w:val="22"/>
                <w:lang w:val="en-US"/>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lastRenderedPageBreak/>
              <w:t>4.6. Primjena u periodu trudnoće i dojenja</w:t>
            </w:r>
          </w:p>
        </w:tc>
      </w:tr>
      <w:tr w:rsidR="00BF6D4F" w:rsidRPr="00BC4C82" w:rsidTr="009D2492">
        <w:trPr>
          <w:trHeight w:val="1145"/>
        </w:trPr>
        <w:tc>
          <w:tcPr>
            <w:tcW w:w="9639" w:type="dxa"/>
            <w:gridSpan w:val="4"/>
            <w:vAlign w:val="center"/>
          </w:tcPr>
          <w:p w:rsidR="00BF6D4F" w:rsidRPr="00BC4C82" w:rsidRDefault="00BF6D4F" w:rsidP="009D2492">
            <w:pPr>
              <w:pStyle w:val="Header"/>
              <w:tabs>
                <w:tab w:val="left" w:pos="284"/>
              </w:tabs>
              <w:rPr>
                <w:sz w:val="22"/>
                <w:szCs w:val="22"/>
              </w:rPr>
            </w:pPr>
          </w:p>
          <w:p w:rsidR="00BF6D4F" w:rsidRPr="00BC4C82" w:rsidRDefault="00BF6D4F" w:rsidP="009D2492">
            <w:pPr>
              <w:pStyle w:val="BodyText"/>
              <w:jc w:val="both"/>
              <w:rPr>
                <w:sz w:val="22"/>
                <w:szCs w:val="22"/>
                <w:lang w:val="sr-Latn-CS"/>
              </w:rPr>
            </w:pPr>
            <w:r w:rsidRPr="00BC4C82">
              <w:rPr>
                <w:sz w:val="22"/>
                <w:szCs w:val="22"/>
                <w:lang w:val="sr-Latn-CS"/>
              </w:rPr>
              <w:t>Furosemid prolazi placentalnu barijeru. Ne smije se davati tokom trudnoće, osim ako za tu indikaciju ne postoje</w:t>
            </w:r>
            <w:r w:rsidR="00A05DDC">
              <w:rPr>
                <w:sz w:val="22"/>
                <w:szCs w:val="22"/>
                <w:lang w:val="sr-Latn-CS"/>
              </w:rPr>
              <w:t xml:space="preserve"> </w:t>
            </w:r>
            <w:r w:rsidRPr="00BC4C82">
              <w:rPr>
                <w:sz w:val="22"/>
                <w:szCs w:val="22"/>
                <w:lang w:val="sr-Latn-CS"/>
              </w:rPr>
              <w:t>obavezujući medicinski razlozi. Tretman tokom trudnoće zahtijeva monitoring fetalnog razvoja.</w:t>
            </w:r>
          </w:p>
          <w:p w:rsidR="00BF6D4F" w:rsidRDefault="00BF6D4F" w:rsidP="009D2492">
            <w:pPr>
              <w:pStyle w:val="Header"/>
              <w:tabs>
                <w:tab w:val="left" w:pos="284"/>
              </w:tabs>
              <w:jc w:val="both"/>
              <w:rPr>
                <w:sz w:val="22"/>
                <w:szCs w:val="22"/>
                <w:lang w:val="sr-Latn-CS"/>
              </w:rPr>
            </w:pPr>
            <w:r w:rsidRPr="00BC4C82">
              <w:rPr>
                <w:sz w:val="22"/>
                <w:szCs w:val="22"/>
                <w:lang w:val="sr-Latn-CS"/>
              </w:rPr>
              <w:t>Furosemid prelazi u majčino mlijeko i može inhibirati laktaciju. Žene koje su na terapiji furosemidom ne smiju da doje.</w:t>
            </w:r>
          </w:p>
          <w:p w:rsidR="00A05DDC" w:rsidRPr="00BC4C82" w:rsidRDefault="00A05DDC" w:rsidP="009D2492">
            <w:pPr>
              <w:pStyle w:val="Header"/>
              <w:tabs>
                <w:tab w:val="left" w:pos="284"/>
              </w:tabs>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pacing w:val="-8"/>
                <w:sz w:val="22"/>
                <w:szCs w:val="22"/>
              </w:rPr>
            </w:pPr>
            <w:r w:rsidRPr="00BC4C82">
              <w:rPr>
                <w:b/>
                <w:bCs/>
                <w:spacing w:val="-8"/>
                <w:sz w:val="22"/>
                <w:szCs w:val="22"/>
              </w:rPr>
              <w:t>4.7. Uticaj na psihofizičke sposobnosti prilikom upravljanja motornim vozilom i rukovanja mašinama</w:t>
            </w:r>
          </w:p>
        </w:tc>
      </w:tr>
      <w:tr w:rsidR="00BF6D4F" w:rsidRPr="00BC4C82" w:rsidTr="009D2492">
        <w:trPr>
          <w:trHeight w:val="390"/>
        </w:trPr>
        <w:tc>
          <w:tcPr>
            <w:tcW w:w="9639" w:type="dxa"/>
            <w:gridSpan w:val="4"/>
            <w:vAlign w:val="center"/>
          </w:tcPr>
          <w:p w:rsidR="00BF6D4F" w:rsidRPr="00BC4C82" w:rsidRDefault="00BF6D4F" w:rsidP="009D2492">
            <w:pPr>
              <w:pStyle w:val="BodyText"/>
              <w:spacing w:after="0"/>
              <w:ind w:left="20" w:right="20"/>
              <w:rPr>
                <w:sz w:val="22"/>
                <w:szCs w:val="22"/>
                <w:lang w:val="en-US"/>
              </w:rPr>
            </w:pPr>
          </w:p>
          <w:p w:rsidR="00BF6D4F" w:rsidRDefault="00BF6D4F" w:rsidP="009D2492">
            <w:pPr>
              <w:pStyle w:val="BodyText"/>
              <w:spacing w:after="0"/>
              <w:ind w:right="20"/>
              <w:jc w:val="both"/>
              <w:rPr>
                <w:rFonts w:eastAsia="TimesNewRoman"/>
                <w:sz w:val="22"/>
                <w:szCs w:val="22"/>
                <w:lang w:val="sr-Latn-CS" w:eastAsia="sr-Latn-CS"/>
              </w:rPr>
            </w:pPr>
            <w:r w:rsidRPr="00BC4C82">
              <w:rPr>
                <w:rFonts w:eastAsia="TimesNewRoman"/>
                <w:sz w:val="22"/>
                <w:szCs w:val="22"/>
                <w:lang w:val="sr-Latn-CS" w:eastAsia="sr-Latn-CS"/>
              </w:rPr>
              <w:t>Smanjena mentalna opreznost može ugroziti sposobnost upravljanja motornim vozilom i rukovanja opasnim mašinama.</w:t>
            </w:r>
          </w:p>
          <w:p w:rsidR="00A05DDC" w:rsidRDefault="00A05DDC" w:rsidP="009D2492">
            <w:pPr>
              <w:pStyle w:val="BodyText"/>
              <w:spacing w:after="0"/>
              <w:ind w:right="20"/>
              <w:rPr>
                <w:rFonts w:eastAsia="TimesNewRoman"/>
                <w:sz w:val="22"/>
                <w:szCs w:val="22"/>
                <w:lang w:val="sr-Latn-CS" w:eastAsia="sr-Latn-CS"/>
              </w:rPr>
            </w:pPr>
          </w:p>
          <w:p w:rsidR="00A05DDC" w:rsidRDefault="00A05DDC" w:rsidP="009D2492">
            <w:pPr>
              <w:pStyle w:val="BodyText"/>
              <w:spacing w:after="0"/>
              <w:ind w:right="20"/>
              <w:rPr>
                <w:rFonts w:eastAsia="TimesNewRoman"/>
                <w:sz w:val="22"/>
                <w:szCs w:val="22"/>
                <w:lang w:val="sr-Latn-CS" w:eastAsia="sr-Latn-CS"/>
              </w:rPr>
            </w:pPr>
          </w:p>
          <w:p w:rsidR="00A05DDC" w:rsidRDefault="00A05DDC" w:rsidP="009D2492">
            <w:pPr>
              <w:pStyle w:val="BodyText"/>
              <w:spacing w:after="0"/>
              <w:ind w:right="20"/>
              <w:rPr>
                <w:rFonts w:eastAsia="TimesNewRoman"/>
                <w:sz w:val="22"/>
                <w:szCs w:val="22"/>
                <w:lang w:val="sr-Latn-CS" w:eastAsia="sr-Latn-CS"/>
              </w:rPr>
            </w:pPr>
          </w:p>
          <w:p w:rsidR="00A05DDC" w:rsidRDefault="00A05DDC" w:rsidP="009D2492">
            <w:pPr>
              <w:pStyle w:val="BodyText"/>
              <w:spacing w:after="0"/>
              <w:ind w:right="20"/>
              <w:rPr>
                <w:rFonts w:eastAsia="TimesNewRoman"/>
                <w:sz w:val="22"/>
                <w:szCs w:val="22"/>
                <w:lang w:val="sr-Latn-CS" w:eastAsia="sr-Latn-CS"/>
              </w:rPr>
            </w:pPr>
          </w:p>
          <w:p w:rsidR="00A05DDC" w:rsidRPr="00BC4C82" w:rsidRDefault="00A05DDC" w:rsidP="009D2492">
            <w:pPr>
              <w:pStyle w:val="BodyText"/>
              <w:spacing w:after="0"/>
              <w:ind w:right="20"/>
              <w:rPr>
                <w:sz w:val="22"/>
                <w:szCs w:val="22"/>
                <w:lang w:val="en-US"/>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lastRenderedPageBreak/>
              <w:t>4.8. Neželjena dejstva</w:t>
            </w:r>
          </w:p>
        </w:tc>
      </w:tr>
      <w:tr w:rsidR="00BF6D4F" w:rsidRPr="00BC4C82" w:rsidTr="009D2492">
        <w:trPr>
          <w:trHeight w:val="1145"/>
        </w:trPr>
        <w:tc>
          <w:tcPr>
            <w:tcW w:w="9639" w:type="dxa"/>
            <w:gridSpan w:val="4"/>
            <w:vAlign w:val="center"/>
          </w:tcPr>
          <w:p w:rsidR="00A05DDC" w:rsidRDefault="00A05DDC" w:rsidP="009D2492">
            <w:pPr>
              <w:pStyle w:val="BodyText"/>
              <w:rPr>
                <w:sz w:val="22"/>
                <w:szCs w:val="22"/>
                <w:lang w:val="en-US"/>
              </w:rPr>
            </w:pPr>
          </w:p>
          <w:p w:rsidR="00BF6D4F" w:rsidRPr="00BC4C82" w:rsidRDefault="00BF6D4F" w:rsidP="009D2492">
            <w:pPr>
              <w:pStyle w:val="BodyText"/>
              <w:jc w:val="both"/>
              <w:rPr>
                <w:sz w:val="22"/>
                <w:szCs w:val="22"/>
                <w:lang w:val="en-US"/>
              </w:rPr>
            </w:pPr>
            <w:r w:rsidRPr="00BC4C82">
              <w:rPr>
                <w:sz w:val="22"/>
                <w:szCs w:val="22"/>
                <w:lang w:val="en-US"/>
              </w:rPr>
              <w:t>Podaci o učestalosti  poti</w:t>
            </w:r>
            <w:r w:rsidRPr="00BC4C82">
              <w:rPr>
                <w:sz w:val="22"/>
                <w:szCs w:val="22"/>
                <w:lang w:val="sr-Latn-CS"/>
              </w:rPr>
              <w:t xml:space="preserve">ču </w:t>
            </w:r>
            <w:r w:rsidRPr="00BC4C82">
              <w:rPr>
                <w:sz w:val="22"/>
                <w:szCs w:val="22"/>
                <w:lang w:val="en-US"/>
              </w:rPr>
              <w:t xml:space="preserve">iz literaturnih podataka  koji  se odnose na studije u kojima je primijenjen  furosemid kod ukupno 1.387 pacijenata, bez obzira na dozu i indikacije. Ako se desilo da je učestalost ispoljavanja istog neželjenog dejstva bila različita, izabrana je kategorija veće učestalosti. </w:t>
            </w:r>
          </w:p>
          <w:p w:rsidR="00BF6D4F" w:rsidRPr="00BC4C82" w:rsidRDefault="00BF6D4F" w:rsidP="009D2492">
            <w:pPr>
              <w:pStyle w:val="BodyText"/>
              <w:jc w:val="both"/>
              <w:rPr>
                <w:sz w:val="22"/>
                <w:szCs w:val="22"/>
                <w:lang w:val="en-US"/>
              </w:rPr>
            </w:pPr>
            <w:r w:rsidRPr="00BC4C82">
              <w:rPr>
                <w:sz w:val="22"/>
                <w:szCs w:val="22"/>
                <w:lang w:val="en-US"/>
              </w:rPr>
              <w:t>Sljedeća CIOMS klasifikacija učestalosti  je korišćena, kada je to primjenljivo:</w:t>
            </w:r>
          </w:p>
          <w:p w:rsidR="00BF6D4F" w:rsidRPr="00BC4C82" w:rsidRDefault="00BF6D4F" w:rsidP="009D2492">
            <w:pPr>
              <w:pStyle w:val="BodyText"/>
              <w:jc w:val="both"/>
              <w:rPr>
                <w:sz w:val="22"/>
                <w:szCs w:val="22"/>
                <w:lang w:val="en-US"/>
              </w:rPr>
            </w:pPr>
            <w:r w:rsidRPr="00BC4C82">
              <w:rPr>
                <w:sz w:val="22"/>
                <w:szCs w:val="22"/>
                <w:lang w:val="en-US"/>
              </w:rPr>
              <w:t xml:space="preserve">Veoma često:  </w:t>
            </w:r>
            <w:r w:rsidRPr="00BC4C82">
              <w:rPr>
                <w:sz w:val="22"/>
                <w:szCs w:val="22"/>
                <w:u w:val="single"/>
                <w:lang w:val="en-US"/>
              </w:rPr>
              <w:t>&gt;</w:t>
            </w:r>
            <w:r w:rsidRPr="00BC4C82">
              <w:rPr>
                <w:sz w:val="22"/>
                <w:szCs w:val="22"/>
                <w:lang w:val="en-US"/>
              </w:rPr>
              <w:t xml:space="preserve"> 10%, često  </w:t>
            </w:r>
            <w:r w:rsidRPr="00BC4C82">
              <w:rPr>
                <w:sz w:val="22"/>
                <w:szCs w:val="22"/>
                <w:u w:val="single"/>
                <w:lang w:val="en-US"/>
              </w:rPr>
              <w:t>&gt;</w:t>
            </w:r>
            <w:r w:rsidRPr="00BC4C82">
              <w:rPr>
                <w:sz w:val="22"/>
                <w:szCs w:val="22"/>
                <w:lang w:val="en-US"/>
              </w:rPr>
              <w:t xml:space="preserve"> 1 i &lt;10%, povremeno </w:t>
            </w:r>
            <w:r w:rsidRPr="00BC4C82">
              <w:rPr>
                <w:sz w:val="22"/>
                <w:szCs w:val="22"/>
                <w:u w:val="single"/>
                <w:lang w:val="en-US"/>
              </w:rPr>
              <w:t>&gt;</w:t>
            </w:r>
            <w:r w:rsidRPr="00BC4C82">
              <w:rPr>
                <w:sz w:val="22"/>
                <w:szCs w:val="22"/>
                <w:lang w:val="en-US"/>
              </w:rPr>
              <w:t xml:space="preserve"> 0,1%, i &lt;1%, rijetko:</w:t>
            </w:r>
            <w:r w:rsidRPr="00BC4C82">
              <w:rPr>
                <w:sz w:val="22"/>
                <w:szCs w:val="22"/>
                <w:u w:val="single"/>
                <w:lang w:val="en-US"/>
              </w:rPr>
              <w:t>&gt;</w:t>
            </w:r>
            <w:r w:rsidRPr="00BC4C82">
              <w:rPr>
                <w:sz w:val="22"/>
                <w:szCs w:val="22"/>
                <w:lang w:val="en-US"/>
              </w:rPr>
              <w:t xml:space="preserve"> 0,01%, i &lt;0,1 %, veoma rijetko &lt; 0,01%, nepoznato (ne može se procijeniti na osnovu raspoloživih podataka).</w:t>
            </w:r>
          </w:p>
          <w:p w:rsidR="00BF6D4F" w:rsidRPr="00BC4C82" w:rsidRDefault="00BF6D4F">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Poremećaji metabolizma i ishrane</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Veoma često</w:t>
            </w:r>
            <w:r w:rsidRPr="00BC4C82">
              <w:rPr>
                <w:rFonts w:ascii="Times New Roman" w:hAnsi="Times New Roman" w:cs="Times New Roman"/>
                <w:i w:val="0"/>
                <w:sz w:val="22"/>
                <w:szCs w:val="22"/>
                <w:lang w:val="en-US" w:eastAsia="en-US"/>
              </w:rPr>
              <w:t>: poremećaji elektrolita (uključujući simptomatske poremećaje), dehidratacija i hipovolemija, naročito kod starijih pacijenata. Povećan nivo kreatinina u krvi, povećan nivo triglicerida u krvi</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Često</w:t>
            </w:r>
            <w:r w:rsidRPr="00BC4C82">
              <w:rPr>
                <w:rFonts w:ascii="Times New Roman" w:hAnsi="Times New Roman" w:cs="Times New Roman"/>
                <w:i w:val="0"/>
                <w:sz w:val="22"/>
                <w:szCs w:val="22"/>
                <w:lang w:val="en-US" w:eastAsia="en-US"/>
              </w:rPr>
              <w:t>: hiponatrijemija, hipohloremija, hipokalijemija, povećan nivo holesterola u krvi. Povećanje koncentracije mokraćne kiseline u krvi, što može da dovede do gihta, povećan volumen urina</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Povremeno</w:t>
            </w:r>
            <w:r w:rsidRPr="00BC4C82">
              <w:rPr>
                <w:rFonts w:ascii="Times New Roman" w:hAnsi="Times New Roman" w:cs="Times New Roman"/>
                <w:i w:val="0"/>
                <w:sz w:val="22"/>
                <w:szCs w:val="22"/>
                <w:lang w:val="en-US" w:eastAsia="en-US"/>
              </w:rPr>
              <w:t xml:space="preserve">: poremećaj tolerancije glukoze </w:t>
            </w:r>
          </w:p>
          <w:p w:rsidR="00BF6D4F" w:rsidRPr="00BC4C82" w:rsidRDefault="00BF6D4F" w:rsidP="009D2492">
            <w:pPr>
              <w:pStyle w:val="BodyText"/>
              <w:jc w:val="both"/>
              <w:rPr>
                <w:sz w:val="22"/>
                <w:szCs w:val="22"/>
                <w:lang w:val="en-US" w:eastAsia="fr-FR"/>
              </w:rPr>
            </w:pPr>
            <w:r w:rsidRPr="00BC4C82">
              <w:rPr>
                <w:i/>
                <w:sz w:val="22"/>
                <w:szCs w:val="22"/>
                <w:lang w:val="en-US" w:eastAsia="fr-FR"/>
              </w:rPr>
              <w:t>Nepoznato</w:t>
            </w:r>
            <w:r w:rsidRPr="00BC4C82">
              <w:rPr>
                <w:sz w:val="22"/>
                <w:szCs w:val="22"/>
                <w:lang w:val="en-US" w:eastAsia="fr-FR"/>
              </w:rPr>
              <w:t>:</w:t>
            </w:r>
            <w:r w:rsidRPr="00BC4C82">
              <w:rPr>
                <w:sz w:val="22"/>
                <w:szCs w:val="22"/>
                <w:lang w:val="en-US"/>
              </w:rPr>
              <w:t xml:space="preserve"> hipokalcijemija, hipomagnezijemija, povećanje uree u krvi, metabolička alkaloza, Pseudo-Bartter sindrom </w:t>
            </w:r>
          </w:p>
          <w:p w:rsidR="00BF6D4F" w:rsidRPr="00BC4C82" w:rsidRDefault="00BF6D4F">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Vaskularni poremećaji</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Veoma česta</w:t>
            </w:r>
            <w:r w:rsidRPr="00BC4C82">
              <w:rPr>
                <w:rFonts w:ascii="Times New Roman" w:hAnsi="Times New Roman" w:cs="Times New Roman"/>
                <w:i w:val="0"/>
                <w:sz w:val="22"/>
                <w:szCs w:val="22"/>
                <w:lang w:val="en-US" w:eastAsia="en-US"/>
              </w:rPr>
              <w:t>: hipotenzija uključujući ortostatsku  hipotenziju</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Rijetko</w:t>
            </w:r>
            <w:r w:rsidRPr="00BC4C82">
              <w:rPr>
                <w:rFonts w:ascii="Times New Roman" w:hAnsi="Times New Roman" w:cs="Times New Roman"/>
                <w:i w:val="0"/>
                <w:sz w:val="22"/>
                <w:szCs w:val="22"/>
                <w:lang w:val="en-US" w:eastAsia="en-US"/>
              </w:rPr>
              <w:t>: vaskulitis</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Nepoznato</w:t>
            </w:r>
            <w:r w:rsidRPr="00BC4C82">
              <w:rPr>
                <w:rFonts w:ascii="Times New Roman" w:hAnsi="Times New Roman" w:cs="Times New Roman"/>
                <w:i w:val="0"/>
                <w:sz w:val="22"/>
                <w:szCs w:val="22"/>
                <w:lang w:val="en-US" w:eastAsia="en-US"/>
              </w:rPr>
              <w:t>: tromboza</w:t>
            </w:r>
          </w:p>
          <w:p w:rsidR="00BF6D4F" w:rsidRPr="00BC4C82" w:rsidRDefault="00BF6D4F">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Urinarni i bubrežni poremećaji</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Često</w:t>
            </w:r>
            <w:r w:rsidRPr="00BC4C82">
              <w:rPr>
                <w:rFonts w:ascii="Times New Roman" w:hAnsi="Times New Roman" w:cs="Times New Roman"/>
                <w:i w:val="0"/>
                <w:sz w:val="22"/>
                <w:szCs w:val="22"/>
                <w:lang w:val="en-US" w:eastAsia="en-US"/>
              </w:rPr>
              <w:t>: povećanje količine  urina</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Rijetko</w:t>
            </w:r>
            <w:r w:rsidRPr="00BC4C82">
              <w:rPr>
                <w:rFonts w:ascii="Times New Roman" w:hAnsi="Times New Roman" w:cs="Times New Roman"/>
                <w:i w:val="0"/>
                <w:sz w:val="22"/>
                <w:szCs w:val="22"/>
                <w:lang w:val="en-US" w:eastAsia="en-US"/>
              </w:rPr>
              <w:t>: tubulointersticijalni nefritis</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Nepoznato</w:t>
            </w:r>
            <w:r w:rsidRPr="00BC4C82">
              <w:rPr>
                <w:rFonts w:ascii="Times New Roman" w:hAnsi="Times New Roman" w:cs="Times New Roman"/>
                <w:i w:val="0"/>
                <w:sz w:val="22"/>
                <w:szCs w:val="22"/>
                <w:lang w:val="en-US" w:eastAsia="en-US"/>
              </w:rPr>
              <w:t xml:space="preserve">: </w:t>
            </w:r>
          </w:p>
          <w:p w:rsidR="00BF6D4F" w:rsidRPr="00BC4C82" w:rsidRDefault="00BF6D4F" w:rsidP="009D2492">
            <w:pPr>
              <w:pStyle w:val="Bodytext21"/>
              <w:numPr>
                <w:ilvl w:val="0"/>
                <w:numId w:val="42"/>
              </w:numPr>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i w:val="0"/>
                <w:sz w:val="22"/>
                <w:szCs w:val="22"/>
                <w:lang w:val="en-US" w:eastAsia="en-US"/>
              </w:rPr>
              <w:t xml:space="preserve">povećan nivo natrijuma u urinu, povećan nivo hlorida u urinu, retencija urina (kod pacijenata sa parcijalnom opstrukcijom urinarnog protoka (vidjeti dio 4.4) </w:t>
            </w:r>
          </w:p>
          <w:p w:rsidR="00BF6D4F" w:rsidRPr="00BC4C82" w:rsidRDefault="00BF6D4F" w:rsidP="009D2492">
            <w:pPr>
              <w:pStyle w:val="Bodytext21"/>
              <w:numPr>
                <w:ilvl w:val="0"/>
                <w:numId w:val="42"/>
              </w:numPr>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i w:val="0"/>
                <w:sz w:val="22"/>
                <w:szCs w:val="22"/>
                <w:lang w:val="en-US" w:eastAsia="en-US"/>
              </w:rPr>
              <w:t>nefrolitijaza/nefrokalcinoza se mogu javiti kod prijevremeno rođene djece (vidjeti dio 4.4)</w:t>
            </w:r>
          </w:p>
          <w:p w:rsidR="00BF6D4F" w:rsidRPr="00BC4C82" w:rsidRDefault="00BF6D4F" w:rsidP="009D2492">
            <w:pPr>
              <w:pStyle w:val="Bodytext21"/>
              <w:numPr>
                <w:ilvl w:val="0"/>
                <w:numId w:val="42"/>
              </w:numPr>
              <w:shd w:val="clear" w:color="auto" w:fill="auto"/>
              <w:spacing w:line="240" w:lineRule="auto"/>
              <w:rPr>
                <w:rFonts w:ascii="Times New Roman" w:hAnsi="Times New Roman" w:cs="Times New Roman"/>
                <w:i w:val="0"/>
                <w:sz w:val="22"/>
                <w:szCs w:val="22"/>
                <w:lang w:val="en-US" w:eastAsia="fr-FR"/>
              </w:rPr>
            </w:pPr>
            <w:r w:rsidRPr="00BC4C82">
              <w:rPr>
                <w:rFonts w:ascii="Times New Roman" w:hAnsi="Times New Roman" w:cs="Times New Roman"/>
                <w:i w:val="0"/>
                <w:sz w:val="22"/>
                <w:szCs w:val="22"/>
                <w:lang w:val="en-US" w:eastAsia="en-US"/>
              </w:rPr>
              <w:t>renalna insuficijencija (vidjeti dio 4.5)</w:t>
            </w:r>
          </w:p>
          <w:p w:rsidR="00BF6D4F" w:rsidRPr="00BC4C82" w:rsidRDefault="00BF6D4F">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Gastrointestinalni poremećaji</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Povremeno</w:t>
            </w:r>
            <w:r w:rsidRPr="00BC4C82">
              <w:rPr>
                <w:rFonts w:ascii="Times New Roman" w:hAnsi="Times New Roman" w:cs="Times New Roman"/>
                <w:i w:val="0"/>
                <w:sz w:val="22"/>
                <w:szCs w:val="22"/>
                <w:lang w:val="en-US" w:eastAsia="en-US"/>
              </w:rPr>
              <w:t>: mučnina.</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Rijetko</w:t>
            </w:r>
            <w:r w:rsidRPr="00BC4C82">
              <w:rPr>
                <w:rFonts w:ascii="Times New Roman" w:hAnsi="Times New Roman" w:cs="Times New Roman"/>
                <w:i w:val="0"/>
                <w:sz w:val="22"/>
                <w:szCs w:val="22"/>
                <w:lang w:val="en-US" w:eastAsia="en-US"/>
              </w:rPr>
              <w:t>: povraćanje, dijareja.</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Veoma rijetko</w:t>
            </w:r>
            <w:r w:rsidRPr="00BC4C82">
              <w:rPr>
                <w:rFonts w:ascii="Times New Roman" w:hAnsi="Times New Roman" w:cs="Times New Roman"/>
                <w:i w:val="0"/>
                <w:sz w:val="22"/>
                <w:szCs w:val="22"/>
                <w:lang w:val="en-US" w:eastAsia="en-US"/>
              </w:rPr>
              <w:t xml:space="preserve">: akutni pankreatitis. </w:t>
            </w:r>
          </w:p>
          <w:p w:rsidR="00BF6D4F" w:rsidRPr="00BC4C82" w:rsidRDefault="00BF6D4F">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Hepatobiliarni poremećaji</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Veoma rijetko</w:t>
            </w:r>
            <w:r w:rsidRPr="00BC4C82">
              <w:rPr>
                <w:rFonts w:ascii="Times New Roman" w:hAnsi="Times New Roman" w:cs="Times New Roman"/>
                <w:i w:val="0"/>
                <w:sz w:val="22"/>
                <w:szCs w:val="22"/>
                <w:lang w:val="en-US" w:eastAsia="en-US"/>
              </w:rPr>
              <w:t>: holestaza, povišen nivo transaminaza jetre</w:t>
            </w:r>
          </w:p>
          <w:p w:rsidR="00BF6D4F" w:rsidRPr="00BC4C82" w:rsidRDefault="00BF6D4F" w:rsidP="009D2492">
            <w:pPr>
              <w:autoSpaceDE w:val="0"/>
              <w:autoSpaceDN w:val="0"/>
              <w:adjustRightInd w:val="0"/>
              <w:spacing w:before="120"/>
              <w:jc w:val="both"/>
              <w:rPr>
                <w:b/>
                <w:iCs/>
                <w:sz w:val="22"/>
                <w:szCs w:val="22"/>
                <w:lang w:val="sr-Latn-CS" w:eastAsia="sr-Latn-CS"/>
              </w:rPr>
            </w:pPr>
            <w:r w:rsidRPr="00BC4C82">
              <w:rPr>
                <w:b/>
                <w:iCs/>
                <w:sz w:val="22"/>
                <w:szCs w:val="22"/>
                <w:lang w:val="sr-Latn-CS" w:eastAsia="sr-Latn-CS"/>
              </w:rPr>
              <w:t>Poremećaji na nivou uha i labirinta</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sr-Latn-CS" w:eastAsia="en-US"/>
              </w:rPr>
            </w:pPr>
            <w:r w:rsidRPr="00BC4C82">
              <w:rPr>
                <w:rFonts w:ascii="Times New Roman" w:hAnsi="Times New Roman" w:cs="Times New Roman"/>
                <w:sz w:val="22"/>
                <w:szCs w:val="22"/>
                <w:lang w:val="en-US" w:eastAsia="en-US"/>
              </w:rPr>
              <w:t>Povremeno</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poreme</w:t>
            </w:r>
            <w:r w:rsidRPr="00BC4C82">
              <w:rPr>
                <w:rFonts w:ascii="Times New Roman" w:hAnsi="Times New Roman" w:cs="Times New Roman"/>
                <w:i w:val="0"/>
                <w:sz w:val="22"/>
                <w:szCs w:val="22"/>
                <w:lang w:val="sr-Latn-CS" w:eastAsia="en-US"/>
              </w:rPr>
              <w:t>ć</w:t>
            </w:r>
            <w:r w:rsidRPr="00BC4C82">
              <w:rPr>
                <w:rFonts w:ascii="Times New Roman" w:hAnsi="Times New Roman" w:cs="Times New Roman"/>
                <w:i w:val="0"/>
                <w:sz w:val="22"/>
                <w:szCs w:val="22"/>
                <w:lang w:val="en-US" w:eastAsia="en-US"/>
              </w:rPr>
              <w:t>aj</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sluha</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zabilje</w:t>
            </w:r>
            <w:r w:rsidRPr="00BC4C82">
              <w:rPr>
                <w:rFonts w:ascii="Times New Roman" w:hAnsi="Times New Roman" w:cs="Times New Roman"/>
                <w:i w:val="0"/>
                <w:sz w:val="22"/>
                <w:szCs w:val="22"/>
                <w:lang w:val="sr-Latn-CS" w:eastAsia="en-US"/>
              </w:rPr>
              <w:t>ž</w:t>
            </w:r>
            <w:r w:rsidRPr="00BC4C82">
              <w:rPr>
                <w:rFonts w:ascii="Times New Roman" w:hAnsi="Times New Roman" w:cs="Times New Roman"/>
                <w:i w:val="0"/>
                <w:sz w:val="22"/>
                <w:szCs w:val="22"/>
                <w:lang w:val="en-US" w:eastAsia="en-US"/>
              </w:rPr>
              <w:t>ena</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je</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pojava</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gluvo</w:t>
            </w:r>
            <w:r w:rsidRPr="00BC4C82">
              <w:rPr>
                <w:rFonts w:ascii="Times New Roman" w:hAnsi="Times New Roman" w:cs="Times New Roman"/>
                <w:i w:val="0"/>
                <w:sz w:val="22"/>
                <w:szCs w:val="22"/>
                <w:lang w:val="sr-Latn-CS" w:eastAsia="en-US"/>
              </w:rPr>
              <w:t>ć</w:t>
            </w:r>
            <w:r w:rsidRPr="00BC4C82">
              <w:rPr>
                <w:rFonts w:ascii="Times New Roman" w:hAnsi="Times New Roman" w:cs="Times New Roman"/>
                <w:i w:val="0"/>
                <w:sz w:val="22"/>
                <w:szCs w:val="22"/>
                <w:lang w:val="en-US" w:eastAsia="en-US"/>
              </w:rPr>
              <w:t>e</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ponekad</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ireverzibilne</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nakon</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oralne</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ili</w:t>
            </w:r>
            <w:r w:rsidRPr="00BC4C82">
              <w:rPr>
                <w:rFonts w:ascii="Times New Roman" w:hAnsi="Times New Roman" w:cs="Times New Roman"/>
                <w:i w:val="0"/>
                <w:sz w:val="22"/>
                <w:szCs w:val="22"/>
                <w:lang w:val="sr-Latn-CS" w:eastAsia="en-US"/>
              </w:rPr>
              <w:t xml:space="preserve"> </w:t>
            </w:r>
            <w:r w:rsidRPr="00BC4C82">
              <w:rPr>
                <w:rFonts w:ascii="Times New Roman" w:hAnsi="Times New Roman" w:cs="Times New Roman"/>
                <w:i w:val="0"/>
                <w:sz w:val="22"/>
                <w:szCs w:val="22"/>
                <w:lang w:val="en-US" w:eastAsia="en-US"/>
              </w:rPr>
              <w:t>i</w:t>
            </w:r>
            <w:r w:rsidRPr="00BC4C82">
              <w:rPr>
                <w:rFonts w:ascii="Times New Roman" w:hAnsi="Times New Roman" w:cs="Times New Roman"/>
                <w:i w:val="0"/>
                <w:sz w:val="22"/>
                <w:szCs w:val="22"/>
                <w:lang w:val="sr-Latn-CS" w:eastAsia="en-US"/>
              </w:rPr>
              <w:t>.</w:t>
            </w:r>
            <w:r w:rsidRPr="00BC4C82">
              <w:rPr>
                <w:rFonts w:ascii="Times New Roman" w:hAnsi="Times New Roman" w:cs="Times New Roman"/>
                <w:i w:val="0"/>
                <w:sz w:val="22"/>
                <w:szCs w:val="22"/>
                <w:lang w:val="en-US" w:eastAsia="en-US"/>
              </w:rPr>
              <w:t>v</w:t>
            </w:r>
            <w:r w:rsidRPr="00BC4C82">
              <w:rPr>
                <w:rFonts w:ascii="Times New Roman" w:hAnsi="Times New Roman" w:cs="Times New Roman"/>
                <w:i w:val="0"/>
                <w:sz w:val="22"/>
                <w:szCs w:val="22"/>
                <w:lang w:val="sr-Latn-CS" w:eastAsia="en-US"/>
              </w:rPr>
              <w:t>. primjene furosemida.</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Veoma rijetko</w:t>
            </w:r>
            <w:r w:rsidRPr="00BC4C82">
              <w:rPr>
                <w:rFonts w:ascii="Times New Roman" w:hAnsi="Times New Roman" w:cs="Times New Roman"/>
                <w:i w:val="0"/>
                <w:sz w:val="22"/>
                <w:szCs w:val="22"/>
                <w:lang w:val="en-US" w:eastAsia="en-US"/>
              </w:rPr>
              <w:t xml:space="preserve">: tinitus </w:t>
            </w:r>
          </w:p>
          <w:p w:rsidR="00BF6D4F" w:rsidRPr="00BC4C82" w:rsidRDefault="00BF6D4F">
            <w:pPr>
              <w:pStyle w:val="Bodytext21"/>
              <w:shd w:val="clear" w:color="auto" w:fill="auto"/>
              <w:spacing w:before="120" w:line="240" w:lineRule="auto"/>
              <w:rPr>
                <w:rFonts w:ascii="Times New Roman" w:hAnsi="Times New Roman" w:cs="Times New Roman"/>
                <w:sz w:val="22"/>
                <w:szCs w:val="22"/>
                <w:lang w:val="en-US" w:eastAsia="en-US"/>
              </w:rPr>
            </w:pPr>
            <w:r w:rsidRPr="00BC4C82">
              <w:rPr>
                <w:rFonts w:ascii="Times New Roman" w:hAnsi="Times New Roman" w:cs="Times New Roman"/>
                <w:b/>
                <w:i w:val="0"/>
                <w:iCs w:val="0"/>
                <w:sz w:val="22"/>
                <w:szCs w:val="22"/>
                <w:lang w:val="sr-Latn-CS" w:eastAsia="sr-Latn-CS"/>
              </w:rPr>
              <w:t>Poremećaji na nivou k</w:t>
            </w:r>
            <w:r w:rsidRPr="00BC4C82">
              <w:rPr>
                <w:rFonts w:ascii="Times New Roman" w:hAnsi="Times New Roman" w:cs="Times New Roman"/>
                <w:b/>
                <w:i w:val="0"/>
                <w:sz w:val="22"/>
                <w:szCs w:val="22"/>
                <w:lang w:val="en-US" w:eastAsia="en-US"/>
              </w:rPr>
              <w:t>ože i potkožnog tkiva</w:t>
            </w:r>
            <w:r w:rsidRPr="00BC4C82">
              <w:rPr>
                <w:rFonts w:ascii="Times New Roman" w:hAnsi="Times New Roman" w:cs="Times New Roman"/>
                <w:sz w:val="22"/>
                <w:szCs w:val="22"/>
                <w:lang w:val="en-US" w:eastAsia="en-US"/>
              </w:rPr>
              <w:t xml:space="preserve"> </w:t>
            </w:r>
          </w:p>
          <w:p w:rsidR="00BF6D4F" w:rsidRPr="00BC4C82" w:rsidRDefault="00BF6D4F">
            <w:pPr>
              <w:pStyle w:val="Bodytext21"/>
              <w:shd w:val="clear" w:color="auto" w:fill="auto"/>
              <w:spacing w:line="240" w:lineRule="auto"/>
              <w:rPr>
                <w:rFonts w:ascii="Times New Roman" w:hAnsi="Times New Roman" w:cs="Times New Roman"/>
                <w:sz w:val="22"/>
                <w:szCs w:val="22"/>
                <w:lang w:val="en-US" w:eastAsia="en-US"/>
              </w:rPr>
            </w:pPr>
            <w:r w:rsidRPr="00BC4C82">
              <w:rPr>
                <w:rFonts w:ascii="Times New Roman" w:hAnsi="Times New Roman" w:cs="Times New Roman"/>
                <w:sz w:val="22"/>
                <w:szCs w:val="22"/>
                <w:lang w:val="en-US" w:eastAsia="en-US"/>
              </w:rPr>
              <w:t>Povremeno</w:t>
            </w:r>
            <w:r w:rsidRPr="00BC4C82">
              <w:rPr>
                <w:rFonts w:ascii="Times New Roman" w:hAnsi="Times New Roman" w:cs="Times New Roman"/>
                <w:i w:val="0"/>
                <w:sz w:val="22"/>
                <w:szCs w:val="22"/>
                <w:lang w:val="en-US" w:eastAsia="en-US"/>
              </w:rPr>
              <w:t>: pruritus, urtikarija, ospa, bulozni dermatitis, eritema multiforme, pemfigoid, eksfolijativni dermatitis, purpura, fotosenzitivne reakcije.</w:t>
            </w:r>
            <w:r w:rsidRPr="00BC4C82">
              <w:rPr>
                <w:rFonts w:ascii="Times New Roman" w:hAnsi="Times New Roman" w:cs="Times New Roman"/>
                <w:sz w:val="22"/>
                <w:szCs w:val="22"/>
                <w:lang w:val="en-US" w:eastAsia="en-US"/>
              </w:rPr>
              <w:t xml:space="preserve"> </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fr-FR"/>
              </w:rPr>
            </w:pPr>
            <w:r w:rsidRPr="00BC4C82">
              <w:rPr>
                <w:rFonts w:ascii="Times New Roman" w:hAnsi="Times New Roman" w:cs="Times New Roman"/>
                <w:sz w:val="22"/>
                <w:szCs w:val="22"/>
                <w:lang w:val="en-US" w:eastAsia="en-US"/>
              </w:rPr>
              <w:lastRenderedPageBreak/>
              <w:t>Nepoznato</w:t>
            </w:r>
            <w:r w:rsidRPr="00BC4C82">
              <w:rPr>
                <w:rFonts w:ascii="Times New Roman" w:hAnsi="Times New Roman" w:cs="Times New Roman"/>
                <w:i w:val="0"/>
                <w:sz w:val="22"/>
                <w:szCs w:val="22"/>
                <w:lang w:val="en-US" w:eastAsia="en-US"/>
              </w:rPr>
              <w:t>: Stevens-Johnson-ov sindrom, toksična epidermalna nekroliza, AGEP (akutna generalizovana eritematozna pustuloza) i DRESS sindrom (osip sa eozinofilijom i sistemskim simptomima).</w:t>
            </w:r>
          </w:p>
          <w:p w:rsidR="00BF6D4F" w:rsidRPr="00BC4C82" w:rsidRDefault="00BF6D4F" w:rsidP="00BB3274">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Poremećaji imunog sistema</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Rijetko</w:t>
            </w:r>
            <w:r w:rsidRPr="00BC4C82">
              <w:rPr>
                <w:rFonts w:ascii="Times New Roman" w:hAnsi="Times New Roman" w:cs="Times New Roman"/>
                <w:i w:val="0"/>
                <w:sz w:val="22"/>
                <w:szCs w:val="22"/>
                <w:lang w:val="en-US" w:eastAsia="en-US"/>
              </w:rPr>
              <w:t xml:space="preserve">: ozbiljne anafilaktičke i anafilaktoidne reakcije </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Nepoznato</w:t>
            </w:r>
            <w:r w:rsidRPr="00BC4C82">
              <w:rPr>
                <w:rFonts w:ascii="Times New Roman" w:hAnsi="Times New Roman" w:cs="Times New Roman"/>
                <w:i w:val="0"/>
                <w:sz w:val="22"/>
                <w:szCs w:val="22"/>
                <w:lang w:val="en-US" w:eastAsia="en-US"/>
              </w:rPr>
              <w:t>: egzarcerbacija i aktivacija sistemskog lupusa</w:t>
            </w:r>
            <w:r w:rsidRPr="00BC4C82">
              <w:rPr>
                <w:rFonts w:ascii="Times New Roman" w:hAnsi="Times New Roman" w:cs="Times New Roman"/>
                <w:sz w:val="22"/>
                <w:szCs w:val="22"/>
                <w:lang w:val="en-US" w:eastAsia="en-US"/>
              </w:rPr>
              <w:t xml:space="preserve"> </w:t>
            </w:r>
            <w:r w:rsidRPr="00BC4C82">
              <w:rPr>
                <w:rFonts w:ascii="Times New Roman" w:hAnsi="Times New Roman" w:cs="Times New Roman"/>
                <w:i w:val="0"/>
                <w:sz w:val="22"/>
                <w:szCs w:val="22"/>
                <w:lang w:val="en-US" w:eastAsia="en-US"/>
              </w:rPr>
              <w:t>eritematozusa</w:t>
            </w:r>
          </w:p>
          <w:p w:rsidR="00BF6D4F" w:rsidRPr="00BC4C82" w:rsidRDefault="00BF6D4F" w:rsidP="00BB3274">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Poremećaji nervnog sistema</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Često</w:t>
            </w:r>
            <w:r w:rsidRPr="00BC4C82">
              <w:rPr>
                <w:rFonts w:ascii="Times New Roman" w:hAnsi="Times New Roman" w:cs="Times New Roman"/>
                <w:i w:val="0"/>
                <w:sz w:val="22"/>
                <w:szCs w:val="22"/>
                <w:lang w:val="en-US" w:eastAsia="en-US"/>
              </w:rPr>
              <w:t>: hepatička encefalopatija kod pacijenata sa hepatocelularnim oštećenjem jetre (vidjeti dio 4.3)</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Rijetko</w:t>
            </w:r>
            <w:r w:rsidRPr="00BC4C82">
              <w:rPr>
                <w:rFonts w:ascii="Times New Roman" w:hAnsi="Times New Roman" w:cs="Times New Roman"/>
                <w:i w:val="0"/>
                <w:sz w:val="22"/>
                <w:szCs w:val="22"/>
                <w:lang w:val="en-US" w:eastAsia="en-US"/>
              </w:rPr>
              <w:t xml:space="preserve">: parestezija. </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Nepoznato</w:t>
            </w:r>
            <w:r w:rsidRPr="00BC4C82">
              <w:rPr>
                <w:rFonts w:ascii="Times New Roman" w:hAnsi="Times New Roman" w:cs="Times New Roman"/>
                <w:i w:val="0"/>
                <w:sz w:val="22"/>
                <w:szCs w:val="22"/>
                <w:lang w:val="en-US" w:eastAsia="en-US"/>
              </w:rPr>
              <w:t>: vrtoglavica, nesvjestica i gubitak svijesti (uzrokovana simptomatskom hipotenzijom)</w:t>
            </w:r>
          </w:p>
          <w:p w:rsidR="00BF6D4F" w:rsidRPr="00BC4C82" w:rsidRDefault="00BF6D4F" w:rsidP="00BB3274">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Poremećaji na nivou krvi i limfnog sistema</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Često</w:t>
            </w:r>
            <w:r w:rsidRPr="00BC4C82">
              <w:rPr>
                <w:rFonts w:ascii="Times New Roman" w:hAnsi="Times New Roman" w:cs="Times New Roman"/>
                <w:i w:val="0"/>
                <w:sz w:val="22"/>
                <w:szCs w:val="22"/>
                <w:lang w:val="en-US" w:eastAsia="en-US"/>
              </w:rPr>
              <w:t xml:space="preserve">: hemokoncentracija </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Povremeno</w:t>
            </w:r>
            <w:r w:rsidRPr="00BC4C82">
              <w:rPr>
                <w:rFonts w:ascii="Times New Roman" w:hAnsi="Times New Roman" w:cs="Times New Roman"/>
                <w:i w:val="0"/>
                <w:sz w:val="22"/>
                <w:szCs w:val="22"/>
                <w:lang w:val="en-US" w:eastAsia="en-US"/>
              </w:rPr>
              <w:t xml:space="preserve">: trombocitopenija </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Rijetko</w:t>
            </w:r>
            <w:r w:rsidRPr="00BC4C82">
              <w:rPr>
                <w:rFonts w:ascii="Times New Roman" w:hAnsi="Times New Roman" w:cs="Times New Roman"/>
                <w:i w:val="0"/>
                <w:sz w:val="22"/>
                <w:szCs w:val="22"/>
                <w:lang w:val="en-US" w:eastAsia="en-US"/>
              </w:rPr>
              <w:t>: leukopenija, eozinofilija.</w:t>
            </w:r>
          </w:p>
          <w:p w:rsidR="00BF6D4F" w:rsidRPr="00BC4C82" w:rsidRDefault="00BF6D4F" w:rsidP="00BB3274">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sz w:val="22"/>
                <w:szCs w:val="22"/>
                <w:lang w:val="en-US" w:eastAsia="en-US"/>
              </w:rPr>
              <w:t>Veoma rijetko</w:t>
            </w:r>
            <w:r w:rsidRPr="00BC4C82">
              <w:rPr>
                <w:rFonts w:ascii="Times New Roman" w:hAnsi="Times New Roman" w:cs="Times New Roman"/>
                <w:i w:val="0"/>
                <w:sz w:val="22"/>
                <w:szCs w:val="22"/>
                <w:lang w:val="en-US" w:eastAsia="en-US"/>
              </w:rPr>
              <w:t>: agranulocitoza, aplastična anemija, hemolitička anemija.</w:t>
            </w:r>
          </w:p>
          <w:p w:rsidR="00BF6D4F" w:rsidRPr="00BC4C82" w:rsidRDefault="00BF6D4F">
            <w:pPr>
              <w:pStyle w:val="Bodytext21"/>
              <w:shd w:val="clear" w:color="auto" w:fill="auto"/>
              <w:spacing w:before="120" w:line="240" w:lineRule="auto"/>
              <w:rPr>
                <w:rFonts w:ascii="Times New Roman" w:hAnsi="Times New Roman" w:cs="Times New Roman"/>
                <w:b/>
                <w:i w:val="0"/>
                <w:sz w:val="22"/>
                <w:szCs w:val="22"/>
                <w:lang w:val="en-US" w:eastAsia="en-US"/>
              </w:rPr>
            </w:pPr>
            <w:r w:rsidRPr="00BC4C82">
              <w:rPr>
                <w:rFonts w:ascii="Times New Roman" w:hAnsi="Times New Roman" w:cs="Times New Roman"/>
                <w:b/>
                <w:i w:val="0"/>
                <w:sz w:val="22"/>
                <w:szCs w:val="22"/>
                <w:lang w:val="en-US" w:eastAsia="en-US"/>
              </w:rPr>
              <w:t>Kongenitalni i porodični/nasljedni poremećaji</w:t>
            </w:r>
          </w:p>
          <w:p w:rsidR="00BF6D4F" w:rsidRPr="00BC4C82" w:rsidRDefault="00BF6D4F">
            <w:pPr>
              <w:pStyle w:val="Bodytext21"/>
              <w:shd w:val="clear" w:color="auto" w:fill="auto"/>
              <w:spacing w:line="240" w:lineRule="auto"/>
              <w:rPr>
                <w:rFonts w:ascii="Times New Roman" w:hAnsi="Times New Roman" w:cs="Times New Roman"/>
                <w:i w:val="0"/>
                <w:sz w:val="22"/>
                <w:szCs w:val="22"/>
                <w:lang w:val="sr-Latn-CS" w:eastAsia="en-US"/>
              </w:rPr>
            </w:pPr>
            <w:r w:rsidRPr="00BC4C82">
              <w:rPr>
                <w:rFonts w:ascii="Times New Roman" w:hAnsi="Times New Roman" w:cs="Times New Roman"/>
                <w:sz w:val="22"/>
                <w:szCs w:val="22"/>
                <w:lang w:val="en-US" w:eastAsia="en-US"/>
              </w:rPr>
              <w:t>Nepoznato</w:t>
            </w:r>
            <w:r w:rsidRPr="00BC4C82">
              <w:rPr>
                <w:rFonts w:ascii="Times New Roman" w:hAnsi="Times New Roman" w:cs="Times New Roman"/>
                <w:i w:val="0"/>
                <w:sz w:val="22"/>
                <w:szCs w:val="22"/>
                <w:lang w:val="en-US" w:eastAsia="en-US"/>
              </w:rPr>
              <w:t xml:space="preserve">: povećan rizik koji </w:t>
            </w:r>
            <w:r w:rsidRPr="00BC4C82">
              <w:rPr>
                <w:rFonts w:ascii="Times New Roman" w:hAnsi="Times New Roman" w:cs="Times New Roman"/>
                <w:i w:val="0"/>
                <w:sz w:val="22"/>
                <w:szCs w:val="22"/>
                <w:lang w:val="sr-Latn-CS" w:eastAsia="en-US"/>
              </w:rPr>
              <w:t xml:space="preserve">može uzrokovati nezatvaranje </w:t>
            </w:r>
            <w:r w:rsidRPr="00BC4C82">
              <w:rPr>
                <w:rFonts w:ascii="Times New Roman" w:hAnsi="Times New Roman" w:cs="Times New Roman"/>
                <w:sz w:val="22"/>
                <w:szCs w:val="22"/>
                <w:lang w:val="sr-Latn-CS" w:eastAsia="en-US"/>
              </w:rPr>
              <w:t>ductus arteriosus</w:t>
            </w:r>
            <w:r w:rsidRPr="00BC4C82">
              <w:rPr>
                <w:rFonts w:ascii="Times New Roman" w:hAnsi="Times New Roman" w:cs="Times New Roman"/>
                <w:i w:val="0"/>
                <w:sz w:val="22"/>
                <w:szCs w:val="22"/>
                <w:lang w:val="sr-Latn-CS" w:eastAsia="en-US"/>
              </w:rPr>
              <w:t>-a, ako se furosemid daje nedonoščetu u toku prve nedelje života</w:t>
            </w:r>
          </w:p>
          <w:p w:rsidR="00BF6D4F" w:rsidRPr="00BC4C82" w:rsidRDefault="00BF6D4F" w:rsidP="009D2492">
            <w:pPr>
              <w:pStyle w:val="BodyText"/>
              <w:spacing w:before="120" w:after="0"/>
              <w:jc w:val="both"/>
              <w:rPr>
                <w:b/>
                <w:sz w:val="22"/>
                <w:szCs w:val="22"/>
                <w:lang w:val="en-US"/>
              </w:rPr>
            </w:pPr>
            <w:r w:rsidRPr="00BC4C82">
              <w:rPr>
                <w:b/>
                <w:sz w:val="22"/>
                <w:szCs w:val="22"/>
                <w:lang w:val="en-US"/>
              </w:rPr>
              <w:t>Opšti poremećaji i reakcije na mjestu primjene</w:t>
            </w:r>
          </w:p>
          <w:p w:rsidR="00BF6D4F" w:rsidRPr="00BC4C82" w:rsidRDefault="00BF6D4F" w:rsidP="009D2492">
            <w:pPr>
              <w:pStyle w:val="BodyText"/>
              <w:spacing w:after="0"/>
              <w:jc w:val="both"/>
              <w:rPr>
                <w:sz w:val="22"/>
                <w:szCs w:val="22"/>
                <w:lang w:val="en-US"/>
              </w:rPr>
            </w:pPr>
            <w:r w:rsidRPr="00BC4C82">
              <w:rPr>
                <w:i/>
                <w:sz w:val="22"/>
                <w:szCs w:val="22"/>
                <w:lang w:val="en-US"/>
              </w:rPr>
              <w:t>Rijetko</w:t>
            </w:r>
            <w:r w:rsidRPr="00BC4C82">
              <w:rPr>
                <w:sz w:val="22"/>
                <w:szCs w:val="22"/>
                <w:lang w:val="en-US"/>
              </w:rPr>
              <w:t>: groznica</w:t>
            </w:r>
          </w:p>
          <w:p w:rsidR="00BF6D4F" w:rsidRPr="00BC4C82" w:rsidRDefault="00BF6D4F" w:rsidP="009D2492">
            <w:pPr>
              <w:pStyle w:val="BodyText"/>
              <w:spacing w:after="0"/>
              <w:ind w:left="20" w:right="20"/>
              <w:jc w:val="both"/>
              <w:rPr>
                <w:i/>
                <w:sz w:val="22"/>
                <w:szCs w:val="22"/>
                <w:lang w:val="en-US"/>
              </w:rPr>
            </w:pPr>
            <w:r w:rsidRPr="009D2492">
              <w:rPr>
                <w:i/>
                <w:sz w:val="22"/>
                <w:szCs w:val="22"/>
                <w:lang w:val="en-US"/>
              </w:rPr>
              <w:t>Nepoznato</w:t>
            </w:r>
            <w:r w:rsidRPr="00BC4C82">
              <w:rPr>
                <w:i/>
                <w:sz w:val="22"/>
                <w:szCs w:val="22"/>
                <w:lang w:val="en-US"/>
              </w:rPr>
              <w:t xml:space="preserve">: </w:t>
            </w:r>
            <w:r w:rsidRPr="00BC4C82">
              <w:rPr>
                <w:sz w:val="22"/>
                <w:szCs w:val="22"/>
                <w:lang w:val="en-US"/>
              </w:rPr>
              <w:t>lokalne reakcije praćene bolom mogu se javiti nakon intramuskularne injekcije</w:t>
            </w:r>
          </w:p>
          <w:p w:rsidR="00BF6D4F" w:rsidRPr="00BC4C82" w:rsidRDefault="00BF6D4F" w:rsidP="009D2492">
            <w:pPr>
              <w:tabs>
                <w:tab w:val="left" w:pos="720"/>
              </w:tabs>
              <w:jc w:val="both"/>
              <w:rPr>
                <w:rFonts w:eastAsia="MS Mincho"/>
                <w:b/>
                <w:bCs/>
                <w:sz w:val="22"/>
                <w:szCs w:val="22"/>
              </w:rPr>
            </w:pPr>
          </w:p>
          <w:p w:rsidR="00BF6D4F" w:rsidRPr="00BC4C82" w:rsidRDefault="00BF6D4F" w:rsidP="009D2492">
            <w:pPr>
              <w:spacing w:line="276" w:lineRule="auto"/>
              <w:jc w:val="both"/>
              <w:rPr>
                <w:rFonts w:eastAsia="Calibri"/>
                <w:sz w:val="22"/>
                <w:szCs w:val="22"/>
                <w:u w:val="single"/>
                <w:lang w:val="sr-Latn-RS"/>
              </w:rPr>
            </w:pPr>
            <w:r w:rsidRPr="00BC4C82">
              <w:rPr>
                <w:rFonts w:eastAsia="Calibri"/>
                <w:sz w:val="22"/>
                <w:szCs w:val="22"/>
                <w:u w:val="single"/>
                <w:lang w:val="sr-Latn-RS"/>
              </w:rPr>
              <w:t>Prijavljivanje sumnji na neželjena dejstva</w:t>
            </w:r>
          </w:p>
          <w:p w:rsidR="00BF6D4F" w:rsidRPr="00BC4C82" w:rsidRDefault="00BF6D4F" w:rsidP="009D2492">
            <w:pPr>
              <w:spacing w:line="276" w:lineRule="auto"/>
              <w:jc w:val="both"/>
              <w:rPr>
                <w:rFonts w:eastAsia="Calibri"/>
                <w:sz w:val="22"/>
                <w:szCs w:val="22"/>
                <w:u w:val="single"/>
                <w:lang w:val="sr-Latn-RS"/>
              </w:rPr>
            </w:pPr>
          </w:p>
          <w:p w:rsidR="00BF6D4F" w:rsidRPr="00BC4C82" w:rsidRDefault="00BF6D4F" w:rsidP="009D2492">
            <w:pPr>
              <w:jc w:val="both"/>
              <w:rPr>
                <w:rFonts w:eastAsia="Calibri"/>
                <w:sz w:val="22"/>
                <w:szCs w:val="22"/>
                <w:lang w:val="sr-Latn-RS"/>
              </w:rPr>
            </w:pPr>
            <w:r w:rsidRPr="00BC4C82">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F6D4F" w:rsidRPr="00BC4C82" w:rsidRDefault="00BF6D4F" w:rsidP="00BB3274">
            <w:pPr>
              <w:rPr>
                <w:rFonts w:eastAsia="Calibri"/>
                <w:sz w:val="22"/>
                <w:szCs w:val="22"/>
                <w:lang w:val="sr-Latn-RS"/>
              </w:rPr>
            </w:pPr>
          </w:p>
          <w:p w:rsidR="00BF6D4F" w:rsidRPr="00BC4C82" w:rsidRDefault="00BF6D4F" w:rsidP="00BB3274">
            <w:pPr>
              <w:pStyle w:val="NoSpacing"/>
              <w:jc w:val="both"/>
              <w:rPr>
                <w:rFonts w:ascii="Times New Roman" w:eastAsia="Calibri" w:hAnsi="Times New Roman"/>
                <w:lang w:val="sr-Latn-RS"/>
              </w:rPr>
            </w:pPr>
            <w:r w:rsidRPr="00BC4C82">
              <w:rPr>
                <w:rFonts w:ascii="Times New Roman" w:eastAsia="Calibri" w:hAnsi="Times New Roman"/>
                <w:lang w:val="sr-Latn-RS"/>
              </w:rPr>
              <w:t>Agencija za ljekove i medicinska sredstva Crne Gore</w:t>
            </w:r>
          </w:p>
          <w:p w:rsidR="00BF6D4F" w:rsidRPr="00BC4C82" w:rsidRDefault="00BF6D4F" w:rsidP="00BB3274">
            <w:pPr>
              <w:pStyle w:val="NoSpacing"/>
              <w:jc w:val="both"/>
              <w:rPr>
                <w:rFonts w:ascii="Times New Roman" w:eastAsia="Calibri" w:hAnsi="Times New Roman"/>
                <w:lang w:val="sr-Latn-RS"/>
              </w:rPr>
            </w:pPr>
            <w:r w:rsidRPr="00BC4C82">
              <w:rPr>
                <w:rFonts w:ascii="Times New Roman" w:eastAsia="Calibri" w:hAnsi="Times New Roman"/>
                <w:lang w:val="sr-Latn-RS"/>
              </w:rPr>
              <w:t>Odjeljenje za farmakovigilancu</w:t>
            </w:r>
          </w:p>
          <w:p w:rsidR="00BF6D4F" w:rsidRPr="00BC4C82" w:rsidRDefault="00BF6D4F" w:rsidP="00BB3274">
            <w:pPr>
              <w:pStyle w:val="NoSpacing"/>
              <w:jc w:val="both"/>
              <w:rPr>
                <w:rFonts w:ascii="Times New Roman" w:eastAsia="Calibri" w:hAnsi="Times New Roman"/>
                <w:lang w:val="sr-Latn-RS"/>
              </w:rPr>
            </w:pPr>
            <w:r w:rsidRPr="00BC4C82">
              <w:rPr>
                <w:rFonts w:ascii="Times New Roman" w:eastAsia="Calibri" w:hAnsi="Times New Roman"/>
                <w:lang w:val="sr-Latn-RS"/>
              </w:rPr>
              <w:t>Bulevar Ivana Crnojevića 64a, 81000 Podgorica</w:t>
            </w:r>
          </w:p>
          <w:p w:rsidR="00BF6D4F" w:rsidRPr="00BC4C82" w:rsidRDefault="00BF6D4F" w:rsidP="00BB3274">
            <w:pPr>
              <w:pStyle w:val="NoSpacing"/>
              <w:jc w:val="both"/>
              <w:rPr>
                <w:rFonts w:ascii="Times New Roman" w:eastAsia="Calibri" w:hAnsi="Times New Roman"/>
                <w:lang w:val="sr-Latn-RS"/>
              </w:rPr>
            </w:pPr>
          </w:p>
          <w:p w:rsidR="00BF6D4F" w:rsidRPr="00BC4C82" w:rsidRDefault="00BF6D4F" w:rsidP="00BB3274">
            <w:pPr>
              <w:pStyle w:val="NoSpacing"/>
              <w:jc w:val="both"/>
              <w:rPr>
                <w:rFonts w:ascii="Times New Roman" w:eastAsia="Calibri" w:hAnsi="Times New Roman"/>
                <w:lang w:val="sr-Latn-RS"/>
              </w:rPr>
            </w:pPr>
            <w:r w:rsidRPr="00BC4C82">
              <w:rPr>
                <w:rFonts w:ascii="Times New Roman" w:eastAsia="Calibri" w:hAnsi="Times New Roman"/>
                <w:lang w:val="sr-Latn-RS"/>
              </w:rPr>
              <w:t>tel: +382 (0) 20 310 280</w:t>
            </w:r>
          </w:p>
          <w:p w:rsidR="00BF6D4F" w:rsidRPr="00BC4C82" w:rsidRDefault="00BF6D4F" w:rsidP="00BB3274">
            <w:pPr>
              <w:pStyle w:val="NoSpacing"/>
              <w:jc w:val="both"/>
              <w:rPr>
                <w:rFonts w:ascii="Times New Roman" w:eastAsia="Calibri" w:hAnsi="Times New Roman"/>
                <w:lang w:val="sr-Latn-RS"/>
              </w:rPr>
            </w:pPr>
            <w:r w:rsidRPr="00BC4C82">
              <w:rPr>
                <w:rFonts w:ascii="Times New Roman" w:eastAsia="Calibri" w:hAnsi="Times New Roman"/>
                <w:lang w:val="sr-Latn-RS"/>
              </w:rPr>
              <w:t>fax: +382 (0) 20 310 581</w:t>
            </w:r>
          </w:p>
          <w:p w:rsidR="00BF6D4F" w:rsidRPr="00BC4C82" w:rsidRDefault="00CE7BAD" w:rsidP="00BB3274">
            <w:pPr>
              <w:pStyle w:val="NoSpacing"/>
              <w:jc w:val="both"/>
              <w:rPr>
                <w:rFonts w:ascii="Times New Roman" w:eastAsia="Calibri" w:hAnsi="Times New Roman"/>
                <w:lang w:val="sr-Latn-RS"/>
              </w:rPr>
            </w:pPr>
            <w:hyperlink r:id="rId7" w:history="1">
              <w:r w:rsidR="00BF6D4F" w:rsidRPr="00BC4C82">
                <w:rPr>
                  <w:rFonts w:ascii="Times New Roman" w:eastAsia="Calibri" w:hAnsi="Times New Roman"/>
                  <w:color w:val="0000FF"/>
                  <w:u w:val="single"/>
                  <w:lang w:val="sr-Latn-RS"/>
                </w:rPr>
                <w:t>www.calims.me</w:t>
              </w:r>
            </w:hyperlink>
          </w:p>
          <w:p w:rsidR="00BF6D4F" w:rsidRPr="00BC4C82" w:rsidRDefault="00CE7BAD" w:rsidP="00BB3274">
            <w:pPr>
              <w:pStyle w:val="NoSpacing"/>
              <w:jc w:val="both"/>
              <w:rPr>
                <w:rFonts w:ascii="Times New Roman" w:eastAsia="Calibri" w:hAnsi="Times New Roman"/>
                <w:color w:val="0000FF"/>
                <w:u w:val="single"/>
                <w:lang w:val="sr-Latn-RS"/>
              </w:rPr>
            </w:pPr>
            <w:hyperlink r:id="rId8" w:history="1">
              <w:r w:rsidR="00BF6D4F" w:rsidRPr="00BC4C82">
                <w:rPr>
                  <w:rFonts w:ascii="Times New Roman" w:eastAsia="Calibri" w:hAnsi="Times New Roman"/>
                  <w:color w:val="0000FF"/>
                  <w:u w:val="single"/>
                  <w:lang w:val="sr-Latn-RS"/>
                </w:rPr>
                <w:t>nezeljenadejstva@calims.me</w:t>
              </w:r>
            </w:hyperlink>
          </w:p>
          <w:p w:rsidR="00BF6D4F" w:rsidRPr="00BC4C82" w:rsidRDefault="00BF6D4F" w:rsidP="00BB3274">
            <w:pPr>
              <w:pStyle w:val="NoSpacing"/>
              <w:jc w:val="both"/>
              <w:rPr>
                <w:rFonts w:ascii="Times New Roman" w:eastAsia="Calibri" w:hAnsi="Times New Roman"/>
                <w:lang w:val="sr-Latn-RS"/>
              </w:rPr>
            </w:pPr>
            <w:r w:rsidRPr="00BC4C82">
              <w:rPr>
                <w:rFonts w:ascii="Times New Roman" w:eastAsia="Calibri" w:hAnsi="Times New Roman"/>
                <w:lang w:val="sr-Latn-RS"/>
              </w:rPr>
              <w:t>putem IS zdravstvene zaštite</w:t>
            </w:r>
          </w:p>
          <w:p w:rsidR="00BF6D4F" w:rsidRPr="00BC4C82" w:rsidRDefault="00BF6D4F" w:rsidP="009D2492">
            <w:pPr>
              <w:pStyle w:val="BodyText"/>
              <w:spacing w:after="0"/>
              <w:ind w:left="20" w:right="20"/>
              <w:rPr>
                <w:sz w:val="22"/>
                <w:szCs w:val="22"/>
                <w:lang w:val="en-US"/>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lastRenderedPageBreak/>
              <w:t>4.9. Predoziranje</w:t>
            </w:r>
          </w:p>
        </w:tc>
      </w:tr>
      <w:tr w:rsidR="00BF6D4F" w:rsidRPr="00BC4C82" w:rsidTr="009D2492">
        <w:trPr>
          <w:trHeight w:val="1145"/>
        </w:trPr>
        <w:tc>
          <w:tcPr>
            <w:tcW w:w="9639" w:type="dxa"/>
            <w:gridSpan w:val="4"/>
            <w:vAlign w:val="center"/>
          </w:tcPr>
          <w:p w:rsidR="00BF6D4F" w:rsidRPr="00BC4C82" w:rsidRDefault="00BF6D4F" w:rsidP="00BB3274">
            <w:pPr>
              <w:autoSpaceDE w:val="0"/>
              <w:autoSpaceDN w:val="0"/>
              <w:adjustRightInd w:val="0"/>
              <w:rPr>
                <w:iCs/>
                <w:sz w:val="22"/>
                <w:szCs w:val="22"/>
                <w:lang w:val="sr-Latn-CS" w:eastAsia="sr-Latn-CS"/>
              </w:rPr>
            </w:pP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iCs/>
                <w:sz w:val="22"/>
                <w:szCs w:val="22"/>
                <w:lang w:val="sr-Latn-CS" w:eastAsia="sr-Latn-CS"/>
              </w:rPr>
              <w:t xml:space="preserve">Klinička slika </w:t>
            </w:r>
            <w:r w:rsidRPr="00BC4C82">
              <w:rPr>
                <w:rFonts w:eastAsia="TimesNewRoman"/>
                <w:sz w:val="22"/>
                <w:szCs w:val="22"/>
                <w:lang w:val="sr-Latn-CS" w:eastAsia="sr-Latn-CS"/>
              </w:rPr>
              <w:t>kod akutnog ili hroničnog predoziranja prvenstveno zavisi od obima i posljedica gubitka elektrolita i vode, na primjer hipovolemija, dehidratacija, hemokoncentracija, srčane aritmije prouzrokovane prekomjernom diurezom. Simptomi ovih poremećaja uključuju i tešku hipotenziju (koja može da dovede do šoka), akutnu bubrežnu insuficijenciju, trombozu, stanje delirijuma, flakcidnu paralizu, apatiju i konfuziju.</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lastRenderedPageBreak/>
              <w:t>Liječenje treba da ima za cilj nadoknadu tečnosti i korekciju disbalansa elektrolita. Istovremeno sa</w:t>
            </w:r>
            <w:r w:rsidR="0079036D">
              <w:rPr>
                <w:rFonts w:eastAsia="TimesNewRoman"/>
                <w:sz w:val="22"/>
                <w:szCs w:val="22"/>
                <w:lang w:val="sr-Latn-CS" w:eastAsia="sr-Latn-CS"/>
              </w:rPr>
              <w:t xml:space="preserve"> </w:t>
            </w:r>
            <w:r w:rsidRPr="00BC4C82">
              <w:rPr>
                <w:rFonts w:eastAsia="TimesNewRoman"/>
                <w:sz w:val="22"/>
                <w:szCs w:val="22"/>
                <w:lang w:val="sr-Latn-CS" w:eastAsia="sr-Latn-CS"/>
              </w:rPr>
              <w:t>prevencijom i terapijom ozbiljnih komplikacija koje su posljedice ovakvih poremećaja i ostalih dejstava na organizam, pored korektivnih mjera može biti potrebe za opštim i specifičnim intenzivnim monitoringom i terapijskim mjerama.</w:t>
            </w:r>
          </w:p>
          <w:p w:rsidR="00BF6D4F" w:rsidRDefault="00BF6D4F" w:rsidP="009D2492">
            <w:pPr>
              <w:pStyle w:val="Heading11"/>
              <w:keepNext/>
              <w:keepLines/>
              <w:shd w:val="clear" w:color="auto" w:fill="auto"/>
              <w:spacing w:after="0" w:line="240" w:lineRule="auto"/>
              <w:rPr>
                <w:rFonts w:ascii="Times New Roman" w:eastAsia="TimesNewRoman" w:hAnsi="Times New Roman" w:cs="Times New Roman"/>
                <w:sz w:val="22"/>
                <w:szCs w:val="22"/>
                <w:lang w:val="sr-Latn-CS" w:eastAsia="sr-Latn-CS"/>
              </w:rPr>
            </w:pPr>
            <w:r w:rsidRPr="00BC4C82">
              <w:rPr>
                <w:rFonts w:ascii="Times New Roman" w:eastAsia="TimesNewRoman" w:hAnsi="Times New Roman" w:cs="Times New Roman"/>
                <w:sz w:val="22"/>
                <w:szCs w:val="22"/>
                <w:lang w:val="sr-Latn-CS" w:eastAsia="sr-Latn-CS"/>
              </w:rPr>
              <w:t>Nije poznat specifičan antidot za furosemid. Ubrzo nakon ingestije lijeka, treba pokušati ograničiti sistemsku resorpciju aktivne supstance mjerama kao što su lavaža želuca ili redukovati resorpciju (npr. aktivnim ugljem).</w:t>
            </w:r>
          </w:p>
          <w:p w:rsidR="0079036D" w:rsidRDefault="0079036D" w:rsidP="009D2492">
            <w:pPr>
              <w:pStyle w:val="Heading11"/>
              <w:keepNext/>
              <w:keepLines/>
              <w:shd w:val="clear" w:color="auto" w:fill="auto"/>
              <w:spacing w:after="0" w:line="240" w:lineRule="auto"/>
              <w:rPr>
                <w:rFonts w:ascii="Times New Roman" w:hAnsi="Times New Roman" w:cs="Times New Roman"/>
                <w:sz w:val="22"/>
                <w:szCs w:val="22"/>
                <w:lang w:val="en-US" w:eastAsia="en-US"/>
              </w:rPr>
            </w:pPr>
          </w:p>
          <w:p w:rsidR="0079036D" w:rsidRPr="00BC4C82" w:rsidRDefault="0079036D" w:rsidP="009D2492">
            <w:pPr>
              <w:pStyle w:val="Heading11"/>
              <w:keepNext/>
              <w:keepLines/>
              <w:shd w:val="clear" w:color="auto" w:fill="auto"/>
              <w:spacing w:after="0" w:line="240" w:lineRule="auto"/>
              <w:rPr>
                <w:rFonts w:ascii="Times New Roman" w:hAnsi="Times New Roman" w:cs="Times New Roman"/>
                <w:sz w:val="22"/>
                <w:szCs w:val="22"/>
                <w:lang w:val="en-US" w:eastAsia="en-US"/>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lastRenderedPageBreak/>
              <w:t>5. FARMAKOLOŠKI PODACI</w:t>
            </w:r>
          </w:p>
        </w:tc>
      </w:tr>
      <w:tr w:rsidR="00BF6D4F" w:rsidRPr="00BC4C82" w:rsidTr="009D2492">
        <w:tc>
          <w:tcPr>
            <w:tcW w:w="9639" w:type="dxa"/>
            <w:gridSpan w:val="4"/>
            <w:vAlign w:val="center"/>
          </w:tcPr>
          <w:p w:rsidR="0079036D" w:rsidRDefault="0079036D" w:rsidP="009D2492">
            <w:pPr>
              <w:pStyle w:val="Header"/>
              <w:tabs>
                <w:tab w:val="left" w:pos="284"/>
              </w:tabs>
              <w:rPr>
                <w:b/>
                <w:bCs/>
                <w:sz w:val="22"/>
                <w:szCs w:val="22"/>
              </w:rPr>
            </w:pPr>
          </w:p>
          <w:p w:rsidR="00BF6D4F" w:rsidRPr="00BC4C82" w:rsidRDefault="00BF6D4F" w:rsidP="009D2492">
            <w:pPr>
              <w:pStyle w:val="Header"/>
              <w:tabs>
                <w:tab w:val="left" w:pos="284"/>
              </w:tabs>
              <w:rPr>
                <w:b/>
                <w:bCs/>
                <w:sz w:val="22"/>
                <w:szCs w:val="22"/>
              </w:rPr>
            </w:pPr>
            <w:r w:rsidRPr="00BC4C82">
              <w:rPr>
                <w:b/>
                <w:bCs/>
                <w:sz w:val="22"/>
                <w:szCs w:val="22"/>
              </w:rPr>
              <w:t>5.1. Farmakodinamski podaci</w:t>
            </w:r>
          </w:p>
        </w:tc>
      </w:tr>
      <w:tr w:rsidR="00BF6D4F" w:rsidRPr="00BC4C82" w:rsidTr="009D2492">
        <w:trPr>
          <w:trHeight w:val="576"/>
        </w:trPr>
        <w:tc>
          <w:tcPr>
            <w:tcW w:w="2808" w:type="dxa"/>
            <w:gridSpan w:val="3"/>
            <w:vAlign w:val="center"/>
          </w:tcPr>
          <w:p w:rsidR="00BF6D4F" w:rsidRPr="00BC4C82" w:rsidRDefault="00BF6D4F" w:rsidP="00BB3274">
            <w:pPr>
              <w:pStyle w:val="Header"/>
              <w:tabs>
                <w:tab w:val="left" w:pos="284"/>
              </w:tabs>
              <w:rPr>
                <w:b/>
                <w:bCs/>
                <w:sz w:val="22"/>
                <w:szCs w:val="22"/>
              </w:rPr>
            </w:pPr>
            <w:r w:rsidRPr="00BC4C82">
              <w:rPr>
                <w:b/>
                <w:bCs/>
                <w:sz w:val="22"/>
                <w:szCs w:val="22"/>
              </w:rPr>
              <w:t>Farmakoterapijska grupa:</w:t>
            </w:r>
          </w:p>
        </w:tc>
        <w:tc>
          <w:tcPr>
            <w:tcW w:w="6831" w:type="dxa"/>
            <w:vAlign w:val="center"/>
          </w:tcPr>
          <w:p w:rsidR="00BF6D4F" w:rsidRPr="00BC4C82" w:rsidRDefault="00BF6D4F" w:rsidP="00BB3274">
            <w:pPr>
              <w:pStyle w:val="Header"/>
              <w:tabs>
                <w:tab w:val="left" w:pos="284"/>
              </w:tabs>
              <w:rPr>
                <w:sz w:val="22"/>
                <w:szCs w:val="22"/>
              </w:rPr>
            </w:pPr>
            <w:r w:rsidRPr="00BC4C82">
              <w:rPr>
                <w:sz w:val="22"/>
                <w:szCs w:val="22"/>
              </w:rPr>
              <w:t>Diuretik</w:t>
            </w:r>
          </w:p>
        </w:tc>
      </w:tr>
      <w:tr w:rsidR="00BF6D4F" w:rsidRPr="00BC4C82" w:rsidTr="009D2492">
        <w:trPr>
          <w:trHeight w:val="542"/>
        </w:trPr>
        <w:tc>
          <w:tcPr>
            <w:tcW w:w="1188" w:type="dxa"/>
            <w:gridSpan w:val="2"/>
            <w:vAlign w:val="center"/>
          </w:tcPr>
          <w:p w:rsidR="00BF6D4F" w:rsidRPr="00BC4C82" w:rsidRDefault="00BF6D4F" w:rsidP="00BB3274">
            <w:pPr>
              <w:pStyle w:val="Header"/>
              <w:tabs>
                <w:tab w:val="left" w:pos="284"/>
              </w:tabs>
              <w:rPr>
                <w:b/>
                <w:bCs/>
                <w:sz w:val="22"/>
                <w:szCs w:val="22"/>
              </w:rPr>
            </w:pPr>
            <w:r w:rsidRPr="00BC4C82">
              <w:rPr>
                <w:b/>
                <w:bCs/>
                <w:sz w:val="22"/>
                <w:szCs w:val="22"/>
              </w:rPr>
              <w:t>ATC kod:</w:t>
            </w:r>
          </w:p>
        </w:tc>
        <w:tc>
          <w:tcPr>
            <w:tcW w:w="8451" w:type="dxa"/>
            <w:gridSpan w:val="2"/>
            <w:vAlign w:val="center"/>
          </w:tcPr>
          <w:p w:rsidR="00BF6D4F" w:rsidRPr="00BC4C82" w:rsidRDefault="00BF6D4F" w:rsidP="00BB3274">
            <w:pPr>
              <w:pStyle w:val="Header"/>
              <w:tabs>
                <w:tab w:val="left" w:pos="284"/>
              </w:tabs>
              <w:rPr>
                <w:sz w:val="22"/>
                <w:szCs w:val="22"/>
              </w:rPr>
            </w:pPr>
            <w:r w:rsidRPr="00BC4C82">
              <w:rPr>
                <w:sz w:val="22"/>
                <w:szCs w:val="22"/>
              </w:rPr>
              <w:t>C03CA01</w:t>
            </w:r>
          </w:p>
        </w:tc>
      </w:tr>
      <w:tr w:rsidR="00BF6D4F" w:rsidRPr="00BC4C82" w:rsidTr="009D2492">
        <w:trPr>
          <w:trHeight w:val="1145"/>
        </w:trPr>
        <w:tc>
          <w:tcPr>
            <w:tcW w:w="9639" w:type="dxa"/>
            <w:gridSpan w:val="4"/>
            <w:vAlign w:val="center"/>
          </w:tcPr>
          <w:p w:rsidR="00BF6D4F" w:rsidRPr="00BC4C82" w:rsidRDefault="00BF6D4F" w:rsidP="009D2492">
            <w:pPr>
              <w:pStyle w:val="BodyText"/>
              <w:spacing w:after="0"/>
              <w:ind w:right="20"/>
              <w:rPr>
                <w:sz w:val="22"/>
                <w:szCs w:val="22"/>
                <w:lang w:val="en-US"/>
              </w:rPr>
            </w:pP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Eksperimentalne studije su pokazale da furosemid djeluje duž čitavog nefrona izuzev na nivou distalnog tubula.</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Glavno dejstvo mu je u ascedentnom dijelu Henleove petlje uz kompleksne efekte na renalnu cirkulaciju. Protok krvi se preusmjerava iz juksta</w:t>
            </w:r>
            <w:r w:rsidR="008B56EA">
              <w:rPr>
                <w:rFonts w:eastAsia="TimesNewRoman"/>
                <w:sz w:val="22"/>
                <w:szCs w:val="22"/>
                <w:lang w:val="sr-Latn-CS" w:eastAsia="sr-Latn-CS"/>
              </w:rPr>
              <w:t xml:space="preserve"> </w:t>
            </w:r>
            <w:r w:rsidRPr="00BC4C82">
              <w:rPr>
                <w:rFonts w:eastAsia="TimesNewRoman"/>
                <w:sz w:val="22"/>
                <w:szCs w:val="22"/>
                <w:lang w:val="sr-Latn-CS" w:eastAsia="sr-Latn-CS"/>
              </w:rPr>
              <w:t>-</w:t>
            </w:r>
            <w:r w:rsidR="008B56EA">
              <w:rPr>
                <w:rFonts w:eastAsia="TimesNewRoman"/>
                <w:sz w:val="22"/>
                <w:szCs w:val="22"/>
                <w:lang w:val="sr-Latn-CS" w:eastAsia="sr-Latn-CS"/>
              </w:rPr>
              <w:t xml:space="preserve"> </w:t>
            </w:r>
            <w:r w:rsidRPr="00BC4C82">
              <w:rPr>
                <w:rFonts w:eastAsia="TimesNewRoman"/>
                <w:sz w:val="22"/>
                <w:szCs w:val="22"/>
                <w:lang w:val="sr-Latn-CS" w:eastAsia="sr-Latn-CS"/>
              </w:rPr>
              <w:t>medularnog regiona u spoljašnji dio - korteks.</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 xml:space="preserve">Primarna renalna aktivnost furosemida je inhibicija aktivnog transporta hlorida u središnjem dijelu ascedentnog dijela Henleove petlje. Reapsorpcija natrijum hlorida iz nefrona je smanjena, te se produkuje hipotončan ili izotoničan urin. </w:t>
            </w:r>
          </w:p>
          <w:p w:rsidR="00BF6D4F" w:rsidRDefault="00BF6D4F" w:rsidP="009D2492">
            <w:pPr>
              <w:pStyle w:val="BodyText"/>
              <w:spacing w:after="0"/>
              <w:ind w:left="20" w:right="20"/>
              <w:jc w:val="both"/>
              <w:rPr>
                <w:rFonts w:eastAsia="TimesNewRoman"/>
                <w:sz w:val="22"/>
                <w:szCs w:val="22"/>
                <w:lang w:val="sr-Latn-CS" w:eastAsia="sr-Latn-CS"/>
              </w:rPr>
            </w:pPr>
            <w:r w:rsidRPr="00BC4C82">
              <w:rPr>
                <w:rFonts w:eastAsia="TimesNewRoman"/>
                <w:sz w:val="22"/>
                <w:szCs w:val="22"/>
                <w:lang w:val="sr-Latn-CS" w:eastAsia="sr-Latn-CS"/>
              </w:rPr>
              <w:t>Utvrđeno je da furosemid utiče na biosintezu prostaglandina (PG) i sistem renin-angiotenzin, kao i da mijenja permeabilnost glomerula bubrega za serumske proteine.</w:t>
            </w:r>
          </w:p>
          <w:p w:rsidR="009F2557" w:rsidRPr="00BC4C82" w:rsidRDefault="009F2557" w:rsidP="009D2492">
            <w:pPr>
              <w:pStyle w:val="BodyText"/>
              <w:spacing w:after="0"/>
              <w:ind w:left="20" w:right="20"/>
              <w:jc w:val="both"/>
              <w:rPr>
                <w:sz w:val="22"/>
                <w:szCs w:val="22"/>
                <w:lang w:val="en-US"/>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5.2. Farmakokinetički podaci</w:t>
            </w:r>
          </w:p>
        </w:tc>
      </w:tr>
      <w:tr w:rsidR="00BF6D4F" w:rsidRPr="00BC4C82" w:rsidTr="009D2492">
        <w:trPr>
          <w:trHeight w:val="63"/>
        </w:trPr>
        <w:tc>
          <w:tcPr>
            <w:tcW w:w="9639" w:type="dxa"/>
            <w:gridSpan w:val="4"/>
            <w:vAlign w:val="center"/>
          </w:tcPr>
          <w:p w:rsidR="009F2557" w:rsidRDefault="009F2557" w:rsidP="009D2492">
            <w:pPr>
              <w:autoSpaceDE w:val="0"/>
              <w:autoSpaceDN w:val="0"/>
              <w:adjustRightInd w:val="0"/>
              <w:rPr>
                <w:rFonts w:eastAsia="TimesNewRoman"/>
                <w:sz w:val="22"/>
                <w:szCs w:val="22"/>
                <w:lang w:val="sr-Latn-CS" w:eastAsia="sr-Latn-CS"/>
              </w:rPr>
            </w:pP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Furosemid je slaba karboksilna kiselina koja je uglavnom u disociranom obliku u gastrointestinalnom traktu.</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Furosemid se brzo, ali nepotpuno resorbuje (60–70 %) nakon oralnog unošenja, a njegovi efekti su najizraženiji unutar 4 sata od unosa. Najveći dio resorpcije odvija se u gornjim partijama duodenuma pri pH 5,0. Bez obzira na način unošenja, 69-97 % aktivnosti radioaktivno obilježenog furosemida se izluči u prva 4 sata.</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 xml:space="preserve">Furosemid se vezuje za albumine plazme, a metaboliše se u neznatnom obimu. </w:t>
            </w:r>
          </w:p>
          <w:p w:rsidR="00BF6D4F" w:rsidRPr="00BC4C82" w:rsidRDefault="00BF6D4F" w:rsidP="009D2492">
            <w:pPr>
              <w:autoSpaceDE w:val="0"/>
              <w:autoSpaceDN w:val="0"/>
              <w:adjustRightInd w:val="0"/>
              <w:spacing w:before="120"/>
              <w:jc w:val="both"/>
              <w:rPr>
                <w:rFonts w:eastAsia="TimesNewRoman"/>
                <w:sz w:val="22"/>
                <w:szCs w:val="22"/>
                <w:lang w:val="sr-Latn-CS" w:eastAsia="sr-Latn-CS"/>
              </w:rPr>
            </w:pPr>
            <w:r w:rsidRPr="00BC4C82">
              <w:rPr>
                <w:rFonts w:eastAsia="TimesNewRoman"/>
                <w:sz w:val="22"/>
                <w:szCs w:val="22"/>
                <w:lang w:val="sr-Latn-CS" w:eastAsia="sr-Latn-CS"/>
              </w:rPr>
              <w:t>Furosemid se iz organizma eliminiše najvećim dijelom (80-90%) renalnom ekskrecijom, dok se preostalih 10-15% eliminiše preko žuči (fecesom).</w:t>
            </w:r>
          </w:p>
          <w:p w:rsidR="00BF6D4F" w:rsidRPr="00BC4C82" w:rsidRDefault="00BF6D4F" w:rsidP="00BF6D4F">
            <w:pPr>
              <w:numPr>
                <w:ilvl w:val="0"/>
                <w:numId w:val="38"/>
              </w:numPr>
              <w:autoSpaceDE w:val="0"/>
              <w:autoSpaceDN w:val="0"/>
              <w:adjustRightInd w:val="0"/>
              <w:spacing w:before="120"/>
              <w:jc w:val="both"/>
              <w:rPr>
                <w:rFonts w:eastAsia="TimesNewRoman"/>
                <w:i/>
                <w:iCs/>
                <w:sz w:val="22"/>
                <w:szCs w:val="22"/>
                <w:lang w:val="sr-Latn-CS" w:eastAsia="sr-Latn-CS"/>
              </w:rPr>
            </w:pPr>
            <w:r w:rsidRPr="00BC4C82">
              <w:rPr>
                <w:rFonts w:eastAsia="TimesNewRoman"/>
                <w:i/>
                <w:iCs/>
                <w:sz w:val="22"/>
                <w:szCs w:val="22"/>
                <w:lang w:val="sr-Latn-CS" w:eastAsia="sr-Latn-CS"/>
              </w:rPr>
              <w:t>Insuficijencija jetre / bubrega</w:t>
            </w:r>
          </w:p>
          <w:p w:rsidR="00BF6D4F" w:rsidRPr="00BC4C82"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U prisustvu bolesti jetre, eliminacija preko žuči se smanjuje do 50 %. Renalna insuficijencija ima mali uticaj na eliminaciju lijeka Lasix, ali kada je renalna funkcija manja od 20 %, povećava se vrijeme eliminacije furosemida.</w:t>
            </w:r>
          </w:p>
          <w:p w:rsidR="00BF6D4F" w:rsidRPr="00BC4C82" w:rsidRDefault="00BF6D4F" w:rsidP="00BF6D4F">
            <w:pPr>
              <w:numPr>
                <w:ilvl w:val="0"/>
                <w:numId w:val="38"/>
              </w:numPr>
              <w:autoSpaceDE w:val="0"/>
              <w:autoSpaceDN w:val="0"/>
              <w:adjustRightInd w:val="0"/>
              <w:spacing w:before="120"/>
              <w:jc w:val="both"/>
              <w:rPr>
                <w:rFonts w:eastAsia="TimesNewRoman"/>
                <w:i/>
                <w:iCs/>
                <w:sz w:val="22"/>
                <w:szCs w:val="22"/>
                <w:lang w:val="sr-Latn-CS" w:eastAsia="sr-Latn-CS"/>
              </w:rPr>
            </w:pPr>
            <w:r w:rsidRPr="00BC4C82">
              <w:rPr>
                <w:rFonts w:eastAsia="TimesNewRoman"/>
                <w:i/>
                <w:iCs/>
                <w:sz w:val="22"/>
                <w:szCs w:val="22"/>
                <w:lang w:val="sr-Latn-CS" w:eastAsia="sr-Latn-CS"/>
              </w:rPr>
              <w:t>Stariji pacijenti</w:t>
            </w:r>
          </w:p>
          <w:p w:rsidR="00BF6D4F" w:rsidRDefault="00BF6D4F" w:rsidP="009D2492">
            <w:pPr>
              <w:autoSpaceDE w:val="0"/>
              <w:autoSpaceDN w:val="0"/>
              <w:adjustRightInd w:val="0"/>
              <w:jc w:val="both"/>
              <w:rPr>
                <w:rFonts w:eastAsia="TimesNewRoman"/>
                <w:sz w:val="22"/>
                <w:szCs w:val="22"/>
                <w:lang w:val="sr-Latn-CS" w:eastAsia="sr-Latn-CS"/>
              </w:rPr>
            </w:pPr>
            <w:r w:rsidRPr="00BC4C82">
              <w:rPr>
                <w:rFonts w:eastAsia="TimesNewRoman"/>
                <w:sz w:val="22"/>
                <w:szCs w:val="22"/>
                <w:lang w:val="sr-Latn-CS" w:eastAsia="sr-Latn-CS"/>
              </w:rPr>
              <w:t>Kod starijih pacijenata je produženo vrijeme eliminacije kada je prisutna renalna insuficijencija.</w:t>
            </w:r>
          </w:p>
          <w:p w:rsidR="009F2557" w:rsidRPr="00BC4C82" w:rsidRDefault="009F2557" w:rsidP="009D2492">
            <w:pPr>
              <w:autoSpaceDE w:val="0"/>
              <w:autoSpaceDN w:val="0"/>
              <w:adjustRightInd w:val="0"/>
              <w:jc w:val="both"/>
              <w:rPr>
                <w:rFonts w:eastAsia="TimesNewRoman"/>
                <w:sz w:val="22"/>
                <w:szCs w:val="22"/>
                <w:lang w:val="sr-Latn-CS" w:eastAsia="sr-Latn-CS"/>
              </w:rPr>
            </w:pPr>
          </w:p>
          <w:p w:rsidR="00BF6D4F" w:rsidRPr="00BC4C82" w:rsidRDefault="00BF6D4F">
            <w:pPr>
              <w:numPr>
                <w:ilvl w:val="0"/>
                <w:numId w:val="38"/>
              </w:numPr>
              <w:autoSpaceDE w:val="0"/>
              <w:autoSpaceDN w:val="0"/>
              <w:adjustRightInd w:val="0"/>
              <w:spacing w:before="120"/>
              <w:jc w:val="both"/>
              <w:rPr>
                <w:rFonts w:eastAsia="TimesNewRoman"/>
                <w:i/>
                <w:iCs/>
                <w:sz w:val="22"/>
                <w:szCs w:val="22"/>
                <w:lang w:val="sr-Latn-CS" w:eastAsia="sr-Latn-CS"/>
              </w:rPr>
            </w:pPr>
            <w:r w:rsidRPr="00BC4C82">
              <w:rPr>
                <w:rFonts w:eastAsia="TimesNewRoman"/>
                <w:i/>
                <w:iCs/>
                <w:sz w:val="22"/>
                <w:szCs w:val="22"/>
                <w:lang w:val="sr-Latn-CS" w:eastAsia="sr-Latn-CS"/>
              </w:rPr>
              <w:lastRenderedPageBreak/>
              <w:t>Novorođenčad</w:t>
            </w:r>
          </w:p>
          <w:p w:rsidR="009F2557" w:rsidRDefault="00BF6D4F" w:rsidP="009D2492">
            <w:pPr>
              <w:pStyle w:val="BodyText"/>
              <w:spacing w:after="0"/>
              <w:ind w:right="20"/>
              <w:jc w:val="both"/>
              <w:rPr>
                <w:rFonts w:eastAsia="TimesNewRoman"/>
                <w:sz w:val="22"/>
                <w:szCs w:val="22"/>
                <w:lang w:val="sr-Latn-CS" w:eastAsia="sr-Latn-CS"/>
              </w:rPr>
            </w:pPr>
            <w:r w:rsidRPr="00BC4C82">
              <w:rPr>
                <w:rFonts w:eastAsia="TimesNewRoman"/>
                <w:sz w:val="22"/>
                <w:szCs w:val="22"/>
                <w:lang w:val="sr-Latn-CS" w:eastAsia="sr-Latn-CS"/>
              </w:rPr>
              <w:t>Neprekidan diuretički efekat je zabilježen kod novorođenčadi, vjerovatno usljed nerazvijene funkcije tubula.</w:t>
            </w:r>
          </w:p>
          <w:p w:rsidR="009F2557" w:rsidRPr="00BC4C82" w:rsidRDefault="009F2557" w:rsidP="009D2492">
            <w:pPr>
              <w:pStyle w:val="BodyText"/>
              <w:spacing w:after="0"/>
              <w:ind w:right="20"/>
              <w:rPr>
                <w:sz w:val="22"/>
                <w:szCs w:val="22"/>
                <w:lang w:val="en-US"/>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lastRenderedPageBreak/>
              <w:t>5.3. Pretklinički podaci o bezbjednosti lijeka</w:t>
            </w:r>
          </w:p>
        </w:tc>
      </w:tr>
      <w:tr w:rsidR="00BF6D4F" w:rsidRPr="00BC4C82" w:rsidTr="009D2492">
        <w:trPr>
          <w:trHeight w:val="249"/>
        </w:trPr>
        <w:tc>
          <w:tcPr>
            <w:tcW w:w="9639" w:type="dxa"/>
            <w:gridSpan w:val="4"/>
            <w:vAlign w:val="center"/>
          </w:tcPr>
          <w:p w:rsidR="009F2557" w:rsidRDefault="009F2557" w:rsidP="009D2492">
            <w:pPr>
              <w:pStyle w:val="Heading11"/>
              <w:keepNext/>
              <w:keepLines/>
              <w:shd w:val="clear" w:color="auto" w:fill="auto"/>
              <w:spacing w:after="0" w:line="240" w:lineRule="auto"/>
              <w:rPr>
                <w:rFonts w:ascii="Times New Roman" w:hAnsi="Times New Roman" w:cs="Times New Roman"/>
                <w:b w:val="0"/>
                <w:sz w:val="22"/>
                <w:szCs w:val="22"/>
                <w:lang w:val="en-US" w:eastAsia="en-US"/>
              </w:rPr>
            </w:pPr>
          </w:p>
          <w:p w:rsidR="00BF6D4F" w:rsidRDefault="00BF6D4F" w:rsidP="009D2492">
            <w:pPr>
              <w:pStyle w:val="Heading11"/>
              <w:keepNext/>
              <w:keepLines/>
              <w:shd w:val="clear" w:color="auto" w:fill="auto"/>
              <w:spacing w:after="0" w:line="240" w:lineRule="auto"/>
              <w:rPr>
                <w:rFonts w:ascii="Times New Roman" w:hAnsi="Times New Roman" w:cs="Times New Roman"/>
                <w:b w:val="0"/>
                <w:sz w:val="22"/>
                <w:szCs w:val="22"/>
                <w:lang w:val="en-US" w:eastAsia="en-US"/>
              </w:rPr>
            </w:pPr>
            <w:r w:rsidRPr="00BC4C82">
              <w:rPr>
                <w:rFonts w:ascii="Times New Roman" w:hAnsi="Times New Roman" w:cs="Times New Roman"/>
                <w:b w:val="0"/>
                <w:sz w:val="22"/>
                <w:szCs w:val="22"/>
                <w:lang w:val="en-US" w:eastAsia="en-US"/>
              </w:rPr>
              <w:t>Nije primjenljivo.</w:t>
            </w:r>
          </w:p>
          <w:p w:rsidR="009F2557" w:rsidRDefault="009F2557" w:rsidP="009D2492">
            <w:pPr>
              <w:pStyle w:val="Heading11"/>
              <w:keepNext/>
              <w:keepLines/>
              <w:shd w:val="clear" w:color="auto" w:fill="auto"/>
              <w:spacing w:after="0" w:line="240" w:lineRule="auto"/>
              <w:rPr>
                <w:rFonts w:ascii="Times New Roman" w:hAnsi="Times New Roman" w:cs="Times New Roman"/>
                <w:b w:val="0"/>
                <w:sz w:val="22"/>
                <w:szCs w:val="22"/>
                <w:lang w:val="en-US" w:eastAsia="en-US"/>
              </w:rPr>
            </w:pPr>
          </w:p>
          <w:p w:rsidR="009F2557" w:rsidRPr="00BC4C82" w:rsidRDefault="009F2557" w:rsidP="009D2492">
            <w:pPr>
              <w:pStyle w:val="Heading11"/>
              <w:keepNext/>
              <w:keepLines/>
              <w:shd w:val="clear" w:color="auto" w:fill="auto"/>
              <w:spacing w:after="0" w:line="240" w:lineRule="auto"/>
              <w:rPr>
                <w:rFonts w:ascii="Times New Roman" w:hAnsi="Times New Roman" w:cs="Times New Roman"/>
                <w:sz w:val="22"/>
                <w:szCs w:val="22"/>
                <w:lang w:val="en-US" w:eastAsia="en-US"/>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6. FARMACEUTSKI PODACI</w:t>
            </w:r>
          </w:p>
        </w:tc>
      </w:tr>
      <w:tr w:rsidR="00BF6D4F" w:rsidRPr="00BC4C82" w:rsidTr="009D2492">
        <w:tc>
          <w:tcPr>
            <w:tcW w:w="9639" w:type="dxa"/>
            <w:gridSpan w:val="4"/>
            <w:vAlign w:val="center"/>
          </w:tcPr>
          <w:p w:rsidR="00780A6A" w:rsidRDefault="00780A6A" w:rsidP="009D2492">
            <w:pPr>
              <w:pStyle w:val="Header"/>
              <w:tabs>
                <w:tab w:val="left" w:pos="284"/>
              </w:tabs>
              <w:rPr>
                <w:b/>
                <w:bCs/>
                <w:sz w:val="22"/>
                <w:szCs w:val="22"/>
              </w:rPr>
            </w:pPr>
          </w:p>
          <w:p w:rsidR="00BF6D4F" w:rsidRDefault="00BF6D4F" w:rsidP="009D2492">
            <w:pPr>
              <w:pStyle w:val="Header"/>
              <w:tabs>
                <w:tab w:val="left" w:pos="284"/>
              </w:tabs>
              <w:rPr>
                <w:b/>
                <w:bCs/>
                <w:sz w:val="22"/>
                <w:szCs w:val="22"/>
                <w:lang w:val="sr-Latn-CS"/>
              </w:rPr>
            </w:pPr>
            <w:r w:rsidRPr="00BC4C82">
              <w:rPr>
                <w:b/>
                <w:bCs/>
                <w:sz w:val="22"/>
                <w:szCs w:val="22"/>
              </w:rPr>
              <w:t>6.1. Lista pomo</w:t>
            </w:r>
            <w:r w:rsidRPr="00BC4C82">
              <w:rPr>
                <w:b/>
                <w:bCs/>
                <w:sz w:val="22"/>
                <w:szCs w:val="22"/>
                <w:lang w:val="sr-Latn-CS"/>
              </w:rPr>
              <w:t>ćnih supstanci</w:t>
            </w:r>
          </w:p>
          <w:p w:rsidR="00780A6A" w:rsidRPr="00BC4C82" w:rsidRDefault="00780A6A" w:rsidP="009D2492">
            <w:pPr>
              <w:pStyle w:val="Header"/>
              <w:tabs>
                <w:tab w:val="left" w:pos="284"/>
              </w:tabs>
              <w:rPr>
                <w:b/>
                <w:bCs/>
                <w:sz w:val="22"/>
                <w:szCs w:val="22"/>
                <w:lang w:val="sr-Latn-CS"/>
              </w:rPr>
            </w:pPr>
          </w:p>
        </w:tc>
      </w:tr>
      <w:tr w:rsidR="00BF6D4F" w:rsidRPr="00BC4C82" w:rsidTr="009D2492">
        <w:trPr>
          <w:trHeight w:val="779"/>
        </w:trPr>
        <w:tc>
          <w:tcPr>
            <w:tcW w:w="9639" w:type="dxa"/>
            <w:gridSpan w:val="4"/>
            <w:vAlign w:val="center"/>
          </w:tcPr>
          <w:p w:rsidR="00BF6D4F" w:rsidRPr="00BC4C82" w:rsidRDefault="00BF6D4F" w:rsidP="00BF6D4F">
            <w:pPr>
              <w:pStyle w:val="Header"/>
              <w:numPr>
                <w:ilvl w:val="0"/>
                <w:numId w:val="37"/>
              </w:numPr>
              <w:tabs>
                <w:tab w:val="clear" w:pos="4320"/>
                <w:tab w:val="clear" w:pos="8640"/>
                <w:tab w:val="left" w:pos="284"/>
              </w:tabs>
              <w:jc w:val="both"/>
              <w:rPr>
                <w:sz w:val="22"/>
                <w:szCs w:val="22"/>
              </w:rPr>
            </w:pPr>
            <w:r w:rsidRPr="00BC4C82">
              <w:rPr>
                <w:sz w:val="22"/>
                <w:szCs w:val="22"/>
              </w:rPr>
              <w:t>skrob kukuruzni</w:t>
            </w:r>
          </w:p>
          <w:p w:rsidR="00BF6D4F" w:rsidRPr="00BC4C82" w:rsidRDefault="00BF6D4F" w:rsidP="00BF6D4F">
            <w:pPr>
              <w:pStyle w:val="Header"/>
              <w:numPr>
                <w:ilvl w:val="0"/>
                <w:numId w:val="37"/>
              </w:numPr>
              <w:tabs>
                <w:tab w:val="clear" w:pos="4320"/>
                <w:tab w:val="clear" w:pos="8640"/>
                <w:tab w:val="left" w:pos="284"/>
              </w:tabs>
              <w:jc w:val="both"/>
              <w:rPr>
                <w:sz w:val="22"/>
                <w:szCs w:val="22"/>
              </w:rPr>
            </w:pPr>
            <w:r w:rsidRPr="00BC4C82">
              <w:rPr>
                <w:sz w:val="22"/>
                <w:szCs w:val="22"/>
              </w:rPr>
              <w:t>skrob kukuruzni, preželatinizirani</w:t>
            </w:r>
          </w:p>
          <w:p w:rsidR="00BF6D4F" w:rsidRPr="00BC4C82" w:rsidRDefault="00BF6D4F" w:rsidP="00BF6D4F">
            <w:pPr>
              <w:pStyle w:val="Header"/>
              <w:numPr>
                <w:ilvl w:val="0"/>
                <w:numId w:val="37"/>
              </w:numPr>
              <w:tabs>
                <w:tab w:val="clear" w:pos="4320"/>
                <w:tab w:val="clear" w:pos="8640"/>
                <w:tab w:val="left" w:pos="284"/>
              </w:tabs>
              <w:jc w:val="both"/>
              <w:rPr>
                <w:sz w:val="22"/>
                <w:szCs w:val="22"/>
              </w:rPr>
            </w:pPr>
            <w:r w:rsidRPr="00BC4C82">
              <w:rPr>
                <w:sz w:val="22"/>
                <w:szCs w:val="22"/>
              </w:rPr>
              <w:t>laktoza, monohidrat</w:t>
            </w:r>
          </w:p>
          <w:p w:rsidR="00BF6D4F" w:rsidRPr="00BC4C82" w:rsidRDefault="00BF6D4F" w:rsidP="00BF6D4F">
            <w:pPr>
              <w:pStyle w:val="Header"/>
              <w:numPr>
                <w:ilvl w:val="0"/>
                <w:numId w:val="37"/>
              </w:numPr>
              <w:tabs>
                <w:tab w:val="clear" w:pos="4320"/>
                <w:tab w:val="clear" w:pos="8640"/>
                <w:tab w:val="left" w:pos="284"/>
              </w:tabs>
              <w:jc w:val="both"/>
              <w:rPr>
                <w:sz w:val="22"/>
                <w:szCs w:val="22"/>
              </w:rPr>
            </w:pPr>
            <w:r w:rsidRPr="00BC4C82">
              <w:rPr>
                <w:sz w:val="22"/>
                <w:szCs w:val="22"/>
              </w:rPr>
              <w:t>talk</w:t>
            </w:r>
          </w:p>
          <w:p w:rsidR="00BF6D4F" w:rsidRPr="00BC4C82" w:rsidRDefault="00BF6D4F" w:rsidP="00BF6D4F">
            <w:pPr>
              <w:pStyle w:val="Header"/>
              <w:numPr>
                <w:ilvl w:val="0"/>
                <w:numId w:val="37"/>
              </w:numPr>
              <w:tabs>
                <w:tab w:val="clear" w:pos="4320"/>
                <w:tab w:val="clear" w:pos="8640"/>
                <w:tab w:val="left" w:pos="284"/>
              </w:tabs>
              <w:jc w:val="both"/>
              <w:rPr>
                <w:sz w:val="22"/>
                <w:szCs w:val="22"/>
              </w:rPr>
            </w:pPr>
            <w:r w:rsidRPr="00BC4C82">
              <w:rPr>
                <w:sz w:val="22"/>
                <w:szCs w:val="22"/>
              </w:rPr>
              <w:t>silicijum dioksid, koloidni, bezvodni</w:t>
            </w:r>
          </w:p>
          <w:p w:rsidR="00BF6D4F" w:rsidRPr="00BC4C82" w:rsidRDefault="00BF6D4F" w:rsidP="00BF6D4F">
            <w:pPr>
              <w:pStyle w:val="Header"/>
              <w:numPr>
                <w:ilvl w:val="0"/>
                <w:numId w:val="37"/>
              </w:numPr>
              <w:tabs>
                <w:tab w:val="clear" w:pos="4320"/>
                <w:tab w:val="clear" w:pos="8640"/>
                <w:tab w:val="left" w:pos="284"/>
              </w:tabs>
              <w:jc w:val="both"/>
              <w:rPr>
                <w:sz w:val="22"/>
                <w:szCs w:val="22"/>
              </w:rPr>
            </w:pPr>
            <w:r w:rsidRPr="00BC4C82">
              <w:rPr>
                <w:sz w:val="22"/>
                <w:szCs w:val="22"/>
              </w:rPr>
              <w:t>magnezijum stearate</w:t>
            </w:r>
          </w:p>
          <w:p w:rsidR="00BF6D4F" w:rsidRPr="00BC4C82" w:rsidRDefault="00BF6D4F" w:rsidP="009D2492">
            <w:pPr>
              <w:pStyle w:val="Header"/>
              <w:tabs>
                <w:tab w:val="clear" w:pos="4320"/>
                <w:tab w:val="clear" w:pos="8640"/>
                <w:tab w:val="left" w:pos="284"/>
              </w:tabs>
              <w:jc w:val="both"/>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6.2. Inkompatibilnost</w:t>
            </w:r>
          </w:p>
        </w:tc>
      </w:tr>
      <w:tr w:rsidR="00BF6D4F" w:rsidRPr="00BC4C82" w:rsidTr="009D2492">
        <w:trPr>
          <w:trHeight w:val="66"/>
        </w:trPr>
        <w:tc>
          <w:tcPr>
            <w:tcW w:w="9639" w:type="dxa"/>
            <w:gridSpan w:val="4"/>
            <w:vAlign w:val="center"/>
          </w:tcPr>
          <w:p w:rsidR="00780A6A" w:rsidRPr="00BC4C82" w:rsidRDefault="00780A6A" w:rsidP="009D2492">
            <w:pPr>
              <w:pStyle w:val="Header"/>
              <w:tabs>
                <w:tab w:val="left" w:pos="284"/>
              </w:tabs>
              <w:rPr>
                <w:sz w:val="22"/>
                <w:szCs w:val="22"/>
              </w:rPr>
            </w:pPr>
          </w:p>
          <w:p w:rsidR="00BF6D4F" w:rsidRDefault="00BF6D4F" w:rsidP="009D2492">
            <w:pPr>
              <w:pStyle w:val="Header"/>
              <w:tabs>
                <w:tab w:val="left" w:pos="284"/>
              </w:tabs>
              <w:rPr>
                <w:sz w:val="22"/>
                <w:szCs w:val="22"/>
              </w:rPr>
            </w:pPr>
            <w:r w:rsidRPr="00BC4C82">
              <w:rPr>
                <w:sz w:val="22"/>
                <w:szCs w:val="22"/>
              </w:rPr>
              <w:t>Nije primenljivo.</w:t>
            </w:r>
          </w:p>
          <w:p w:rsidR="00780A6A" w:rsidRPr="00BC4C82" w:rsidRDefault="00780A6A" w:rsidP="009D2492">
            <w:pPr>
              <w:pStyle w:val="Header"/>
              <w:tabs>
                <w:tab w:val="left" w:pos="284"/>
              </w:tabs>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6.3. Rok upotrebe</w:t>
            </w:r>
          </w:p>
        </w:tc>
      </w:tr>
      <w:tr w:rsidR="00BF6D4F" w:rsidRPr="00BC4C82" w:rsidTr="009D2492">
        <w:trPr>
          <w:trHeight w:val="66"/>
        </w:trPr>
        <w:tc>
          <w:tcPr>
            <w:tcW w:w="9639" w:type="dxa"/>
            <w:gridSpan w:val="4"/>
            <w:vAlign w:val="center"/>
          </w:tcPr>
          <w:p w:rsidR="00780A6A" w:rsidRDefault="00780A6A" w:rsidP="00BB3274">
            <w:pPr>
              <w:pStyle w:val="Header"/>
              <w:tabs>
                <w:tab w:val="left" w:pos="284"/>
              </w:tabs>
              <w:rPr>
                <w:sz w:val="22"/>
                <w:szCs w:val="22"/>
              </w:rPr>
            </w:pPr>
          </w:p>
          <w:p w:rsidR="00BF6D4F" w:rsidRDefault="00BF6D4F" w:rsidP="00BB3274">
            <w:pPr>
              <w:pStyle w:val="Header"/>
              <w:tabs>
                <w:tab w:val="left" w:pos="284"/>
              </w:tabs>
              <w:rPr>
                <w:sz w:val="22"/>
                <w:szCs w:val="22"/>
              </w:rPr>
            </w:pPr>
            <w:r w:rsidRPr="00BC4C82">
              <w:rPr>
                <w:sz w:val="22"/>
                <w:szCs w:val="22"/>
              </w:rPr>
              <w:t>3 godine.</w:t>
            </w:r>
          </w:p>
          <w:p w:rsidR="00780A6A" w:rsidRPr="00BC4C82" w:rsidRDefault="00780A6A" w:rsidP="00BB3274">
            <w:pPr>
              <w:pStyle w:val="Header"/>
              <w:tabs>
                <w:tab w:val="left" w:pos="284"/>
              </w:tabs>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6.4. Posebne mjere upozorenja pri čuvanju</w:t>
            </w:r>
          </w:p>
        </w:tc>
      </w:tr>
      <w:tr w:rsidR="00BF6D4F" w:rsidRPr="00BC4C82" w:rsidTr="009D2492">
        <w:trPr>
          <w:trHeight w:val="671"/>
        </w:trPr>
        <w:tc>
          <w:tcPr>
            <w:tcW w:w="9639" w:type="dxa"/>
            <w:gridSpan w:val="4"/>
            <w:vAlign w:val="center"/>
          </w:tcPr>
          <w:p w:rsidR="00780A6A" w:rsidRPr="00BC4C82" w:rsidRDefault="00780A6A">
            <w:pPr>
              <w:pStyle w:val="Bodytext21"/>
              <w:shd w:val="clear" w:color="auto" w:fill="auto"/>
              <w:rPr>
                <w:rFonts w:ascii="Times New Roman" w:hAnsi="Times New Roman" w:cs="Times New Roman"/>
                <w:i w:val="0"/>
                <w:sz w:val="22"/>
                <w:szCs w:val="22"/>
                <w:lang w:val="en-US" w:eastAsia="en-US"/>
              </w:rPr>
            </w:pPr>
          </w:p>
          <w:p w:rsidR="00BF6D4F" w:rsidRPr="00BC4C82" w:rsidRDefault="00BF6D4F" w:rsidP="009D2492">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i w:val="0"/>
                <w:sz w:val="22"/>
                <w:szCs w:val="22"/>
                <w:lang w:val="en-US" w:eastAsia="en-US"/>
              </w:rPr>
              <w:t>Lijek Lasix čuvati na temperaturi do 25°C, u originalnom pakovanju radi zaštite od sv</w:t>
            </w:r>
            <w:r w:rsidR="00780A6A">
              <w:rPr>
                <w:rFonts w:ascii="Times New Roman" w:hAnsi="Times New Roman" w:cs="Times New Roman"/>
                <w:i w:val="0"/>
                <w:sz w:val="22"/>
                <w:szCs w:val="22"/>
                <w:lang w:val="en-US" w:eastAsia="en-US"/>
              </w:rPr>
              <w:t>j</w:t>
            </w:r>
            <w:r w:rsidRPr="00BC4C82">
              <w:rPr>
                <w:rFonts w:ascii="Times New Roman" w:hAnsi="Times New Roman" w:cs="Times New Roman"/>
                <w:i w:val="0"/>
                <w:sz w:val="22"/>
                <w:szCs w:val="22"/>
                <w:lang w:val="en-US" w:eastAsia="en-US"/>
              </w:rPr>
              <w:t xml:space="preserve">etlosti. </w:t>
            </w:r>
          </w:p>
          <w:p w:rsidR="00BF6D4F" w:rsidRPr="00BC4C82" w:rsidRDefault="00BF6D4F" w:rsidP="009D2492">
            <w:pPr>
              <w:pStyle w:val="Bodytext21"/>
              <w:shd w:val="clear" w:color="auto" w:fill="auto"/>
              <w:spacing w:line="240" w:lineRule="auto"/>
              <w:rPr>
                <w:rFonts w:ascii="Times New Roman" w:hAnsi="Times New Roman" w:cs="Times New Roman"/>
                <w:i w:val="0"/>
                <w:sz w:val="22"/>
                <w:szCs w:val="22"/>
                <w:lang w:val="de-DE" w:eastAsia="en-US"/>
              </w:rPr>
            </w:pPr>
            <w:r w:rsidRPr="00BC4C82">
              <w:rPr>
                <w:rFonts w:ascii="Times New Roman" w:hAnsi="Times New Roman" w:cs="Times New Roman"/>
                <w:i w:val="0"/>
                <w:sz w:val="22"/>
                <w:szCs w:val="22"/>
                <w:lang w:val="de-DE" w:eastAsia="en-US"/>
              </w:rPr>
              <w:t xml:space="preserve">Nemojte koristiti lijek posle datuma naznačenog na pakovanju. </w:t>
            </w:r>
          </w:p>
          <w:p w:rsidR="00BF6D4F" w:rsidRDefault="00BF6D4F" w:rsidP="009D2492">
            <w:pPr>
              <w:pStyle w:val="Bodytext21"/>
              <w:shd w:val="clear" w:color="auto" w:fill="auto"/>
              <w:spacing w:line="240" w:lineRule="auto"/>
              <w:rPr>
                <w:rFonts w:ascii="Times New Roman" w:hAnsi="Times New Roman" w:cs="Times New Roman"/>
                <w:i w:val="0"/>
                <w:sz w:val="22"/>
                <w:szCs w:val="22"/>
                <w:lang w:val="en-US" w:eastAsia="en-US"/>
              </w:rPr>
            </w:pPr>
            <w:r w:rsidRPr="00BC4C82">
              <w:rPr>
                <w:rFonts w:ascii="Times New Roman" w:hAnsi="Times New Roman" w:cs="Times New Roman"/>
                <w:i w:val="0"/>
                <w:sz w:val="22"/>
                <w:szCs w:val="22"/>
                <w:lang w:val="en-US" w:eastAsia="en-US"/>
              </w:rPr>
              <w:t>Čuvati ljekove van domašaja d</w:t>
            </w:r>
            <w:r w:rsidR="00780A6A">
              <w:rPr>
                <w:rFonts w:ascii="Times New Roman" w:hAnsi="Times New Roman" w:cs="Times New Roman"/>
                <w:i w:val="0"/>
                <w:sz w:val="22"/>
                <w:szCs w:val="22"/>
                <w:lang w:val="en-US" w:eastAsia="en-US"/>
              </w:rPr>
              <w:t>j</w:t>
            </w:r>
            <w:r w:rsidRPr="00BC4C82">
              <w:rPr>
                <w:rFonts w:ascii="Times New Roman" w:hAnsi="Times New Roman" w:cs="Times New Roman"/>
                <w:i w:val="0"/>
                <w:sz w:val="22"/>
                <w:szCs w:val="22"/>
                <w:lang w:val="en-US" w:eastAsia="en-US"/>
              </w:rPr>
              <w:t>ece!</w:t>
            </w:r>
          </w:p>
          <w:p w:rsidR="00780A6A" w:rsidRPr="00BC4C82" w:rsidRDefault="00780A6A" w:rsidP="009D2492">
            <w:pPr>
              <w:pStyle w:val="Bodytext21"/>
              <w:shd w:val="clear" w:color="auto" w:fill="auto"/>
              <w:spacing w:line="240" w:lineRule="auto"/>
              <w:rPr>
                <w:rFonts w:ascii="Times New Roman" w:hAnsi="Times New Roman" w:cs="Times New Roman"/>
                <w:sz w:val="22"/>
                <w:szCs w:val="22"/>
                <w:lang w:val="en-US" w:eastAsia="en-US"/>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6.5. Priroda i sadržaj kontaktne ambalaže</w:t>
            </w:r>
          </w:p>
        </w:tc>
      </w:tr>
      <w:tr w:rsidR="00BF6D4F" w:rsidRPr="00BC4C82" w:rsidTr="009D2492">
        <w:trPr>
          <w:trHeight w:val="671"/>
        </w:trPr>
        <w:tc>
          <w:tcPr>
            <w:tcW w:w="9639" w:type="dxa"/>
            <w:gridSpan w:val="4"/>
            <w:vAlign w:val="center"/>
          </w:tcPr>
          <w:p w:rsidR="00BF6D4F" w:rsidRPr="00BC4C82" w:rsidRDefault="00BF6D4F" w:rsidP="00BB3274">
            <w:pPr>
              <w:pStyle w:val="Header"/>
              <w:tabs>
                <w:tab w:val="left" w:pos="284"/>
              </w:tabs>
              <w:rPr>
                <w:sz w:val="22"/>
                <w:szCs w:val="22"/>
              </w:rPr>
            </w:pPr>
          </w:p>
          <w:p w:rsidR="00BF6D4F" w:rsidRPr="00BC4C82" w:rsidRDefault="00BF6D4F" w:rsidP="009D2492">
            <w:pPr>
              <w:pStyle w:val="Header"/>
              <w:tabs>
                <w:tab w:val="left" w:pos="284"/>
              </w:tabs>
              <w:jc w:val="both"/>
              <w:rPr>
                <w:sz w:val="22"/>
                <w:szCs w:val="22"/>
              </w:rPr>
            </w:pPr>
            <w:r w:rsidRPr="00BC4C82">
              <w:rPr>
                <w:sz w:val="22"/>
                <w:szCs w:val="22"/>
              </w:rPr>
              <w:t>Unutrašnje pakovanje je PVC-aluminijumski blister koji sadrži 12 tableta.</w:t>
            </w:r>
          </w:p>
          <w:p w:rsidR="00BF6D4F" w:rsidRDefault="00BF6D4F" w:rsidP="009D2492">
            <w:pPr>
              <w:pStyle w:val="Header"/>
              <w:tabs>
                <w:tab w:val="left" w:pos="284"/>
              </w:tabs>
              <w:jc w:val="both"/>
              <w:rPr>
                <w:sz w:val="22"/>
                <w:szCs w:val="22"/>
                <w:lang w:val="de-DE"/>
              </w:rPr>
            </w:pPr>
            <w:r w:rsidRPr="00BC4C82">
              <w:rPr>
                <w:sz w:val="22"/>
                <w:szCs w:val="22"/>
                <w:lang w:val="de-DE"/>
              </w:rPr>
              <w:t>Spoljnje pakovanje je kartonska kutija koja sadrži jedan blister.</w:t>
            </w:r>
          </w:p>
          <w:p w:rsidR="00780A6A" w:rsidRPr="00BC4C82" w:rsidRDefault="00780A6A" w:rsidP="009D2492">
            <w:pPr>
              <w:pStyle w:val="Header"/>
              <w:tabs>
                <w:tab w:val="left" w:pos="284"/>
              </w:tabs>
              <w:jc w:val="both"/>
              <w:rPr>
                <w:sz w:val="22"/>
                <w:szCs w:val="22"/>
              </w:rPr>
            </w:pPr>
          </w:p>
        </w:tc>
      </w:tr>
      <w:tr w:rsidR="00BF6D4F" w:rsidRPr="00BC4C82" w:rsidTr="009D2492">
        <w:tc>
          <w:tcPr>
            <w:tcW w:w="9639" w:type="dxa"/>
            <w:gridSpan w:val="4"/>
            <w:vAlign w:val="center"/>
          </w:tcPr>
          <w:p w:rsidR="00BF6D4F" w:rsidRPr="00BC4C82" w:rsidRDefault="00BF6D4F" w:rsidP="009D2492">
            <w:pPr>
              <w:pStyle w:val="Header"/>
              <w:tabs>
                <w:tab w:val="left" w:pos="284"/>
              </w:tabs>
              <w:rPr>
                <w:b/>
                <w:bCs/>
                <w:sz w:val="22"/>
                <w:szCs w:val="22"/>
              </w:rPr>
            </w:pPr>
            <w:r w:rsidRPr="00BC4C82">
              <w:rPr>
                <w:b/>
                <w:bCs/>
                <w:sz w:val="22"/>
                <w:szCs w:val="22"/>
              </w:rPr>
              <w:t xml:space="preserve">6.6. Posebne mjere opreza pri odlaganju materijala koji treba odbaciti nakon primjene lijeka </w:t>
            </w:r>
          </w:p>
        </w:tc>
      </w:tr>
      <w:tr w:rsidR="00BF6D4F" w:rsidRPr="00BC4C82" w:rsidTr="009D2492">
        <w:trPr>
          <w:trHeight w:val="608"/>
        </w:trPr>
        <w:tc>
          <w:tcPr>
            <w:tcW w:w="9639" w:type="dxa"/>
            <w:gridSpan w:val="4"/>
            <w:vAlign w:val="center"/>
          </w:tcPr>
          <w:p w:rsidR="00780A6A" w:rsidRDefault="00780A6A" w:rsidP="00BB3274">
            <w:pPr>
              <w:pStyle w:val="Header"/>
              <w:tabs>
                <w:tab w:val="left" w:pos="284"/>
              </w:tabs>
              <w:rPr>
                <w:sz w:val="22"/>
                <w:szCs w:val="22"/>
              </w:rPr>
            </w:pPr>
          </w:p>
          <w:p w:rsidR="00BF6D4F" w:rsidRPr="00BC4C82" w:rsidRDefault="00BF6D4F" w:rsidP="00BB3274">
            <w:pPr>
              <w:pStyle w:val="Header"/>
              <w:tabs>
                <w:tab w:val="left" w:pos="284"/>
              </w:tabs>
              <w:rPr>
                <w:sz w:val="22"/>
                <w:szCs w:val="22"/>
              </w:rPr>
            </w:pPr>
            <w:r w:rsidRPr="00BC4C82">
              <w:rPr>
                <w:sz w:val="22"/>
                <w:szCs w:val="22"/>
              </w:rPr>
              <w:t>Neupotrijebljeni lijek se uništava u skladu sa važećim propisima.</w:t>
            </w:r>
          </w:p>
          <w:p w:rsidR="00BF6D4F" w:rsidRPr="00BC4C82" w:rsidRDefault="00BF6D4F" w:rsidP="00BB3274">
            <w:pPr>
              <w:pStyle w:val="Header"/>
              <w:tabs>
                <w:tab w:val="left" w:pos="284"/>
              </w:tabs>
              <w:rPr>
                <w:sz w:val="22"/>
                <w:szCs w:val="22"/>
              </w:rPr>
            </w:pPr>
          </w:p>
          <w:p w:rsidR="00780A6A" w:rsidRDefault="00BF6D4F" w:rsidP="00BB3274">
            <w:pPr>
              <w:pStyle w:val="Header"/>
              <w:tabs>
                <w:tab w:val="left" w:pos="284"/>
              </w:tabs>
              <w:rPr>
                <w:b/>
                <w:sz w:val="22"/>
                <w:szCs w:val="22"/>
              </w:rPr>
            </w:pPr>
            <w:r w:rsidRPr="00BC4C82">
              <w:rPr>
                <w:b/>
                <w:sz w:val="22"/>
                <w:szCs w:val="22"/>
              </w:rPr>
              <w:t xml:space="preserve">6.7 Režim izdavanja lijeka </w:t>
            </w:r>
          </w:p>
          <w:p w:rsidR="00780A6A" w:rsidRDefault="00780A6A" w:rsidP="00BB3274">
            <w:pPr>
              <w:pStyle w:val="Header"/>
              <w:tabs>
                <w:tab w:val="left" w:pos="284"/>
              </w:tabs>
              <w:rPr>
                <w:b/>
                <w:sz w:val="22"/>
                <w:szCs w:val="22"/>
              </w:rPr>
            </w:pPr>
          </w:p>
          <w:p w:rsidR="00BF6D4F" w:rsidRPr="00BC4C82" w:rsidRDefault="00BF6D4F" w:rsidP="00BB3274">
            <w:pPr>
              <w:pStyle w:val="Header"/>
              <w:tabs>
                <w:tab w:val="left" w:pos="284"/>
              </w:tabs>
              <w:rPr>
                <w:sz w:val="22"/>
                <w:szCs w:val="22"/>
              </w:rPr>
            </w:pPr>
            <w:r w:rsidRPr="00BC4C82">
              <w:rPr>
                <w:sz w:val="22"/>
                <w:szCs w:val="22"/>
              </w:rPr>
              <w:t>Obnovljiv (višekratni) recept.</w:t>
            </w:r>
          </w:p>
        </w:tc>
      </w:tr>
      <w:tr w:rsidR="00BF6D4F" w:rsidRPr="00BC4C82" w:rsidTr="009D2492">
        <w:trPr>
          <w:trHeight w:val="215"/>
        </w:trPr>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lastRenderedPageBreak/>
              <w:t xml:space="preserve">7. NOSILAC DOZVOLE </w:t>
            </w:r>
          </w:p>
        </w:tc>
      </w:tr>
      <w:tr w:rsidR="00BF6D4F" w:rsidRPr="00BC4C82" w:rsidTr="009D2492">
        <w:trPr>
          <w:trHeight w:val="388"/>
        </w:trPr>
        <w:tc>
          <w:tcPr>
            <w:tcW w:w="9639" w:type="dxa"/>
            <w:gridSpan w:val="4"/>
            <w:vAlign w:val="center"/>
          </w:tcPr>
          <w:p w:rsidR="00780A6A" w:rsidRDefault="00780A6A" w:rsidP="00BB3274">
            <w:pPr>
              <w:pStyle w:val="Header"/>
              <w:tabs>
                <w:tab w:val="left" w:pos="284"/>
              </w:tabs>
              <w:rPr>
                <w:sz w:val="22"/>
                <w:szCs w:val="22"/>
              </w:rPr>
            </w:pPr>
          </w:p>
          <w:p w:rsidR="00BF6D4F" w:rsidRPr="00BC4C82" w:rsidRDefault="00BF6D4F" w:rsidP="00BB3274">
            <w:pPr>
              <w:pStyle w:val="Header"/>
              <w:tabs>
                <w:tab w:val="left" w:pos="284"/>
              </w:tabs>
              <w:rPr>
                <w:sz w:val="22"/>
                <w:szCs w:val="22"/>
              </w:rPr>
            </w:pPr>
            <w:r w:rsidRPr="00BC4C82">
              <w:rPr>
                <w:sz w:val="22"/>
                <w:szCs w:val="22"/>
              </w:rPr>
              <w:t>Sanofi Aventis d.s.d</w:t>
            </w:r>
          </w:p>
          <w:p w:rsidR="00BF6D4F" w:rsidRDefault="00BF6D4F" w:rsidP="00BB3274">
            <w:pPr>
              <w:pStyle w:val="Header"/>
              <w:tabs>
                <w:tab w:val="left" w:pos="284"/>
              </w:tabs>
              <w:rPr>
                <w:sz w:val="22"/>
                <w:szCs w:val="22"/>
              </w:rPr>
            </w:pPr>
            <w:r w:rsidRPr="00BC4C82">
              <w:rPr>
                <w:sz w:val="22"/>
                <w:szCs w:val="22"/>
              </w:rPr>
              <w:t>Bulevar Svetog Petra Cetinjskog 114, 81 000 Podgorica, Crna Gora</w:t>
            </w:r>
          </w:p>
          <w:p w:rsidR="00780A6A" w:rsidRDefault="00780A6A" w:rsidP="00BB3274">
            <w:pPr>
              <w:pStyle w:val="Header"/>
              <w:tabs>
                <w:tab w:val="left" w:pos="284"/>
              </w:tabs>
              <w:rPr>
                <w:sz w:val="22"/>
                <w:szCs w:val="22"/>
              </w:rPr>
            </w:pPr>
          </w:p>
          <w:p w:rsidR="00780A6A" w:rsidRPr="00BC4C82" w:rsidRDefault="00780A6A" w:rsidP="00BB3274">
            <w:pPr>
              <w:pStyle w:val="Header"/>
              <w:tabs>
                <w:tab w:val="left" w:pos="284"/>
              </w:tabs>
              <w:rPr>
                <w:sz w:val="22"/>
                <w:szCs w:val="22"/>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8. BROJ PRVE DOZVOLE I OBNOVE DOZVOLE</w:t>
            </w:r>
          </w:p>
        </w:tc>
      </w:tr>
      <w:tr w:rsidR="00BF6D4F" w:rsidRPr="00BC4C82" w:rsidTr="009D2492">
        <w:trPr>
          <w:trHeight w:val="140"/>
        </w:trPr>
        <w:tc>
          <w:tcPr>
            <w:tcW w:w="9639" w:type="dxa"/>
            <w:gridSpan w:val="4"/>
            <w:vAlign w:val="center"/>
          </w:tcPr>
          <w:p w:rsidR="00780A6A" w:rsidRDefault="00780A6A" w:rsidP="00BB3274">
            <w:pPr>
              <w:pStyle w:val="Header"/>
              <w:tabs>
                <w:tab w:val="left" w:pos="284"/>
              </w:tabs>
              <w:rPr>
                <w:sz w:val="22"/>
                <w:szCs w:val="22"/>
              </w:rPr>
            </w:pPr>
          </w:p>
          <w:p w:rsidR="00BF6D4F" w:rsidRDefault="008E616D" w:rsidP="00BB3274">
            <w:pPr>
              <w:pStyle w:val="Header"/>
              <w:tabs>
                <w:tab w:val="left" w:pos="284"/>
              </w:tabs>
              <w:rPr>
                <w:sz w:val="22"/>
                <w:szCs w:val="22"/>
              </w:rPr>
            </w:pPr>
            <w:r w:rsidRPr="008E616D">
              <w:rPr>
                <w:sz w:val="22"/>
                <w:szCs w:val="22"/>
              </w:rPr>
              <w:t xml:space="preserve">LASIX®, </w:t>
            </w:r>
            <w:r w:rsidR="00D87951" w:rsidRPr="008E616D">
              <w:rPr>
                <w:sz w:val="22"/>
                <w:szCs w:val="22"/>
              </w:rPr>
              <w:t>tablet</w:t>
            </w:r>
            <w:r w:rsidR="00D87951">
              <w:rPr>
                <w:sz w:val="22"/>
                <w:szCs w:val="22"/>
              </w:rPr>
              <w:t>a</w:t>
            </w:r>
            <w:r w:rsidRPr="008E616D">
              <w:rPr>
                <w:sz w:val="22"/>
                <w:szCs w:val="22"/>
              </w:rPr>
              <w:t>, 40 mg</w:t>
            </w:r>
            <w:r>
              <w:rPr>
                <w:sz w:val="22"/>
                <w:szCs w:val="22"/>
              </w:rPr>
              <w:t xml:space="preserve">, 12 tableta: </w:t>
            </w:r>
            <w:r w:rsidRPr="008E616D">
              <w:rPr>
                <w:sz w:val="22"/>
                <w:szCs w:val="22"/>
              </w:rPr>
              <w:t>2030/16/262 - 1917</w:t>
            </w:r>
          </w:p>
          <w:p w:rsidR="00780A6A" w:rsidRDefault="00780A6A" w:rsidP="00BB3274">
            <w:pPr>
              <w:pStyle w:val="Header"/>
              <w:tabs>
                <w:tab w:val="left" w:pos="284"/>
              </w:tabs>
              <w:rPr>
                <w:sz w:val="22"/>
                <w:szCs w:val="22"/>
              </w:rPr>
            </w:pPr>
          </w:p>
          <w:p w:rsidR="00780A6A" w:rsidRPr="00BC4C82" w:rsidRDefault="00780A6A" w:rsidP="00BB3274">
            <w:pPr>
              <w:pStyle w:val="Header"/>
              <w:tabs>
                <w:tab w:val="left" w:pos="284"/>
              </w:tabs>
              <w:rPr>
                <w:sz w:val="22"/>
                <w:szCs w:val="22"/>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9. DATUM PRVE DOZVOLE I DATUM OBNOVE DOZVOLE</w:t>
            </w:r>
          </w:p>
        </w:tc>
      </w:tr>
      <w:tr w:rsidR="00BF6D4F" w:rsidRPr="00BC4C82" w:rsidTr="009D2492">
        <w:trPr>
          <w:trHeight w:val="66"/>
        </w:trPr>
        <w:tc>
          <w:tcPr>
            <w:tcW w:w="9639" w:type="dxa"/>
            <w:gridSpan w:val="4"/>
            <w:vAlign w:val="center"/>
          </w:tcPr>
          <w:p w:rsidR="00780A6A" w:rsidRDefault="00780A6A" w:rsidP="00BB3274">
            <w:pPr>
              <w:pStyle w:val="Header"/>
              <w:tabs>
                <w:tab w:val="left" w:pos="284"/>
              </w:tabs>
              <w:rPr>
                <w:sz w:val="22"/>
                <w:szCs w:val="22"/>
              </w:rPr>
            </w:pPr>
          </w:p>
          <w:p w:rsidR="00BF6D4F" w:rsidRDefault="008E616D" w:rsidP="00BB3274">
            <w:pPr>
              <w:pStyle w:val="Header"/>
              <w:tabs>
                <w:tab w:val="left" w:pos="284"/>
              </w:tabs>
              <w:rPr>
                <w:sz w:val="22"/>
                <w:szCs w:val="22"/>
              </w:rPr>
            </w:pPr>
            <w:r w:rsidRPr="008E616D">
              <w:rPr>
                <w:sz w:val="22"/>
                <w:szCs w:val="22"/>
              </w:rPr>
              <w:t>LASIX®, tablet</w:t>
            </w:r>
            <w:r w:rsidR="00D87951">
              <w:rPr>
                <w:sz w:val="22"/>
                <w:szCs w:val="22"/>
              </w:rPr>
              <w:t>a</w:t>
            </w:r>
            <w:r w:rsidRPr="008E616D">
              <w:rPr>
                <w:sz w:val="22"/>
                <w:szCs w:val="22"/>
              </w:rPr>
              <w:t>, 40 mg</w:t>
            </w:r>
            <w:r>
              <w:rPr>
                <w:sz w:val="22"/>
                <w:szCs w:val="22"/>
              </w:rPr>
              <w:t>, 12 tableta: 16.11.2016. godine</w:t>
            </w:r>
          </w:p>
          <w:p w:rsidR="00780A6A" w:rsidRDefault="00780A6A" w:rsidP="00BB3274">
            <w:pPr>
              <w:pStyle w:val="Header"/>
              <w:tabs>
                <w:tab w:val="left" w:pos="284"/>
              </w:tabs>
              <w:rPr>
                <w:sz w:val="22"/>
                <w:szCs w:val="22"/>
              </w:rPr>
            </w:pPr>
          </w:p>
          <w:p w:rsidR="00780A6A" w:rsidRPr="00BC4C82" w:rsidRDefault="00780A6A" w:rsidP="00BB3274">
            <w:pPr>
              <w:pStyle w:val="Header"/>
              <w:tabs>
                <w:tab w:val="left" w:pos="284"/>
              </w:tabs>
              <w:rPr>
                <w:sz w:val="22"/>
                <w:szCs w:val="22"/>
              </w:rPr>
            </w:pPr>
          </w:p>
        </w:tc>
      </w:tr>
      <w:tr w:rsidR="00BF6D4F" w:rsidRPr="00BC4C82" w:rsidTr="009D2492">
        <w:tc>
          <w:tcPr>
            <w:tcW w:w="9639" w:type="dxa"/>
            <w:gridSpan w:val="4"/>
            <w:shd w:val="clear" w:color="auto" w:fill="E0E0E0"/>
            <w:vAlign w:val="center"/>
          </w:tcPr>
          <w:p w:rsidR="00BF6D4F" w:rsidRPr="00BC4C82" w:rsidRDefault="00BF6D4F" w:rsidP="00BB3274">
            <w:pPr>
              <w:pStyle w:val="Header"/>
              <w:tabs>
                <w:tab w:val="left" w:pos="284"/>
              </w:tabs>
              <w:rPr>
                <w:b/>
                <w:bCs/>
                <w:sz w:val="22"/>
                <w:szCs w:val="22"/>
              </w:rPr>
            </w:pPr>
            <w:r w:rsidRPr="00BC4C82">
              <w:rPr>
                <w:b/>
                <w:bCs/>
                <w:sz w:val="22"/>
                <w:szCs w:val="22"/>
              </w:rPr>
              <w:t>10. DATUM REVIZIJE TEKSTA</w:t>
            </w:r>
          </w:p>
        </w:tc>
      </w:tr>
      <w:tr w:rsidR="00BF6D4F" w:rsidRPr="00BC4C82" w:rsidTr="009D2492">
        <w:trPr>
          <w:trHeight w:val="161"/>
        </w:trPr>
        <w:tc>
          <w:tcPr>
            <w:tcW w:w="9639" w:type="dxa"/>
            <w:gridSpan w:val="4"/>
            <w:vAlign w:val="center"/>
          </w:tcPr>
          <w:p w:rsidR="00780A6A" w:rsidRDefault="00780A6A" w:rsidP="00BB3274">
            <w:pPr>
              <w:pStyle w:val="Header"/>
              <w:tabs>
                <w:tab w:val="left" w:pos="284"/>
              </w:tabs>
              <w:rPr>
                <w:sz w:val="22"/>
                <w:szCs w:val="22"/>
              </w:rPr>
            </w:pPr>
          </w:p>
          <w:p w:rsidR="00BF6D4F" w:rsidRPr="00BC4C82" w:rsidRDefault="00BF6D4F" w:rsidP="00BB3274">
            <w:pPr>
              <w:pStyle w:val="Header"/>
              <w:tabs>
                <w:tab w:val="left" w:pos="284"/>
              </w:tabs>
              <w:rPr>
                <w:sz w:val="22"/>
                <w:szCs w:val="22"/>
              </w:rPr>
            </w:pPr>
            <w:r w:rsidRPr="00BC4C82">
              <w:rPr>
                <w:sz w:val="22"/>
                <w:szCs w:val="22"/>
              </w:rPr>
              <w:t>Novembar, 2016.</w:t>
            </w:r>
          </w:p>
        </w:tc>
      </w:tr>
    </w:tbl>
    <w:p w:rsidR="00BF6D4F" w:rsidRPr="00BC4C82" w:rsidRDefault="00BF6D4F" w:rsidP="00BF6D4F">
      <w:pPr>
        <w:rPr>
          <w:sz w:val="22"/>
          <w:szCs w:val="22"/>
        </w:rPr>
      </w:pPr>
    </w:p>
    <w:p w:rsidR="006768CB" w:rsidRPr="00BC4C82" w:rsidRDefault="006768CB" w:rsidP="008A47DC">
      <w:pPr>
        <w:rPr>
          <w:sz w:val="22"/>
          <w:szCs w:val="22"/>
        </w:rPr>
      </w:pPr>
    </w:p>
    <w:sectPr w:rsidR="006768CB" w:rsidRPr="00BC4C82"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AD" w:rsidRDefault="00CE7BAD">
      <w:r>
        <w:separator/>
      </w:r>
    </w:p>
  </w:endnote>
  <w:endnote w:type="continuationSeparator" w:id="0">
    <w:p w:rsidR="00CE7BAD" w:rsidRDefault="00CE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5E0DF4">
      <w:rPr>
        <w:rStyle w:val="PageNumber"/>
        <w:noProof/>
      </w:rPr>
      <w:t>10</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5E0DF4">
      <w:rPr>
        <w:rStyle w:val="PageNumber"/>
        <w:noProof/>
      </w:rPr>
      <w:t>10</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AD" w:rsidRDefault="00CE7BAD">
      <w:r>
        <w:separator/>
      </w:r>
    </w:p>
  </w:footnote>
  <w:footnote w:type="continuationSeparator" w:id="0">
    <w:p w:rsidR="00CE7BAD" w:rsidRDefault="00CE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870702">
    <w:pPr>
      <w:pStyle w:val="Header"/>
      <w:pBdr>
        <w:top w:val="thinThickSmallGap" w:sz="24" w:space="2" w:color="auto"/>
      </w:pBdr>
      <w:tabs>
        <w:tab w:val="clear" w:pos="4320"/>
        <w:tab w:val="clear" w:pos="8640"/>
        <w:tab w:val="left" w:pos="2775"/>
      </w:tabs>
      <w:rPr>
        <w:sz w:val="16"/>
        <w:szCs w:val="16"/>
      </w:rPr>
    </w:pPr>
    <w:r>
      <w:rPr>
        <w:noProof/>
        <w:sz w:val="16"/>
        <w:szCs w:val="16"/>
        <w:lang w:val="en-US"/>
      </w:rPr>
      <w:drawing>
        <wp:inline distT="0" distB="0" distL="0" distR="0" wp14:anchorId="3ADFD5DF" wp14:editId="381CB271">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00870702">
      <w:rPr>
        <w:sz w:val="16"/>
        <w:szCs w:val="16"/>
      </w:rPr>
      <w:tab/>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3B14C31"/>
    <w:multiLevelType w:val="hybridMultilevel"/>
    <w:tmpl w:val="5E40297C"/>
    <w:lvl w:ilvl="0" w:tplc="B0C8962C">
      <w:numFmt w:val="bullet"/>
      <w:lvlText w:val="-"/>
      <w:lvlJc w:val="left"/>
      <w:pPr>
        <w:ind w:left="720" w:hanging="360"/>
      </w:pPr>
      <w:rPr>
        <w:rFonts w:ascii="Times New Roman" w:eastAsia="TimesNew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03E172DB"/>
    <w:multiLevelType w:val="hybridMultilevel"/>
    <w:tmpl w:val="35C2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590B9A"/>
    <w:multiLevelType w:val="hybridMultilevel"/>
    <w:tmpl w:val="B2D88884"/>
    <w:lvl w:ilvl="0" w:tplc="04090001">
      <w:start w:val="1"/>
      <w:numFmt w:val="bullet"/>
      <w:lvlText w:val=""/>
      <w:lvlJc w:val="left"/>
      <w:pPr>
        <w:ind w:left="720" w:hanging="360"/>
      </w:pPr>
      <w:rPr>
        <w:rFonts w:ascii="Symbol" w:hAnsi="Symbol" w:hint="default"/>
      </w:rPr>
    </w:lvl>
    <w:lvl w:ilvl="1" w:tplc="B0C8962C">
      <w:numFmt w:val="bullet"/>
      <w:lvlText w:val="-"/>
      <w:lvlJc w:val="left"/>
      <w:pPr>
        <w:ind w:left="1440" w:hanging="360"/>
      </w:pPr>
      <w:rPr>
        <w:rFonts w:ascii="Times New Roman" w:eastAsia="TimesNew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4"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5" w15:restartNumberingAfterBreak="0">
    <w:nsid w:val="1D9E5E7B"/>
    <w:multiLevelType w:val="hybridMultilevel"/>
    <w:tmpl w:val="DB26E31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655BF"/>
    <w:multiLevelType w:val="hybridMultilevel"/>
    <w:tmpl w:val="1D7A587C"/>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25725"/>
    <w:multiLevelType w:val="hybridMultilevel"/>
    <w:tmpl w:val="F370A4D8"/>
    <w:lvl w:ilvl="0" w:tplc="0409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D16DC"/>
    <w:multiLevelType w:val="hybridMultilevel"/>
    <w:tmpl w:val="60C26AD6"/>
    <w:lvl w:ilvl="0" w:tplc="0409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1"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8"/>
  </w:num>
  <w:num w:numId="4">
    <w:abstractNumId w:val="21"/>
  </w:num>
  <w:num w:numId="5">
    <w:abstractNumId w:val="36"/>
  </w:num>
  <w:num w:numId="6">
    <w:abstractNumId w:val="39"/>
  </w:num>
  <w:num w:numId="7">
    <w:abstractNumId w:val="33"/>
  </w:num>
  <w:num w:numId="8">
    <w:abstractNumId w:val="18"/>
  </w:num>
  <w:num w:numId="9">
    <w:abstractNumId w:val="44"/>
  </w:num>
  <w:num w:numId="10">
    <w:abstractNumId w:val="17"/>
  </w:num>
  <w:num w:numId="11">
    <w:abstractNumId w:val="11"/>
  </w:num>
  <w:num w:numId="12">
    <w:abstractNumId w:val="19"/>
  </w:num>
  <w:num w:numId="13">
    <w:abstractNumId w:val="25"/>
  </w:num>
  <w:num w:numId="14">
    <w:abstractNumId w:val="43"/>
  </w:num>
  <w:num w:numId="15">
    <w:abstractNumId w:val="37"/>
  </w:num>
  <w:num w:numId="16">
    <w:abstractNumId w:val="46"/>
  </w:num>
  <w:num w:numId="17">
    <w:abstractNumId w:val="38"/>
  </w:num>
  <w:num w:numId="18">
    <w:abstractNumId w:val="45"/>
  </w:num>
  <w:num w:numId="19">
    <w:abstractNumId w:val="35"/>
  </w:num>
  <w:num w:numId="20">
    <w:abstractNumId w:val="34"/>
  </w:num>
  <w:num w:numId="21">
    <w:abstractNumId w:val="30"/>
  </w:num>
  <w:num w:numId="22">
    <w:abstractNumId w:val="32"/>
  </w:num>
  <w:num w:numId="23">
    <w:abstractNumId w:val="29"/>
  </w:num>
  <w:num w:numId="24">
    <w:abstractNumId w:val="41"/>
  </w:num>
  <w:num w:numId="25">
    <w:abstractNumId w:val="40"/>
  </w:num>
  <w:num w:numId="26">
    <w:abstractNumId w:val="14"/>
  </w:num>
  <w:num w:numId="27">
    <w:abstractNumId w:val="13"/>
  </w:num>
  <w:num w:numId="28">
    <w:abstractNumId w:val="9"/>
    <w:lvlOverride w:ilvl="0">
      <w:startOverride w:val="1"/>
    </w:lvlOverride>
  </w:num>
  <w:num w:numId="29">
    <w:abstractNumId w:val="31"/>
  </w:num>
  <w:num w:numId="30">
    <w:abstractNumId w:val="23"/>
  </w:num>
  <w:num w:numId="31">
    <w:abstractNumId w:val="42"/>
  </w:num>
  <w:num w:numId="32">
    <w:abstractNumId w:val="22"/>
  </w:num>
  <w:num w:numId="33">
    <w:abstractNumId w:val="47"/>
  </w:num>
  <w:num w:numId="34">
    <w:abstractNumId w:val="20"/>
  </w:num>
  <w:num w:numId="35">
    <w:abstractNumId w:val="27"/>
  </w:num>
  <w:num w:numId="36">
    <w:abstractNumId w:val="8"/>
  </w:num>
  <w:num w:numId="37">
    <w:abstractNumId w:val="15"/>
  </w:num>
  <w:num w:numId="38">
    <w:abstractNumId w:val="16"/>
  </w:num>
  <w:num w:numId="39">
    <w:abstractNumId w:val="7"/>
  </w:num>
  <w:num w:numId="40">
    <w:abstractNumId w:val="24"/>
  </w:num>
  <w:num w:numId="41">
    <w:abstractNumId w:val="26"/>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2EEA"/>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0D8D"/>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481A"/>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0A4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467C"/>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E7E3D"/>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AD0"/>
    <w:rsid w:val="004E3B3E"/>
    <w:rsid w:val="004E4900"/>
    <w:rsid w:val="004E7B0F"/>
    <w:rsid w:val="004F0A67"/>
    <w:rsid w:val="004F2DB9"/>
    <w:rsid w:val="004F35C1"/>
    <w:rsid w:val="004F47A6"/>
    <w:rsid w:val="004F7854"/>
    <w:rsid w:val="00510FAA"/>
    <w:rsid w:val="005114E6"/>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1F69"/>
    <w:rsid w:val="005C22BB"/>
    <w:rsid w:val="005C5709"/>
    <w:rsid w:val="005C6F39"/>
    <w:rsid w:val="005C704B"/>
    <w:rsid w:val="005D0EEE"/>
    <w:rsid w:val="005E0DF4"/>
    <w:rsid w:val="005E4CEF"/>
    <w:rsid w:val="005E5E28"/>
    <w:rsid w:val="005E6DD4"/>
    <w:rsid w:val="005F1526"/>
    <w:rsid w:val="005F2208"/>
    <w:rsid w:val="005F5E7A"/>
    <w:rsid w:val="006010CA"/>
    <w:rsid w:val="00605C78"/>
    <w:rsid w:val="00606874"/>
    <w:rsid w:val="0060768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1AA5"/>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0A6A"/>
    <w:rsid w:val="0078489F"/>
    <w:rsid w:val="00784958"/>
    <w:rsid w:val="00786E51"/>
    <w:rsid w:val="0079036D"/>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849"/>
    <w:rsid w:val="00825D08"/>
    <w:rsid w:val="00830353"/>
    <w:rsid w:val="00833525"/>
    <w:rsid w:val="00835CF6"/>
    <w:rsid w:val="0084036D"/>
    <w:rsid w:val="00840A50"/>
    <w:rsid w:val="00840DBC"/>
    <w:rsid w:val="00841A08"/>
    <w:rsid w:val="00842F83"/>
    <w:rsid w:val="008437AF"/>
    <w:rsid w:val="008475F6"/>
    <w:rsid w:val="00850977"/>
    <w:rsid w:val="00853ECE"/>
    <w:rsid w:val="00855687"/>
    <w:rsid w:val="00856F31"/>
    <w:rsid w:val="008613FD"/>
    <w:rsid w:val="0086367B"/>
    <w:rsid w:val="008642BD"/>
    <w:rsid w:val="00866DE2"/>
    <w:rsid w:val="0086712D"/>
    <w:rsid w:val="00870297"/>
    <w:rsid w:val="00870702"/>
    <w:rsid w:val="0087395E"/>
    <w:rsid w:val="0087404B"/>
    <w:rsid w:val="008813DC"/>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56EA"/>
    <w:rsid w:val="008B6223"/>
    <w:rsid w:val="008C01CD"/>
    <w:rsid w:val="008C17A3"/>
    <w:rsid w:val="008C54B2"/>
    <w:rsid w:val="008C6130"/>
    <w:rsid w:val="008D2F97"/>
    <w:rsid w:val="008D7ED7"/>
    <w:rsid w:val="008E2B0B"/>
    <w:rsid w:val="008E3485"/>
    <w:rsid w:val="008E616D"/>
    <w:rsid w:val="008E7128"/>
    <w:rsid w:val="008F4CFF"/>
    <w:rsid w:val="008F55C9"/>
    <w:rsid w:val="00900028"/>
    <w:rsid w:val="00901880"/>
    <w:rsid w:val="00902A3E"/>
    <w:rsid w:val="00903819"/>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2492"/>
    <w:rsid w:val="009D535F"/>
    <w:rsid w:val="009D78D5"/>
    <w:rsid w:val="009E257E"/>
    <w:rsid w:val="009E3730"/>
    <w:rsid w:val="009E4453"/>
    <w:rsid w:val="009F2557"/>
    <w:rsid w:val="009F276F"/>
    <w:rsid w:val="009F7CBF"/>
    <w:rsid w:val="00A03AC8"/>
    <w:rsid w:val="00A05297"/>
    <w:rsid w:val="00A05D7F"/>
    <w:rsid w:val="00A05DB0"/>
    <w:rsid w:val="00A05DDC"/>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362D1"/>
    <w:rsid w:val="00A368A6"/>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77C4F"/>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C82"/>
    <w:rsid w:val="00BC4DE2"/>
    <w:rsid w:val="00BC7C22"/>
    <w:rsid w:val="00BD58C5"/>
    <w:rsid w:val="00BD76CB"/>
    <w:rsid w:val="00BD7805"/>
    <w:rsid w:val="00BE1CFA"/>
    <w:rsid w:val="00BE3FAC"/>
    <w:rsid w:val="00BF1A10"/>
    <w:rsid w:val="00BF353B"/>
    <w:rsid w:val="00BF6CC8"/>
    <w:rsid w:val="00BF6D4F"/>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281"/>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E7BAD"/>
    <w:rsid w:val="00CF11B7"/>
    <w:rsid w:val="00CF6FD4"/>
    <w:rsid w:val="00D00E59"/>
    <w:rsid w:val="00D03C24"/>
    <w:rsid w:val="00D10F18"/>
    <w:rsid w:val="00D12270"/>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213"/>
    <w:rsid w:val="00D7637D"/>
    <w:rsid w:val="00D7686D"/>
    <w:rsid w:val="00D774C1"/>
    <w:rsid w:val="00D80DCB"/>
    <w:rsid w:val="00D82C5E"/>
    <w:rsid w:val="00D87951"/>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294C"/>
    <w:rsid w:val="00DE44D4"/>
    <w:rsid w:val="00DE46BE"/>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3636"/>
    <w:rsid w:val="00E67261"/>
    <w:rsid w:val="00E677D1"/>
    <w:rsid w:val="00E70869"/>
    <w:rsid w:val="00E746AC"/>
    <w:rsid w:val="00E753AE"/>
    <w:rsid w:val="00E757F2"/>
    <w:rsid w:val="00E77D2B"/>
    <w:rsid w:val="00E82627"/>
    <w:rsid w:val="00E82893"/>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5930"/>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37FEDF-2969-4030-8E23-DF1BDB2E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character" w:customStyle="1" w:styleId="longtext">
    <w:name w:val="long_text"/>
    <w:rsid w:val="00BF6D4F"/>
  </w:style>
  <w:style w:type="character" w:customStyle="1" w:styleId="hps">
    <w:name w:val="hps"/>
    <w:rsid w:val="00BF6D4F"/>
  </w:style>
  <w:style w:type="character" w:customStyle="1" w:styleId="Heading10">
    <w:name w:val="Heading #1_"/>
    <w:link w:val="Heading11"/>
    <w:uiPriority w:val="99"/>
    <w:locked/>
    <w:rsid w:val="00BF6D4F"/>
    <w:rPr>
      <w:rFonts w:ascii="Arial" w:hAnsi="Arial" w:cs="Arial"/>
      <w:b/>
      <w:bCs/>
      <w:sz w:val="19"/>
      <w:szCs w:val="19"/>
      <w:shd w:val="clear" w:color="auto" w:fill="FFFFFF"/>
    </w:rPr>
  </w:style>
  <w:style w:type="character" w:customStyle="1" w:styleId="Bodytext20">
    <w:name w:val="Body text (2)_"/>
    <w:link w:val="Bodytext21"/>
    <w:uiPriority w:val="99"/>
    <w:locked/>
    <w:rsid w:val="00BF6D4F"/>
    <w:rPr>
      <w:rFonts w:ascii="Arial" w:hAnsi="Arial" w:cs="Arial"/>
      <w:i/>
      <w:iCs/>
      <w:sz w:val="19"/>
      <w:szCs w:val="19"/>
      <w:shd w:val="clear" w:color="auto" w:fill="FFFFFF"/>
    </w:rPr>
  </w:style>
  <w:style w:type="paragraph" w:customStyle="1" w:styleId="Heading11">
    <w:name w:val="Heading #1"/>
    <w:basedOn w:val="Normal"/>
    <w:link w:val="Heading10"/>
    <w:uiPriority w:val="99"/>
    <w:rsid w:val="00BF6D4F"/>
    <w:pPr>
      <w:shd w:val="clear" w:color="auto" w:fill="FFFFFF"/>
      <w:spacing w:after="540" w:line="240" w:lineRule="atLeast"/>
      <w:jc w:val="both"/>
      <w:outlineLvl w:val="0"/>
    </w:pPr>
    <w:rPr>
      <w:rFonts w:ascii="Arial" w:hAnsi="Arial" w:cs="Arial"/>
      <w:b/>
      <w:bCs/>
      <w:sz w:val="19"/>
      <w:szCs w:val="19"/>
      <w:lang w:eastAsia="sr-Latn-ME"/>
    </w:rPr>
  </w:style>
  <w:style w:type="paragraph" w:customStyle="1" w:styleId="Bodytext21">
    <w:name w:val="Body text (2)"/>
    <w:basedOn w:val="Normal"/>
    <w:link w:val="Bodytext20"/>
    <w:uiPriority w:val="99"/>
    <w:rsid w:val="00BF6D4F"/>
    <w:pPr>
      <w:shd w:val="clear" w:color="auto" w:fill="FFFFFF"/>
      <w:spacing w:line="360" w:lineRule="exact"/>
      <w:jc w:val="both"/>
    </w:pPr>
    <w:rPr>
      <w:rFonts w:ascii="Arial" w:hAnsi="Arial" w:cs="Arial"/>
      <w:i/>
      <w:iCs/>
      <w:sz w:val="19"/>
      <w:szCs w:val="19"/>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Maja Štajnbah</cp:lastModifiedBy>
  <cp:revision>5</cp:revision>
  <cp:lastPrinted>2012-05-18T12:57:00Z</cp:lastPrinted>
  <dcterms:created xsi:type="dcterms:W3CDTF">2016-11-23T12:15:00Z</dcterms:created>
  <dcterms:modified xsi:type="dcterms:W3CDTF">2016-11-23T12:56:00Z</dcterms:modified>
</cp:coreProperties>
</file>