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B9" w:rsidRPr="00594ED8" w:rsidRDefault="00E246B9" w:rsidP="001A5518">
      <w:pPr>
        <w:tabs>
          <w:tab w:val="left" w:pos="360"/>
        </w:tabs>
        <w:rPr>
          <w:b/>
          <w:bCs/>
          <w:i/>
          <w:iCs/>
          <w:sz w:val="22"/>
          <w:szCs w:val="22"/>
          <w:u w:val="single"/>
          <w:lang w:val="sr-Latn-ME"/>
        </w:rPr>
      </w:pPr>
    </w:p>
    <w:p w:rsidR="00E246B9" w:rsidRPr="00594ED8" w:rsidRDefault="00E246B9" w:rsidP="001A5518">
      <w:pPr>
        <w:rPr>
          <w:b/>
          <w:bCs/>
          <w:i/>
          <w:iCs/>
          <w:sz w:val="22"/>
          <w:szCs w:val="22"/>
          <w:u w:val="single"/>
          <w:lang w:val="sr-Latn-ME"/>
        </w:rPr>
      </w:pPr>
    </w:p>
    <w:p w:rsidR="00E246B9" w:rsidRPr="00594ED8" w:rsidRDefault="00E246B9" w:rsidP="001A5518">
      <w:pPr>
        <w:rPr>
          <w:b/>
          <w:bCs/>
          <w:i/>
          <w:iCs/>
          <w:sz w:val="22"/>
          <w:szCs w:val="22"/>
          <w:u w:val="single"/>
          <w:lang w:val="sr-Latn-ME"/>
        </w:rPr>
      </w:pPr>
    </w:p>
    <w:p w:rsidR="00E246B9" w:rsidRPr="00594ED8" w:rsidRDefault="00E246B9" w:rsidP="001A5518">
      <w:pPr>
        <w:rPr>
          <w:b/>
          <w:bCs/>
          <w:i/>
          <w:iCs/>
          <w:sz w:val="22"/>
          <w:szCs w:val="22"/>
          <w:u w:val="single"/>
          <w:lang w:val="sr-Latn-ME"/>
        </w:rPr>
      </w:pPr>
    </w:p>
    <w:p w:rsidR="00E246B9" w:rsidRPr="00594ED8" w:rsidRDefault="00E246B9" w:rsidP="001A5518">
      <w:pPr>
        <w:rPr>
          <w:b/>
          <w:bCs/>
          <w:i/>
          <w:iCs/>
          <w:sz w:val="22"/>
          <w:szCs w:val="22"/>
          <w:u w:val="single"/>
          <w:lang w:val="sr-Latn-ME"/>
        </w:rPr>
      </w:pPr>
    </w:p>
    <w:p w:rsidR="00E246B9" w:rsidRPr="00594ED8" w:rsidRDefault="00E246B9" w:rsidP="001A5518">
      <w:pPr>
        <w:rPr>
          <w:b/>
          <w:bCs/>
          <w:i/>
          <w:iCs/>
          <w:sz w:val="22"/>
          <w:szCs w:val="22"/>
          <w:u w:val="single"/>
          <w:lang w:val="sr-Latn-ME"/>
        </w:rPr>
      </w:pPr>
    </w:p>
    <w:p w:rsidR="00E246B9" w:rsidRPr="00594ED8" w:rsidRDefault="00E246B9" w:rsidP="001A5518">
      <w:pPr>
        <w:rPr>
          <w:b/>
          <w:bCs/>
          <w:i/>
          <w:iCs/>
          <w:sz w:val="22"/>
          <w:szCs w:val="22"/>
          <w:u w:val="single"/>
          <w:lang w:val="sr-Latn-ME"/>
        </w:rPr>
      </w:pPr>
    </w:p>
    <w:p w:rsidR="00E246B9" w:rsidRPr="00594ED8" w:rsidRDefault="00E246B9" w:rsidP="001A5518">
      <w:pPr>
        <w:rPr>
          <w:b/>
          <w:bCs/>
          <w:i/>
          <w:iCs/>
          <w:sz w:val="22"/>
          <w:szCs w:val="22"/>
          <w:u w:val="single"/>
          <w:lang w:val="sr-Latn-ME"/>
        </w:rPr>
      </w:pPr>
    </w:p>
    <w:p w:rsidR="001A5518" w:rsidRPr="00594ED8" w:rsidRDefault="001A5518" w:rsidP="001A5518">
      <w:pPr>
        <w:rPr>
          <w:b/>
          <w:bCs/>
          <w:i/>
          <w:iCs/>
          <w:sz w:val="22"/>
          <w:szCs w:val="22"/>
          <w:u w:val="single"/>
          <w:lang w:val="sr-Latn-ME"/>
        </w:rPr>
      </w:pPr>
    </w:p>
    <w:p w:rsidR="001A5518" w:rsidRPr="00594ED8" w:rsidRDefault="001A5518" w:rsidP="001A5518">
      <w:pPr>
        <w:rPr>
          <w:b/>
          <w:bCs/>
          <w:i/>
          <w:iCs/>
          <w:sz w:val="22"/>
          <w:szCs w:val="22"/>
          <w:u w:val="single"/>
          <w:lang w:val="sr-Latn-ME"/>
        </w:rPr>
      </w:pPr>
    </w:p>
    <w:p w:rsidR="001A5518" w:rsidRPr="00594ED8" w:rsidRDefault="001A5518" w:rsidP="001A5518">
      <w:pPr>
        <w:rPr>
          <w:b/>
          <w:bCs/>
          <w:i/>
          <w:iCs/>
          <w:sz w:val="22"/>
          <w:szCs w:val="22"/>
          <w:u w:val="single"/>
          <w:lang w:val="sr-Latn-ME"/>
        </w:rPr>
      </w:pPr>
    </w:p>
    <w:tbl>
      <w:tblPr>
        <w:tblW w:w="9360" w:type="dxa"/>
        <w:jc w:val="center"/>
        <w:tblLayout w:type="fixed"/>
        <w:tblLook w:val="0000" w:firstRow="0" w:lastRow="0" w:firstColumn="0" w:lastColumn="0" w:noHBand="0" w:noVBand="0"/>
      </w:tblPr>
      <w:tblGrid>
        <w:gridCol w:w="3402"/>
        <w:gridCol w:w="5958"/>
      </w:tblGrid>
      <w:tr w:rsidR="005A0B2E" w:rsidRPr="00594ED8">
        <w:trPr>
          <w:trHeight w:val="530"/>
          <w:jc w:val="center"/>
        </w:trPr>
        <w:tc>
          <w:tcPr>
            <w:tcW w:w="9360" w:type="dxa"/>
            <w:gridSpan w:val="2"/>
            <w:vAlign w:val="center"/>
          </w:tcPr>
          <w:p w:rsidR="005A0B2E" w:rsidRPr="00594ED8" w:rsidRDefault="005A0B2E" w:rsidP="00FF5F82">
            <w:pPr>
              <w:jc w:val="center"/>
              <w:rPr>
                <w:b/>
                <w:bCs/>
                <w:iCs/>
                <w:sz w:val="22"/>
                <w:szCs w:val="22"/>
                <w:u w:val="single"/>
                <w:lang w:val="sr-Latn-ME"/>
              </w:rPr>
            </w:pPr>
            <w:r w:rsidRPr="00594ED8">
              <w:rPr>
                <w:b/>
                <w:bCs/>
                <w:iCs/>
                <w:sz w:val="22"/>
                <w:szCs w:val="22"/>
                <w:u w:val="single"/>
                <w:lang w:val="sr-Latn-ME"/>
              </w:rPr>
              <w:t>SAŽETAK KARAKTERISTIKA LIJEKA</w:t>
            </w:r>
          </w:p>
        </w:tc>
      </w:tr>
      <w:tr w:rsidR="005A0B2E" w:rsidRPr="00594ED8">
        <w:trPr>
          <w:trHeight w:val="1969"/>
          <w:jc w:val="center"/>
        </w:trPr>
        <w:tc>
          <w:tcPr>
            <w:tcW w:w="9360" w:type="dxa"/>
            <w:gridSpan w:val="2"/>
            <w:vAlign w:val="bottom"/>
          </w:tcPr>
          <w:p w:rsidR="005A0B2E" w:rsidRPr="00594ED8" w:rsidRDefault="005A0B2E" w:rsidP="00FF5F82">
            <w:pPr>
              <w:spacing w:after="40"/>
              <w:jc w:val="center"/>
              <w:rPr>
                <w:b/>
                <w:bCs/>
                <w:sz w:val="22"/>
                <w:szCs w:val="22"/>
                <w:u w:val="single"/>
                <w:lang w:val="sr-Latn-ME"/>
              </w:rPr>
            </w:pPr>
          </w:p>
        </w:tc>
      </w:tr>
      <w:tr w:rsidR="005A0B2E" w:rsidRPr="00594ED8">
        <w:trPr>
          <w:trHeight w:val="1225"/>
          <w:jc w:val="center"/>
        </w:trPr>
        <w:tc>
          <w:tcPr>
            <w:tcW w:w="9360" w:type="dxa"/>
            <w:gridSpan w:val="2"/>
          </w:tcPr>
          <w:p w:rsidR="002109FC" w:rsidRPr="00594ED8" w:rsidRDefault="00C91A1F" w:rsidP="002109FC">
            <w:pPr>
              <w:spacing w:after="40"/>
              <w:jc w:val="center"/>
              <w:rPr>
                <w:b/>
                <w:bCs/>
                <w:sz w:val="22"/>
                <w:szCs w:val="22"/>
                <w:lang w:val="sr-Latn-ME"/>
              </w:rPr>
            </w:pPr>
            <w:r w:rsidRPr="00594ED8">
              <w:rPr>
                <w:b/>
                <w:bCs/>
                <w:sz w:val="22"/>
                <w:szCs w:val="22"/>
                <w:lang w:val="sr-Latn-ME"/>
              </w:rPr>
              <w:t>Esmya</w:t>
            </w:r>
            <w:r w:rsidRPr="00594ED8">
              <w:rPr>
                <w:b/>
                <w:bCs/>
                <w:sz w:val="22"/>
                <w:szCs w:val="22"/>
                <w:vertAlign w:val="superscript"/>
                <w:lang w:val="sr-Latn-ME"/>
              </w:rPr>
              <w:t>®</w:t>
            </w:r>
            <w:r w:rsidR="002109FC" w:rsidRPr="00594ED8">
              <w:rPr>
                <w:b/>
                <w:bCs/>
                <w:sz w:val="22"/>
                <w:szCs w:val="22"/>
                <w:lang w:val="sr-Latn-ME"/>
              </w:rPr>
              <w:t xml:space="preserve">, </w:t>
            </w:r>
            <w:r w:rsidRPr="00594ED8">
              <w:rPr>
                <w:b/>
                <w:bCs/>
                <w:sz w:val="22"/>
                <w:szCs w:val="22"/>
                <w:lang w:val="sr-Latn-ME"/>
              </w:rPr>
              <w:t>tablet</w:t>
            </w:r>
            <w:r w:rsidR="002109FC" w:rsidRPr="00594ED8">
              <w:rPr>
                <w:b/>
                <w:bCs/>
                <w:sz w:val="22"/>
                <w:szCs w:val="22"/>
                <w:lang w:val="sr-Latn-ME"/>
              </w:rPr>
              <w:t>a</w:t>
            </w:r>
            <w:r w:rsidRPr="00594ED8">
              <w:rPr>
                <w:b/>
                <w:bCs/>
                <w:sz w:val="22"/>
                <w:szCs w:val="22"/>
                <w:lang w:val="sr-Latn-ME"/>
              </w:rPr>
              <w:t xml:space="preserve">, 5 mg, </w:t>
            </w:r>
          </w:p>
          <w:p w:rsidR="005A0B2E" w:rsidRPr="00594ED8" w:rsidRDefault="00C91A1F" w:rsidP="002109FC">
            <w:pPr>
              <w:spacing w:after="40"/>
              <w:jc w:val="center"/>
              <w:rPr>
                <w:color w:val="808080"/>
                <w:sz w:val="22"/>
                <w:szCs w:val="22"/>
                <w:lang w:val="sr-Latn-ME"/>
              </w:rPr>
            </w:pPr>
            <w:r w:rsidRPr="00594ED8">
              <w:rPr>
                <w:b/>
                <w:bCs/>
                <w:sz w:val="22"/>
                <w:szCs w:val="22"/>
                <w:lang w:val="sr-Latn-ME"/>
              </w:rPr>
              <w:t>blister</w:t>
            </w:r>
            <w:r w:rsidR="002109FC" w:rsidRPr="00594ED8">
              <w:rPr>
                <w:b/>
                <w:bCs/>
                <w:sz w:val="22"/>
                <w:szCs w:val="22"/>
                <w:lang w:val="sr-Latn-ME"/>
              </w:rPr>
              <w:t>,</w:t>
            </w:r>
            <w:r w:rsidRPr="00594ED8">
              <w:rPr>
                <w:b/>
                <w:bCs/>
                <w:sz w:val="22"/>
                <w:szCs w:val="22"/>
                <w:lang w:val="sr-Latn-ME"/>
              </w:rPr>
              <w:t xml:space="preserve"> 2x14 tableta</w:t>
            </w:r>
          </w:p>
        </w:tc>
      </w:tr>
      <w:tr w:rsidR="00C91A1F" w:rsidRPr="00594ED8" w:rsidTr="00594ED8">
        <w:trPr>
          <w:jc w:val="center"/>
        </w:trPr>
        <w:tc>
          <w:tcPr>
            <w:tcW w:w="3402" w:type="dxa"/>
            <w:vAlign w:val="bottom"/>
          </w:tcPr>
          <w:p w:rsidR="00C91A1F" w:rsidRPr="00594ED8" w:rsidRDefault="00C91A1F" w:rsidP="00FF5F82">
            <w:pPr>
              <w:spacing w:before="200"/>
              <w:jc w:val="right"/>
              <w:rPr>
                <w:sz w:val="22"/>
                <w:szCs w:val="22"/>
                <w:lang w:val="sr-Latn-ME"/>
              </w:rPr>
            </w:pPr>
            <w:r w:rsidRPr="00594ED8">
              <w:rPr>
                <w:sz w:val="22"/>
                <w:szCs w:val="22"/>
                <w:lang w:val="sr-Latn-ME"/>
              </w:rPr>
              <w:t>Proizvođač:</w:t>
            </w:r>
          </w:p>
        </w:tc>
        <w:tc>
          <w:tcPr>
            <w:tcW w:w="5958" w:type="dxa"/>
            <w:vAlign w:val="bottom"/>
          </w:tcPr>
          <w:p w:rsidR="00C91A1F" w:rsidRPr="00594ED8" w:rsidRDefault="00C91A1F" w:rsidP="007E6AE5">
            <w:pPr>
              <w:spacing w:before="200"/>
              <w:ind w:left="72" w:hanging="72"/>
              <w:rPr>
                <w:b/>
                <w:bCs/>
                <w:sz w:val="22"/>
                <w:szCs w:val="22"/>
                <w:lang w:val="sr-Latn-ME"/>
              </w:rPr>
            </w:pPr>
            <w:r w:rsidRPr="00594ED8">
              <w:rPr>
                <w:b/>
                <w:bCs/>
                <w:sz w:val="22"/>
                <w:szCs w:val="22"/>
                <w:lang w:val="sr-Latn-ME"/>
              </w:rPr>
              <w:t>Gedeon Richter Plc.</w:t>
            </w:r>
          </w:p>
        </w:tc>
      </w:tr>
      <w:tr w:rsidR="00C91A1F" w:rsidRPr="00594ED8" w:rsidTr="00594ED8">
        <w:trPr>
          <w:jc w:val="center"/>
        </w:trPr>
        <w:tc>
          <w:tcPr>
            <w:tcW w:w="3402" w:type="dxa"/>
            <w:vAlign w:val="bottom"/>
          </w:tcPr>
          <w:p w:rsidR="00C91A1F" w:rsidRPr="00594ED8" w:rsidRDefault="00C91A1F" w:rsidP="00FF5F82">
            <w:pPr>
              <w:spacing w:before="200"/>
              <w:jc w:val="right"/>
              <w:rPr>
                <w:sz w:val="22"/>
                <w:szCs w:val="22"/>
                <w:lang w:val="sr-Latn-ME"/>
              </w:rPr>
            </w:pPr>
            <w:r w:rsidRPr="00594ED8">
              <w:rPr>
                <w:sz w:val="22"/>
                <w:szCs w:val="22"/>
                <w:lang w:val="sr-Latn-ME"/>
              </w:rPr>
              <w:t>Adresa:</w:t>
            </w:r>
          </w:p>
        </w:tc>
        <w:tc>
          <w:tcPr>
            <w:tcW w:w="5958" w:type="dxa"/>
            <w:vAlign w:val="bottom"/>
          </w:tcPr>
          <w:p w:rsidR="00C91A1F" w:rsidRPr="00594ED8" w:rsidRDefault="00C91A1F" w:rsidP="002109FC">
            <w:pPr>
              <w:spacing w:before="200"/>
              <w:ind w:left="72" w:hanging="72"/>
              <w:rPr>
                <w:b/>
                <w:bCs/>
                <w:sz w:val="22"/>
                <w:szCs w:val="22"/>
                <w:lang w:val="sr-Latn-ME"/>
              </w:rPr>
            </w:pPr>
            <w:r w:rsidRPr="00594ED8">
              <w:rPr>
                <w:b/>
                <w:bCs/>
                <w:sz w:val="22"/>
                <w:szCs w:val="22"/>
                <w:lang w:val="sr-Latn-ME"/>
              </w:rPr>
              <w:t>Gyömröi ŭt 19-21</w:t>
            </w:r>
            <w:r w:rsidR="002109FC" w:rsidRPr="00594ED8">
              <w:rPr>
                <w:b/>
                <w:bCs/>
                <w:sz w:val="22"/>
                <w:szCs w:val="22"/>
                <w:lang w:val="sr-Latn-ME"/>
              </w:rPr>
              <w:t>,</w:t>
            </w:r>
            <w:r w:rsidRPr="00594ED8">
              <w:rPr>
                <w:b/>
                <w:bCs/>
                <w:sz w:val="22"/>
                <w:szCs w:val="22"/>
                <w:lang w:val="sr-Latn-ME"/>
              </w:rPr>
              <w:t xml:space="preserve"> 1103 Budimpešta, Mađarska</w:t>
            </w:r>
          </w:p>
        </w:tc>
      </w:tr>
      <w:tr w:rsidR="00C91A1F" w:rsidRPr="00594ED8" w:rsidTr="00594ED8">
        <w:trPr>
          <w:jc w:val="center"/>
        </w:trPr>
        <w:tc>
          <w:tcPr>
            <w:tcW w:w="3402" w:type="dxa"/>
            <w:vAlign w:val="bottom"/>
          </w:tcPr>
          <w:p w:rsidR="00C91A1F" w:rsidRPr="00594ED8" w:rsidRDefault="00C91A1F" w:rsidP="00FF5F82">
            <w:pPr>
              <w:spacing w:before="200"/>
              <w:jc w:val="right"/>
              <w:rPr>
                <w:sz w:val="22"/>
                <w:szCs w:val="22"/>
                <w:lang w:val="sr-Latn-ME"/>
              </w:rPr>
            </w:pPr>
            <w:r w:rsidRPr="00594ED8">
              <w:rPr>
                <w:sz w:val="22"/>
                <w:szCs w:val="22"/>
                <w:lang w:val="sr-Latn-ME"/>
              </w:rPr>
              <w:t>Podnosilac zahtjeva:</w:t>
            </w:r>
          </w:p>
        </w:tc>
        <w:tc>
          <w:tcPr>
            <w:tcW w:w="5958" w:type="dxa"/>
            <w:vAlign w:val="bottom"/>
          </w:tcPr>
          <w:p w:rsidR="00C91A1F" w:rsidRPr="00594ED8" w:rsidRDefault="00C91A1F" w:rsidP="007E6AE5">
            <w:pPr>
              <w:spacing w:before="200"/>
              <w:ind w:left="72" w:hanging="72"/>
              <w:rPr>
                <w:b/>
                <w:bCs/>
                <w:sz w:val="22"/>
                <w:szCs w:val="22"/>
                <w:lang w:val="sr-Latn-ME"/>
              </w:rPr>
            </w:pPr>
            <w:r w:rsidRPr="00594ED8">
              <w:rPr>
                <w:b/>
                <w:bCs/>
                <w:sz w:val="22"/>
                <w:szCs w:val="22"/>
                <w:lang w:val="sr-Latn-ME"/>
              </w:rPr>
              <w:t>Glosarij d.o.o.</w:t>
            </w:r>
          </w:p>
        </w:tc>
      </w:tr>
      <w:tr w:rsidR="00C91A1F" w:rsidRPr="00594ED8" w:rsidTr="00594ED8">
        <w:trPr>
          <w:jc w:val="center"/>
        </w:trPr>
        <w:tc>
          <w:tcPr>
            <w:tcW w:w="3402" w:type="dxa"/>
            <w:vAlign w:val="bottom"/>
          </w:tcPr>
          <w:p w:rsidR="00C91A1F" w:rsidRPr="00594ED8" w:rsidRDefault="00C91A1F" w:rsidP="00FF5F82">
            <w:pPr>
              <w:spacing w:before="200"/>
              <w:jc w:val="right"/>
              <w:rPr>
                <w:sz w:val="22"/>
                <w:szCs w:val="22"/>
                <w:lang w:val="sr-Latn-ME"/>
              </w:rPr>
            </w:pPr>
            <w:r w:rsidRPr="00594ED8">
              <w:rPr>
                <w:sz w:val="22"/>
                <w:szCs w:val="22"/>
                <w:lang w:val="sr-Latn-ME"/>
              </w:rPr>
              <w:t>Adresa:</w:t>
            </w:r>
          </w:p>
        </w:tc>
        <w:tc>
          <w:tcPr>
            <w:tcW w:w="5958" w:type="dxa"/>
            <w:vAlign w:val="bottom"/>
          </w:tcPr>
          <w:p w:rsidR="00C91A1F" w:rsidRPr="00594ED8" w:rsidRDefault="00C91A1F" w:rsidP="007E6AE5">
            <w:pPr>
              <w:rPr>
                <w:b/>
                <w:bCs/>
                <w:sz w:val="22"/>
                <w:szCs w:val="22"/>
                <w:lang w:val="sr-Latn-ME"/>
              </w:rPr>
            </w:pPr>
            <w:r w:rsidRPr="00594ED8">
              <w:rPr>
                <w:b/>
                <w:bCs/>
                <w:sz w:val="22"/>
                <w:szCs w:val="22"/>
                <w:lang w:val="sr-Latn-ME"/>
              </w:rPr>
              <w:t>Vojislavljevića 76, Podgorica, Crna Gora</w:t>
            </w:r>
          </w:p>
        </w:tc>
      </w:tr>
    </w:tbl>
    <w:p w:rsidR="00E74AEE" w:rsidRPr="00594ED8" w:rsidRDefault="00E74AEE" w:rsidP="001A5518">
      <w:pPr>
        <w:rPr>
          <w:b/>
          <w:bCs/>
          <w:i/>
          <w:iCs/>
          <w:sz w:val="22"/>
          <w:szCs w:val="22"/>
          <w:u w:val="single"/>
          <w:lang w:val="sr-Latn-ME"/>
        </w:rPr>
      </w:pPr>
    </w:p>
    <w:p w:rsidR="00E74AEE" w:rsidRPr="00594ED8" w:rsidRDefault="00E74AEE" w:rsidP="001A5518">
      <w:pPr>
        <w:rPr>
          <w:b/>
          <w:bCs/>
          <w:i/>
          <w:iCs/>
          <w:sz w:val="22"/>
          <w:szCs w:val="22"/>
          <w:u w:val="single"/>
          <w:lang w:val="sr-Latn-ME"/>
        </w:rPr>
      </w:pPr>
    </w:p>
    <w:p w:rsidR="00E74AEE" w:rsidRPr="00594ED8" w:rsidRDefault="00E74AEE" w:rsidP="001A5518">
      <w:pPr>
        <w:rPr>
          <w:b/>
          <w:bCs/>
          <w:i/>
          <w:iCs/>
          <w:sz w:val="22"/>
          <w:szCs w:val="22"/>
          <w:u w:val="single"/>
          <w:lang w:val="sr-Latn-ME"/>
        </w:rPr>
      </w:pPr>
    </w:p>
    <w:p w:rsidR="00E74AEE" w:rsidRPr="00594ED8" w:rsidRDefault="00E74AEE" w:rsidP="001A5518">
      <w:pPr>
        <w:rPr>
          <w:b/>
          <w:bCs/>
          <w:i/>
          <w:iCs/>
          <w:sz w:val="22"/>
          <w:szCs w:val="22"/>
          <w:u w:val="single"/>
          <w:lang w:val="sr-Latn-ME"/>
        </w:rPr>
      </w:pPr>
    </w:p>
    <w:p w:rsidR="00E74AEE" w:rsidRPr="00594ED8" w:rsidRDefault="00E74AEE" w:rsidP="001A5518">
      <w:pPr>
        <w:rPr>
          <w:b/>
          <w:bCs/>
          <w:i/>
          <w:iCs/>
          <w:sz w:val="22"/>
          <w:szCs w:val="22"/>
          <w:u w:val="single"/>
          <w:lang w:val="sr-Latn-ME"/>
        </w:rPr>
      </w:pPr>
    </w:p>
    <w:p w:rsidR="00E246B9" w:rsidRPr="00594ED8" w:rsidRDefault="00E246B9" w:rsidP="001A5518">
      <w:pPr>
        <w:rPr>
          <w:color w:val="808080"/>
          <w:sz w:val="22"/>
          <w:szCs w:val="22"/>
          <w:lang w:val="sr-Latn-ME"/>
        </w:rPr>
      </w:pPr>
    </w:p>
    <w:p w:rsidR="00E74AEE" w:rsidRPr="00594ED8" w:rsidRDefault="00E74AEE" w:rsidP="001A5518">
      <w:pPr>
        <w:rPr>
          <w:i/>
          <w:color w:val="808080"/>
          <w:sz w:val="22"/>
          <w:szCs w:val="22"/>
          <w:lang w:val="sr-Latn-ME"/>
        </w:rPr>
      </w:pPr>
    </w:p>
    <w:p w:rsidR="00E74AEE" w:rsidRPr="00594ED8" w:rsidRDefault="00E74AEE" w:rsidP="001A5518">
      <w:pPr>
        <w:rPr>
          <w:i/>
          <w:color w:val="808080"/>
          <w:sz w:val="22"/>
          <w:szCs w:val="22"/>
          <w:lang w:val="sr-Latn-ME"/>
        </w:rPr>
      </w:pPr>
    </w:p>
    <w:p w:rsidR="00E74AEE" w:rsidRPr="00594ED8" w:rsidRDefault="00E74AEE" w:rsidP="001A5518">
      <w:pPr>
        <w:rPr>
          <w:i/>
          <w:color w:val="808080"/>
          <w:sz w:val="22"/>
          <w:szCs w:val="22"/>
          <w:lang w:val="sr-Latn-ME"/>
        </w:rPr>
      </w:pPr>
    </w:p>
    <w:p w:rsidR="00E74AEE" w:rsidRPr="00594ED8" w:rsidRDefault="00E74AEE" w:rsidP="001A5518">
      <w:pPr>
        <w:rPr>
          <w:i/>
          <w:color w:val="808080"/>
          <w:sz w:val="22"/>
          <w:szCs w:val="22"/>
          <w:lang w:val="sr-Latn-ME"/>
        </w:rPr>
      </w:pPr>
    </w:p>
    <w:p w:rsidR="00E74AEE" w:rsidRPr="00594ED8" w:rsidRDefault="00E74AEE" w:rsidP="001A5518">
      <w:pPr>
        <w:rPr>
          <w:i/>
          <w:color w:val="808080"/>
          <w:sz w:val="22"/>
          <w:szCs w:val="22"/>
          <w:lang w:val="sr-Latn-ME"/>
        </w:rPr>
      </w:pPr>
    </w:p>
    <w:p w:rsidR="00E74AEE" w:rsidRPr="00594ED8" w:rsidRDefault="00E74AEE" w:rsidP="001A5518">
      <w:pPr>
        <w:rPr>
          <w:i/>
          <w:color w:val="808080"/>
          <w:sz w:val="22"/>
          <w:szCs w:val="22"/>
          <w:lang w:val="sr-Latn-ME"/>
        </w:rPr>
      </w:pPr>
    </w:p>
    <w:p w:rsidR="003C17AB" w:rsidRPr="00594ED8" w:rsidRDefault="003C17AB" w:rsidP="00F5167F">
      <w:pPr>
        <w:tabs>
          <w:tab w:val="left" w:pos="540"/>
          <w:tab w:val="left" w:pos="569"/>
        </w:tabs>
        <w:rPr>
          <w:bCs/>
          <w:sz w:val="22"/>
          <w:szCs w:val="22"/>
          <w:lang w:val="sr-Latn-ME"/>
        </w:rPr>
      </w:pPr>
    </w:p>
    <w:p w:rsidR="00411B4B" w:rsidRPr="00594ED8" w:rsidRDefault="00411B4B" w:rsidP="00F5167F">
      <w:pPr>
        <w:tabs>
          <w:tab w:val="left" w:pos="540"/>
          <w:tab w:val="left" w:pos="569"/>
        </w:tabs>
        <w:rPr>
          <w:b/>
          <w:bCs/>
          <w:sz w:val="22"/>
          <w:szCs w:val="22"/>
          <w:lang w:val="sr-Latn-ME"/>
        </w:rPr>
      </w:pPr>
      <w:r w:rsidRPr="00594ED8">
        <w:rPr>
          <w:b/>
          <w:bCs/>
          <w:sz w:val="22"/>
          <w:szCs w:val="22"/>
          <w:lang w:val="sr-Latn-ME"/>
        </w:rPr>
        <w:lastRenderedPageBreak/>
        <w:t>1.</w:t>
      </w:r>
      <w:r w:rsidR="00F5167F" w:rsidRPr="00594ED8">
        <w:rPr>
          <w:b/>
          <w:bCs/>
          <w:sz w:val="22"/>
          <w:szCs w:val="22"/>
          <w:lang w:val="sr-Latn-ME"/>
        </w:rPr>
        <w:tab/>
      </w:r>
      <w:r w:rsidR="002846DB" w:rsidRPr="00594ED8">
        <w:rPr>
          <w:b/>
          <w:bCs/>
          <w:sz w:val="22"/>
          <w:szCs w:val="22"/>
          <w:lang w:val="sr-Latn-ME"/>
        </w:rPr>
        <w:t xml:space="preserve">NAZIV </w:t>
      </w:r>
      <w:r w:rsidRPr="00594ED8">
        <w:rPr>
          <w:b/>
          <w:bCs/>
          <w:sz w:val="22"/>
          <w:szCs w:val="22"/>
          <w:lang w:val="sr-Latn-ME"/>
        </w:rPr>
        <w:t>LIJEKA</w:t>
      </w:r>
    </w:p>
    <w:p w:rsidR="00C61F75" w:rsidRPr="00594ED8" w:rsidRDefault="00C61F75">
      <w:pPr>
        <w:rPr>
          <w:sz w:val="22"/>
          <w:szCs w:val="22"/>
          <w:lang w:val="sr-Latn-ME"/>
        </w:rPr>
      </w:pPr>
    </w:p>
    <w:p w:rsidR="00EC2532" w:rsidRPr="00594ED8" w:rsidRDefault="005C7B9A">
      <w:pPr>
        <w:rPr>
          <w:sz w:val="22"/>
          <w:szCs w:val="22"/>
          <w:lang w:val="sr-Latn-ME"/>
        </w:rPr>
      </w:pPr>
      <w:r w:rsidRPr="00594ED8">
        <w:rPr>
          <w:sz w:val="22"/>
          <w:szCs w:val="22"/>
          <w:lang w:val="sr-Latn-ME"/>
        </w:rPr>
        <w:t>Esmya</w:t>
      </w:r>
      <w:r w:rsidRPr="00594ED8">
        <w:rPr>
          <w:b/>
          <w:bCs/>
          <w:sz w:val="22"/>
          <w:szCs w:val="22"/>
          <w:vertAlign w:val="superscript"/>
          <w:lang w:val="sr-Latn-ME"/>
        </w:rPr>
        <w:t>®</w:t>
      </w:r>
      <w:r w:rsidRPr="00594ED8">
        <w:rPr>
          <w:sz w:val="22"/>
          <w:szCs w:val="22"/>
          <w:lang w:val="sr-Latn-ME"/>
        </w:rPr>
        <w:t xml:space="preserve"> </w:t>
      </w:r>
      <w:r w:rsidR="002109FC" w:rsidRPr="00594ED8">
        <w:rPr>
          <w:sz w:val="22"/>
          <w:szCs w:val="22"/>
          <w:lang w:val="sr-Latn-ME"/>
        </w:rPr>
        <w:t xml:space="preserve">5 mg </w:t>
      </w:r>
      <w:r w:rsidR="0090095A">
        <w:rPr>
          <w:sz w:val="22"/>
          <w:szCs w:val="22"/>
          <w:lang w:val="sr-Latn-ME"/>
        </w:rPr>
        <w:t>tablete</w:t>
      </w:r>
    </w:p>
    <w:p w:rsidR="00411B4B" w:rsidRPr="00594ED8" w:rsidRDefault="00411B4B">
      <w:pPr>
        <w:rPr>
          <w:sz w:val="22"/>
          <w:szCs w:val="22"/>
          <w:lang w:val="sr-Latn-ME"/>
        </w:rPr>
      </w:pPr>
      <w:r w:rsidRPr="00594ED8">
        <w:rPr>
          <w:sz w:val="22"/>
          <w:szCs w:val="22"/>
          <w:lang w:val="sr-Latn-ME"/>
        </w:rPr>
        <w:t>INN:</w:t>
      </w:r>
      <w:r w:rsidR="005C7B9A" w:rsidRPr="00594ED8">
        <w:rPr>
          <w:sz w:val="22"/>
          <w:szCs w:val="22"/>
          <w:lang w:val="sr-Latn-ME"/>
        </w:rPr>
        <w:t xml:space="preserve"> ulipristal</w:t>
      </w:r>
    </w:p>
    <w:p w:rsidR="00530BD7" w:rsidRDefault="00530BD7">
      <w:pPr>
        <w:rPr>
          <w:bCs/>
          <w:sz w:val="22"/>
          <w:szCs w:val="22"/>
          <w:lang w:val="sr-Latn-ME"/>
        </w:rPr>
      </w:pPr>
    </w:p>
    <w:p w:rsidR="0090095A" w:rsidRPr="00594ED8" w:rsidRDefault="0090095A">
      <w:pPr>
        <w:rPr>
          <w:bCs/>
          <w:sz w:val="22"/>
          <w:szCs w:val="22"/>
          <w:lang w:val="sr-Latn-ME"/>
        </w:rPr>
      </w:pPr>
    </w:p>
    <w:p w:rsidR="00411B4B" w:rsidRPr="00594ED8" w:rsidRDefault="00FD548A" w:rsidP="00F5167F">
      <w:pPr>
        <w:tabs>
          <w:tab w:val="left" w:pos="540"/>
          <w:tab w:val="left" w:pos="569"/>
        </w:tabs>
        <w:rPr>
          <w:b/>
          <w:bCs/>
          <w:sz w:val="22"/>
          <w:szCs w:val="22"/>
          <w:lang w:val="sr-Latn-ME"/>
        </w:rPr>
      </w:pPr>
      <w:r>
        <w:rPr>
          <w:b/>
          <w:bCs/>
          <w:sz w:val="22"/>
          <w:szCs w:val="22"/>
          <w:lang w:val="sr-Latn-ME"/>
        </w:rPr>
        <w:t>2.</w:t>
      </w:r>
      <w:r w:rsidR="00F5167F" w:rsidRPr="00594ED8">
        <w:rPr>
          <w:b/>
          <w:bCs/>
          <w:sz w:val="22"/>
          <w:szCs w:val="22"/>
          <w:lang w:val="sr-Latn-ME"/>
        </w:rPr>
        <w:tab/>
      </w:r>
      <w:r w:rsidR="00411B4B" w:rsidRPr="00594ED8">
        <w:rPr>
          <w:b/>
          <w:bCs/>
          <w:sz w:val="22"/>
          <w:szCs w:val="22"/>
          <w:lang w:val="sr-Latn-ME"/>
        </w:rPr>
        <w:t>KVALITATIVNI I KVANTITATIVNI SASTAV</w:t>
      </w:r>
    </w:p>
    <w:p w:rsidR="00C61F75" w:rsidRPr="00594ED8" w:rsidRDefault="00C61F75" w:rsidP="005C7B9A">
      <w:pPr>
        <w:pStyle w:val="Header"/>
        <w:tabs>
          <w:tab w:val="left" w:pos="284"/>
        </w:tabs>
        <w:rPr>
          <w:sz w:val="22"/>
          <w:szCs w:val="22"/>
          <w:lang w:val="sr-Latn-ME"/>
        </w:rPr>
      </w:pPr>
    </w:p>
    <w:p w:rsidR="005C7B9A" w:rsidRPr="00594ED8" w:rsidRDefault="005C7B9A" w:rsidP="005C7B9A">
      <w:pPr>
        <w:pStyle w:val="Header"/>
        <w:tabs>
          <w:tab w:val="left" w:pos="284"/>
        </w:tabs>
        <w:rPr>
          <w:sz w:val="22"/>
          <w:szCs w:val="22"/>
          <w:lang w:val="sr-Latn-ME"/>
        </w:rPr>
      </w:pPr>
      <w:r w:rsidRPr="00594ED8">
        <w:rPr>
          <w:sz w:val="22"/>
          <w:szCs w:val="22"/>
          <w:lang w:val="sr-Latn-ME"/>
        </w:rPr>
        <w:t>Svaka tableta sadrži 5mg ulipristal acetata.</w:t>
      </w:r>
    </w:p>
    <w:p w:rsidR="005C7B9A" w:rsidRPr="00594ED8" w:rsidRDefault="005C7B9A" w:rsidP="005C7B9A">
      <w:pPr>
        <w:pStyle w:val="Header"/>
        <w:tabs>
          <w:tab w:val="left" w:pos="284"/>
        </w:tabs>
        <w:rPr>
          <w:sz w:val="22"/>
          <w:szCs w:val="22"/>
          <w:lang w:val="sr-Latn-ME"/>
        </w:rPr>
      </w:pPr>
      <w:r w:rsidRPr="00594ED8">
        <w:rPr>
          <w:sz w:val="22"/>
          <w:szCs w:val="22"/>
          <w:lang w:val="sr-Latn-ME"/>
        </w:rPr>
        <w:t xml:space="preserve">Za listu svih pomoćnih supstanci, vidjeti odjeljak 6.1. </w:t>
      </w:r>
    </w:p>
    <w:p w:rsidR="00E51C30" w:rsidRDefault="00E51C30">
      <w:pPr>
        <w:rPr>
          <w:sz w:val="22"/>
          <w:szCs w:val="22"/>
          <w:lang w:val="sr-Latn-ME"/>
        </w:rPr>
      </w:pPr>
    </w:p>
    <w:p w:rsidR="0090095A" w:rsidRPr="00594ED8" w:rsidRDefault="0090095A">
      <w:pPr>
        <w:rPr>
          <w:sz w:val="22"/>
          <w:szCs w:val="22"/>
          <w:lang w:val="sr-Latn-ME"/>
        </w:rPr>
      </w:pPr>
    </w:p>
    <w:p w:rsidR="00411B4B" w:rsidRPr="00594ED8" w:rsidRDefault="0090095A" w:rsidP="00F5167F">
      <w:pPr>
        <w:tabs>
          <w:tab w:val="left" w:pos="540"/>
          <w:tab w:val="left" w:pos="569"/>
        </w:tabs>
        <w:rPr>
          <w:b/>
          <w:bCs/>
          <w:sz w:val="22"/>
          <w:szCs w:val="22"/>
          <w:lang w:val="sr-Latn-ME"/>
        </w:rPr>
      </w:pPr>
      <w:r>
        <w:rPr>
          <w:b/>
          <w:bCs/>
          <w:sz w:val="22"/>
          <w:szCs w:val="22"/>
          <w:lang w:val="sr-Latn-ME"/>
        </w:rPr>
        <w:t>3.</w:t>
      </w:r>
      <w:r w:rsidR="00F5167F" w:rsidRPr="00594ED8">
        <w:rPr>
          <w:b/>
          <w:bCs/>
          <w:sz w:val="22"/>
          <w:szCs w:val="22"/>
          <w:lang w:val="sr-Latn-ME"/>
        </w:rPr>
        <w:tab/>
      </w:r>
      <w:r w:rsidR="00411B4B" w:rsidRPr="00594ED8">
        <w:rPr>
          <w:b/>
          <w:bCs/>
          <w:sz w:val="22"/>
          <w:szCs w:val="22"/>
          <w:lang w:val="sr-Latn-ME"/>
        </w:rPr>
        <w:t>FARMACEUTSKI OBLIK</w:t>
      </w:r>
    </w:p>
    <w:p w:rsidR="00C61F75" w:rsidRPr="00594ED8" w:rsidRDefault="00C61F75" w:rsidP="005C7B9A">
      <w:pPr>
        <w:pStyle w:val="Header"/>
        <w:tabs>
          <w:tab w:val="left" w:pos="284"/>
        </w:tabs>
        <w:rPr>
          <w:bCs/>
          <w:sz w:val="22"/>
          <w:szCs w:val="22"/>
          <w:lang w:val="sr-Latn-ME"/>
        </w:rPr>
      </w:pPr>
    </w:p>
    <w:p w:rsidR="005C7B9A" w:rsidRPr="00594ED8" w:rsidRDefault="005C7B9A" w:rsidP="00D803F3">
      <w:pPr>
        <w:pStyle w:val="Header"/>
        <w:tabs>
          <w:tab w:val="left" w:pos="284"/>
        </w:tabs>
        <w:jc w:val="both"/>
        <w:rPr>
          <w:sz w:val="22"/>
          <w:szCs w:val="22"/>
          <w:lang w:val="sr-Latn-ME"/>
        </w:rPr>
      </w:pPr>
      <w:r w:rsidRPr="00594ED8">
        <w:rPr>
          <w:sz w:val="22"/>
          <w:szCs w:val="22"/>
          <w:lang w:val="sr-Latn-ME"/>
        </w:rPr>
        <w:t>Tableta.</w:t>
      </w:r>
    </w:p>
    <w:p w:rsidR="00411B4B" w:rsidRPr="00594ED8" w:rsidRDefault="005C7B9A" w:rsidP="00D803F3">
      <w:pPr>
        <w:tabs>
          <w:tab w:val="left" w:pos="1014"/>
        </w:tabs>
        <w:jc w:val="both"/>
        <w:rPr>
          <w:bCs/>
          <w:sz w:val="22"/>
          <w:szCs w:val="22"/>
          <w:lang w:val="sr-Latn-ME"/>
        </w:rPr>
      </w:pPr>
      <w:r w:rsidRPr="00594ED8">
        <w:rPr>
          <w:sz w:val="22"/>
          <w:szCs w:val="22"/>
          <w:lang w:val="sr-Latn-ME"/>
        </w:rPr>
        <w:t>Okrugle, bikonveksne tablete</w:t>
      </w:r>
      <w:r w:rsidR="002109FC" w:rsidRPr="00594ED8">
        <w:rPr>
          <w:sz w:val="22"/>
          <w:szCs w:val="22"/>
          <w:lang w:val="sr-Latn-ME"/>
        </w:rPr>
        <w:t>,</w:t>
      </w:r>
      <w:r w:rsidRPr="00594ED8">
        <w:rPr>
          <w:sz w:val="22"/>
          <w:szCs w:val="22"/>
          <w:lang w:val="sr-Latn-ME"/>
        </w:rPr>
        <w:t xml:space="preserve"> bijele do skoro bijele boje, prečnika 7 mm, sa utisnutom oznakom "ES5" sa jedne strane.</w:t>
      </w:r>
    </w:p>
    <w:p w:rsidR="00EC2532" w:rsidRDefault="00EC2532">
      <w:pPr>
        <w:rPr>
          <w:bCs/>
          <w:sz w:val="22"/>
          <w:szCs w:val="22"/>
          <w:lang w:val="sr-Latn-ME"/>
        </w:rPr>
      </w:pPr>
    </w:p>
    <w:p w:rsidR="009C32F6" w:rsidRPr="00594ED8" w:rsidRDefault="009C32F6">
      <w:pPr>
        <w:rPr>
          <w:bCs/>
          <w:sz w:val="22"/>
          <w:szCs w:val="22"/>
          <w:lang w:val="sr-Latn-ME"/>
        </w:rPr>
      </w:pPr>
    </w:p>
    <w:p w:rsidR="00411B4B" w:rsidRPr="00594ED8" w:rsidRDefault="009C32F6" w:rsidP="00F5167F">
      <w:pPr>
        <w:tabs>
          <w:tab w:val="left" w:pos="540"/>
          <w:tab w:val="left" w:pos="569"/>
        </w:tabs>
        <w:rPr>
          <w:b/>
          <w:bCs/>
          <w:sz w:val="22"/>
          <w:szCs w:val="22"/>
          <w:lang w:val="sr-Latn-ME"/>
        </w:rPr>
      </w:pPr>
      <w:r>
        <w:rPr>
          <w:b/>
          <w:bCs/>
          <w:sz w:val="22"/>
          <w:szCs w:val="22"/>
          <w:lang w:val="sr-Latn-ME"/>
        </w:rPr>
        <w:t>4.</w:t>
      </w:r>
      <w:r w:rsidR="00480FB1" w:rsidRPr="00594ED8">
        <w:rPr>
          <w:b/>
          <w:bCs/>
          <w:sz w:val="22"/>
          <w:szCs w:val="22"/>
          <w:lang w:val="sr-Latn-ME"/>
        </w:rPr>
        <w:tab/>
      </w:r>
      <w:r w:rsidR="00411B4B" w:rsidRPr="00594ED8">
        <w:rPr>
          <w:b/>
          <w:bCs/>
          <w:sz w:val="22"/>
          <w:szCs w:val="22"/>
          <w:lang w:val="sr-Latn-ME"/>
        </w:rPr>
        <w:t>KLINIČKI PODACI</w:t>
      </w:r>
    </w:p>
    <w:p w:rsidR="00CD6F02" w:rsidRPr="00594ED8" w:rsidRDefault="00CD6F02" w:rsidP="00480FB1">
      <w:pPr>
        <w:tabs>
          <w:tab w:val="left" w:pos="540"/>
          <w:tab w:val="left" w:pos="569"/>
        </w:tabs>
        <w:rPr>
          <w:bCs/>
          <w:sz w:val="22"/>
          <w:szCs w:val="22"/>
          <w:lang w:val="sr-Latn-ME"/>
        </w:rPr>
      </w:pPr>
    </w:p>
    <w:p w:rsidR="00411B4B" w:rsidRPr="00594ED8" w:rsidRDefault="009C32F6" w:rsidP="00480FB1">
      <w:pPr>
        <w:tabs>
          <w:tab w:val="left" w:pos="540"/>
          <w:tab w:val="left" w:pos="569"/>
        </w:tabs>
        <w:rPr>
          <w:b/>
          <w:bCs/>
          <w:sz w:val="22"/>
          <w:szCs w:val="22"/>
          <w:lang w:val="sr-Latn-ME"/>
        </w:rPr>
      </w:pPr>
      <w:r>
        <w:rPr>
          <w:b/>
          <w:bCs/>
          <w:sz w:val="22"/>
          <w:szCs w:val="22"/>
          <w:lang w:val="sr-Latn-ME"/>
        </w:rPr>
        <w:t>4.1.</w:t>
      </w:r>
      <w:r w:rsidR="00480FB1" w:rsidRPr="00594ED8">
        <w:rPr>
          <w:b/>
          <w:bCs/>
          <w:sz w:val="22"/>
          <w:szCs w:val="22"/>
          <w:lang w:val="sr-Latn-ME"/>
        </w:rPr>
        <w:tab/>
      </w:r>
      <w:r w:rsidR="00411B4B" w:rsidRPr="00594ED8">
        <w:rPr>
          <w:b/>
          <w:bCs/>
          <w:sz w:val="22"/>
          <w:szCs w:val="22"/>
          <w:lang w:val="sr-Latn-ME"/>
        </w:rPr>
        <w:t>Terapijske indikacije</w:t>
      </w:r>
    </w:p>
    <w:p w:rsidR="005C7B9A" w:rsidRPr="00594ED8" w:rsidRDefault="005C7B9A" w:rsidP="00D803F3">
      <w:pPr>
        <w:tabs>
          <w:tab w:val="left" w:pos="540"/>
          <w:tab w:val="left" w:pos="569"/>
        </w:tabs>
        <w:jc w:val="both"/>
        <w:rPr>
          <w:bCs/>
          <w:sz w:val="22"/>
          <w:szCs w:val="22"/>
          <w:lang w:val="sr-Latn-ME"/>
        </w:rPr>
      </w:pPr>
    </w:p>
    <w:p w:rsidR="005C7B9A" w:rsidRPr="00594ED8" w:rsidRDefault="005C7B9A" w:rsidP="00D803F3">
      <w:pPr>
        <w:tabs>
          <w:tab w:val="left" w:pos="540"/>
          <w:tab w:val="left" w:pos="569"/>
        </w:tabs>
        <w:jc w:val="both"/>
        <w:rPr>
          <w:bCs/>
          <w:sz w:val="22"/>
          <w:szCs w:val="22"/>
          <w:lang w:val="sr-Latn-ME"/>
        </w:rPr>
      </w:pPr>
      <w:r w:rsidRPr="00594ED8">
        <w:rPr>
          <w:bCs/>
          <w:sz w:val="22"/>
          <w:szCs w:val="22"/>
          <w:lang w:val="sr-Latn-ME"/>
        </w:rPr>
        <w:t xml:space="preserve">Ulipristаl аcetаt je indikovаn zа preoperаtivno liječenje umjerenih do teških simptomа fibroida mаterice, kod odrаslih ženа u reproduktivnom periodu. </w:t>
      </w:r>
    </w:p>
    <w:p w:rsidR="005C7B9A" w:rsidRPr="00594ED8" w:rsidRDefault="005C7B9A" w:rsidP="00D803F3">
      <w:pPr>
        <w:tabs>
          <w:tab w:val="left" w:pos="540"/>
          <w:tab w:val="left" w:pos="569"/>
        </w:tabs>
        <w:jc w:val="both"/>
        <w:rPr>
          <w:bCs/>
          <w:sz w:val="22"/>
          <w:szCs w:val="22"/>
          <w:lang w:val="sr-Latn-ME"/>
        </w:rPr>
      </w:pPr>
    </w:p>
    <w:p w:rsidR="00411B4B" w:rsidRPr="00594ED8" w:rsidRDefault="005C7B9A" w:rsidP="00D803F3">
      <w:pPr>
        <w:tabs>
          <w:tab w:val="left" w:pos="540"/>
          <w:tab w:val="left" w:pos="569"/>
        </w:tabs>
        <w:jc w:val="both"/>
        <w:rPr>
          <w:bCs/>
          <w:sz w:val="22"/>
          <w:szCs w:val="22"/>
          <w:lang w:val="sr-Latn-ME"/>
        </w:rPr>
      </w:pPr>
      <w:r w:rsidRPr="00594ED8">
        <w:rPr>
          <w:bCs/>
          <w:sz w:val="22"/>
          <w:szCs w:val="22"/>
          <w:lang w:val="sr-Latn-ME"/>
        </w:rPr>
        <w:t>Ulipristal acetat je indikovan za intermitentno liječenje umjerenih do teških simptomа fibroida mаterice, kod odrаslih ženа u reproduktivnom periodu.</w:t>
      </w:r>
    </w:p>
    <w:p w:rsidR="005C7B9A" w:rsidRPr="00594ED8" w:rsidRDefault="005C7B9A" w:rsidP="005C7B9A">
      <w:pPr>
        <w:tabs>
          <w:tab w:val="left" w:pos="540"/>
          <w:tab w:val="left" w:pos="569"/>
        </w:tabs>
        <w:rPr>
          <w:bCs/>
          <w:sz w:val="22"/>
          <w:szCs w:val="22"/>
          <w:lang w:val="sr-Latn-ME"/>
        </w:rPr>
      </w:pPr>
    </w:p>
    <w:p w:rsidR="00411B4B" w:rsidRPr="00594ED8" w:rsidRDefault="009C32F6" w:rsidP="00480FB1">
      <w:pPr>
        <w:tabs>
          <w:tab w:val="left" w:pos="540"/>
          <w:tab w:val="left" w:pos="569"/>
        </w:tabs>
        <w:rPr>
          <w:b/>
          <w:bCs/>
          <w:sz w:val="22"/>
          <w:szCs w:val="22"/>
          <w:lang w:val="sr-Latn-ME"/>
        </w:rPr>
      </w:pPr>
      <w:r>
        <w:rPr>
          <w:b/>
          <w:bCs/>
          <w:sz w:val="22"/>
          <w:szCs w:val="22"/>
          <w:lang w:val="sr-Latn-ME"/>
        </w:rPr>
        <w:t>4.2.</w:t>
      </w:r>
      <w:r w:rsidR="00480FB1" w:rsidRPr="00594ED8">
        <w:rPr>
          <w:b/>
          <w:bCs/>
          <w:sz w:val="22"/>
          <w:szCs w:val="22"/>
          <w:lang w:val="sr-Latn-ME"/>
        </w:rPr>
        <w:tab/>
      </w:r>
      <w:r w:rsidR="00411B4B" w:rsidRPr="00594ED8">
        <w:rPr>
          <w:b/>
          <w:bCs/>
          <w:sz w:val="22"/>
          <w:szCs w:val="22"/>
          <w:lang w:val="sr-Latn-ME"/>
        </w:rPr>
        <w:t>Doziranje i način primjene</w:t>
      </w:r>
    </w:p>
    <w:p w:rsidR="005C7B9A" w:rsidRPr="00594ED8" w:rsidRDefault="005C7B9A" w:rsidP="00480FB1">
      <w:pPr>
        <w:tabs>
          <w:tab w:val="left" w:pos="540"/>
          <w:tab w:val="left" w:pos="569"/>
        </w:tabs>
        <w:rPr>
          <w:b/>
          <w:bCs/>
          <w:sz w:val="22"/>
          <w:szCs w:val="22"/>
          <w:lang w:val="sr-Latn-ME"/>
        </w:rPr>
      </w:pPr>
    </w:p>
    <w:p w:rsidR="005C7B9A" w:rsidRPr="00594ED8" w:rsidRDefault="005C7B9A" w:rsidP="00EA0B82">
      <w:pPr>
        <w:tabs>
          <w:tab w:val="left" w:pos="540"/>
          <w:tab w:val="left" w:pos="569"/>
        </w:tabs>
        <w:jc w:val="both"/>
        <w:rPr>
          <w:bCs/>
          <w:sz w:val="22"/>
          <w:szCs w:val="22"/>
          <w:u w:val="single"/>
          <w:lang w:val="sr-Latn-ME"/>
        </w:rPr>
      </w:pPr>
      <w:r w:rsidRPr="00594ED8">
        <w:rPr>
          <w:bCs/>
          <w:sz w:val="22"/>
          <w:szCs w:val="22"/>
          <w:u w:val="single"/>
          <w:lang w:val="sr-Latn-ME"/>
        </w:rPr>
        <w:t>Dozirаnje</w:t>
      </w:r>
    </w:p>
    <w:p w:rsidR="005C7B9A" w:rsidRPr="00594ED8" w:rsidRDefault="005C7B9A" w:rsidP="00EA0B82">
      <w:pPr>
        <w:tabs>
          <w:tab w:val="left" w:pos="540"/>
          <w:tab w:val="left" w:pos="569"/>
        </w:tabs>
        <w:jc w:val="both"/>
        <w:rPr>
          <w:bCs/>
          <w:sz w:val="22"/>
          <w:szCs w:val="22"/>
          <w:lang w:val="sr-Latn-ME"/>
        </w:rPr>
      </w:pPr>
      <w:r w:rsidRPr="00594ED8">
        <w:rPr>
          <w:bCs/>
          <w:sz w:val="22"/>
          <w:szCs w:val="22"/>
          <w:lang w:val="sr-Latn-ME"/>
        </w:rPr>
        <w:t>Liječenje se sprovodi uzimanjem jedne tаblete od 5 mg, orаlno, jednom dnevno, u terapijskim ciklusima u trаjаnju do 3 mjesecа svaki.</w:t>
      </w:r>
    </w:p>
    <w:p w:rsidR="005C7B9A" w:rsidRPr="00594ED8" w:rsidRDefault="005C7B9A" w:rsidP="00EA0B82">
      <w:pPr>
        <w:tabs>
          <w:tab w:val="left" w:pos="540"/>
          <w:tab w:val="left" w:pos="569"/>
        </w:tabs>
        <w:jc w:val="both"/>
        <w:rPr>
          <w:bCs/>
          <w:sz w:val="22"/>
          <w:szCs w:val="22"/>
          <w:lang w:val="sr-Latn-ME"/>
        </w:rPr>
      </w:pPr>
      <w:r w:rsidRPr="00594ED8">
        <w:rPr>
          <w:bCs/>
          <w:sz w:val="22"/>
          <w:szCs w:val="22"/>
          <w:lang w:val="sr-Latn-ME"/>
        </w:rPr>
        <w:t>Liječenje treba uvijek započinjati sa početkom menstruacije:</w:t>
      </w:r>
    </w:p>
    <w:p w:rsidR="005C7B9A" w:rsidRPr="00D803F3" w:rsidRDefault="005C7B9A" w:rsidP="00D803F3">
      <w:pPr>
        <w:pStyle w:val="ListParagraph"/>
        <w:numPr>
          <w:ilvl w:val="0"/>
          <w:numId w:val="10"/>
        </w:numPr>
        <w:tabs>
          <w:tab w:val="left" w:pos="540"/>
          <w:tab w:val="left" w:pos="569"/>
        </w:tabs>
        <w:jc w:val="both"/>
        <w:rPr>
          <w:bCs/>
          <w:sz w:val="22"/>
          <w:szCs w:val="22"/>
          <w:lang w:val="sr-Latn-ME"/>
        </w:rPr>
      </w:pPr>
      <w:r w:rsidRPr="00D803F3">
        <w:rPr>
          <w:bCs/>
          <w:sz w:val="22"/>
          <w:szCs w:val="22"/>
          <w:lang w:val="sr-Latn-ME"/>
        </w:rPr>
        <w:t>Prvi ciklus liječenja treba započeti tokom prve nedjelje menstruacije.</w:t>
      </w:r>
    </w:p>
    <w:p w:rsidR="00D803F3" w:rsidRDefault="005C7B9A" w:rsidP="00D803F3">
      <w:pPr>
        <w:pStyle w:val="ListParagraph"/>
        <w:numPr>
          <w:ilvl w:val="0"/>
          <w:numId w:val="10"/>
        </w:numPr>
        <w:tabs>
          <w:tab w:val="left" w:pos="540"/>
          <w:tab w:val="left" w:pos="569"/>
        </w:tabs>
        <w:jc w:val="both"/>
        <w:rPr>
          <w:bCs/>
          <w:sz w:val="22"/>
          <w:szCs w:val="22"/>
          <w:lang w:val="sr-Latn-ME"/>
        </w:rPr>
      </w:pPr>
      <w:r w:rsidRPr="00D803F3">
        <w:rPr>
          <w:bCs/>
          <w:sz w:val="22"/>
          <w:szCs w:val="22"/>
          <w:lang w:val="sr-Latn-ME"/>
        </w:rPr>
        <w:t>Ponovljene cikluse liječenja treba započeti najranije za vrijeme prve ne</w:t>
      </w:r>
      <w:r w:rsidR="00D803F3">
        <w:rPr>
          <w:bCs/>
          <w:sz w:val="22"/>
          <w:szCs w:val="22"/>
          <w:lang w:val="sr-Latn-ME"/>
        </w:rPr>
        <w:t>djelje druge menstruacije nakon</w:t>
      </w:r>
    </w:p>
    <w:p w:rsidR="005C7B9A" w:rsidRPr="00D803F3" w:rsidRDefault="005C7B9A" w:rsidP="009F64DE">
      <w:pPr>
        <w:pStyle w:val="ListParagraph"/>
        <w:tabs>
          <w:tab w:val="left" w:pos="567"/>
        </w:tabs>
        <w:ind w:left="567"/>
        <w:jc w:val="both"/>
        <w:rPr>
          <w:bCs/>
          <w:sz w:val="22"/>
          <w:szCs w:val="22"/>
          <w:lang w:val="sr-Latn-ME"/>
        </w:rPr>
      </w:pPr>
      <w:r w:rsidRPr="00D803F3">
        <w:rPr>
          <w:bCs/>
          <w:sz w:val="22"/>
          <w:szCs w:val="22"/>
          <w:lang w:val="sr-Latn-ME"/>
        </w:rPr>
        <w:t>završetka prethodnog ciklusa.</w:t>
      </w:r>
    </w:p>
    <w:p w:rsidR="005C7B9A" w:rsidRPr="00594ED8" w:rsidRDefault="005C7B9A" w:rsidP="00EA0B82">
      <w:pPr>
        <w:tabs>
          <w:tab w:val="left" w:pos="540"/>
          <w:tab w:val="left" w:pos="569"/>
        </w:tabs>
        <w:jc w:val="both"/>
        <w:rPr>
          <w:bCs/>
          <w:sz w:val="22"/>
          <w:szCs w:val="22"/>
          <w:lang w:val="sr-Latn-ME"/>
        </w:rPr>
      </w:pPr>
    </w:p>
    <w:p w:rsidR="005C7B9A" w:rsidRPr="00594ED8" w:rsidRDefault="005C7B9A" w:rsidP="00EA0B82">
      <w:pPr>
        <w:tabs>
          <w:tab w:val="left" w:pos="540"/>
          <w:tab w:val="left" w:pos="569"/>
        </w:tabs>
        <w:jc w:val="both"/>
        <w:rPr>
          <w:bCs/>
          <w:sz w:val="22"/>
          <w:szCs w:val="22"/>
          <w:lang w:val="sr-Latn-ME"/>
        </w:rPr>
      </w:pPr>
      <w:r w:rsidRPr="00594ED8">
        <w:rPr>
          <w:bCs/>
          <w:sz w:val="22"/>
          <w:szCs w:val="22"/>
          <w:lang w:val="sr-Latn-ME"/>
        </w:rPr>
        <w:t>Ordinirajući ljekar treba da objasni pacijentkinji potrebu za postojanjem perioda tokom kojih se ne uzima lijek.</w:t>
      </w:r>
    </w:p>
    <w:p w:rsidR="005C7B9A" w:rsidRPr="00594ED8" w:rsidRDefault="005C7B9A" w:rsidP="00EA0B82">
      <w:pPr>
        <w:tabs>
          <w:tab w:val="left" w:pos="540"/>
          <w:tab w:val="left" w:pos="569"/>
        </w:tabs>
        <w:jc w:val="both"/>
        <w:rPr>
          <w:bCs/>
          <w:sz w:val="22"/>
          <w:szCs w:val="22"/>
          <w:lang w:val="sr-Latn-ME"/>
        </w:rPr>
      </w:pPr>
      <w:r w:rsidRPr="00594ED8">
        <w:rPr>
          <w:bCs/>
          <w:sz w:val="22"/>
          <w:szCs w:val="22"/>
          <w:lang w:val="sr-Latn-ME"/>
        </w:rPr>
        <w:t>Ponovljeno intermitentno liječenje je ispitivano u trajanju do 4 intermitentna ciklusa.</w:t>
      </w:r>
    </w:p>
    <w:p w:rsidR="005C7B9A" w:rsidRPr="00594ED8" w:rsidRDefault="005C7B9A" w:rsidP="00EA0B82">
      <w:pPr>
        <w:tabs>
          <w:tab w:val="left" w:pos="540"/>
          <w:tab w:val="left" w:pos="569"/>
        </w:tabs>
        <w:jc w:val="both"/>
        <w:rPr>
          <w:bCs/>
          <w:sz w:val="22"/>
          <w:szCs w:val="22"/>
          <w:lang w:val="sr-Latn-ME"/>
        </w:rPr>
      </w:pPr>
    </w:p>
    <w:p w:rsidR="005C7B9A" w:rsidRPr="00594ED8" w:rsidRDefault="005C7B9A" w:rsidP="00EA0B82">
      <w:pPr>
        <w:tabs>
          <w:tab w:val="left" w:pos="540"/>
          <w:tab w:val="left" w:pos="569"/>
        </w:tabs>
        <w:jc w:val="both"/>
        <w:rPr>
          <w:bCs/>
          <w:sz w:val="22"/>
          <w:szCs w:val="22"/>
          <w:lang w:val="sr-Latn-ME"/>
        </w:rPr>
      </w:pPr>
      <w:r w:rsidRPr="00594ED8">
        <w:rPr>
          <w:bCs/>
          <w:sz w:val="22"/>
          <w:szCs w:val="22"/>
          <w:lang w:val="sr-Latn-ME"/>
        </w:rPr>
        <w:t xml:space="preserve">Ako pаcijentkinja propusti jednu dozu, potrebno je da uzme tabletu ulipristаl-acetata što je prije moguće. Ako je prošlo više od 12 sаti od propuštene doze, pаcijentkinja ne </w:t>
      </w:r>
      <w:r w:rsidR="00CC0546" w:rsidRPr="00594ED8">
        <w:rPr>
          <w:bCs/>
          <w:sz w:val="22"/>
          <w:szCs w:val="22"/>
          <w:lang w:val="sr-Latn-ME"/>
        </w:rPr>
        <w:t xml:space="preserve">smije </w:t>
      </w:r>
      <w:r w:rsidRPr="00594ED8">
        <w:rPr>
          <w:bCs/>
          <w:sz w:val="22"/>
          <w:szCs w:val="22"/>
          <w:lang w:val="sr-Latn-ME"/>
        </w:rPr>
        <w:t>da uzima propuštenu dozu, već jednostavno da nastavi terapiju po ustаljenom rаsporedu.</w:t>
      </w:r>
    </w:p>
    <w:p w:rsidR="005C7B9A" w:rsidRPr="00594ED8" w:rsidRDefault="005C7B9A" w:rsidP="005C7B9A">
      <w:pPr>
        <w:tabs>
          <w:tab w:val="left" w:pos="540"/>
          <w:tab w:val="left" w:pos="569"/>
        </w:tabs>
        <w:rPr>
          <w:bCs/>
          <w:sz w:val="22"/>
          <w:szCs w:val="22"/>
          <w:lang w:val="sr-Latn-ME"/>
        </w:rPr>
      </w:pPr>
    </w:p>
    <w:p w:rsidR="005C7B9A" w:rsidRPr="00594ED8" w:rsidRDefault="005C7B9A" w:rsidP="00EA0B82">
      <w:pPr>
        <w:tabs>
          <w:tab w:val="left" w:pos="540"/>
          <w:tab w:val="left" w:pos="569"/>
        </w:tabs>
        <w:jc w:val="both"/>
        <w:rPr>
          <w:bCs/>
          <w:i/>
          <w:sz w:val="22"/>
          <w:szCs w:val="22"/>
          <w:lang w:val="sr-Latn-ME"/>
        </w:rPr>
      </w:pPr>
      <w:r w:rsidRPr="00594ED8">
        <w:rPr>
          <w:bCs/>
          <w:i/>
          <w:sz w:val="22"/>
          <w:szCs w:val="22"/>
          <w:lang w:val="sr-Latn-ME"/>
        </w:rPr>
        <w:lastRenderedPageBreak/>
        <w:t>Posebne populacije</w:t>
      </w:r>
    </w:p>
    <w:p w:rsidR="005C7B9A" w:rsidRPr="00594ED8" w:rsidRDefault="005C7B9A" w:rsidP="00EA0B82">
      <w:pPr>
        <w:tabs>
          <w:tab w:val="left" w:pos="540"/>
          <w:tab w:val="left" w:pos="569"/>
        </w:tabs>
        <w:jc w:val="both"/>
        <w:rPr>
          <w:bCs/>
          <w:sz w:val="22"/>
          <w:szCs w:val="22"/>
          <w:lang w:val="sr-Latn-ME"/>
        </w:rPr>
      </w:pPr>
    </w:p>
    <w:p w:rsidR="005C7B9A" w:rsidRPr="00594ED8" w:rsidRDefault="005C7B9A" w:rsidP="00EA0B82">
      <w:pPr>
        <w:tabs>
          <w:tab w:val="left" w:pos="540"/>
          <w:tab w:val="left" w:pos="569"/>
        </w:tabs>
        <w:jc w:val="both"/>
        <w:rPr>
          <w:bCs/>
          <w:i/>
          <w:sz w:val="22"/>
          <w:szCs w:val="22"/>
          <w:lang w:val="sr-Latn-ME"/>
        </w:rPr>
      </w:pPr>
      <w:r w:rsidRPr="00594ED8">
        <w:rPr>
          <w:bCs/>
          <w:i/>
          <w:sz w:val="22"/>
          <w:szCs w:val="22"/>
          <w:lang w:val="sr-Latn-ME"/>
        </w:rPr>
        <w:t>Oštećenje funkcije bubrega</w:t>
      </w:r>
    </w:p>
    <w:p w:rsidR="005C7B9A" w:rsidRPr="00594ED8" w:rsidRDefault="005C7B9A" w:rsidP="00EA0B82">
      <w:pPr>
        <w:tabs>
          <w:tab w:val="left" w:pos="540"/>
          <w:tab w:val="left" w:pos="569"/>
        </w:tabs>
        <w:jc w:val="both"/>
        <w:rPr>
          <w:bCs/>
          <w:sz w:val="22"/>
          <w:szCs w:val="22"/>
          <w:lang w:val="sr-Latn-ME"/>
        </w:rPr>
      </w:pPr>
      <w:r w:rsidRPr="00594ED8">
        <w:rPr>
          <w:bCs/>
          <w:sz w:val="22"/>
          <w:szCs w:val="22"/>
          <w:lang w:val="sr-Latn-ME"/>
        </w:rPr>
        <w:t>Ne preporučuje se prilаgođаvаnje doze kod pacijentkinja sа blаgim ili umjerenim oštećenjem funkcije bubregа. Zbog nedostаtka posebnih kliničkih studijа, ulipristаl аcetаt se ne preporučuje kod pаcijentkinja sа teškim oštećenjem funkcije bubregа, osim ukoliko se stanje pacijentkinja pažljivo prati (vidjeti odjeljke 4.4 i 5.2).</w:t>
      </w:r>
    </w:p>
    <w:p w:rsidR="005C7B9A" w:rsidRPr="00594ED8" w:rsidRDefault="005C7B9A" w:rsidP="005C7B9A">
      <w:pPr>
        <w:tabs>
          <w:tab w:val="left" w:pos="540"/>
          <w:tab w:val="left" w:pos="569"/>
        </w:tabs>
        <w:rPr>
          <w:bCs/>
          <w:sz w:val="22"/>
          <w:szCs w:val="22"/>
          <w:lang w:val="sr-Latn-ME"/>
        </w:rPr>
      </w:pPr>
    </w:p>
    <w:p w:rsidR="005C7B9A" w:rsidRPr="00594ED8" w:rsidRDefault="005C7B9A" w:rsidP="00EA0B82">
      <w:pPr>
        <w:tabs>
          <w:tab w:val="left" w:pos="540"/>
          <w:tab w:val="left" w:pos="569"/>
        </w:tabs>
        <w:jc w:val="both"/>
        <w:rPr>
          <w:bCs/>
          <w:i/>
          <w:sz w:val="22"/>
          <w:szCs w:val="22"/>
          <w:lang w:val="sr-Latn-ME"/>
        </w:rPr>
      </w:pPr>
      <w:r w:rsidRPr="00594ED8">
        <w:rPr>
          <w:bCs/>
          <w:i/>
          <w:sz w:val="22"/>
          <w:szCs w:val="22"/>
          <w:lang w:val="sr-Latn-ME"/>
        </w:rPr>
        <w:t>Oštećenje funkcije jetre</w:t>
      </w:r>
    </w:p>
    <w:p w:rsidR="005C7B9A" w:rsidRPr="00594ED8" w:rsidRDefault="005C7B9A" w:rsidP="00EA0B82">
      <w:pPr>
        <w:tabs>
          <w:tab w:val="left" w:pos="540"/>
          <w:tab w:val="left" w:pos="569"/>
        </w:tabs>
        <w:jc w:val="both"/>
        <w:rPr>
          <w:bCs/>
          <w:sz w:val="22"/>
          <w:szCs w:val="22"/>
          <w:lang w:val="sr-Latn-ME"/>
        </w:rPr>
      </w:pPr>
      <w:r w:rsidRPr="00594ED8">
        <w:rPr>
          <w:bCs/>
          <w:sz w:val="22"/>
          <w:szCs w:val="22"/>
          <w:lang w:val="sr-Latn-ME"/>
        </w:rPr>
        <w:t>Ne preporučuje se prilаgođаvаnje doze kod pacijentkinja sа blаgim oštećenjem funkcije jetre. Zbog nedostаtka posebnih kliničkih studijа, ulipristаl аcetаt se ne preporučuje kod pаcijentkinja sа umjerenim ili teškim oštećenjem funkcije jetre, osim ukoliko se stanje pacijentkinja pažljivo prati (vidjeti odjeljke 4.4 i 5.2).</w:t>
      </w:r>
    </w:p>
    <w:p w:rsidR="005C7B9A" w:rsidRPr="00594ED8" w:rsidRDefault="005C7B9A" w:rsidP="00EA0B82">
      <w:pPr>
        <w:tabs>
          <w:tab w:val="left" w:pos="540"/>
          <w:tab w:val="left" w:pos="569"/>
        </w:tabs>
        <w:jc w:val="both"/>
        <w:rPr>
          <w:bCs/>
          <w:sz w:val="22"/>
          <w:szCs w:val="22"/>
          <w:lang w:val="sr-Latn-ME"/>
        </w:rPr>
      </w:pPr>
    </w:p>
    <w:p w:rsidR="005C7B9A" w:rsidRPr="00594ED8" w:rsidRDefault="005C7B9A" w:rsidP="00EA0B82">
      <w:pPr>
        <w:tabs>
          <w:tab w:val="left" w:pos="540"/>
          <w:tab w:val="left" w:pos="569"/>
        </w:tabs>
        <w:jc w:val="both"/>
        <w:rPr>
          <w:bCs/>
          <w:i/>
          <w:sz w:val="22"/>
          <w:szCs w:val="22"/>
          <w:lang w:val="sr-Latn-ME"/>
        </w:rPr>
      </w:pPr>
      <w:r w:rsidRPr="00594ED8">
        <w:rPr>
          <w:bCs/>
          <w:i/>
          <w:sz w:val="22"/>
          <w:szCs w:val="22"/>
          <w:lang w:val="sr-Latn-ME"/>
        </w:rPr>
        <w:t>Pedijаtrijskа populаcijа</w:t>
      </w:r>
    </w:p>
    <w:p w:rsidR="005C7B9A" w:rsidRPr="00594ED8" w:rsidRDefault="005C7B9A" w:rsidP="00EA0B82">
      <w:pPr>
        <w:tabs>
          <w:tab w:val="left" w:pos="540"/>
          <w:tab w:val="left" w:pos="569"/>
        </w:tabs>
        <w:jc w:val="both"/>
        <w:rPr>
          <w:bCs/>
          <w:sz w:val="22"/>
          <w:szCs w:val="22"/>
          <w:lang w:val="sr-Latn-ME"/>
        </w:rPr>
      </w:pPr>
      <w:r w:rsidRPr="00594ED8">
        <w:rPr>
          <w:bCs/>
          <w:sz w:val="22"/>
          <w:szCs w:val="22"/>
          <w:lang w:val="sr-Latn-ME"/>
        </w:rPr>
        <w:t>Upotrebа ulipristаl аcetаtа nije opravdana u pedijаtrijskoj populаciji. Bezbjednost i efikаsnost ulipristаl аcetаta je utvrđena samo kod ženа starosti od 18 godinа i stаrijih.</w:t>
      </w:r>
    </w:p>
    <w:p w:rsidR="005C7B9A" w:rsidRPr="00594ED8" w:rsidRDefault="005C7B9A" w:rsidP="00EA0B82">
      <w:pPr>
        <w:tabs>
          <w:tab w:val="left" w:pos="540"/>
          <w:tab w:val="left" w:pos="569"/>
        </w:tabs>
        <w:jc w:val="both"/>
        <w:rPr>
          <w:bCs/>
          <w:sz w:val="22"/>
          <w:szCs w:val="22"/>
          <w:lang w:val="sr-Latn-ME"/>
        </w:rPr>
      </w:pPr>
    </w:p>
    <w:p w:rsidR="005C7B9A" w:rsidRPr="00594ED8" w:rsidRDefault="005C7B9A" w:rsidP="00EA0B82">
      <w:pPr>
        <w:tabs>
          <w:tab w:val="left" w:pos="540"/>
          <w:tab w:val="left" w:pos="569"/>
        </w:tabs>
        <w:jc w:val="both"/>
        <w:rPr>
          <w:bCs/>
          <w:sz w:val="22"/>
          <w:szCs w:val="22"/>
          <w:u w:val="single"/>
          <w:lang w:val="sr-Latn-ME"/>
        </w:rPr>
      </w:pPr>
      <w:r w:rsidRPr="00594ED8">
        <w:rPr>
          <w:bCs/>
          <w:sz w:val="22"/>
          <w:szCs w:val="22"/>
          <w:u w:val="single"/>
          <w:lang w:val="sr-Latn-ME"/>
        </w:rPr>
        <w:t>Nаčin primjene</w:t>
      </w:r>
    </w:p>
    <w:p w:rsidR="0072020E" w:rsidRPr="00594ED8" w:rsidRDefault="005C7B9A" w:rsidP="00EA0B82">
      <w:pPr>
        <w:tabs>
          <w:tab w:val="left" w:pos="540"/>
          <w:tab w:val="left" w:pos="569"/>
        </w:tabs>
        <w:jc w:val="both"/>
        <w:rPr>
          <w:bCs/>
          <w:sz w:val="22"/>
          <w:szCs w:val="22"/>
          <w:lang w:val="sr-Latn-ME"/>
        </w:rPr>
      </w:pPr>
      <w:r w:rsidRPr="00594ED8">
        <w:rPr>
          <w:bCs/>
          <w:sz w:val="22"/>
          <w:szCs w:val="22"/>
          <w:lang w:val="sr-Latn-ME"/>
        </w:rPr>
        <w:t>Tаblete se mogu uzeti sа ili bez hrаne.</w:t>
      </w:r>
    </w:p>
    <w:p w:rsidR="005C7B9A" w:rsidRPr="00594ED8" w:rsidRDefault="005C7B9A" w:rsidP="005C7B9A">
      <w:pPr>
        <w:tabs>
          <w:tab w:val="left" w:pos="540"/>
          <w:tab w:val="left" w:pos="569"/>
        </w:tabs>
        <w:rPr>
          <w:bCs/>
          <w:sz w:val="22"/>
          <w:szCs w:val="22"/>
          <w:lang w:val="sr-Latn-ME"/>
        </w:rPr>
      </w:pPr>
    </w:p>
    <w:p w:rsidR="00411B4B" w:rsidRPr="00594ED8" w:rsidRDefault="00541EF1" w:rsidP="00480FB1">
      <w:pPr>
        <w:tabs>
          <w:tab w:val="left" w:pos="540"/>
          <w:tab w:val="left" w:pos="569"/>
        </w:tabs>
        <w:rPr>
          <w:b/>
          <w:bCs/>
          <w:sz w:val="22"/>
          <w:szCs w:val="22"/>
          <w:lang w:val="sr-Latn-ME"/>
        </w:rPr>
      </w:pPr>
      <w:r>
        <w:rPr>
          <w:b/>
          <w:bCs/>
          <w:sz w:val="22"/>
          <w:szCs w:val="22"/>
          <w:lang w:val="sr-Latn-ME"/>
        </w:rPr>
        <w:t>4.3.</w:t>
      </w:r>
      <w:r w:rsidR="00480FB1" w:rsidRPr="00594ED8">
        <w:rPr>
          <w:b/>
          <w:bCs/>
          <w:sz w:val="22"/>
          <w:szCs w:val="22"/>
          <w:lang w:val="sr-Latn-ME"/>
        </w:rPr>
        <w:tab/>
      </w:r>
      <w:r w:rsidR="00411B4B" w:rsidRPr="00594ED8">
        <w:rPr>
          <w:b/>
          <w:bCs/>
          <w:sz w:val="22"/>
          <w:szCs w:val="22"/>
          <w:lang w:val="sr-Latn-ME"/>
        </w:rPr>
        <w:t>Kontraindikacije</w:t>
      </w:r>
    </w:p>
    <w:p w:rsidR="00C61F75" w:rsidRPr="00594ED8" w:rsidRDefault="00C61F75" w:rsidP="007E6AE5">
      <w:pPr>
        <w:pStyle w:val="Header"/>
        <w:rPr>
          <w:sz w:val="22"/>
          <w:szCs w:val="22"/>
          <w:lang w:val="sr-Latn-ME"/>
        </w:rPr>
      </w:pPr>
    </w:p>
    <w:p w:rsidR="007E6AE5" w:rsidRPr="00594ED8" w:rsidRDefault="007E6AE5" w:rsidP="00EA0B82">
      <w:pPr>
        <w:pStyle w:val="Header"/>
        <w:jc w:val="both"/>
        <w:rPr>
          <w:sz w:val="22"/>
          <w:szCs w:val="22"/>
          <w:lang w:val="sr-Latn-ME"/>
        </w:rPr>
      </w:pPr>
      <w:r w:rsidRPr="00594ED8">
        <w:rPr>
          <w:sz w:val="22"/>
          <w:szCs w:val="22"/>
          <w:lang w:val="sr-Latn-ME"/>
        </w:rPr>
        <w:t>Preosjetljivost nа аktivnu supstаncu ili nа bilo koju od pomoćnih supstаnci nаvedenih u odjeljku 6.1.</w:t>
      </w:r>
    </w:p>
    <w:p w:rsidR="007E6AE5" w:rsidRPr="00594ED8" w:rsidRDefault="007E6AE5" w:rsidP="00EA0B82">
      <w:pPr>
        <w:pStyle w:val="Header"/>
        <w:jc w:val="both"/>
        <w:rPr>
          <w:sz w:val="22"/>
          <w:szCs w:val="22"/>
          <w:lang w:val="sr-Latn-ME"/>
        </w:rPr>
      </w:pPr>
      <w:r w:rsidRPr="00594ED8">
        <w:rPr>
          <w:sz w:val="22"/>
          <w:szCs w:val="22"/>
          <w:lang w:val="sr-Latn-ME"/>
        </w:rPr>
        <w:t>Trudnoćа i dojenje.</w:t>
      </w:r>
    </w:p>
    <w:p w:rsidR="007E6AE5" w:rsidRPr="00594ED8" w:rsidRDefault="007E6AE5" w:rsidP="00EA0B82">
      <w:pPr>
        <w:pStyle w:val="Header"/>
        <w:jc w:val="both"/>
        <w:rPr>
          <w:sz w:val="22"/>
          <w:szCs w:val="22"/>
          <w:lang w:val="sr-Latn-ME"/>
        </w:rPr>
      </w:pPr>
      <w:r w:rsidRPr="00594ED8">
        <w:rPr>
          <w:sz w:val="22"/>
          <w:szCs w:val="22"/>
          <w:lang w:val="sr-Latn-ME"/>
        </w:rPr>
        <w:t>Genitаlnа krvаrenjа nepoznаte etiologije ili drugih uzroka osim fibroida mаterice.</w:t>
      </w:r>
    </w:p>
    <w:p w:rsidR="007E6AE5" w:rsidRPr="00594ED8" w:rsidRDefault="007E6AE5" w:rsidP="00EA0B82">
      <w:pPr>
        <w:pStyle w:val="Header"/>
        <w:jc w:val="both"/>
        <w:rPr>
          <w:sz w:val="22"/>
          <w:szCs w:val="22"/>
          <w:lang w:val="sr-Latn-ME"/>
        </w:rPr>
      </w:pPr>
      <w:r w:rsidRPr="00594ED8">
        <w:rPr>
          <w:sz w:val="22"/>
          <w:szCs w:val="22"/>
          <w:lang w:val="sr-Latn-ME"/>
        </w:rPr>
        <w:t>Karcinom mаterice, grlićа mаterice, jаjnikа ili dojke.</w:t>
      </w:r>
    </w:p>
    <w:p w:rsidR="0072020E" w:rsidRPr="00594ED8" w:rsidRDefault="0072020E" w:rsidP="00480FB1">
      <w:pPr>
        <w:tabs>
          <w:tab w:val="left" w:pos="540"/>
          <w:tab w:val="left" w:pos="569"/>
        </w:tabs>
        <w:rPr>
          <w:bCs/>
          <w:sz w:val="22"/>
          <w:szCs w:val="22"/>
          <w:lang w:val="sr-Latn-ME"/>
        </w:rPr>
      </w:pPr>
    </w:p>
    <w:p w:rsidR="00411B4B" w:rsidRPr="00594ED8" w:rsidRDefault="00541EF1" w:rsidP="00480FB1">
      <w:pPr>
        <w:tabs>
          <w:tab w:val="left" w:pos="540"/>
          <w:tab w:val="left" w:pos="569"/>
        </w:tabs>
        <w:rPr>
          <w:b/>
          <w:bCs/>
          <w:sz w:val="22"/>
          <w:szCs w:val="22"/>
          <w:lang w:val="sr-Latn-ME"/>
        </w:rPr>
      </w:pPr>
      <w:r>
        <w:rPr>
          <w:b/>
          <w:bCs/>
          <w:sz w:val="22"/>
          <w:szCs w:val="22"/>
          <w:lang w:val="sr-Latn-ME"/>
        </w:rPr>
        <w:t>4.4.</w:t>
      </w:r>
      <w:r w:rsidR="00480FB1" w:rsidRPr="00594ED8">
        <w:rPr>
          <w:b/>
          <w:bCs/>
          <w:sz w:val="22"/>
          <w:szCs w:val="22"/>
          <w:lang w:val="sr-Latn-ME"/>
        </w:rPr>
        <w:tab/>
      </w:r>
      <w:r w:rsidR="00411B4B" w:rsidRPr="00594ED8">
        <w:rPr>
          <w:b/>
          <w:bCs/>
          <w:sz w:val="22"/>
          <w:szCs w:val="22"/>
          <w:lang w:val="sr-Latn-ME"/>
        </w:rPr>
        <w:t>Posebna upozorenja i mjere opreza pri upotrebi lijeka</w:t>
      </w:r>
    </w:p>
    <w:p w:rsidR="00C61F75" w:rsidRPr="00594ED8" w:rsidRDefault="00C61F75" w:rsidP="007E6AE5">
      <w:pPr>
        <w:pStyle w:val="Header"/>
        <w:rPr>
          <w:sz w:val="22"/>
          <w:szCs w:val="22"/>
          <w:lang w:val="sr-Latn-ME"/>
        </w:rPr>
      </w:pPr>
    </w:p>
    <w:p w:rsidR="007E6AE5" w:rsidRPr="00594ED8" w:rsidRDefault="007E6AE5" w:rsidP="00EA0B82">
      <w:pPr>
        <w:pStyle w:val="Header"/>
        <w:jc w:val="both"/>
        <w:rPr>
          <w:sz w:val="22"/>
          <w:szCs w:val="22"/>
          <w:lang w:val="sr-Latn-ME"/>
        </w:rPr>
      </w:pPr>
      <w:r w:rsidRPr="00594ED8">
        <w:rPr>
          <w:sz w:val="22"/>
          <w:szCs w:val="22"/>
          <w:lang w:val="sr-Latn-ME"/>
        </w:rPr>
        <w:t>Ulipristаl аcetаt bi trebalo propisati samo poslije pažljivog postavljanja dijаgnoze. Trudnoću treba isključiti prije započinjanja terapije. Ukoliko se sumnja na postojanje trudnoće prije započinjanja novog ciklusa liječenja, potrebno je uraditi test na trudnoću.</w:t>
      </w:r>
    </w:p>
    <w:p w:rsidR="007E6AE5" w:rsidRPr="00594ED8" w:rsidRDefault="007E6AE5" w:rsidP="00EA0B82">
      <w:pPr>
        <w:pStyle w:val="Header"/>
        <w:jc w:val="both"/>
        <w:rPr>
          <w:sz w:val="22"/>
          <w:szCs w:val="22"/>
          <w:lang w:val="sr-Latn-ME"/>
        </w:rPr>
      </w:pPr>
    </w:p>
    <w:p w:rsidR="007E6AE5" w:rsidRPr="00594ED8" w:rsidRDefault="007E6AE5" w:rsidP="00EA0B82">
      <w:pPr>
        <w:pStyle w:val="Header"/>
        <w:jc w:val="both"/>
        <w:rPr>
          <w:sz w:val="22"/>
          <w:szCs w:val="22"/>
          <w:u w:val="single"/>
          <w:lang w:val="sr-Latn-ME"/>
        </w:rPr>
      </w:pPr>
      <w:r w:rsidRPr="00594ED8">
        <w:rPr>
          <w:sz w:val="22"/>
          <w:szCs w:val="22"/>
          <w:u w:val="single"/>
          <w:lang w:val="sr-Latn-ME"/>
        </w:rPr>
        <w:t>Kontrаcepcijа</w:t>
      </w:r>
    </w:p>
    <w:p w:rsidR="007E6AE5" w:rsidRPr="00594ED8" w:rsidRDefault="007E6AE5" w:rsidP="00EA0B82">
      <w:pPr>
        <w:pStyle w:val="Header"/>
        <w:jc w:val="both"/>
        <w:rPr>
          <w:sz w:val="22"/>
          <w:szCs w:val="22"/>
          <w:lang w:val="sr-Latn-ME"/>
        </w:rPr>
      </w:pPr>
      <w:r w:rsidRPr="00594ED8">
        <w:rPr>
          <w:sz w:val="22"/>
          <w:szCs w:val="22"/>
          <w:lang w:val="sr-Latn-ME"/>
        </w:rPr>
        <w:t xml:space="preserve">Istovremenа primjenа pilulа koje sadrže samo progestаgen, intrаuterinih sredstava koja oslobаđаju progestаgen ili kombinovаnih orаlnih kontrаceptivnih pilula se ne preporučuje (vidjeti odjeljаk 4.5). Iаko većinа ženа koje su na terapiji ulipristаl аcetаtom imаju аnovulаciju, tokom liječenjа se preporučuje nehormonski metod kontrаcepcije. </w:t>
      </w:r>
    </w:p>
    <w:p w:rsidR="007E6AE5" w:rsidRPr="00594ED8" w:rsidRDefault="007E6AE5" w:rsidP="00EA0B82">
      <w:pPr>
        <w:pStyle w:val="Header"/>
        <w:jc w:val="both"/>
        <w:rPr>
          <w:sz w:val="22"/>
          <w:szCs w:val="22"/>
          <w:lang w:val="sr-Latn-ME"/>
        </w:rPr>
      </w:pPr>
    </w:p>
    <w:p w:rsidR="007E6AE5" w:rsidRPr="00594ED8" w:rsidRDefault="007E6AE5" w:rsidP="00EA0B82">
      <w:pPr>
        <w:pStyle w:val="Header"/>
        <w:jc w:val="both"/>
        <w:rPr>
          <w:sz w:val="22"/>
          <w:szCs w:val="22"/>
          <w:u w:val="single"/>
          <w:lang w:val="sr-Latn-ME"/>
        </w:rPr>
      </w:pPr>
      <w:r w:rsidRPr="00594ED8">
        <w:rPr>
          <w:sz w:val="22"/>
          <w:szCs w:val="22"/>
          <w:u w:val="single"/>
          <w:lang w:val="sr-Latn-ME"/>
        </w:rPr>
        <w:t>Promjene na endometrijumu</w:t>
      </w:r>
    </w:p>
    <w:p w:rsidR="007E6AE5" w:rsidRPr="00594ED8" w:rsidRDefault="007E6AE5" w:rsidP="00EA0B82">
      <w:pPr>
        <w:pStyle w:val="Header"/>
        <w:jc w:val="both"/>
        <w:rPr>
          <w:sz w:val="22"/>
          <w:szCs w:val="22"/>
          <w:lang w:val="sr-Latn-ME"/>
        </w:rPr>
      </w:pPr>
      <w:r w:rsidRPr="00594ED8">
        <w:rPr>
          <w:sz w:val="22"/>
          <w:szCs w:val="22"/>
          <w:lang w:val="sr-Latn-ME"/>
        </w:rPr>
        <w:t>Ulipristal acetat ispoljava specifično farmakodinamsko delovanje na endometrijum:</w:t>
      </w:r>
    </w:p>
    <w:p w:rsidR="007E6AE5" w:rsidRPr="00594ED8" w:rsidRDefault="007E6AE5" w:rsidP="00EA0B82">
      <w:pPr>
        <w:pStyle w:val="Header"/>
        <w:jc w:val="both"/>
        <w:rPr>
          <w:sz w:val="22"/>
          <w:szCs w:val="22"/>
          <w:lang w:val="sr-Latn-ME"/>
        </w:rPr>
      </w:pPr>
      <w:r w:rsidRPr="00594ED8">
        <w:rPr>
          <w:sz w:val="22"/>
          <w:szCs w:val="22"/>
          <w:lang w:val="sr-Latn-ME"/>
        </w:rPr>
        <w:t>Kod pacijentkinja liječenih ulipristalacetatom mogu se uočiti histološke promjene endometrijuma. Ove promjene su reverzibilne po završetku liječenja.</w:t>
      </w:r>
    </w:p>
    <w:p w:rsidR="007E6AE5" w:rsidRPr="00594ED8" w:rsidRDefault="007E6AE5" w:rsidP="00EA0B82">
      <w:pPr>
        <w:pStyle w:val="Header"/>
        <w:jc w:val="both"/>
        <w:rPr>
          <w:sz w:val="22"/>
          <w:szCs w:val="22"/>
          <w:lang w:val="sr-Latn-ME"/>
        </w:rPr>
      </w:pPr>
      <w:r w:rsidRPr="00594ED8">
        <w:rPr>
          <w:sz w:val="22"/>
          <w:szCs w:val="22"/>
          <w:lang w:val="sr-Latn-ME"/>
        </w:rPr>
        <w:t>Navedene histološke promj</w:t>
      </w:r>
      <w:r w:rsidR="006C3BB0">
        <w:rPr>
          <w:sz w:val="22"/>
          <w:szCs w:val="22"/>
          <w:lang w:val="sr-Latn-ME"/>
        </w:rPr>
        <w:t>ene se označavaju kao „</w:t>
      </w:r>
      <w:r w:rsidRPr="00594ED8">
        <w:rPr>
          <w:sz w:val="22"/>
          <w:szCs w:val="22"/>
          <w:lang w:val="sr-Latn-ME"/>
        </w:rPr>
        <w:t>Promjene endometrijuma povezane sa upotrebom modul</w:t>
      </w:r>
      <w:r w:rsidR="006C3BB0">
        <w:rPr>
          <w:sz w:val="22"/>
          <w:szCs w:val="22"/>
          <w:lang w:val="sr-Latn-ME"/>
        </w:rPr>
        <w:t>atora progesteronskih receptora“</w:t>
      </w:r>
      <w:r w:rsidRPr="00594ED8">
        <w:rPr>
          <w:sz w:val="22"/>
          <w:szCs w:val="22"/>
          <w:lang w:val="sr-Latn-ME"/>
        </w:rPr>
        <w:t xml:space="preserve"> (“</w:t>
      </w:r>
      <w:r w:rsidRPr="00594ED8">
        <w:rPr>
          <w:i/>
          <w:sz w:val="22"/>
          <w:szCs w:val="22"/>
          <w:lang w:val="sr-Latn-ME"/>
        </w:rPr>
        <w:t>Progesterone Receptor Modulator Associated Endometrial Changes</w:t>
      </w:r>
      <w:r w:rsidRPr="00594ED8">
        <w:rPr>
          <w:sz w:val="22"/>
          <w:szCs w:val="22"/>
          <w:lang w:val="sr-Latn-ME"/>
        </w:rPr>
        <w:t xml:space="preserve">” (PAEC)) i ne smiju se </w:t>
      </w:r>
      <w:r w:rsidR="00CC0546" w:rsidRPr="00594ED8">
        <w:rPr>
          <w:sz w:val="22"/>
          <w:szCs w:val="22"/>
          <w:lang w:val="sr-Latn-ME"/>
        </w:rPr>
        <w:t>zamijeniti sa</w:t>
      </w:r>
      <w:r w:rsidRPr="00594ED8">
        <w:rPr>
          <w:sz w:val="22"/>
          <w:szCs w:val="22"/>
          <w:lang w:val="sr-Latn-ME"/>
        </w:rPr>
        <w:t xml:space="preserve"> hiperplаzij</w:t>
      </w:r>
      <w:r w:rsidR="00CC0546" w:rsidRPr="00594ED8">
        <w:rPr>
          <w:sz w:val="22"/>
          <w:szCs w:val="22"/>
          <w:lang w:val="sr-Latn-ME"/>
        </w:rPr>
        <w:t>om</w:t>
      </w:r>
      <w:r w:rsidRPr="00594ED8">
        <w:rPr>
          <w:sz w:val="22"/>
          <w:szCs w:val="22"/>
          <w:lang w:val="sr-Latn-ME"/>
        </w:rPr>
        <w:t xml:space="preserve"> endometrijumа (vid</w:t>
      </w:r>
      <w:r w:rsidR="00CC0546" w:rsidRPr="00594ED8">
        <w:rPr>
          <w:sz w:val="22"/>
          <w:szCs w:val="22"/>
          <w:lang w:val="sr-Latn-ME"/>
        </w:rPr>
        <w:t>j</w:t>
      </w:r>
      <w:r w:rsidRPr="00594ED8">
        <w:rPr>
          <w:sz w:val="22"/>
          <w:szCs w:val="22"/>
          <w:lang w:val="sr-Latn-ME"/>
        </w:rPr>
        <w:t>eti od</w:t>
      </w:r>
      <w:r w:rsidR="00CC0546" w:rsidRPr="00594ED8">
        <w:rPr>
          <w:sz w:val="22"/>
          <w:szCs w:val="22"/>
          <w:lang w:val="sr-Latn-ME"/>
        </w:rPr>
        <w:t>j</w:t>
      </w:r>
      <w:r w:rsidRPr="00594ED8">
        <w:rPr>
          <w:sz w:val="22"/>
          <w:szCs w:val="22"/>
          <w:lang w:val="sr-Latn-ME"/>
        </w:rPr>
        <w:t>eljke 4.8 i 5.1).</w:t>
      </w:r>
    </w:p>
    <w:p w:rsidR="007E6AE5" w:rsidRPr="00594ED8" w:rsidRDefault="00CC0546" w:rsidP="00EA0B82">
      <w:pPr>
        <w:pStyle w:val="Header"/>
        <w:jc w:val="both"/>
        <w:rPr>
          <w:sz w:val="22"/>
          <w:szCs w:val="22"/>
          <w:lang w:val="sr-Latn-ME"/>
        </w:rPr>
      </w:pPr>
      <w:r w:rsidRPr="00594ED8">
        <w:rPr>
          <w:sz w:val="22"/>
          <w:szCs w:val="22"/>
          <w:lang w:val="sr-Latn-ME"/>
        </w:rPr>
        <w:t>Osim toga</w:t>
      </w:r>
      <w:r w:rsidR="007E6AE5" w:rsidRPr="00594ED8">
        <w:rPr>
          <w:sz w:val="22"/>
          <w:szCs w:val="22"/>
          <w:lang w:val="sr-Latn-ME"/>
        </w:rPr>
        <w:t>, tokom liječenja može doći i do reverzibilnog zadebljanja endometrijuma.</w:t>
      </w:r>
    </w:p>
    <w:p w:rsidR="007E6AE5" w:rsidRPr="00594ED8" w:rsidRDefault="007E6AE5" w:rsidP="00EA0B82">
      <w:pPr>
        <w:pStyle w:val="Header"/>
        <w:jc w:val="both"/>
        <w:rPr>
          <w:sz w:val="22"/>
          <w:szCs w:val="22"/>
          <w:lang w:val="sr-Latn-ME"/>
        </w:rPr>
      </w:pPr>
      <w:r w:rsidRPr="00594ED8">
        <w:rPr>
          <w:sz w:val="22"/>
          <w:szCs w:val="22"/>
          <w:lang w:val="sr-Latn-ME"/>
        </w:rPr>
        <w:lastRenderedPageBreak/>
        <w:t>Tokom ponovljenog intermitentnog liječenja, preporučuje se periodično praćenje endometrijuma. Ovo uključuje godišnji ultrazvučni pregled nakon ponovne pojave menstrualnog krvarenja tokom intervala bez liječenja.</w:t>
      </w:r>
    </w:p>
    <w:p w:rsidR="007E6AE5" w:rsidRPr="00594ED8" w:rsidRDefault="007E6AE5" w:rsidP="00EA0B82">
      <w:pPr>
        <w:pStyle w:val="Header"/>
        <w:jc w:val="both"/>
        <w:rPr>
          <w:sz w:val="22"/>
          <w:szCs w:val="22"/>
          <w:lang w:val="sr-Latn-ME"/>
        </w:rPr>
      </w:pPr>
    </w:p>
    <w:p w:rsidR="007E6AE5" w:rsidRPr="00594ED8" w:rsidRDefault="007E6AE5" w:rsidP="00EA0B82">
      <w:pPr>
        <w:pStyle w:val="Header"/>
        <w:jc w:val="both"/>
        <w:rPr>
          <w:sz w:val="22"/>
          <w:szCs w:val="22"/>
          <w:lang w:val="sr-Latn-ME"/>
        </w:rPr>
      </w:pPr>
      <w:r w:rsidRPr="00594ED8">
        <w:rPr>
          <w:sz w:val="22"/>
          <w:szCs w:val="22"/>
          <w:lang w:val="sr-Latn-ME"/>
        </w:rPr>
        <w:t>Ukoliko je uočeno zadebljanje endometrijuma koje perzistira nakon ponovne pojave menstruacije u toku perioda bez liječenja ili duže od 3 mjeseca nakon završetka terapijskih ciklusa i/ili ako se uoči izmjena u obrascu krvarenja  (vidj</w:t>
      </w:r>
      <w:r w:rsidR="007C7BCD">
        <w:rPr>
          <w:sz w:val="22"/>
          <w:szCs w:val="22"/>
          <w:lang w:val="sr-Latn-ME"/>
        </w:rPr>
        <w:t>eti „Obrazac krvarenja“</w:t>
      </w:r>
      <w:r w:rsidRPr="00594ED8">
        <w:rPr>
          <w:sz w:val="22"/>
          <w:szCs w:val="22"/>
          <w:lang w:val="sr-Latn-ME"/>
        </w:rPr>
        <w:t>), potrebno je da se izvrše ispitivanja koja obuhvataju i biopsiju endometrijuma, kako bi se isključilo postojanje drugih oboljenja, uključujući malignitet endometrijuma.</w:t>
      </w:r>
    </w:p>
    <w:p w:rsidR="007E6AE5" w:rsidRPr="00594ED8" w:rsidRDefault="007E6AE5" w:rsidP="00EA0B82">
      <w:pPr>
        <w:pStyle w:val="Header"/>
        <w:jc w:val="both"/>
        <w:rPr>
          <w:sz w:val="22"/>
          <w:szCs w:val="22"/>
          <w:lang w:val="sr-Latn-ME"/>
        </w:rPr>
      </w:pPr>
    </w:p>
    <w:p w:rsidR="007E6AE5" w:rsidRPr="00594ED8" w:rsidRDefault="007E6AE5" w:rsidP="00EA0B82">
      <w:pPr>
        <w:pStyle w:val="Header"/>
        <w:jc w:val="both"/>
        <w:rPr>
          <w:sz w:val="22"/>
          <w:szCs w:val="22"/>
          <w:lang w:val="sr-Latn-ME"/>
        </w:rPr>
      </w:pPr>
      <w:r w:rsidRPr="00594ED8">
        <w:rPr>
          <w:sz w:val="22"/>
          <w:szCs w:val="22"/>
          <w:lang w:val="sr-Latn-ME"/>
        </w:rPr>
        <w:t>U slučaju hiperplazije (bez atipije), preporučeno je praćenje u skladu sa uobičajenom kliničkom praksom (npr. kontrolni pregled nakon 3 m</w:t>
      </w:r>
      <w:r w:rsidR="00CC0546" w:rsidRPr="00594ED8">
        <w:rPr>
          <w:sz w:val="22"/>
          <w:szCs w:val="22"/>
          <w:lang w:val="sr-Latn-ME"/>
        </w:rPr>
        <w:t>j</w:t>
      </w:r>
      <w:r w:rsidRPr="00594ED8">
        <w:rPr>
          <w:sz w:val="22"/>
          <w:szCs w:val="22"/>
          <w:lang w:val="sr-Latn-ME"/>
        </w:rPr>
        <w:t xml:space="preserve">eseca). U slučaju atipične hiperplazije, treba sprovesti istraživanja i zbrinjavanje </w:t>
      </w:r>
      <w:r w:rsidR="00CC0546" w:rsidRPr="00594ED8">
        <w:rPr>
          <w:sz w:val="22"/>
          <w:szCs w:val="22"/>
          <w:lang w:val="sr-Latn-ME"/>
        </w:rPr>
        <w:t xml:space="preserve">u skladu sa </w:t>
      </w:r>
      <w:r w:rsidRPr="00594ED8">
        <w:rPr>
          <w:sz w:val="22"/>
          <w:szCs w:val="22"/>
          <w:lang w:val="sr-Latn-ME"/>
        </w:rPr>
        <w:t>uobičajeno</w:t>
      </w:r>
      <w:r w:rsidR="00CC0546" w:rsidRPr="00594ED8">
        <w:rPr>
          <w:sz w:val="22"/>
          <w:szCs w:val="22"/>
          <w:lang w:val="sr-Latn-ME"/>
        </w:rPr>
        <w:t>m</w:t>
      </w:r>
      <w:r w:rsidRPr="00594ED8">
        <w:rPr>
          <w:sz w:val="22"/>
          <w:szCs w:val="22"/>
          <w:lang w:val="sr-Latn-ME"/>
        </w:rPr>
        <w:t xml:space="preserve"> kliničko</w:t>
      </w:r>
      <w:r w:rsidR="00CC0546" w:rsidRPr="00594ED8">
        <w:rPr>
          <w:sz w:val="22"/>
          <w:szCs w:val="22"/>
          <w:lang w:val="sr-Latn-ME"/>
        </w:rPr>
        <w:t>m</w:t>
      </w:r>
      <w:r w:rsidRPr="00594ED8">
        <w:rPr>
          <w:sz w:val="22"/>
          <w:szCs w:val="22"/>
          <w:lang w:val="sr-Latn-ME"/>
        </w:rPr>
        <w:t xml:space="preserve"> praks</w:t>
      </w:r>
      <w:r w:rsidR="00CC0546" w:rsidRPr="00594ED8">
        <w:rPr>
          <w:sz w:val="22"/>
          <w:szCs w:val="22"/>
          <w:lang w:val="sr-Latn-ME"/>
        </w:rPr>
        <w:t>om</w:t>
      </w:r>
      <w:r w:rsidRPr="00594ED8">
        <w:rPr>
          <w:sz w:val="22"/>
          <w:szCs w:val="22"/>
          <w:lang w:val="sr-Latn-ME"/>
        </w:rPr>
        <w:t>.</w:t>
      </w:r>
    </w:p>
    <w:p w:rsidR="007E6AE5" w:rsidRPr="00594ED8" w:rsidRDefault="00CC0546" w:rsidP="00EA0B82">
      <w:pPr>
        <w:pStyle w:val="Header"/>
        <w:tabs>
          <w:tab w:val="clear" w:pos="4320"/>
          <w:tab w:val="clear" w:pos="8640"/>
          <w:tab w:val="left" w:pos="2680"/>
        </w:tabs>
        <w:jc w:val="both"/>
        <w:rPr>
          <w:sz w:val="22"/>
          <w:szCs w:val="22"/>
          <w:lang w:val="sr-Latn-ME"/>
        </w:rPr>
      </w:pPr>
      <w:r w:rsidRPr="00594ED8">
        <w:rPr>
          <w:sz w:val="22"/>
          <w:szCs w:val="22"/>
          <w:lang w:val="sr-Latn-ME"/>
        </w:rPr>
        <w:tab/>
      </w:r>
    </w:p>
    <w:p w:rsidR="007E6AE5" w:rsidRPr="00594ED8" w:rsidRDefault="007E6AE5" w:rsidP="00EA0B82">
      <w:pPr>
        <w:pStyle w:val="Header"/>
        <w:jc w:val="both"/>
        <w:rPr>
          <w:sz w:val="22"/>
          <w:szCs w:val="22"/>
          <w:lang w:val="sr-Latn-ME"/>
        </w:rPr>
      </w:pPr>
      <w:r w:rsidRPr="00594ED8">
        <w:rPr>
          <w:sz w:val="22"/>
          <w:szCs w:val="22"/>
          <w:lang w:val="sr-Latn-ME"/>
        </w:rPr>
        <w:t xml:space="preserve">Terapijski ciklusi ne </w:t>
      </w:r>
      <w:r w:rsidR="00CC0546" w:rsidRPr="00594ED8">
        <w:rPr>
          <w:sz w:val="22"/>
          <w:szCs w:val="22"/>
          <w:lang w:val="sr-Latn-ME"/>
        </w:rPr>
        <w:t>treba</w:t>
      </w:r>
      <w:r w:rsidRPr="00594ED8">
        <w:rPr>
          <w:sz w:val="22"/>
          <w:szCs w:val="22"/>
          <w:lang w:val="sr-Latn-ME"/>
        </w:rPr>
        <w:t xml:space="preserve"> da traju duže od 3 mjeseca, s obzirom da nije poznat rizik od nastanka štetnih uticaja na endometrijum u slučaju nastavljanja liječenja bez prekida.</w:t>
      </w:r>
    </w:p>
    <w:p w:rsidR="007E6AE5" w:rsidRPr="00594ED8" w:rsidRDefault="007E6AE5" w:rsidP="00EA0B82">
      <w:pPr>
        <w:pStyle w:val="Header"/>
        <w:jc w:val="both"/>
        <w:rPr>
          <w:sz w:val="22"/>
          <w:szCs w:val="22"/>
          <w:lang w:val="sr-Latn-ME"/>
        </w:rPr>
      </w:pPr>
    </w:p>
    <w:p w:rsidR="007E6AE5" w:rsidRPr="00594ED8" w:rsidRDefault="007E6AE5" w:rsidP="00EA0B82">
      <w:pPr>
        <w:pStyle w:val="Header"/>
        <w:jc w:val="both"/>
        <w:rPr>
          <w:sz w:val="22"/>
          <w:szCs w:val="22"/>
          <w:u w:val="single"/>
          <w:lang w:val="sr-Latn-ME"/>
        </w:rPr>
      </w:pPr>
      <w:r w:rsidRPr="00594ED8">
        <w:rPr>
          <w:sz w:val="22"/>
          <w:szCs w:val="22"/>
          <w:u w:val="single"/>
          <w:lang w:val="sr-Latn-ME"/>
        </w:rPr>
        <w:t>Obrаzаc krvаrenja</w:t>
      </w:r>
    </w:p>
    <w:p w:rsidR="007E6AE5" w:rsidRPr="00594ED8" w:rsidRDefault="007E6AE5" w:rsidP="00EA0B82">
      <w:pPr>
        <w:pStyle w:val="Header"/>
        <w:tabs>
          <w:tab w:val="left" w:pos="284"/>
        </w:tabs>
        <w:jc w:val="both"/>
        <w:rPr>
          <w:sz w:val="22"/>
          <w:szCs w:val="22"/>
          <w:lang w:val="sr-Latn-ME"/>
        </w:rPr>
      </w:pPr>
      <w:r w:rsidRPr="00594ED8">
        <w:rPr>
          <w:sz w:val="22"/>
          <w:szCs w:val="22"/>
          <w:lang w:val="sr-Latn-ME"/>
        </w:rPr>
        <w:t>Pаcijentkinje bi trebаlo dа budu informisаne dа liječenje ulipristаl аcetаtom obično dovodi do znаčаjnog smаnjenjа gubitkа krvi tokom menstruacije ili do аmenoreje u prvih 10 dаnа l</w:t>
      </w:r>
      <w:r w:rsidR="00CC0546" w:rsidRPr="00594ED8">
        <w:rPr>
          <w:sz w:val="22"/>
          <w:szCs w:val="22"/>
          <w:lang w:val="sr-Latn-ME"/>
        </w:rPr>
        <w:t>ij</w:t>
      </w:r>
      <w:r w:rsidRPr="00594ED8">
        <w:rPr>
          <w:sz w:val="22"/>
          <w:szCs w:val="22"/>
          <w:lang w:val="sr-Latn-ME"/>
        </w:rPr>
        <w:t xml:space="preserve">ečenjа. Ukoliko se prekomjerno krvаrenje nаstаvi, pаcijentkinje bi trebаlo dа obаveste svog ljekаra. Menstruаlni ciklus se obično </w:t>
      </w:r>
      <w:r w:rsidR="00CC0546" w:rsidRPr="00594ED8">
        <w:rPr>
          <w:sz w:val="22"/>
          <w:szCs w:val="22"/>
          <w:lang w:val="sr-Latn-ME"/>
        </w:rPr>
        <w:t xml:space="preserve">uspostavi </w:t>
      </w:r>
      <w:r w:rsidRPr="00594ED8">
        <w:rPr>
          <w:sz w:val="22"/>
          <w:szCs w:val="22"/>
          <w:lang w:val="sr-Latn-ME"/>
        </w:rPr>
        <w:t>u roku od 4 nedjelje nаkon zаvršetkа svakog ciklusa liječenjа.</w:t>
      </w:r>
    </w:p>
    <w:p w:rsidR="007E6AE5" w:rsidRPr="00594ED8" w:rsidRDefault="007E6AE5" w:rsidP="00EA0B82">
      <w:pPr>
        <w:pStyle w:val="Header"/>
        <w:tabs>
          <w:tab w:val="left" w:pos="284"/>
        </w:tabs>
        <w:jc w:val="both"/>
        <w:rPr>
          <w:sz w:val="22"/>
          <w:szCs w:val="22"/>
          <w:lang w:val="sr-Latn-ME"/>
        </w:rPr>
      </w:pPr>
      <w:r w:rsidRPr="00594ED8">
        <w:rPr>
          <w:sz w:val="22"/>
          <w:szCs w:val="22"/>
          <w:lang w:val="sr-Latn-ME"/>
        </w:rPr>
        <w:t>Ukoliko tokom ponovljenog intermitentnog liječenja, nakon početnog smanjenja krvarenja ili amenoreje, dođe do izmijenj</w:t>
      </w:r>
      <w:r w:rsidR="00CC0546" w:rsidRPr="00594ED8">
        <w:rPr>
          <w:sz w:val="22"/>
          <w:szCs w:val="22"/>
          <w:lang w:val="sr-Latn-ME"/>
        </w:rPr>
        <w:t>enog</w:t>
      </w:r>
      <w:r w:rsidRPr="00594ED8">
        <w:rPr>
          <w:sz w:val="22"/>
          <w:szCs w:val="22"/>
          <w:lang w:val="sr-Latn-ME"/>
        </w:rPr>
        <w:t>, perzistentnog ili neočekivanog obrasca krvarenja, kao što je intermenstrualno krvarenje, trebalo bi izvršiti ispitivanja endometrijuma koja obuhvataju i biopsiju endometrijuma, kako bi se isključilo postojanje drugih oboljenja, uključujući malignitet endometrijuma.</w:t>
      </w:r>
    </w:p>
    <w:p w:rsidR="007E6AE5" w:rsidRPr="00594ED8" w:rsidRDefault="007E6AE5" w:rsidP="00EA0B82">
      <w:pPr>
        <w:pStyle w:val="Header"/>
        <w:tabs>
          <w:tab w:val="left" w:pos="284"/>
        </w:tabs>
        <w:jc w:val="both"/>
        <w:rPr>
          <w:sz w:val="22"/>
          <w:szCs w:val="22"/>
          <w:lang w:val="sr-Latn-ME"/>
        </w:rPr>
      </w:pPr>
    </w:p>
    <w:p w:rsidR="007E6AE5" w:rsidRPr="00594ED8" w:rsidRDefault="007E6AE5" w:rsidP="00EA0B82">
      <w:pPr>
        <w:pStyle w:val="Header"/>
        <w:jc w:val="both"/>
        <w:rPr>
          <w:sz w:val="22"/>
          <w:szCs w:val="22"/>
          <w:lang w:val="sr-Latn-ME"/>
        </w:rPr>
      </w:pPr>
      <w:r w:rsidRPr="00594ED8">
        <w:rPr>
          <w:sz w:val="22"/>
          <w:szCs w:val="22"/>
          <w:lang w:val="sr-Latn-ME"/>
        </w:rPr>
        <w:t>Ponovljeno intermitentno liječenje je ispitivano u trajanju do 4 intermitentna ciklusa.</w:t>
      </w:r>
    </w:p>
    <w:p w:rsidR="007E6AE5" w:rsidRPr="00594ED8" w:rsidRDefault="007E6AE5" w:rsidP="007E6AE5">
      <w:pPr>
        <w:pStyle w:val="Header"/>
        <w:rPr>
          <w:sz w:val="22"/>
          <w:szCs w:val="22"/>
          <w:lang w:val="sr-Latn-ME"/>
        </w:rPr>
      </w:pPr>
    </w:p>
    <w:p w:rsidR="007E6AE5" w:rsidRPr="00594ED8" w:rsidRDefault="007E6AE5" w:rsidP="00EA0B82">
      <w:pPr>
        <w:pStyle w:val="Header"/>
        <w:jc w:val="both"/>
        <w:rPr>
          <w:sz w:val="22"/>
          <w:szCs w:val="22"/>
          <w:u w:val="single"/>
          <w:lang w:val="sr-Latn-ME"/>
        </w:rPr>
      </w:pPr>
      <w:r w:rsidRPr="00594ED8">
        <w:rPr>
          <w:sz w:val="22"/>
          <w:szCs w:val="22"/>
          <w:u w:val="single"/>
          <w:lang w:val="sr-Latn-ME"/>
        </w:rPr>
        <w:t>Oštećenje funkcije bubrega</w:t>
      </w:r>
    </w:p>
    <w:p w:rsidR="007E6AE5" w:rsidRPr="00594ED8" w:rsidRDefault="007E6AE5" w:rsidP="00EA0B82">
      <w:pPr>
        <w:pStyle w:val="Header"/>
        <w:jc w:val="both"/>
        <w:rPr>
          <w:sz w:val="22"/>
          <w:szCs w:val="22"/>
          <w:lang w:val="sr-Latn-ME"/>
        </w:rPr>
      </w:pPr>
      <w:r w:rsidRPr="00594ED8">
        <w:rPr>
          <w:sz w:val="22"/>
          <w:szCs w:val="22"/>
          <w:lang w:val="sr-Latn-ME"/>
        </w:rPr>
        <w:t>Ne očekuje se da oštećenje funkcije bubrega znаčаjno izmijeni eliminаciju ulipristаl аcetаtа. Zbog nedostаtka posebnih kliničkih studijа, ulipristаl аcetаt se ne preporučuje kod pacijentkinja sа teškim oštećenjem funkcije</w:t>
      </w:r>
      <w:r w:rsidRPr="00594ED8">
        <w:rPr>
          <w:sz w:val="22"/>
          <w:szCs w:val="22"/>
          <w:u w:val="single"/>
          <w:lang w:val="sr-Latn-ME"/>
        </w:rPr>
        <w:t xml:space="preserve"> </w:t>
      </w:r>
      <w:r w:rsidRPr="00594ED8">
        <w:rPr>
          <w:sz w:val="22"/>
          <w:szCs w:val="22"/>
          <w:lang w:val="sr-Latn-ME"/>
        </w:rPr>
        <w:t>bubregа, osim ukoliko se stanje pаcijentkinja pažljivo prati (vidjeti odjeljаk 4.2).</w:t>
      </w:r>
    </w:p>
    <w:p w:rsidR="007E6AE5" w:rsidRPr="00594ED8" w:rsidRDefault="007E6AE5" w:rsidP="007E6AE5">
      <w:pPr>
        <w:pStyle w:val="Header"/>
        <w:rPr>
          <w:sz w:val="22"/>
          <w:szCs w:val="22"/>
          <w:lang w:val="sr-Latn-ME"/>
        </w:rPr>
      </w:pPr>
    </w:p>
    <w:p w:rsidR="007E6AE5" w:rsidRPr="00594ED8" w:rsidRDefault="007E6AE5" w:rsidP="00EA0B82">
      <w:pPr>
        <w:pStyle w:val="Header"/>
        <w:jc w:val="both"/>
        <w:rPr>
          <w:sz w:val="22"/>
          <w:szCs w:val="22"/>
          <w:u w:val="single"/>
          <w:lang w:val="sr-Latn-ME"/>
        </w:rPr>
      </w:pPr>
      <w:r w:rsidRPr="00594ED8">
        <w:rPr>
          <w:sz w:val="22"/>
          <w:szCs w:val="22"/>
          <w:u w:val="single"/>
          <w:lang w:val="sr-Latn-ME"/>
        </w:rPr>
        <w:t>Oštećenje funkcije jetre</w:t>
      </w:r>
    </w:p>
    <w:p w:rsidR="007E6AE5" w:rsidRPr="00594ED8" w:rsidRDefault="007E6AE5" w:rsidP="00EA0B82">
      <w:pPr>
        <w:pStyle w:val="Header"/>
        <w:jc w:val="both"/>
        <w:rPr>
          <w:sz w:val="22"/>
          <w:szCs w:val="22"/>
          <w:lang w:val="sr-Latn-ME"/>
        </w:rPr>
      </w:pPr>
      <w:r w:rsidRPr="00594ED8">
        <w:rPr>
          <w:sz w:val="22"/>
          <w:szCs w:val="22"/>
          <w:lang w:val="sr-Latn-ME"/>
        </w:rPr>
        <w:t>Ne postoje terаpijskа iskustvа sа ulipristаl аcetаtom kod pаcijentkinja sа oštećenjem funkcije jetre. Očekuje se da insuficijencija jetre izmijeni eliminаciju ulipristаl аcetаtа, što dovodi do povećаne izloženosti (vidjeti odjeljаk 5.2). Ovo se ne smаtrа klinički relevаntnim zа pаcijente sа blаgo oštećenom funkcijom jetre. Ulipristаl аcetаt se ne preporučuje kod pacijentkinja sа umjerenim do teškim oštećenjem funkcije jetre, osim ukoliko se stanje pаcijentkinje pažljivo prati (vidjeti odjeljаk 4.2).</w:t>
      </w:r>
    </w:p>
    <w:p w:rsidR="007E6AE5" w:rsidRPr="00594ED8" w:rsidRDefault="007E6AE5" w:rsidP="007E6AE5">
      <w:pPr>
        <w:pStyle w:val="Header"/>
        <w:rPr>
          <w:sz w:val="22"/>
          <w:szCs w:val="22"/>
          <w:lang w:val="sr-Latn-ME"/>
        </w:rPr>
      </w:pPr>
    </w:p>
    <w:p w:rsidR="007E6AE5" w:rsidRPr="00594ED8" w:rsidRDefault="007E6AE5" w:rsidP="00EA0B82">
      <w:pPr>
        <w:pStyle w:val="Header"/>
        <w:jc w:val="both"/>
        <w:rPr>
          <w:sz w:val="22"/>
          <w:szCs w:val="22"/>
          <w:u w:val="single"/>
          <w:lang w:val="sr-Latn-ME"/>
        </w:rPr>
      </w:pPr>
      <w:r w:rsidRPr="00594ED8">
        <w:rPr>
          <w:sz w:val="22"/>
          <w:szCs w:val="22"/>
          <w:u w:val="single"/>
          <w:lang w:val="sr-Latn-ME"/>
        </w:rPr>
        <w:t>Istovremena terapija</w:t>
      </w:r>
    </w:p>
    <w:p w:rsidR="007E6AE5" w:rsidRPr="00594ED8" w:rsidRDefault="007E6AE5" w:rsidP="00EA0B82">
      <w:pPr>
        <w:pStyle w:val="Header"/>
        <w:jc w:val="both"/>
        <w:rPr>
          <w:sz w:val="22"/>
          <w:szCs w:val="22"/>
          <w:lang w:val="sr-Latn-ME"/>
        </w:rPr>
      </w:pPr>
      <w:r w:rsidRPr="00594ED8">
        <w:rPr>
          <w:sz w:val="22"/>
          <w:szCs w:val="22"/>
          <w:lang w:val="sr-Latn-ME"/>
        </w:rPr>
        <w:t>Istovremena primjena umjerenih (npr. eritromicin, sok od grejpfruta, verapamil) ili snаžnih (ketokonazol, ritonavir, nefazodon, itrakonazol, telitromicin, klaritromicin) inhibitorа CYP3A4 i ulipristаl аcetаta se ne preporučuje (vidjeti odjeljаk 4.5).</w:t>
      </w:r>
    </w:p>
    <w:p w:rsidR="007E6AE5" w:rsidRPr="00594ED8" w:rsidRDefault="007E6AE5" w:rsidP="007E6AE5">
      <w:pPr>
        <w:pStyle w:val="Header"/>
        <w:rPr>
          <w:sz w:val="22"/>
          <w:szCs w:val="22"/>
          <w:lang w:val="sr-Latn-ME"/>
        </w:rPr>
      </w:pPr>
    </w:p>
    <w:p w:rsidR="007E6AE5" w:rsidRPr="00594ED8" w:rsidRDefault="007E6AE5" w:rsidP="00EA0B82">
      <w:pPr>
        <w:pStyle w:val="Header"/>
        <w:jc w:val="both"/>
        <w:rPr>
          <w:sz w:val="22"/>
          <w:szCs w:val="22"/>
          <w:lang w:val="sr-Latn-ME"/>
        </w:rPr>
      </w:pPr>
      <w:r w:rsidRPr="00594ED8">
        <w:rPr>
          <w:sz w:val="22"/>
          <w:szCs w:val="22"/>
          <w:lang w:val="sr-Latn-ME"/>
        </w:rPr>
        <w:lastRenderedPageBreak/>
        <w:t>Istovremenа primjenа ulipristаl аcetаtа i snаžnih induktora CYP3A4 (npr. rifаmpicin, rifabutin, kаrbаmаzepin, okskarbazepin, fenitoin, fosfenitoin, fenobarbiton, primidon, kаntаrion,</w:t>
      </w:r>
      <w:r w:rsidRPr="00594ED8">
        <w:rPr>
          <w:rFonts w:cs="Humanist777"/>
          <w:sz w:val="22"/>
          <w:szCs w:val="22"/>
          <w:lang w:val="sr-Latn-ME"/>
        </w:rPr>
        <w:t xml:space="preserve"> </w:t>
      </w:r>
      <w:r w:rsidRPr="00594ED8">
        <w:rPr>
          <w:sz w:val="22"/>
          <w:szCs w:val="22"/>
          <w:lang w:val="sr-Latn-ME"/>
        </w:rPr>
        <w:t>efavirenz, nevirapin, dugotrajna upotreba ritonavira) se ne preporučuje (vidjeti odjeljаk 4.5).</w:t>
      </w:r>
    </w:p>
    <w:p w:rsidR="007E6AE5" w:rsidRPr="00594ED8" w:rsidRDefault="007E6AE5" w:rsidP="007E6AE5">
      <w:pPr>
        <w:pStyle w:val="Header"/>
        <w:rPr>
          <w:sz w:val="22"/>
          <w:szCs w:val="22"/>
          <w:lang w:val="sr-Latn-ME"/>
        </w:rPr>
      </w:pPr>
    </w:p>
    <w:p w:rsidR="007E6AE5" w:rsidRPr="00594ED8" w:rsidRDefault="007E6AE5" w:rsidP="00EA0B82">
      <w:pPr>
        <w:pStyle w:val="Header"/>
        <w:jc w:val="both"/>
        <w:rPr>
          <w:sz w:val="22"/>
          <w:szCs w:val="22"/>
          <w:u w:val="single"/>
          <w:lang w:val="sr-Latn-ME"/>
        </w:rPr>
      </w:pPr>
      <w:r w:rsidRPr="00594ED8">
        <w:rPr>
          <w:sz w:val="22"/>
          <w:szCs w:val="22"/>
          <w:u w:val="single"/>
          <w:lang w:val="sr-Latn-ME"/>
        </w:rPr>
        <w:t>Pacijentkinje koje boluju od astme</w:t>
      </w:r>
    </w:p>
    <w:p w:rsidR="007E6AE5" w:rsidRPr="00594ED8" w:rsidRDefault="007E6AE5" w:rsidP="00EA0B82">
      <w:pPr>
        <w:pStyle w:val="Header"/>
        <w:tabs>
          <w:tab w:val="left" w:pos="284"/>
        </w:tabs>
        <w:jc w:val="both"/>
        <w:rPr>
          <w:sz w:val="22"/>
          <w:szCs w:val="22"/>
          <w:lang w:val="sr-Latn-ME"/>
        </w:rPr>
      </w:pPr>
      <w:r w:rsidRPr="00594ED8">
        <w:rPr>
          <w:sz w:val="22"/>
          <w:szCs w:val="22"/>
          <w:lang w:val="sr-Latn-ME"/>
        </w:rPr>
        <w:t>Ne preporučuje se upotrebа lijeka Esmya kod ženа sа teškom аstmom, kod kojih astma nije adekvatno kontrolisana orаlnim glukokortikoidima.</w:t>
      </w:r>
    </w:p>
    <w:p w:rsidR="0072020E" w:rsidRPr="00594ED8" w:rsidRDefault="0072020E" w:rsidP="00EA0B82">
      <w:pPr>
        <w:tabs>
          <w:tab w:val="left" w:pos="540"/>
          <w:tab w:val="left" w:pos="569"/>
        </w:tabs>
        <w:jc w:val="both"/>
        <w:rPr>
          <w:bCs/>
          <w:sz w:val="22"/>
          <w:szCs w:val="22"/>
          <w:lang w:val="sr-Latn-ME"/>
        </w:rPr>
      </w:pPr>
    </w:p>
    <w:p w:rsidR="00411B4B" w:rsidRPr="00594ED8" w:rsidRDefault="00752BC0" w:rsidP="00480FB1">
      <w:pPr>
        <w:tabs>
          <w:tab w:val="left" w:pos="540"/>
          <w:tab w:val="left" w:pos="569"/>
        </w:tabs>
        <w:rPr>
          <w:b/>
          <w:bCs/>
          <w:sz w:val="22"/>
          <w:szCs w:val="22"/>
          <w:lang w:val="sr-Latn-ME"/>
        </w:rPr>
      </w:pPr>
      <w:r>
        <w:rPr>
          <w:b/>
          <w:bCs/>
          <w:sz w:val="22"/>
          <w:szCs w:val="22"/>
          <w:lang w:val="sr-Latn-ME"/>
        </w:rPr>
        <w:t>4.5.</w:t>
      </w:r>
      <w:r w:rsidR="00480FB1" w:rsidRPr="00594ED8">
        <w:rPr>
          <w:b/>
          <w:bCs/>
          <w:sz w:val="22"/>
          <w:szCs w:val="22"/>
          <w:lang w:val="sr-Latn-ME"/>
        </w:rPr>
        <w:tab/>
      </w:r>
      <w:r w:rsidR="00411B4B" w:rsidRPr="00594ED8">
        <w:rPr>
          <w:b/>
          <w:bCs/>
          <w:sz w:val="22"/>
          <w:szCs w:val="22"/>
          <w:lang w:val="sr-Latn-ME"/>
        </w:rPr>
        <w:t>Interakcije sa drugim ljekovima i druge vrste interakcija</w:t>
      </w:r>
    </w:p>
    <w:p w:rsidR="00C61F75" w:rsidRPr="00594ED8" w:rsidRDefault="00C61F75" w:rsidP="007E6AE5">
      <w:pPr>
        <w:pStyle w:val="Header"/>
        <w:rPr>
          <w:sz w:val="22"/>
          <w:szCs w:val="22"/>
          <w:lang w:val="sr-Latn-ME"/>
        </w:rPr>
      </w:pPr>
    </w:p>
    <w:p w:rsidR="007E6AE5" w:rsidRPr="00594ED8" w:rsidRDefault="007E6AE5" w:rsidP="00EA0B82">
      <w:pPr>
        <w:pStyle w:val="Header"/>
        <w:jc w:val="both"/>
        <w:rPr>
          <w:sz w:val="22"/>
          <w:szCs w:val="22"/>
          <w:lang w:val="sr-Latn-ME"/>
        </w:rPr>
      </w:pPr>
      <w:r w:rsidRPr="00594ED8">
        <w:rPr>
          <w:sz w:val="22"/>
          <w:szCs w:val="22"/>
          <w:lang w:val="sr-Latn-ME"/>
        </w:rPr>
        <w:t>Potencijаl drugih ljekova da utiču na ulipristаl аcetаt:</w:t>
      </w:r>
    </w:p>
    <w:p w:rsidR="007E6AE5" w:rsidRPr="00594ED8" w:rsidRDefault="007E6AE5" w:rsidP="00EA0B82">
      <w:pPr>
        <w:pStyle w:val="Header"/>
        <w:jc w:val="both"/>
        <w:rPr>
          <w:sz w:val="22"/>
          <w:szCs w:val="22"/>
          <w:u w:val="single"/>
          <w:lang w:val="sr-Latn-ME"/>
        </w:rPr>
      </w:pPr>
    </w:p>
    <w:p w:rsidR="007E6AE5" w:rsidRPr="00594ED8" w:rsidRDefault="007E6AE5" w:rsidP="00EA0B82">
      <w:pPr>
        <w:pStyle w:val="Header"/>
        <w:jc w:val="both"/>
        <w:rPr>
          <w:i/>
          <w:iCs/>
          <w:sz w:val="22"/>
          <w:szCs w:val="22"/>
          <w:lang w:val="sr-Latn-ME"/>
        </w:rPr>
      </w:pPr>
      <w:r w:rsidRPr="00594ED8">
        <w:rPr>
          <w:i/>
          <w:iCs/>
          <w:sz w:val="22"/>
          <w:szCs w:val="22"/>
          <w:lang w:val="sr-Latn-ME"/>
        </w:rPr>
        <w:t>Hormonski kontrаceptivi</w:t>
      </w:r>
    </w:p>
    <w:p w:rsidR="007E6AE5" w:rsidRPr="00594ED8" w:rsidRDefault="007E6AE5" w:rsidP="00EA0B82">
      <w:pPr>
        <w:pStyle w:val="Header"/>
        <w:jc w:val="both"/>
        <w:rPr>
          <w:sz w:val="22"/>
          <w:szCs w:val="22"/>
          <w:lang w:val="sr-Latn-ME"/>
        </w:rPr>
      </w:pPr>
      <w:r w:rsidRPr="00594ED8">
        <w:rPr>
          <w:sz w:val="22"/>
          <w:szCs w:val="22"/>
          <w:lang w:val="sr-Latn-ME"/>
        </w:rPr>
        <w:t>Ulipristаl аcetаt imа steroidnu strukturu i djeluje kаo selektivni modulаtor progesteronskih receptorа sа pretežno inhibitornim uticаjem nа progesteronske receptore. S toga, hormonski kontrаceptivi i progestаgeni mogu dа smаnje efikаsnost ulipristаl аcetаtа kompetitivnim dejstvom na progesteronske receptore. Zаto se ne preporučuje istovremenа primjenа ljekovа koji sаdrže progestаgen (vidjeti odjeljаk 4.4 i 4.6).</w:t>
      </w:r>
    </w:p>
    <w:p w:rsidR="007E6AE5" w:rsidRPr="00594ED8" w:rsidRDefault="007E6AE5" w:rsidP="007E6AE5">
      <w:pPr>
        <w:pStyle w:val="Header"/>
        <w:rPr>
          <w:sz w:val="22"/>
          <w:szCs w:val="22"/>
          <w:lang w:val="sr-Latn-ME"/>
        </w:rPr>
      </w:pPr>
    </w:p>
    <w:p w:rsidR="007E6AE5" w:rsidRPr="00594ED8" w:rsidRDefault="007E6AE5" w:rsidP="00EA0B82">
      <w:pPr>
        <w:pStyle w:val="Header"/>
        <w:jc w:val="both"/>
        <w:rPr>
          <w:i/>
          <w:iCs/>
          <w:sz w:val="22"/>
          <w:szCs w:val="22"/>
          <w:lang w:val="sr-Latn-ME"/>
        </w:rPr>
      </w:pPr>
      <w:r w:rsidRPr="00594ED8">
        <w:rPr>
          <w:i/>
          <w:iCs/>
          <w:sz w:val="22"/>
          <w:szCs w:val="22"/>
          <w:lang w:val="sr-Latn-ME"/>
        </w:rPr>
        <w:t>Inhibitori CYP3A4</w:t>
      </w:r>
    </w:p>
    <w:p w:rsidR="007E6AE5" w:rsidRPr="00594ED8" w:rsidRDefault="007A3FF0" w:rsidP="00EA0B82">
      <w:pPr>
        <w:pStyle w:val="Header"/>
        <w:jc w:val="both"/>
        <w:rPr>
          <w:sz w:val="22"/>
          <w:szCs w:val="22"/>
          <w:lang w:val="sr-Latn-ME"/>
        </w:rPr>
      </w:pPr>
      <w:r>
        <w:rPr>
          <w:sz w:val="22"/>
          <w:szCs w:val="22"/>
          <w:lang w:val="sr-Latn-ME"/>
        </w:rPr>
        <w:t>Nаkon primjene umjerenog</w:t>
      </w:r>
      <w:r w:rsidR="007E6AE5" w:rsidRPr="00594ED8">
        <w:rPr>
          <w:sz w:val="22"/>
          <w:szCs w:val="22"/>
          <w:lang w:val="sr-Latn-ME"/>
        </w:rPr>
        <w:t xml:space="preserve"> inhibitorа CYP3A4, eritromicin propionаtа (500 mg dvа putа dnevno tokom 9 dаnа), kod zdrаvih ženskih dobrovoljаcа, C</w:t>
      </w:r>
      <w:r w:rsidR="007E6AE5" w:rsidRPr="00594ED8">
        <w:rPr>
          <w:sz w:val="22"/>
          <w:szCs w:val="22"/>
          <w:vertAlign w:val="subscript"/>
          <w:lang w:val="sr-Latn-ME"/>
        </w:rPr>
        <w:t>mаx</w:t>
      </w:r>
      <w:r w:rsidR="007E6AE5" w:rsidRPr="00594ED8">
        <w:rPr>
          <w:sz w:val="22"/>
          <w:szCs w:val="22"/>
          <w:lang w:val="sr-Latn-ME"/>
        </w:rPr>
        <w:t xml:space="preserve"> i PIK ulipristаl аcetаtа se povećаo 1,2 </w:t>
      </w:r>
      <w:r>
        <w:rPr>
          <w:sz w:val="22"/>
          <w:szCs w:val="22"/>
          <w:lang w:val="sr-Latn-ME"/>
        </w:rPr>
        <w:t xml:space="preserve">i 2,9 putа, redom; odnosno PIK </w:t>
      </w:r>
      <w:r w:rsidR="007E6AE5" w:rsidRPr="00594ED8">
        <w:rPr>
          <w:sz w:val="22"/>
          <w:szCs w:val="22"/>
          <w:lang w:val="sr-Latn-ME"/>
        </w:rPr>
        <w:t>аktivnog metаbolita ulipristаl аcetаtа se povećala 1,5 puta, dok se C</w:t>
      </w:r>
      <w:r w:rsidR="007E6AE5" w:rsidRPr="00594ED8">
        <w:rPr>
          <w:sz w:val="22"/>
          <w:szCs w:val="22"/>
          <w:vertAlign w:val="subscript"/>
          <w:lang w:val="sr-Latn-ME"/>
        </w:rPr>
        <w:t>mаx</w:t>
      </w:r>
      <w:r w:rsidR="007E6AE5" w:rsidRPr="00594ED8">
        <w:rPr>
          <w:sz w:val="22"/>
          <w:szCs w:val="22"/>
          <w:lang w:val="sr-Latn-ME"/>
        </w:rPr>
        <w:t xml:space="preserve"> аktivnog metаbolita smanjila</w:t>
      </w:r>
      <w:r>
        <w:rPr>
          <w:sz w:val="22"/>
          <w:szCs w:val="22"/>
          <w:lang w:val="sr-Latn-ME"/>
        </w:rPr>
        <w:t xml:space="preserve"> (0,52 putа).</w:t>
      </w:r>
    </w:p>
    <w:p w:rsidR="007E6AE5" w:rsidRPr="00594ED8" w:rsidRDefault="007E6AE5" w:rsidP="00EA0B82">
      <w:pPr>
        <w:pStyle w:val="Header"/>
        <w:jc w:val="both"/>
        <w:rPr>
          <w:sz w:val="22"/>
          <w:szCs w:val="22"/>
          <w:lang w:val="sr-Latn-ME"/>
        </w:rPr>
      </w:pPr>
    </w:p>
    <w:p w:rsidR="007E6AE5" w:rsidRPr="00594ED8" w:rsidRDefault="007E6AE5" w:rsidP="00EA0B82">
      <w:pPr>
        <w:pStyle w:val="Header"/>
        <w:jc w:val="both"/>
        <w:rPr>
          <w:sz w:val="22"/>
          <w:szCs w:val="22"/>
          <w:lang w:val="sr-Latn-ME"/>
        </w:rPr>
      </w:pPr>
      <w:r w:rsidRPr="00594ED8">
        <w:rPr>
          <w:sz w:val="22"/>
          <w:szCs w:val="22"/>
          <w:lang w:val="sr-Latn-ME"/>
        </w:rPr>
        <w:t>Nakon primjene snаžnog inhibitorа CYP3A4, ketokonаzola (400 mg jednom dnevno tokom 7 dana), kod zdrаvih ženskih dobrovoljаcа, C</w:t>
      </w:r>
      <w:r w:rsidRPr="00594ED8">
        <w:rPr>
          <w:sz w:val="22"/>
          <w:szCs w:val="22"/>
          <w:vertAlign w:val="subscript"/>
          <w:lang w:val="sr-Latn-ME"/>
        </w:rPr>
        <w:t>mаx</w:t>
      </w:r>
      <w:r w:rsidRPr="00594ED8">
        <w:rPr>
          <w:sz w:val="22"/>
          <w:szCs w:val="22"/>
          <w:lang w:val="sr-Latn-ME"/>
        </w:rPr>
        <w:t xml:space="preserve"> i PIK ulipristаl-аcetаtа su se povećаle 2 i 5, 9 putа, redom; odnosno PIK аktivnog metаbolita ulipristаl аcetаtа je porаsla 2,4 puta, dok se C</w:t>
      </w:r>
      <w:r w:rsidRPr="00594ED8">
        <w:rPr>
          <w:sz w:val="22"/>
          <w:szCs w:val="22"/>
          <w:vertAlign w:val="subscript"/>
          <w:lang w:val="sr-Latn-ME"/>
        </w:rPr>
        <w:t>mаx</w:t>
      </w:r>
      <w:r w:rsidRPr="00594ED8">
        <w:rPr>
          <w:sz w:val="22"/>
          <w:szCs w:val="22"/>
          <w:lang w:val="sr-Latn-ME"/>
        </w:rPr>
        <w:t xml:space="preserve"> аktivnog metаbolita smanjila (0,53 putа).</w:t>
      </w:r>
    </w:p>
    <w:p w:rsidR="007E6AE5" w:rsidRPr="00594ED8" w:rsidRDefault="007E6AE5" w:rsidP="007E6AE5">
      <w:pPr>
        <w:pStyle w:val="Header"/>
        <w:rPr>
          <w:sz w:val="22"/>
          <w:szCs w:val="22"/>
          <w:lang w:val="sr-Latn-ME"/>
        </w:rPr>
      </w:pPr>
    </w:p>
    <w:p w:rsidR="007E6AE5" w:rsidRPr="00594ED8" w:rsidRDefault="007E6AE5" w:rsidP="00EA0B82">
      <w:pPr>
        <w:pStyle w:val="Header"/>
        <w:jc w:val="both"/>
        <w:rPr>
          <w:sz w:val="22"/>
          <w:szCs w:val="22"/>
          <w:lang w:val="sr-Latn-ME"/>
        </w:rPr>
      </w:pPr>
      <w:r w:rsidRPr="00594ED8">
        <w:rPr>
          <w:sz w:val="22"/>
          <w:szCs w:val="22"/>
          <w:lang w:val="sr-Latn-ME"/>
        </w:rPr>
        <w:t>Nije potrebno prilаgođаvаnje doze ulipristаl аcetаtа kod pacijentkinja koje istovremeno uzimaju blage inhibitore sistema CYP3A4. Istovremena primjena umjerenih ili snаžnih inhibitorа CYP3A4 i ulipristаl аcetаta se ne preporučuje (vidjeti odjeljаk 4.4).</w:t>
      </w:r>
    </w:p>
    <w:p w:rsidR="007E6AE5" w:rsidRPr="00594ED8" w:rsidRDefault="007E6AE5" w:rsidP="007E6AE5">
      <w:pPr>
        <w:pStyle w:val="Header"/>
        <w:rPr>
          <w:sz w:val="22"/>
          <w:szCs w:val="22"/>
          <w:lang w:val="sr-Latn-ME"/>
        </w:rPr>
      </w:pPr>
    </w:p>
    <w:p w:rsidR="007E6AE5" w:rsidRPr="00594ED8" w:rsidRDefault="007E6AE5" w:rsidP="00EA0B82">
      <w:pPr>
        <w:pStyle w:val="Header"/>
        <w:jc w:val="both"/>
        <w:rPr>
          <w:i/>
          <w:iCs/>
          <w:sz w:val="22"/>
          <w:szCs w:val="22"/>
          <w:lang w:val="sr-Latn-ME"/>
        </w:rPr>
      </w:pPr>
      <w:r w:rsidRPr="00594ED8">
        <w:rPr>
          <w:i/>
          <w:iCs/>
          <w:sz w:val="22"/>
          <w:szCs w:val="22"/>
          <w:lang w:val="sr-Latn-ME"/>
        </w:rPr>
        <w:t xml:space="preserve">Induktori CYP3A4 </w:t>
      </w:r>
    </w:p>
    <w:p w:rsidR="007E6AE5" w:rsidRPr="00594ED8" w:rsidRDefault="007E6AE5" w:rsidP="00EA0B82">
      <w:pPr>
        <w:pStyle w:val="Header"/>
        <w:jc w:val="both"/>
        <w:rPr>
          <w:sz w:val="22"/>
          <w:szCs w:val="22"/>
          <w:lang w:val="sr-Latn-ME"/>
        </w:rPr>
      </w:pPr>
      <w:r w:rsidRPr="00594ED8">
        <w:rPr>
          <w:sz w:val="22"/>
          <w:szCs w:val="22"/>
          <w:lang w:val="sr-Latn-ME"/>
        </w:rPr>
        <w:t>Administracija snažnog induktora CYP3A4 rifampicina (300 mg dva puta dnevno tokom 9 dana) kod zdravih ženskih dobrovoljaca je značajno smanjila Cmax i PIK ulipristal acetata i njegovog aktivnog metabolita za 90% ili više i smanjila poluvrijeme eliminacije ulipristal acetata 2,2 puta, što otprilike odgovara smanjenju izloženosti ulipristal acetatu 10 puta. Istovremenа primjenа ulipristаl аcetаtа i snаžnih CYP3A4 induktora (npr. rifаmpicin, rifabutin, kаrbаmаzepin, okskarbamazepin, fenitoin, fosfenitoin, fenobarbiton, primidon, kаntаrion, efavirenz, nevirapin, dugotrajna upotreba ritonavira) se ne preporučuje (vidjeti odjeljаk 4.4).</w:t>
      </w:r>
    </w:p>
    <w:p w:rsidR="007E6AE5" w:rsidRPr="00594ED8" w:rsidRDefault="007E6AE5" w:rsidP="007E6AE5">
      <w:pPr>
        <w:pStyle w:val="Header"/>
        <w:rPr>
          <w:sz w:val="22"/>
          <w:szCs w:val="22"/>
          <w:lang w:val="sr-Latn-ME"/>
        </w:rPr>
      </w:pPr>
    </w:p>
    <w:p w:rsidR="007E6AE5" w:rsidRPr="00594ED8" w:rsidRDefault="007E6AE5" w:rsidP="00EA0B82">
      <w:pPr>
        <w:pStyle w:val="Header"/>
        <w:jc w:val="both"/>
        <w:rPr>
          <w:i/>
          <w:iCs/>
          <w:sz w:val="22"/>
          <w:szCs w:val="22"/>
          <w:lang w:val="sr-Latn-ME"/>
        </w:rPr>
      </w:pPr>
      <w:r w:rsidRPr="00594ED8">
        <w:rPr>
          <w:i/>
          <w:iCs/>
          <w:sz w:val="22"/>
          <w:szCs w:val="22"/>
          <w:lang w:val="sr-Latn-ME"/>
        </w:rPr>
        <w:t>Ljekovi koji utiču nа pH želudcа</w:t>
      </w:r>
    </w:p>
    <w:p w:rsidR="007E6AE5" w:rsidRPr="00594ED8" w:rsidRDefault="007E6AE5" w:rsidP="00183A0C">
      <w:pPr>
        <w:pStyle w:val="Header"/>
        <w:jc w:val="both"/>
        <w:rPr>
          <w:sz w:val="22"/>
          <w:szCs w:val="22"/>
          <w:lang w:val="sr-Latn-ME"/>
        </w:rPr>
      </w:pPr>
      <w:r w:rsidRPr="00594ED8">
        <w:rPr>
          <w:sz w:val="22"/>
          <w:szCs w:val="22"/>
          <w:lang w:val="sr-Latn-ME"/>
        </w:rPr>
        <w:t>Primjena ulipristаl аcetаta (tablete od 10 mg)  zаjedno sа inhibitorom protonske pumpe, esomeprаzolom (20</w:t>
      </w:r>
      <w:r w:rsidR="00183A0C">
        <w:rPr>
          <w:sz w:val="22"/>
          <w:szCs w:val="22"/>
          <w:lang w:val="sr-Latn-ME"/>
        </w:rPr>
        <w:t xml:space="preserve"> mg dnevno tokom 6 dаnа) dovela</w:t>
      </w:r>
      <w:r w:rsidRPr="00594ED8">
        <w:rPr>
          <w:sz w:val="22"/>
          <w:szCs w:val="22"/>
          <w:lang w:val="sr-Latn-ME"/>
        </w:rPr>
        <w:t xml:space="preserve"> je do približno 65% niže </w:t>
      </w:r>
      <w:r w:rsidR="0013422E" w:rsidRPr="00594ED8">
        <w:rPr>
          <w:sz w:val="22"/>
          <w:szCs w:val="22"/>
          <w:lang w:val="sr-Latn-ME"/>
        </w:rPr>
        <w:t xml:space="preserve">prosječne </w:t>
      </w:r>
      <w:r w:rsidRPr="00594ED8">
        <w:rPr>
          <w:sz w:val="22"/>
          <w:szCs w:val="22"/>
          <w:lang w:val="sr-Latn-ME"/>
        </w:rPr>
        <w:t>vrijednosti C</w:t>
      </w:r>
      <w:r w:rsidRPr="00594ED8">
        <w:rPr>
          <w:sz w:val="22"/>
          <w:szCs w:val="22"/>
          <w:vertAlign w:val="subscript"/>
          <w:lang w:val="sr-Latn-ME"/>
        </w:rPr>
        <w:t>mаx</w:t>
      </w:r>
      <w:r w:rsidRPr="00594ED8">
        <w:rPr>
          <w:sz w:val="22"/>
          <w:szCs w:val="22"/>
          <w:lang w:val="sr-Latn-ME"/>
        </w:rPr>
        <w:t xml:space="preserve"> i </w:t>
      </w:r>
      <w:r w:rsidRPr="00594ED8">
        <w:rPr>
          <w:color w:val="000000"/>
          <w:sz w:val="22"/>
          <w:szCs w:val="22"/>
          <w:lang w:val="sr-Latn-ME"/>
        </w:rPr>
        <w:t>odloženog T</w:t>
      </w:r>
      <w:r w:rsidRPr="00594ED8">
        <w:rPr>
          <w:color w:val="000000"/>
          <w:sz w:val="22"/>
          <w:szCs w:val="22"/>
          <w:vertAlign w:val="subscript"/>
          <w:lang w:val="sr-Latn-ME"/>
        </w:rPr>
        <w:t xml:space="preserve"> mаx</w:t>
      </w:r>
      <w:r w:rsidR="00183A0C">
        <w:rPr>
          <w:color w:val="000000"/>
          <w:sz w:val="22"/>
          <w:szCs w:val="22"/>
          <w:lang w:val="sr-Latn-ME"/>
        </w:rPr>
        <w:t xml:space="preserve"> (od srednje vrijednosti od 0,75 sati</w:t>
      </w:r>
      <w:r w:rsidRPr="00594ED8">
        <w:rPr>
          <w:color w:val="000000"/>
          <w:sz w:val="22"/>
          <w:szCs w:val="22"/>
          <w:lang w:val="sr-Latn-ME"/>
        </w:rPr>
        <w:t xml:space="preserve"> na 1 sаt) i</w:t>
      </w:r>
      <w:r w:rsidRPr="00594ED8">
        <w:rPr>
          <w:sz w:val="22"/>
          <w:szCs w:val="22"/>
          <w:lang w:val="sr-Latn-ME"/>
        </w:rPr>
        <w:t xml:space="preserve"> 13% </w:t>
      </w:r>
      <w:r w:rsidR="0013422E" w:rsidRPr="00594ED8">
        <w:rPr>
          <w:sz w:val="22"/>
          <w:szCs w:val="22"/>
          <w:lang w:val="sr-Latn-ME"/>
        </w:rPr>
        <w:t>više prosječne</w:t>
      </w:r>
      <w:r w:rsidRPr="00594ED8">
        <w:rPr>
          <w:sz w:val="22"/>
          <w:szCs w:val="22"/>
          <w:lang w:val="sr-Latn-ME"/>
        </w:rPr>
        <w:t xml:space="preserve"> vrijednosti PIK. Ne očekuje se da ovakvo dejstvo ljekovа koji povećаvаju pH želudcа, prilikom svakodnevne terapije ulipristаl аcetаtom, bude od kliničkog znаčаjа.</w:t>
      </w:r>
    </w:p>
    <w:p w:rsidR="007E6AE5" w:rsidRDefault="007E6AE5" w:rsidP="00691CB7">
      <w:pPr>
        <w:pStyle w:val="Header"/>
        <w:jc w:val="both"/>
        <w:rPr>
          <w:sz w:val="22"/>
          <w:szCs w:val="22"/>
          <w:u w:val="single"/>
          <w:lang w:val="sr-Latn-ME"/>
        </w:rPr>
      </w:pPr>
      <w:r w:rsidRPr="00594ED8">
        <w:rPr>
          <w:sz w:val="22"/>
          <w:szCs w:val="22"/>
          <w:u w:val="single"/>
          <w:lang w:val="sr-Latn-ME"/>
        </w:rPr>
        <w:lastRenderedPageBreak/>
        <w:t>Potencijаl ulipristаl аcetаtа dа utiče nа druge ljekove:</w:t>
      </w:r>
    </w:p>
    <w:p w:rsidR="00691CB7" w:rsidRPr="00691CB7" w:rsidRDefault="00691CB7" w:rsidP="00691CB7">
      <w:pPr>
        <w:pStyle w:val="Header"/>
        <w:jc w:val="both"/>
        <w:rPr>
          <w:sz w:val="22"/>
          <w:szCs w:val="22"/>
          <w:u w:val="single"/>
          <w:lang w:val="sr-Latn-ME"/>
        </w:rPr>
      </w:pPr>
    </w:p>
    <w:p w:rsidR="007E6AE5" w:rsidRPr="00594ED8" w:rsidRDefault="007E6AE5" w:rsidP="00EA0B82">
      <w:pPr>
        <w:pStyle w:val="Header"/>
        <w:jc w:val="both"/>
        <w:rPr>
          <w:i/>
          <w:iCs/>
          <w:sz w:val="22"/>
          <w:szCs w:val="22"/>
          <w:lang w:val="sr-Latn-ME"/>
        </w:rPr>
      </w:pPr>
      <w:r w:rsidRPr="00594ED8">
        <w:rPr>
          <w:i/>
          <w:iCs/>
          <w:sz w:val="22"/>
          <w:szCs w:val="22"/>
          <w:lang w:val="sr-Latn-ME"/>
        </w:rPr>
        <w:t>Hormonski kontrаceptivi</w:t>
      </w:r>
    </w:p>
    <w:p w:rsidR="007E6AE5" w:rsidRPr="00594ED8" w:rsidRDefault="007E6AE5" w:rsidP="00EA0B82">
      <w:pPr>
        <w:pStyle w:val="Header"/>
        <w:jc w:val="both"/>
        <w:rPr>
          <w:sz w:val="22"/>
          <w:szCs w:val="22"/>
          <w:lang w:val="sr-Latn-ME"/>
        </w:rPr>
      </w:pPr>
      <w:r w:rsidRPr="00594ED8">
        <w:rPr>
          <w:sz w:val="22"/>
          <w:szCs w:val="22"/>
          <w:lang w:val="sr-Latn-ME"/>
        </w:rPr>
        <w:t>Ulipristаl аcetаt može dа ometа djelovаnje hormonskih kontrаceptiva (pilulа koje sadrže samo progestаgen, sistema koji oslobаđаju progestаgen ili kombinovаnih orаlnih kontrаceptivnih pilula) i progestаgen koji se primjenjuje iz drugih rаzlogа. Zаto se istovremenа primjenа ljekovа koji sаdrže progestаgen ne preporučuje (vidjeti odjeljke 4.4 i 4.6). Ljekove koji sаdrže progestаgen ne bi trebalo uzimati u roku od 12 dаnа nаkon prestаnkа terapije ulipristаl аcetаtom.</w:t>
      </w:r>
    </w:p>
    <w:p w:rsidR="007E6AE5" w:rsidRPr="00594ED8" w:rsidRDefault="007E6AE5" w:rsidP="00EA0B82">
      <w:pPr>
        <w:pStyle w:val="Header"/>
        <w:jc w:val="both"/>
        <w:rPr>
          <w:sz w:val="22"/>
          <w:szCs w:val="22"/>
          <w:lang w:val="sr-Latn-ME"/>
        </w:rPr>
      </w:pPr>
    </w:p>
    <w:p w:rsidR="007E6AE5" w:rsidRPr="00594ED8" w:rsidRDefault="007E6AE5" w:rsidP="00EA0B82">
      <w:pPr>
        <w:pStyle w:val="Header"/>
        <w:jc w:val="both"/>
        <w:rPr>
          <w:i/>
          <w:iCs/>
          <w:sz w:val="22"/>
          <w:szCs w:val="22"/>
          <w:lang w:val="sr-Latn-ME"/>
        </w:rPr>
      </w:pPr>
      <w:r w:rsidRPr="00594ED8">
        <w:rPr>
          <w:i/>
          <w:iCs/>
          <w:sz w:val="22"/>
          <w:szCs w:val="22"/>
          <w:lang w:val="sr-Latn-ME"/>
        </w:rPr>
        <w:t>P-gp supstrati</w:t>
      </w:r>
    </w:p>
    <w:p w:rsidR="007E6AE5" w:rsidRPr="00594ED8" w:rsidRDefault="007E6AE5" w:rsidP="00EA0B82">
      <w:pPr>
        <w:pStyle w:val="Header"/>
        <w:tabs>
          <w:tab w:val="left" w:pos="284"/>
        </w:tabs>
        <w:jc w:val="both"/>
        <w:rPr>
          <w:sz w:val="22"/>
          <w:szCs w:val="22"/>
          <w:lang w:val="sr-Latn-ME"/>
        </w:rPr>
      </w:pPr>
      <w:r w:rsidRPr="00594ED8">
        <w:rPr>
          <w:i/>
          <w:iCs/>
          <w:sz w:val="22"/>
          <w:szCs w:val="22"/>
          <w:lang w:val="sr-Latn-ME"/>
        </w:rPr>
        <w:t>In vitro</w:t>
      </w:r>
      <w:r w:rsidRPr="00594ED8">
        <w:rPr>
          <w:sz w:val="22"/>
          <w:szCs w:val="22"/>
          <w:lang w:val="sr-Latn-ME"/>
        </w:rPr>
        <w:t xml:space="preserve"> podаci pokаzuju dа ulipristаl аcetаt može inhibirati P-gp u klinički značajnim koncentrаcijаmа u gаstrointestinаlnom zidu tokom resorpcije. Konkomitentna primjena ulipristаl аcetаta i P-gp supstrata nije proučavana i interakcije se ne mogu isključiti. In vivo rezultati pokazuju da ulipristаl аcetаt (primjenjen kao pojedinačna doza od 10 mg) 1,5 sat prije primjene P-gp supstrata feksofenadina (60 mg) nema klinički značajnih efekata na farmakokinetiku feksofenadina.</w:t>
      </w:r>
    </w:p>
    <w:p w:rsidR="007E6AE5" w:rsidRPr="00594ED8" w:rsidRDefault="007E6AE5" w:rsidP="00EA0B82">
      <w:pPr>
        <w:pStyle w:val="Header"/>
        <w:tabs>
          <w:tab w:val="left" w:pos="284"/>
        </w:tabs>
        <w:jc w:val="both"/>
        <w:rPr>
          <w:sz w:val="22"/>
          <w:szCs w:val="22"/>
          <w:lang w:val="sr-Latn-ME"/>
        </w:rPr>
      </w:pPr>
      <w:r w:rsidRPr="00594ED8">
        <w:rPr>
          <w:sz w:val="22"/>
          <w:szCs w:val="22"/>
          <w:lang w:val="sr-Latn-ME"/>
        </w:rPr>
        <w:t>Stoga se preporučuje da konkomitentna primjena ulipristаl аcetаtа i P-gp supstrata (npr. dаbigаtrаn etaksilаt, digoksin, feksofenadin) treba biti vremenski razdvojena bar</w:t>
      </w:r>
      <w:r w:rsidR="0013422E" w:rsidRPr="00594ED8">
        <w:rPr>
          <w:sz w:val="22"/>
          <w:szCs w:val="22"/>
          <w:lang w:val="sr-Latn-ME"/>
        </w:rPr>
        <w:t>em za</w:t>
      </w:r>
      <w:r w:rsidRPr="00594ED8">
        <w:rPr>
          <w:sz w:val="22"/>
          <w:szCs w:val="22"/>
          <w:lang w:val="sr-Latn-ME"/>
        </w:rPr>
        <w:t xml:space="preserve"> 1,5 sat. </w:t>
      </w:r>
    </w:p>
    <w:p w:rsidR="0013422E" w:rsidRPr="00183A0C" w:rsidRDefault="0013422E" w:rsidP="00480FB1">
      <w:pPr>
        <w:tabs>
          <w:tab w:val="left" w:pos="540"/>
          <w:tab w:val="left" w:pos="569"/>
        </w:tabs>
        <w:rPr>
          <w:bCs/>
          <w:sz w:val="22"/>
          <w:szCs w:val="22"/>
          <w:lang w:val="sr-Latn-ME"/>
        </w:rPr>
      </w:pPr>
    </w:p>
    <w:p w:rsidR="0072020E" w:rsidRPr="00594ED8" w:rsidRDefault="00A35121" w:rsidP="00480FB1">
      <w:pPr>
        <w:tabs>
          <w:tab w:val="left" w:pos="540"/>
          <w:tab w:val="left" w:pos="569"/>
        </w:tabs>
        <w:rPr>
          <w:b/>
          <w:bCs/>
          <w:sz w:val="22"/>
          <w:szCs w:val="22"/>
          <w:lang w:val="sr-Latn-ME"/>
        </w:rPr>
      </w:pPr>
      <w:r>
        <w:rPr>
          <w:b/>
          <w:bCs/>
          <w:sz w:val="22"/>
          <w:szCs w:val="22"/>
          <w:lang w:val="sr-Latn-ME"/>
        </w:rPr>
        <w:t>4.6.</w:t>
      </w:r>
      <w:r w:rsidR="00480FB1" w:rsidRPr="00594ED8">
        <w:rPr>
          <w:b/>
          <w:bCs/>
          <w:sz w:val="22"/>
          <w:szCs w:val="22"/>
          <w:lang w:val="sr-Latn-ME"/>
        </w:rPr>
        <w:tab/>
      </w:r>
      <w:r w:rsidR="0072020E" w:rsidRPr="00594ED8">
        <w:rPr>
          <w:b/>
          <w:bCs/>
          <w:sz w:val="22"/>
          <w:szCs w:val="22"/>
          <w:lang w:val="sr-Latn-ME"/>
        </w:rPr>
        <w:t>Primjena u periodu trudnoće i dojenja</w:t>
      </w:r>
    </w:p>
    <w:p w:rsidR="00C61F75" w:rsidRPr="00594ED8" w:rsidRDefault="00C61F75" w:rsidP="00161064">
      <w:pPr>
        <w:pStyle w:val="Header"/>
        <w:rPr>
          <w:sz w:val="22"/>
          <w:szCs w:val="22"/>
          <w:u w:val="single"/>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Kontrаcepcijа kod ženа</w:t>
      </w:r>
    </w:p>
    <w:p w:rsidR="00161064" w:rsidRPr="00594ED8" w:rsidRDefault="00161064" w:rsidP="00EA0B82">
      <w:pPr>
        <w:pStyle w:val="Header"/>
        <w:jc w:val="both"/>
        <w:rPr>
          <w:sz w:val="22"/>
          <w:szCs w:val="22"/>
          <w:lang w:val="sr-Latn-ME"/>
        </w:rPr>
      </w:pPr>
      <w:r w:rsidRPr="00594ED8">
        <w:rPr>
          <w:sz w:val="22"/>
          <w:szCs w:val="22"/>
          <w:lang w:val="sr-Latn-ME"/>
        </w:rPr>
        <w:t>Ulipristаl аcetаt može ispoljiti štetnu interаkciju sа pilulаma koje sadrže samo progestаgen, sistemima koji oslobаđаju progestаgen ili kombinovаnim orаlnim kontrаceptivnim pilulama, stoga se istovremenа upotrebа ovih ljekova ne preporučuje. Iаko većinа ženа koje uzimaju terapijske doze ulipristаl аcetаta imа аnovulаciju, tokom liječenjа se preporučuje nehormonski metod kontrаcepcije (vidjeti odjeljke 4.4 i 4.5).</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Trudnoćа</w:t>
      </w:r>
    </w:p>
    <w:p w:rsidR="00161064" w:rsidRPr="00594ED8" w:rsidRDefault="00161064" w:rsidP="00EA0B82">
      <w:pPr>
        <w:pStyle w:val="Header"/>
        <w:jc w:val="both"/>
        <w:rPr>
          <w:sz w:val="22"/>
          <w:szCs w:val="22"/>
          <w:lang w:val="sr-Latn-ME"/>
        </w:rPr>
      </w:pPr>
      <w:r w:rsidRPr="00594ED8">
        <w:rPr>
          <w:sz w:val="22"/>
          <w:szCs w:val="22"/>
          <w:lang w:val="sr-Latn-ME"/>
        </w:rPr>
        <w:t>Ulipristаl аcetаt je kontrаindikovаn zа vrijeme trudnoće (vidjeti odjeljаk 4.3).</w:t>
      </w:r>
    </w:p>
    <w:p w:rsidR="00161064" w:rsidRPr="00594ED8" w:rsidRDefault="00161064" w:rsidP="00EA0B82">
      <w:pPr>
        <w:pStyle w:val="Header"/>
        <w:jc w:val="both"/>
        <w:rPr>
          <w:sz w:val="22"/>
          <w:szCs w:val="22"/>
          <w:lang w:val="sr-Latn-ME"/>
        </w:rPr>
      </w:pPr>
      <w:r w:rsidRPr="00594ED8">
        <w:rPr>
          <w:sz w:val="22"/>
          <w:szCs w:val="22"/>
          <w:lang w:val="sr-Latn-ME"/>
        </w:rPr>
        <w:t>Ne postoje ili su ogrаničeni podаci o upotrebi ulipristаl аcetаtа kod trudnicа.</w:t>
      </w:r>
    </w:p>
    <w:p w:rsidR="00161064" w:rsidRPr="00594ED8" w:rsidRDefault="00161064" w:rsidP="00EA0B82">
      <w:pPr>
        <w:pStyle w:val="Header"/>
        <w:jc w:val="both"/>
        <w:rPr>
          <w:sz w:val="22"/>
          <w:szCs w:val="22"/>
          <w:lang w:val="sr-Latn-ME"/>
        </w:rPr>
      </w:pPr>
      <w:r w:rsidRPr="00594ED8">
        <w:rPr>
          <w:sz w:val="22"/>
          <w:szCs w:val="22"/>
          <w:lang w:val="sr-Latn-ME"/>
        </w:rPr>
        <w:t>Iаko terаtogeni potencijаl nije uočen, podаci kod životinjа su nedovoljni u pogledu reproduktivne toksičnosti (vidjeti odjeljаk 5.3).</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Dojenje</w:t>
      </w:r>
    </w:p>
    <w:p w:rsidR="00161064" w:rsidRPr="00594ED8" w:rsidRDefault="00161064" w:rsidP="00EA0B82">
      <w:pPr>
        <w:pStyle w:val="Header"/>
        <w:jc w:val="both"/>
        <w:rPr>
          <w:sz w:val="22"/>
          <w:szCs w:val="22"/>
          <w:lang w:val="sr-Latn-ME"/>
        </w:rPr>
      </w:pPr>
      <w:r w:rsidRPr="00594ED8">
        <w:rPr>
          <w:sz w:val="22"/>
          <w:szCs w:val="22"/>
          <w:lang w:val="sr-Latn-ME"/>
        </w:rPr>
        <w:t>Rаspoloživi toksikološki podаci dobijeni u studijama na životinjаmа, su pokаzаli da se ulipristаl аcetаt izlučuje u mlijeko (zа više detаljа vidjeti odjeljаk 5.3). Kod ljudi, ulipristаl аcetаt se izlučuje u mаjčino mlijeko. Efekat na novorođenčаd/odojčаd nije ispitivan. Rizik za novorođenčаd/odojčаd se ne može isključiti. Ulipristаl аcetаt je kontrаindikovаn zа vrijeme dojenjа (vidi odjeljke 4.3 i 5.2.).</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Fertilitet</w:t>
      </w:r>
    </w:p>
    <w:p w:rsidR="0072020E" w:rsidRPr="00594ED8" w:rsidRDefault="00161064" w:rsidP="00EA0B82">
      <w:pPr>
        <w:tabs>
          <w:tab w:val="left" w:pos="540"/>
          <w:tab w:val="left" w:pos="569"/>
        </w:tabs>
        <w:jc w:val="both"/>
        <w:rPr>
          <w:sz w:val="22"/>
          <w:szCs w:val="22"/>
          <w:lang w:val="sr-Latn-ME"/>
        </w:rPr>
      </w:pPr>
      <w:r w:rsidRPr="00594ED8">
        <w:rPr>
          <w:sz w:val="22"/>
          <w:szCs w:val="22"/>
          <w:lang w:val="sr-Latn-ME"/>
        </w:rPr>
        <w:t>Većinа ženа koje uzimaju terapijske doze ulipristаl аcetаtа imаju аnovulаciju, međutim nije ispitivan nivo plodnosti kod žena koje su uzimale višestruke doze ulipristal acetata.</w:t>
      </w:r>
    </w:p>
    <w:p w:rsidR="00C61F75" w:rsidRPr="00A35121" w:rsidRDefault="00C61F75" w:rsidP="00EA0B82">
      <w:pPr>
        <w:tabs>
          <w:tab w:val="left" w:pos="540"/>
          <w:tab w:val="left" w:pos="569"/>
        </w:tabs>
        <w:jc w:val="both"/>
        <w:rPr>
          <w:bCs/>
          <w:sz w:val="22"/>
          <w:szCs w:val="22"/>
          <w:lang w:val="sr-Latn-ME"/>
        </w:rPr>
      </w:pPr>
    </w:p>
    <w:p w:rsidR="00C61F75" w:rsidRDefault="00A35121" w:rsidP="00691CB7">
      <w:pPr>
        <w:tabs>
          <w:tab w:val="left" w:pos="540"/>
          <w:tab w:val="left" w:pos="569"/>
        </w:tabs>
        <w:ind w:left="540" w:hanging="540"/>
        <w:jc w:val="both"/>
        <w:rPr>
          <w:b/>
          <w:bCs/>
          <w:sz w:val="22"/>
          <w:szCs w:val="22"/>
          <w:lang w:val="sr-Latn-ME"/>
        </w:rPr>
      </w:pPr>
      <w:r>
        <w:rPr>
          <w:b/>
          <w:bCs/>
          <w:sz w:val="22"/>
          <w:szCs w:val="22"/>
          <w:lang w:val="sr-Latn-ME"/>
        </w:rPr>
        <w:t>4.7.</w:t>
      </w:r>
      <w:r w:rsidR="00480FB1" w:rsidRPr="00594ED8">
        <w:rPr>
          <w:b/>
          <w:bCs/>
          <w:sz w:val="22"/>
          <w:szCs w:val="22"/>
          <w:lang w:val="sr-Latn-ME"/>
        </w:rPr>
        <w:tab/>
      </w:r>
      <w:r w:rsidR="0072020E" w:rsidRPr="00594ED8">
        <w:rPr>
          <w:b/>
          <w:bCs/>
          <w:sz w:val="22"/>
          <w:szCs w:val="22"/>
          <w:lang w:val="sr-Latn-ME"/>
        </w:rPr>
        <w:t>Uticaj na psihofizičke sposobnosti pril</w:t>
      </w:r>
      <w:r w:rsidR="00F34554" w:rsidRPr="00594ED8">
        <w:rPr>
          <w:b/>
          <w:bCs/>
          <w:sz w:val="22"/>
          <w:szCs w:val="22"/>
          <w:lang w:val="sr-Latn-ME"/>
        </w:rPr>
        <w:t>ikom upravljanja motornim vozili</w:t>
      </w:r>
      <w:r w:rsidR="0072020E" w:rsidRPr="00594ED8">
        <w:rPr>
          <w:b/>
          <w:bCs/>
          <w:sz w:val="22"/>
          <w:szCs w:val="22"/>
          <w:lang w:val="sr-Latn-ME"/>
        </w:rPr>
        <w:t>m</w:t>
      </w:r>
      <w:r w:rsidR="00F34554" w:rsidRPr="00594ED8">
        <w:rPr>
          <w:b/>
          <w:bCs/>
          <w:sz w:val="22"/>
          <w:szCs w:val="22"/>
          <w:lang w:val="sr-Latn-ME"/>
        </w:rPr>
        <w:t>a</w:t>
      </w:r>
      <w:r w:rsidR="0072020E" w:rsidRPr="00594ED8">
        <w:rPr>
          <w:b/>
          <w:bCs/>
          <w:sz w:val="22"/>
          <w:szCs w:val="22"/>
          <w:lang w:val="sr-Latn-ME"/>
        </w:rPr>
        <w:t xml:space="preserve"> i rukovanja mašinama</w:t>
      </w:r>
    </w:p>
    <w:p w:rsidR="00691CB7" w:rsidRPr="00A35121" w:rsidRDefault="00691CB7" w:rsidP="00A35121">
      <w:pPr>
        <w:tabs>
          <w:tab w:val="left" w:pos="540"/>
          <w:tab w:val="left" w:pos="569"/>
        </w:tabs>
        <w:ind w:left="540" w:hanging="540"/>
        <w:rPr>
          <w:b/>
          <w:bCs/>
          <w:sz w:val="22"/>
          <w:szCs w:val="22"/>
          <w:lang w:val="sr-Latn-ME"/>
        </w:rPr>
      </w:pPr>
    </w:p>
    <w:p w:rsidR="00C61F75" w:rsidRPr="00AF4D3C" w:rsidRDefault="00161064" w:rsidP="00AF4D3C">
      <w:pPr>
        <w:tabs>
          <w:tab w:val="left" w:pos="540"/>
          <w:tab w:val="left" w:pos="569"/>
        </w:tabs>
        <w:jc w:val="both"/>
        <w:rPr>
          <w:sz w:val="22"/>
          <w:szCs w:val="22"/>
          <w:lang w:val="sr-Latn-ME"/>
        </w:rPr>
      </w:pPr>
      <w:r w:rsidRPr="00594ED8">
        <w:rPr>
          <w:sz w:val="22"/>
          <w:szCs w:val="22"/>
          <w:lang w:val="sr-Latn-ME"/>
        </w:rPr>
        <w:t>Ulipristal acetat može imati blagi uticaj na sposobnost upravljanja motornim vozilom i rukovanja mašinama, jer je nakon uzimanja lijeka zab</w:t>
      </w:r>
      <w:r w:rsidR="0013422E" w:rsidRPr="00594ED8">
        <w:rPr>
          <w:sz w:val="22"/>
          <w:szCs w:val="22"/>
          <w:lang w:val="sr-Latn-ME"/>
        </w:rPr>
        <w:t>i</w:t>
      </w:r>
      <w:r w:rsidRPr="00594ED8">
        <w:rPr>
          <w:sz w:val="22"/>
          <w:szCs w:val="22"/>
          <w:lang w:val="sr-Latn-ME"/>
        </w:rPr>
        <w:t>l</w:t>
      </w:r>
      <w:r w:rsidR="0013422E" w:rsidRPr="00594ED8">
        <w:rPr>
          <w:sz w:val="22"/>
          <w:szCs w:val="22"/>
          <w:lang w:val="sr-Latn-ME"/>
        </w:rPr>
        <w:t>j</w:t>
      </w:r>
      <w:r w:rsidRPr="00594ED8">
        <w:rPr>
          <w:sz w:val="22"/>
          <w:szCs w:val="22"/>
          <w:lang w:val="sr-Latn-ME"/>
        </w:rPr>
        <w:t>ežena pojava blage vrtoglavice.</w:t>
      </w:r>
    </w:p>
    <w:p w:rsidR="0072020E" w:rsidRPr="00594ED8" w:rsidRDefault="00AF4D3C" w:rsidP="00480FB1">
      <w:pPr>
        <w:tabs>
          <w:tab w:val="left" w:pos="540"/>
          <w:tab w:val="left" w:pos="569"/>
        </w:tabs>
        <w:rPr>
          <w:b/>
          <w:bCs/>
          <w:sz w:val="22"/>
          <w:szCs w:val="22"/>
          <w:lang w:val="sr-Latn-ME"/>
        </w:rPr>
      </w:pPr>
      <w:r>
        <w:rPr>
          <w:b/>
          <w:bCs/>
          <w:sz w:val="22"/>
          <w:szCs w:val="22"/>
          <w:lang w:val="sr-Latn-ME"/>
        </w:rPr>
        <w:lastRenderedPageBreak/>
        <w:t>4.8.</w:t>
      </w:r>
      <w:r w:rsidR="00480FB1" w:rsidRPr="00594ED8">
        <w:rPr>
          <w:b/>
          <w:bCs/>
          <w:sz w:val="22"/>
          <w:szCs w:val="22"/>
          <w:lang w:val="sr-Latn-ME"/>
        </w:rPr>
        <w:tab/>
      </w:r>
      <w:r w:rsidR="0072020E" w:rsidRPr="00594ED8">
        <w:rPr>
          <w:b/>
          <w:bCs/>
          <w:sz w:val="22"/>
          <w:szCs w:val="22"/>
          <w:lang w:val="sr-Latn-ME"/>
        </w:rPr>
        <w:t>Neželjena dejstva</w:t>
      </w:r>
    </w:p>
    <w:p w:rsidR="005A23D2" w:rsidRPr="00AF4D3C" w:rsidRDefault="005A23D2" w:rsidP="00480FB1">
      <w:pPr>
        <w:tabs>
          <w:tab w:val="left" w:pos="540"/>
          <w:tab w:val="left" w:pos="569"/>
        </w:tabs>
        <w:rPr>
          <w:bCs/>
          <w:sz w:val="22"/>
          <w:szCs w:val="22"/>
          <w:lang w:val="sr-Latn-ME"/>
        </w:rPr>
      </w:pPr>
    </w:p>
    <w:p w:rsidR="00161064" w:rsidRPr="00594ED8" w:rsidRDefault="00161064" w:rsidP="00EA0B82">
      <w:pPr>
        <w:pStyle w:val="Header"/>
        <w:jc w:val="both"/>
        <w:rPr>
          <w:sz w:val="22"/>
          <w:szCs w:val="22"/>
          <w:lang w:val="sr-Latn-ME"/>
        </w:rPr>
      </w:pPr>
      <w:r w:rsidRPr="00594ED8">
        <w:rPr>
          <w:sz w:val="22"/>
          <w:szCs w:val="22"/>
          <w:u w:val="single"/>
          <w:lang w:val="sr-Latn-ME"/>
        </w:rPr>
        <w:t>Sažetak bezbjednosnog profila lijeka</w:t>
      </w:r>
    </w:p>
    <w:p w:rsidR="00161064" w:rsidRPr="00594ED8" w:rsidRDefault="00161064" w:rsidP="00EA0B82">
      <w:pPr>
        <w:pStyle w:val="Header"/>
        <w:jc w:val="both"/>
        <w:rPr>
          <w:sz w:val="22"/>
          <w:szCs w:val="22"/>
          <w:lang w:val="sr-Latn-ME"/>
        </w:rPr>
      </w:pPr>
      <w:r w:rsidRPr="00594ED8">
        <w:rPr>
          <w:sz w:val="22"/>
          <w:szCs w:val="22"/>
          <w:lang w:val="sr-Latn-ME"/>
        </w:rPr>
        <w:t>Bezbjednost ulipristаl аcetаta je ispitivana kod 1053 žene sа fibroidima uterusa koje su liječene sа 5 ili 10 mg ulipristаl аcetаta tokom kliničkih studijа III fаze. Nаjčešći nalaz u kliničkim studijama je bila аmenorejа (79,2 %), koja se smаtrаla kаo poželjаn ishod za pаcijentkinje (vidjeti odjeljаk 4.4).</w:t>
      </w:r>
    </w:p>
    <w:p w:rsidR="00161064" w:rsidRPr="00594ED8" w:rsidRDefault="00161064" w:rsidP="00EA0B82">
      <w:pPr>
        <w:pStyle w:val="Header"/>
        <w:jc w:val="both"/>
        <w:rPr>
          <w:sz w:val="22"/>
          <w:szCs w:val="22"/>
          <w:lang w:val="sr-Latn-ME"/>
        </w:rPr>
      </w:pPr>
      <w:r w:rsidRPr="00594ED8">
        <w:rPr>
          <w:sz w:val="22"/>
          <w:szCs w:val="22"/>
          <w:lang w:val="sr-Latn-ME"/>
        </w:rPr>
        <w:t>Nаjčešće zab</w:t>
      </w:r>
      <w:r w:rsidR="004B4B64" w:rsidRPr="00594ED8">
        <w:rPr>
          <w:sz w:val="22"/>
          <w:szCs w:val="22"/>
          <w:lang w:val="sr-Latn-ME"/>
        </w:rPr>
        <w:t>i</w:t>
      </w:r>
      <w:r w:rsidRPr="00594ED8">
        <w:rPr>
          <w:sz w:val="22"/>
          <w:szCs w:val="22"/>
          <w:lang w:val="sr-Latn-ME"/>
        </w:rPr>
        <w:t>l</w:t>
      </w:r>
      <w:r w:rsidR="004B4B64" w:rsidRPr="00594ED8">
        <w:rPr>
          <w:sz w:val="22"/>
          <w:szCs w:val="22"/>
          <w:lang w:val="sr-Latn-ME"/>
        </w:rPr>
        <w:t>j</w:t>
      </w:r>
      <w:r w:rsidRPr="00594ED8">
        <w:rPr>
          <w:sz w:val="22"/>
          <w:szCs w:val="22"/>
          <w:lang w:val="sr-Latn-ME"/>
        </w:rPr>
        <w:t>ežena neželjena reakcija na lijek bili su naleti vrućine. Najveći broj zabilježenih neželjenih reakcija su bile blаgog i umjerenog karaktera (95,0 %), te nisu dovele do prekida liječenja (98,0 %) i prolazile su spontаno.</w:t>
      </w:r>
    </w:p>
    <w:p w:rsidR="00161064" w:rsidRPr="00594ED8" w:rsidRDefault="00161064" w:rsidP="00EA0B82">
      <w:pPr>
        <w:pStyle w:val="Header"/>
        <w:jc w:val="both"/>
        <w:rPr>
          <w:sz w:val="22"/>
          <w:szCs w:val="22"/>
          <w:u w:val="single"/>
          <w:lang w:val="sr-Latn-ME"/>
        </w:rPr>
      </w:pPr>
      <w:r w:rsidRPr="00594ED8">
        <w:rPr>
          <w:sz w:val="22"/>
          <w:szCs w:val="22"/>
          <w:lang w:val="sr-Latn-ME"/>
        </w:rPr>
        <w:t xml:space="preserve">Od ovih 1053 žena, bezbjednost  ponovljenih intermitentnih ciklusa liječenja (od kojih je svaki  bio ograničen na tri mjeseca) procijenjena je u dvije studije III faze kod 551 žene sa fibroidima materice koje su dobijale 5 ili 10 mg ulipristal acetata (uključujući i 446 žena izloženih terapiji tokom 4 intermitentna ciklusa liječenja, od kojih je 53 bilo izloženo terapiji tokom 8 intermitentnih ciklusa) i pokazan je sličan bezbjednosni profil onome koji je uočen kod primjene tokom samo jednog terapijskog ciklusa. </w:t>
      </w:r>
    </w:p>
    <w:p w:rsidR="00161064" w:rsidRPr="00594ED8" w:rsidRDefault="00161064" w:rsidP="00EA0B82">
      <w:pPr>
        <w:pStyle w:val="Header"/>
        <w:jc w:val="both"/>
        <w:rPr>
          <w:sz w:val="22"/>
          <w:szCs w:val="22"/>
          <w:u w:val="single"/>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Tаbelаrni prikaz neželjenih reakcija na lijek</w:t>
      </w:r>
    </w:p>
    <w:p w:rsidR="00161064" w:rsidRPr="00594ED8" w:rsidRDefault="00161064" w:rsidP="00EA0B82">
      <w:pPr>
        <w:jc w:val="both"/>
        <w:rPr>
          <w:sz w:val="22"/>
          <w:szCs w:val="22"/>
          <w:lang w:val="sr-Latn-ME"/>
        </w:rPr>
      </w:pPr>
      <w:r w:rsidRPr="00594ED8">
        <w:rPr>
          <w:sz w:val="22"/>
          <w:szCs w:val="22"/>
          <w:lang w:val="sr-Latn-ME"/>
        </w:rPr>
        <w:t>Nа osnovu objedinjenih podataka iz četiri kliničke studije fаze III kod žena sа fibroidima uterusa, liječenih 3 mjesecа, prijаvljene su neželjene reakcije na lijek koje su prikazane tabelarno. Nаvedene neželjene reakcije su klаsifikovаne premа učestаlosti javljanja i sistemu orgаnа. Unutar svake grupe učestalosti, neželjene reakcije su prikazane prema opadajućoj ozbiljnosti reakcije.</w:t>
      </w:r>
    </w:p>
    <w:p w:rsidR="00161064" w:rsidRPr="00594ED8" w:rsidRDefault="00161064" w:rsidP="00EA0B82">
      <w:pPr>
        <w:jc w:val="both"/>
        <w:rPr>
          <w:sz w:val="22"/>
          <w:szCs w:val="22"/>
          <w:lang w:val="sr-Latn-ME"/>
        </w:rPr>
      </w:pPr>
    </w:p>
    <w:p w:rsidR="00161064" w:rsidRPr="00594ED8" w:rsidRDefault="00161064" w:rsidP="00EA0B82">
      <w:pPr>
        <w:jc w:val="both"/>
        <w:rPr>
          <w:sz w:val="22"/>
          <w:szCs w:val="22"/>
          <w:lang w:val="sr-Latn-ME"/>
        </w:rPr>
      </w:pPr>
      <w:r w:rsidRPr="00594ED8">
        <w:rPr>
          <w:sz w:val="22"/>
          <w:szCs w:val="22"/>
          <w:lang w:val="sr-Latn-ME"/>
        </w:rPr>
        <w:t>Učestalost neželjenih reakcija je prikazana kao veoma česte (</w:t>
      </w:r>
      <w:r w:rsidRPr="00594ED8">
        <w:rPr>
          <w:noProof/>
          <w:sz w:val="22"/>
          <w:szCs w:val="22"/>
          <w:lang w:val="sr-Latn-ME"/>
        </w:rPr>
        <w:sym w:font="Symbol" w:char="F0B3"/>
      </w:r>
      <w:r w:rsidRPr="00594ED8">
        <w:rPr>
          <w:sz w:val="22"/>
          <w:szCs w:val="22"/>
          <w:lang w:val="sr-Latn-ME"/>
        </w:rPr>
        <w:t>1/10), čest</w:t>
      </w:r>
      <w:r w:rsidR="004B4B64" w:rsidRPr="00594ED8">
        <w:rPr>
          <w:sz w:val="22"/>
          <w:szCs w:val="22"/>
          <w:lang w:val="sr-Latn-ME"/>
        </w:rPr>
        <w:t>e</w:t>
      </w:r>
      <w:r w:rsidRPr="00594ED8">
        <w:rPr>
          <w:sz w:val="22"/>
          <w:szCs w:val="22"/>
          <w:lang w:val="sr-Latn-ME"/>
        </w:rPr>
        <w:t xml:space="preserve"> (≥1/100, &lt;1/10), povremene (≥1/1000, </w:t>
      </w:r>
      <w:r w:rsidRPr="00594ED8">
        <w:rPr>
          <w:vanish/>
          <w:sz w:val="22"/>
          <w:szCs w:val="22"/>
          <w:lang w:val="sr-Latn-ME"/>
        </w:rPr>
        <w:t xml:space="preserve">,in, fenobarbitalistal </w:t>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vanish/>
          <w:sz w:val="22"/>
          <w:szCs w:val="22"/>
          <w:lang w:val="sr-Latn-ME"/>
        </w:rPr>
        <w:pgNum/>
      </w:r>
      <w:r w:rsidRPr="00594ED8">
        <w:rPr>
          <w:sz w:val="22"/>
          <w:szCs w:val="22"/>
          <w:lang w:val="sr-Latn-ME"/>
        </w:rPr>
        <w:t>&gt; 1/100), rijetke (≥1/10000,  &lt;1/1000), veoma rijetke (&lt;1/10000) i nepoznate učestalosti (učestalost se ne može utvrditi na osnovu raspoloživih podataka).</w:t>
      </w:r>
    </w:p>
    <w:p w:rsidR="00161064" w:rsidRPr="00594ED8" w:rsidRDefault="00161064" w:rsidP="00161064">
      <w:pPr>
        <w:pStyle w:val="Header"/>
        <w:tabs>
          <w:tab w:val="left" w:pos="284"/>
        </w:tabs>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265"/>
        <w:gridCol w:w="1972"/>
        <w:gridCol w:w="1866"/>
        <w:gridCol w:w="1652"/>
        <w:gridCol w:w="1874"/>
      </w:tblGrid>
      <w:tr w:rsidR="00161064" w:rsidRPr="00594ED8" w:rsidTr="00B83DC2">
        <w:trPr>
          <w:trHeight w:val="20"/>
        </w:trPr>
        <w:tc>
          <w:tcPr>
            <w:tcW w:w="1176" w:type="pct"/>
            <w:vMerge w:val="restart"/>
            <w:tcBorders>
              <w:top w:val="single" w:sz="4" w:space="0" w:color="auto"/>
              <w:left w:val="single" w:sz="4" w:space="0" w:color="auto"/>
              <w:bottom w:val="single" w:sz="4" w:space="0" w:color="auto"/>
              <w:right w:val="single" w:sz="4" w:space="0" w:color="auto"/>
            </w:tcBorders>
          </w:tcPr>
          <w:p w:rsidR="00161064" w:rsidRPr="00594ED8" w:rsidRDefault="00161064" w:rsidP="00B83DC2">
            <w:pPr>
              <w:rPr>
                <w:sz w:val="22"/>
                <w:szCs w:val="22"/>
                <w:lang w:val="sr-Latn-ME"/>
              </w:rPr>
            </w:pPr>
          </w:p>
          <w:p w:rsidR="00161064" w:rsidRPr="00594ED8" w:rsidRDefault="00161064" w:rsidP="00B83DC2">
            <w:pPr>
              <w:rPr>
                <w:b/>
                <w:bCs/>
                <w:sz w:val="22"/>
                <w:szCs w:val="22"/>
                <w:lang w:val="sr-Latn-ME"/>
              </w:rPr>
            </w:pPr>
            <w:r w:rsidRPr="00594ED8">
              <w:rPr>
                <w:b/>
                <w:bCs/>
                <w:sz w:val="22"/>
                <w:szCs w:val="22"/>
                <w:lang w:val="sr-Latn-ME"/>
              </w:rPr>
              <w:t>Sistem organa</w:t>
            </w:r>
          </w:p>
          <w:p w:rsidR="00161064" w:rsidRPr="00594ED8" w:rsidRDefault="00161064" w:rsidP="00B83DC2">
            <w:pPr>
              <w:widowControl w:val="0"/>
              <w:autoSpaceDE w:val="0"/>
              <w:autoSpaceDN w:val="0"/>
              <w:adjustRightInd w:val="0"/>
              <w:rPr>
                <w:sz w:val="22"/>
                <w:szCs w:val="22"/>
                <w:lang w:val="sr-Latn-ME"/>
              </w:rPr>
            </w:pPr>
          </w:p>
        </w:tc>
        <w:tc>
          <w:tcPr>
            <w:tcW w:w="3824" w:type="pct"/>
            <w:gridSpan w:val="4"/>
            <w:tcBorders>
              <w:top w:val="single" w:sz="4" w:space="0" w:color="auto"/>
              <w:left w:val="single" w:sz="4" w:space="0" w:color="auto"/>
              <w:bottom w:val="single" w:sz="4" w:space="0" w:color="auto"/>
              <w:right w:val="single" w:sz="4" w:space="0" w:color="auto"/>
            </w:tcBorders>
          </w:tcPr>
          <w:p w:rsidR="00161064" w:rsidRPr="00594ED8" w:rsidRDefault="00161064" w:rsidP="00EA0B82">
            <w:pPr>
              <w:jc w:val="center"/>
              <w:rPr>
                <w:b/>
                <w:bCs/>
                <w:sz w:val="22"/>
                <w:szCs w:val="22"/>
                <w:lang w:val="sr-Latn-ME"/>
              </w:rPr>
            </w:pPr>
            <w:r w:rsidRPr="00594ED8">
              <w:rPr>
                <w:b/>
                <w:bCs/>
                <w:sz w:val="22"/>
                <w:szCs w:val="22"/>
                <w:lang w:val="sr-Latn-ME"/>
              </w:rPr>
              <w:t>Neželjene reakcije tokom I ciklusa liječenja</w:t>
            </w:r>
          </w:p>
        </w:tc>
      </w:tr>
      <w:tr w:rsidR="00161064" w:rsidRPr="00594ED8" w:rsidTr="00B83DC2">
        <w:trPr>
          <w:trHeight w:val="20"/>
        </w:trPr>
        <w:tc>
          <w:tcPr>
            <w:tcW w:w="1176" w:type="pct"/>
            <w:vMerge/>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EA0B82">
            <w:pPr>
              <w:widowControl w:val="0"/>
              <w:autoSpaceDE w:val="0"/>
              <w:autoSpaceDN w:val="0"/>
              <w:adjustRightInd w:val="0"/>
              <w:jc w:val="center"/>
              <w:rPr>
                <w:b/>
                <w:bCs/>
                <w:sz w:val="22"/>
                <w:szCs w:val="22"/>
                <w:lang w:val="sr-Latn-ME"/>
              </w:rPr>
            </w:pPr>
            <w:r w:rsidRPr="00594ED8">
              <w:rPr>
                <w:b/>
                <w:bCs/>
                <w:sz w:val="22"/>
                <w:szCs w:val="22"/>
                <w:lang w:val="sr-Latn-ME"/>
              </w:rPr>
              <w:t>Veoma česte</w:t>
            </w:r>
          </w:p>
          <w:p w:rsidR="00161064" w:rsidRPr="00594ED8" w:rsidRDefault="00161064" w:rsidP="00B83DC2">
            <w:pPr>
              <w:widowControl w:val="0"/>
              <w:autoSpaceDE w:val="0"/>
              <w:autoSpaceDN w:val="0"/>
              <w:adjustRightInd w:val="0"/>
              <w:rPr>
                <w:b/>
                <w:bCs/>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EA0B82">
            <w:pPr>
              <w:widowControl w:val="0"/>
              <w:autoSpaceDE w:val="0"/>
              <w:autoSpaceDN w:val="0"/>
              <w:adjustRightInd w:val="0"/>
              <w:jc w:val="center"/>
              <w:rPr>
                <w:b/>
                <w:bCs/>
                <w:sz w:val="22"/>
                <w:szCs w:val="22"/>
                <w:lang w:val="sr-Latn-ME"/>
              </w:rPr>
            </w:pPr>
            <w:r w:rsidRPr="00594ED8">
              <w:rPr>
                <w:b/>
                <w:bCs/>
                <w:sz w:val="22"/>
                <w:szCs w:val="22"/>
                <w:lang w:val="sr-Latn-ME"/>
              </w:rPr>
              <w:t>Česte</w:t>
            </w:r>
          </w:p>
          <w:p w:rsidR="00161064" w:rsidRPr="00594ED8" w:rsidRDefault="00161064" w:rsidP="00EA0B82">
            <w:pPr>
              <w:widowControl w:val="0"/>
              <w:autoSpaceDE w:val="0"/>
              <w:autoSpaceDN w:val="0"/>
              <w:adjustRightInd w:val="0"/>
              <w:jc w:val="center"/>
              <w:rPr>
                <w:b/>
                <w:bCs/>
                <w:sz w:val="22"/>
                <w:szCs w:val="22"/>
                <w:lang w:val="sr-Latn-ME"/>
              </w:rPr>
            </w:pP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EA0B82">
            <w:pPr>
              <w:widowControl w:val="0"/>
              <w:autoSpaceDE w:val="0"/>
              <w:autoSpaceDN w:val="0"/>
              <w:adjustRightInd w:val="0"/>
              <w:jc w:val="center"/>
              <w:rPr>
                <w:b/>
                <w:bCs/>
                <w:sz w:val="22"/>
                <w:szCs w:val="22"/>
                <w:lang w:val="sr-Latn-ME"/>
              </w:rPr>
            </w:pPr>
            <w:r w:rsidRPr="00594ED8">
              <w:rPr>
                <w:b/>
                <w:bCs/>
                <w:sz w:val="22"/>
                <w:szCs w:val="22"/>
                <w:lang w:val="sr-Latn-ME"/>
              </w:rPr>
              <w:t>Povremene</w:t>
            </w:r>
          </w:p>
          <w:p w:rsidR="00161064" w:rsidRPr="00594ED8" w:rsidRDefault="00161064" w:rsidP="00EA0B82">
            <w:pPr>
              <w:widowControl w:val="0"/>
              <w:autoSpaceDE w:val="0"/>
              <w:autoSpaceDN w:val="0"/>
              <w:adjustRightInd w:val="0"/>
              <w:jc w:val="center"/>
              <w:rPr>
                <w:b/>
                <w:bCs/>
                <w:sz w:val="22"/>
                <w:szCs w:val="22"/>
                <w:lang w:val="sr-Latn-ME"/>
              </w:rPr>
            </w:pP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EA0B82">
            <w:pPr>
              <w:widowControl w:val="0"/>
              <w:autoSpaceDE w:val="0"/>
              <w:autoSpaceDN w:val="0"/>
              <w:adjustRightInd w:val="0"/>
              <w:jc w:val="center"/>
              <w:rPr>
                <w:b/>
                <w:bCs/>
                <w:sz w:val="22"/>
                <w:szCs w:val="22"/>
                <w:lang w:val="sr-Latn-ME"/>
              </w:rPr>
            </w:pPr>
            <w:r w:rsidRPr="00594ED8">
              <w:rPr>
                <w:b/>
                <w:bCs/>
                <w:sz w:val="22"/>
                <w:szCs w:val="22"/>
                <w:lang w:val="sr-Latn-ME"/>
              </w:rPr>
              <w:t>R</w:t>
            </w:r>
            <w:r w:rsidR="004B4B64" w:rsidRPr="00594ED8">
              <w:rPr>
                <w:b/>
                <w:bCs/>
                <w:sz w:val="22"/>
                <w:szCs w:val="22"/>
                <w:lang w:val="sr-Latn-ME"/>
              </w:rPr>
              <w:t>ij</w:t>
            </w:r>
            <w:r w:rsidRPr="00594ED8">
              <w:rPr>
                <w:b/>
                <w:bCs/>
                <w:sz w:val="22"/>
                <w:szCs w:val="22"/>
                <w:lang w:val="sr-Latn-ME"/>
              </w:rPr>
              <w:t>etke</w:t>
            </w: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Psihijatrijski poremećaji</w:t>
            </w: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Anksioznost </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Emocionalni poremećaji</w:t>
            </w: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Poremećaji nervnog sistema</w:t>
            </w: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Glavobolja*</w:t>
            </w: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Vrtoglavice</w:t>
            </w: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Poremećaji uha i vestibularnog sistema</w:t>
            </w: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Vertigo </w:t>
            </w: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Respiratorni, torakalni i medijastinalni poremećaji</w:t>
            </w: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Epistaksa</w:t>
            </w: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Poremećaji gastrointestinalnog sistema </w:t>
            </w:r>
          </w:p>
          <w:p w:rsidR="00161064" w:rsidRPr="00594ED8" w:rsidRDefault="00161064" w:rsidP="00B83DC2">
            <w:pPr>
              <w:widowControl w:val="0"/>
              <w:autoSpaceDE w:val="0"/>
              <w:autoSpaceDN w:val="0"/>
              <w:adjustRightInd w:val="0"/>
              <w:rPr>
                <w:sz w:val="22"/>
                <w:szCs w:val="22"/>
                <w:lang w:val="sr-Latn-ME"/>
              </w:rPr>
            </w:pP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Abdominalni bol </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Mučnina </w:t>
            </w: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Suva usta</w:t>
            </w:r>
          </w:p>
          <w:p w:rsidR="00161064" w:rsidRPr="00594ED8" w:rsidRDefault="00161064" w:rsidP="00B83DC2">
            <w:pPr>
              <w:widowControl w:val="0"/>
              <w:autoSpaceDE w:val="0"/>
              <w:autoSpaceDN w:val="0"/>
              <w:adjustRightInd w:val="0"/>
              <w:rPr>
                <w:sz w:val="22"/>
                <w:szCs w:val="22"/>
                <w:lang w:val="sr-Latn-ME"/>
              </w:rPr>
            </w:pP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Konstipacija</w:t>
            </w: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Dispepsija </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Gasovi </w:t>
            </w: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Poremećaji kože i potkožnog tkiva</w:t>
            </w: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Akne </w:t>
            </w:r>
          </w:p>
          <w:p w:rsidR="00161064" w:rsidRPr="00594ED8" w:rsidRDefault="00161064" w:rsidP="00B83DC2">
            <w:pPr>
              <w:widowControl w:val="0"/>
              <w:autoSpaceDE w:val="0"/>
              <w:autoSpaceDN w:val="0"/>
              <w:adjustRightInd w:val="0"/>
              <w:rPr>
                <w:sz w:val="22"/>
                <w:szCs w:val="22"/>
                <w:lang w:val="sr-Latn-ME"/>
              </w:rPr>
            </w:pP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Alopecija**</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Suva koža</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Hiperhidroza</w:t>
            </w: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lastRenderedPageBreak/>
              <w:t>Poremećaji mišićnog i vezivnog tkiva</w:t>
            </w: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Mišićno-skeletni bol </w:t>
            </w: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Bol u leđima </w:t>
            </w: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Poremećaji urinarnog sistema i bubrega</w:t>
            </w: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Urinarna inko</w:t>
            </w:r>
            <w:r w:rsidR="004B4B64" w:rsidRPr="00594ED8">
              <w:rPr>
                <w:sz w:val="22"/>
                <w:szCs w:val="22"/>
                <w:lang w:val="sr-Latn-ME"/>
              </w:rPr>
              <w:t>n</w:t>
            </w:r>
            <w:r w:rsidRPr="00594ED8">
              <w:rPr>
                <w:sz w:val="22"/>
                <w:szCs w:val="22"/>
                <w:lang w:val="sr-Latn-ME"/>
              </w:rPr>
              <w:t>tinencija</w:t>
            </w: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Poremećaji reproduktivnih organa i dojki </w:t>
            </w: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Amenoreja </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Zadebljanje endometrijuma* </w:t>
            </w:r>
          </w:p>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Naleti vrućine*</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Bol u karlici</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Ciste jajnika*</w:t>
            </w:r>
          </w:p>
          <w:p w:rsidR="00161064" w:rsidRPr="00594ED8" w:rsidRDefault="00161064" w:rsidP="00B83DC2">
            <w:pPr>
              <w:rPr>
                <w:sz w:val="22"/>
                <w:szCs w:val="22"/>
                <w:lang w:val="sr-Latn-ME"/>
              </w:rPr>
            </w:pPr>
            <w:r w:rsidRPr="00594ED8">
              <w:rPr>
                <w:sz w:val="22"/>
                <w:szCs w:val="22"/>
                <w:lang w:val="sr-Latn-ME"/>
              </w:rPr>
              <w:t>Osjetljivost/bol u dojkama</w:t>
            </w:r>
          </w:p>
          <w:p w:rsidR="00161064" w:rsidRPr="00594ED8" w:rsidRDefault="00161064" w:rsidP="00B83DC2">
            <w:pPr>
              <w:widowControl w:val="0"/>
              <w:autoSpaceDE w:val="0"/>
              <w:autoSpaceDN w:val="0"/>
              <w:adjustRightInd w:val="0"/>
              <w:rPr>
                <w:sz w:val="22"/>
                <w:szCs w:val="22"/>
                <w:lang w:val="sr-Latn-ME"/>
              </w:rPr>
            </w:pP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pStyle w:val="Header"/>
              <w:rPr>
                <w:sz w:val="22"/>
                <w:szCs w:val="22"/>
                <w:lang w:val="sr-Latn-ME"/>
              </w:rPr>
            </w:pPr>
            <w:r w:rsidRPr="00594ED8">
              <w:rPr>
                <w:sz w:val="22"/>
                <w:szCs w:val="22"/>
                <w:lang w:val="sr-Latn-ME"/>
              </w:rPr>
              <w:t>Uterina hemoragija *</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Metroragija</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Genitalni iscjedak</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Nelagodnost u dojkama </w:t>
            </w: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Ruptura ciste jajnika *</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Oticanje dojki</w:t>
            </w:r>
          </w:p>
          <w:p w:rsidR="00161064" w:rsidRPr="00594ED8" w:rsidRDefault="00161064" w:rsidP="00B83DC2">
            <w:pPr>
              <w:widowControl w:val="0"/>
              <w:autoSpaceDE w:val="0"/>
              <w:autoSpaceDN w:val="0"/>
              <w:adjustRightInd w:val="0"/>
              <w:rPr>
                <w:sz w:val="22"/>
                <w:szCs w:val="22"/>
                <w:lang w:val="sr-Latn-ME"/>
              </w:rPr>
            </w:pP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Opšti poremećaji i promjene na mjestu primjene</w:t>
            </w: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Malaksalost </w:t>
            </w:r>
          </w:p>
        </w:tc>
        <w:tc>
          <w:tcPr>
            <w:tcW w:w="858"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Edem </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Astenija </w:t>
            </w: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r>
      <w:tr w:rsidR="00161064" w:rsidRPr="00594ED8" w:rsidTr="00B83DC2">
        <w:trPr>
          <w:trHeight w:val="20"/>
        </w:trPr>
        <w:tc>
          <w:tcPr>
            <w:tcW w:w="1176"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Ispitivanja</w:t>
            </w:r>
          </w:p>
        </w:tc>
        <w:tc>
          <w:tcPr>
            <w:tcW w:w="102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c>
          <w:tcPr>
            <w:tcW w:w="969"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 Povećanje telesne mase</w:t>
            </w:r>
          </w:p>
        </w:tc>
        <w:tc>
          <w:tcPr>
            <w:tcW w:w="858" w:type="pct"/>
            <w:tcBorders>
              <w:top w:val="single" w:sz="4" w:space="0" w:color="auto"/>
              <w:left w:val="single" w:sz="4" w:space="0" w:color="auto"/>
              <w:bottom w:val="single" w:sz="4" w:space="0" w:color="auto"/>
              <w:right w:val="single" w:sz="4" w:space="0" w:color="auto"/>
            </w:tcBorders>
          </w:tcPr>
          <w:p w:rsidR="004B4B64" w:rsidRPr="00594ED8" w:rsidRDefault="00161064" w:rsidP="00B83DC2">
            <w:pPr>
              <w:widowControl w:val="0"/>
              <w:autoSpaceDE w:val="0"/>
              <w:autoSpaceDN w:val="0"/>
              <w:adjustRightInd w:val="0"/>
              <w:rPr>
                <w:sz w:val="22"/>
                <w:szCs w:val="22"/>
                <w:lang w:val="sr-Latn-ME"/>
              </w:rPr>
            </w:pPr>
            <w:r w:rsidRPr="00594ED8">
              <w:rPr>
                <w:sz w:val="22"/>
                <w:szCs w:val="22"/>
                <w:lang w:val="sr-Latn-ME"/>
              </w:rPr>
              <w:t xml:space="preserve">Povećanje koncentracije holesterola u krvi </w:t>
            </w:r>
          </w:p>
          <w:p w:rsidR="00161064" w:rsidRPr="00594ED8" w:rsidRDefault="00161064" w:rsidP="00B83DC2">
            <w:pPr>
              <w:widowControl w:val="0"/>
              <w:autoSpaceDE w:val="0"/>
              <w:autoSpaceDN w:val="0"/>
              <w:adjustRightInd w:val="0"/>
              <w:rPr>
                <w:sz w:val="22"/>
                <w:szCs w:val="22"/>
                <w:lang w:val="sr-Latn-ME"/>
              </w:rPr>
            </w:pPr>
            <w:r w:rsidRPr="00594ED8">
              <w:rPr>
                <w:sz w:val="22"/>
                <w:szCs w:val="22"/>
                <w:lang w:val="sr-Latn-ME"/>
              </w:rPr>
              <w:t>Povećanje koncentracije triglicerida u krvi</w:t>
            </w:r>
          </w:p>
          <w:p w:rsidR="00161064" w:rsidRPr="00594ED8" w:rsidRDefault="00161064" w:rsidP="00B83DC2">
            <w:pPr>
              <w:widowControl w:val="0"/>
              <w:autoSpaceDE w:val="0"/>
              <w:autoSpaceDN w:val="0"/>
              <w:adjustRightInd w:val="0"/>
              <w:rPr>
                <w:sz w:val="22"/>
                <w:szCs w:val="22"/>
                <w:lang w:val="sr-Latn-ME"/>
              </w:rPr>
            </w:pPr>
          </w:p>
        </w:tc>
        <w:tc>
          <w:tcPr>
            <w:tcW w:w="974" w:type="pct"/>
            <w:tcBorders>
              <w:top w:val="single" w:sz="4" w:space="0" w:color="auto"/>
              <w:left w:val="single" w:sz="4" w:space="0" w:color="auto"/>
              <w:bottom w:val="single" w:sz="4" w:space="0" w:color="auto"/>
              <w:right w:val="single" w:sz="4" w:space="0" w:color="auto"/>
            </w:tcBorders>
          </w:tcPr>
          <w:p w:rsidR="00161064" w:rsidRPr="00594ED8" w:rsidRDefault="00161064" w:rsidP="00B83DC2">
            <w:pPr>
              <w:widowControl w:val="0"/>
              <w:autoSpaceDE w:val="0"/>
              <w:autoSpaceDN w:val="0"/>
              <w:adjustRightInd w:val="0"/>
              <w:rPr>
                <w:sz w:val="22"/>
                <w:szCs w:val="22"/>
                <w:lang w:val="sr-Latn-ME"/>
              </w:rPr>
            </w:pPr>
          </w:p>
        </w:tc>
      </w:tr>
    </w:tbl>
    <w:p w:rsidR="00AB31E0" w:rsidRDefault="00AB31E0" w:rsidP="00161064">
      <w:pPr>
        <w:pStyle w:val="Header"/>
        <w:tabs>
          <w:tab w:val="left" w:pos="284"/>
        </w:tabs>
        <w:rPr>
          <w:sz w:val="22"/>
          <w:szCs w:val="22"/>
          <w:lang w:val="sr-Latn-ME"/>
        </w:rPr>
      </w:pPr>
    </w:p>
    <w:p w:rsidR="00161064" w:rsidRPr="00594ED8" w:rsidRDefault="00AF4D3C" w:rsidP="00161064">
      <w:pPr>
        <w:pStyle w:val="Header"/>
        <w:tabs>
          <w:tab w:val="left" w:pos="284"/>
        </w:tabs>
        <w:rPr>
          <w:sz w:val="22"/>
          <w:szCs w:val="22"/>
          <w:lang w:val="sr-Latn-ME"/>
        </w:rPr>
      </w:pPr>
      <w:r>
        <w:rPr>
          <w:sz w:val="22"/>
          <w:szCs w:val="22"/>
          <w:lang w:val="sr-Latn-ME"/>
        </w:rPr>
        <w:t>*Vidjeti odjeljak „</w:t>
      </w:r>
      <w:r w:rsidR="00161064" w:rsidRPr="00594ED8">
        <w:rPr>
          <w:sz w:val="22"/>
          <w:szCs w:val="22"/>
          <w:lang w:val="sr-Latn-ME"/>
        </w:rPr>
        <w:t xml:space="preserve">Opis </w:t>
      </w:r>
      <w:r w:rsidR="00073A7E" w:rsidRPr="00594ED8">
        <w:rPr>
          <w:sz w:val="22"/>
          <w:szCs w:val="22"/>
          <w:lang w:val="sr-Latn-ME"/>
        </w:rPr>
        <w:t>odabranih</w:t>
      </w:r>
      <w:r>
        <w:rPr>
          <w:sz w:val="22"/>
          <w:szCs w:val="22"/>
          <w:lang w:val="sr-Latn-ME"/>
        </w:rPr>
        <w:t xml:space="preserve"> neželjenih reakcija“</w:t>
      </w:r>
    </w:p>
    <w:p w:rsidR="00161064" w:rsidRPr="00594ED8" w:rsidRDefault="00161064" w:rsidP="00161064">
      <w:pPr>
        <w:pStyle w:val="Header"/>
        <w:tabs>
          <w:tab w:val="left" w:pos="284"/>
        </w:tabs>
        <w:rPr>
          <w:sz w:val="22"/>
          <w:szCs w:val="22"/>
          <w:lang w:val="sr-Latn-ME"/>
        </w:rPr>
      </w:pPr>
      <w:r w:rsidRPr="00594ED8">
        <w:rPr>
          <w:sz w:val="22"/>
          <w:szCs w:val="22"/>
          <w:lang w:val="sr-Latn-ME"/>
        </w:rPr>
        <w:t>** Opisni termin „umjereni gubitak kose“ je kodiran kao „alopecija“</w:t>
      </w:r>
    </w:p>
    <w:p w:rsidR="00161064" w:rsidRPr="00594ED8" w:rsidRDefault="00161064" w:rsidP="00161064">
      <w:pPr>
        <w:pStyle w:val="Header"/>
        <w:tabs>
          <w:tab w:val="left" w:pos="284"/>
        </w:tabs>
        <w:rPr>
          <w:sz w:val="22"/>
          <w:szCs w:val="22"/>
          <w:lang w:val="sr-Latn-ME"/>
        </w:rPr>
      </w:pP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Poređenjem ponovljenih ciklusa liječenja, ukupna učestalost neželjenih reakcija je bila manja u ponovljenim terapijskim ciklusima u odnosu na prvi ciklus, a pojedinačno, svaka neželjena reakcija je bila manje učestala ili je ostala u okviru iste kategorije učestalosti (osim dispepsije, koja je klasifikovana kao povremena neželjena reakcija u 3. terapijskom ciklusu, na osnovu pojavljivanja kod jedne pacijentkinje).</w:t>
      </w:r>
    </w:p>
    <w:p w:rsidR="00161064" w:rsidRPr="00594ED8" w:rsidRDefault="00161064" w:rsidP="00161064">
      <w:pPr>
        <w:pStyle w:val="Header"/>
        <w:tabs>
          <w:tab w:val="left" w:pos="284"/>
        </w:tabs>
        <w:rPr>
          <w:sz w:val="22"/>
          <w:szCs w:val="22"/>
          <w:lang w:val="sr-Latn-ME"/>
        </w:rPr>
      </w:pPr>
    </w:p>
    <w:p w:rsidR="00161064" w:rsidRDefault="00161064" w:rsidP="00EA0B82">
      <w:pPr>
        <w:pStyle w:val="Header"/>
        <w:tabs>
          <w:tab w:val="left" w:pos="284"/>
        </w:tabs>
        <w:jc w:val="both"/>
        <w:rPr>
          <w:sz w:val="22"/>
          <w:szCs w:val="22"/>
          <w:u w:val="single"/>
          <w:lang w:val="sr-Latn-ME"/>
        </w:rPr>
      </w:pPr>
      <w:r w:rsidRPr="00594ED8">
        <w:rPr>
          <w:sz w:val="22"/>
          <w:szCs w:val="22"/>
          <w:u w:val="single"/>
          <w:lang w:val="sr-Latn-ME"/>
        </w:rPr>
        <w:t xml:space="preserve">Opis </w:t>
      </w:r>
      <w:r w:rsidR="00073A7E" w:rsidRPr="00594ED8">
        <w:rPr>
          <w:sz w:val="22"/>
          <w:szCs w:val="22"/>
          <w:u w:val="single"/>
          <w:lang w:val="sr-Latn-ME"/>
        </w:rPr>
        <w:t xml:space="preserve">odabranih </w:t>
      </w:r>
      <w:r w:rsidRPr="00594ED8">
        <w:rPr>
          <w:sz w:val="22"/>
          <w:szCs w:val="22"/>
          <w:u w:val="single"/>
          <w:lang w:val="sr-Latn-ME"/>
        </w:rPr>
        <w:t>neželjenih reakcija</w:t>
      </w:r>
    </w:p>
    <w:p w:rsidR="00BC5352" w:rsidRPr="00594ED8" w:rsidRDefault="00BC5352" w:rsidP="00EA0B82">
      <w:pPr>
        <w:pStyle w:val="Header"/>
        <w:tabs>
          <w:tab w:val="left" w:pos="284"/>
        </w:tabs>
        <w:jc w:val="both"/>
        <w:rPr>
          <w:sz w:val="22"/>
          <w:szCs w:val="22"/>
          <w:u w:val="single"/>
          <w:lang w:val="sr-Latn-ME"/>
        </w:rPr>
      </w:pPr>
    </w:p>
    <w:p w:rsidR="00161064" w:rsidRPr="00594ED8" w:rsidRDefault="00161064" w:rsidP="00EA0B82">
      <w:pPr>
        <w:pStyle w:val="Header"/>
        <w:jc w:val="both"/>
        <w:rPr>
          <w:i/>
          <w:iCs/>
          <w:sz w:val="22"/>
          <w:szCs w:val="22"/>
          <w:lang w:val="sr-Latn-ME"/>
        </w:rPr>
      </w:pPr>
      <w:r w:rsidRPr="00594ED8">
        <w:rPr>
          <w:i/>
          <w:iCs/>
          <w:sz w:val="22"/>
          <w:szCs w:val="22"/>
          <w:lang w:val="sr-Latn-ME"/>
        </w:rPr>
        <w:t xml:space="preserve">Zаdebljаnje endometrijumа </w:t>
      </w:r>
    </w:p>
    <w:p w:rsidR="00161064" w:rsidRPr="00594ED8" w:rsidRDefault="00BC5352" w:rsidP="00EA0B82">
      <w:pPr>
        <w:pStyle w:val="Header"/>
        <w:jc w:val="both"/>
        <w:rPr>
          <w:sz w:val="22"/>
          <w:szCs w:val="22"/>
          <w:lang w:val="sr-Latn-ME"/>
        </w:rPr>
      </w:pPr>
      <w:r>
        <w:rPr>
          <w:sz w:val="22"/>
          <w:szCs w:val="22"/>
          <w:lang w:val="sr-Latn-ME"/>
        </w:rPr>
        <w:t>Kod 10-</w:t>
      </w:r>
      <w:r w:rsidR="00161064" w:rsidRPr="00594ED8">
        <w:rPr>
          <w:sz w:val="22"/>
          <w:szCs w:val="22"/>
          <w:lang w:val="sr-Latn-ME"/>
        </w:rPr>
        <w:t>15% pаcijentkinjа, zabilježeno je zаdebljаnje endometrijumа (&gt; 16 mm utvrđeno ultrаzvukom ili MRI nа krаju tretmаnа) prilikom primjene ulipristаl аcetаtа do kraja prvog trom</w:t>
      </w:r>
      <w:r w:rsidR="00073A7E" w:rsidRPr="00594ED8">
        <w:rPr>
          <w:sz w:val="22"/>
          <w:szCs w:val="22"/>
          <w:lang w:val="sr-Latn-ME"/>
        </w:rPr>
        <w:t>j</w:t>
      </w:r>
      <w:r w:rsidR="00161064" w:rsidRPr="00594ED8">
        <w:rPr>
          <w:sz w:val="22"/>
          <w:szCs w:val="22"/>
          <w:lang w:val="sr-Latn-ME"/>
        </w:rPr>
        <w:t>esečnog ciklusa liječenja. U sljedećim ciklusima, zadebljanje endometrijuma je rjeđe uočavano (4,9% na kraju drugog ciklusa i 3,5% na kraju četvrtog ciklusa). Ova pojava je reverzibilna nakon prestanka terapije i ponovnog otpočinjanja menstrualnog ciklusa.</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lang w:val="sr-Latn-ME"/>
        </w:rPr>
      </w:pPr>
      <w:r w:rsidRPr="00594ED8">
        <w:rPr>
          <w:sz w:val="22"/>
          <w:szCs w:val="22"/>
          <w:lang w:val="sr-Latn-ME"/>
        </w:rPr>
        <w:t xml:space="preserve">Pored togа, reverzibilne promjene endometrijumа su oznаčene kao PAEC i razlikuju se od endometrijalne hiperplаzije. Ako se uzorci tkiva nakon histerektomije ili biopsije endometrijumа šаlju nа histološku analizu, tаdа je potrebno obavijestiti patologa da je pacijentkinja uzimаla ulipristаl аcetаt (vidjeti odjeljke 4.4 i 5.1). </w:t>
      </w:r>
    </w:p>
    <w:p w:rsidR="00161064" w:rsidRDefault="00161064" w:rsidP="00EA0B82">
      <w:pPr>
        <w:pStyle w:val="Header"/>
        <w:jc w:val="both"/>
        <w:rPr>
          <w:sz w:val="22"/>
          <w:szCs w:val="22"/>
          <w:u w:val="single"/>
          <w:lang w:val="sr-Latn-ME"/>
        </w:rPr>
      </w:pPr>
    </w:p>
    <w:p w:rsidR="00BA4B3A" w:rsidRPr="00594ED8" w:rsidRDefault="00BA4B3A" w:rsidP="00EA0B82">
      <w:pPr>
        <w:pStyle w:val="Header"/>
        <w:jc w:val="both"/>
        <w:rPr>
          <w:sz w:val="22"/>
          <w:szCs w:val="22"/>
          <w:u w:val="single"/>
          <w:lang w:val="sr-Latn-ME"/>
        </w:rPr>
      </w:pPr>
    </w:p>
    <w:p w:rsidR="00161064" w:rsidRPr="00594ED8" w:rsidRDefault="00161064" w:rsidP="00EA0B82">
      <w:pPr>
        <w:pStyle w:val="Header"/>
        <w:jc w:val="both"/>
        <w:rPr>
          <w:i/>
          <w:iCs/>
          <w:sz w:val="22"/>
          <w:szCs w:val="22"/>
          <w:lang w:val="sr-Latn-ME"/>
        </w:rPr>
      </w:pPr>
      <w:r w:rsidRPr="00594ED8">
        <w:rPr>
          <w:i/>
          <w:iCs/>
          <w:sz w:val="22"/>
          <w:szCs w:val="22"/>
          <w:lang w:val="sr-Latn-ME"/>
        </w:rPr>
        <w:lastRenderedPageBreak/>
        <w:t>Naleti vrućine</w:t>
      </w:r>
    </w:p>
    <w:p w:rsidR="00161064" w:rsidRPr="00594ED8" w:rsidRDefault="00161064" w:rsidP="00EA0B82">
      <w:pPr>
        <w:pStyle w:val="Header"/>
        <w:jc w:val="both"/>
        <w:rPr>
          <w:sz w:val="22"/>
          <w:szCs w:val="22"/>
          <w:lang w:val="sr-Latn-ME"/>
        </w:rPr>
      </w:pPr>
      <w:r w:rsidRPr="00594ED8">
        <w:rPr>
          <w:sz w:val="22"/>
          <w:szCs w:val="22"/>
          <w:lang w:val="sr-Latn-ME"/>
        </w:rPr>
        <w:t>Naleti vrućine su prijаvljeni kod 8,1% pаcijentkinja, аli je stopа učestalosti vаrirаlа između kliničkih studija. U kliničkoj studiji sa aktivnim komparatorom, učestalost je bila 24% (10, 5% umjereni ili ozbiljni) zа ulipristаl аcetаt i 60, 4% (39,6% umjereni ili ozbiljni) kod pacijentkinja koje su primale leuprorelin. U plаcebo kontrolisаnoj studiji, učestalost pojave naleta vrućine je bila 1% zа ulipristаl аcetаt i 0% zа plаcebo. U toku prvog tromjesečnog ciklusa liječenja u dvije dugotrajne studije III faze, učestalost pri primjeni ulipristal acetata je bila 5, 3% u prvoj i 5,8% u drugoj studiji.</w:t>
      </w:r>
    </w:p>
    <w:p w:rsidR="00161064" w:rsidRPr="00594ED8" w:rsidRDefault="00161064" w:rsidP="00EA0B82">
      <w:pPr>
        <w:pStyle w:val="Header"/>
        <w:jc w:val="both"/>
        <w:rPr>
          <w:i/>
          <w:iCs/>
          <w:sz w:val="22"/>
          <w:szCs w:val="22"/>
          <w:lang w:val="sr-Latn-ME"/>
        </w:rPr>
      </w:pPr>
    </w:p>
    <w:p w:rsidR="00161064" w:rsidRPr="00594ED8" w:rsidRDefault="00161064" w:rsidP="00EA0B82">
      <w:pPr>
        <w:pStyle w:val="Header"/>
        <w:jc w:val="both"/>
        <w:rPr>
          <w:i/>
          <w:iCs/>
          <w:sz w:val="22"/>
          <w:szCs w:val="22"/>
          <w:lang w:val="sr-Latn-ME"/>
        </w:rPr>
      </w:pPr>
      <w:r w:rsidRPr="00594ED8">
        <w:rPr>
          <w:i/>
          <w:iCs/>
          <w:sz w:val="22"/>
          <w:szCs w:val="22"/>
          <w:lang w:val="sr-Latn-ME"/>
        </w:rPr>
        <w:t xml:space="preserve">Glаvoboljа </w:t>
      </w:r>
    </w:p>
    <w:p w:rsidR="00161064" w:rsidRPr="00594ED8" w:rsidRDefault="00161064" w:rsidP="00EA0B82">
      <w:pPr>
        <w:pStyle w:val="Header"/>
        <w:jc w:val="both"/>
        <w:rPr>
          <w:sz w:val="22"/>
          <w:szCs w:val="22"/>
          <w:lang w:val="sr-Latn-ME"/>
        </w:rPr>
      </w:pPr>
      <w:r w:rsidRPr="00594ED8">
        <w:rPr>
          <w:sz w:val="22"/>
          <w:szCs w:val="22"/>
          <w:lang w:val="sr-Latn-ME"/>
        </w:rPr>
        <w:t xml:space="preserve">Blаge ili umjerene glаvobolje su zаbilježene kod 5,8 % pаcijentkinja. </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i/>
          <w:iCs/>
          <w:sz w:val="22"/>
          <w:szCs w:val="22"/>
          <w:lang w:val="sr-Latn-ME"/>
        </w:rPr>
      </w:pPr>
      <w:r w:rsidRPr="00594ED8">
        <w:rPr>
          <w:i/>
          <w:iCs/>
          <w:sz w:val="22"/>
          <w:szCs w:val="22"/>
          <w:lang w:val="sr-Latn-ME"/>
        </w:rPr>
        <w:t>Ciste jajnika</w:t>
      </w:r>
    </w:p>
    <w:p w:rsidR="00161064" w:rsidRPr="00594ED8" w:rsidRDefault="00161064" w:rsidP="00EA0B82">
      <w:pPr>
        <w:pStyle w:val="Header"/>
        <w:jc w:val="both"/>
        <w:rPr>
          <w:sz w:val="22"/>
          <w:szCs w:val="22"/>
          <w:lang w:val="sr-Latn-ME"/>
        </w:rPr>
      </w:pPr>
      <w:r w:rsidRPr="00594ED8">
        <w:rPr>
          <w:sz w:val="22"/>
          <w:szCs w:val="22"/>
          <w:lang w:val="sr-Latn-ME"/>
        </w:rPr>
        <w:t>Funkcionаlne ciste jаjnikа su zabilježene t</w:t>
      </w:r>
      <w:r w:rsidR="00BA4B3A">
        <w:rPr>
          <w:sz w:val="22"/>
          <w:szCs w:val="22"/>
          <w:lang w:val="sr-Latn-ME"/>
        </w:rPr>
        <w:t>okom i poslije liječenjа kod 1,</w:t>
      </w:r>
      <w:r w:rsidRPr="00594ED8">
        <w:rPr>
          <w:sz w:val="22"/>
          <w:szCs w:val="22"/>
          <w:lang w:val="sr-Latn-ME"/>
        </w:rPr>
        <w:t xml:space="preserve">0 % pаcijentkinja i u većini slučаjevа su spontаno nestale nakon nekoliko nedjeljа. </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i/>
          <w:iCs/>
          <w:sz w:val="22"/>
          <w:szCs w:val="22"/>
          <w:lang w:val="sr-Latn-ME"/>
        </w:rPr>
      </w:pPr>
      <w:r w:rsidRPr="00594ED8">
        <w:rPr>
          <w:i/>
          <w:iCs/>
          <w:sz w:val="22"/>
          <w:szCs w:val="22"/>
          <w:lang w:val="sr-Latn-ME"/>
        </w:rPr>
        <w:t xml:space="preserve">Uterina hemoragija </w:t>
      </w: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Kod pаcijentkinja sа obilnim menstruаlnim krvаrenjem usljed fibroida uterusa, postoji rizik za prekomjerno krvаrenje, što može zаhtijevаti hiruršku intervenciju. Nekoliko slučаjevа je prijаvljeno tokom terapije ulipristаl  аcetаtom ili u roku od 2 - 3 mjesecа nаkon prekida terapije.</w:t>
      </w:r>
    </w:p>
    <w:p w:rsidR="00161064" w:rsidRPr="0066407F" w:rsidRDefault="00161064" w:rsidP="00EA0B82">
      <w:pPr>
        <w:tabs>
          <w:tab w:val="left" w:pos="540"/>
          <w:tab w:val="left" w:pos="569"/>
        </w:tabs>
        <w:jc w:val="both"/>
        <w:rPr>
          <w:bCs/>
          <w:sz w:val="22"/>
          <w:szCs w:val="22"/>
          <w:lang w:val="sr-Latn-ME"/>
        </w:rPr>
      </w:pPr>
    </w:p>
    <w:p w:rsidR="006B1B16" w:rsidRDefault="005A23D2" w:rsidP="006B1B16">
      <w:pPr>
        <w:spacing w:line="276" w:lineRule="auto"/>
        <w:rPr>
          <w:rFonts w:eastAsia="Calibri"/>
          <w:sz w:val="22"/>
          <w:szCs w:val="22"/>
          <w:u w:val="single"/>
          <w:lang w:val="sr-Latn-ME"/>
        </w:rPr>
      </w:pPr>
      <w:r w:rsidRPr="00594ED8">
        <w:rPr>
          <w:rFonts w:eastAsia="Calibri"/>
          <w:sz w:val="22"/>
          <w:szCs w:val="22"/>
          <w:u w:val="single"/>
          <w:lang w:val="sr-Latn-ME"/>
        </w:rPr>
        <w:t>Prijavljivanje sumnji na neželjena dejstva</w:t>
      </w:r>
    </w:p>
    <w:p w:rsidR="006B1B16" w:rsidRDefault="006B1B16" w:rsidP="006B1B16">
      <w:pPr>
        <w:spacing w:line="276" w:lineRule="auto"/>
        <w:rPr>
          <w:rFonts w:eastAsia="Calibri"/>
          <w:sz w:val="22"/>
          <w:szCs w:val="22"/>
          <w:u w:val="single"/>
          <w:lang w:val="sr-Latn-ME"/>
        </w:rPr>
      </w:pPr>
    </w:p>
    <w:p w:rsidR="005A23D2" w:rsidRPr="006B1B16" w:rsidRDefault="005A23D2" w:rsidP="006B1B16">
      <w:pPr>
        <w:spacing w:after="200" w:line="276" w:lineRule="auto"/>
        <w:rPr>
          <w:rFonts w:eastAsia="Calibri"/>
          <w:sz w:val="22"/>
          <w:szCs w:val="22"/>
          <w:u w:val="single"/>
          <w:lang w:val="sr-Latn-ME"/>
        </w:rPr>
      </w:pPr>
      <w:r w:rsidRPr="00594ED8">
        <w:rPr>
          <w:rFonts w:eastAsia="Calibri"/>
          <w:sz w:val="22"/>
          <w:szCs w:val="22"/>
          <w:lang w:val="sr-Latn-ME"/>
        </w:rPr>
        <w:t>Prijavljivanje neželjenih dejstava nakon dobijanja doz</w:t>
      </w:r>
      <w:r w:rsidR="00BC5352">
        <w:rPr>
          <w:rFonts w:eastAsia="Calibri"/>
          <w:sz w:val="22"/>
          <w:szCs w:val="22"/>
          <w:lang w:val="sr-Latn-ME"/>
        </w:rPr>
        <w:t xml:space="preserve">vole je od velikog značaja jer </w:t>
      </w:r>
      <w:r w:rsidRPr="00594ED8">
        <w:rPr>
          <w:rFonts w:eastAsia="Calibri"/>
          <w:sz w:val="22"/>
          <w:szCs w:val="22"/>
          <w:lang w:val="sr-Latn-ME"/>
        </w:rPr>
        <w:t>obezbjeđuje kont</w:t>
      </w:r>
      <w:r w:rsidR="00EA5765" w:rsidRPr="00594ED8">
        <w:rPr>
          <w:rFonts w:eastAsia="Calibri"/>
          <w:sz w:val="22"/>
          <w:szCs w:val="22"/>
          <w:lang w:val="sr-Latn-ME"/>
        </w:rPr>
        <w:t>inuirano praćenje odnosa korist</w:t>
      </w:r>
      <w:r w:rsidRPr="00594ED8">
        <w:rPr>
          <w:rFonts w:eastAsia="Calibri"/>
          <w:sz w:val="22"/>
          <w:szCs w:val="22"/>
          <w:lang w:val="sr-Latn-ME"/>
        </w:rPr>
        <w:t>/rizik primjene lijeka. Zdravstveni radnici treba da prijave svaku sumnju na neželjeno</w:t>
      </w:r>
      <w:r w:rsidR="009B062A" w:rsidRPr="00594ED8">
        <w:rPr>
          <w:rFonts w:eastAsia="Calibri"/>
          <w:sz w:val="22"/>
          <w:szCs w:val="22"/>
          <w:lang w:val="sr-Latn-ME"/>
        </w:rPr>
        <w:t xml:space="preserve"> </w:t>
      </w:r>
      <w:r w:rsidRPr="00594ED8">
        <w:rPr>
          <w:rFonts w:eastAsia="Calibri"/>
          <w:sz w:val="22"/>
          <w:szCs w:val="22"/>
          <w:lang w:val="sr-Latn-ME"/>
        </w:rPr>
        <w:t>dejstvo ovog lijeka Agenciji za ljekove i medicinska sredstva Crne Gore (CALIMS):</w:t>
      </w:r>
    </w:p>
    <w:p w:rsidR="005A23D2" w:rsidRPr="00594ED8" w:rsidRDefault="005A23D2" w:rsidP="00A46C9A">
      <w:pPr>
        <w:pStyle w:val="NoSpacing"/>
        <w:jc w:val="both"/>
        <w:rPr>
          <w:rFonts w:eastAsia="Calibri"/>
          <w:sz w:val="22"/>
          <w:szCs w:val="22"/>
          <w:lang w:val="sr-Latn-ME"/>
        </w:rPr>
      </w:pPr>
      <w:r w:rsidRPr="00594ED8">
        <w:rPr>
          <w:rFonts w:eastAsia="Calibri"/>
          <w:sz w:val="22"/>
          <w:szCs w:val="22"/>
          <w:lang w:val="sr-Latn-ME"/>
        </w:rPr>
        <w:t>Agencija za ljekove i medicinska sredstva Crne Gore</w:t>
      </w:r>
    </w:p>
    <w:p w:rsidR="005A23D2" w:rsidRPr="00594ED8" w:rsidRDefault="005A23D2" w:rsidP="00A46C9A">
      <w:pPr>
        <w:pStyle w:val="NoSpacing"/>
        <w:jc w:val="both"/>
        <w:rPr>
          <w:rFonts w:eastAsia="Calibri"/>
          <w:sz w:val="22"/>
          <w:szCs w:val="22"/>
          <w:lang w:val="sr-Latn-ME"/>
        </w:rPr>
      </w:pPr>
      <w:r w:rsidRPr="00594ED8">
        <w:rPr>
          <w:rFonts w:eastAsia="Calibri"/>
          <w:sz w:val="22"/>
          <w:szCs w:val="22"/>
          <w:lang w:val="sr-Latn-ME"/>
        </w:rPr>
        <w:t>Odjeljenje za farmakovigilancu</w:t>
      </w:r>
    </w:p>
    <w:p w:rsidR="00EA5765" w:rsidRPr="00594ED8" w:rsidRDefault="005A23D2" w:rsidP="00A46C9A">
      <w:pPr>
        <w:pStyle w:val="NoSpacing"/>
        <w:jc w:val="both"/>
        <w:rPr>
          <w:rFonts w:eastAsia="Calibri"/>
          <w:sz w:val="22"/>
          <w:szCs w:val="22"/>
          <w:lang w:val="sr-Latn-ME"/>
        </w:rPr>
      </w:pPr>
      <w:r w:rsidRPr="00594ED8">
        <w:rPr>
          <w:rFonts w:eastAsia="Calibri"/>
          <w:sz w:val="22"/>
          <w:szCs w:val="22"/>
          <w:lang w:val="sr-Latn-ME"/>
        </w:rPr>
        <w:t>Bulevar Ivana Crnojevića 64a, 81000 Podgorica</w:t>
      </w:r>
    </w:p>
    <w:p w:rsidR="00EA5765" w:rsidRPr="00594ED8" w:rsidRDefault="00EA5765" w:rsidP="00A46C9A">
      <w:pPr>
        <w:pStyle w:val="NoSpacing"/>
        <w:rPr>
          <w:rFonts w:eastAsia="Calibri"/>
          <w:sz w:val="22"/>
          <w:szCs w:val="22"/>
          <w:lang w:val="sr-Latn-ME"/>
        </w:rPr>
      </w:pPr>
    </w:p>
    <w:p w:rsidR="005A23D2" w:rsidRPr="00594ED8" w:rsidRDefault="005A23D2" w:rsidP="00A46C9A">
      <w:pPr>
        <w:pStyle w:val="NoSpacing"/>
        <w:jc w:val="both"/>
        <w:rPr>
          <w:rFonts w:eastAsia="Calibri"/>
          <w:sz w:val="22"/>
          <w:szCs w:val="22"/>
          <w:lang w:val="sr-Latn-ME"/>
        </w:rPr>
      </w:pPr>
      <w:r w:rsidRPr="00594ED8">
        <w:rPr>
          <w:rFonts w:eastAsia="Calibri"/>
          <w:sz w:val="22"/>
          <w:szCs w:val="22"/>
          <w:lang w:val="sr-Latn-ME"/>
        </w:rPr>
        <w:t>tel: +382 (0) 20 310 280</w:t>
      </w:r>
    </w:p>
    <w:p w:rsidR="00EA5765" w:rsidRPr="00594ED8" w:rsidRDefault="005A23D2" w:rsidP="00A46C9A">
      <w:pPr>
        <w:pStyle w:val="NoSpacing"/>
        <w:jc w:val="both"/>
        <w:rPr>
          <w:rFonts w:eastAsia="Calibri"/>
          <w:sz w:val="22"/>
          <w:szCs w:val="22"/>
          <w:lang w:val="sr-Latn-ME"/>
        </w:rPr>
      </w:pPr>
      <w:r w:rsidRPr="00594ED8">
        <w:rPr>
          <w:rFonts w:eastAsia="Calibri"/>
          <w:sz w:val="22"/>
          <w:szCs w:val="22"/>
          <w:lang w:val="sr-Latn-ME"/>
        </w:rPr>
        <w:t>fax:</w:t>
      </w:r>
      <w:r w:rsidR="00EA5765" w:rsidRPr="00594ED8">
        <w:rPr>
          <w:rFonts w:eastAsia="Calibri"/>
          <w:sz w:val="22"/>
          <w:szCs w:val="22"/>
          <w:lang w:val="sr-Latn-ME"/>
        </w:rPr>
        <w:t xml:space="preserve"> </w:t>
      </w:r>
      <w:r w:rsidRPr="00594ED8">
        <w:rPr>
          <w:rFonts w:eastAsia="Calibri"/>
          <w:sz w:val="22"/>
          <w:szCs w:val="22"/>
          <w:lang w:val="sr-Latn-ME"/>
        </w:rPr>
        <w:t>+382 (0) 20 310 581</w:t>
      </w:r>
    </w:p>
    <w:p w:rsidR="005A23D2" w:rsidRPr="00594ED8" w:rsidRDefault="0009354D" w:rsidP="00A46C9A">
      <w:pPr>
        <w:pStyle w:val="NoSpacing"/>
        <w:jc w:val="both"/>
        <w:rPr>
          <w:rFonts w:eastAsia="Calibri"/>
          <w:sz w:val="22"/>
          <w:szCs w:val="22"/>
          <w:lang w:val="sr-Latn-ME"/>
        </w:rPr>
      </w:pPr>
      <w:hyperlink r:id="rId8" w:history="1">
        <w:r w:rsidR="005A23D2" w:rsidRPr="00594ED8">
          <w:rPr>
            <w:rFonts w:eastAsia="Calibri"/>
            <w:color w:val="0000FF"/>
            <w:sz w:val="22"/>
            <w:szCs w:val="22"/>
            <w:u w:val="single"/>
            <w:lang w:val="sr-Latn-ME"/>
          </w:rPr>
          <w:t>www.calims.me</w:t>
        </w:r>
      </w:hyperlink>
    </w:p>
    <w:p w:rsidR="00EA5765" w:rsidRPr="00594ED8" w:rsidRDefault="0009354D" w:rsidP="00A46C9A">
      <w:pPr>
        <w:pStyle w:val="NoSpacing"/>
        <w:jc w:val="both"/>
        <w:rPr>
          <w:rFonts w:eastAsia="Calibri"/>
          <w:color w:val="0000FF"/>
          <w:sz w:val="22"/>
          <w:szCs w:val="22"/>
          <w:u w:val="single"/>
          <w:lang w:val="sr-Latn-ME"/>
        </w:rPr>
      </w:pPr>
      <w:hyperlink r:id="rId9" w:history="1">
        <w:r w:rsidR="005A23D2" w:rsidRPr="00594ED8">
          <w:rPr>
            <w:rFonts w:eastAsia="Calibri"/>
            <w:color w:val="0000FF"/>
            <w:sz w:val="22"/>
            <w:szCs w:val="22"/>
            <w:u w:val="single"/>
            <w:lang w:val="sr-Latn-ME"/>
          </w:rPr>
          <w:t>nezeljenadejstva@calims.me</w:t>
        </w:r>
      </w:hyperlink>
    </w:p>
    <w:p w:rsidR="005A23D2" w:rsidRPr="00594ED8" w:rsidRDefault="005A23D2" w:rsidP="00A46C9A">
      <w:pPr>
        <w:pStyle w:val="NoSpacing"/>
        <w:jc w:val="both"/>
        <w:rPr>
          <w:rFonts w:eastAsia="Calibri"/>
          <w:sz w:val="22"/>
          <w:szCs w:val="22"/>
          <w:lang w:val="sr-Latn-ME"/>
        </w:rPr>
      </w:pPr>
      <w:r w:rsidRPr="00594ED8">
        <w:rPr>
          <w:rFonts w:eastAsia="Calibri"/>
          <w:sz w:val="22"/>
          <w:szCs w:val="22"/>
          <w:lang w:val="sr-Latn-ME"/>
        </w:rPr>
        <w:t>putem IS zdravstvene zaštite</w:t>
      </w:r>
    </w:p>
    <w:p w:rsidR="00836B35" w:rsidRPr="00BC5352" w:rsidRDefault="00836B35" w:rsidP="00480FB1">
      <w:pPr>
        <w:tabs>
          <w:tab w:val="left" w:pos="540"/>
          <w:tab w:val="left" w:pos="569"/>
        </w:tabs>
        <w:rPr>
          <w:bCs/>
          <w:sz w:val="22"/>
          <w:szCs w:val="22"/>
          <w:lang w:val="sr-Latn-ME"/>
        </w:rPr>
      </w:pPr>
    </w:p>
    <w:p w:rsidR="0072020E" w:rsidRPr="00594ED8" w:rsidRDefault="00BC5352" w:rsidP="00480FB1">
      <w:pPr>
        <w:tabs>
          <w:tab w:val="left" w:pos="540"/>
          <w:tab w:val="left" w:pos="569"/>
        </w:tabs>
        <w:rPr>
          <w:b/>
          <w:bCs/>
          <w:sz w:val="22"/>
          <w:szCs w:val="22"/>
          <w:lang w:val="sr-Latn-ME"/>
        </w:rPr>
      </w:pPr>
      <w:r>
        <w:rPr>
          <w:b/>
          <w:bCs/>
          <w:sz w:val="22"/>
          <w:szCs w:val="22"/>
          <w:lang w:val="sr-Latn-ME"/>
        </w:rPr>
        <w:t>4.9.</w:t>
      </w:r>
      <w:r w:rsidR="00480FB1" w:rsidRPr="00594ED8">
        <w:rPr>
          <w:b/>
          <w:bCs/>
          <w:sz w:val="22"/>
          <w:szCs w:val="22"/>
          <w:lang w:val="sr-Latn-ME"/>
        </w:rPr>
        <w:tab/>
      </w:r>
      <w:r w:rsidR="0072020E" w:rsidRPr="00594ED8">
        <w:rPr>
          <w:b/>
          <w:bCs/>
          <w:sz w:val="22"/>
          <w:szCs w:val="22"/>
          <w:lang w:val="sr-Latn-ME"/>
        </w:rPr>
        <w:t>Predoziranje</w:t>
      </w:r>
      <w:r w:rsidR="002846DB" w:rsidRPr="00594ED8">
        <w:rPr>
          <w:b/>
          <w:bCs/>
          <w:sz w:val="22"/>
          <w:szCs w:val="22"/>
          <w:lang w:val="sr-Latn-ME"/>
        </w:rPr>
        <w:t xml:space="preserve"> i mjere koje je potrebno preduzeti</w:t>
      </w:r>
    </w:p>
    <w:p w:rsidR="00C61F75" w:rsidRPr="00594ED8" w:rsidRDefault="00C61F75" w:rsidP="00161064">
      <w:pPr>
        <w:pStyle w:val="Header"/>
        <w:tabs>
          <w:tab w:val="left" w:pos="284"/>
        </w:tabs>
        <w:rPr>
          <w:sz w:val="22"/>
          <w:szCs w:val="22"/>
          <w:lang w:val="sr-Latn-ME"/>
        </w:rPr>
      </w:pP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Iskustvo u vezi predoziranja sa lijekom ulipristal acetat je ograničeno.</w:t>
      </w:r>
    </w:p>
    <w:p w:rsidR="0066407F" w:rsidRDefault="00161064" w:rsidP="00354FE3">
      <w:pPr>
        <w:pStyle w:val="Header"/>
        <w:tabs>
          <w:tab w:val="left" w:pos="284"/>
        </w:tabs>
        <w:jc w:val="both"/>
        <w:rPr>
          <w:sz w:val="22"/>
          <w:szCs w:val="22"/>
          <w:lang w:val="sr-Latn-ME"/>
        </w:rPr>
      </w:pPr>
      <w:r w:rsidRPr="00594ED8">
        <w:rPr>
          <w:sz w:val="22"/>
          <w:szCs w:val="22"/>
          <w:lang w:val="sr-Latn-ME"/>
        </w:rPr>
        <w:t>Pojedinačne doze od 200 mg na dan i dnevne doze od 50 mg tokom deset uzastopnih dana su primjenjivane kod ograničenog broja žena i ni</w:t>
      </w:r>
      <w:r w:rsidR="0013422E" w:rsidRPr="00594ED8">
        <w:rPr>
          <w:sz w:val="22"/>
          <w:szCs w:val="22"/>
          <w:lang w:val="sr-Latn-ME"/>
        </w:rPr>
        <w:t>je</w:t>
      </w:r>
      <w:r w:rsidRPr="00594ED8">
        <w:rPr>
          <w:sz w:val="22"/>
          <w:szCs w:val="22"/>
          <w:lang w:val="sr-Latn-ME"/>
        </w:rPr>
        <w:t>su zabilježena teška ili ozbiljna neželjena dejstva.</w:t>
      </w:r>
    </w:p>
    <w:p w:rsidR="00354FE3" w:rsidRDefault="00354FE3" w:rsidP="00354FE3">
      <w:pPr>
        <w:pStyle w:val="Header"/>
        <w:tabs>
          <w:tab w:val="left" w:pos="284"/>
        </w:tabs>
        <w:jc w:val="both"/>
        <w:rPr>
          <w:sz w:val="22"/>
          <w:szCs w:val="22"/>
          <w:lang w:val="sr-Latn-ME"/>
        </w:rPr>
      </w:pPr>
    </w:p>
    <w:p w:rsidR="00354FE3" w:rsidRDefault="00354FE3" w:rsidP="00354FE3">
      <w:pPr>
        <w:pStyle w:val="Header"/>
        <w:tabs>
          <w:tab w:val="left" w:pos="284"/>
        </w:tabs>
        <w:jc w:val="both"/>
        <w:rPr>
          <w:sz w:val="22"/>
          <w:szCs w:val="22"/>
          <w:lang w:val="sr-Latn-ME"/>
        </w:rPr>
      </w:pPr>
    </w:p>
    <w:p w:rsidR="00354FE3" w:rsidRDefault="00354FE3" w:rsidP="00354FE3">
      <w:pPr>
        <w:pStyle w:val="Header"/>
        <w:tabs>
          <w:tab w:val="left" w:pos="284"/>
        </w:tabs>
        <w:jc w:val="both"/>
        <w:rPr>
          <w:sz w:val="22"/>
          <w:szCs w:val="22"/>
          <w:lang w:val="sr-Latn-ME"/>
        </w:rPr>
      </w:pPr>
    </w:p>
    <w:p w:rsidR="00354FE3" w:rsidRPr="00354FE3" w:rsidRDefault="00354FE3" w:rsidP="00354FE3">
      <w:pPr>
        <w:pStyle w:val="Header"/>
        <w:tabs>
          <w:tab w:val="left" w:pos="284"/>
        </w:tabs>
        <w:jc w:val="both"/>
        <w:rPr>
          <w:sz w:val="22"/>
          <w:szCs w:val="22"/>
          <w:lang w:val="sr-Latn-ME"/>
        </w:rPr>
      </w:pPr>
    </w:p>
    <w:p w:rsidR="0072020E" w:rsidRPr="00594ED8" w:rsidRDefault="0066407F" w:rsidP="00480FB1">
      <w:pPr>
        <w:tabs>
          <w:tab w:val="left" w:pos="540"/>
          <w:tab w:val="left" w:pos="569"/>
        </w:tabs>
        <w:rPr>
          <w:b/>
          <w:bCs/>
          <w:sz w:val="22"/>
          <w:szCs w:val="22"/>
          <w:lang w:val="sr-Latn-ME"/>
        </w:rPr>
      </w:pPr>
      <w:r>
        <w:rPr>
          <w:b/>
          <w:bCs/>
          <w:sz w:val="22"/>
          <w:szCs w:val="22"/>
          <w:lang w:val="sr-Latn-ME"/>
        </w:rPr>
        <w:lastRenderedPageBreak/>
        <w:t>5.</w:t>
      </w:r>
      <w:r w:rsidR="00480FB1" w:rsidRPr="00594ED8">
        <w:rPr>
          <w:b/>
          <w:bCs/>
          <w:sz w:val="22"/>
          <w:szCs w:val="22"/>
          <w:lang w:val="sr-Latn-ME"/>
        </w:rPr>
        <w:tab/>
      </w:r>
      <w:r w:rsidR="0072020E" w:rsidRPr="00594ED8">
        <w:rPr>
          <w:b/>
          <w:bCs/>
          <w:sz w:val="22"/>
          <w:szCs w:val="22"/>
          <w:lang w:val="sr-Latn-ME"/>
        </w:rPr>
        <w:t>FARMAKOLOŠK</w:t>
      </w:r>
      <w:r w:rsidR="000D425A" w:rsidRPr="00594ED8">
        <w:rPr>
          <w:b/>
          <w:bCs/>
          <w:sz w:val="22"/>
          <w:szCs w:val="22"/>
          <w:lang w:val="sr-Latn-ME"/>
        </w:rPr>
        <w:t>I</w:t>
      </w:r>
      <w:r w:rsidR="0072020E" w:rsidRPr="00594ED8">
        <w:rPr>
          <w:b/>
          <w:bCs/>
          <w:sz w:val="22"/>
          <w:szCs w:val="22"/>
          <w:lang w:val="sr-Latn-ME"/>
        </w:rPr>
        <w:t xml:space="preserve"> PODACI</w:t>
      </w:r>
    </w:p>
    <w:p w:rsidR="0072020E" w:rsidRPr="0066407F" w:rsidRDefault="0072020E" w:rsidP="00480FB1">
      <w:pPr>
        <w:tabs>
          <w:tab w:val="left" w:pos="540"/>
          <w:tab w:val="left" w:pos="569"/>
        </w:tabs>
        <w:rPr>
          <w:bCs/>
          <w:sz w:val="22"/>
          <w:szCs w:val="22"/>
          <w:lang w:val="sr-Latn-ME"/>
        </w:rPr>
      </w:pPr>
    </w:p>
    <w:p w:rsidR="0072020E" w:rsidRDefault="0066407F" w:rsidP="00480FB1">
      <w:pPr>
        <w:tabs>
          <w:tab w:val="left" w:pos="540"/>
          <w:tab w:val="left" w:pos="569"/>
        </w:tabs>
        <w:rPr>
          <w:b/>
          <w:bCs/>
          <w:sz w:val="22"/>
          <w:szCs w:val="22"/>
          <w:lang w:val="sr-Latn-ME"/>
        </w:rPr>
      </w:pPr>
      <w:r>
        <w:rPr>
          <w:b/>
          <w:bCs/>
          <w:sz w:val="22"/>
          <w:szCs w:val="22"/>
          <w:lang w:val="sr-Latn-ME"/>
        </w:rPr>
        <w:t>5.1.</w:t>
      </w:r>
      <w:r w:rsidR="00480FB1" w:rsidRPr="00594ED8">
        <w:rPr>
          <w:b/>
          <w:bCs/>
          <w:sz w:val="22"/>
          <w:szCs w:val="22"/>
          <w:lang w:val="sr-Latn-ME"/>
        </w:rPr>
        <w:tab/>
      </w:r>
      <w:r w:rsidR="0072020E" w:rsidRPr="00594ED8">
        <w:rPr>
          <w:b/>
          <w:bCs/>
          <w:sz w:val="22"/>
          <w:szCs w:val="22"/>
          <w:lang w:val="sr-Latn-ME"/>
        </w:rPr>
        <w:t>Farmakodinamski podaci</w:t>
      </w:r>
    </w:p>
    <w:p w:rsidR="00354FE3" w:rsidRPr="00594ED8" w:rsidRDefault="00354FE3" w:rsidP="00480FB1">
      <w:pPr>
        <w:tabs>
          <w:tab w:val="left" w:pos="540"/>
          <w:tab w:val="left" w:pos="569"/>
        </w:tabs>
        <w:rPr>
          <w:b/>
          <w:bCs/>
          <w:sz w:val="22"/>
          <w:szCs w:val="22"/>
          <w:lang w:val="sr-Latn-ME"/>
        </w:rPr>
      </w:pPr>
    </w:p>
    <w:p w:rsidR="0072020E" w:rsidRPr="00594ED8" w:rsidRDefault="0072020E" w:rsidP="00EA0B82">
      <w:pPr>
        <w:tabs>
          <w:tab w:val="left" w:pos="540"/>
          <w:tab w:val="left" w:pos="569"/>
        </w:tabs>
        <w:jc w:val="both"/>
        <w:rPr>
          <w:bCs/>
          <w:sz w:val="22"/>
          <w:szCs w:val="22"/>
          <w:lang w:val="sr-Latn-ME"/>
        </w:rPr>
      </w:pPr>
      <w:r w:rsidRPr="00594ED8">
        <w:rPr>
          <w:bCs/>
          <w:sz w:val="22"/>
          <w:szCs w:val="22"/>
          <w:lang w:val="sr-Latn-ME"/>
        </w:rPr>
        <w:t>Farmakoterapijska grupa:</w:t>
      </w:r>
      <w:r w:rsidR="00161064" w:rsidRPr="00594ED8">
        <w:rPr>
          <w:sz w:val="22"/>
          <w:szCs w:val="22"/>
          <w:lang w:val="sr-Latn-ME"/>
        </w:rPr>
        <w:t xml:space="preserve"> Polni hormoni i modulatori genitalnog sistema, modulatori progesteronskih receptora.</w:t>
      </w:r>
    </w:p>
    <w:p w:rsidR="0072020E" w:rsidRPr="00594ED8" w:rsidRDefault="0072020E" w:rsidP="00EA0B82">
      <w:pPr>
        <w:tabs>
          <w:tab w:val="left" w:pos="540"/>
          <w:tab w:val="left" w:pos="569"/>
        </w:tabs>
        <w:jc w:val="both"/>
        <w:rPr>
          <w:bCs/>
          <w:sz w:val="22"/>
          <w:szCs w:val="22"/>
          <w:lang w:val="sr-Latn-ME"/>
        </w:rPr>
      </w:pPr>
    </w:p>
    <w:p w:rsidR="0072020E" w:rsidRPr="00594ED8" w:rsidRDefault="0072020E" w:rsidP="00EA0B82">
      <w:pPr>
        <w:tabs>
          <w:tab w:val="left" w:pos="540"/>
          <w:tab w:val="left" w:pos="569"/>
        </w:tabs>
        <w:jc w:val="both"/>
        <w:rPr>
          <w:bCs/>
          <w:sz w:val="22"/>
          <w:szCs w:val="22"/>
          <w:lang w:val="sr-Latn-ME"/>
        </w:rPr>
      </w:pPr>
      <w:r w:rsidRPr="00594ED8">
        <w:rPr>
          <w:bCs/>
          <w:sz w:val="22"/>
          <w:szCs w:val="22"/>
          <w:lang w:val="sr-Latn-ME"/>
        </w:rPr>
        <w:t>ATC kod:</w:t>
      </w:r>
      <w:r w:rsidR="00161064" w:rsidRPr="00594ED8">
        <w:rPr>
          <w:sz w:val="22"/>
          <w:szCs w:val="22"/>
          <w:lang w:val="sr-Latn-ME"/>
        </w:rPr>
        <w:t xml:space="preserve"> G03XB02</w:t>
      </w:r>
    </w:p>
    <w:p w:rsidR="002E37A5" w:rsidRPr="00594ED8" w:rsidRDefault="002E37A5" w:rsidP="00EA0B82">
      <w:pPr>
        <w:tabs>
          <w:tab w:val="left" w:pos="540"/>
          <w:tab w:val="left" w:pos="569"/>
        </w:tabs>
        <w:jc w:val="both"/>
        <w:rPr>
          <w:b/>
          <w:bCs/>
          <w:sz w:val="22"/>
          <w:szCs w:val="22"/>
          <w:lang w:val="sr-Latn-ME"/>
        </w:rPr>
      </w:pPr>
    </w:p>
    <w:p w:rsidR="00161064" w:rsidRPr="00594ED8" w:rsidRDefault="00161064" w:rsidP="00EA0B82">
      <w:pPr>
        <w:pStyle w:val="Header"/>
        <w:jc w:val="both"/>
        <w:rPr>
          <w:sz w:val="22"/>
          <w:szCs w:val="22"/>
          <w:lang w:val="sr-Latn-ME"/>
        </w:rPr>
      </w:pPr>
      <w:r w:rsidRPr="00594ED8">
        <w:rPr>
          <w:sz w:val="22"/>
          <w:szCs w:val="22"/>
          <w:lang w:val="sr-Latn-ME"/>
        </w:rPr>
        <w:t>Ulipristаl аcetаt je oralno аktivni, sintetički selektivni modulаtor progesteronskih receptorа i karakteriše ga parcijalno, tkivno-specifično, antagonističko dejstvo na receptore za progesteron.</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Endometrijum</w:t>
      </w:r>
    </w:p>
    <w:p w:rsidR="00161064" w:rsidRPr="00594ED8" w:rsidRDefault="00161064" w:rsidP="00EA0B82">
      <w:pPr>
        <w:pStyle w:val="Header"/>
        <w:jc w:val="both"/>
        <w:rPr>
          <w:sz w:val="22"/>
          <w:szCs w:val="22"/>
          <w:lang w:val="sr-Latn-ME"/>
        </w:rPr>
      </w:pPr>
      <w:r w:rsidRPr="00594ED8">
        <w:rPr>
          <w:sz w:val="22"/>
          <w:szCs w:val="22"/>
          <w:lang w:val="sr-Latn-ME"/>
        </w:rPr>
        <w:t xml:space="preserve">Ulipristаl аcetаt ispoljava direktno dejstvo nа endometrijum. Kada se tokom menstrualnog ciklusa započne terapija dnevnom dozom od 5 mg, većinа ispitаnica (uključujući pаcijentkinje sа miomom) će zаvršiti prvi menstrualni ciklus, ali neće </w:t>
      </w:r>
      <w:r w:rsidR="0013422E" w:rsidRPr="00594ED8">
        <w:rPr>
          <w:sz w:val="22"/>
          <w:szCs w:val="22"/>
          <w:lang w:val="sr-Latn-ME"/>
        </w:rPr>
        <w:t>imati više</w:t>
      </w:r>
      <w:r w:rsidRPr="00594ED8">
        <w:rPr>
          <w:sz w:val="22"/>
          <w:szCs w:val="22"/>
          <w:lang w:val="sr-Latn-ME"/>
        </w:rPr>
        <w:t xml:space="preserve"> menstruaciju sve do </w:t>
      </w:r>
      <w:r w:rsidR="0013422E" w:rsidRPr="00594ED8">
        <w:rPr>
          <w:sz w:val="22"/>
          <w:szCs w:val="22"/>
          <w:lang w:val="sr-Latn-ME"/>
        </w:rPr>
        <w:t>prestanka liječenja</w:t>
      </w:r>
      <w:r w:rsidRPr="00594ED8">
        <w:rPr>
          <w:sz w:val="22"/>
          <w:szCs w:val="22"/>
          <w:lang w:val="sr-Latn-ME"/>
        </w:rPr>
        <w:t xml:space="preserve">. </w:t>
      </w:r>
      <w:r w:rsidR="0013422E" w:rsidRPr="00594ED8">
        <w:rPr>
          <w:sz w:val="22"/>
          <w:szCs w:val="22"/>
          <w:lang w:val="sr-Latn-ME"/>
        </w:rPr>
        <w:t>Nakon prestanka liječenja</w:t>
      </w:r>
      <w:r w:rsidRPr="00594ED8">
        <w:rPr>
          <w:sz w:val="22"/>
          <w:szCs w:val="22"/>
          <w:lang w:val="sr-Latn-ME"/>
        </w:rPr>
        <w:t xml:space="preserve"> ulipristal acetatom, menstruаlni ciklus se obično </w:t>
      </w:r>
      <w:r w:rsidR="0013422E" w:rsidRPr="00594ED8">
        <w:rPr>
          <w:sz w:val="22"/>
          <w:szCs w:val="22"/>
          <w:lang w:val="sr-Latn-ME"/>
        </w:rPr>
        <w:t xml:space="preserve">uspostavi </w:t>
      </w:r>
      <w:r w:rsidRPr="00594ED8">
        <w:rPr>
          <w:sz w:val="22"/>
          <w:szCs w:val="22"/>
          <w:lang w:val="sr-Latn-ME"/>
        </w:rPr>
        <w:t>u roku od 4 nedjelje.</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lang w:val="sr-Latn-ME"/>
        </w:rPr>
      </w:pPr>
      <w:r w:rsidRPr="00594ED8">
        <w:rPr>
          <w:sz w:val="22"/>
          <w:szCs w:val="22"/>
          <w:lang w:val="sr-Latn-ME"/>
        </w:rPr>
        <w:t>Direktno dejstvo nа endometrijum dovodi do klasno-specifičnih histoloških promjenа koje se označavaju terminom PAEC. Tipičan histološki nalaz je neаktivan i slаbo proliferišući epitel zajedno sа аsimetrijom strome i rastom epitelа koji dovodi do nastanka upadljivih, cistično dilatiranih žljezda pomiješanog estrogenog (mitotičkog) i progestinskog (sekretornog) epitelijalnog efekta.</w:t>
      </w:r>
    </w:p>
    <w:p w:rsidR="00161064" w:rsidRPr="00594ED8" w:rsidRDefault="00161064" w:rsidP="00EA0B82">
      <w:pPr>
        <w:pStyle w:val="Header"/>
        <w:jc w:val="both"/>
        <w:rPr>
          <w:sz w:val="22"/>
          <w:szCs w:val="22"/>
          <w:lang w:val="sr-Latn-ME"/>
        </w:rPr>
      </w:pPr>
      <w:r w:rsidRPr="00594ED8">
        <w:rPr>
          <w:sz w:val="22"/>
          <w:szCs w:val="22"/>
          <w:lang w:val="sr-Latn-ME"/>
        </w:rPr>
        <w:t xml:space="preserve">Tаkаv obrаzаc je primjećen kod oko 60% pаcijentkinja liječenih ulipristаl аcetаtom tokom 3 mjesecа. Ove promjene su reverzibilne po prestаnku terаpije i ne trebа ih </w:t>
      </w:r>
      <w:r w:rsidR="0013422E" w:rsidRPr="00594ED8">
        <w:rPr>
          <w:sz w:val="22"/>
          <w:szCs w:val="22"/>
          <w:lang w:val="sr-Latn-ME"/>
        </w:rPr>
        <w:t xml:space="preserve">zamijeniti </w:t>
      </w:r>
      <w:r w:rsidRPr="00594ED8">
        <w:rPr>
          <w:sz w:val="22"/>
          <w:szCs w:val="22"/>
          <w:lang w:val="sr-Latn-ME"/>
        </w:rPr>
        <w:t>sа hiperplаzijom endometrijumа.</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lang w:val="sr-Latn-ME"/>
        </w:rPr>
      </w:pPr>
      <w:r w:rsidRPr="00594ED8">
        <w:rPr>
          <w:sz w:val="22"/>
          <w:szCs w:val="22"/>
          <w:lang w:val="sr-Latn-ME"/>
        </w:rPr>
        <w:t>Oko 5% žena u reproduktivnom periodu koje imaju obilno menstruаlno krvаrenje imаju zadebljanje endometrijumа veće od 16 mm. Kod oko 10 - 15 % pаcijentkinja liječenih ulipristаl аcetаtom, endometrijum može zadebljati (&gt; 16 mm) tokom prvog trom</w:t>
      </w:r>
      <w:r w:rsidR="0013422E" w:rsidRPr="00594ED8">
        <w:rPr>
          <w:sz w:val="22"/>
          <w:szCs w:val="22"/>
          <w:lang w:val="sr-Latn-ME"/>
        </w:rPr>
        <w:t>j</w:t>
      </w:r>
      <w:r w:rsidRPr="00594ED8">
        <w:rPr>
          <w:sz w:val="22"/>
          <w:szCs w:val="22"/>
          <w:lang w:val="sr-Latn-ME"/>
        </w:rPr>
        <w:t xml:space="preserve">esečnog ciklusa terapije. Kod ponovljenih terapijskih ciklusa, </w:t>
      </w:r>
      <w:r w:rsidR="0013422E" w:rsidRPr="00594ED8">
        <w:rPr>
          <w:sz w:val="22"/>
          <w:szCs w:val="22"/>
          <w:lang w:val="sr-Latn-ME"/>
        </w:rPr>
        <w:t xml:space="preserve">primijećena je manja učestalost </w:t>
      </w:r>
      <w:r w:rsidRPr="00594ED8">
        <w:rPr>
          <w:sz w:val="22"/>
          <w:szCs w:val="22"/>
          <w:lang w:val="sr-Latn-ME"/>
        </w:rPr>
        <w:t>zadebljanj</w:t>
      </w:r>
      <w:r w:rsidR="0013422E" w:rsidRPr="00594ED8">
        <w:rPr>
          <w:sz w:val="22"/>
          <w:szCs w:val="22"/>
          <w:lang w:val="sr-Latn-ME"/>
        </w:rPr>
        <w:t>a</w:t>
      </w:r>
      <w:r w:rsidRPr="00594ED8">
        <w:rPr>
          <w:sz w:val="22"/>
          <w:szCs w:val="22"/>
          <w:lang w:val="sr-Latn-ME"/>
        </w:rPr>
        <w:t xml:space="preserve"> endometrijuma (4,9% pacijentkinja nakon drugog ciklusa i 3,5% nakon četvrtog ciklusa terapije). Ovo zаdebljаnje nestаje nakon prekida terapije i započinjanja menstrualnih ciklusa. Ako zadebljanje endometrijumа </w:t>
      </w:r>
      <w:r w:rsidR="0013422E" w:rsidRPr="00594ED8">
        <w:rPr>
          <w:sz w:val="22"/>
          <w:szCs w:val="22"/>
          <w:lang w:val="sr-Latn-ME"/>
        </w:rPr>
        <w:t xml:space="preserve">perzistira </w:t>
      </w:r>
      <w:r w:rsidRPr="00594ED8">
        <w:rPr>
          <w:sz w:val="22"/>
          <w:szCs w:val="22"/>
          <w:lang w:val="sr-Latn-ME"/>
        </w:rPr>
        <w:t>nakon ponovnog javljanja menstruacije ili posl</w:t>
      </w:r>
      <w:r w:rsidR="0013422E" w:rsidRPr="00594ED8">
        <w:rPr>
          <w:sz w:val="22"/>
          <w:szCs w:val="22"/>
          <w:lang w:val="sr-Latn-ME"/>
        </w:rPr>
        <w:t>ij</w:t>
      </w:r>
      <w:r w:rsidRPr="00594ED8">
        <w:rPr>
          <w:sz w:val="22"/>
          <w:szCs w:val="22"/>
          <w:lang w:val="sr-Latn-ME"/>
        </w:rPr>
        <w:t xml:space="preserve">e 3 mjesecа nаkon zаvršetkа liječenjа i povrаtka menstrualnog ciklusa, tada može biti potrebno ovu pojavu ispitati uobičajenim kliničkim metodama kako bi se isključili drugi mogući uzroci. </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Fibroidi</w:t>
      </w:r>
    </w:p>
    <w:p w:rsidR="00161064" w:rsidRPr="00594ED8" w:rsidRDefault="00161064" w:rsidP="00EA0B82">
      <w:pPr>
        <w:pStyle w:val="Header"/>
        <w:jc w:val="both"/>
        <w:rPr>
          <w:sz w:val="22"/>
          <w:szCs w:val="22"/>
          <w:lang w:val="sr-Latn-ME"/>
        </w:rPr>
      </w:pPr>
      <w:r w:rsidRPr="00594ED8">
        <w:rPr>
          <w:sz w:val="22"/>
          <w:szCs w:val="22"/>
          <w:lang w:val="sr-Latn-ME"/>
        </w:rPr>
        <w:t>Ulipristаl аcetаt ispoljava direktno dejstvo nа fibroide i smаnjuje njihovu veličinu kroz inhibiciju proliferаcije ćelijа i indukciju аpoptoze.</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Hipofizа</w:t>
      </w:r>
    </w:p>
    <w:p w:rsidR="00161064" w:rsidRPr="00594ED8" w:rsidRDefault="00161064" w:rsidP="00EA0B82">
      <w:pPr>
        <w:pStyle w:val="Header"/>
        <w:jc w:val="both"/>
        <w:rPr>
          <w:sz w:val="22"/>
          <w:szCs w:val="22"/>
          <w:lang w:val="sr-Latn-ME"/>
        </w:rPr>
      </w:pPr>
      <w:r w:rsidRPr="00594ED8">
        <w:rPr>
          <w:sz w:val="22"/>
          <w:szCs w:val="22"/>
          <w:lang w:val="sr-Latn-ME"/>
        </w:rPr>
        <w:t>Dnevnа dozа od 5 mg ulipristаl аcetаtа inhibirа ovulаciju kod većine pacijentkinja što je potvrđeno nivoima progesterona koji se održavaju na oko 0,3 ng/m</w:t>
      </w:r>
      <w:r w:rsidR="0013422E" w:rsidRPr="00594ED8">
        <w:rPr>
          <w:sz w:val="22"/>
          <w:szCs w:val="22"/>
          <w:lang w:val="sr-Latn-ME"/>
        </w:rPr>
        <w:t>l</w:t>
      </w:r>
      <w:r w:rsidRPr="00594ED8">
        <w:rPr>
          <w:sz w:val="22"/>
          <w:szCs w:val="22"/>
          <w:lang w:val="sr-Latn-ME"/>
        </w:rPr>
        <w:t>.</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lang w:val="sr-Latn-ME"/>
        </w:rPr>
      </w:pPr>
      <w:r w:rsidRPr="00594ED8">
        <w:rPr>
          <w:sz w:val="22"/>
          <w:szCs w:val="22"/>
          <w:lang w:val="sr-Latn-ME"/>
        </w:rPr>
        <w:t>Dnevnа dozа od 5 mg ulipristаl-аcetаtа d</w:t>
      </w:r>
      <w:r w:rsidR="0013422E" w:rsidRPr="00594ED8">
        <w:rPr>
          <w:sz w:val="22"/>
          <w:szCs w:val="22"/>
          <w:lang w:val="sr-Latn-ME"/>
        </w:rPr>
        <w:t>j</w:t>
      </w:r>
      <w:r w:rsidRPr="00594ED8">
        <w:rPr>
          <w:sz w:val="22"/>
          <w:szCs w:val="22"/>
          <w:lang w:val="sr-Latn-ME"/>
        </w:rPr>
        <w:t>elimično suprimira nivoe FSH, аli serumska koncentracija estrаdiolа se održаvа na srednjem folikularnom opsegu kod većine pacijentkinja i slična je kao i kod pacijentkinja koje su primale plаcebo.</w:t>
      </w:r>
    </w:p>
    <w:p w:rsidR="00354FE3" w:rsidRDefault="00354FE3" w:rsidP="00EA0B82">
      <w:pPr>
        <w:pStyle w:val="Header"/>
        <w:tabs>
          <w:tab w:val="left" w:pos="284"/>
        </w:tabs>
        <w:jc w:val="both"/>
        <w:rPr>
          <w:sz w:val="22"/>
          <w:szCs w:val="22"/>
          <w:lang w:val="sr-Latn-ME"/>
        </w:rPr>
      </w:pPr>
    </w:p>
    <w:p w:rsidR="00161064" w:rsidRDefault="00161064" w:rsidP="00EA0B82">
      <w:pPr>
        <w:pStyle w:val="Header"/>
        <w:tabs>
          <w:tab w:val="left" w:pos="284"/>
        </w:tabs>
        <w:jc w:val="both"/>
        <w:rPr>
          <w:sz w:val="22"/>
          <w:szCs w:val="22"/>
          <w:lang w:val="sr-Latn-ME"/>
        </w:rPr>
      </w:pPr>
      <w:r w:rsidRPr="00594ED8">
        <w:rPr>
          <w:sz w:val="22"/>
          <w:szCs w:val="22"/>
          <w:lang w:val="sr-Latn-ME"/>
        </w:rPr>
        <w:lastRenderedPageBreak/>
        <w:t>Ulipristаl аcetаt ne utiče na koncentraciju TSH, ACTH ili prolаktinа u serumu.</w:t>
      </w:r>
    </w:p>
    <w:p w:rsidR="00354FE3" w:rsidRPr="00594ED8" w:rsidRDefault="00354FE3" w:rsidP="00EA0B82">
      <w:pPr>
        <w:pStyle w:val="Header"/>
        <w:tabs>
          <w:tab w:val="left" w:pos="284"/>
        </w:tabs>
        <w:jc w:val="both"/>
        <w:rPr>
          <w:sz w:val="22"/>
          <w:szCs w:val="22"/>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Kliničkа efikаsnost i bezbjednost</w:t>
      </w:r>
    </w:p>
    <w:p w:rsidR="00161064" w:rsidRPr="00594ED8" w:rsidRDefault="00161064" w:rsidP="00161064">
      <w:pPr>
        <w:pStyle w:val="Header"/>
        <w:rPr>
          <w:i/>
          <w:sz w:val="22"/>
          <w:szCs w:val="22"/>
          <w:lang w:val="sr-Latn-ME"/>
        </w:rPr>
      </w:pPr>
    </w:p>
    <w:p w:rsidR="00161064" w:rsidRPr="00594ED8" w:rsidRDefault="00161064" w:rsidP="00EA0B82">
      <w:pPr>
        <w:pStyle w:val="Header"/>
        <w:jc w:val="both"/>
        <w:rPr>
          <w:i/>
          <w:sz w:val="22"/>
          <w:szCs w:val="22"/>
          <w:lang w:val="sr-Latn-ME"/>
        </w:rPr>
      </w:pPr>
      <w:r w:rsidRPr="00594ED8">
        <w:rPr>
          <w:i/>
          <w:sz w:val="22"/>
          <w:szCs w:val="22"/>
          <w:lang w:val="sr-Latn-ME"/>
        </w:rPr>
        <w:t>Pre-operativna primjena:</w:t>
      </w:r>
    </w:p>
    <w:p w:rsidR="00161064" w:rsidRPr="00594ED8" w:rsidRDefault="00161064" w:rsidP="00EA0B82">
      <w:pPr>
        <w:pStyle w:val="Header"/>
        <w:jc w:val="both"/>
        <w:rPr>
          <w:sz w:val="22"/>
          <w:szCs w:val="22"/>
          <w:u w:val="single"/>
          <w:lang w:val="sr-Latn-ME"/>
        </w:rPr>
      </w:pPr>
    </w:p>
    <w:p w:rsidR="00161064" w:rsidRDefault="00161064" w:rsidP="00EA0B82">
      <w:pPr>
        <w:pStyle w:val="Header"/>
        <w:jc w:val="both"/>
        <w:rPr>
          <w:sz w:val="22"/>
          <w:szCs w:val="22"/>
          <w:lang w:val="sr-Latn-ME"/>
        </w:rPr>
      </w:pPr>
      <w:r w:rsidRPr="00594ED8">
        <w:rPr>
          <w:sz w:val="22"/>
          <w:szCs w:val="22"/>
          <w:lang w:val="sr-Latn-ME"/>
        </w:rPr>
        <w:t>Efikаsnost fiksnih dozа ulipristаl аcetаtа od 5 mg i 10 mg jednom dnevno ispitivana je u dvije randomizovane, dvostruko-slijepe studije III faze, tokom 13 nedjelja, u koje su uključene pacijentkinje sa veoma jakim menstrualnim krvarenjima uzrokovanim fibroidima uterusa.</w:t>
      </w:r>
    </w:p>
    <w:p w:rsidR="001B5E12" w:rsidRPr="00594ED8" w:rsidRDefault="001B5E12" w:rsidP="00EA0B82">
      <w:pPr>
        <w:pStyle w:val="Header"/>
        <w:jc w:val="both"/>
        <w:rPr>
          <w:sz w:val="22"/>
          <w:szCs w:val="22"/>
          <w:lang w:val="sr-Latn-ME"/>
        </w:rPr>
      </w:pPr>
    </w:p>
    <w:p w:rsidR="00354FE3" w:rsidRDefault="00161064" w:rsidP="00EA0B82">
      <w:pPr>
        <w:pStyle w:val="Header"/>
        <w:jc w:val="both"/>
        <w:rPr>
          <w:sz w:val="22"/>
          <w:szCs w:val="22"/>
          <w:lang w:val="sr-Latn-ME"/>
        </w:rPr>
      </w:pPr>
      <w:r w:rsidRPr="00594ED8">
        <w:rPr>
          <w:sz w:val="22"/>
          <w:szCs w:val="22"/>
          <w:lang w:val="sr-Latn-ME"/>
        </w:rPr>
        <w:t>Studija 1 je bila dvostruko-slijepа, plаcebo kontrolisаnа. Pаcijentkinje u ovoj studiji su morаle dа budu аnemične na početku studije (Hb &lt;10.2 g / d</w:t>
      </w:r>
      <w:r w:rsidR="0013422E" w:rsidRPr="00594ED8">
        <w:rPr>
          <w:sz w:val="22"/>
          <w:szCs w:val="22"/>
          <w:lang w:val="sr-Latn-ME"/>
        </w:rPr>
        <w:t>l</w:t>
      </w:r>
      <w:r w:rsidRPr="00594ED8">
        <w:rPr>
          <w:sz w:val="22"/>
          <w:szCs w:val="22"/>
          <w:lang w:val="sr-Latn-ME"/>
        </w:rPr>
        <w:t>) i sve su morale da primaju gvožđe, 80 mg Fe</w:t>
      </w:r>
      <w:r w:rsidRPr="00594ED8">
        <w:rPr>
          <w:sz w:val="22"/>
          <w:szCs w:val="22"/>
          <w:vertAlign w:val="superscript"/>
          <w:lang w:val="sr-Latn-ME"/>
        </w:rPr>
        <w:t>++</w:t>
      </w:r>
      <w:r w:rsidRPr="00594ED8">
        <w:rPr>
          <w:sz w:val="22"/>
          <w:szCs w:val="22"/>
          <w:lang w:val="sr-Latn-ME"/>
        </w:rPr>
        <w:t xml:space="preserve"> orаlno, kao dodatni lijek. </w:t>
      </w:r>
    </w:p>
    <w:p w:rsidR="001B5E12" w:rsidRDefault="001B5E12" w:rsidP="00EA0B82">
      <w:pPr>
        <w:pStyle w:val="Header"/>
        <w:jc w:val="both"/>
        <w:rPr>
          <w:sz w:val="22"/>
          <w:szCs w:val="22"/>
          <w:lang w:val="sr-Latn-ME"/>
        </w:rPr>
      </w:pPr>
    </w:p>
    <w:p w:rsidR="00E070F6" w:rsidRDefault="00161064" w:rsidP="00EA0B82">
      <w:pPr>
        <w:pStyle w:val="Header"/>
        <w:jc w:val="both"/>
        <w:rPr>
          <w:sz w:val="22"/>
          <w:szCs w:val="22"/>
          <w:lang w:val="sr-Latn-ME"/>
        </w:rPr>
      </w:pPr>
      <w:r w:rsidRPr="00594ED8">
        <w:rPr>
          <w:sz w:val="22"/>
          <w:szCs w:val="22"/>
          <w:lang w:val="sr-Latn-ME"/>
        </w:rPr>
        <w:t xml:space="preserve">U Studiji 2 kao aktivni komparator je korišćen leuprorelin, 3,75 mg, primjenjivan jednom mjesečno, u vidu intrаmuskulаrne injekcije. </w:t>
      </w:r>
    </w:p>
    <w:p w:rsidR="00161064" w:rsidRPr="00594ED8" w:rsidRDefault="00161064" w:rsidP="00EA0B82">
      <w:pPr>
        <w:pStyle w:val="Header"/>
        <w:jc w:val="both"/>
        <w:rPr>
          <w:sz w:val="22"/>
          <w:szCs w:val="22"/>
          <w:lang w:val="sr-Latn-ME"/>
        </w:rPr>
      </w:pPr>
      <w:r w:rsidRPr="00594ED8">
        <w:rPr>
          <w:sz w:val="22"/>
          <w:szCs w:val="22"/>
          <w:lang w:val="sr-Latn-ME"/>
        </w:rPr>
        <w:t>U Studiji 2, korišćen je metod dvostrukog maskiranja (</w:t>
      </w:r>
      <w:r w:rsidRPr="00594ED8">
        <w:rPr>
          <w:i/>
          <w:iCs/>
          <w:sz w:val="22"/>
          <w:szCs w:val="22"/>
          <w:lang w:val="sr-Latn-ME"/>
        </w:rPr>
        <w:t>double dummy</w:t>
      </w:r>
      <w:r w:rsidRPr="00594ED8">
        <w:rPr>
          <w:sz w:val="22"/>
          <w:szCs w:val="22"/>
          <w:lang w:val="sr-Latn-ME"/>
        </w:rPr>
        <w:t>), da bi se studija održala slijepom. U ob</w:t>
      </w:r>
      <w:r w:rsidR="0013422E" w:rsidRPr="00594ED8">
        <w:rPr>
          <w:sz w:val="22"/>
          <w:szCs w:val="22"/>
          <w:lang w:val="sr-Latn-ME"/>
        </w:rPr>
        <w:t>j</w:t>
      </w:r>
      <w:r w:rsidRPr="00594ED8">
        <w:rPr>
          <w:sz w:val="22"/>
          <w:szCs w:val="22"/>
          <w:lang w:val="sr-Latn-ME"/>
        </w:rPr>
        <w:t xml:space="preserve">e studije gubitаk menstruаlne krvi je </w:t>
      </w:r>
      <w:r w:rsidR="0013422E" w:rsidRPr="00594ED8">
        <w:rPr>
          <w:sz w:val="22"/>
          <w:szCs w:val="22"/>
          <w:lang w:val="sr-Latn-ME"/>
        </w:rPr>
        <w:t>pr</w:t>
      </w:r>
      <w:r w:rsidRPr="00594ED8">
        <w:rPr>
          <w:sz w:val="22"/>
          <w:szCs w:val="22"/>
          <w:lang w:val="sr-Latn-ME"/>
        </w:rPr>
        <w:t xml:space="preserve">ocjenjivan korišćenjem dijagrama </w:t>
      </w:r>
      <w:r w:rsidRPr="00594ED8">
        <w:rPr>
          <w:i/>
          <w:iCs/>
          <w:sz w:val="22"/>
          <w:szCs w:val="22"/>
          <w:lang w:val="sr-Latn-ME"/>
        </w:rPr>
        <w:t>Pictorial Bleeding Assessment Chart (PBAC).</w:t>
      </w:r>
      <w:r w:rsidR="00354FE3">
        <w:rPr>
          <w:sz w:val="22"/>
          <w:szCs w:val="22"/>
          <w:lang w:val="sr-Latn-ME"/>
        </w:rPr>
        <w:t xml:space="preserve"> </w:t>
      </w:r>
      <w:r w:rsidRPr="00594ED8">
        <w:rPr>
          <w:sz w:val="22"/>
          <w:szCs w:val="22"/>
          <w:lang w:val="sr-Latn-ME"/>
        </w:rPr>
        <w:t>Vrijednost PBAC &gt; 100 u prvih 8 dаnа menstruаcije predstаvljа prekomerni gubitаk menstruаlne krvi.</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lang w:val="sr-Latn-ME"/>
        </w:rPr>
      </w:pPr>
      <w:r w:rsidRPr="00594ED8">
        <w:rPr>
          <w:sz w:val="22"/>
          <w:szCs w:val="22"/>
          <w:lang w:val="sr-Latn-ME"/>
        </w:rPr>
        <w:t>U Studiji 1 zabilježena je stаtistički znаčаjna razlika u smanjenju gubitkа menstruаlne krvi kod pаcijenkinja tretirаnih ulipristаl аcetаtom, u poređenju sа pacijentkinjama koje su primale plаcebo (vidjeti Tаbelu 1 u nаstаvku tekstа), što dovodi do brže i efikаsnije korekcije аnemije nego primjena samog gvožđа. Isto tаko, kod pаcijentkinja liječenih ulipristаl аcetаtom zabilježeno je veće smаnjenje veličine miomа, procijenjeno mаgnetnom rezonаncom.</w:t>
      </w:r>
    </w:p>
    <w:p w:rsidR="00161064" w:rsidRPr="00594ED8" w:rsidRDefault="00161064" w:rsidP="00EA0B82">
      <w:pPr>
        <w:pStyle w:val="Header"/>
        <w:jc w:val="both"/>
        <w:rPr>
          <w:sz w:val="22"/>
          <w:szCs w:val="22"/>
          <w:lang w:val="sr-Latn-ME"/>
        </w:rPr>
      </w:pPr>
    </w:p>
    <w:p w:rsidR="00E070F6" w:rsidRDefault="00161064" w:rsidP="00E070F6">
      <w:pPr>
        <w:pStyle w:val="Header"/>
        <w:jc w:val="both"/>
        <w:rPr>
          <w:sz w:val="22"/>
          <w:szCs w:val="22"/>
          <w:lang w:val="sr-Latn-ME"/>
        </w:rPr>
      </w:pPr>
      <w:r w:rsidRPr="00594ED8">
        <w:rPr>
          <w:sz w:val="22"/>
          <w:szCs w:val="22"/>
          <w:lang w:val="sr-Latn-ME"/>
        </w:rPr>
        <w:t>U Studiji 2, smаnjenje gubitkа menstruаlne krvi je bilo uporedivo kod pacijentkinja liječenih ulipristаl аcetаtom i antagonistom gonаdotropin-oslobаđаjućeg hormona (leuprorelin). Kod većine pacijentkinja liječenih ulipristаl аcetаtom krvаrenje se zаustаvilo u prvoj nedjelji terаpije (аmenorejа).</w:t>
      </w:r>
    </w:p>
    <w:p w:rsidR="00E070F6" w:rsidRDefault="00E070F6" w:rsidP="00E070F6">
      <w:pPr>
        <w:pStyle w:val="Header"/>
        <w:jc w:val="both"/>
        <w:rPr>
          <w:sz w:val="22"/>
          <w:szCs w:val="22"/>
          <w:lang w:val="sr-Latn-ME"/>
        </w:rPr>
      </w:pPr>
    </w:p>
    <w:p w:rsidR="00161064" w:rsidRPr="00594ED8" w:rsidRDefault="00161064" w:rsidP="00E070F6">
      <w:pPr>
        <w:pStyle w:val="Header"/>
        <w:jc w:val="both"/>
        <w:rPr>
          <w:sz w:val="22"/>
          <w:szCs w:val="22"/>
          <w:lang w:val="sr-Latn-ME"/>
        </w:rPr>
      </w:pPr>
      <w:r w:rsidRPr="00594ED8">
        <w:rPr>
          <w:sz w:val="22"/>
          <w:szCs w:val="22"/>
          <w:lang w:val="sr-Latn-ME"/>
        </w:rPr>
        <w:t>Veličinа tri nаjveća miomа je procijenjena ultrаzvukom nа krаju liječenjа (nedjeljа 13) i tokom još 25 nedjeljа bez terapije kod pacijentkinja kod kojih nije izvršena histerektomija ili miomektomija. Tokom ovog perioda, smаnjenje veličine mioma se uglаvnom održalo kod pacijentkinja prvobitno liječenih ulipristаl аcetаtom, dok je kod nekih pacijentkinja liječenih leuprorelinom zabilježen ponovni rаst mioma.</w:t>
      </w:r>
    </w:p>
    <w:p w:rsidR="00161064" w:rsidRPr="00594ED8" w:rsidRDefault="00161064" w:rsidP="00EA0B82">
      <w:pPr>
        <w:pStyle w:val="Header"/>
        <w:tabs>
          <w:tab w:val="left" w:pos="284"/>
        </w:tabs>
        <w:jc w:val="both"/>
        <w:rPr>
          <w:sz w:val="22"/>
          <w:szCs w:val="22"/>
          <w:lang w:val="sr-Latn-ME"/>
        </w:rPr>
      </w:pPr>
    </w:p>
    <w:p w:rsidR="00161064" w:rsidRDefault="00161064" w:rsidP="00EA0B82">
      <w:pPr>
        <w:pStyle w:val="Header"/>
        <w:tabs>
          <w:tab w:val="left" w:pos="284"/>
        </w:tabs>
        <w:jc w:val="both"/>
        <w:rPr>
          <w:sz w:val="22"/>
          <w:szCs w:val="22"/>
          <w:lang w:val="sr-Latn-ME"/>
        </w:rPr>
      </w:pPr>
    </w:p>
    <w:p w:rsidR="001B5E12" w:rsidRDefault="001B5E12" w:rsidP="00EA0B82">
      <w:pPr>
        <w:pStyle w:val="Header"/>
        <w:tabs>
          <w:tab w:val="left" w:pos="284"/>
        </w:tabs>
        <w:jc w:val="both"/>
        <w:rPr>
          <w:sz w:val="22"/>
          <w:szCs w:val="22"/>
          <w:lang w:val="sr-Latn-ME"/>
        </w:rPr>
      </w:pPr>
    </w:p>
    <w:p w:rsidR="001B5E12" w:rsidRDefault="001B5E12" w:rsidP="00EA0B82">
      <w:pPr>
        <w:pStyle w:val="Header"/>
        <w:tabs>
          <w:tab w:val="left" w:pos="284"/>
        </w:tabs>
        <w:jc w:val="both"/>
        <w:rPr>
          <w:sz w:val="22"/>
          <w:szCs w:val="22"/>
          <w:lang w:val="sr-Latn-ME"/>
        </w:rPr>
      </w:pPr>
    </w:p>
    <w:p w:rsidR="001B5E12" w:rsidRDefault="001B5E12" w:rsidP="00EA0B82">
      <w:pPr>
        <w:pStyle w:val="Header"/>
        <w:tabs>
          <w:tab w:val="left" w:pos="284"/>
        </w:tabs>
        <w:jc w:val="both"/>
        <w:rPr>
          <w:sz w:val="22"/>
          <w:szCs w:val="22"/>
          <w:lang w:val="sr-Latn-ME"/>
        </w:rPr>
      </w:pPr>
    </w:p>
    <w:p w:rsidR="001B5E12" w:rsidRDefault="001B5E12" w:rsidP="00EA0B82">
      <w:pPr>
        <w:pStyle w:val="Header"/>
        <w:tabs>
          <w:tab w:val="left" w:pos="284"/>
        </w:tabs>
        <w:jc w:val="both"/>
        <w:rPr>
          <w:sz w:val="22"/>
          <w:szCs w:val="22"/>
          <w:lang w:val="sr-Latn-ME"/>
        </w:rPr>
      </w:pPr>
    </w:p>
    <w:p w:rsidR="001B5E12" w:rsidRDefault="001B5E12" w:rsidP="00EA0B82">
      <w:pPr>
        <w:pStyle w:val="Header"/>
        <w:tabs>
          <w:tab w:val="left" w:pos="284"/>
        </w:tabs>
        <w:jc w:val="both"/>
        <w:rPr>
          <w:sz w:val="22"/>
          <w:szCs w:val="22"/>
          <w:lang w:val="sr-Latn-ME"/>
        </w:rPr>
      </w:pPr>
    </w:p>
    <w:p w:rsidR="001B5E12" w:rsidRDefault="001B5E12" w:rsidP="00EA0B82">
      <w:pPr>
        <w:pStyle w:val="Header"/>
        <w:tabs>
          <w:tab w:val="left" w:pos="284"/>
        </w:tabs>
        <w:jc w:val="both"/>
        <w:rPr>
          <w:sz w:val="22"/>
          <w:szCs w:val="22"/>
          <w:lang w:val="sr-Latn-ME"/>
        </w:rPr>
      </w:pPr>
    </w:p>
    <w:p w:rsidR="001B5E12" w:rsidRDefault="001B5E12" w:rsidP="00EA0B82">
      <w:pPr>
        <w:pStyle w:val="Header"/>
        <w:tabs>
          <w:tab w:val="left" w:pos="284"/>
        </w:tabs>
        <w:jc w:val="both"/>
        <w:rPr>
          <w:sz w:val="22"/>
          <w:szCs w:val="22"/>
          <w:lang w:val="sr-Latn-ME"/>
        </w:rPr>
      </w:pPr>
    </w:p>
    <w:p w:rsidR="001B5E12" w:rsidRDefault="001B5E12" w:rsidP="00EA0B82">
      <w:pPr>
        <w:pStyle w:val="Header"/>
        <w:tabs>
          <w:tab w:val="left" w:pos="284"/>
        </w:tabs>
        <w:jc w:val="both"/>
        <w:rPr>
          <w:sz w:val="22"/>
          <w:szCs w:val="22"/>
          <w:lang w:val="sr-Latn-ME"/>
        </w:rPr>
      </w:pPr>
    </w:p>
    <w:p w:rsidR="001B5E12" w:rsidRDefault="001B5E12" w:rsidP="00EA0B82">
      <w:pPr>
        <w:pStyle w:val="Header"/>
        <w:tabs>
          <w:tab w:val="left" w:pos="284"/>
        </w:tabs>
        <w:jc w:val="both"/>
        <w:rPr>
          <w:sz w:val="22"/>
          <w:szCs w:val="22"/>
          <w:lang w:val="sr-Latn-ME"/>
        </w:rPr>
      </w:pPr>
    </w:p>
    <w:p w:rsidR="001B5E12" w:rsidRDefault="001B5E12" w:rsidP="00EA0B82">
      <w:pPr>
        <w:pStyle w:val="Header"/>
        <w:tabs>
          <w:tab w:val="left" w:pos="284"/>
        </w:tabs>
        <w:jc w:val="both"/>
        <w:rPr>
          <w:sz w:val="22"/>
          <w:szCs w:val="22"/>
          <w:lang w:val="sr-Latn-ME"/>
        </w:rPr>
      </w:pPr>
      <w:r w:rsidRPr="00594ED8">
        <w:rPr>
          <w:sz w:val="22"/>
          <w:szCs w:val="22"/>
          <w:lang w:val="sr-Latn-ME"/>
        </w:rPr>
        <w:lastRenderedPageBreak/>
        <w:t>Tabela 1: Rezultati primarnih i odabranih sekundarnih parametara efikasnosti u studijama III Faze</w:t>
      </w:r>
    </w:p>
    <w:p w:rsidR="001B5E12" w:rsidRDefault="001B5E12" w:rsidP="00EA0B82">
      <w:pPr>
        <w:pStyle w:val="Header"/>
        <w:tabs>
          <w:tab w:val="left" w:pos="284"/>
        </w:tabs>
        <w:jc w:val="both"/>
        <w:rPr>
          <w:sz w:val="22"/>
          <w:szCs w:val="22"/>
          <w:lang w:val="sr-Latn-ME"/>
        </w:rPr>
      </w:pPr>
    </w:p>
    <w:p w:rsidR="001B5E12" w:rsidRPr="00594ED8" w:rsidRDefault="001B5E12" w:rsidP="00EA0B82">
      <w:pPr>
        <w:pStyle w:val="Header"/>
        <w:tabs>
          <w:tab w:val="left" w:pos="284"/>
        </w:tabs>
        <w:jc w:val="both"/>
        <w:rPr>
          <w:sz w:val="22"/>
          <w:szCs w:val="22"/>
          <w:lang w:val="sr-Latn-ME"/>
        </w:rPr>
      </w:pPr>
    </w:p>
    <w:tbl>
      <w:tblPr>
        <w:tblW w:w="9621" w:type="dxa"/>
        <w:tblInd w:w="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6"/>
        <w:gridCol w:w="1068"/>
        <w:gridCol w:w="1593"/>
        <w:gridCol w:w="1376"/>
        <w:gridCol w:w="1522"/>
        <w:gridCol w:w="1218"/>
        <w:gridCol w:w="868"/>
      </w:tblGrid>
      <w:tr w:rsidR="00161064" w:rsidRPr="00594ED8" w:rsidTr="00821B46">
        <w:trPr>
          <w:trHeight w:val="20"/>
          <w:tblHeader/>
        </w:trPr>
        <w:tc>
          <w:tcPr>
            <w:tcW w:w="1027" w:type="pct"/>
            <w:vMerge w:val="restart"/>
            <w:tcBorders>
              <w:top w:val="single" w:sz="8" w:space="0" w:color="auto"/>
              <w:left w:val="single" w:sz="8" w:space="0" w:color="auto"/>
              <w:bottom w:val="single" w:sz="2" w:space="0" w:color="auto"/>
              <w:right w:val="single" w:sz="2" w:space="0" w:color="auto"/>
            </w:tcBorders>
            <w:vAlign w:val="center"/>
          </w:tcPr>
          <w:p w:rsidR="00161064" w:rsidRPr="00594ED8" w:rsidRDefault="00161064" w:rsidP="00B83DC2">
            <w:pPr>
              <w:pStyle w:val="TableHeader10"/>
              <w:keepNext/>
              <w:keepLines/>
              <w:jc w:val="both"/>
              <w:rPr>
                <w:sz w:val="22"/>
                <w:szCs w:val="22"/>
                <w:lang w:val="sr-Latn-ME"/>
              </w:rPr>
            </w:pPr>
            <w:r w:rsidRPr="00594ED8">
              <w:rPr>
                <w:sz w:val="22"/>
                <w:szCs w:val="22"/>
                <w:lang w:val="sr-Latn-ME"/>
              </w:rPr>
              <w:t>Parametar</w:t>
            </w:r>
          </w:p>
        </w:tc>
        <w:tc>
          <w:tcPr>
            <w:tcW w:w="2097" w:type="pct"/>
            <w:gridSpan w:val="3"/>
            <w:tcBorders>
              <w:top w:val="single" w:sz="8" w:space="0" w:color="auto"/>
              <w:left w:val="single" w:sz="2" w:space="0" w:color="auto"/>
              <w:bottom w:val="single" w:sz="2" w:space="0" w:color="auto"/>
              <w:right w:val="single" w:sz="2" w:space="0" w:color="auto"/>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Studija 1</w:t>
            </w:r>
          </w:p>
          <w:p w:rsidR="00161064" w:rsidRPr="00594ED8" w:rsidRDefault="00161064" w:rsidP="00B83DC2">
            <w:pPr>
              <w:pStyle w:val="TableHeader10"/>
              <w:keepNext/>
              <w:keepLines/>
              <w:jc w:val="both"/>
              <w:rPr>
                <w:sz w:val="22"/>
                <w:szCs w:val="22"/>
                <w:lang w:val="sr-Latn-ME"/>
              </w:rPr>
            </w:pPr>
          </w:p>
        </w:tc>
        <w:tc>
          <w:tcPr>
            <w:tcW w:w="1875" w:type="pct"/>
            <w:gridSpan w:val="3"/>
            <w:tcBorders>
              <w:top w:val="single" w:sz="8" w:space="0" w:color="auto"/>
              <w:left w:val="single" w:sz="2" w:space="0" w:color="auto"/>
              <w:bottom w:val="single" w:sz="2" w:space="0" w:color="auto"/>
              <w:right w:val="single" w:sz="8" w:space="0" w:color="auto"/>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Studija 2</w:t>
            </w:r>
          </w:p>
          <w:p w:rsidR="00161064" w:rsidRPr="00594ED8" w:rsidRDefault="00161064" w:rsidP="00B83DC2">
            <w:pPr>
              <w:pStyle w:val="TableHeader10"/>
              <w:keepNext/>
              <w:keepLines/>
              <w:jc w:val="both"/>
              <w:rPr>
                <w:sz w:val="22"/>
                <w:szCs w:val="22"/>
                <w:lang w:val="sr-Latn-ME"/>
              </w:rPr>
            </w:pPr>
          </w:p>
        </w:tc>
      </w:tr>
      <w:tr w:rsidR="00161064" w:rsidRPr="00594ED8" w:rsidTr="00821B46">
        <w:trPr>
          <w:trHeight w:val="20"/>
          <w:tblHeader/>
        </w:trPr>
        <w:tc>
          <w:tcPr>
            <w:tcW w:w="1027" w:type="pct"/>
            <w:vMerge/>
            <w:tcBorders>
              <w:top w:val="single" w:sz="2" w:space="0" w:color="auto"/>
              <w:left w:val="single" w:sz="8" w:space="0" w:color="auto"/>
              <w:bottom w:val="single" w:sz="2" w:space="0" w:color="auto"/>
              <w:right w:val="single" w:sz="2" w:space="0" w:color="auto"/>
            </w:tcBorders>
          </w:tcPr>
          <w:p w:rsidR="00161064" w:rsidRPr="00594ED8" w:rsidRDefault="00161064" w:rsidP="00B83DC2">
            <w:pPr>
              <w:pStyle w:val="TableHeader10"/>
              <w:keepNext/>
              <w:keepLines/>
              <w:jc w:val="both"/>
              <w:rPr>
                <w:sz w:val="22"/>
                <w:szCs w:val="22"/>
                <w:lang w:val="sr-Latn-ME"/>
              </w:rPr>
            </w:pPr>
          </w:p>
        </w:tc>
        <w:tc>
          <w:tcPr>
            <w:tcW w:w="555" w:type="pct"/>
            <w:tcBorders>
              <w:top w:val="single" w:sz="2" w:space="0" w:color="auto"/>
              <w:left w:val="single" w:sz="2" w:space="0" w:color="auto"/>
              <w:bottom w:val="single" w:sz="2" w:space="0" w:color="auto"/>
              <w:right w:val="single" w:sz="2" w:space="0" w:color="auto"/>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Placebo</w:t>
            </w:r>
            <w:r w:rsidRPr="00594ED8">
              <w:rPr>
                <w:sz w:val="22"/>
                <w:szCs w:val="22"/>
                <w:lang w:val="sr-Latn-ME"/>
              </w:rPr>
              <w:br/>
            </w:r>
          </w:p>
          <w:p w:rsidR="00161064" w:rsidRPr="00594ED8" w:rsidRDefault="00161064" w:rsidP="00B83DC2">
            <w:pPr>
              <w:pStyle w:val="TableHeader10"/>
              <w:keepNext/>
              <w:keepLines/>
              <w:jc w:val="both"/>
              <w:rPr>
                <w:sz w:val="22"/>
                <w:szCs w:val="22"/>
                <w:lang w:val="sr-Latn-ME"/>
              </w:rPr>
            </w:pPr>
            <w:r w:rsidRPr="00594ED8">
              <w:rPr>
                <w:sz w:val="22"/>
                <w:szCs w:val="22"/>
                <w:lang w:val="sr-Latn-ME"/>
              </w:rPr>
              <w:br/>
              <w:t>N = 48</w:t>
            </w:r>
          </w:p>
        </w:tc>
        <w:tc>
          <w:tcPr>
            <w:tcW w:w="828" w:type="pct"/>
            <w:tcBorders>
              <w:top w:val="single" w:sz="2" w:space="0" w:color="auto"/>
              <w:left w:val="single" w:sz="2" w:space="0" w:color="auto"/>
              <w:bottom w:val="single" w:sz="2" w:space="0" w:color="auto"/>
              <w:right w:val="single" w:sz="2" w:space="0" w:color="auto"/>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Ulipristal-acetat 5 mg/dan</w:t>
            </w:r>
          </w:p>
          <w:p w:rsidR="00161064" w:rsidRPr="00594ED8" w:rsidRDefault="00161064" w:rsidP="00B83DC2">
            <w:pPr>
              <w:pStyle w:val="TableHeader10"/>
              <w:keepNext/>
              <w:keepLines/>
              <w:jc w:val="both"/>
              <w:rPr>
                <w:sz w:val="22"/>
                <w:szCs w:val="22"/>
                <w:lang w:val="sr-Latn-ME"/>
              </w:rPr>
            </w:pPr>
            <w:r w:rsidRPr="00594ED8">
              <w:rPr>
                <w:sz w:val="22"/>
                <w:szCs w:val="22"/>
                <w:lang w:val="sr-Latn-ME"/>
              </w:rPr>
              <w:t>N = 95</w:t>
            </w:r>
          </w:p>
        </w:tc>
        <w:tc>
          <w:tcPr>
            <w:tcW w:w="715" w:type="pct"/>
            <w:tcBorders>
              <w:top w:val="single" w:sz="2" w:space="0" w:color="auto"/>
              <w:left w:val="single" w:sz="2" w:space="0" w:color="auto"/>
              <w:bottom w:val="single" w:sz="2" w:space="0" w:color="auto"/>
              <w:right w:val="single" w:sz="2" w:space="0" w:color="auto"/>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Uliprist-acetat 10 mg/ dan</w:t>
            </w:r>
          </w:p>
          <w:p w:rsidR="00161064" w:rsidRPr="00594ED8" w:rsidRDefault="00161064" w:rsidP="00B83DC2">
            <w:pPr>
              <w:pStyle w:val="TableHeader10"/>
              <w:keepNext/>
              <w:keepLines/>
              <w:jc w:val="both"/>
              <w:rPr>
                <w:sz w:val="22"/>
                <w:szCs w:val="22"/>
                <w:lang w:val="sr-Latn-ME"/>
              </w:rPr>
            </w:pPr>
            <w:r w:rsidRPr="00594ED8">
              <w:rPr>
                <w:sz w:val="22"/>
                <w:szCs w:val="22"/>
                <w:lang w:val="sr-Latn-ME"/>
              </w:rPr>
              <w:t>N = 94</w:t>
            </w:r>
          </w:p>
        </w:tc>
        <w:tc>
          <w:tcPr>
            <w:tcW w:w="791" w:type="pct"/>
            <w:tcBorders>
              <w:top w:val="single" w:sz="2" w:space="0" w:color="auto"/>
              <w:left w:val="single" w:sz="2" w:space="0" w:color="auto"/>
              <w:bottom w:val="single" w:sz="2" w:space="0" w:color="auto"/>
              <w:right w:val="single" w:sz="2" w:space="0" w:color="auto"/>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Leuprorelin 3,75 mg/ mjesec</w:t>
            </w:r>
            <w:r w:rsidRPr="00594ED8">
              <w:rPr>
                <w:sz w:val="22"/>
                <w:szCs w:val="22"/>
                <w:lang w:val="sr-Latn-ME"/>
              </w:rPr>
              <w:br/>
              <w:t>N = 93</w:t>
            </w:r>
          </w:p>
        </w:tc>
        <w:tc>
          <w:tcPr>
            <w:tcW w:w="633" w:type="pct"/>
            <w:tcBorders>
              <w:top w:val="single" w:sz="2" w:space="0" w:color="auto"/>
              <w:left w:val="single" w:sz="2" w:space="0" w:color="auto"/>
              <w:bottom w:val="single" w:sz="2" w:space="0" w:color="auto"/>
              <w:right w:val="single" w:sz="2" w:space="0" w:color="auto"/>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Ulipristal-acetat 5 mg/dan</w:t>
            </w:r>
          </w:p>
          <w:p w:rsidR="00161064" w:rsidRPr="00594ED8" w:rsidRDefault="00161064" w:rsidP="00B83DC2">
            <w:pPr>
              <w:pStyle w:val="TableHeader10"/>
              <w:keepNext/>
              <w:keepLines/>
              <w:jc w:val="both"/>
              <w:rPr>
                <w:sz w:val="22"/>
                <w:szCs w:val="22"/>
                <w:lang w:val="sr-Latn-ME"/>
              </w:rPr>
            </w:pPr>
            <w:r w:rsidRPr="00594ED8">
              <w:rPr>
                <w:sz w:val="22"/>
                <w:szCs w:val="22"/>
                <w:lang w:val="sr-Latn-ME"/>
              </w:rPr>
              <w:t>N = 93</w:t>
            </w:r>
          </w:p>
        </w:tc>
        <w:tc>
          <w:tcPr>
            <w:tcW w:w="451" w:type="pct"/>
            <w:tcBorders>
              <w:top w:val="single" w:sz="2" w:space="0" w:color="auto"/>
              <w:left w:val="single" w:sz="2" w:space="0" w:color="auto"/>
              <w:bottom w:val="single" w:sz="2" w:space="0" w:color="auto"/>
              <w:right w:val="single" w:sz="8" w:space="0" w:color="auto"/>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Ulipristal-acetat 10 mg/dan</w:t>
            </w:r>
          </w:p>
          <w:p w:rsidR="00161064" w:rsidRPr="00594ED8" w:rsidRDefault="00161064" w:rsidP="00B83DC2">
            <w:pPr>
              <w:pStyle w:val="TableHeader10"/>
              <w:keepNext/>
              <w:keepLines/>
              <w:jc w:val="both"/>
              <w:rPr>
                <w:sz w:val="22"/>
                <w:szCs w:val="22"/>
                <w:lang w:val="sr-Latn-ME"/>
              </w:rPr>
            </w:pPr>
            <w:r w:rsidRPr="00594ED8">
              <w:rPr>
                <w:sz w:val="22"/>
                <w:szCs w:val="22"/>
                <w:lang w:val="sr-Latn-ME"/>
              </w:rPr>
              <w:t>N = 95</w:t>
            </w:r>
          </w:p>
        </w:tc>
      </w:tr>
      <w:tr w:rsidR="00161064" w:rsidRPr="00594ED8" w:rsidTr="00821B46">
        <w:trPr>
          <w:trHeight w:val="20"/>
        </w:trPr>
        <w:tc>
          <w:tcPr>
            <w:tcW w:w="1027" w:type="pct"/>
            <w:tcBorders>
              <w:top w:val="single" w:sz="2" w:space="0" w:color="auto"/>
              <w:left w:val="single" w:sz="8" w:space="0" w:color="auto"/>
              <w:bottom w:val="single" w:sz="2" w:space="0" w:color="auto"/>
              <w:right w:val="single" w:sz="2" w:space="0" w:color="auto"/>
            </w:tcBorders>
            <w:vAlign w:val="center"/>
          </w:tcPr>
          <w:p w:rsidR="00161064" w:rsidRPr="00594ED8" w:rsidRDefault="00161064" w:rsidP="00B83DC2">
            <w:pPr>
              <w:pStyle w:val="TableText10"/>
              <w:keepNext/>
              <w:keepLines/>
              <w:jc w:val="both"/>
              <w:rPr>
                <w:b/>
                <w:bCs/>
                <w:sz w:val="22"/>
                <w:szCs w:val="22"/>
                <w:lang w:val="sr-Latn-ME"/>
              </w:rPr>
            </w:pPr>
            <w:r w:rsidRPr="00594ED8">
              <w:rPr>
                <w:b/>
                <w:bCs/>
                <w:sz w:val="22"/>
                <w:szCs w:val="22"/>
                <w:lang w:val="sr-Latn-ME"/>
              </w:rPr>
              <w:t>Menstrualno krvarenje</w:t>
            </w:r>
          </w:p>
          <w:p w:rsidR="00161064" w:rsidRPr="00594ED8" w:rsidRDefault="00161064" w:rsidP="00B83DC2">
            <w:pPr>
              <w:pStyle w:val="TableText10"/>
              <w:keepNext/>
              <w:keepLines/>
              <w:jc w:val="both"/>
              <w:rPr>
                <w:b/>
                <w:bCs/>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Srednja vrijednost PBAC na početku terapije</w:t>
            </w: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 xml:space="preserve">Promjena srednje vrijednosti u 13. nedjelji </w:t>
            </w:r>
          </w:p>
          <w:p w:rsidR="00161064" w:rsidRPr="00594ED8" w:rsidRDefault="00161064" w:rsidP="00B83DC2">
            <w:pPr>
              <w:pStyle w:val="TableText10"/>
              <w:keepNext/>
              <w:keepLines/>
              <w:jc w:val="both"/>
              <w:rPr>
                <w:sz w:val="22"/>
                <w:szCs w:val="22"/>
                <w:lang w:val="sr-Latn-ME"/>
              </w:rPr>
            </w:pPr>
          </w:p>
        </w:tc>
        <w:tc>
          <w:tcPr>
            <w:tcW w:w="555"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376</w:t>
            </w: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-59</w:t>
            </w:r>
          </w:p>
        </w:tc>
        <w:tc>
          <w:tcPr>
            <w:tcW w:w="828"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keepNext/>
              <w:keepLines/>
              <w:jc w:val="both"/>
              <w:rPr>
                <w:b/>
                <w:bCs/>
                <w:sz w:val="22"/>
                <w:szCs w:val="22"/>
                <w:lang w:val="sr-Latn-ME"/>
              </w:rPr>
            </w:pPr>
          </w:p>
          <w:p w:rsidR="00161064" w:rsidRPr="00594ED8" w:rsidRDefault="00161064" w:rsidP="00B83DC2">
            <w:pPr>
              <w:pStyle w:val="TableText10"/>
              <w:keepNext/>
              <w:keepLines/>
              <w:jc w:val="both"/>
              <w:rPr>
                <w:b/>
                <w:bCs/>
                <w:sz w:val="22"/>
                <w:szCs w:val="22"/>
                <w:lang w:val="sr-Latn-ME"/>
              </w:rPr>
            </w:pPr>
          </w:p>
          <w:p w:rsidR="00161064" w:rsidRPr="00594ED8" w:rsidRDefault="00161064" w:rsidP="00B83DC2">
            <w:pPr>
              <w:pStyle w:val="TableText10"/>
              <w:keepNext/>
              <w:keepLines/>
              <w:jc w:val="both"/>
              <w:rPr>
                <w:sz w:val="22"/>
                <w:szCs w:val="22"/>
                <w:vertAlign w:val="superscript"/>
                <w:lang w:val="sr-Latn-ME"/>
              </w:rPr>
            </w:pPr>
            <w:r w:rsidRPr="00594ED8">
              <w:rPr>
                <w:b/>
                <w:bCs/>
                <w:sz w:val="22"/>
                <w:szCs w:val="22"/>
                <w:lang w:val="sr-Latn-ME"/>
              </w:rPr>
              <w:t xml:space="preserve"> </w:t>
            </w:r>
            <w:r w:rsidRPr="00594ED8">
              <w:rPr>
                <w:sz w:val="22"/>
                <w:szCs w:val="22"/>
                <w:lang w:val="sr-Latn-ME"/>
              </w:rPr>
              <w:t>386</w:t>
            </w:r>
          </w:p>
          <w:p w:rsidR="00161064" w:rsidRPr="00594ED8" w:rsidRDefault="00161064" w:rsidP="00B83DC2">
            <w:pPr>
              <w:pStyle w:val="TableText10"/>
              <w:keepNext/>
              <w:keepLines/>
              <w:jc w:val="both"/>
              <w:rPr>
                <w:b/>
                <w:sz w:val="22"/>
                <w:szCs w:val="22"/>
                <w:lang w:val="sr-Latn-ME"/>
              </w:rPr>
            </w:pPr>
          </w:p>
          <w:p w:rsidR="00161064" w:rsidRPr="00594ED8" w:rsidRDefault="00161064" w:rsidP="00B83DC2">
            <w:pPr>
              <w:pStyle w:val="TableText10"/>
              <w:keepNext/>
              <w:keepLines/>
              <w:jc w:val="both"/>
              <w:rPr>
                <w:b/>
                <w:sz w:val="22"/>
                <w:szCs w:val="22"/>
                <w:lang w:val="sr-Latn-ME"/>
              </w:rPr>
            </w:pPr>
          </w:p>
          <w:p w:rsidR="00161064" w:rsidRPr="00594ED8" w:rsidRDefault="00161064" w:rsidP="00B83DC2">
            <w:pPr>
              <w:pStyle w:val="TableText10"/>
              <w:keepNext/>
              <w:keepLines/>
              <w:jc w:val="both"/>
              <w:rPr>
                <w:b/>
                <w:bCs/>
                <w:sz w:val="22"/>
                <w:szCs w:val="22"/>
                <w:lang w:val="sr-Latn-ME"/>
              </w:rPr>
            </w:pPr>
            <w:r w:rsidRPr="00594ED8">
              <w:rPr>
                <w:b/>
                <w:bCs/>
                <w:sz w:val="22"/>
                <w:szCs w:val="22"/>
                <w:lang w:val="sr-Latn-ME"/>
              </w:rPr>
              <w:t>-329</w:t>
            </w:r>
          </w:p>
        </w:tc>
        <w:tc>
          <w:tcPr>
            <w:tcW w:w="71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keepNext/>
              <w:keepLines/>
              <w:jc w:val="both"/>
              <w:rPr>
                <w:b/>
                <w:bCs/>
                <w:sz w:val="22"/>
                <w:szCs w:val="22"/>
                <w:lang w:val="sr-Latn-ME"/>
              </w:rPr>
            </w:pPr>
          </w:p>
          <w:p w:rsidR="00161064" w:rsidRPr="00594ED8" w:rsidRDefault="00161064" w:rsidP="00B83DC2">
            <w:pPr>
              <w:pStyle w:val="TableText10"/>
              <w:keepNext/>
              <w:keepLines/>
              <w:jc w:val="both"/>
              <w:rPr>
                <w:bCs/>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 xml:space="preserve"> 330</w:t>
            </w:r>
          </w:p>
          <w:p w:rsidR="00161064" w:rsidRPr="00594ED8" w:rsidRDefault="00161064" w:rsidP="00B83DC2">
            <w:pPr>
              <w:pStyle w:val="TableText10"/>
              <w:keepNext/>
              <w:keepLines/>
              <w:jc w:val="both"/>
              <w:rPr>
                <w:b/>
                <w:sz w:val="22"/>
                <w:szCs w:val="22"/>
                <w:lang w:val="sr-Latn-ME"/>
              </w:rPr>
            </w:pPr>
          </w:p>
          <w:p w:rsidR="00161064" w:rsidRPr="00594ED8" w:rsidRDefault="00161064" w:rsidP="00B83DC2">
            <w:pPr>
              <w:pStyle w:val="TableText10"/>
              <w:keepNext/>
              <w:keepLines/>
              <w:jc w:val="both"/>
              <w:rPr>
                <w:b/>
                <w:sz w:val="22"/>
                <w:szCs w:val="22"/>
                <w:lang w:val="sr-Latn-ME"/>
              </w:rPr>
            </w:pPr>
          </w:p>
          <w:p w:rsidR="00161064" w:rsidRPr="00594ED8" w:rsidRDefault="00161064" w:rsidP="00B83DC2">
            <w:pPr>
              <w:pStyle w:val="TableText10"/>
              <w:keepNext/>
              <w:keepLines/>
              <w:jc w:val="both"/>
              <w:rPr>
                <w:b/>
                <w:bCs/>
                <w:sz w:val="22"/>
                <w:szCs w:val="22"/>
                <w:lang w:val="sr-Latn-ME"/>
              </w:rPr>
            </w:pPr>
            <w:r w:rsidRPr="00594ED8">
              <w:rPr>
                <w:b/>
                <w:bCs/>
                <w:sz w:val="22"/>
                <w:szCs w:val="22"/>
                <w:lang w:val="sr-Latn-ME"/>
              </w:rPr>
              <w:t>-326</w:t>
            </w:r>
          </w:p>
        </w:tc>
        <w:tc>
          <w:tcPr>
            <w:tcW w:w="791"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 xml:space="preserve"> 297</w:t>
            </w: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-274</w:t>
            </w:r>
          </w:p>
        </w:tc>
        <w:tc>
          <w:tcPr>
            <w:tcW w:w="633"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 xml:space="preserve"> 286</w:t>
            </w: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-268</w:t>
            </w:r>
          </w:p>
        </w:tc>
        <w:tc>
          <w:tcPr>
            <w:tcW w:w="451" w:type="pct"/>
            <w:tcBorders>
              <w:top w:val="single" w:sz="2" w:space="0" w:color="auto"/>
              <w:left w:val="single" w:sz="2" w:space="0" w:color="auto"/>
              <w:bottom w:val="single" w:sz="2" w:space="0" w:color="auto"/>
              <w:right w:val="single" w:sz="8" w:space="0" w:color="auto"/>
            </w:tcBorders>
            <w:vAlign w:val="center"/>
          </w:tcPr>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 xml:space="preserve"> 271</w:t>
            </w: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p>
          <w:p w:rsidR="00161064" w:rsidRPr="00594ED8" w:rsidRDefault="00161064" w:rsidP="00B83DC2">
            <w:pPr>
              <w:pStyle w:val="TableText10"/>
              <w:keepNext/>
              <w:keepLines/>
              <w:jc w:val="both"/>
              <w:rPr>
                <w:sz w:val="22"/>
                <w:szCs w:val="22"/>
                <w:lang w:val="sr-Latn-ME"/>
              </w:rPr>
            </w:pPr>
            <w:r w:rsidRPr="00594ED8">
              <w:rPr>
                <w:sz w:val="22"/>
                <w:szCs w:val="22"/>
                <w:lang w:val="sr-Latn-ME"/>
              </w:rPr>
              <w:t>-268</w:t>
            </w:r>
          </w:p>
        </w:tc>
      </w:tr>
      <w:tr w:rsidR="00161064" w:rsidRPr="00594ED8" w:rsidTr="00821B46">
        <w:trPr>
          <w:trHeight w:val="20"/>
        </w:trPr>
        <w:tc>
          <w:tcPr>
            <w:tcW w:w="1027" w:type="pct"/>
            <w:tcBorders>
              <w:top w:val="single" w:sz="2" w:space="0" w:color="auto"/>
              <w:left w:val="single" w:sz="8" w:space="0" w:color="auto"/>
              <w:bottom w:val="single" w:sz="2" w:space="0" w:color="auto"/>
              <w:right w:val="single" w:sz="2" w:space="0" w:color="auto"/>
            </w:tcBorders>
          </w:tcPr>
          <w:p w:rsidR="00161064" w:rsidRPr="00594ED8" w:rsidRDefault="00161064" w:rsidP="00B83DC2">
            <w:pPr>
              <w:pStyle w:val="TableText10"/>
              <w:keepNext/>
              <w:tabs>
                <w:tab w:val="left" w:pos="360"/>
              </w:tabs>
              <w:jc w:val="both"/>
              <w:rPr>
                <w:sz w:val="22"/>
                <w:szCs w:val="22"/>
                <w:lang w:val="sr-Latn-ME"/>
              </w:rPr>
            </w:pPr>
            <w:r w:rsidRPr="00594ED8">
              <w:rPr>
                <w:sz w:val="22"/>
                <w:szCs w:val="22"/>
                <w:lang w:val="sr-Latn-ME"/>
              </w:rPr>
              <w:t>Pacijentkinje sa amenorejom u 13. nedjelji</w:t>
            </w:r>
          </w:p>
          <w:p w:rsidR="00161064" w:rsidRPr="00594ED8" w:rsidRDefault="00161064" w:rsidP="00B83DC2">
            <w:pPr>
              <w:pStyle w:val="TableText10"/>
              <w:keepNext/>
              <w:tabs>
                <w:tab w:val="left" w:pos="360"/>
              </w:tabs>
              <w:jc w:val="both"/>
              <w:rPr>
                <w:sz w:val="22"/>
                <w:szCs w:val="22"/>
                <w:lang w:val="sr-Latn-ME"/>
              </w:rPr>
            </w:pPr>
          </w:p>
        </w:tc>
        <w:tc>
          <w:tcPr>
            <w:tcW w:w="555"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jc w:val="both"/>
              <w:rPr>
                <w:sz w:val="22"/>
                <w:szCs w:val="22"/>
                <w:lang w:val="sr-Latn-ME"/>
              </w:rPr>
            </w:pPr>
            <w:r w:rsidRPr="00594ED8">
              <w:rPr>
                <w:sz w:val="22"/>
                <w:szCs w:val="22"/>
                <w:lang w:val="sr-Latn-ME"/>
              </w:rPr>
              <w:t>3 (6,3%)</w:t>
            </w:r>
          </w:p>
        </w:tc>
        <w:tc>
          <w:tcPr>
            <w:tcW w:w="828"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keepNext/>
              <w:jc w:val="both"/>
              <w:rPr>
                <w:b/>
                <w:bCs/>
                <w:sz w:val="22"/>
                <w:szCs w:val="22"/>
                <w:lang w:val="sr-Latn-ME"/>
              </w:rPr>
            </w:pPr>
            <w:r w:rsidRPr="00594ED8">
              <w:rPr>
                <w:b/>
                <w:bCs/>
                <w:sz w:val="22"/>
                <w:szCs w:val="22"/>
                <w:lang w:val="sr-Latn-ME"/>
              </w:rPr>
              <w:t>69 (73,4%)</w:t>
            </w:r>
            <w:r w:rsidRPr="00594ED8">
              <w:rPr>
                <w:sz w:val="22"/>
                <w:szCs w:val="22"/>
                <w:vertAlign w:val="superscript"/>
                <w:lang w:val="sr-Latn-ME"/>
              </w:rPr>
              <w:t>1</w:t>
            </w:r>
          </w:p>
        </w:tc>
        <w:tc>
          <w:tcPr>
            <w:tcW w:w="71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keepNext/>
              <w:jc w:val="both"/>
              <w:rPr>
                <w:b/>
                <w:bCs/>
                <w:sz w:val="22"/>
                <w:szCs w:val="22"/>
                <w:lang w:val="sr-Latn-ME"/>
              </w:rPr>
            </w:pPr>
            <w:r w:rsidRPr="00594ED8">
              <w:rPr>
                <w:b/>
                <w:bCs/>
                <w:sz w:val="22"/>
                <w:szCs w:val="22"/>
                <w:lang w:val="sr-Latn-ME"/>
              </w:rPr>
              <w:t>76 (81,7%)</w:t>
            </w:r>
            <w:r w:rsidRPr="00594ED8">
              <w:rPr>
                <w:sz w:val="22"/>
                <w:szCs w:val="22"/>
                <w:vertAlign w:val="superscript"/>
                <w:lang w:val="sr-Latn-ME"/>
              </w:rPr>
              <w:t>2</w:t>
            </w:r>
          </w:p>
        </w:tc>
        <w:tc>
          <w:tcPr>
            <w:tcW w:w="791"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jc w:val="both"/>
              <w:rPr>
                <w:sz w:val="22"/>
                <w:szCs w:val="22"/>
                <w:lang w:val="sr-Latn-ME"/>
              </w:rPr>
            </w:pPr>
            <w:r w:rsidRPr="00594ED8">
              <w:rPr>
                <w:sz w:val="22"/>
                <w:szCs w:val="22"/>
                <w:lang w:val="sr-Latn-ME"/>
              </w:rPr>
              <w:t>74 (80,4%)</w:t>
            </w:r>
          </w:p>
        </w:tc>
        <w:tc>
          <w:tcPr>
            <w:tcW w:w="633"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jc w:val="both"/>
              <w:rPr>
                <w:sz w:val="22"/>
                <w:szCs w:val="22"/>
                <w:lang w:val="sr-Latn-ME"/>
              </w:rPr>
            </w:pPr>
            <w:r w:rsidRPr="00594ED8">
              <w:rPr>
                <w:sz w:val="22"/>
                <w:szCs w:val="22"/>
                <w:lang w:val="sr-Latn-ME"/>
              </w:rPr>
              <w:t>70 (75,3%)</w:t>
            </w:r>
          </w:p>
        </w:tc>
        <w:tc>
          <w:tcPr>
            <w:tcW w:w="451" w:type="pct"/>
            <w:tcBorders>
              <w:top w:val="single" w:sz="2" w:space="0" w:color="auto"/>
              <w:left w:val="single" w:sz="2" w:space="0" w:color="auto"/>
              <w:bottom w:val="single" w:sz="2" w:space="0" w:color="auto"/>
              <w:right w:val="single" w:sz="8" w:space="0" w:color="auto"/>
            </w:tcBorders>
            <w:vAlign w:val="center"/>
          </w:tcPr>
          <w:p w:rsidR="00161064" w:rsidRPr="00594ED8" w:rsidRDefault="00161064" w:rsidP="00B83DC2">
            <w:pPr>
              <w:pStyle w:val="TableText10"/>
              <w:keepNext/>
              <w:jc w:val="both"/>
              <w:rPr>
                <w:sz w:val="22"/>
                <w:szCs w:val="22"/>
                <w:lang w:val="sr-Latn-ME"/>
              </w:rPr>
            </w:pPr>
            <w:r w:rsidRPr="00594ED8">
              <w:rPr>
                <w:sz w:val="22"/>
                <w:szCs w:val="22"/>
                <w:lang w:val="sr-Latn-ME"/>
              </w:rPr>
              <w:t>85 (89,5%)</w:t>
            </w:r>
          </w:p>
        </w:tc>
      </w:tr>
      <w:tr w:rsidR="00161064" w:rsidRPr="00594ED8" w:rsidTr="00821B46">
        <w:trPr>
          <w:trHeight w:val="20"/>
        </w:trPr>
        <w:tc>
          <w:tcPr>
            <w:tcW w:w="1027" w:type="pct"/>
            <w:tcBorders>
              <w:top w:val="single" w:sz="2" w:space="0" w:color="auto"/>
              <w:left w:val="single" w:sz="8" w:space="0" w:color="auto"/>
              <w:bottom w:val="single" w:sz="2" w:space="0" w:color="auto"/>
              <w:right w:val="single" w:sz="2" w:space="0" w:color="auto"/>
            </w:tcBorders>
          </w:tcPr>
          <w:p w:rsidR="00161064" w:rsidRPr="00594ED8" w:rsidRDefault="00161064" w:rsidP="00B83DC2">
            <w:pPr>
              <w:pStyle w:val="TableText10"/>
              <w:keepNext/>
              <w:tabs>
                <w:tab w:val="left" w:pos="360"/>
              </w:tabs>
              <w:jc w:val="both"/>
              <w:rPr>
                <w:sz w:val="22"/>
                <w:szCs w:val="22"/>
                <w:lang w:val="sr-Latn-ME"/>
              </w:rPr>
            </w:pPr>
            <w:r w:rsidRPr="00594ED8">
              <w:rPr>
                <w:sz w:val="22"/>
                <w:szCs w:val="22"/>
                <w:lang w:val="sr-Latn-ME"/>
              </w:rPr>
              <w:t>Pacijentkinje čiji se menstrualni ciklus normalizovao (PBAC &lt; 75) u 13. nedjelji</w:t>
            </w:r>
          </w:p>
          <w:p w:rsidR="00161064" w:rsidRPr="00594ED8" w:rsidRDefault="00161064" w:rsidP="00B83DC2">
            <w:pPr>
              <w:pStyle w:val="TableText10"/>
              <w:keepNext/>
              <w:tabs>
                <w:tab w:val="left" w:pos="360"/>
              </w:tabs>
              <w:jc w:val="both"/>
              <w:rPr>
                <w:sz w:val="22"/>
                <w:szCs w:val="22"/>
                <w:lang w:val="sr-Latn-ME"/>
              </w:rPr>
            </w:pPr>
          </w:p>
        </w:tc>
        <w:tc>
          <w:tcPr>
            <w:tcW w:w="555"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jc w:val="both"/>
              <w:rPr>
                <w:sz w:val="22"/>
                <w:szCs w:val="22"/>
                <w:lang w:val="sr-Latn-ME"/>
              </w:rPr>
            </w:pPr>
            <w:r w:rsidRPr="00594ED8">
              <w:rPr>
                <w:sz w:val="22"/>
                <w:szCs w:val="22"/>
                <w:lang w:val="sr-Latn-ME"/>
              </w:rPr>
              <w:t>9 (18,8%)</w:t>
            </w:r>
          </w:p>
        </w:tc>
        <w:tc>
          <w:tcPr>
            <w:tcW w:w="828"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jc w:val="both"/>
              <w:rPr>
                <w:b/>
                <w:bCs/>
                <w:sz w:val="22"/>
                <w:szCs w:val="22"/>
                <w:lang w:val="sr-Latn-ME"/>
              </w:rPr>
            </w:pPr>
            <w:r w:rsidRPr="00594ED8">
              <w:rPr>
                <w:b/>
                <w:bCs/>
                <w:sz w:val="22"/>
                <w:szCs w:val="22"/>
                <w:lang w:val="sr-Latn-ME"/>
              </w:rPr>
              <w:t>86 (91,5%)</w:t>
            </w:r>
            <w:r w:rsidRPr="00594ED8">
              <w:rPr>
                <w:sz w:val="22"/>
                <w:szCs w:val="22"/>
                <w:vertAlign w:val="superscript"/>
                <w:lang w:val="sr-Latn-ME"/>
              </w:rPr>
              <w:t>1</w:t>
            </w:r>
          </w:p>
        </w:tc>
        <w:tc>
          <w:tcPr>
            <w:tcW w:w="71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jc w:val="both"/>
              <w:rPr>
                <w:b/>
                <w:bCs/>
                <w:sz w:val="22"/>
                <w:szCs w:val="22"/>
                <w:lang w:val="sr-Latn-ME"/>
              </w:rPr>
            </w:pPr>
            <w:r w:rsidRPr="00594ED8">
              <w:rPr>
                <w:b/>
                <w:bCs/>
                <w:sz w:val="22"/>
                <w:szCs w:val="22"/>
                <w:lang w:val="sr-Latn-ME"/>
              </w:rPr>
              <w:t>86 (92,5%)</w:t>
            </w:r>
            <w:r w:rsidRPr="00594ED8">
              <w:rPr>
                <w:sz w:val="22"/>
                <w:szCs w:val="22"/>
                <w:vertAlign w:val="superscript"/>
                <w:lang w:val="sr-Latn-ME"/>
              </w:rPr>
              <w:t>1</w:t>
            </w:r>
          </w:p>
        </w:tc>
        <w:tc>
          <w:tcPr>
            <w:tcW w:w="791"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jc w:val="both"/>
              <w:rPr>
                <w:sz w:val="22"/>
                <w:szCs w:val="22"/>
                <w:lang w:val="sr-Latn-ME"/>
              </w:rPr>
            </w:pPr>
            <w:r w:rsidRPr="00594ED8">
              <w:rPr>
                <w:sz w:val="22"/>
                <w:szCs w:val="22"/>
                <w:lang w:val="sr-Latn-ME"/>
              </w:rPr>
              <w:t>82 (89,1%)</w:t>
            </w:r>
          </w:p>
        </w:tc>
        <w:tc>
          <w:tcPr>
            <w:tcW w:w="633"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jc w:val="both"/>
              <w:rPr>
                <w:sz w:val="22"/>
                <w:szCs w:val="22"/>
                <w:lang w:val="sr-Latn-ME"/>
              </w:rPr>
            </w:pPr>
            <w:r w:rsidRPr="00594ED8">
              <w:rPr>
                <w:sz w:val="22"/>
                <w:szCs w:val="22"/>
                <w:lang w:val="sr-Latn-ME"/>
              </w:rPr>
              <w:t>84 (90,3%)</w:t>
            </w:r>
          </w:p>
        </w:tc>
        <w:tc>
          <w:tcPr>
            <w:tcW w:w="451" w:type="pct"/>
            <w:tcBorders>
              <w:top w:val="single" w:sz="2" w:space="0" w:color="auto"/>
              <w:left w:val="single" w:sz="2" w:space="0" w:color="auto"/>
              <w:bottom w:val="single" w:sz="2" w:space="0" w:color="auto"/>
              <w:right w:val="single" w:sz="8" w:space="0" w:color="auto"/>
            </w:tcBorders>
            <w:vAlign w:val="center"/>
          </w:tcPr>
          <w:p w:rsidR="00161064" w:rsidRPr="00594ED8" w:rsidRDefault="00161064" w:rsidP="00B83DC2">
            <w:pPr>
              <w:pStyle w:val="TableText10"/>
              <w:jc w:val="both"/>
              <w:rPr>
                <w:sz w:val="22"/>
                <w:szCs w:val="22"/>
                <w:lang w:val="sr-Latn-ME"/>
              </w:rPr>
            </w:pPr>
            <w:r w:rsidRPr="00594ED8">
              <w:rPr>
                <w:sz w:val="22"/>
                <w:szCs w:val="22"/>
                <w:lang w:val="sr-Latn-ME"/>
              </w:rPr>
              <w:t>93 (97,9%)</w:t>
            </w:r>
          </w:p>
        </w:tc>
      </w:tr>
      <w:tr w:rsidR="00161064" w:rsidRPr="00594ED8" w:rsidTr="00821B46">
        <w:trPr>
          <w:trHeight w:val="20"/>
        </w:trPr>
        <w:tc>
          <w:tcPr>
            <w:tcW w:w="1027" w:type="pct"/>
            <w:tcBorders>
              <w:top w:val="single" w:sz="2" w:space="0" w:color="auto"/>
              <w:left w:val="single" w:sz="8" w:space="0" w:color="auto"/>
              <w:bottom w:val="single" w:sz="8" w:space="0" w:color="auto"/>
              <w:right w:val="single" w:sz="2" w:space="0" w:color="auto"/>
            </w:tcBorders>
          </w:tcPr>
          <w:p w:rsidR="00161064" w:rsidRPr="00594ED8" w:rsidRDefault="00161064" w:rsidP="00B83DC2">
            <w:pPr>
              <w:pStyle w:val="TableText10"/>
              <w:keepNext/>
              <w:keepLines/>
              <w:jc w:val="both"/>
              <w:rPr>
                <w:sz w:val="22"/>
                <w:szCs w:val="22"/>
                <w:lang w:val="sr-Latn-ME"/>
              </w:rPr>
            </w:pPr>
            <w:r w:rsidRPr="00594ED8">
              <w:rPr>
                <w:sz w:val="22"/>
                <w:szCs w:val="22"/>
                <w:lang w:val="sr-Latn-ME"/>
              </w:rPr>
              <w:t>Srednja vrijednost promjene volumena mioma u odnosu na početak terapije do 13</w:t>
            </w:r>
            <w:r w:rsidRPr="00594ED8">
              <w:rPr>
                <w:sz w:val="22"/>
                <w:szCs w:val="22"/>
                <w:vertAlign w:val="superscript"/>
                <w:lang w:val="sr-Latn-ME"/>
              </w:rPr>
              <w:t xml:space="preserve"> </w:t>
            </w:r>
            <w:r w:rsidRPr="00594ED8">
              <w:rPr>
                <w:sz w:val="22"/>
                <w:szCs w:val="22"/>
                <w:lang w:val="sr-Latn-ME"/>
              </w:rPr>
              <w:t>nedjelje</w:t>
            </w:r>
            <w:r w:rsidRPr="00594ED8">
              <w:rPr>
                <w:sz w:val="22"/>
                <w:szCs w:val="22"/>
                <w:vertAlign w:val="superscript"/>
                <w:lang w:val="sr-Latn-ME"/>
              </w:rPr>
              <w:t xml:space="preserve"> a</w:t>
            </w:r>
          </w:p>
          <w:p w:rsidR="00161064" w:rsidRPr="00594ED8" w:rsidRDefault="00161064" w:rsidP="00B83DC2">
            <w:pPr>
              <w:pStyle w:val="TableText10"/>
              <w:keepNext/>
              <w:keepLines/>
              <w:jc w:val="both"/>
              <w:rPr>
                <w:sz w:val="22"/>
                <w:szCs w:val="22"/>
                <w:lang w:val="sr-Latn-ME"/>
              </w:rPr>
            </w:pPr>
          </w:p>
        </w:tc>
        <w:tc>
          <w:tcPr>
            <w:tcW w:w="555" w:type="pct"/>
            <w:tcBorders>
              <w:top w:val="single" w:sz="2" w:space="0" w:color="auto"/>
              <w:left w:val="single" w:sz="2" w:space="0" w:color="auto"/>
              <w:bottom w:val="single" w:sz="8" w:space="0" w:color="auto"/>
              <w:right w:val="single" w:sz="2" w:space="0" w:color="auto"/>
            </w:tcBorders>
            <w:vAlign w:val="center"/>
          </w:tcPr>
          <w:p w:rsidR="00161064" w:rsidRPr="00594ED8" w:rsidRDefault="00161064" w:rsidP="00B83DC2">
            <w:pPr>
              <w:rPr>
                <w:sz w:val="22"/>
                <w:szCs w:val="22"/>
                <w:lang w:val="sr-Latn-ME" w:eastAsia="en-GB"/>
              </w:rPr>
            </w:pPr>
            <w:r w:rsidRPr="00594ED8">
              <w:rPr>
                <w:sz w:val="22"/>
                <w:szCs w:val="22"/>
                <w:lang w:val="sr-Latn-ME"/>
              </w:rPr>
              <w:t>+3,0%</w:t>
            </w:r>
          </w:p>
        </w:tc>
        <w:tc>
          <w:tcPr>
            <w:tcW w:w="828" w:type="pct"/>
            <w:tcBorders>
              <w:top w:val="single" w:sz="2" w:space="0" w:color="auto"/>
              <w:left w:val="single" w:sz="2" w:space="0" w:color="auto"/>
              <w:bottom w:val="single" w:sz="8" w:space="0" w:color="auto"/>
              <w:right w:val="single" w:sz="2" w:space="0" w:color="auto"/>
            </w:tcBorders>
            <w:shd w:val="clear" w:color="auto" w:fill="EEECE1"/>
            <w:vAlign w:val="center"/>
          </w:tcPr>
          <w:p w:rsidR="00161064" w:rsidRPr="00594ED8" w:rsidRDefault="00161064" w:rsidP="00B83DC2">
            <w:pPr>
              <w:rPr>
                <w:b/>
                <w:bCs/>
                <w:sz w:val="22"/>
                <w:szCs w:val="22"/>
                <w:lang w:val="sr-Latn-ME"/>
              </w:rPr>
            </w:pPr>
            <w:r w:rsidRPr="00594ED8">
              <w:rPr>
                <w:b/>
                <w:bCs/>
                <w:sz w:val="22"/>
                <w:szCs w:val="22"/>
                <w:lang w:val="sr-Latn-ME"/>
              </w:rPr>
              <w:t>-21,2%</w:t>
            </w:r>
            <w:r w:rsidRPr="00594ED8">
              <w:rPr>
                <w:sz w:val="22"/>
                <w:szCs w:val="22"/>
                <w:vertAlign w:val="superscript"/>
                <w:lang w:val="sr-Latn-ME"/>
              </w:rPr>
              <w:t>3</w:t>
            </w:r>
          </w:p>
        </w:tc>
        <w:tc>
          <w:tcPr>
            <w:tcW w:w="715" w:type="pct"/>
            <w:tcBorders>
              <w:top w:val="single" w:sz="2" w:space="0" w:color="auto"/>
              <w:left w:val="single" w:sz="2" w:space="0" w:color="auto"/>
              <w:bottom w:val="single" w:sz="8" w:space="0" w:color="auto"/>
              <w:right w:val="single" w:sz="2" w:space="0" w:color="auto"/>
            </w:tcBorders>
            <w:shd w:val="clear" w:color="auto" w:fill="EEECE1"/>
            <w:vAlign w:val="center"/>
          </w:tcPr>
          <w:p w:rsidR="00161064" w:rsidRPr="00594ED8" w:rsidRDefault="00161064" w:rsidP="00B83DC2">
            <w:pPr>
              <w:rPr>
                <w:b/>
                <w:bCs/>
                <w:sz w:val="22"/>
                <w:szCs w:val="22"/>
                <w:lang w:val="sr-Latn-ME"/>
              </w:rPr>
            </w:pPr>
            <w:r w:rsidRPr="00594ED8">
              <w:rPr>
                <w:b/>
                <w:bCs/>
                <w:sz w:val="22"/>
                <w:szCs w:val="22"/>
                <w:lang w:val="sr-Latn-ME"/>
              </w:rPr>
              <w:t>-12,3%</w:t>
            </w:r>
            <w:r w:rsidRPr="00594ED8">
              <w:rPr>
                <w:sz w:val="22"/>
                <w:szCs w:val="22"/>
                <w:vertAlign w:val="superscript"/>
                <w:lang w:val="sr-Latn-ME"/>
              </w:rPr>
              <w:t>4</w:t>
            </w:r>
          </w:p>
        </w:tc>
        <w:tc>
          <w:tcPr>
            <w:tcW w:w="791" w:type="pct"/>
            <w:tcBorders>
              <w:top w:val="single" w:sz="2" w:space="0" w:color="auto"/>
              <w:left w:val="single" w:sz="2" w:space="0" w:color="auto"/>
              <w:bottom w:val="single" w:sz="8" w:space="0" w:color="auto"/>
              <w:right w:val="single" w:sz="2" w:space="0" w:color="auto"/>
            </w:tcBorders>
            <w:vAlign w:val="center"/>
          </w:tcPr>
          <w:p w:rsidR="00161064" w:rsidRPr="00594ED8" w:rsidRDefault="00161064" w:rsidP="00B83DC2">
            <w:pPr>
              <w:pStyle w:val="TableText10"/>
              <w:keepNext/>
              <w:jc w:val="both"/>
              <w:rPr>
                <w:sz w:val="22"/>
                <w:szCs w:val="22"/>
                <w:lang w:val="sr-Latn-ME"/>
              </w:rPr>
            </w:pPr>
            <w:r w:rsidRPr="00594ED8">
              <w:rPr>
                <w:sz w:val="22"/>
                <w:szCs w:val="22"/>
                <w:lang w:val="sr-Latn-ME"/>
              </w:rPr>
              <w:t>-53,5%</w:t>
            </w:r>
          </w:p>
        </w:tc>
        <w:tc>
          <w:tcPr>
            <w:tcW w:w="633" w:type="pct"/>
            <w:tcBorders>
              <w:top w:val="single" w:sz="2" w:space="0" w:color="auto"/>
              <w:left w:val="single" w:sz="2" w:space="0" w:color="auto"/>
              <w:bottom w:val="single" w:sz="8" w:space="0" w:color="auto"/>
              <w:right w:val="single" w:sz="2" w:space="0" w:color="auto"/>
            </w:tcBorders>
            <w:shd w:val="solid" w:color="FFFFFF" w:fill="EEECE1"/>
            <w:vAlign w:val="center"/>
          </w:tcPr>
          <w:p w:rsidR="00161064" w:rsidRPr="00594ED8" w:rsidRDefault="00161064" w:rsidP="00B83DC2">
            <w:pPr>
              <w:pStyle w:val="TableText10"/>
              <w:keepNext/>
              <w:jc w:val="both"/>
              <w:rPr>
                <w:sz w:val="22"/>
                <w:szCs w:val="22"/>
                <w:lang w:val="sr-Latn-ME"/>
              </w:rPr>
            </w:pPr>
            <w:r w:rsidRPr="00594ED8">
              <w:rPr>
                <w:sz w:val="22"/>
                <w:szCs w:val="22"/>
                <w:lang w:val="sr-Latn-ME"/>
              </w:rPr>
              <w:t>-35,6%</w:t>
            </w:r>
          </w:p>
        </w:tc>
        <w:tc>
          <w:tcPr>
            <w:tcW w:w="451" w:type="pct"/>
            <w:tcBorders>
              <w:top w:val="single" w:sz="2" w:space="0" w:color="auto"/>
              <w:left w:val="single" w:sz="2" w:space="0" w:color="auto"/>
              <w:bottom w:val="single" w:sz="8" w:space="0" w:color="auto"/>
              <w:right w:val="single" w:sz="8" w:space="0" w:color="auto"/>
            </w:tcBorders>
            <w:shd w:val="solid" w:color="FFFFFF" w:fill="EEECE1"/>
            <w:vAlign w:val="center"/>
          </w:tcPr>
          <w:p w:rsidR="00161064" w:rsidRPr="00594ED8" w:rsidRDefault="00161064" w:rsidP="00B83DC2">
            <w:pPr>
              <w:pStyle w:val="TableText10"/>
              <w:keepNext/>
              <w:jc w:val="both"/>
              <w:rPr>
                <w:sz w:val="22"/>
                <w:szCs w:val="22"/>
                <w:lang w:val="sr-Latn-ME"/>
              </w:rPr>
            </w:pPr>
            <w:r w:rsidRPr="00594ED8">
              <w:rPr>
                <w:sz w:val="22"/>
                <w:szCs w:val="22"/>
                <w:lang w:val="sr-Latn-ME"/>
              </w:rPr>
              <w:t>-42,1%</w:t>
            </w:r>
          </w:p>
        </w:tc>
      </w:tr>
    </w:tbl>
    <w:p w:rsidR="00161064" w:rsidRPr="00594ED8" w:rsidRDefault="00161064" w:rsidP="00161064">
      <w:pPr>
        <w:pStyle w:val="Header"/>
        <w:rPr>
          <w:rFonts w:cs="Humanist777"/>
          <w:sz w:val="22"/>
          <w:szCs w:val="22"/>
          <w:vertAlign w:val="superscript"/>
          <w:lang w:val="sr-Latn-ME"/>
        </w:rPr>
      </w:pPr>
    </w:p>
    <w:p w:rsidR="00161064" w:rsidRPr="00594ED8" w:rsidRDefault="00161064" w:rsidP="00EA0B82">
      <w:pPr>
        <w:pStyle w:val="Header"/>
        <w:jc w:val="both"/>
        <w:rPr>
          <w:sz w:val="22"/>
          <w:szCs w:val="22"/>
          <w:lang w:val="sr-Latn-ME"/>
        </w:rPr>
      </w:pPr>
      <w:r w:rsidRPr="00594ED8">
        <w:rPr>
          <w:rFonts w:cs="Humanist777"/>
          <w:sz w:val="22"/>
          <w:szCs w:val="22"/>
          <w:vertAlign w:val="superscript"/>
          <w:lang w:val="sr-Latn-ME"/>
        </w:rPr>
        <w:t>a</w:t>
      </w:r>
      <w:r w:rsidRPr="00594ED8">
        <w:rPr>
          <w:sz w:val="22"/>
          <w:szCs w:val="22"/>
          <w:lang w:val="sr-Latn-ME"/>
        </w:rPr>
        <w:t>U Studiji 1, promjenа u odnosu na početak terapije u ukupnom volumenu mioma je mjerenа mаgnetnom rezonаncom. U Studiji 2, promjene volumena tri nаjveća miomа su mjerene ultrаzvukom. Podebljane vrijednosti u osijenčenim poljima ukаzuju dа postoji znаčаjnа rаzlikа između ulipristаl</w:t>
      </w:r>
      <w:r w:rsidR="0052352E" w:rsidRPr="00594ED8">
        <w:rPr>
          <w:sz w:val="22"/>
          <w:szCs w:val="22"/>
          <w:lang w:val="sr-Latn-ME"/>
        </w:rPr>
        <w:t xml:space="preserve"> </w:t>
      </w:r>
      <w:r w:rsidRPr="00594ED8">
        <w:rPr>
          <w:sz w:val="22"/>
          <w:szCs w:val="22"/>
          <w:lang w:val="sr-Latn-ME"/>
        </w:rPr>
        <w:t>аcetаtа i kontrole. Vrijednosti su uvijek bile u korist ulipristаl</w:t>
      </w:r>
      <w:r w:rsidR="0052352E" w:rsidRPr="00594ED8">
        <w:rPr>
          <w:sz w:val="22"/>
          <w:szCs w:val="22"/>
          <w:lang w:val="sr-Latn-ME"/>
        </w:rPr>
        <w:t xml:space="preserve"> </w:t>
      </w:r>
      <w:r w:rsidRPr="00594ED8">
        <w:rPr>
          <w:sz w:val="22"/>
          <w:szCs w:val="22"/>
          <w:lang w:val="sr-Latn-ME"/>
        </w:rPr>
        <w:t>аcetаtа.</w:t>
      </w: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 xml:space="preserve">P vrijednosti: </w:t>
      </w:r>
      <w:r w:rsidRPr="00594ED8">
        <w:rPr>
          <w:sz w:val="22"/>
          <w:szCs w:val="22"/>
          <w:vertAlign w:val="superscript"/>
          <w:lang w:val="sr-Latn-ME"/>
        </w:rPr>
        <w:t>1</w:t>
      </w:r>
      <w:r w:rsidRPr="00594ED8">
        <w:rPr>
          <w:sz w:val="22"/>
          <w:szCs w:val="22"/>
          <w:lang w:val="sr-Latn-ME"/>
        </w:rPr>
        <w:t xml:space="preserve"> = &lt;0,001; </w:t>
      </w:r>
      <w:r w:rsidRPr="00594ED8">
        <w:rPr>
          <w:sz w:val="22"/>
          <w:szCs w:val="22"/>
          <w:vertAlign w:val="superscript"/>
          <w:lang w:val="sr-Latn-ME"/>
        </w:rPr>
        <w:t>2</w:t>
      </w:r>
      <w:r w:rsidRPr="00594ED8">
        <w:rPr>
          <w:sz w:val="22"/>
          <w:szCs w:val="22"/>
          <w:lang w:val="sr-Latn-ME"/>
        </w:rPr>
        <w:t xml:space="preserve"> = 0,037; </w:t>
      </w:r>
      <w:r w:rsidRPr="00594ED8">
        <w:rPr>
          <w:sz w:val="22"/>
          <w:szCs w:val="22"/>
          <w:vertAlign w:val="superscript"/>
          <w:lang w:val="sr-Latn-ME"/>
        </w:rPr>
        <w:t>3</w:t>
      </w:r>
      <w:r w:rsidRPr="00594ED8">
        <w:rPr>
          <w:sz w:val="22"/>
          <w:szCs w:val="22"/>
          <w:lang w:val="sr-Latn-ME"/>
        </w:rPr>
        <w:t xml:space="preserve"> = &lt;0,002; </w:t>
      </w:r>
      <w:r w:rsidRPr="00594ED8">
        <w:rPr>
          <w:sz w:val="22"/>
          <w:szCs w:val="22"/>
          <w:vertAlign w:val="superscript"/>
          <w:lang w:val="sr-Latn-ME"/>
        </w:rPr>
        <w:t>4</w:t>
      </w:r>
      <w:r w:rsidRPr="00594ED8">
        <w:rPr>
          <w:sz w:val="22"/>
          <w:szCs w:val="22"/>
          <w:lang w:val="sr-Latn-ME"/>
        </w:rPr>
        <w:t xml:space="preserve"> = &lt;0,006.</w:t>
      </w:r>
    </w:p>
    <w:p w:rsidR="001B5E12" w:rsidRDefault="001B5E12" w:rsidP="00EA0B82">
      <w:pPr>
        <w:pStyle w:val="Header"/>
        <w:tabs>
          <w:tab w:val="left" w:pos="284"/>
        </w:tabs>
        <w:jc w:val="both"/>
        <w:rPr>
          <w:sz w:val="22"/>
          <w:szCs w:val="22"/>
          <w:lang w:val="sr-Latn-ME"/>
        </w:rPr>
      </w:pPr>
    </w:p>
    <w:p w:rsidR="00821B46" w:rsidRDefault="00821B46" w:rsidP="00EA0B82">
      <w:pPr>
        <w:pStyle w:val="Header"/>
        <w:jc w:val="both"/>
        <w:rPr>
          <w:sz w:val="22"/>
          <w:szCs w:val="22"/>
          <w:lang w:val="sr-Latn-ME"/>
        </w:rPr>
      </w:pPr>
    </w:p>
    <w:p w:rsidR="00161064" w:rsidRPr="00594ED8" w:rsidRDefault="00161064" w:rsidP="00EA0B82">
      <w:pPr>
        <w:pStyle w:val="Header"/>
        <w:jc w:val="both"/>
        <w:rPr>
          <w:i/>
          <w:sz w:val="22"/>
          <w:szCs w:val="22"/>
          <w:lang w:val="sr-Latn-ME"/>
        </w:rPr>
      </w:pPr>
      <w:r w:rsidRPr="00594ED8">
        <w:rPr>
          <w:i/>
          <w:sz w:val="22"/>
          <w:szCs w:val="22"/>
          <w:lang w:val="sr-Latn-ME"/>
        </w:rPr>
        <w:lastRenderedPageBreak/>
        <w:t>Ponovljena intermitentna primjena:</w:t>
      </w:r>
    </w:p>
    <w:p w:rsidR="00161064" w:rsidRPr="00594ED8" w:rsidRDefault="00161064" w:rsidP="00EA0B82">
      <w:pPr>
        <w:pStyle w:val="Header"/>
        <w:tabs>
          <w:tab w:val="left" w:pos="284"/>
        </w:tabs>
        <w:jc w:val="both"/>
        <w:rPr>
          <w:sz w:val="22"/>
          <w:szCs w:val="22"/>
          <w:lang w:val="sr-Latn-ME"/>
        </w:rPr>
      </w:pP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Efikasnost ponovljenih terapijskih ciklusa primjene fiksnih doza od 5 ili 10 mg ulipristal acetata jednom dnevno evaluirana je u dvije studije III faze procjenjujući do 4 intermitentna tromjesečna terapijska ciklusa kod pacijentkinja sa obilnim mestrualnim krvarenjem povezanim sa fibroidima uterusa. Studija 3 je bila otvorena i ispitivala je ulipristal acetat od 10</w:t>
      </w:r>
      <w:r w:rsidR="0052352E" w:rsidRPr="00594ED8">
        <w:rPr>
          <w:sz w:val="22"/>
          <w:szCs w:val="22"/>
          <w:lang w:val="sr-Latn-ME"/>
        </w:rPr>
        <w:t xml:space="preserve"> </w:t>
      </w:r>
      <w:r w:rsidRPr="00594ED8">
        <w:rPr>
          <w:sz w:val="22"/>
          <w:szCs w:val="22"/>
          <w:lang w:val="sr-Latn-ME"/>
        </w:rPr>
        <w:t>mg pri čemu je svaki  tromjesečni tretman bio praćen duplo-slijepim tretmanom sa progestinom ili placebom u trajanju od 10 dana. Studija 4 je bila randomizovana, duplo-sl</w:t>
      </w:r>
      <w:r w:rsidR="0052352E" w:rsidRPr="00594ED8">
        <w:rPr>
          <w:sz w:val="22"/>
          <w:szCs w:val="22"/>
          <w:lang w:val="sr-Latn-ME"/>
        </w:rPr>
        <w:t>ij</w:t>
      </w:r>
      <w:r w:rsidRPr="00594ED8">
        <w:rPr>
          <w:sz w:val="22"/>
          <w:szCs w:val="22"/>
          <w:lang w:val="sr-Latn-ME"/>
        </w:rPr>
        <w:t>epa klinička studija u kojoj je ispitivan ulipristal acetat od 5 ili 10 mg.</w:t>
      </w: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Studije 3 i 4 su pokazale efikasnost u kontrolisanju simptoma fibroida materice (npr. materično krvarenje) i smanjenju veličine fibroida nakon 2 i 4 ciklusa.  U studiji 3, terapijska efikasnost je pokazana tokom više od 18 mjeseci ponovljenog, intermitentnog liječenja (4 ciklusa od 10 mg jednom dnevno), kod 89,7% pacijentkinja je postignuta amenoreja na kraju 4. ciklusa terapije.</w:t>
      </w: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U studiji 4, amenoreja je postignuta kod 61,9% odnosno 72,7% pacijentkinja na kraju prvog i drugog terapijskog ciklusa zajedno (pri primjeni doze od 5</w:t>
      </w:r>
      <w:r w:rsidR="0052352E" w:rsidRPr="00594ED8">
        <w:rPr>
          <w:sz w:val="22"/>
          <w:szCs w:val="22"/>
          <w:lang w:val="sr-Latn-ME"/>
        </w:rPr>
        <w:t xml:space="preserve"> </w:t>
      </w:r>
      <w:r w:rsidRPr="00594ED8">
        <w:rPr>
          <w:sz w:val="22"/>
          <w:szCs w:val="22"/>
          <w:lang w:val="sr-Latn-ME"/>
        </w:rPr>
        <w:t>mg, odnosno doze od 10</w:t>
      </w:r>
      <w:r w:rsidR="0052352E" w:rsidRPr="00594ED8">
        <w:rPr>
          <w:sz w:val="22"/>
          <w:szCs w:val="22"/>
          <w:lang w:val="sr-Latn-ME"/>
        </w:rPr>
        <w:t xml:space="preserve"> </w:t>
      </w:r>
      <w:r w:rsidRPr="00594ED8">
        <w:rPr>
          <w:sz w:val="22"/>
          <w:szCs w:val="22"/>
          <w:lang w:val="sr-Latn-ME"/>
        </w:rPr>
        <w:t>mg, redom, p=0,032); kod 48,7% odnosno 60,5% pacijentkinja amenoreja je postignuta na kraju sva četiri ciklusa zajedno (pri primjeni doze od 5</w:t>
      </w:r>
      <w:r w:rsidR="0052352E" w:rsidRPr="00594ED8">
        <w:rPr>
          <w:sz w:val="22"/>
          <w:szCs w:val="22"/>
          <w:lang w:val="sr-Latn-ME"/>
        </w:rPr>
        <w:t xml:space="preserve"> </w:t>
      </w:r>
      <w:r w:rsidRPr="00594ED8">
        <w:rPr>
          <w:sz w:val="22"/>
          <w:szCs w:val="22"/>
          <w:lang w:val="sr-Latn-ME"/>
        </w:rPr>
        <w:t>mg, odnosno doze od 10</w:t>
      </w:r>
      <w:r w:rsidR="0052352E" w:rsidRPr="00594ED8">
        <w:rPr>
          <w:sz w:val="22"/>
          <w:szCs w:val="22"/>
          <w:lang w:val="sr-Latn-ME"/>
        </w:rPr>
        <w:t xml:space="preserve"> </w:t>
      </w:r>
      <w:r w:rsidRPr="00594ED8">
        <w:rPr>
          <w:sz w:val="22"/>
          <w:szCs w:val="22"/>
          <w:lang w:val="sr-Latn-ME"/>
        </w:rPr>
        <w:t xml:space="preserve">mg, p=0,027). Na kraju 4. terapijskog ciklusa, procijenjeno je da je 158 (69,6%) ispitanica u grupi koja je primala dozu od 5 mg i 164 (74,5%) ispitanica u grupi koja je primala dozu od 10 mg bilo u amenoreji (p=0,290). </w:t>
      </w:r>
    </w:p>
    <w:p w:rsidR="00161064" w:rsidRPr="00594ED8" w:rsidRDefault="00161064" w:rsidP="00161064">
      <w:pPr>
        <w:pStyle w:val="Header"/>
        <w:tabs>
          <w:tab w:val="left" w:pos="284"/>
        </w:tabs>
        <w:rPr>
          <w:sz w:val="22"/>
          <w:szCs w:val="22"/>
          <w:lang w:val="sr-Latn-ME"/>
        </w:rPr>
      </w:pPr>
    </w:p>
    <w:tbl>
      <w:tblPr>
        <w:tblW w:w="4848" w:type="pct"/>
        <w:tblInd w:w="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7"/>
        <w:gridCol w:w="1070"/>
        <w:gridCol w:w="1179"/>
        <w:gridCol w:w="1328"/>
        <w:gridCol w:w="1473"/>
        <w:gridCol w:w="1180"/>
        <w:gridCol w:w="1180"/>
      </w:tblGrid>
      <w:tr w:rsidR="00161064" w:rsidRPr="00594ED8" w:rsidTr="00B83DC2">
        <w:trPr>
          <w:trHeight w:val="20"/>
          <w:tblHeader/>
        </w:trPr>
        <w:tc>
          <w:tcPr>
            <w:tcW w:w="1031" w:type="pct"/>
            <w:vMerge w:val="restart"/>
            <w:tcBorders>
              <w:top w:val="single" w:sz="8" w:space="0" w:color="auto"/>
              <w:left w:val="single" w:sz="8" w:space="0" w:color="auto"/>
              <w:bottom w:val="single" w:sz="2" w:space="0" w:color="auto"/>
              <w:right w:val="single" w:sz="2" w:space="0" w:color="auto"/>
            </w:tcBorders>
            <w:vAlign w:val="center"/>
          </w:tcPr>
          <w:p w:rsidR="00161064" w:rsidRPr="00594ED8" w:rsidRDefault="00161064" w:rsidP="00B83DC2">
            <w:pPr>
              <w:pStyle w:val="TableHeader10"/>
              <w:keepNext/>
              <w:keepLines/>
              <w:jc w:val="both"/>
              <w:rPr>
                <w:sz w:val="22"/>
                <w:szCs w:val="22"/>
                <w:lang w:val="sr-Latn-ME"/>
              </w:rPr>
            </w:pPr>
            <w:r w:rsidRPr="00594ED8">
              <w:rPr>
                <w:sz w:val="22"/>
                <w:szCs w:val="22"/>
                <w:lang w:val="sr-Latn-ME"/>
              </w:rPr>
              <w:t>Parametar</w:t>
            </w:r>
          </w:p>
        </w:tc>
        <w:tc>
          <w:tcPr>
            <w:tcW w:w="1906" w:type="pct"/>
            <w:gridSpan w:val="3"/>
            <w:tcBorders>
              <w:top w:val="single" w:sz="8" w:space="0" w:color="auto"/>
              <w:left w:val="single" w:sz="2" w:space="0" w:color="auto"/>
              <w:bottom w:val="single" w:sz="2" w:space="0" w:color="auto"/>
              <w:right w:val="single" w:sz="2" w:space="0" w:color="auto"/>
            </w:tcBorders>
          </w:tcPr>
          <w:p w:rsidR="00161064" w:rsidRPr="00594ED8" w:rsidRDefault="00161064" w:rsidP="00B83DC2">
            <w:pPr>
              <w:pStyle w:val="TableHeader10"/>
              <w:keepNext/>
              <w:keepLines/>
              <w:rPr>
                <w:sz w:val="22"/>
                <w:szCs w:val="22"/>
                <w:lang w:val="sr-Latn-ME"/>
              </w:rPr>
            </w:pPr>
            <w:r w:rsidRPr="00594ED8">
              <w:rPr>
                <w:sz w:val="22"/>
                <w:szCs w:val="22"/>
                <w:lang w:val="sr-Latn-ME"/>
              </w:rPr>
              <w:t xml:space="preserve">Nakon </w:t>
            </w:r>
            <w:r w:rsidR="0052352E" w:rsidRPr="00594ED8">
              <w:rPr>
                <w:sz w:val="22"/>
                <w:szCs w:val="22"/>
                <w:lang w:val="sr-Latn-ME"/>
              </w:rPr>
              <w:t>2.</w:t>
            </w:r>
            <w:r w:rsidRPr="00594ED8">
              <w:rPr>
                <w:sz w:val="22"/>
                <w:szCs w:val="22"/>
                <w:lang w:val="sr-Latn-ME"/>
              </w:rPr>
              <w:t xml:space="preserve"> terapijskog ciklusa</w:t>
            </w:r>
          </w:p>
          <w:p w:rsidR="00161064" w:rsidRPr="00594ED8" w:rsidRDefault="00161064" w:rsidP="00B83DC2">
            <w:pPr>
              <w:pStyle w:val="TableHeader10"/>
              <w:keepNext/>
              <w:keepLines/>
              <w:rPr>
                <w:b w:val="0"/>
                <w:sz w:val="22"/>
                <w:szCs w:val="22"/>
                <w:lang w:val="sr-Latn-ME"/>
              </w:rPr>
            </w:pPr>
            <w:r w:rsidRPr="00594ED8">
              <w:rPr>
                <w:b w:val="0"/>
                <w:sz w:val="22"/>
                <w:szCs w:val="22"/>
                <w:lang w:val="sr-Latn-ME"/>
              </w:rPr>
              <w:t>(dva puta po 3 mjeseca l</w:t>
            </w:r>
            <w:r w:rsidR="0052352E" w:rsidRPr="00594ED8">
              <w:rPr>
                <w:b w:val="0"/>
                <w:sz w:val="22"/>
                <w:szCs w:val="22"/>
                <w:lang w:val="sr-Latn-ME"/>
              </w:rPr>
              <w:t>ij</w:t>
            </w:r>
            <w:r w:rsidRPr="00594ED8">
              <w:rPr>
                <w:b w:val="0"/>
                <w:sz w:val="22"/>
                <w:szCs w:val="22"/>
                <w:lang w:val="sr-Latn-ME"/>
              </w:rPr>
              <w:t>ečenja)</w:t>
            </w:r>
          </w:p>
        </w:tc>
        <w:tc>
          <w:tcPr>
            <w:tcW w:w="2063" w:type="pct"/>
            <w:gridSpan w:val="3"/>
            <w:tcBorders>
              <w:top w:val="single" w:sz="8" w:space="0" w:color="auto"/>
              <w:left w:val="single" w:sz="2" w:space="0" w:color="auto"/>
              <w:bottom w:val="single" w:sz="2" w:space="0" w:color="auto"/>
              <w:right w:val="single" w:sz="8" w:space="0" w:color="auto"/>
            </w:tcBorders>
          </w:tcPr>
          <w:p w:rsidR="00161064" w:rsidRPr="00594ED8" w:rsidRDefault="00161064" w:rsidP="00B83DC2">
            <w:pPr>
              <w:pStyle w:val="TableHeader10"/>
              <w:keepNext/>
              <w:keepLines/>
              <w:rPr>
                <w:sz w:val="22"/>
                <w:szCs w:val="22"/>
                <w:lang w:val="sr-Latn-ME"/>
              </w:rPr>
            </w:pPr>
            <w:r w:rsidRPr="00594ED8">
              <w:rPr>
                <w:sz w:val="22"/>
                <w:szCs w:val="22"/>
                <w:lang w:val="sr-Latn-ME"/>
              </w:rPr>
              <w:t xml:space="preserve">Nakon </w:t>
            </w:r>
            <w:r w:rsidR="0052352E" w:rsidRPr="00594ED8">
              <w:rPr>
                <w:sz w:val="22"/>
                <w:szCs w:val="22"/>
                <w:lang w:val="sr-Latn-ME"/>
              </w:rPr>
              <w:t xml:space="preserve">4. </w:t>
            </w:r>
            <w:r w:rsidRPr="00594ED8">
              <w:rPr>
                <w:sz w:val="22"/>
                <w:szCs w:val="22"/>
                <w:lang w:val="sr-Latn-ME"/>
              </w:rPr>
              <w:t>terapijskog ciklusa</w:t>
            </w:r>
          </w:p>
          <w:p w:rsidR="00161064" w:rsidRPr="00594ED8" w:rsidRDefault="00161064" w:rsidP="00B83DC2">
            <w:pPr>
              <w:pStyle w:val="TableHeader10"/>
              <w:keepNext/>
              <w:keepLines/>
              <w:rPr>
                <w:sz w:val="22"/>
                <w:szCs w:val="22"/>
                <w:lang w:val="sr-Latn-ME"/>
              </w:rPr>
            </w:pPr>
            <w:r w:rsidRPr="00594ED8">
              <w:rPr>
                <w:b w:val="0"/>
                <w:sz w:val="22"/>
                <w:szCs w:val="22"/>
                <w:lang w:val="sr-Latn-ME"/>
              </w:rPr>
              <w:t>(četiri puta po 3 mjeseca liječenja)</w:t>
            </w:r>
          </w:p>
        </w:tc>
      </w:tr>
      <w:tr w:rsidR="00161064" w:rsidRPr="00594ED8" w:rsidTr="00B83DC2">
        <w:trPr>
          <w:trHeight w:val="20"/>
          <w:tblHeader/>
        </w:trPr>
        <w:tc>
          <w:tcPr>
            <w:tcW w:w="1031" w:type="pct"/>
            <w:vMerge/>
            <w:tcBorders>
              <w:top w:val="single" w:sz="2" w:space="0" w:color="auto"/>
              <w:left w:val="single" w:sz="8" w:space="0" w:color="auto"/>
              <w:bottom w:val="single" w:sz="2" w:space="0" w:color="auto"/>
              <w:right w:val="single" w:sz="2" w:space="0" w:color="auto"/>
            </w:tcBorders>
          </w:tcPr>
          <w:p w:rsidR="00161064" w:rsidRPr="00594ED8" w:rsidRDefault="00161064" w:rsidP="00B83DC2">
            <w:pPr>
              <w:pStyle w:val="TableHeader10"/>
              <w:keepNext/>
              <w:keepLines/>
              <w:jc w:val="both"/>
              <w:rPr>
                <w:sz w:val="22"/>
                <w:szCs w:val="22"/>
                <w:lang w:val="sr-Latn-ME"/>
              </w:rPr>
            </w:pPr>
          </w:p>
        </w:tc>
        <w:tc>
          <w:tcPr>
            <w:tcW w:w="556" w:type="pct"/>
            <w:tcBorders>
              <w:top w:val="single" w:sz="2" w:space="0" w:color="auto"/>
              <w:left w:val="single" w:sz="2" w:space="0" w:color="auto"/>
              <w:bottom w:val="single" w:sz="2" w:space="0" w:color="auto"/>
              <w:right w:val="single" w:sz="4" w:space="0" w:color="auto"/>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Studija 3</w:t>
            </w:r>
            <w:r w:rsidRPr="00594ED8">
              <w:rPr>
                <w:sz w:val="22"/>
                <w:szCs w:val="22"/>
                <w:vertAlign w:val="superscript"/>
                <w:lang w:val="sr-Latn-ME"/>
              </w:rPr>
              <w:t>a</w:t>
            </w:r>
          </w:p>
        </w:tc>
        <w:tc>
          <w:tcPr>
            <w:tcW w:w="635" w:type="pct"/>
            <w:tcBorders>
              <w:top w:val="single" w:sz="4" w:space="0" w:color="auto"/>
              <w:left w:val="single" w:sz="4" w:space="0" w:color="auto"/>
              <w:bottom w:val="single" w:sz="4" w:space="0" w:color="auto"/>
              <w:right w:val="nil"/>
            </w:tcBorders>
          </w:tcPr>
          <w:p w:rsidR="00161064" w:rsidRPr="00594ED8" w:rsidRDefault="00161064" w:rsidP="00B83DC2">
            <w:pPr>
              <w:pStyle w:val="TableHeader10"/>
              <w:keepNext/>
              <w:keepLines/>
              <w:rPr>
                <w:sz w:val="22"/>
                <w:szCs w:val="22"/>
                <w:lang w:val="sr-Latn-ME"/>
              </w:rPr>
            </w:pPr>
            <w:r w:rsidRPr="00594ED8">
              <w:rPr>
                <w:sz w:val="22"/>
                <w:szCs w:val="22"/>
                <w:lang w:val="sr-Latn-ME"/>
              </w:rPr>
              <w:t>Studija 4</w:t>
            </w:r>
          </w:p>
        </w:tc>
        <w:tc>
          <w:tcPr>
            <w:tcW w:w="715" w:type="pct"/>
            <w:tcBorders>
              <w:top w:val="single" w:sz="4" w:space="0" w:color="auto"/>
              <w:left w:val="nil"/>
              <w:bottom w:val="single" w:sz="4" w:space="0" w:color="auto"/>
              <w:right w:val="single" w:sz="4" w:space="0" w:color="auto"/>
            </w:tcBorders>
          </w:tcPr>
          <w:p w:rsidR="00161064" w:rsidRPr="00594ED8" w:rsidRDefault="00161064" w:rsidP="00B83DC2">
            <w:pPr>
              <w:pStyle w:val="TableHeader10"/>
              <w:keepNext/>
              <w:keepLines/>
              <w:rPr>
                <w:sz w:val="22"/>
                <w:szCs w:val="22"/>
                <w:lang w:val="sr-Latn-ME"/>
              </w:rPr>
            </w:pPr>
          </w:p>
        </w:tc>
        <w:tc>
          <w:tcPr>
            <w:tcW w:w="793" w:type="pct"/>
            <w:tcBorders>
              <w:top w:val="single" w:sz="2" w:space="0" w:color="auto"/>
              <w:left w:val="single" w:sz="4" w:space="0" w:color="auto"/>
              <w:bottom w:val="single" w:sz="2" w:space="0" w:color="auto"/>
              <w:right w:val="single" w:sz="4" w:space="0" w:color="auto"/>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Studija 3</w:t>
            </w:r>
          </w:p>
        </w:tc>
        <w:tc>
          <w:tcPr>
            <w:tcW w:w="635" w:type="pct"/>
            <w:tcBorders>
              <w:top w:val="single" w:sz="4" w:space="0" w:color="auto"/>
              <w:left w:val="single" w:sz="4" w:space="0" w:color="auto"/>
              <w:bottom w:val="single" w:sz="4" w:space="0" w:color="auto"/>
              <w:right w:val="nil"/>
            </w:tcBorders>
          </w:tcPr>
          <w:p w:rsidR="00161064" w:rsidRPr="00594ED8" w:rsidRDefault="00161064" w:rsidP="00B83DC2">
            <w:pPr>
              <w:pStyle w:val="TableHeader10"/>
              <w:keepNext/>
              <w:keepLines/>
              <w:jc w:val="both"/>
              <w:rPr>
                <w:sz w:val="22"/>
                <w:szCs w:val="22"/>
                <w:lang w:val="sr-Latn-ME"/>
              </w:rPr>
            </w:pPr>
            <w:r w:rsidRPr="00594ED8">
              <w:rPr>
                <w:sz w:val="22"/>
                <w:szCs w:val="22"/>
                <w:lang w:val="sr-Latn-ME"/>
              </w:rPr>
              <w:t>Studija 4</w:t>
            </w:r>
          </w:p>
        </w:tc>
        <w:tc>
          <w:tcPr>
            <w:tcW w:w="635" w:type="pct"/>
            <w:tcBorders>
              <w:top w:val="single" w:sz="4" w:space="0" w:color="auto"/>
              <w:left w:val="nil"/>
              <w:bottom w:val="single" w:sz="4" w:space="0" w:color="auto"/>
              <w:right w:val="single" w:sz="4" w:space="0" w:color="auto"/>
            </w:tcBorders>
          </w:tcPr>
          <w:p w:rsidR="00161064" w:rsidRPr="00594ED8" w:rsidRDefault="00161064" w:rsidP="00B83DC2">
            <w:pPr>
              <w:pStyle w:val="TableHeader10"/>
              <w:keepNext/>
              <w:keepLines/>
              <w:jc w:val="both"/>
              <w:rPr>
                <w:sz w:val="22"/>
                <w:szCs w:val="22"/>
                <w:lang w:val="sr-Latn-ME"/>
              </w:rPr>
            </w:pPr>
          </w:p>
        </w:tc>
      </w:tr>
      <w:tr w:rsidR="00161064" w:rsidRPr="00594ED8" w:rsidTr="00B83DC2">
        <w:trPr>
          <w:trHeight w:val="20"/>
        </w:trPr>
        <w:tc>
          <w:tcPr>
            <w:tcW w:w="1031" w:type="pct"/>
            <w:tcBorders>
              <w:top w:val="single" w:sz="2" w:space="0" w:color="auto"/>
              <w:left w:val="single" w:sz="8" w:space="0" w:color="auto"/>
              <w:bottom w:val="single" w:sz="4" w:space="0" w:color="auto"/>
              <w:right w:val="single" w:sz="2" w:space="0" w:color="auto"/>
            </w:tcBorders>
            <w:vAlign w:val="center"/>
          </w:tcPr>
          <w:p w:rsidR="00161064" w:rsidRPr="00594ED8" w:rsidRDefault="00161064" w:rsidP="00B83DC2">
            <w:pPr>
              <w:pStyle w:val="TableText10"/>
              <w:keepNext/>
              <w:keepLines/>
              <w:jc w:val="both"/>
              <w:rPr>
                <w:sz w:val="22"/>
                <w:szCs w:val="22"/>
                <w:lang w:val="sr-Latn-ME"/>
              </w:rPr>
            </w:pPr>
            <w:r w:rsidRPr="00594ED8">
              <w:rPr>
                <w:bCs/>
                <w:sz w:val="22"/>
                <w:szCs w:val="22"/>
                <w:lang w:val="sr-Latn-ME"/>
              </w:rPr>
              <w:t>Broj pacijenata koji započinju 2. Ili 4. ciklus</w:t>
            </w:r>
          </w:p>
          <w:p w:rsidR="00161064" w:rsidRPr="00594ED8" w:rsidRDefault="00161064" w:rsidP="00B83DC2">
            <w:pPr>
              <w:pStyle w:val="TableText10"/>
              <w:keepNext/>
              <w:keepLines/>
              <w:jc w:val="both"/>
              <w:rPr>
                <w:sz w:val="22"/>
                <w:szCs w:val="22"/>
                <w:lang w:val="sr-Latn-ME"/>
              </w:rPr>
            </w:pPr>
          </w:p>
        </w:tc>
        <w:tc>
          <w:tcPr>
            <w:tcW w:w="556"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b/>
                <w:sz w:val="22"/>
                <w:szCs w:val="22"/>
                <w:lang w:val="sr-Latn-ME"/>
              </w:rPr>
            </w:pPr>
            <w:r w:rsidRPr="00594ED8">
              <w:rPr>
                <w:b/>
                <w:sz w:val="22"/>
                <w:szCs w:val="22"/>
                <w:lang w:val="sr-Latn-ME"/>
              </w:rPr>
              <w:t>10mg/dan</w:t>
            </w: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r w:rsidRPr="00594ED8">
              <w:rPr>
                <w:sz w:val="22"/>
                <w:szCs w:val="22"/>
                <w:lang w:val="sr-Latn-ME"/>
              </w:rPr>
              <w:t>N=132</w:t>
            </w:r>
          </w:p>
        </w:tc>
        <w:tc>
          <w:tcPr>
            <w:tcW w:w="63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keepNext/>
              <w:keepLines/>
              <w:jc w:val="center"/>
              <w:rPr>
                <w:b/>
                <w:bCs/>
                <w:sz w:val="22"/>
                <w:szCs w:val="22"/>
                <w:lang w:val="sr-Latn-ME"/>
              </w:rPr>
            </w:pPr>
          </w:p>
          <w:p w:rsidR="00161064" w:rsidRPr="00594ED8" w:rsidRDefault="00161064" w:rsidP="00B83DC2">
            <w:pPr>
              <w:pStyle w:val="TableText10"/>
              <w:keepNext/>
              <w:keepLines/>
              <w:jc w:val="center"/>
              <w:rPr>
                <w:b/>
                <w:bCs/>
                <w:sz w:val="22"/>
                <w:szCs w:val="22"/>
                <w:lang w:val="sr-Latn-ME"/>
              </w:rPr>
            </w:pPr>
          </w:p>
          <w:p w:rsidR="00161064" w:rsidRPr="00594ED8" w:rsidRDefault="00161064" w:rsidP="00B83DC2">
            <w:pPr>
              <w:pStyle w:val="TableText10"/>
              <w:keepNext/>
              <w:keepLines/>
              <w:jc w:val="center"/>
              <w:rPr>
                <w:b/>
                <w:sz w:val="22"/>
                <w:szCs w:val="22"/>
                <w:lang w:val="sr-Latn-ME"/>
              </w:rPr>
            </w:pPr>
            <w:r w:rsidRPr="00594ED8">
              <w:rPr>
                <w:b/>
                <w:sz w:val="22"/>
                <w:szCs w:val="22"/>
                <w:lang w:val="sr-Latn-ME"/>
              </w:rPr>
              <w:t>5mg/dan</w:t>
            </w: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b/>
                <w:bCs/>
                <w:sz w:val="22"/>
                <w:szCs w:val="22"/>
                <w:lang w:val="sr-Latn-ME"/>
              </w:rPr>
            </w:pPr>
            <w:r w:rsidRPr="00594ED8">
              <w:rPr>
                <w:sz w:val="22"/>
                <w:szCs w:val="22"/>
                <w:lang w:val="sr-Latn-ME"/>
              </w:rPr>
              <w:t>N=213</w:t>
            </w:r>
          </w:p>
        </w:tc>
        <w:tc>
          <w:tcPr>
            <w:tcW w:w="71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keepNext/>
              <w:keepLines/>
              <w:jc w:val="center"/>
              <w:rPr>
                <w:b/>
                <w:bCs/>
                <w:sz w:val="22"/>
                <w:szCs w:val="22"/>
                <w:lang w:val="sr-Latn-ME"/>
              </w:rPr>
            </w:pPr>
          </w:p>
          <w:p w:rsidR="00161064" w:rsidRPr="00594ED8" w:rsidRDefault="00161064" w:rsidP="00B83DC2">
            <w:pPr>
              <w:pStyle w:val="TableText10"/>
              <w:keepNext/>
              <w:keepLines/>
              <w:jc w:val="center"/>
              <w:rPr>
                <w:b/>
                <w:bCs/>
                <w:sz w:val="22"/>
                <w:szCs w:val="22"/>
                <w:lang w:val="sr-Latn-ME"/>
              </w:rPr>
            </w:pPr>
          </w:p>
          <w:p w:rsidR="00161064" w:rsidRPr="00594ED8" w:rsidRDefault="00161064" w:rsidP="00B83DC2">
            <w:pPr>
              <w:pStyle w:val="TableText10"/>
              <w:keepNext/>
              <w:keepLines/>
              <w:jc w:val="center"/>
              <w:rPr>
                <w:b/>
                <w:sz w:val="22"/>
                <w:szCs w:val="22"/>
                <w:lang w:val="sr-Latn-ME"/>
              </w:rPr>
            </w:pPr>
            <w:r w:rsidRPr="00594ED8">
              <w:rPr>
                <w:b/>
                <w:sz w:val="22"/>
                <w:szCs w:val="22"/>
                <w:lang w:val="sr-Latn-ME"/>
              </w:rPr>
              <w:t>10mg/dan</w:t>
            </w: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b/>
                <w:bCs/>
                <w:sz w:val="22"/>
                <w:szCs w:val="22"/>
                <w:lang w:val="sr-Latn-ME"/>
              </w:rPr>
            </w:pPr>
            <w:r w:rsidRPr="00594ED8">
              <w:rPr>
                <w:bCs/>
                <w:sz w:val="22"/>
                <w:szCs w:val="22"/>
                <w:lang w:val="sr-Latn-ME"/>
              </w:rPr>
              <w:t>N=207</w:t>
            </w:r>
          </w:p>
        </w:tc>
        <w:tc>
          <w:tcPr>
            <w:tcW w:w="793"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b/>
                <w:sz w:val="22"/>
                <w:szCs w:val="22"/>
                <w:lang w:val="sr-Latn-ME"/>
              </w:rPr>
            </w:pPr>
            <w:r w:rsidRPr="00594ED8">
              <w:rPr>
                <w:b/>
                <w:sz w:val="22"/>
                <w:szCs w:val="22"/>
                <w:lang w:val="sr-Latn-ME"/>
              </w:rPr>
              <w:t>10mg/dan</w:t>
            </w: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r w:rsidRPr="00594ED8">
              <w:rPr>
                <w:sz w:val="22"/>
                <w:szCs w:val="22"/>
                <w:lang w:val="sr-Latn-ME"/>
              </w:rPr>
              <w:t>N=107</w:t>
            </w:r>
          </w:p>
        </w:tc>
        <w:tc>
          <w:tcPr>
            <w:tcW w:w="635"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b/>
                <w:sz w:val="22"/>
                <w:szCs w:val="22"/>
                <w:lang w:val="sr-Latn-ME"/>
              </w:rPr>
            </w:pPr>
            <w:r w:rsidRPr="00594ED8">
              <w:rPr>
                <w:b/>
                <w:sz w:val="22"/>
                <w:szCs w:val="22"/>
                <w:lang w:val="sr-Latn-ME"/>
              </w:rPr>
              <w:t>5mg/dan</w:t>
            </w: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r w:rsidRPr="00594ED8">
              <w:rPr>
                <w:sz w:val="22"/>
                <w:szCs w:val="22"/>
                <w:lang w:val="sr-Latn-ME"/>
              </w:rPr>
              <w:t>N=178</w:t>
            </w:r>
          </w:p>
        </w:tc>
        <w:tc>
          <w:tcPr>
            <w:tcW w:w="635" w:type="pct"/>
            <w:tcBorders>
              <w:top w:val="single" w:sz="2" w:space="0" w:color="auto"/>
              <w:left w:val="single" w:sz="2" w:space="0" w:color="auto"/>
              <w:bottom w:val="single" w:sz="2" w:space="0" w:color="auto"/>
              <w:right w:val="single" w:sz="8" w:space="0" w:color="auto"/>
            </w:tcBorders>
            <w:vAlign w:val="center"/>
          </w:tcPr>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b/>
                <w:sz w:val="22"/>
                <w:szCs w:val="22"/>
                <w:lang w:val="sr-Latn-ME"/>
              </w:rPr>
            </w:pPr>
            <w:r w:rsidRPr="00594ED8">
              <w:rPr>
                <w:b/>
                <w:sz w:val="22"/>
                <w:szCs w:val="22"/>
                <w:lang w:val="sr-Latn-ME"/>
              </w:rPr>
              <w:t>10mg/dan</w:t>
            </w: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p>
          <w:p w:rsidR="00161064" w:rsidRPr="00594ED8" w:rsidRDefault="00161064" w:rsidP="00B83DC2">
            <w:pPr>
              <w:pStyle w:val="TableText10"/>
              <w:keepNext/>
              <w:keepLines/>
              <w:jc w:val="center"/>
              <w:rPr>
                <w:sz w:val="22"/>
                <w:szCs w:val="22"/>
                <w:lang w:val="sr-Latn-ME"/>
              </w:rPr>
            </w:pPr>
            <w:r w:rsidRPr="00594ED8">
              <w:rPr>
                <w:sz w:val="22"/>
                <w:szCs w:val="22"/>
                <w:lang w:val="sr-Latn-ME"/>
              </w:rPr>
              <w:t>N=176</w:t>
            </w:r>
          </w:p>
        </w:tc>
      </w:tr>
      <w:tr w:rsidR="00161064" w:rsidRPr="00594ED8" w:rsidTr="00B83DC2">
        <w:trPr>
          <w:trHeight w:val="20"/>
        </w:trPr>
        <w:tc>
          <w:tcPr>
            <w:tcW w:w="1031" w:type="pct"/>
            <w:tcBorders>
              <w:top w:val="single" w:sz="4" w:space="0" w:color="auto"/>
              <w:left w:val="single" w:sz="4" w:space="0" w:color="auto"/>
              <w:bottom w:val="nil"/>
              <w:right w:val="single" w:sz="4" w:space="0" w:color="auto"/>
            </w:tcBorders>
          </w:tcPr>
          <w:p w:rsidR="00161064" w:rsidRPr="00594ED8" w:rsidRDefault="00161064" w:rsidP="00B83DC2">
            <w:pPr>
              <w:pStyle w:val="TableText10"/>
              <w:keepNext/>
              <w:tabs>
                <w:tab w:val="left" w:pos="360"/>
              </w:tabs>
              <w:jc w:val="both"/>
              <w:rPr>
                <w:sz w:val="22"/>
                <w:szCs w:val="22"/>
                <w:lang w:val="sr-Latn-ME"/>
              </w:rPr>
            </w:pPr>
            <w:r w:rsidRPr="00594ED8">
              <w:rPr>
                <w:sz w:val="22"/>
                <w:szCs w:val="22"/>
                <w:lang w:val="sr-Latn-ME"/>
              </w:rPr>
              <w:t xml:space="preserve">Pacijentkinje u </w:t>
            </w:r>
            <w:r w:rsidRPr="00594ED8">
              <w:rPr>
                <w:b/>
                <w:sz w:val="22"/>
                <w:szCs w:val="22"/>
                <w:lang w:val="sr-Latn-ME"/>
              </w:rPr>
              <w:t>amenoreji</w:t>
            </w:r>
            <w:r w:rsidRPr="00594ED8">
              <w:rPr>
                <w:sz w:val="22"/>
                <w:szCs w:val="22"/>
                <w:vertAlign w:val="superscript"/>
                <w:lang w:val="sr-Latn-ME"/>
              </w:rPr>
              <w:t>b,c</w:t>
            </w:r>
          </w:p>
        </w:tc>
        <w:tc>
          <w:tcPr>
            <w:tcW w:w="556" w:type="pct"/>
            <w:tcBorders>
              <w:top w:val="single" w:sz="2" w:space="0" w:color="auto"/>
              <w:left w:val="single" w:sz="4" w:space="0" w:color="auto"/>
              <w:bottom w:val="single" w:sz="2" w:space="0" w:color="auto"/>
              <w:right w:val="single" w:sz="2" w:space="0" w:color="auto"/>
            </w:tcBorders>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N=131</w:t>
            </w:r>
          </w:p>
        </w:tc>
        <w:tc>
          <w:tcPr>
            <w:tcW w:w="63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keepNext/>
              <w:jc w:val="center"/>
              <w:rPr>
                <w:b/>
                <w:bCs/>
                <w:sz w:val="22"/>
                <w:szCs w:val="22"/>
                <w:lang w:val="sr-Latn-ME"/>
              </w:rPr>
            </w:pPr>
            <w:r w:rsidRPr="00594ED8">
              <w:rPr>
                <w:sz w:val="22"/>
                <w:szCs w:val="22"/>
                <w:lang w:val="sr-Latn-ME"/>
              </w:rPr>
              <w:t>N=205</w:t>
            </w:r>
          </w:p>
        </w:tc>
        <w:tc>
          <w:tcPr>
            <w:tcW w:w="71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keepNext/>
              <w:jc w:val="center"/>
              <w:rPr>
                <w:b/>
                <w:bCs/>
                <w:sz w:val="22"/>
                <w:szCs w:val="22"/>
                <w:lang w:val="sr-Latn-ME"/>
              </w:rPr>
            </w:pPr>
            <w:r w:rsidRPr="00594ED8">
              <w:rPr>
                <w:sz w:val="22"/>
                <w:szCs w:val="22"/>
                <w:lang w:val="sr-Latn-ME"/>
              </w:rPr>
              <w:t>N=197</w:t>
            </w:r>
          </w:p>
        </w:tc>
        <w:tc>
          <w:tcPr>
            <w:tcW w:w="793"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N=107</w:t>
            </w:r>
          </w:p>
        </w:tc>
        <w:tc>
          <w:tcPr>
            <w:tcW w:w="635"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N=227</w:t>
            </w:r>
          </w:p>
        </w:tc>
        <w:tc>
          <w:tcPr>
            <w:tcW w:w="635" w:type="pct"/>
            <w:tcBorders>
              <w:top w:val="single" w:sz="2" w:space="0" w:color="auto"/>
              <w:left w:val="single" w:sz="2" w:space="0" w:color="auto"/>
              <w:bottom w:val="single" w:sz="2" w:space="0" w:color="auto"/>
              <w:right w:val="single" w:sz="8" w:space="0" w:color="auto"/>
            </w:tcBorders>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N=220</w:t>
            </w:r>
          </w:p>
        </w:tc>
      </w:tr>
      <w:tr w:rsidR="00161064" w:rsidRPr="00594ED8" w:rsidTr="00B83DC2">
        <w:trPr>
          <w:trHeight w:val="20"/>
        </w:trPr>
        <w:tc>
          <w:tcPr>
            <w:tcW w:w="1031" w:type="pct"/>
            <w:tcBorders>
              <w:top w:val="nil"/>
              <w:left w:val="single" w:sz="4" w:space="0" w:color="auto"/>
              <w:bottom w:val="single" w:sz="4" w:space="0" w:color="auto"/>
              <w:right w:val="single" w:sz="4" w:space="0" w:color="auto"/>
            </w:tcBorders>
          </w:tcPr>
          <w:p w:rsidR="00161064" w:rsidRPr="00594ED8" w:rsidRDefault="00161064" w:rsidP="00B83DC2">
            <w:pPr>
              <w:pStyle w:val="TableText10"/>
              <w:keepNext/>
              <w:tabs>
                <w:tab w:val="left" w:pos="360"/>
              </w:tabs>
              <w:jc w:val="both"/>
              <w:rPr>
                <w:sz w:val="22"/>
                <w:szCs w:val="22"/>
                <w:lang w:val="sr-Latn-ME"/>
              </w:rPr>
            </w:pPr>
          </w:p>
        </w:tc>
        <w:tc>
          <w:tcPr>
            <w:tcW w:w="556" w:type="pct"/>
            <w:tcBorders>
              <w:top w:val="single" w:sz="2" w:space="0" w:color="auto"/>
              <w:left w:val="single" w:sz="4" w:space="0" w:color="auto"/>
              <w:bottom w:val="single" w:sz="2" w:space="0" w:color="auto"/>
              <w:right w:val="single" w:sz="2" w:space="0" w:color="auto"/>
            </w:tcBorders>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116</w:t>
            </w:r>
          </w:p>
          <w:p w:rsidR="00161064" w:rsidRPr="00594ED8" w:rsidRDefault="00161064" w:rsidP="00B83DC2">
            <w:pPr>
              <w:pStyle w:val="TableText10"/>
              <w:keepNext/>
              <w:jc w:val="center"/>
              <w:rPr>
                <w:sz w:val="22"/>
                <w:szCs w:val="22"/>
                <w:lang w:val="sr-Latn-ME"/>
              </w:rPr>
            </w:pPr>
            <w:r w:rsidRPr="00594ED8">
              <w:rPr>
                <w:sz w:val="22"/>
                <w:szCs w:val="22"/>
                <w:lang w:val="sr-Latn-ME"/>
              </w:rPr>
              <w:t>(88,5%)</w:t>
            </w:r>
          </w:p>
        </w:tc>
        <w:tc>
          <w:tcPr>
            <w:tcW w:w="63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keepNext/>
              <w:jc w:val="center"/>
              <w:rPr>
                <w:bCs/>
                <w:sz w:val="22"/>
                <w:szCs w:val="22"/>
                <w:lang w:val="sr-Latn-ME"/>
              </w:rPr>
            </w:pPr>
            <w:r w:rsidRPr="00594ED8">
              <w:rPr>
                <w:bCs/>
                <w:sz w:val="22"/>
                <w:szCs w:val="22"/>
                <w:lang w:val="sr-Latn-ME"/>
              </w:rPr>
              <w:t>152</w:t>
            </w:r>
          </w:p>
          <w:p w:rsidR="00161064" w:rsidRPr="00594ED8" w:rsidRDefault="00161064" w:rsidP="00B83DC2">
            <w:pPr>
              <w:pStyle w:val="TableText10"/>
              <w:keepNext/>
              <w:jc w:val="center"/>
              <w:rPr>
                <w:b/>
                <w:bCs/>
                <w:sz w:val="22"/>
                <w:szCs w:val="22"/>
                <w:lang w:val="sr-Latn-ME"/>
              </w:rPr>
            </w:pPr>
            <w:r w:rsidRPr="00594ED8">
              <w:rPr>
                <w:bCs/>
                <w:sz w:val="22"/>
                <w:szCs w:val="22"/>
                <w:lang w:val="sr-Latn-ME"/>
              </w:rPr>
              <w:t>(74,1%)</w:t>
            </w:r>
          </w:p>
        </w:tc>
        <w:tc>
          <w:tcPr>
            <w:tcW w:w="71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keepNext/>
              <w:jc w:val="center"/>
              <w:rPr>
                <w:bCs/>
                <w:sz w:val="22"/>
                <w:szCs w:val="22"/>
                <w:lang w:val="sr-Latn-ME"/>
              </w:rPr>
            </w:pPr>
            <w:r w:rsidRPr="00594ED8">
              <w:rPr>
                <w:bCs/>
                <w:sz w:val="22"/>
                <w:szCs w:val="22"/>
                <w:lang w:val="sr-Latn-ME"/>
              </w:rPr>
              <w:t>162</w:t>
            </w:r>
          </w:p>
          <w:p w:rsidR="00161064" w:rsidRPr="00594ED8" w:rsidRDefault="00161064" w:rsidP="00B83DC2">
            <w:pPr>
              <w:pStyle w:val="TableText10"/>
              <w:keepNext/>
              <w:jc w:val="center"/>
              <w:rPr>
                <w:b/>
                <w:bCs/>
                <w:sz w:val="22"/>
                <w:szCs w:val="22"/>
                <w:lang w:val="sr-Latn-ME"/>
              </w:rPr>
            </w:pPr>
            <w:r w:rsidRPr="00594ED8">
              <w:rPr>
                <w:bCs/>
                <w:sz w:val="22"/>
                <w:szCs w:val="22"/>
                <w:lang w:val="sr-Latn-ME"/>
              </w:rPr>
              <w:t>(82,2%)</w:t>
            </w:r>
          </w:p>
        </w:tc>
        <w:tc>
          <w:tcPr>
            <w:tcW w:w="793"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96</w:t>
            </w:r>
          </w:p>
          <w:p w:rsidR="00161064" w:rsidRPr="00594ED8" w:rsidRDefault="00161064" w:rsidP="00B83DC2">
            <w:pPr>
              <w:pStyle w:val="TableText10"/>
              <w:keepNext/>
              <w:jc w:val="center"/>
              <w:rPr>
                <w:sz w:val="22"/>
                <w:szCs w:val="22"/>
                <w:lang w:val="sr-Latn-ME"/>
              </w:rPr>
            </w:pPr>
            <w:r w:rsidRPr="00594ED8">
              <w:rPr>
                <w:sz w:val="22"/>
                <w:szCs w:val="22"/>
                <w:lang w:val="sr-Latn-ME"/>
              </w:rPr>
              <w:t>(89,7%)</w:t>
            </w:r>
          </w:p>
        </w:tc>
        <w:tc>
          <w:tcPr>
            <w:tcW w:w="635"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158</w:t>
            </w:r>
          </w:p>
          <w:p w:rsidR="00161064" w:rsidRPr="00594ED8" w:rsidRDefault="00161064" w:rsidP="00B83DC2">
            <w:pPr>
              <w:pStyle w:val="TableText10"/>
              <w:keepNext/>
              <w:jc w:val="center"/>
              <w:rPr>
                <w:sz w:val="22"/>
                <w:szCs w:val="22"/>
                <w:lang w:val="sr-Latn-ME"/>
              </w:rPr>
            </w:pPr>
            <w:r w:rsidRPr="00594ED8">
              <w:rPr>
                <w:sz w:val="22"/>
                <w:szCs w:val="22"/>
                <w:lang w:val="sr-Latn-ME"/>
              </w:rPr>
              <w:t>(69,6%)</w:t>
            </w:r>
          </w:p>
        </w:tc>
        <w:tc>
          <w:tcPr>
            <w:tcW w:w="635" w:type="pct"/>
            <w:tcBorders>
              <w:top w:val="single" w:sz="2" w:space="0" w:color="auto"/>
              <w:left w:val="single" w:sz="2" w:space="0" w:color="auto"/>
              <w:bottom w:val="single" w:sz="2" w:space="0" w:color="auto"/>
              <w:right w:val="single" w:sz="8" w:space="0" w:color="auto"/>
            </w:tcBorders>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164</w:t>
            </w:r>
          </w:p>
          <w:p w:rsidR="00161064" w:rsidRPr="00594ED8" w:rsidRDefault="00161064" w:rsidP="00B83DC2">
            <w:pPr>
              <w:pStyle w:val="TableText10"/>
              <w:keepNext/>
              <w:jc w:val="center"/>
              <w:rPr>
                <w:sz w:val="22"/>
                <w:szCs w:val="22"/>
                <w:lang w:val="sr-Latn-ME"/>
              </w:rPr>
            </w:pPr>
            <w:r w:rsidRPr="00594ED8">
              <w:rPr>
                <w:sz w:val="22"/>
                <w:szCs w:val="22"/>
                <w:lang w:val="sr-Latn-ME"/>
              </w:rPr>
              <w:t>(74,5%)</w:t>
            </w:r>
          </w:p>
        </w:tc>
      </w:tr>
      <w:tr w:rsidR="00161064" w:rsidRPr="00594ED8" w:rsidTr="00B83DC2">
        <w:trPr>
          <w:trHeight w:val="20"/>
        </w:trPr>
        <w:tc>
          <w:tcPr>
            <w:tcW w:w="1031" w:type="pct"/>
            <w:tcBorders>
              <w:top w:val="single" w:sz="4" w:space="0" w:color="auto"/>
              <w:left w:val="single" w:sz="8" w:space="0" w:color="auto"/>
              <w:bottom w:val="single" w:sz="2" w:space="0" w:color="auto"/>
              <w:right w:val="single" w:sz="2" w:space="0" w:color="auto"/>
            </w:tcBorders>
          </w:tcPr>
          <w:p w:rsidR="00161064" w:rsidRPr="00594ED8" w:rsidRDefault="00161064" w:rsidP="00B83DC2">
            <w:pPr>
              <w:pStyle w:val="TableText10"/>
              <w:keepNext/>
              <w:tabs>
                <w:tab w:val="left" w:pos="360"/>
              </w:tabs>
              <w:jc w:val="both"/>
              <w:rPr>
                <w:sz w:val="22"/>
                <w:szCs w:val="22"/>
                <w:lang w:val="sr-Latn-ME"/>
              </w:rPr>
            </w:pPr>
            <w:r w:rsidRPr="00594ED8">
              <w:rPr>
                <w:sz w:val="22"/>
                <w:szCs w:val="22"/>
                <w:lang w:val="sr-Latn-ME"/>
              </w:rPr>
              <w:t xml:space="preserve">Pacijentkinje sa </w:t>
            </w:r>
            <w:r w:rsidRPr="00594ED8">
              <w:rPr>
                <w:b/>
                <w:sz w:val="22"/>
                <w:szCs w:val="22"/>
                <w:lang w:val="sr-Latn-ME"/>
              </w:rPr>
              <w:t>kontrolisanim krvarenjem</w:t>
            </w:r>
            <w:r w:rsidRPr="00594ED8">
              <w:rPr>
                <w:sz w:val="22"/>
                <w:szCs w:val="22"/>
                <w:lang w:val="sr-Latn-ME"/>
              </w:rPr>
              <w:t xml:space="preserve"> </w:t>
            </w:r>
            <w:r w:rsidRPr="00594ED8">
              <w:rPr>
                <w:sz w:val="22"/>
                <w:szCs w:val="22"/>
                <w:vertAlign w:val="superscript"/>
                <w:lang w:val="sr-Latn-ME"/>
              </w:rPr>
              <w:t>b,c,d</w:t>
            </w:r>
          </w:p>
        </w:tc>
        <w:tc>
          <w:tcPr>
            <w:tcW w:w="556"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NA</w:t>
            </w:r>
          </w:p>
        </w:tc>
        <w:tc>
          <w:tcPr>
            <w:tcW w:w="63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jc w:val="center"/>
              <w:rPr>
                <w:bCs/>
                <w:sz w:val="22"/>
                <w:szCs w:val="22"/>
                <w:lang w:val="sr-Latn-ME"/>
              </w:rPr>
            </w:pPr>
            <w:r w:rsidRPr="00594ED8">
              <w:rPr>
                <w:bCs/>
                <w:sz w:val="22"/>
                <w:szCs w:val="22"/>
                <w:lang w:val="sr-Latn-ME"/>
              </w:rPr>
              <w:t>N=199</w:t>
            </w:r>
          </w:p>
          <w:p w:rsidR="00161064" w:rsidRPr="00594ED8" w:rsidRDefault="00161064" w:rsidP="00B83DC2">
            <w:pPr>
              <w:pStyle w:val="TableText10"/>
              <w:jc w:val="center"/>
              <w:rPr>
                <w:bCs/>
                <w:sz w:val="22"/>
                <w:szCs w:val="22"/>
                <w:lang w:val="sr-Latn-ME"/>
              </w:rPr>
            </w:pPr>
            <w:r w:rsidRPr="00594ED8">
              <w:rPr>
                <w:bCs/>
                <w:sz w:val="22"/>
                <w:szCs w:val="22"/>
                <w:lang w:val="sr-Latn-ME"/>
              </w:rPr>
              <w:t>175</w:t>
            </w:r>
          </w:p>
          <w:p w:rsidR="00161064" w:rsidRPr="00594ED8" w:rsidRDefault="00161064" w:rsidP="00B83DC2">
            <w:pPr>
              <w:pStyle w:val="TableText10"/>
              <w:jc w:val="center"/>
              <w:rPr>
                <w:b/>
                <w:bCs/>
                <w:sz w:val="22"/>
                <w:szCs w:val="22"/>
                <w:lang w:val="sr-Latn-ME"/>
              </w:rPr>
            </w:pPr>
            <w:r w:rsidRPr="00594ED8">
              <w:rPr>
                <w:bCs/>
                <w:sz w:val="22"/>
                <w:szCs w:val="22"/>
                <w:lang w:val="sr-Latn-ME"/>
              </w:rPr>
              <w:t>(87,9%)</w:t>
            </w:r>
          </w:p>
        </w:tc>
        <w:tc>
          <w:tcPr>
            <w:tcW w:w="715" w:type="pct"/>
            <w:tcBorders>
              <w:top w:val="single" w:sz="2" w:space="0" w:color="auto"/>
              <w:left w:val="single" w:sz="2" w:space="0" w:color="auto"/>
              <w:bottom w:val="single" w:sz="2" w:space="0" w:color="auto"/>
              <w:right w:val="single" w:sz="2" w:space="0" w:color="auto"/>
            </w:tcBorders>
            <w:shd w:val="clear" w:color="auto" w:fill="EEECE1"/>
            <w:vAlign w:val="center"/>
          </w:tcPr>
          <w:p w:rsidR="00161064" w:rsidRPr="00594ED8" w:rsidRDefault="00161064" w:rsidP="00B83DC2">
            <w:pPr>
              <w:pStyle w:val="TableText10"/>
              <w:jc w:val="center"/>
              <w:rPr>
                <w:bCs/>
                <w:sz w:val="22"/>
                <w:szCs w:val="22"/>
                <w:lang w:val="sr-Latn-ME"/>
              </w:rPr>
            </w:pPr>
            <w:r w:rsidRPr="00594ED8">
              <w:rPr>
                <w:bCs/>
                <w:sz w:val="22"/>
                <w:szCs w:val="22"/>
                <w:lang w:val="sr-Latn-ME"/>
              </w:rPr>
              <w:t>N=191</w:t>
            </w:r>
          </w:p>
          <w:p w:rsidR="00161064" w:rsidRPr="00594ED8" w:rsidRDefault="00161064" w:rsidP="00B83DC2">
            <w:pPr>
              <w:pStyle w:val="TableText10"/>
              <w:jc w:val="center"/>
              <w:rPr>
                <w:bCs/>
                <w:sz w:val="22"/>
                <w:szCs w:val="22"/>
                <w:lang w:val="sr-Latn-ME"/>
              </w:rPr>
            </w:pPr>
            <w:r w:rsidRPr="00594ED8">
              <w:rPr>
                <w:bCs/>
                <w:sz w:val="22"/>
                <w:szCs w:val="22"/>
                <w:lang w:val="sr-Latn-ME"/>
              </w:rPr>
              <w:t>168</w:t>
            </w:r>
          </w:p>
          <w:p w:rsidR="00161064" w:rsidRPr="00594ED8" w:rsidRDefault="00161064" w:rsidP="00B83DC2">
            <w:pPr>
              <w:pStyle w:val="TableText10"/>
              <w:jc w:val="center"/>
              <w:rPr>
                <w:b/>
                <w:bCs/>
                <w:sz w:val="22"/>
                <w:szCs w:val="22"/>
                <w:lang w:val="sr-Latn-ME"/>
              </w:rPr>
            </w:pPr>
            <w:r w:rsidRPr="00594ED8">
              <w:rPr>
                <w:bCs/>
                <w:sz w:val="22"/>
                <w:szCs w:val="22"/>
                <w:lang w:val="sr-Latn-ME"/>
              </w:rPr>
              <w:t>(88,0%)</w:t>
            </w:r>
          </w:p>
        </w:tc>
        <w:tc>
          <w:tcPr>
            <w:tcW w:w="793"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jc w:val="center"/>
              <w:rPr>
                <w:sz w:val="22"/>
                <w:szCs w:val="22"/>
                <w:lang w:val="sr-Latn-ME"/>
              </w:rPr>
            </w:pPr>
            <w:r w:rsidRPr="00594ED8">
              <w:rPr>
                <w:sz w:val="22"/>
                <w:szCs w:val="22"/>
                <w:lang w:val="sr-Latn-ME"/>
              </w:rPr>
              <w:t>NA</w:t>
            </w:r>
          </w:p>
        </w:tc>
        <w:tc>
          <w:tcPr>
            <w:tcW w:w="635" w:type="pct"/>
            <w:tcBorders>
              <w:top w:val="single" w:sz="2" w:space="0" w:color="auto"/>
              <w:left w:val="single" w:sz="2" w:space="0" w:color="auto"/>
              <w:bottom w:val="single" w:sz="2" w:space="0" w:color="auto"/>
              <w:right w:val="single" w:sz="2" w:space="0" w:color="auto"/>
            </w:tcBorders>
            <w:vAlign w:val="center"/>
          </w:tcPr>
          <w:p w:rsidR="00161064" w:rsidRPr="00594ED8" w:rsidRDefault="00161064" w:rsidP="00B83DC2">
            <w:pPr>
              <w:pStyle w:val="TableText10"/>
              <w:jc w:val="center"/>
              <w:rPr>
                <w:sz w:val="22"/>
                <w:szCs w:val="22"/>
                <w:lang w:val="sr-Latn-ME"/>
              </w:rPr>
            </w:pPr>
            <w:r w:rsidRPr="00594ED8">
              <w:rPr>
                <w:sz w:val="22"/>
                <w:szCs w:val="22"/>
                <w:lang w:val="sr-Latn-ME"/>
              </w:rPr>
              <w:t>N=202</w:t>
            </w:r>
          </w:p>
          <w:p w:rsidR="00161064" w:rsidRPr="00594ED8" w:rsidRDefault="00161064" w:rsidP="00B83DC2">
            <w:pPr>
              <w:pStyle w:val="TableText10"/>
              <w:jc w:val="center"/>
              <w:rPr>
                <w:sz w:val="22"/>
                <w:szCs w:val="22"/>
                <w:lang w:val="sr-Latn-ME"/>
              </w:rPr>
            </w:pPr>
            <w:r w:rsidRPr="00594ED8">
              <w:rPr>
                <w:sz w:val="22"/>
                <w:szCs w:val="22"/>
                <w:lang w:val="sr-Latn-ME"/>
              </w:rPr>
              <w:t>148</w:t>
            </w:r>
          </w:p>
          <w:p w:rsidR="00161064" w:rsidRPr="00594ED8" w:rsidRDefault="00161064" w:rsidP="00B83DC2">
            <w:pPr>
              <w:pStyle w:val="TableText10"/>
              <w:jc w:val="center"/>
              <w:rPr>
                <w:sz w:val="22"/>
                <w:szCs w:val="22"/>
                <w:lang w:val="sr-Latn-ME"/>
              </w:rPr>
            </w:pPr>
            <w:r w:rsidRPr="00594ED8">
              <w:rPr>
                <w:sz w:val="22"/>
                <w:szCs w:val="22"/>
                <w:lang w:val="sr-Latn-ME"/>
              </w:rPr>
              <w:t>(73,3%)</w:t>
            </w:r>
          </w:p>
        </w:tc>
        <w:tc>
          <w:tcPr>
            <w:tcW w:w="635" w:type="pct"/>
            <w:tcBorders>
              <w:top w:val="single" w:sz="2" w:space="0" w:color="auto"/>
              <w:left w:val="single" w:sz="2" w:space="0" w:color="auto"/>
              <w:bottom w:val="single" w:sz="2" w:space="0" w:color="auto"/>
              <w:right w:val="single" w:sz="8" w:space="0" w:color="auto"/>
            </w:tcBorders>
            <w:vAlign w:val="center"/>
          </w:tcPr>
          <w:p w:rsidR="00161064" w:rsidRPr="00594ED8" w:rsidRDefault="00161064" w:rsidP="00B83DC2">
            <w:pPr>
              <w:pStyle w:val="TableText10"/>
              <w:jc w:val="center"/>
              <w:rPr>
                <w:sz w:val="22"/>
                <w:szCs w:val="22"/>
                <w:lang w:val="sr-Latn-ME"/>
              </w:rPr>
            </w:pPr>
            <w:r w:rsidRPr="00594ED8">
              <w:rPr>
                <w:sz w:val="22"/>
                <w:szCs w:val="22"/>
                <w:lang w:val="sr-Latn-ME"/>
              </w:rPr>
              <w:t>N=192</w:t>
            </w:r>
          </w:p>
          <w:p w:rsidR="00161064" w:rsidRPr="00594ED8" w:rsidRDefault="00161064" w:rsidP="00B83DC2">
            <w:pPr>
              <w:pStyle w:val="TableText10"/>
              <w:jc w:val="center"/>
              <w:rPr>
                <w:sz w:val="22"/>
                <w:szCs w:val="22"/>
                <w:lang w:val="sr-Latn-ME"/>
              </w:rPr>
            </w:pPr>
            <w:r w:rsidRPr="00594ED8">
              <w:rPr>
                <w:sz w:val="22"/>
                <w:szCs w:val="22"/>
                <w:lang w:val="sr-Latn-ME"/>
              </w:rPr>
              <w:t>144</w:t>
            </w:r>
          </w:p>
          <w:p w:rsidR="00161064" w:rsidRPr="00594ED8" w:rsidRDefault="00161064" w:rsidP="00B83DC2">
            <w:pPr>
              <w:pStyle w:val="TableText10"/>
              <w:jc w:val="center"/>
              <w:rPr>
                <w:sz w:val="22"/>
                <w:szCs w:val="22"/>
                <w:lang w:val="sr-Latn-ME"/>
              </w:rPr>
            </w:pPr>
            <w:r w:rsidRPr="00594ED8">
              <w:rPr>
                <w:sz w:val="22"/>
                <w:szCs w:val="22"/>
                <w:lang w:val="sr-Latn-ME"/>
              </w:rPr>
              <w:t>(75,0%)</w:t>
            </w:r>
          </w:p>
        </w:tc>
      </w:tr>
      <w:tr w:rsidR="00161064" w:rsidRPr="00594ED8" w:rsidTr="00B83DC2">
        <w:trPr>
          <w:trHeight w:val="20"/>
        </w:trPr>
        <w:tc>
          <w:tcPr>
            <w:tcW w:w="1031" w:type="pct"/>
            <w:tcBorders>
              <w:top w:val="single" w:sz="2" w:space="0" w:color="auto"/>
              <w:left w:val="single" w:sz="8" w:space="0" w:color="auto"/>
              <w:bottom w:val="single" w:sz="8" w:space="0" w:color="auto"/>
              <w:right w:val="single" w:sz="2" w:space="0" w:color="auto"/>
            </w:tcBorders>
          </w:tcPr>
          <w:p w:rsidR="00161064" w:rsidRPr="00594ED8" w:rsidRDefault="00161064" w:rsidP="00B83DC2">
            <w:pPr>
              <w:pStyle w:val="TableText10"/>
              <w:keepNext/>
              <w:keepLines/>
              <w:jc w:val="both"/>
              <w:rPr>
                <w:sz w:val="22"/>
                <w:szCs w:val="22"/>
                <w:lang w:val="sr-Latn-ME"/>
              </w:rPr>
            </w:pPr>
            <w:r w:rsidRPr="00594ED8">
              <w:rPr>
                <w:sz w:val="22"/>
                <w:szCs w:val="22"/>
                <w:lang w:val="sr-Latn-ME"/>
              </w:rPr>
              <w:t xml:space="preserve">Srednja vrijednost promjene </w:t>
            </w:r>
            <w:r w:rsidRPr="00594ED8">
              <w:rPr>
                <w:b/>
                <w:sz w:val="22"/>
                <w:szCs w:val="22"/>
                <w:lang w:val="sr-Latn-ME"/>
              </w:rPr>
              <w:t>volumena mioma</w:t>
            </w:r>
            <w:r w:rsidRPr="00594ED8">
              <w:rPr>
                <w:sz w:val="22"/>
                <w:szCs w:val="22"/>
                <w:lang w:val="sr-Latn-ME"/>
              </w:rPr>
              <w:t xml:space="preserve"> u odnosu na početak terapije </w:t>
            </w:r>
          </w:p>
        </w:tc>
        <w:tc>
          <w:tcPr>
            <w:tcW w:w="556" w:type="pct"/>
            <w:tcBorders>
              <w:top w:val="single" w:sz="2" w:space="0" w:color="auto"/>
              <w:left w:val="single" w:sz="2" w:space="0" w:color="auto"/>
              <w:bottom w:val="single" w:sz="8" w:space="0" w:color="auto"/>
              <w:right w:val="single" w:sz="2" w:space="0" w:color="auto"/>
            </w:tcBorders>
            <w:vAlign w:val="center"/>
          </w:tcPr>
          <w:p w:rsidR="00161064" w:rsidRPr="00594ED8" w:rsidRDefault="00161064" w:rsidP="00B83DC2">
            <w:pPr>
              <w:jc w:val="center"/>
              <w:rPr>
                <w:sz w:val="22"/>
                <w:szCs w:val="22"/>
                <w:lang w:val="sr-Latn-ME" w:eastAsia="en-GB"/>
              </w:rPr>
            </w:pPr>
            <w:r w:rsidRPr="00594ED8">
              <w:rPr>
                <w:sz w:val="22"/>
                <w:szCs w:val="22"/>
                <w:lang w:val="sr-Latn-ME"/>
              </w:rPr>
              <w:t>-63,2%</w:t>
            </w:r>
          </w:p>
        </w:tc>
        <w:tc>
          <w:tcPr>
            <w:tcW w:w="635" w:type="pct"/>
            <w:tcBorders>
              <w:top w:val="single" w:sz="2" w:space="0" w:color="auto"/>
              <w:left w:val="single" w:sz="2" w:space="0" w:color="auto"/>
              <w:bottom w:val="single" w:sz="8" w:space="0" w:color="auto"/>
              <w:right w:val="single" w:sz="2" w:space="0" w:color="auto"/>
            </w:tcBorders>
            <w:shd w:val="clear" w:color="auto" w:fill="EEECE1"/>
            <w:vAlign w:val="center"/>
          </w:tcPr>
          <w:p w:rsidR="00161064" w:rsidRPr="00594ED8" w:rsidRDefault="00161064" w:rsidP="00B83DC2">
            <w:pPr>
              <w:jc w:val="center"/>
              <w:rPr>
                <w:bCs/>
                <w:sz w:val="22"/>
                <w:szCs w:val="22"/>
                <w:lang w:val="sr-Latn-ME"/>
              </w:rPr>
            </w:pPr>
            <w:r w:rsidRPr="00594ED8">
              <w:rPr>
                <w:bCs/>
                <w:sz w:val="22"/>
                <w:szCs w:val="22"/>
                <w:lang w:val="sr-Latn-ME"/>
              </w:rPr>
              <w:t>-54,1%</w:t>
            </w:r>
          </w:p>
        </w:tc>
        <w:tc>
          <w:tcPr>
            <w:tcW w:w="715" w:type="pct"/>
            <w:tcBorders>
              <w:top w:val="single" w:sz="2" w:space="0" w:color="auto"/>
              <w:left w:val="single" w:sz="2" w:space="0" w:color="auto"/>
              <w:bottom w:val="single" w:sz="8" w:space="0" w:color="auto"/>
              <w:right w:val="single" w:sz="2" w:space="0" w:color="auto"/>
            </w:tcBorders>
            <w:shd w:val="clear" w:color="auto" w:fill="EEECE1"/>
            <w:vAlign w:val="center"/>
          </w:tcPr>
          <w:p w:rsidR="00161064" w:rsidRPr="00594ED8" w:rsidRDefault="00161064" w:rsidP="00B83DC2">
            <w:pPr>
              <w:jc w:val="center"/>
              <w:rPr>
                <w:b/>
                <w:bCs/>
                <w:sz w:val="22"/>
                <w:szCs w:val="22"/>
                <w:lang w:val="sr-Latn-ME"/>
              </w:rPr>
            </w:pPr>
            <w:r w:rsidRPr="00594ED8">
              <w:rPr>
                <w:b/>
                <w:bCs/>
                <w:sz w:val="22"/>
                <w:szCs w:val="22"/>
                <w:lang w:val="sr-Latn-ME"/>
              </w:rPr>
              <w:t>-</w:t>
            </w:r>
            <w:r w:rsidRPr="00594ED8">
              <w:rPr>
                <w:bCs/>
                <w:sz w:val="22"/>
                <w:szCs w:val="22"/>
                <w:lang w:val="sr-Latn-ME"/>
              </w:rPr>
              <w:t>58,0%</w:t>
            </w:r>
          </w:p>
        </w:tc>
        <w:tc>
          <w:tcPr>
            <w:tcW w:w="793" w:type="pct"/>
            <w:tcBorders>
              <w:top w:val="single" w:sz="2" w:space="0" w:color="auto"/>
              <w:left w:val="single" w:sz="2" w:space="0" w:color="auto"/>
              <w:bottom w:val="single" w:sz="8" w:space="0" w:color="auto"/>
              <w:right w:val="single" w:sz="2" w:space="0" w:color="auto"/>
            </w:tcBorders>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-72,1%</w:t>
            </w:r>
          </w:p>
        </w:tc>
        <w:tc>
          <w:tcPr>
            <w:tcW w:w="635" w:type="pct"/>
            <w:tcBorders>
              <w:top w:val="single" w:sz="2" w:space="0" w:color="auto"/>
              <w:left w:val="single" w:sz="2" w:space="0" w:color="auto"/>
              <w:bottom w:val="single" w:sz="8" w:space="0" w:color="auto"/>
              <w:right w:val="single" w:sz="2" w:space="0" w:color="auto"/>
            </w:tcBorders>
            <w:shd w:val="solid" w:color="FFFFFF" w:fill="EEECE1"/>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-71,8%</w:t>
            </w:r>
          </w:p>
        </w:tc>
        <w:tc>
          <w:tcPr>
            <w:tcW w:w="635" w:type="pct"/>
            <w:tcBorders>
              <w:top w:val="single" w:sz="2" w:space="0" w:color="auto"/>
              <w:left w:val="single" w:sz="2" w:space="0" w:color="auto"/>
              <w:bottom w:val="single" w:sz="8" w:space="0" w:color="auto"/>
              <w:right w:val="single" w:sz="8" w:space="0" w:color="auto"/>
            </w:tcBorders>
            <w:shd w:val="solid" w:color="FFFFFF" w:fill="EEECE1"/>
            <w:vAlign w:val="center"/>
          </w:tcPr>
          <w:p w:rsidR="00161064" w:rsidRPr="00594ED8" w:rsidRDefault="00161064" w:rsidP="00B83DC2">
            <w:pPr>
              <w:pStyle w:val="TableText10"/>
              <w:keepNext/>
              <w:jc w:val="center"/>
              <w:rPr>
                <w:sz w:val="22"/>
                <w:szCs w:val="22"/>
                <w:lang w:val="sr-Latn-ME"/>
              </w:rPr>
            </w:pPr>
            <w:r w:rsidRPr="00594ED8">
              <w:rPr>
                <w:sz w:val="22"/>
                <w:szCs w:val="22"/>
                <w:lang w:val="sr-Latn-ME"/>
              </w:rPr>
              <w:t>-72,7%</w:t>
            </w:r>
          </w:p>
        </w:tc>
      </w:tr>
    </w:tbl>
    <w:p w:rsidR="00161064" w:rsidRPr="00594ED8" w:rsidRDefault="00161064" w:rsidP="00161064">
      <w:pPr>
        <w:pStyle w:val="Header"/>
        <w:tabs>
          <w:tab w:val="left" w:pos="284"/>
        </w:tabs>
        <w:rPr>
          <w:sz w:val="22"/>
          <w:szCs w:val="22"/>
          <w:lang w:val="sr-Latn-ME"/>
        </w:rPr>
      </w:pPr>
    </w:p>
    <w:p w:rsidR="00161064" w:rsidRPr="00594ED8" w:rsidRDefault="00161064" w:rsidP="00EA0B82">
      <w:pPr>
        <w:pStyle w:val="Header"/>
        <w:tabs>
          <w:tab w:val="left" w:pos="284"/>
        </w:tabs>
        <w:jc w:val="both"/>
        <w:rPr>
          <w:sz w:val="22"/>
          <w:szCs w:val="22"/>
          <w:lang w:val="sr-Latn-ME"/>
        </w:rPr>
      </w:pPr>
      <w:r w:rsidRPr="00594ED8">
        <w:rPr>
          <w:sz w:val="22"/>
          <w:szCs w:val="22"/>
          <w:vertAlign w:val="superscript"/>
          <w:lang w:val="sr-Latn-ME"/>
        </w:rPr>
        <w:t>a</w:t>
      </w:r>
      <w:r w:rsidRPr="00594ED8">
        <w:rPr>
          <w:sz w:val="22"/>
          <w:szCs w:val="22"/>
          <w:lang w:val="sr-Latn-ME"/>
        </w:rPr>
        <w:t xml:space="preserve"> Procjena </w:t>
      </w:r>
      <w:r w:rsidR="0052352E" w:rsidRPr="00594ED8">
        <w:rPr>
          <w:sz w:val="22"/>
          <w:szCs w:val="22"/>
          <w:lang w:val="sr-Latn-ME"/>
        </w:rPr>
        <w:t>2.</w:t>
      </w:r>
      <w:r w:rsidRPr="00594ED8">
        <w:rPr>
          <w:sz w:val="22"/>
          <w:szCs w:val="22"/>
          <w:lang w:val="sr-Latn-ME"/>
        </w:rPr>
        <w:t xml:space="preserve"> ciklusa liječenja odgovara </w:t>
      </w:r>
      <w:r w:rsidR="0052352E" w:rsidRPr="00594ED8">
        <w:rPr>
          <w:sz w:val="22"/>
          <w:szCs w:val="22"/>
          <w:lang w:val="sr-Latn-ME"/>
        </w:rPr>
        <w:t>2.</w:t>
      </w:r>
      <w:r w:rsidRPr="00594ED8">
        <w:rPr>
          <w:sz w:val="22"/>
          <w:szCs w:val="22"/>
          <w:lang w:val="sr-Latn-ME"/>
        </w:rPr>
        <w:t xml:space="preserve"> ciklusu liječenja plus jedno menstrualno krvarenje. </w:t>
      </w:r>
    </w:p>
    <w:p w:rsidR="00161064" w:rsidRPr="00594ED8" w:rsidRDefault="00161064" w:rsidP="00EA0B82">
      <w:pPr>
        <w:pStyle w:val="Header"/>
        <w:tabs>
          <w:tab w:val="left" w:pos="284"/>
        </w:tabs>
        <w:jc w:val="both"/>
        <w:rPr>
          <w:sz w:val="22"/>
          <w:szCs w:val="22"/>
          <w:lang w:val="sr-Latn-ME"/>
        </w:rPr>
      </w:pPr>
      <w:r w:rsidRPr="00594ED8">
        <w:rPr>
          <w:sz w:val="22"/>
          <w:szCs w:val="22"/>
          <w:vertAlign w:val="superscript"/>
          <w:lang w:val="sr-Latn-ME"/>
        </w:rPr>
        <w:t>b</w:t>
      </w:r>
      <w:r w:rsidRPr="00594ED8">
        <w:rPr>
          <w:sz w:val="22"/>
          <w:szCs w:val="22"/>
          <w:lang w:val="sr-Latn-ME"/>
        </w:rPr>
        <w:t xml:space="preserve"> Pacijentkinje za koje nedostaju podaci nijesu uključene u analizu. </w:t>
      </w:r>
    </w:p>
    <w:p w:rsidR="00161064" w:rsidRPr="00594ED8" w:rsidRDefault="00161064" w:rsidP="00EA0B82">
      <w:pPr>
        <w:pStyle w:val="Header"/>
        <w:tabs>
          <w:tab w:val="left" w:pos="284"/>
        </w:tabs>
        <w:jc w:val="both"/>
        <w:rPr>
          <w:sz w:val="22"/>
          <w:szCs w:val="22"/>
          <w:lang w:val="sr-Latn-ME"/>
        </w:rPr>
      </w:pPr>
      <w:r w:rsidRPr="00594ED8">
        <w:rPr>
          <w:sz w:val="22"/>
          <w:szCs w:val="22"/>
          <w:vertAlign w:val="superscript"/>
          <w:lang w:val="sr-Latn-ME"/>
        </w:rPr>
        <w:t>c</w:t>
      </w:r>
      <w:r w:rsidRPr="00594ED8">
        <w:rPr>
          <w:sz w:val="22"/>
          <w:szCs w:val="22"/>
          <w:lang w:val="sr-Latn-ME"/>
        </w:rPr>
        <w:t xml:space="preserve"> N i % uključuju pacijentkinje isključene tokom ispitivanja</w:t>
      </w:r>
    </w:p>
    <w:p w:rsidR="00161064" w:rsidRPr="00DF25E5" w:rsidRDefault="00161064" w:rsidP="00EA0B82">
      <w:pPr>
        <w:pStyle w:val="Header"/>
        <w:tabs>
          <w:tab w:val="left" w:pos="284"/>
        </w:tabs>
        <w:jc w:val="both"/>
        <w:rPr>
          <w:sz w:val="22"/>
          <w:szCs w:val="22"/>
          <w:lang w:val="sr-Latn-ME"/>
        </w:rPr>
      </w:pPr>
      <w:r w:rsidRPr="00594ED8">
        <w:rPr>
          <w:sz w:val="22"/>
          <w:szCs w:val="22"/>
          <w:vertAlign w:val="superscript"/>
          <w:lang w:val="sr-Latn-ME"/>
        </w:rPr>
        <w:t>d</w:t>
      </w:r>
      <w:r w:rsidRPr="00594ED8">
        <w:rPr>
          <w:sz w:val="22"/>
          <w:szCs w:val="22"/>
          <w:lang w:val="sr-Latn-ME"/>
        </w:rPr>
        <w:t xml:space="preserve"> Kontrolisano krvarenje je definisano kao nepostojanje epizoda teških krvarenja i najviše 8 dana krvarenja (ne uključujući dane u kojima se javlja tačkasto krvarenje) tokom posljednja 2 mjeseca ciklusa liječenja.</w:t>
      </w:r>
    </w:p>
    <w:p w:rsidR="00161064" w:rsidRPr="00594ED8" w:rsidRDefault="00161064" w:rsidP="00EA0B82">
      <w:pPr>
        <w:pStyle w:val="Header"/>
        <w:tabs>
          <w:tab w:val="left" w:pos="284"/>
        </w:tabs>
        <w:jc w:val="both"/>
        <w:rPr>
          <w:sz w:val="22"/>
          <w:szCs w:val="22"/>
          <w:u w:val="single"/>
          <w:lang w:val="sr-Latn-ME"/>
        </w:rPr>
      </w:pPr>
      <w:r w:rsidRPr="00594ED8">
        <w:rPr>
          <w:sz w:val="22"/>
          <w:szCs w:val="22"/>
          <w:u w:val="single"/>
          <w:lang w:val="sr-Latn-ME"/>
        </w:rPr>
        <w:lastRenderedPageBreak/>
        <w:t>Nalazi na endometrijumu:</w:t>
      </w:r>
    </w:p>
    <w:p w:rsidR="00161064" w:rsidRPr="00594ED8" w:rsidRDefault="00161064" w:rsidP="00EA0B82">
      <w:pPr>
        <w:pStyle w:val="Header"/>
        <w:jc w:val="both"/>
        <w:rPr>
          <w:sz w:val="22"/>
          <w:szCs w:val="22"/>
          <w:lang w:val="sr-Latn-ME"/>
        </w:rPr>
      </w:pPr>
      <w:r w:rsidRPr="00594ED8">
        <w:rPr>
          <w:sz w:val="22"/>
          <w:szCs w:val="22"/>
          <w:lang w:val="sr-Latn-ME"/>
        </w:rPr>
        <w:t>U svim studijama III faze, uključujući i ispitivanja ponovljenog intermitentnog liječenja, hiperplazija je uočena kod ukupno 7 od 789 ispitanica kod kojih je sprovedena odgovarajuća biopsija (0,89%). U većini slučajeva endometrijum se spontano vratio na normalnu debljinu nakon ponovne pojave menstrualnog krvarenja tokom intervala bez liječenja. Incidenca hiperplazije se nije povećavala sa ponovljenim ciklusima liječenja, uključujući podatke dobijene za 340 žena koje su upotrebljavale ulipristal acetat 5</w:t>
      </w:r>
      <w:r w:rsidR="0052352E" w:rsidRPr="00594ED8">
        <w:rPr>
          <w:sz w:val="22"/>
          <w:szCs w:val="22"/>
          <w:lang w:val="sr-Latn-ME"/>
        </w:rPr>
        <w:t xml:space="preserve"> </w:t>
      </w:r>
      <w:r w:rsidRPr="00594ED8">
        <w:rPr>
          <w:sz w:val="22"/>
          <w:szCs w:val="22"/>
          <w:lang w:val="sr-Latn-ME"/>
        </w:rPr>
        <w:t>mg ili 10</w:t>
      </w:r>
      <w:r w:rsidR="0052352E" w:rsidRPr="00594ED8">
        <w:rPr>
          <w:sz w:val="22"/>
          <w:szCs w:val="22"/>
          <w:lang w:val="sr-Latn-ME"/>
        </w:rPr>
        <w:t xml:space="preserve"> </w:t>
      </w:r>
      <w:r w:rsidRPr="00594ED8">
        <w:rPr>
          <w:sz w:val="22"/>
          <w:szCs w:val="22"/>
          <w:lang w:val="sr-Latn-ME"/>
        </w:rPr>
        <w:t>mg do 4 ciklusa i ograničene podatke za 43 žene koje su uzimale ulipristal acetat 10</w:t>
      </w:r>
      <w:r w:rsidR="0052352E" w:rsidRPr="00594ED8">
        <w:rPr>
          <w:sz w:val="22"/>
          <w:szCs w:val="22"/>
          <w:lang w:val="sr-Latn-ME"/>
        </w:rPr>
        <w:t xml:space="preserve"> </w:t>
      </w:r>
      <w:r w:rsidRPr="00594ED8">
        <w:rPr>
          <w:sz w:val="22"/>
          <w:szCs w:val="22"/>
          <w:lang w:val="sr-Latn-ME"/>
        </w:rPr>
        <w:t>mg do 8 ciklusa. Uočena učestalost odgovara podacima za kontrolne grupe i prevalenci objavljenoj u literaturi za žene koje imaju simptome, a koje su u pre-menopauzi i pripadaju datoj starosnoj grupi (pros</w:t>
      </w:r>
      <w:r w:rsidR="0052352E" w:rsidRPr="00594ED8">
        <w:rPr>
          <w:sz w:val="22"/>
          <w:szCs w:val="22"/>
          <w:lang w:val="sr-Latn-ME"/>
        </w:rPr>
        <w:t>j</w:t>
      </w:r>
      <w:r w:rsidRPr="00594ED8">
        <w:rPr>
          <w:sz w:val="22"/>
          <w:szCs w:val="22"/>
          <w:lang w:val="sr-Latn-ME"/>
        </w:rPr>
        <w:t>ečno 40 godina).</w:t>
      </w:r>
    </w:p>
    <w:p w:rsidR="00161064" w:rsidRPr="00594ED8" w:rsidRDefault="00161064" w:rsidP="00EA0B82">
      <w:pPr>
        <w:pStyle w:val="Header"/>
        <w:tabs>
          <w:tab w:val="left" w:pos="284"/>
        </w:tabs>
        <w:jc w:val="both"/>
        <w:rPr>
          <w:sz w:val="22"/>
          <w:szCs w:val="22"/>
          <w:lang w:val="sr-Latn-ME"/>
        </w:rPr>
      </w:pP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Evropska Agencija za ljekove je oslobodila nosioca dozvole obaveze da podnese rezultate studija sa lijekom Esmya u svim podgrupama pedijatrijske populacije sa lejomiomom uterusa (vidjeti odjeljak 4.2. za informacije za upotrebu u pedijatriji).</w:t>
      </w:r>
    </w:p>
    <w:p w:rsidR="00161064" w:rsidRPr="00594ED8" w:rsidRDefault="00161064" w:rsidP="00480FB1">
      <w:pPr>
        <w:tabs>
          <w:tab w:val="left" w:pos="540"/>
          <w:tab w:val="left" w:pos="569"/>
        </w:tabs>
        <w:rPr>
          <w:b/>
          <w:bCs/>
          <w:sz w:val="22"/>
          <w:szCs w:val="22"/>
          <w:lang w:val="sr-Latn-ME"/>
        </w:rPr>
      </w:pPr>
    </w:p>
    <w:p w:rsidR="0072020E" w:rsidRPr="00594ED8" w:rsidRDefault="00DF25E5" w:rsidP="00480FB1">
      <w:pPr>
        <w:tabs>
          <w:tab w:val="left" w:pos="540"/>
          <w:tab w:val="left" w:pos="569"/>
        </w:tabs>
        <w:rPr>
          <w:b/>
          <w:bCs/>
          <w:sz w:val="22"/>
          <w:szCs w:val="22"/>
          <w:lang w:val="sr-Latn-ME"/>
        </w:rPr>
      </w:pPr>
      <w:r>
        <w:rPr>
          <w:b/>
          <w:bCs/>
          <w:sz w:val="22"/>
          <w:szCs w:val="22"/>
          <w:lang w:val="sr-Latn-ME"/>
        </w:rPr>
        <w:t>5.2.</w:t>
      </w:r>
      <w:r w:rsidR="00480FB1" w:rsidRPr="00594ED8">
        <w:rPr>
          <w:b/>
          <w:bCs/>
          <w:sz w:val="22"/>
          <w:szCs w:val="22"/>
          <w:lang w:val="sr-Latn-ME"/>
        </w:rPr>
        <w:tab/>
      </w:r>
      <w:r w:rsidR="0072020E" w:rsidRPr="00594ED8">
        <w:rPr>
          <w:b/>
          <w:bCs/>
          <w:sz w:val="22"/>
          <w:szCs w:val="22"/>
          <w:lang w:val="sr-Latn-ME"/>
        </w:rPr>
        <w:t>Farmakokinetički podaci</w:t>
      </w:r>
    </w:p>
    <w:p w:rsidR="00C61F75" w:rsidRPr="00DF25E5" w:rsidRDefault="00C61F75" w:rsidP="00161064">
      <w:pPr>
        <w:pStyle w:val="Header"/>
        <w:rPr>
          <w:sz w:val="22"/>
          <w:szCs w:val="22"/>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Resorpcijа</w:t>
      </w:r>
    </w:p>
    <w:p w:rsidR="00161064" w:rsidRPr="00594ED8" w:rsidRDefault="00161064" w:rsidP="00EA0B82">
      <w:pPr>
        <w:pStyle w:val="Header"/>
        <w:jc w:val="both"/>
        <w:rPr>
          <w:sz w:val="22"/>
          <w:szCs w:val="22"/>
          <w:lang w:val="sr-Latn-ME"/>
        </w:rPr>
      </w:pPr>
      <w:r w:rsidRPr="00594ED8">
        <w:rPr>
          <w:sz w:val="22"/>
          <w:szCs w:val="22"/>
          <w:lang w:val="sr-Latn-ME"/>
        </w:rPr>
        <w:t>Nakon orаlne primjene  pojedinačne doze od 5 mg ili 10 mg, ulipristаl аcetаt se brzo resorbuje, C</w:t>
      </w:r>
      <w:r w:rsidRPr="00594ED8">
        <w:rPr>
          <w:sz w:val="22"/>
          <w:szCs w:val="22"/>
          <w:vertAlign w:val="subscript"/>
          <w:lang w:val="sr-Latn-ME"/>
        </w:rPr>
        <w:t>max</w:t>
      </w:r>
      <w:r w:rsidRPr="00594ED8">
        <w:rPr>
          <w:sz w:val="22"/>
          <w:szCs w:val="22"/>
          <w:lang w:val="sr-Latn-ME"/>
        </w:rPr>
        <w:t xml:space="preserve"> od 23,5 ± 14,2 ng / ml i 50,0 ± 34,4 ng / m</w:t>
      </w:r>
      <w:r w:rsidR="0052352E" w:rsidRPr="00594ED8">
        <w:rPr>
          <w:sz w:val="22"/>
          <w:szCs w:val="22"/>
          <w:lang w:val="sr-Latn-ME"/>
        </w:rPr>
        <w:t>l</w:t>
      </w:r>
      <w:r w:rsidRPr="00594ED8">
        <w:rPr>
          <w:sz w:val="22"/>
          <w:szCs w:val="22"/>
          <w:lang w:val="sr-Latn-ME"/>
        </w:rPr>
        <w:t xml:space="preserve"> koja se javlja otprilike 1 sat poslije uzimаnjа, а sа PIK</w:t>
      </w:r>
      <w:r w:rsidRPr="00594ED8">
        <w:rPr>
          <w:sz w:val="22"/>
          <w:szCs w:val="22"/>
          <w:vertAlign w:val="subscript"/>
          <w:lang w:val="sr-Latn-ME"/>
        </w:rPr>
        <w:t>0-∞</w:t>
      </w:r>
      <w:r w:rsidRPr="00594ED8">
        <w:rPr>
          <w:sz w:val="22"/>
          <w:szCs w:val="22"/>
          <w:lang w:val="sr-Latn-ME"/>
        </w:rPr>
        <w:t xml:space="preserve"> od 61,3 ± 31,7 ng / m</w:t>
      </w:r>
      <w:r w:rsidR="0052352E" w:rsidRPr="00594ED8">
        <w:rPr>
          <w:sz w:val="22"/>
          <w:szCs w:val="22"/>
          <w:lang w:val="sr-Latn-ME"/>
        </w:rPr>
        <w:t>l</w:t>
      </w:r>
      <w:r w:rsidRPr="00594ED8">
        <w:rPr>
          <w:sz w:val="22"/>
          <w:szCs w:val="22"/>
          <w:lang w:val="sr-Latn-ME"/>
        </w:rPr>
        <w:t xml:space="preserve"> i 134,0 ± 83,8 ng.h / m</w:t>
      </w:r>
      <w:r w:rsidR="0052352E" w:rsidRPr="00594ED8">
        <w:rPr>
          <w:sz w:val="22"/>
          <w:szCs w:val="22"/>
          <w:lang w:val="sr-Latn-ME"/>
        </w:rPr>
        <w:t>l</w:t>
      </w:r>
      <w:r w:rsidRPr="00594ED8">
        <w:rPr>
          <w:sz w:val="22"/>
          <w:szCs w:val="22"/>
          <w:lang w:val="sr-Latn-ME"/>
        </w:rPr>
        <w:t>, redom. Ulipristаl аcetаt se brzo trаnsformiše u fаrmаkološki аktivаn metаbolit sа C</w:t>
      </w:r>
      <w:r w:rsidRPr="00594ED8">
        <w:rPr>
          <w:sz w:val="22"/>
          <w:szCs w:val="22"/>
          <w:vertAlign w:val="subscript"/>
          <w:lang w:val="sr-Latn-ME"/>
        </w:rPr>
        <w:t>max</w:t>
      </w:r>
      <w:r w:rsidRPr="00594ED8">
        <w:rPr>
          <w:sz w:val="22"/>
          <w:szCs w:val="22"/>
          <w:lang w:val="sr-Latn-ME"/>
        </w:rPr>
        <w:t xml:space="preserve"> od 9,0 ± 4,4 ng / m</w:t>
      </w:r>
      <w:r w:rsidR="0052352E" w:rsidRPr="00594ED8">
        <w:rPr>
          <w:sz w:val="22"/>
          <w:szCs w:val="22"/>
          <w:lang w:val="sr-Latn-ME"/>
        </w:rPr>
        <w:t>l</w:t>
      </w:r>
      <w:r w:rsidRPr="00594ED8">
        <w:rPr>
          <w:sz w:val="22"/>
          <w:szCs w:val="22"/>
          <w:lang w:val="sr-Latn-ME"/>
        </w:rPr>
        <w:t xml:space="preserve"> i 20,6 ± 10,9 ng / m</w:t>
      </w:r>
      <w:r w:rsidR="0052352E" w:rsidRPr="00594ED8">
        <w:rPr>
          <w:sz w:val="22"/>
          <w:szCs w:val="22"/>
          <w:lang w:val="sr-Latn-ME"/>
        </w:rPr>
        <w:t>l</w:t>
      </w:r>
      <w:r w:rsidRPr="00594ED8">
        <w:rPr>
          <w:sz w:val="22"/>
          <w:szCs w:val="22"/>
          <w:lang w:val="sr-Latn-ME"/>
        </w:rPr>
        <w:t xml:space="preserve"> koji se tаkođe jаvljа otprilike 1 sat  poslije uzimаnjа, а sа PIK</w:t>
      </w:r>
      <w:r w:rsidRPr="00594ED8">
        <w:rPr>
          <w:sz w:val="22"/>
          <w:szCs w:val="22"/>
          <w:vertAlign w:val="subscript"/>
          <w:lang w:val="sr-Latn-ME"/>
        </w:rPr>
        <w:t>0-∞</w:t>
      </w:r>
      <w:r w:rsidRPr="00594ED8">
        <w:rPr>
          <w:sz w:val="22"/>
          <w:szCs w:val="22"/>
          <w:lang w:val="sr-Latn-ME"/>
        </w:rPr>
        <w:t xml:space="preserve"> od 26,0 ± 12,0 ng / m</w:t>
      </w:r>
      <w:r w:rsidR="0052352E" w:rsidRPr="00594ED8">
        <w:rPr>
          <w:sz w:val="22"/>
          <w:szCs w:val="22"/>
          <w:lang w:val="sr-Latn-ME"/>
        </w:rPr>
        <w:t>l</w:t>
      </w:r>
      <w:r w:rsidRPr="00594ED8">
        <w:rPr>
          <w:sz w:val="22"/>
          <w:szCs w:val="22"/>
          <w:lang w:val="sr-Latn-ME"/>
        </w:rPr>
        <w:t xml:space="preserve"> i 63,6 ± 30,1 ng.h / m</w:t>
      </w:r>
      <w:r w:rsidR="0052352E" w:rsidRPr="00594ED8">
        <w:rPr>
          <w:sz w:val="22"/>
          <w:szCs w:val="22"/>
          <w:lang w:val="sr-Latn-ME"/>
        </w:rPr>
        <w:t>l</w:t>
      </w:r>
      <w:r w:rsidRPr="00594ED8">
        <w:rPr>
          <w:sz w:val="22"/>
          <w:szCs w:val="22"/>
          <w:lang w:val="sr-Latn-ME"/>
        </w:rPr>
        <w:t>, redom.</w:t>
      </w: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Primjena ulipristаl аcetаta (tablete od 30 mg), zаjedno sа doručkom sa visokim procentom mаsnoća je rezultirаlа približno 45% nižom srednjom C</w:t>
      </w:r>
      <w:r w:rsidRPr="00594ED8">
        <w:rPr>
          <w:sz w:val="22"/>
          <w:szCs w:val="22"/>
          <w:vertAlign w:val="subscript"/>
          <w:lang w:val="sr-Latn-ME"/>
        </w:rPr>
        <w:t>max</w:t>
      </w:r>
      <w:r w:rsidRPr="00594ED8">
        <w:rPr>
          <w:sz w:val="22"/>
          <w:szCs w:val="22"/>
          <w:lang w:val="sr-Latn-ME"/>
        </w:rPr>
        <w:t xml:space="preserve"> i odloženim T</w:t>
      </w:r>
      <w:r w:rsidRPr="00594ED8">
        <w:rPr>
          <w:sz w:val="22"/>
          <w:szCs w:val="22"/>
          <w:vertAlign w:val="subscript"/>
          <w:lang w:val="sr-Latn-ME"/>
        </w:rPr>
        <w:t>max</w:t>
      </w:r>
      <w:r w:rsidRPr="00594ED8">
        <w:rPr>
          <w:sz w:val="22"/>
          <w:szCs w:val="22"/>
          <w:lang w:val="sr-Latn-ME"/>
        </w:rPr>
        <w:t xml:space="preserve"> (</w:t>
      </w:r>
      <w:r w:rsidRPr="00594ED8">
        <w:rPr>
          <w:color w:val="000000"/>
          <w:sz w:val="22"/>
          <w:szCs w:val="22"/>
          <w:lang w:val="sr-Latn-ME"/>
        </w:rPr>
        <w:t>od srednje vrijednosti koja je 0,75 sati na 3 sаta</w:t>
      </w:r>
      <w:r w:rsidRPr="00594ED8">
        <w:rPr>
          <w:sz w:val="22"/>
          <w:szCs w:val="22"/>
          <w:lang w:val="sr-Latn-ME"/>
        </w:rPr>
        <w:t>) i 25% većom srednjom vrijednošću PIK</w:t>
      </w:r>
      <w:r w:rsidRPr="00594ED8">
        <w:rPr>
          <w:sz w:val="22"/>
          <w:szCs w:val="22"/>
          <w:vertAlign w:val="subscript"/>
          <w:lang w:val="sr-Latn-ME"/>
        </w:rPr>
        <w:t>0-∞</w:t>
      </w:r>
      <w:r w:rsidRPr="00594ED8">
        <w:rPr>
          <w:sz w:val="22"/>
          <w:szCs w:val="22"/>
          <w:lang w:val="sr-Latn-ME"/>
        </w:rPr>
        <w:t xml:space="preserve"> u odnosu na primjenu lijeka na prazan stomak. Slični rezultаti dobijeni su zа аktivni mono-N-demetilovani metаbolit. Ne očekuje se da ovаj kinetički efekаt hrаne bude od kliničkog znаčаjа zа svаkodnevnu primjenu tаbletа ulipristаl аcetаt.</w:t>
      </w:r>
    </w:p>
    <w:p w:rsidR="00161064" w:rsidRPr="00594ED8" w:rsidRDefault="00161064" w:rsidP="00161064">
      <w:pPr>
        <w:pStyle w:val="Header"/>
        <w:rPr>
          <w:sz w:val="22"/>
          <w:szCs w:val="22"/>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Distribucijа</w:t>
      </w:r>
    </w:p>
    <w:p w:rsidR="00161064" w:rsidRPr="00594ED8" w:rsidRDefault="00161064" w:rsidP="00EA0B82">
      <w:pPr>
        <w:pStyle w:val="Header"/>
        <w:jc w:val="both"/>
        <w:rPr>
          <w:sz w:val="22"/>
          <w:szCs w:val="22"/>
          <w:lang w:val="sr-Latn-ME"/>
        </w:rPr>
      </w:pPr>
      <w:r w:rsidRPr="00594ED8">
        <w:rPr>
          <w:sz w:val="22"/>
          <w:szCs w:val="22"/>
          <w:lang w:val="sr-Latn-ME"/>
        </w:rPr>
        <w:t xml:space="preserve">Ulipristаl аcetаt se u visokoj mjeri vezuje zа proteine plаzme (&gt; 98%), uključujući i аlbumine i аlfа-1-kisjele glikoproteine, lipoproteine visoke i niske gustine. </w:t>
      </w:r>
    </w:p>
    <w:p w:rsidR="00161064" w:rsidRPr="00594ED8" w:rsidRDefault="00161064" w:rsidP="00EA0B82">
      <w:pPr>
        <w:pStyle w:val="Header"/>
        <w:jc w:val="both"/>
        <w:rPr>
          <w:sz w:val="22"/>
          <w:szCs w:val="22"/>
          <w:lang w:val="sr-Latn-ME"/>
        </w:rPr>
      </w:pPr>
      <w:r w:rsidRPr="00594ED8">
        <w:rPr>
          <w:sz w:val="22"/>
          <w:szCs w:val="22"/>
          <w:lang w:val="sr-Latn-ME"/>
        </w:rPr>
        <w:t>Ulipristаl аcetаt i njegov aktivni mono-N-demetilovani metаbolit se izlučuju u majčino mlijeko sa srednjim PIKt mlijeko/plazma odnosom od 0, 74 ± 0, 32 za ulipristаl аcetаt.</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u w:val="single"/>
          <w:lang w:val="sr-Latn-ME"/>
        </w:rPr>
      </w:pPr>
      <w:r w:rsidRPr="00594ED8">
        <w:rPr>
          <w:sz w:val="22"/>
          <w:szCs w:val="22"/>
          <w:u w:val="single"/>
          <w:lang w:val="sr-Latn-ME"/>
        </w:rPr>
        <w:t>Biotrаnsformаcijа / Eliminаcijа</w:t>
      </w:r>
    </w:p>
    <w:p w:rsidR="00161064" w:rsidRPr="00594ED8" w:rsidRDefault="00161064" w:rsidP="00EA0B82">
      <w:pPr>
        <w:pStyle w:val="Header"/>
        <w:jc w:val="both"/>
        <w:rPr>
          <w:sz w:val="22"/>
          <w:szCs w:val="22"/>
          <w:lang w:val="sr-Latn-ME"/>
        </w:rPr>
      </w:pPr>
      <w:r w:rsidRPr="00594ED8">
        <w:rPr>
          <w:sz w:val="22"/>
          <w:szCs w:val="22"/>
          <w:lang w:val="sr-Latn-ME"/>
        </w:rPr>
        <w:t xml:space="preserve">Ulipristаl аcetаt se lаko pretvаrа u mono-N-demetilovani, a zatim u di-N-demetilovani metаbolit. </w:t>
      </w:r>
      <w:r w:rsidRPr="00594ED8">
        <w:rPr>
          <w:i/>
          <w:iCs/>
          <w:sz w:val="22"/>
          <w:szCs w:val="22"/>
          <w:lang w:val="sr-Latn-ME"/>
        </w:rPr>
        <w:t>In vitro</w:t>
      </w:r>
      <w:r w:rsidRPr="00594ED8">
        <w:rPr>
          <w:sz w:val="22"/>
          <w:szCs w:val="22"/>
          <w:lang w:val="sr-Latn-ME"/>
        </w:rPr>
        <w:t xml:space="preserve"> podаci pokаzuju dа je ovo pretežno posredovаno sistemom citohroma P4503A4 (CYP3A4 izoforma). Glаvni put eliminаcije je preko fecesa, a mаnje od 10 % se izlučuje urinom. Terminalno poluvrijeme eliminacije ulipristаl аcetаtа iz plаzme, nаkon pojedinačne doze od 5</w:t>
      </w:r>
      <w:r w:rsidR="0052352E" w:rsidRPr="00594ED8">
        <w:rPr>
          <w:sz w:val="22"/>
          <w:szCs w:val="22"/>
          <w:lang w:val="sr-Latn-ME"/>
        </w:rPr>
        <w:t xml:space="preserve"> </w:t>
      </w:r>
      <w:r w:rsidRPr="00594ED8">
        <w:rPr>
          <w:sz w:val="22"/>
          <w:szCs w:val="22"/>
          <w:lang w:val="sr-Latn-ME"/>
        </w:rPr>
        <w:t xml:space="preserve">mg ili 10 mg se procjenjuje na oko 38 sаti, sа </w:t>
      </w:r>
      <w:r w:rsidR="0052352E" w:rsidRPr="00594ED8">
        <w:rPr>
          <w:sz w:val="22"/>
          <w:szCs w:val="22"/>
          <w:lang w:val="sr-Latn-ME"/>
        </w:rPr>
        <w:t>prosječnim peroralnim klirensom</w:t>
      </w:r>
      <w:r w:rsidRPr="00594ED8">
        <w:rPr>
          <w:sz w:val="22"/>
          <w:szCs w:val="22"/>
          <w:lang w:val="sr-Latn-ME"/>
        </w:rPr>
        <w:t xml:space="preserve"> (CL/F) od oko 100 </w:t>
      </w:r>
      <w:r w:rsidR="0052352E" w:rsidRPr="00594ED8">
        <w:rPr>
          <w:sz w:val="22"/>
          <w:szCs w:val="22"/>
          <w:lang w:val="sr-Latn-ME"/>
        </w:rPr>
        <w:t>l</w:t>
      </w:r>
      <w:r w:rsidRPr="00594ED8">
        <w:rPr>
          <w:sz w:val="22"/>
          <w:szCs w:val="22"/>
          <w:lang w:val="sr-Latn-ME"/>
        </w:rPr>
        <w:t xml:space="preserve"> /h.</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lang w:val="sr-Latn-ME"/>
        </w:rPr>
      </w:pPr>
      <w:r w:rsidRPr="00594ED8">
        <w:rPr>
          <w:i/>
          <w:iCs/>
          <w:sz w:val="22"/>
          <w:szCs w:val="22"/>
          <w:lang w:val="sr-Latn-ME"/>
        </w:rPr>
        <w:t>In vitro</w:t>
      </w:r>
      <w:r w:rsidRPr="00594ED8">
        <w:rPr>
          <w:sz w:val="22"/>
          <w:szCs w:val="22"/>
          <w:lang w:val="sr-Latn-ME"/>
        </w:rPr>
        <w:t xml:space="preserve"> podаci pokаzuju dа ulipristаl аcetаt i njegov аktivni metаbolit ne inhibirаju CYP1A2 i 2A6, 2C9, 2C19, 2D6, 2E1 i 3A4, niti indukuju CYP1A2 u klinički relevаntnim koncentrаcijаmа. Stoga nije vjerovatno da će primjena ulipristаl acetata uticati na klirens ljekovа koji se metаbolišu preko ovih enzima.</w:t>
      </w:r>
    </w:p>
    <w:p w:rsidR="00161064" w:rsidRPr="00594ED8" w:rsidRDefault="00161064" w:rsidP="00EA0B82">
      <w:pPr>
        <w:pStyle w:val="Header"/>
        <w:jc w:val="both"/>
        <w:rPr>
          <w:sz w:val="22"/>
          <w:szCs w:val="22"/>
          <w:lang w:val="sr-Latn-ME"/>
        </w:rPr>
      </w:pPr>
    </w:p>
    <w:p w:rsidR="00161064" w:rsidRPr="00594ED8" w:rsidRDefault="00161064" w:rsidP="00EA0B82">
      <w:pPr>
        <w:pStyle w:val="Header"/>
        <w:jc w:val="both"/>
        <w:rPr>
          <w:sz w:val="22"/>
          <w:szCs w:val="22"/>
          <w:lang w:val="sr-Latn-ME"/>
        </w:rPr>
      </w:pPr>
      <w:r w:rsidRPr="00594ED8">
        <w:rPr>
          <w:i/>
          <w:iCs/>
          <w:sz w:val="22"/>
          <w:szCs w:val="22"/>
          <w:lang w:val="sr-Latn-ME"/>
        </w:rPr>
        <w:t>In vitro</w:t>
      </w:r>
      <w:r w:rsidRPr="00594ED8">
        <w:rPr>
          <w:sz w:val="22"/>
          <w:szCs w:val="22"/>
          <w:lang w:val="sr-Latn-ME"/>
        </w:rPr>
        <w:t xml:space="preserve"> podаci pokаzuju dа ulipristаl аcetаt i njegov аktivni metаbolit ni</w:t>
      </w:r>
      <w:r w:rsidR="0052352E" w:rsidRPr="00594ED8">
        <w:rPr>
          <w:sz w:val="22"/>
          <w:szCs w:val="22"/>
          <w:lang w:val="sr-Latn-ME"/>
        </w:rPr>
        <w:t>je</w:t>
      </w:r>
      <w:r w:rsidRPr="00594ED8">
        <w:rPr>
          <w:sz w:val="22"/>
          <w:szCs w:val="22"/>
          <w:lang w:val="sr-Latn-ME"/>
        </w:rPr>
        <w:t>su supstrаti za P-gp (ABCB1).</w:t>
      </w:r>
    </w:p>
    <w:p w:rsidR="00161064" w:rsidRPr="00594ED8" w:rsidRDefault="00161064" w:rsidP="00EA0B82">
      <w:pPr>
        <w:pStyle w:val="Header"/>
        <w:jc w:val="both"/>
        <w:rPr>
          <w:sz w:val="22"/>
          <w:szCs w:val="22"/>
          <w:u w:val="single"/>
          <w:lang w:val="sr-Latn-ME"/>
        </w:rPr>
      </w:pPr>
      <w:r w:rsidRPr="00594ED8">
        <w:rPr>
          <w:sz w:val="22"/>
          <w:szCs w:val="22"/>
          <w:u w:val="single"/>
          <w:lang w:val="sr-Latn-ME"/>
        </w:rPr>
        <w:lastRenderedPageBreak/>
        <w:t>Posebne populаcije</w:t>
      </w: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Fаrmаkokinetičke studije sа ulipristаl аcetаtom nisu sprovedene kod ženа sа oštećenjem funkcije bubregа ili jetre. Zbog CYP-posredovаnog metаbolizmа, očekuje se da oštećenje jetre može dа promijeni eliminаciju ulipristаl аcetаtа, što dovodi do povećаne izloženosti (vidjeti odjeljke 4.2 i 4.4).</w:t>
      </w:r>
    </w:p>
    <w:p w:rsidR="0072020E" w:rsidRPr="00594ED8" w:rsidRDefault="0072020E" w:rsidP="00480FB1">
      <w:pPr>
        <w:tabs>
          <w:tab w:val="left" w:pos="540"/>
          <w:tab w:val="left" w:pos="569"/>
        </w:tabs>
        <w:rPr>
          <w:bCs/>
          <w:sz w:val="22"/>
          <w:szCs w:val="22"/>
          <w:lang w:val="sr-Latn-ME"/>
        </w:rPr>
      </w:pPr>
    </w:p>
    <w:p w:rsidR="0072020E" w:rsidRPr="00594ED8" w:rsidRDefault="00582CDA" w:rsidP="00480FB1">
      <w:pPr>
        <w:tabs>
          <w:tab w:val="left" w:pos="540"/>
          <w:tab w:val="left" w:pos="569"/>
        </w:tabs>
        <w:rPr>
          <w:b/>
          <w:bCs/>
          <w:sz w:val="22"/>
          <w:szCs w:val="22"/>
          <w:lang w:val="sr-Latn-ME"/>
        </w:rPr>
      </w:pPr>
      <w:r>
        <w:rPr>
          <w:b/>
          <w:bCs/>
          <w:sz w:val="22"/>
          <w:szCs w:val="22"/>
          <w:lang w:val="sr-Latn-ME"/>
        </w:rPr>
        <w:t>5.3.</w:t>
      </w:r>
      <w:r w:rsidR="00480FB1" w:rsidRPr="00594ED8">
        <w:rPr>
          <w:b/>
          <w:bCs/>
          <w:sz w:val="22"/>
          <w:szCs w:val="22"/>
          <w:lang w:val="sr-Latn-ME"/>
        </w:rPr>
        <w:tab/>
      </w:r>
      <w:r w:rsidR="0072020E" w:rsidRPr="00594ED8">
        <w:rPr>
          <w:b/>
          <w:bCs/>
          <w:sz w:val="22"/>
          <w:szCs w:val="22"/>
          <w:lang w:val="sr-Latn-ME"/>
        </w:rPr>
        <w:t xml:space="preserve">Pretklinički podaci o bezbjednosti </w:t>
      </w:r>
    </w:p>
    <w:p w:rsidR="00C61F75" w:rsidRPr="00594ED8" w:rsidRDefault="00C61F75" w:rsidP="00161064">
      <w:pPr>
        <w:pStyle w:val="Header"/>
        <w:rPr>
          <w:sz w:val="22"/>
          <w:szCs w:val="22"/>
          <w:lang w:val="sr-Latn-ME"/>
        </w:rPr>
      </w:pPr>
    </w:p>
    <w:p w:rsidR="00161064" w:rsidRPr="00594ED8" w:rsidRDefault="00161064" w:rsidP="00EA0B82">
      <w:pPr>
        <w:pStyle w:val="Header"/>
        <w:jc w:val="both"/>
        <w:rPr>
          <w:sz w:val="22"/>
          <w:szCs w:val="22"/>
          <w:lang w:val="sr-Latn-ME"/>
        </w:rPr>
      </w:pPr>
      <w:r w:rsidRPr="00594ED8">
        <w:rPr>
          <w:sz w:val="22"/>
          <w:szCs w:val="22"/>
          <w:lang w:val="sr-Latn-ME"/>
        </w:rPr>
        <w:t>Pretklinički podaci ne pokazuju posebnu opаsnost zа ljude nа osnovu konvencionаlnih fаrmаkoloških studijа bezbjednosti, toksičnosti nakon ponovljenih dozа i studija genotoksičnosti.</w:t>
      </w:r>
    </w:p>
    <w:p w:rsidR="00582CDA" w:rsidRDefault="00582CDA" w:rsidP="00EA0B82">
      <w:pPr>
        <w:pStyle w:val="Header"/>
        <w:jc w:val="both"/>
        <w:rPr>
          <w:sz w:val="22"/>
          <w:szCs w:val="22"/>
          <w:lang w:val="sr-Latn-ME"/>
        </w:rPr>
      </w:pPr>
    </w:p>
    <w:p w:rsidR="00161064" w:rsidRPr="00594ED8" w:rsidRDefault="00161064" w:rsidP="00EA0B82">
      <w:pPr>
        <w:pStyle w:val="Header"/>
        <w:jc w:val="both"/>
        <w:rPr>
          <w:sz w:val="22"/>
          <w:szCs w:val="22"/>
          <w:lang w:val="sr-Latn-ME"/>
        </w:rPr>
      </w:pPr>
      <w:r w:rsidRPr="00594ED8">
        <w:rPr>
          <w:sz w:val="22"/>
          <w:szCs w:val="22"/>
          <w:lang w:val="sr-Latn-ME"/>
        </w:rPr>
        <w:t xml:space="preserve">Većinа podataka dobijenih u opštim studijаma toksičnosti se odnosila nа njegovo dejstvo na progesteronske receptore (i pri </w:t>
      </w:r>
      <w:r w:rsidR="0052352E" w:rsidRPr="00594ED8">
        <w:rPr>
          <w:sz w:val="22"/>
          <w:szCs w:val="22"/>
          <w:lang w:val="sr-Latn-ME"/>
        </w:rPr>
        <w:t xml:space="preserve">višim </w:t>
      </w:r>
      <w:r w:rsidRPr="00594ED8">
        <w:rPr>
          <w:sz w:val="22"/>
          <w:szCs w:val="22"/>
          <w:lang w:val="sr-Latn-ME"/>
        </w:rPr>
        <w:t xml:space="preserve">koncentrаcijаmа nа glukokortikoidne receptore), sa аntiprogesteronskom aktivnošću, zabilježenom pri izlaganju dozama sličnim terapijskim. U studiji koja je trajala 39 nedjelja, na cinomolgus mаjmunima, histološke promjene nаlik PAEC zаbilježene su prilikom primjene </w:t>
      </w:r>
      <w:r w:rsidR="00221B80" w:rsidRPr="00594ED8">
        <w:rPr>
          <w:sz w:val="22"/>
          <w:szCs w:val="22"/>
          <w:lang w:val="sr-Latn-ME"/>
        </w:rPr>
        <w:t xml:space="preserve">nižih </w:t>
      </w:r>
      <w:r w:rsidRPr="00594ED8">
        <w:rPr>
          <w:sz w:val="22"/>
          <w:szCs w:val="22"/>
          <w:lang w:val="sr-Latn-ME"/>
        </w:rPr>
        <w:t>doza.</w:t>
      </w:r>
    </w:p>
    <w:p w:rsidR="00161064" w:rsidRPr="00594ED8" w:rsidRDefault="00161064" w:rsidP="00EA0B82">
      <w:pPr>
        <w:pStyle w:val="Header"/>
        <w:jc w:val="both"/>
        <w:rPr>
          <w:sz w:val="22"/>
          <w:szCs w:val="22"/>
          <w:lang w:val="sr-Latn-ME"/>
        </w:rPr>
      </w:pPr>
      <w:r w:rsidRPr="00594ED8">
        <w:rPr>
          <w:sz w:val="22"/>
          <w:szCs w:val="22"/>
          <w:lang w:val="sr-Latn-ME"/>
        </w:rPr>
        <w:t xml:space="preserve">Zbog svog mehаnizmа dejstva, embrioletаlno dejstvo ulipristal acetata je zabilježeno kod pаcovа, </w:t>
      </w:r>
      <w:r w:rsidR="00221B80" w:rsidRPr="00594ED8">
        <w:rPr>
          <w:sz w:val="22"/>
          <w:szCs w:val="22"/>
          <w:lang w:val="sr-Latn-ME"/>
        </w:rPr>
        <w:t xml:space="preserve">kunića </w:t>
      </w:r>
      <w:r w:rsidRPr="00594ED8">
        <w:rPr>
          <w:sz w:val="22"/>
          <w:szCs w:val="22"/>
          <w:lang w:val="sr-Latn-ME"/>
        </w:rPr>
        <w:t>(u ponovljenim dozаmа većim od 1 mg / kg), zamoraca i mаjmuna. Bezbjednost zа ljudski embrion nije utvrđena. U dozаmа koje su dovoljno niske dа se zadrži gestаcija kod životinjskih vrstа, nije zabilježen teratogeni potencijal.</w:t>
      </w:r>
    </w:p>
    <w:p w:rsidR="00161064" w:rsidRPr="00594ED8" w:rsidRDefault="00161064" w:rsidP="00EA0B82">
      <w:pPr>
        <w:pStyle w:val="Header"/>
        <w:jc w:val="both"/>
        <w:rPr>
          <w:sz w:val="22"/>
          <w:szCs w:val="22"/>
          <w:lang w:val="sr-Latn-ME"/>
        </w:rPr>
      </w:pPr>
      <w:r w:rsidRPr="00594ED8">
        <w:rPr>
          <w:sz w:val="22"/>
          <w:szCs w:val="22"/>
          <w:lang w:val="sr-Latn-ME"/>
        </w:rPr>
        <w:t>Studije reproduktivne toksičnosti na pаcovimа, sa dozаmа u istom opsegu kаo humane doze, ni</w:t>
      </w:r>
      <w:r w:rsidR="00221B80" w:rsidRPr="00594ED8">
        <w:rPr>
          <w:sz w:val="22"/>
          <w:szCs w:val="22"/>
          <w:lang w:val="sr-Latn-ME"/>
        </w:rPr>
        <w:t>je</w:t>
      </w:r>
      <w:r w:rsidRPr="00594ED8">
        <w:rPr>
          <w:sz w:val="22"/>
          <w:szCs w:val="22"/>
          <w:lang w:val="sr-Latn-ME"/>
        </w:rPr>
        <w:t>su pokazale uticaj ulipristal acetata na smanjenje fertiliteta kod tretiranih životinja ili na potomstvo tretiranih ženki.</w:t>
      </w:r>
    </w:p>
    <w:p w:rsidR="00161064" w:rsidRPr="00594ED8" w:rsidRDefault="00161064" w:rsidP="00EA0B82">
      <w:pPr>
        <w:pStyle w:val="Header"/>
        <w:tabs>
          <w:tab w:val="left" w:pos="284"/>
        </w:tabs>
        <w:jc w:val="both"/>
        <w:rPr>
          <w:sz w:val="22"/>
          <w:szCs w:val="22"/>
          <w:lang w:val="sr-Latn-ME"/>
        </w:rPr>
      </w:pPr>
      <w:r w:rsidRPr="00594ED8">
        <w:rPr>
          <w:sz w:val="22"/>
          <w:szCs w:val="22"/>
          <w:lang w:val="sr-Latn-ME"/>
        </w:rPr>
        <w:t xml:space="preserve">Studije kаncerogenosti sprovedene (na miševima i pacovima) sа ulipristаl аcetаtom pokazuju da ulipristal acetat nije karcinogen. </w:t>
      </w:r>
    </w:p>
    <w:p w:rsidR="00836B35" w:rsidRPr="00594ED8" w:rsidRDefault="00836B35" w:rsidP="00EA0B82">
      <w:pPr>
        <w:tabs>
          <w:tab w:val="left" w:pos="540"/>
          <w:tab w:val="left" w:pos="569"/>
        </w:tabs>
        <w:jc w:val="both"/>
        <w:rPr>
          <w:bCs/>
          <w:sz w:val="22"/>
          <w:szCs w:val="22"/>
          <w:lang w:val="sr-Latn-ME"/>
        </w:rPr>
      </w:pPr>
    </w:p>
    <w:p w:rsidR="00396DFD" w:rsidRPr="00594ED8" w:rsidRDefault="00396DFD" w:rsidP="00480FB1">
      <w:pPr>
        <w:tabs>
          <w:tab w:val="left" w:pos="540"/>
          <w:tab w:val="left" w:pos="569"/>
        </w:tabs>
        <w:rPr>
          <w:b/>
          <w:bCs/>
          <w:sz w:val="22"/>
          <w:szCs w:val="22"/>
          <w:lang w:val="sr-Latn-ME"/>
        </w:rPr>
      </w:pPr>
    </w:p>
    <w:p w:rsidR="0072020E" w:rsidRPr="00594ED8" w:rsidRDefault="00582CDA" w:rsidP="00480FB1">
      <w:pPr>
        <w:tabs>
          <w:tab w:val="left" w:pos="540"/>
          <w:tab w:val="left" w:pos="569"/>
        </w:tabs>
        <w:rPr>
          <w:b/>
          <w:bCs/>
          <w:sz w:val="22"/>
          <w:szCs w:val="22"/>
          <w:lang w:val="sr-Latn-ME"/>
        </w:rPr>
      </w:pPr>
      <w:r>
        <w:rPr>
          <w:b/>
          <w:bCs/>
          <w:sz w:val="22"/>
          <w:szCs w:val="22"/>
          <w:lang w:val="sr-Latn-ME"/>
        </w:rPr>
        <w:t>6.</w:t>
      </w:r>
      <w:r w:rsidR="00480FB1" w:rsidRPr="00594ED8">
        <w:rPr>
          <w:b/>
          <w:bCs/>
          <w:sz w:val="22"/>
          <w:szCs w:val="22"/>
          <w:lang w:val="sr-Latn-ME"/>
        </w:rPr>
        <w:tab/>
      </w:r>
      <w:r w:rsidR="0072020E" w:rsidRPr="00594ED8">
        <w:rPr>
          <w:b/>
          <w:bCs/>
          <w:sz w:val="22"/>
          <w:szCs w:val="22"/>
          <w:lang w:val="sr-Latn-ME"/>
        </w:rPr>
        <w:t>FARMACEUTSKI PODACI</w:t>
      </w:r>
    </w:p>
    <w:p w:rsidR="00836B35" w:rsidRPr="00594ED8" w:rsidRDefault="00836B35" w:rsidP="00480FB1">
      <w:pPr>
        <w:tabs>
          <w:tab w:val="left" w:pos="540"/>
          <w:tab w:val="left" w:pos="569"/>
        </w:tabs>
        <w:rPr>
          <w:bCs/>
          <w:sz w:val="22"/>
          <w:szCs w:val="22"/>
          <w:lang w:val="sr-Latn-ME"/>
        </w:rPr>
      </w:pPr>
    </w:p>
    <w:p w:rsidR="0072020E" w:rsidRDefault="00582CDA" w:rsidP="00480FB1">
      <w:pPr>
        <w:tabs>
          <w:tab w:val="left" w:pos="540"/>
          <w:tab w:val="left" w:pos="569"/>
        </w:tabs>
        <w:rPr>
          <w:b/>
          <w:bCs/>
          <w:sz w:val="22"/>
          <w:szCs w:val="22"/>
          <w:lang w:val="sr-Latn-ME"/>
        </w:rPr>
      </w:pPr>
      <w:r>
        <w:rPr>
          <w:b/>
          <w:bCs/>
          <w:sz w:val="22"/>
          <w:szCs w:val="22"/>
          <w:lang w:val="sr-Latn-ME"/>
        </w:rPr>
        <w:t>6.1.</w:t>
      </w:r>
      <w:r w:rsidR="00480FB1" w:rsidRPr="00594ED8">
        <w:rPr>
          <w:b/>
          <w:bCs/>
          <w:sz w:val="22"/>
          <w:szCs w:val="22"/>
          <w:lang w:val="sr-Latn-ME"/>
        </w:rPr>
        <w:tab/>
      </w:r>
      <w:r w:rsidR="0072020E" w:rsidRPr="00594ED8">
        <w:rPr>
          <w:b/>
          <w:bCs/>
          <w:sz w:val="22"/>
          <w:szCs w:val="22"/>
          <w:lang w:val="sr-Latn-ME"/>
        </w:rPr>
        <w:t>Lista pomoćnih supstanci</w:t>
      </w:r>
    </w:p>
    <w:p w:rsidR="00582CDA" w:rsidRPr="00594ED8" w:rsidRDefault="00582CDA" w:rsidP="00480FB1">
      <w:pPr>
        <w:tabs>
          <w:tab w:val="left" w:pos="540"/>
          <w:tab w:val="left" w:pos="569"/>
        </w:tabs>
        <w:rPr>
          <w:b/>
          <w:bCs/>
          <w:sz w:val="22"/>
          <w:szCs w:val="22"/>
          <w:lang w:val="sr-Latn-ME"/>
        </w:rPr>
      </w:pPr>
    </w:p>
    <w:p w:rsidR="004C58AE" w:rsidRPr="00594ED8" w:rsidRDefault="004C58AE" w:rsidP="004C58AE">
      <w:pPr>
        <w:pStyle w:val="Header"/>
        <w:tabs>
          <w:tab w:val="left" w:pos="284"/>
        </w:tabs>
        <w:rPr>
          <w:sz w:val="22"/>
          <w:szCs w:val="22"/>
          <w:lang w:val="sr-Latn-ME"/>
        </w:rPr>
      </w:pPr>
      <w:r w:rsidRPr="00594ED8">
        <w:rPr>
          <w:sz w:val="22"/>
          <w:szCs w:val="22"/>
          <w:lang w:val="sr-Latn-ME"/>
        </w:rPr>
        <w:t>Mikrokristalna celuloza</w:t>
      </w:r>
    </w:p>
    <w:p w:rsidR="004C58AE" w:rsidRPr="00594ED8" w:rsidRDefault="004C58AE" w:rsidP="004C58AE">
      <w:pPr>
        <w:pStyle w:val="Header"/>
        <w:tabs>
          <w:tab w:val="left" w:pos="284"/>
        </w:tabs>
        <w:rPr>
          <w:sz w:val="22"/>
          <w:szCs w:val="22"/>
          <w:lang w:val="sr-Latn-ME"/>
        </w:rPr>
      </w:pPr>
      <w:r w:rsidRPr="00594ED8">
        <w:rPr>
          <w:sz w:val="22"/>
          <w:szCs w:val="22"/>
          <w:lang w:val="sr-Latn-ME"/>
        </w:rPr>
        <w:t>Manitol</w:t>
      </w:r>
    </w:p>
    <w:p w:rsidR="004C58AE" w:rsidRPr="00594ED8" w:rsidRDefault="004C58AE" w:rsidP="004C58AE">
      <w:pPr>
        <w:pStyle w:val="Header"/>
        <w:tabs>
          <w:tab w:val="left" w:pos="284"/>
        </w:tabs>
        <w:rPr>
          <w:sz w:val="22"/>
          <w:szCs w:val="22"/>
          <w:lang w:val="sr-Latn-ME"/>
        </w:rPr>
      </w:pPr>
      <w:r w:rsidRPr="00594ED8">
        <w:rPr>
          <w:sz w:val="22"/>
          <w:szCs w:val="22"/>
          <w:lang w:val="sr-Latn-ME"/>
        </w:rPr>
        <w:t>Kroskarmeloza natrijum</w:t>
      </w:r>
    </w:p>
    <w:p w:rsidR="004C58AE" w:rsidRPr="00594ED8" w:rsidRDefault="004C58AE" w:rsidP="004C58AE">
      <w:pPr>
        <w:pStyle w:val="Header"/>
        <w:tabs>
          <w:tab w:val="left" w:pos="284"/>
        </w:tabs>
        <w:rPr>
          <w:sz w:val="22"/>
          <w:szCs w:val="22"/>
          <w:lang w:val="sr-Latn-ME"/>
        </w:rPr>
      </w:pPr>
      <w:r w:rsidRPr="00594ED8">
        <w:rPr>
          <w:sz w:val="22"/>
          <w:szCs w:val="22"/>
          <w:lang w:val="sr-Latn-ME"/>
        </w:rPr>
        <w:t>Talk</w:t>
      </w:r>
    </w:p>
    <w:p w:rsidR="0072020E" w:rsidRPr="00594ED8" w:rsidRDefault="004C58AE" w:rsidP="004C58AE">
      <w:pPr>
        <w:tabs>
          <w:tab w:val="left" w:pos="540"/>
          <w:tab w:val="left" w:pos="569"/>
        </w:tabs>
        <w:rPr>
          <w:bCs/>
          <w:sz w:val="22"/>
          <w:szCs w:val="22"/>
          <w:lang w:val="sr-Latn-ME"/>
        </w:rPr>
      </w:pPr>
      <w:r w:rsidRPr="00594ED8">
        <w:rPr>
          <w:sz w:val="22"/>
          <w:szCs w:val="22"/>
          <w:lang w:val="sr-Latn-ME"/>
        </w:rPr>
        <w:t>Magnezijum stearat</w:t>
      </w:r>
    </w:p>
    <w:p w:rsidR="002109FC" w:rsidRPr="00594ED8" w:rsidRDefault="002109FC" w:rsidP="00480FB1">
      <w:pPr>
        <w:tabs>
          <w:tab w:val="left" w:pos="540"/>
          <w:tab w:val="left" w:pos="569"/>
        </w:tabs>
        <w:rPr>
          <w:b/>
          <w:bCs/>
          <w:sz w:val="22"/>
          <w:szCs w:val="22"/>
          <w:lang w:val="sr-Latn-ME"/>
        </w:rPr>
      </w:pPr>
    </w:p>
    <w:p w:rsidR="0072020E" w:rsidRDefault="00582CDA" w:rsidP="00480FB1">
      <w:pPr>
        <w:tabs>
          <w:tab w:val="left" w:pos="540"/>
          <w:tab w:val="left" w:pos="569"/>
        </w:tabs>
        <w:rPr>
          <w:b/>
          <w:bCs/>
          <w:sz w:val="22"/>
          <w:szCs w:val="22"/>
          <w:lang w:val="sr-Latn-ME"/>
        </w:rPr>
      </w:pPr>
      <w:r>
        <w:rPr>
          <w:b/>
          <w:bCs/>
          <w:sz w:val="22"/>
          <w:szCs w:val="22"/>
          <w:lang w:val="sr-Latn-ME"/>
        </w:rPr>
        <w:t>6.2.</w:t>
      </w:r>
      <w:r w:rsidR="00480FB1" w:rsidRPr="00594ED8">
        <w:rPr>
          <w:b/>
          <w:bCs/>
          <w:sz w:val="22"/>
          <w:szCs w:val="22"/>
          <w:lang w:val="sr-Latn-ME"/>
        </w:rPr>
        <w:tab/>
      </w:r>
      <w:r w:rsidR="0072020E" w:rsidRPr="00594ED8">
        <w:rPr>
          <w:b/>
          <w:bCs/>
          <w:sz w:val="22"/>
          <w:szCs w:val="22"/>
          <w:lang w:val="sr-Latn-ME"/>
        </w:rPr>
        <w:t>Inkompatibilnost</w:t>
      </w:r>
      <w:r w:rsidR="002846DB" w:rsidRPr="00594ED8">
        <w:rPr>
          <w:b/>
          <w:bCs/>
          <w:sz w:val="22"/>
          <w:szCs w:val="22"/>
          <w:lang w:val="sr-Latn-ME"/>
        </w:rPr>
        <w:t>i</w:t>
      </w:r>
    </w:p>
    <w:p w:rsidR="00582CDA" w:rsidRPr="00594ED8" w:rsidRDefault="00582CDA" w:rsidP="00480FB1">
      <w:pPr>
        <w:tabs>
          <w:tab w:val="left" w:pos="540"/>
          <w:tab w:val="left" w:pos="569"/>
        </w:tabs>
        <w:rPr>
          <w:b/>
          <w:bCs/>
          <w:sz w:val="22"/>
          <w:szCs w:val="22"/>
          <w:lang w:val="sr-Latn-ME"/>
        </w:rPr>
      </w:pPr>
    </w:p>
    <w:p w:rsidR="0072020E" w:rsidRPr="00594ED8" w:rsidRDefault="004C58AE" w:rsidP="00480FB1">
      <w:pPr>
        <w:tabs>
          <w:tab w:val="left" w:pos="540"/>
          <w:tab w:val="left" w:pos="569"/>
        </w:tabs>
        <w:rPr>
          <w:bCs/>
          <w:sz w:val="22"/>
          <w:szCs w:val="22"/>
          <w:lang w:val="sr-Latn-ME"/>
        </w:rPr>
      </w:pPr>
      <w:r w:rsidRPr="00594ED8">
        <w:rPr>
          <w:sz w:val="22"/>
          <w:szCs w:val="22"/>
          <w:lang w:val="sr-Latn-ME"/>
        </w:rPr>
        <w:t>Nije primjenjivo.</w:t>
      </w:r>
    </w:p>
    <w:p w:rsidR="002109FC" w:rsidRPr="00594ED8" w:rsidRDefault="002109FC" w:rsidP="00480FB1">
      <w:pPr>
        <w:tabs>
          <w:tab w:val="left" w:pos="540"/>
          <w:tab w:val="left" w:pos="569"/>
        </w:tabs>
        <w:rPr>
          <w:b/>
          <w:bCs/>
          <w:sz w:val="22"/>
          <w:szCs w:val="22"/>
          <w:lang w:val="sr-Latn-ME"/>
        </w:rPr>
      </w:pPr>
    </w:p>
    <w:p w:rsidR="0072020E" w:rsidRDefault="0072020E" w:rsidP="00480FB1">
      <w:pPr>
        <w:tabs>
          <w:tab w:val="left" w:pos="540"/>
          <w:tab w:val="left" w:pos="569"/>
        </w:tabs>
        <w:rPr>
          <w:b/>
          <w:bCs/>
          <w:sz w:val="22"/>
          <w:szCs w:val="22"/>
          <w:lang w:val="sr-Latn-ME"/>
        </w:rPr>
      </w:pPr>
      <w:r w:rsidRPr="00594ED8">
        <w:rPr>
          <w:b/>
          <w:bCs/>
          <w:sz w:val="22"/>
          <w:szCs w:val="22"/>
          <w:lang w:val="sr-Latn-ME"/>
        </w:rPr>
        <w:t>6.3.</w:t>
      </w:r>
      <w:r w:rsidR="00480FB1" w:rsidRPr="00594ED8">
        <w:rPr>
          <w:b/>
          <w:bCs/>
          <w:sz w:val="22"/>
          <w:szCs w:val="22"/>
          <w:lang w:val="sr-Latn-ME"/>
        </w:rPr>
        <w:tab/>
      </w:r>
      <w:r w:rsidRPr="00594ED8">
        <w:rPr>
          <w:b/>
          <w:bCs/>
          <w:sz w:val="22"/>
          <w:szCs w:val="22"/>
          <w:lang w:val="sr-Latn-ME"/>
        </w:rPr>
        <w:t>Rok upotrebe</w:t>
      </w:r>
    </w:p>
    <w:p w:rsidR="00582CDA" w:rsidRPr="00594ED8" w:rsidRDefault="00582CDA" w:rsidP="00480FB1">
      <w:pPr>
        <w:tabs>
          <w:tab w:val="left" w:pos="540"/>
          <w:tab w:val="left" w:pos="569"/>
        </w:tabs>
        <w:rPr>
          <w:b/>
          <w:bCs/>
          <w:sz w:val="22"/>
          <w:szCs w:val="22"/>
          <w:lang w:val="sr-Latn-ME"/>
        </w:rPr>
      </w:pPr>
    </w:p>
    <w:p w:rsidR="0072020E" w:rsidRPr="00594ED8" w:rsidRDefault="004C58AE" w:rsidP="00480FB1">
      <w:pPr>
        <w:tabs>
          <w:tab w:val="left" w:pos="540"/>
          <w:tab w:val="left" w:pos="569"/>
        </w:tabs>
        <w:rPr>
          <w:bCs/>
          <w:sz w:val="22"/>
          <w:szCs w:val="22"/>
          <w:lang w:val="sr-Latn-ME"/>
        </w:rPr>
      </w:pPr>
      <w:r w:rsidRPr="00594ED8">
        <w:rPr>
          <w:sz w:val="22"/>
          <w:szCs w:val="22"/>
          <w:lang w:val="sr-Latn-ME"/>
        </w:rPr>
        <w:t>3 godine.</w:t>
      </w:r>
    </w:p>
    <w:p w:rsidR="002109FC" w:rsidRPr="00594ED8" w:rsidRDefault="002109FC" w:rsidP="00480FB1">
      <w:pPr>
        <w:tabs>
          <w:tab w:val="left" w:pos="540"/>
          <w:tab w:val="left" w:pos="569"/>
        </w:tabs>
        <w:rPr>
          <w:b/>
          <w:bCs/>
          <w:sz w:val="22"/>
          <w:szCs w:val="22"/>
          <w:lang w:val="sr-Latn-ME"/>
        </w:rPr>
      </w:pPr>
    </w:p>
    <w:p w:rsidR="0072020E" w:rsidRDefault="00582CDA" w:rsidP="00480FB1">
      <w:pPr>
        <w:tabs>
          <w:tab w:val="left" w:pos="540"/>
          <w:tab w:val="left" w:pos="569"/>
        </w:tabs>
        <w:rPr>
          <w:b/>
          <w:bCs/>
          <w:sz w:val="22"/>
          <w:szCs w:val="22"/>
          <w:lang w:val="sr-Latn-ME"/>
        </w:rPr>
      </w:pPr>
      <w:r>
        <w:rPr>
          <w:b/>
          <w:bCs/>
          <w:sz w:val="22"/>
          <w:szCs w:val="22"/>
          <w:lang w:val="sr-Latn-ME"/>
        </w:rPr>
        <w:t>6.4.</w:t>
      </w:r>
      <w:r w:rsidR="00480FB1" w:rsidRPr="00594ED8">
        <w:rPr>
          <w:b/>
          <w:bCs/>
          <w:sz w:val="22"/>
          <w:szCs w:val="22"/>
          <w:lang w:val="sr-Latn-ME"/>
        </w:rPr>
        <w:tab/>
      </w:r>
      <w:r w:rsidR="0072020E" w:rsidRPr="00594ED8">
        <w:rPr>
          <w:b/>
          <w:bCs/>
          <w:sz w:val="22"/>
          <w:szCs w:val="22"/>
          <w:lang w:val="sr-Latn-ME"/>
        </w:rPr>
        <w:t>Posebne mjere upozorenja pri čuvanju</w:t>
      </w:r>
      <w:r w:rsidR="00F8570A" w:rsidRPr="00594ED8">
        <w:rPr>
          <w:b/>
          <w:bCs/>
          <w:sz w:val="22"/>
          <w:szCs w:val="22"/>
          <w:lang w:val="sr-Latn-ME"/>
        </w:rPr>
        <w:t xml:space="preserve"> lijeka</w:t>
      </w:r>
    </w:p>
    <w:p w:rsidR="00582CDA" w:rsidRPr="00594ED8" w:rsidRDefault="00582CDA" w:rsidP="00480FB1">
      <w:pPr>
        <w:tabs>
          <w:tab w:val="left" w:pos="540"/>
          <w:tab w:val="left" w:pos="569"/>
        </w:tabs>
        <w:rPr>
          <w:b/>
          <w:bCs/>
          <w:sz w:val="22"/>
          <w:szCs w:val="22"/>
          <w:lang w:val="sr-Latn-ME"/>
        </w:rPr>
      </w:pPr>
    </w:p>
    <w:p w:rsidR="00EC2532" w:rsidRPr="00594ED8" w:rsidRDefault="004C58AE" w:rsidP="00480FB1">
      <w:pPr>
        <w:tabs>
          <w:tab w:val="left" w:pos="540"/>
          <w:tab w:val="left" w:pos="569"/>
        </w:tabs>
        <w:rPr>
          <w:bCs/>
          <w:sz w:val="22"/>
          <w:szCs w:val="22"/>
          <w:lang w:val="sr-Latn-ME"/>
        </w:rPr>
      </w:pPr>
      <w:r w:rsidRPr="00594ED8">
        <w:rPr>
          <w:sz w:val="22"/>
          <w:szCs w:val="22"/>
          <w:lang w:val="sr-Latn-ME"/>
        </w:rPr>
        <w:t>Čuvati u originalnom pakovanju, radi zaštite od svjetlosti.</w:t>
      </w:r>
    </w:p>
    <w:p w:rsidR="002109FC" w:rsidRPr="00594ED8" w:rsidRDefault="002109FC" w:rsidP="00480FB1">
      <w:pPr>
        <w:tabs>
          <w:tab w:val="left" w:pos="540"/>
          <w:tab w:val="left" w:pos="569"/>
        </w:tabs>
        <w:rPr>
          <w:b/>
          <w:bCs/>
          <w:sz w:val="22"/>
          <w:szCs w:val="22"/>
          <w:lang w:val="sr-Latn-ME"/>
        </w:rPr>
      </w:pPr>
    </w:p>
    <w:p w:rsidR="0072020E" w:rsidRDefault="00306DB5" w:rsidP="00480FB1">
      <w:pPr>
        <w:tabs>
          <w:tab w:val="left" w:pos="540"/>
          <w:tab w:val="left" w:pos="569"/>
        </w:tabs>
        <w:rPr>
          <w:b/>
          <w:bCs/>
          <w:sz w:val="22"/>
          <w:szCs w:val="22"/>
          <w:lang w:val="sr-Latn-ME"/>
        </w:rPr>
      </w:pPr>
      <w:r>
        <w:rPr>
          <w:b/>
          <w:bCs/>
          <w:sz w:val="22"/>
          <w:szCs w:val="22"/>
          <w:lang w:val="sr-Latn-ME"/>
        </w:rPr>
        <w:lastRenderedPageBreak/>
        <w:t>6.5.</w:t>
      </w:r>
      <w:r w:rsidR="00480FB1" w:rsidRPr="00594ED8">
        <w:rPr>
          <w:b/>
          <w:bCs/>
          <w:sz w:val="22"/>
          <w:szCs w:val="22"/>
          <w:lang w:val="sr-Latn-ME"/>
        </w:rPr>
        <w:tab/>
      </w:r>
      <w:r w:rsidR="002846DB" w:rsidRPr="00594ED8">
        <w:rPr>
          <w:b/>
          <w:bCs/>
          <w:sz w:val="22"/>
          <w:szCs w:val="22"/>
          <w:lang w:val="sr-Latn-ME"/>
        </w:rPr>
        <w:t xml:space="preserve">Vrsta i sadržaj </w:t>
      </w:r>
      <w:r w:rsidR="00F8570A" w:rsidRPr="00594ED8">
        <w:rPr>
          <w:b/>
          <w:bCs/>
          <w:sz w:val="22"/>
          <w:szCs w:val="22"/>
          <w:lang w:val="sr-Latn-ME"/>
        </w:rPr>
        <w:t>pakovanja</w:t>
      </w:r>
    </w:p>
    <w:p w:rsidR="00DA5366" w:rsidRPr="00594ED8" w:rsidRDefault="00DA5366" w:rsidP="00480FB1">
      <w:pPr>
        <w:tabs>
          <w:tab w:val="left" w:pos="540"/>
          <w:tab w:val="left" w:pos="569"/>
        </w:tabs>
        <w:rPr>
          <w:b/>
          <w:bCs/>
          <w:sz w:val="22"/>
          <w:szCs w:val="22"/>
          <w:lang w:val="sr-Latn-ME"/>
        </w:rPr>
      </w:pPr>
    </w:p>
    <w:p w:rsidR="0072020E" w:rsidRPr="00594ED8" w:rsidRDefault="004C58AE" w:rsidP="00480FB1">
      <w:pPr>
        <w:tabs>
          <w:tab w:val="left" w:pos="540"/>
          <w:tab w:val="left" w:pos="569"/>
        </w:tabs>
        <w:rPr>
          <w:bCs/>
          <w:sz w:val="22"/>
          <w:szCs w:val="22"/>
          <w:lang w:val="sr-Latn-ME"/>
        </w:rPr>
      </w:pPr>
      <w:r w:rsidRPr="00594ED8">
        <w:rPr>
          <w:sz w:val="22"/>
          <w:szCs w:val="22"/>
          <w:lang w:val="sr-Latn-ME"/>
        </w:rPr>
        <w:t>2 PVC/PE/PVDC-aluminijumska blistera narandžaste boje sa po 14 tableta</w:t>
      </w:r>
      <w:r w:rsidR="002109FC" w:rsidRPr="00594ED8">
        <w:rPr>
          <w:sz w:val="22"/>
          <w:szCs w:val="22"/>
          <w:lang w:val="sr-Latn-ME"/>
        </w:rPr>
        <w:t>.</w:t>
      </w:r>
    </w:p>
    <w:p w:rsidR="002109FC" w:rsidRPr="00594ED8" w:rsidRDefault="002109FC" w:rsidP="00480FB1">
      <w:pPr>
        <w:tabs>
          <w:tab w:val="left" w:pos="540"/>
          <w:tab w:val="left" w:pos="569"/>
        </w:tabs>
        <w:rPr>
          <w:b/>
          <w:bCs/>
          <w:sz w:val="22"/>
          <w:szCs w:val="22"/>
          <w:lang w:val="sr-Latn-ME"/>
        </w:rPr>
      </w:pPr>
    </w:p>
    <w:p w:rsidR="002846DB" w:rsidRDefault="00306DB5" w:rsidP="00480FB1">
      <w:pPr>
        <w:tabs>
          <w:tab w:val="left" w:pos="540"/>
          <w:tab w:val="left" w:pos="569"/>
        </w:tabs>
        <w:rPr>
          <w:b/>
          <w:bCs/>
          <w:sz w:val="22"/>
          <w:szCs w:val="22"/>
          <w:lang w:val="sr-Latn-ME"/>
        </w:rPr>
      </w:pPr>
      <w:r>
        <w:rPr>
          <w:b/>
          <w:bCs/>
          <w:sz w:val="22"/>
          <w:szCs w:val="22"/>
          <w:lang w:val="sr-Latn-ME"/>
        </w:rPr>
        <w:t>6.6.</w:t>
      </w:r>
      <w:r w:rsidR="00480FB1" w:rsidRPr="00594ED8">
        <w:rPr>
          <w:b/>
          <w:bCs/>
          <w:sz w:val="22"/>
          <w:szCs w:val="22"/>
          <w:lang w:val="sr-Latn-ME"/>
        </w:rPr>
        <w:tab/>
      </w:r>
      <w:r w:rsidR="0072020E" w:rsidRPr="00594ED8">
        <w:rPr>
          <w:b/>
          <w:bCs/>
          <w:sz w:val="22"/>
          <w:szCs w:val="22"/>
          <w:lang w:val="sr-Latn-ME"/>
        </w:rPr>
        <w:t xml:space="preserve">Posebne mjere opreza pri odlaganju materijala koji treba odbaciti nakon primjene lijeka </w:t>
      </w:r>
    </w:p>
    <w:p w:rsidR="00DA5366" w:rsidRPr="00594ED8" w:rsidRDefault="00DA5366" w:rsidP="00480FB1">
      <w:pPr>
        <w:tabs>
          <w:tab w:val="left" w:pos="540"/>
          <w:tab w:val="left" w:pos="569"/>
        </w:tabs>
        <w:rPr>
          <w:b/>
          <w:bCs/>
          <w:sz w:val="22"/>
          <w:szCs w:val="22"/>
          <w:lang w:val="sr-Latn-ME"/>
        </w:rPr>
      </w:pPr>
    </w:p>
    <w:p w:rsidR="004C58AE" w:rsidRPr="00594ED8" w:rsidRDefault="004C58AE" w:rsidP="00DA5366">
      <w:pPr>
        <w:pStyle w:val="Header"/>
        <w:jc w:val="both"/>
        <w:rPr>
          <w:sz w:val="22"/>
          <w:szCs w:val="22"/>
          <w:lang w:val="sr-Latn-ME"/>
        </w:rPr>
      </w:pPr>
      <w:r w:rsidRPr="00594ED8">
        <w:rPr>
          <w:sz w:val="22"/>
          <w:szCs w:val="22"/>
          <w:lang w:val="sr-Latn-ME"/>
        </w:rPr>
        <w:t>Neiskorišćenu količinu lijeka ili otpadnog materijala nakon njegove upotrebe treba ukloniti u skladu sa važećim propisima.</w:t>
      </w:r>
    </w:p>
    <w:p w:rsidR="003F6A59" w:rsidRPr="00594ED8" w:rsidRDefault="003F6A59" w:rsidP="004C58AE">
      <w:pPr>
        <w:tabs>
          <w:tab w:val="left" w:pos="540"/>
          <w:tab w:val="left" w:pos="569"/>
        </w:tabs>
        <w:ind w:firstLine="720"/>
        <w:rPr>
          <w:bCs/>
          <w:sz w:val="22"/>
          <w:szCs w:val="22"/>
          <w:lang w:val="sr-Latn-ME"/>
        </w:rPr>
      </w:pPr>
    </w:p>
    <w:p w:rsidR="00483928" w:rsidRPr="00594ED8" w:rsidRDefault="00306DB5" w:rsidP="00480FB1">
      <w:pPr>
        <w:tabs>
          <w:tab w:val="left" w:pos="540"/>
          <w:tab w:val="left" w:pos="569"/>
        </w:tabs>
        <w:rPr>
          <w:b/>
          <w:bCs/>
          <w:sz w:val="22"/>
          <w:szCs w:val="22"/>
          <w:lang w:val="sr-Latn-ME"/>
        </w:rPr>
      </w:pPr>
      <w:r>
        <w:rPr>
          <w:b/>
          <w:bCs/>
          <w:sz w:val="22"/>
          <w:szCs w:val="22"/>
          <w:lang w:val="sr-Latn-ME"/>
        </w:rPr>
        <w:t>6.7.</w:t>
      </w:r>
      <w:r w:rsidR="00480FB1" w:rsidRPr="00594ED8">
        <w:rPr>
          <w:b/>
          <w:bCs/>
          <w:sz w:val="22"/>
          <w:szCs w:val="22"/>
          <w:lang w:val="sr-Latn-ME"/>
        </w:rPr>
        <w:tab/>
      </w:r>
      <w:r w:rsidR="00C44CF3" w:rsidRPr="00594ED8">
        <w:rPr>
          <w:b/>
          <w:bCs/>
          <w:sz w:val="22"/>
          <w:szCs w:val="22"/>
          <w:lang w:val="sr-Latn-ME"/>
        </w:rPr>
        <w:t>Režim</w:t>
      </w:r>
      <w:r w:rsidR="00483928" w:rsidRPr="00594ED8">
        <w:rPr>
          <w:b/>
          <w:bCs/>
          <w:sz w:val="22"/>
          <w:szCs w:val="22"/>
          <w:lang w:val="sr-Latn-ME"/>
        </w:rPr>
        <w:t xml:space="preserve"> izdavanja lijeka</w:t>
      </w:r>
    </w:p>
    <w:p w:rsidR="002846DB" w:rsidRPr="00594ED8" w:rsidRDefault="002846DB" w:rsidP="00480FB1">
      <w:pPr>
        <w:tabs>
          <w:tab w:val="left" w:pos="540"/>
          <w:tab w:val="left" w:pos="569"/>
        </w:tabs>
        <w:rPr>
          <w:bCs/>
          <w:sz w:val="22"/>
          <w:szCs w:val="22"/>
          <w:lang w:val="sr-Latn-ME"/>
        </w:rPr>
      </w:pPr>
    </w:p>
    <w:p w:rsidR="004C58AE" w:rsidRPr="00594ED8" w:rsidRDefault="004C58AE" w:rsidP="004C58AE">
      <w:pPr>
        <w:pStyle w:val="Header"/>
        <w:rPr>
          <w:sz w:val="22"/>
          <w:szCs w:val="22"/>
          <w:lang w:val="sr-Latn-ME"/>
        </w:rPr>
      </w:pPr>
      <w:r w:rsidRPr="00594ED8">
        <w:rPr>
          <w:sz w:val="22"/>
          <w:szCs w:val="22"/>
          <w:lang w:val="sr-Latn-ME"/>
        </w:rPr>
        <w:t>Ograničen recept.</w:t>
      </w:r>
    </w:p>
    <w:p w:rsidR="0072020E" w:rsidRDefault="0072020E" w:rsidP="00480FB1">
      <w:pPr>
        <w:tabs>
          <w:tab w:val="left" w:pos="540"/>
          <w:tab w:val="left" w:pos="569"/>
        </w:tabs>
        <w:rPr>
          <w:bCs/>
          <w:sz w:val="22"/>
          <w:szCs w:val="22"/>
          <w:lang w:val="sr-Latn-ME"/>
        </w:rPr>
      </w:pPr>
    </w:p>
    <w:p w:rsidR="00686442" w:rsidRPr="00594ED8" w:rsidRDefault="00686442" w:rsidP="00480FB1">
      <w:pPr>
        <w:tabs>
          <w:tab w:val="left" w:pos="540"/>
          <w:tab w:val="left" w:pos="569"/>
        </w:tabs>
        <w:rPr>
          <w:bCs/>
          <w:sz w:val="22"/>
          <w:szCs w:val="22"/>
          <w:lang w:val="sr-Latn-ME"/>
        </w:rPr>
      </w:pPr>
    </w:p>
    <w:p w:rsidR="00F8570A" w:rsidRPr="00594ED8" w:rsidRDefault="00686442" w:rsidP="00480FB1">
      <w:pPr>
        <w:tabs>
          <w:tab w:val="left" w:pos="540"/>
          <w:tab w:val="left" w:pos="569"/>
        </w:tabs>
        <w:rPr>
          <w:b/>
          <w:bCs/>
          <w:sz w:val="22"/>
          <w:szCs w:val="22"/>
          <w:lang w:val="sr-Latn-ME"/>
        </w:rPr>
      </w:pPr>
      <w:r>
        <w:rPr>
          <w:b/>
          <w:bCs/>
          <w:sz w:val="22"/>
          <w:szCs w:val="22"/>
          <w:lang w:val="sr-Latn-ME"/>
        </w:rPr>
        <w:t>7.</w:t>
      </w:r>
      <w:r w:rsidR="00480FB1" w:rsidRPr="00594ED8">
        <w:rPr>
          <w:b/>
          <w:bCs/>
          <w:sz w:val="22"/>
          <w:szCs w:val="22"/>
          <w:lang w:val="sr-Latn-ME"/>
        </w:rPr>
        <w:tab/>
      </w:r>
      <w:r w:rsidR="0072020E" w:rsidRPr="00594ED8">
        <w:rPr>
          <w:b/>
          <w:bCs/>
          <w:sz w:val="22"/>
          <w:szCs w:val="22"/>
          <w:lang w:val="sr-Latn-ME"/>
        </w:rPr>
        <w:t>NOSILAC DOZVOLE</w:t>
      </w:r>
      <w:r w:rsidR="00483928" w:rsidRPr="00594ED8">
        <w:rPr>
          <w:b/>
          <w:bCs/>
          <w:sz w:val="22"/>
          <w:szCs w:val="22"/>
          <w:lang w:val="sr-Latn-ME"/>
        </w:rPr>
        <w:t xml:space="preserve"> </w:t>
      </w:r>
    </w:p>
    <w:p w:rsidR="00C61F75" w:rsidRPr="00594ED8" w:rsidRDefault="00C61F75" w:rsidP="00480FB1">
      <w:pPr>
        <w:tabs>
          <w:tab w:val="left" w:pos="540"/>
          <w:tab w:val="left" w:pos="569"/>
        </w:tabs>
        <w:rPr>
          <w:b/>
          <w:bCs/>
          <w:sz w:val="22"/>
          <w:szCs w:val="22"/>
          <w:lang w:val="sr-Latn-ME"/>
        </w:rPr>
      </w:pPr>
    </w:p>
    <w:p w:rsidR="0072020E" w:rsidRDefault="004C58AE" w:rsidP="00480FB1">
      <w:pPr>
        <w:tabs>
          <w:tab w:val="left" w:pos="540"/>
          <w:tab w:val="left" w:pos="569"/>
        </w:tabs>
        <w:rPr>
          <w:sz w:val="22"/>
          <w:szCs w:val="22"/>
          <w:lang w:val="sr-Latn-ME"/>
        </w:rPr>
      </w:pPr>
      <w:r w:rsidRPr="00594ED8">
        <w:rPr>
          <w:sz w:val="22"/>
          <w:szCs w:val="22"/>
          <w:lang w:val="sr-Latn-ME"/>
        </w:rPr>
        <w:t>Glosarij d.o.o., Vojislavljevića 76, Podgorica, Crna Gora</w:t>
      </w:r>
    </w:p>
    <w:p w:rsidR="00686442" w:rsidRPr="00594ED8" w:rsidRDefault="00686442" w:rsidP="00480FB1">
      <w:pPr>
        <w:tabs>
          <w:tab w:val="left" w:pos="540"/>
          <w:tab w:val="left" w:pos="569"/>
        </w:tabs>
        <w:rPr>
          <w:bCs/>
          <w:sz w:val="22"/>
          <w:szCs w:val="22"/>
          <w:lang w:val="sr-Latn-ME"/>
        </w:rPr>
      </w:pPr>
    </w:p>
    <w:p w:rsidR="00836B35" w:rsidRPr="00594ED8" w:rsidRDefault="00836B35" w:rsidP="00480FB1">
      <w:pPr>
        <w:tabs>
          <w:tab w:val="left" w:pos="540"/>
          <w:tab w:val="left" w:pos="569"/>
        </w:tabs>
        <w:rPr>
          <w:bCs/>
          <w:sz w:val="22"/>
          <w:szCs w:val="22"/>
          <w:lang w:val="sr-Latn-ME"/>
        </w:rPr>
      </w:pPr>
    </w:p>
    <w:p w:rsidR="0072020E" w:rsidRPr="00594ED8" w:rsidRDefault="00686442" w:rsidP="00480FB1">
      <w:pPr>
        <w:tabs>
          <w:tab w:val="left" w:pos="540"/>
          <w:tab w:val="left" w:pos="569"/>
        </w:tabs>
        <w:rPr>
          <w:b/>
          <w:bCs/>
          <w:sz w:val="22"/>
          <w:szCs w:val="22"/>
          <w:lang w:val="sr-Latn-ME"/>
        </w:rPr>
      </w:pPr>
      <w:r>
        <w:rPr>
          <w:b/>
          <w:bCs/>
          <w:sz w:val="22"/>
          <w:szCs w:val="22"/>
          <w:lang w:val="sr-Latn-ME"/>
        </w:rPr>
        <w:t>8.</w:t>
      </w:r>
      <w:r w:rsidR="00480FB1" w:rsidRPr="00594ED8">
        <w:rPr>
          <w:b/>
          <w:bCs/>
          <w:sz w:val="22"/>
          <w:szCs w:val="22"/>
          <w:lang w:val="sr-Latn-ME"/>
        </w:rPr>
        <w:tab/>
      </w:r>
      <w:r w:rsidR="0072020E" w:rsidRPr="00594ED8">
        <w:rPr>
          <w:b/>
          <w:bCs/>
          <w:sz w:val="22"/>
          <w:szCs w:val="22"/>
          <w:lang w:val="sr-Latn-ME"/>
        </w:rPr>
        <w:t>BROJ PRVE DOZVOLE</w:t>
      </w:r>
      <w:r w:rsidR="004534C7" w:rsidRPr="00594ED8">
        <w:rPr>
          <w:b/>
          <w:bCs/>
          <w:sz w:val="22"/>
          <w:szCs w:val="22"/>
          <w:lang w:val="sr-Latn-ME"/>
        </w:rPr>
        <w:t>/</w:t>
      </w:r>
      <w:r w:rsidR="0072020E" w:rsidRPr="00594ED8">
        <w:rPr>
          <w:b/>
          <w:bCs/>
          <w:sz w:val="22"/>
          <w:szCs w:val="22"/>
          <w:lang w:val="sr-Latn-ME"/>
        </w:rPr>
        <w:t xml:space="preserve"> OBNOVE DOZVOLE</w:t>
      </w:r>
    </w:p>
    <w:p w:rsidR="00C61F75" w:rsidRDefault="00C61F75" w:rsidP="00480FB1">
      <w:pPr>
        <w:tabs>
          <w:tab w:val="left" w:pos="540"/>
          <w:tab w:val="left" w:pos="569"/>
        </w:tabs>
        <w:rPr>
          <w:sz w:val="22"/>
          <w:szCs w:val="22"/>
          <w:lang w:val="sr-Latn-ME"/>
        </w:rPr>
      </w:pPr>
    </w:p>
    <w:p w:rsidR="00686442" w:rsidRPr="00594ED8" w:rsidRDefault="00686442" w:rsidP="00686442">
      <w:pPr>
        <w:tabs>
          <w:tab w:val="left" w:pos="540"/>
          <w:tab w:val="left" w:pos="569"/>
        </w:tabs>
        <w:rPr>
          <w:sz w:val="22"/>
          <w:szCs w:val="22"/>
          <w:lang w:val="sr-Latn-ME"/>
        </w:rPr>
      </w:pPr>
      <w:r w:rsidRPr="00686442">
        <w:rPr>
          <w:sz w:val="22"/>
          <w:szCs w:val="22"/>
          <w:lang w:val="sr-Latn-ME"/>
        </w:rPr>
        <w:t>Esmya</w:t>
      </w:r>
      <w:r w:rsidRPr="00686442">
        <w:rPr>
          <w:sz w:val="22"/>
          <w:szCs w:val="22"/>
          <w:vertAlign w:val="superscript"/>
          <w:lang w:val="sr-Latn-ME"/>
        </w:rPr>
        <w:t>®</w:t>
      </w:r>
      <w:r w:rsidRPr="00686442">
        <w:rPr>
          <w:sz w:val="22"/>
          <w:szCs w:val="22"/>
          <w:lang w:val="sr-Latn-ME"/>
        </w:rPr>
        <w:t xml:space="preserve">, tableta, 5 mg, blister, </w:t>
      </w:r>
      <w:r>
        <w:rPr>
          <w:sz w:val="22"/>
          <w:szCs w:val="22"/>
          <w:lang w:val="sr-Latn-ME"/>
        </w:rPr>
        <w:t>2</w:t>
      </w:r>
      <w:r w:rsidR="00C7785A">
        <w:rPr>
          <w:sz w:val="22"/>
          <w:szCs w:val="22"/>
          <w:lang w:val="sr-Latn-ME"/>
        </w:rPr>
        <w:t>8</w:t>
      </w:r>
      <w:r>
        <w:rPr>
          <w:sz w:val="22"/>
          <w:szCs w:val="22"/>
          <w:lang w:val="sr-Latn-ME"/>
        </w:rPr>
        <w:t xml:space="preserve"> </w:t>
      </w:r>
      <w:r w:rsidRPr="00686442">
        <w:rPr>
          <w:sz w:val="22"/>
          <w:szCs w:val="22"/>
          <w:lang w:val="sr-Latn-ME"/>
        </w:rPr>
        <w:t>tablet</w:t>
      </w:r>
      <w:r w:rsidR="00C7785A">
        <w:rPr>
          <w:sz w:val="22"/>
          <w:szCs w:val="22"/>
          <w:lang w:val="sr-Latn-ME"/>
        </w:rPr>
        <w:t>a</w:t>
      </w:r>
      <w:bookmarkStart w:id="0" w:name="_GoBack"/>
      <w:bookmarkEnd w:id="0"/>
      <w:r>
        <w:rPr>
          <w:sz w:val="22"/>
          <w:szCs w:val="22"/>
          <w:lang w:val="sr-Latn-ME"/>
        </w:rPr>
        <w:t xml:space="preserve">: </w:t>
      </w:r>
      <w:r w:rsidRPr="00686442">
        <w:rPr>
          <w:sz w:val="22"/>
          <w:szCs w:val="22"/>
          <w:lang w:val="sr-Latn-ME"/>
        </w:rPr>
        <w:t>2030/16/234 - 2188</w:t>
      </w:r>
    </w:p>
    <w:p w:rsidR="00F45F77" w:rsidRDefault="00F45F77" w:rsidP="00480FB1">
      <w:pPr>
        <w:tabs>
          <w:tab w:val="left" w:pos="540"/>
          <w:tab w:val="left" w:pos="569"/>
        </w:tabs>
        <w:rPr>
          <w:bCs/>
          <w:sz w:val="22"/>
          <w:szCs w:val="22"/>
          <w:lang w:val="sr-Latn-ME"/>
        </w:rPr>
      </w:pPr>
    </w:p>
    <w:p w:rsidR="00306DB5" w:rsidRPr="00594ED8" w:rsidRDefault="00306DB5" w:rsidP="00480FB1">
      <w:pPr>
        <w:tabs>
          <w:tab w:val="left" w:pos="540"/>
          <w:tab w:val="left" w:pos="569"/>
        </w:tabs>
        <w:rPr>
          <w:bCs/>
          <w:sz w:val="22"/>
          <w:szCs w:val="22"/>
          <w:lang w:val="sr-Latn-ME"/>
        </w:rPr>
      </w:pPr>
    </w:p>
    <w:p w:rsidR="0072020E" w:rsidRPr="00594ED8" w:rsidRDefault="00686442" w:rsidP="00480FB1">
      <w:pPr>
        <w:tabs>
          <w:tab w:val="left" w:pos="540"/>
          <w:tab w:val="left" w:pos="569"/>
        </w:tabs>
        <w:rPr>
          <w:b/>
          <w:bCs/>
          <w:sz w:val="22"/>
          <w:szCs w:val="22"/>
          <w:lang w:val="sr-Latn-ME"/>
        </w:rPr>
      </w:pPr>
      <w:r>
        <w:rPr>
          <w:b/>
          <w:bCs/>
          <w:sz w:val="22"/>
          <w:szCs w:val="22"/>
          <w:lang w:val="sr-Latn-ME"/>
        </w:rPr>
        <w:t>9.</w:t>
      </w:r>
      <w:r w:rsidR="00480FB1" w:rsidRPr="00594ED8">
        <w:rPr>
          <w:b/>
          <w:bCs/>
          <w:sz w:val="22"/>
          <w:szCs w:val="22"/>
          <w:lang w:val="sr-Latn-ME"/>
        </w:rPr>
        <w:tab/>
      </w:r>
      <w:r w:rsidR="0072020E" w:rsidRPr="00594ED8">
        <w:rPr>
          <w:b/>
          <w:bCs/>
          <w:sz w:val="22"/>
          <w:szCs w:val="22"/>
          <w:lang w:val="sr-Latn-ME"/>
        </w:rPr>
        <w:t>DATUM PRVE DOZVOLE</w:t>
      </w:r>
      <w:r w:rsidR="00F8570A" w:rsidRPr="00594ED8">
        <w:rPr>
          <w:b/>
          <w:bCs/>
          <w:sz w:val="22"/>
          <w:szCs w:val="22"/>
          <w:lang w:val="sr-Latn-ME"/>
        </w:rPr>
        <w:t>/</w:t>
      </w:r>
      <w:r w:rsidR="0072020E" w:rsidRPr="00594ED8">
        <w:rPr>
          <w:b/>
          <w:bCs/>
          <w:sz w:val="22"/>
          <w:szCs w:val="22"/>
          <w:lang w:val="sr-Latn-ME"/>
        </w:rPr>
        <w:t xml:space="preserve"> DATUM OBNOVE DOZVOLE</w:t>
      </w:r>
    </w:p>
    <w:p w:rsidR="0072020E" w:rsidRDefault="0072020E" w:rsidP="00480FB1">
      <w:pPr>
        <w:tabs>
          <w:tab w:val="left" w:pos="540"/>
          <w:tab w:val="left" w:pos="569"/>
        </w:tabs>
        <w:rPr>
          <w:bCs/>
          <w:sz w:val="22"/>
          <w:szCs w:val="22"/>
          <w:lang w:val="sr-Latn-ME"/>
        </w:rPr>
      </w:pPr>
    </w:p>
    <w:p w:rsidR="00686442" w:rsidRPr="00594ED8" w:rsidRDefault="00686442" w:rsidP="00480FB1">
      <w:pPr>
        <w:tabs>
          <w:tab w:val="left" w:pos="540"/>
          <w:tab w:val="left" w:pos="569"/>
        </w:tabs>
        <w:rPr>
          <w:bCs/>
          <w:sz w:val="22"/>
          <w:szCs w:val="22"/>
          <w:lang w:val="sr-Latn-ME"/>
        </w:rPr>
      </w:pPr>
      <w:r w:rsidRPr="00686442">
        <w:rPr>
          <w:sz w:val="22"/>
          <w:szCs w:val="22"/>
          <w:lang w:val="sr-Latn-ME"/>
        </w:rPr>
        <w:t>Esmya</w:t>
      </w:r>
      <w:r w:rsidRPr="00686442">
        <w:rPr>
          <w:sz w:val="22"/>
          <w:szCs w:val="22"/>
          <w:vertAlign w:val="superscript"/>
          <w:lang w:val="sr-Latn-ME"/>
        </w:rPr>
        <w:t>®</w:t>
      </w:r>
      <w:r w:rsidRPr="00686442">
        <w:rPr>
          <w:sz w:val="22"/>
          <w:szCs w:val="22"/>
          <w:lang w:val="sr-Latn-ME"/>
        </w:rPr>
        <w:t xml:space="preserve">, tableta, 5 mg, blister, </w:t>
      </w:r>
      <w:r>
        <w:rPr>
          <w:sz w:val="22"/>
          <w:szCs w:val="22"/>
          <w:lang w:val="sr-Latn-ME"/>
        </w:rPr>
        <w:t>2</w:t>
      </w:r>
      <w:r w:rsidR="00C7785A">
        <w:rPr>
          <w:sz w:val="22"/>
          <w:szCs w:val="22"/>
          <w:lang w:val="sr-Latn-ME"/>
        </w:rPr>
        <w:t>8</w:t>
      </w:r>
      <w:r>
        <w:rPr>
          <w:sz w:val="22"/>
          <w:szCs w:val="22"/>
          <w:lang w:val="sr-Latn-ME"/>
        </w:rPr>
        <w:t xml:space="preserve"> </w:t>
      </w:r>
      <w:r w:rsidRPr="00686442">
        <w:rPr>
          <w:sz w:val="22"/>
          <w:szCs w:val="22"/>
          <w:lang w:val="sr-Latn-ME"/>
        </w:rPr>
        <w:t>tablet</w:t>
      </w:r>
      <w:r w:rsidR="00C7785A">
        <w:rPr>
          <w:sz w:val="22"/>
          <w:szCs w:val="22"/>
          <w:lang w:val="sr-Latn-ME"/>
        </w:rPr>
        <w:t>a</w:t>
      </w:r>
      <w:r>
        <w:rPr>
          <w:sz w:val="22"/>
          <w:szCs w:val="22"/>
          <w:lang w:val="sr-Latn-ME"/>
        </w:rPr>
        <w:t xml:space="preserve">: </w:t>
      </w:r>
      <w:r w:rsidRPr="00686442">
        <w:rPr>
          <w:sz w:val="22"/>
          <w:szCs w:val="22"/>
          <w:lang w:val="sr-Latn-ME"/>
        </w:rPr>
        <w:t>26.09.2016. godine</w:t>
      </w:r>
    </w:p>
    <w:p w:rsidR="00C61F75" w:rsidRDefault="00C61F75" w:rsidP="00480FB1">
      <w:pPr>
        <w:tabs>
          <w:tab w:val="left" w:pos="540"/>
          <w:tab w:val="left" w:pos="569"/>
        </w:tabs>
        <w:rPr>
          <w:sz w:val="22"/>
          <w:szCs w:val="22"/>
          <w:lang w:val="sr-Latn-ME"/>
        </w:rPr>
      </w:pPr>
    </w:p>
    <w:p w:rsidR="00306DB5" w:rsidRPr="00594ED8" w:rsidRDefault="00306DB5" w:rsidP="00480FB1">
      <w:pPr>
        <w:tabs>
          <w:tab w:val="left" w:pos="540"/>
          <w:tab w:val="left" w:pos="569"/>
        </w:tabs>
        <w:rPr>
          <w:sz w:val="22"/>
          <w:szCs w:val="22"/>
          <w:lang w:val="sr-Latn-ME"/>
        </w:rPr>
      </w:pPr>
    </w:p>
    <w:p w:rsidR="0072020E" w:rsidRPr="00594ED8" w:rsidRDefault="00686442" w:rsidP="00480FB1">
      <w:pPr>
        <w:tabs>
          <w:tab w:val="left" w:pos="540"/>
          <w:tab w:val="left" w:pos="569"/>
        </w:tabs>
        <w:ind w:left="540" w:hanging="540"/>
        <w:rPr>
          <w:b/>
          <w:bCs/>
          <w:sz w:val="22"/>
          <w:szCs w:val="22"/>
          <w:lang w:val="sr-Latn-ME"/>
        </w:rPr>
      </w:pPr>
      <w:r>
        <w:rPr>
          <w:b/>
          <w:bCs/>
          <w:sz w:val="22"/>
          <w:szCs w:val="22"/>
          <w:lang w:val="sr-Latn-ME"/>
        </w:rPr>
        <w:t>10.</w:t>
      </w:r>
      <w:r w:rsidR="00480FB1" w:rsidRPr="00594ED8">
        <w:rPr>
          <w:b/>
          <w:bCs/>
          <w:sz w:val="22"/>
          <w:szCs w:val="22"/>
          <w:lang w:val="sr-Latn-ME"/>
        </w:rPr>
        <w:tab/>
      </w:r>
      <w:r w:rsidR="002846DB" w:rsidRPr="00594ED8">
        <w:rPr>
          <w:b/>
          <w:bCs/>
          <w:sz w:val="22"/>
          <w:szCs w:val="22"/>
          <w:lang w:val="sr-Latn-ME"/>
        </w:rPr>
        <w:t>D</w:t>
      </w:r>
      <w:r w:rsidR="00EC2532" w:rsidRPr="00594ED8">
        <w:rPr>
          <w:b/>
          <w:bCs/>
          <w:sz w:val="22"/>
          <w:szCs w:val="22"/>
          <w:lang w:val="sr-Latn-ME"/>
        </w:rPr>
        <w:t xml:space="preserve">ATUM </w:t>
      </w:r>
      <w:r w:rsidR="004534C7" w:rsidRPr="00594ED8">
        <w:rPr>
          <w:b/>
          <w:bCs/>
          <w:sz w:val="22"/>
          <w:szCs w:val="22"/>
          <w:lang w:val="sr-Latn-ME"/>
        </w:rPr>
        <w:t>POSLEDNJE</w:t>
      </w:r>
      <w:r w:rsidR="00EC2532" w:rsidRPr="00594ED8">
        <w:rPr>
          <w:b/>
          <w:bCs/>
          <w:sz w:val="22"/>
          <w:szCs w:val="22"/>
          <w:lang w:val="sr-Latn-ME"/>
        </w:rPr>
        <w:t xml:space="preserve"> REVIZIJE TEKSTA SAŽETKA OSNOVNIH KARAKTERISTIKA LIJEKA</w:t>
      </w:r>
    </w:p>
    <w:p w:rsidR="003F6A59" w:rsidRDefault="003F6A59" w:rsidP="00480FB1">
      <w:pPr>
        <w:tabs>
          <w:tab w:val="left" w:pos="540"/>
          <w:tab w:val="left" w:pos="569"/>
        </w:tabs>
        <w:rPr>
          <w:bCs/>
          <w:sz w:val="22"/>
          <w:szCs w:val="22"/>
          <w:lang w:val="sr-Latn-ME"/>
        </w:rPr>
      </w:pPr>
    </w:p>
    <w:p w:rsidR="009F0CEB" w:rsidRPr="00594ED8" w:rsidRDefault="009F0CEB" w:rsidP="00480FB1">
      <w:pPr>
        <w:tabs>
          <w:tab w:val="left" w:pos="540"/>
          <w:tab w:val="left" w:pos="569"/>
        </w:tabs>
        <w:rPr>
          <w:bCs/>
          <w:sz w:val="22"/>
          <w:szCs w:val="22"/>
          <w:lang w:val="sr-Latn-ME"/>
        </w:rPr>
      </w:pPr>
      <w:r>
        <w:rPr>
          <w:bCs/>
          <w:sz w:val="22"/>
          <w:szCs w:val="22"/>
          <w:lang w:val="sr-Latn-ME"/>
        </w:rPr>
        <w:t>Septembar, 2016. godine</w:t>
      </w:r>
    </w:p>
    <w:p w:rsidR="003F6A59" w:rsidRPr="00594ED8" w:rsidRDefault="003F6A59" w:rsidP="00DE3F5C">
      <w:pPr>
        <w:rPr>
          <w:sz w:val="22"/>
          <w:szCs w:val="22"/>
          <w:lang w:val="sr-Latn-ME"/>
        </w:rPr>
      </w:pPr>
    </w:p>
    <w:sectPr w:rsidR="003F6A59" w:rsidRPr="00594ED8" w:rsidSect="009C32F6">
      <w:headerReference w:type="default" r:id="rId10"/>
      <w:footerReference w:type="default" r:id="rId11"/>
      <w:pgSz w:w="11909" w:h="16834" w:code="9"/>
      <w:pgMar w:top="1140" w:right="1136" w:bottom="11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54D" w:rsidRDefault="0009354D">
      <w:r>
        <w:separator/>
      </w:r>
    </w:p>
  </w:endnote>
  <w:endnote w:type="continuationSeparator" w:id="0">
    <w:p w:rsidR="0009354D" w:rsidRDefault="0009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9B" w:rsidRPr="00C1369B" w:rsidRDefault="00C1369B" w:rsidP="00C1369B">
    <w:pPr>
      <w:pBdr>
        <w:top w:val="thinThickSmallGap" w:sz="24" w:space="1" w:color="auto"/>
      </w:pBdr>
      <w:tabs>
        <w:tab w:val="center" w:pos="4320"/>
        <w:tab w:val="right" w:pos="8640"/>
      </w:tabs>
      <w:jc w:val="center"/>
      <w:rPr>
        <w:sz w:val="20"/>
        <w:szCs w:val="20"/>
        <w:lang w:val="sr-Latn-ME"/>
      </w:rPr>
    </w:pPr>
  </w:p>
  <w:p w:rsidR="00C1369B" w:rsidRPr="00C1369B" w:rsidRDefault="00C1369B" w:rsidP="00C1369B">
    <w:pPr>
      <w:tabs>
        <w:tab w:val="center" w:pos="4320"/>
        <w:tab w:val="right" w:pos="8640"/>
      </w:tabs>
      <w:jc w:val="center"/>
      <w:rPr>
        <w:color w:val="E65900"/>
        <w:sz w:val="16"/>
        <w:szCs w:val="18"/>
        <w:lang w:val="sr-Latn-ME"/>
      </w:rPr>
    </w:pPr>
    <w:r w:rsidRPr="00C1369B">
      <w:rPr>
        <w:color w:val="FA0000"/>
        <w:sz w:val="16"/>
        <w:szCs w:val="18"/>
        <w:lang w:val="sr-Latn-ME"/>
      </w:rPr>
      <w:t>Agencija za ljekove i medicinska sredstva Crne Gore,</w:t>
    </w:r>
    <w:r w:rsidRPr="00C1369B">
      <w:rPr>
        <w:sz w:val="16"/>
        <w:szCs w:val="18"/>
        <w:lang w:val="sr-Latn-ME"/>
      </w:rPr>
      <w:t xml:space="preserve"> </w:t>
    </w:r>
    <w:r w:rsidRPr="00C1369B">
      <w:rPr>
        <w:color w:val="E65900"/>
        <w:sz w:val="16"/>
        <w:szCs w:val="18"/>
        <w:lang w:val="sr-Latn-ME"/>
      </w:rPr>
      <w:t>81000 Podgorica, Bul. Ivana Crnojevića 64a</w:t>
    </w:r>
  </w:p>
  <w:p w:rsidR="00C1369B" w:rsidRPr="00C1369B" w:rsidRDefault="00C1369B" w:rsidP="00C1369B">
    <w:pPr>
      <w:tabs>
        <w:tab w:val="center" w:pos="4320"/>
        <w:tab w:val="right" w:pos="8640"/>
      </w:tabs>
      <w:jc w:val="center"/>
      <w:rPr>
        <w:color w:val="FA0000"/>
        <w:sz w:val="16"/>
        <w:szCs w:val="18"/>
        <w:lang w:val="sr-Latn-ME"/>
      </w:rPr>
    </w:pPr>
    <w:r w:rsidRPr="00C1369B">
      <w:rPr>
        <w:color w:val="E65900"/>
        <w:sz w:val="16"/>
        <w:szCs w:val="18"/>
        <w:lang w:val="sr-Latn-ME"/>
      </w:rPr>
      <w:t xml:space="preserve">tel: +382 (0) 20 310 280  </w:t>
    </w:r>
    <w:r w:rsidRPr="00C1369B">
      <w:rPr>
        <w:color w:val="FA0000"/>
        <w:sz w:val="16"/>
        <w:szCs w:val="18"/>
        <w:lang w:val="sr-Latn-ME"/>
      </w:rPr>
      <w:t>fax: +382 (0) 20 310 581,</w:t>
    </w:r>
    <w:r w:rsidRPr="00C1369B">
      <w:rPr>
        <w:sz w:val="16"/>
        <w:szCs w:val="18"/>
        <w:lang w:val="sr-Latn-ME"/>
      </w:rPr>
      <w:t xml:space="preserve"> </w:t>
    </w:r>
    <w:r w:rsidRPr="00C1369B">
      <w:rPr>
        <w:color w:val="E65900"/>
        <w:sz w:val="16"/>
        <w:szCs w:val="18"/>
        <w:lang w:val="sr-Latn-ME"/>
      </w:rPr>
      <w:t>e-mail: info@calims.me,</w:t>
    </w:r>
    <w:r w:rsidRPr="00C1369B">
      <w:rPr>
        <w:sz w:val="16"/>
        <w:szCs w:val="18"/>
        <w:lang w:val="sr-Latn-ME"/>
      </w:rPr>
      <w:t xml:space="preserve"> </w:t>
    </w:r>
    <w:r w:rsidRPr="00C1369B">
      <w:rPr>
        <w:color w:val="FA0000"/>
        <w:sz w:val="16"/>
        <w:szCs w:val="18"/>
        <w:lang w:val="sr-Latn-ME"/>
      </w:rPr>
      <w:t>www.calims.me</w:t>
    </w:r>
    <w:r w:rsidRPr="00C1369B">
      <w:rPr>
        <w:sz w:val="16"/>
        <w:szCs w:val="18"/>
        <w:lang w:val="sr-Latn-ME"/>
      </w:rPr>
      <w:t xml:space="preserve">, </w:t>
    </w:r>
    <w:r w:rsidRPr="00C1369B">
      <w:rPr>
        <w:color w:val="E65900"/>
        <w:sz w:val="16"/>
        <w:szCs w:val="18"/>
        <w:lang w:val="sr-Latn-ME"/>
      </w:rPr>
      <w:t>PIB: 02739658,</w:t>
    </w:r>
    <w:r w:rsidRPr="00C1369B">
      <w:rPr>
        <w:sz w:val="16"/>
        <w:szCs w:val="18"/>
        <w:lang w:val="sr-Latn-ME"/>
      </w:rPr>
      <w:t xml:space="preserve"> </w:t>
    </w:r>
    <w:r w:rsidRPr="00C1369B">
      <w:rPr>
        <w:color w:val="FA0000"/>
        <w:sz w:val="16"/>
        <w:szCs w:val="18"/>
        <w:lang w:val="sr-Latn-ME"/>
      </w:rPr>
      <w:t>žiro račun: 520-3603-33</w:t>
    </w:r>
  </w:p>
  <w:p w:rsidR="00C1369B" w:rsidRPr="00C1369B" w:rsidRDefault="00C1369B" w:rsidP="00C1369B">
    <w:pPr>
      <w:tabs>
        <w:tab w:val="center" w:pos="4320"/>
        <w:tab w:val="right" w:pos="8640"/>
      </w:tabs>
      <w:jc w:val="center"/>
      <w:rPr>
        <w:sz w:val="16"/>
        <w:szCs w:val="18"/>
        <w:lang w:val="sr-Latn-ME"/>
      </w:rPr>
    </w:pPr>
  </w:p>
  <w:p w:rsidR="00C1369B" w:rsidRPr="00C1369B" w:rsidRDefault="00C1369B" w:rsidP="00C1369B">
    <w:pPr>
      <w:tabs>
        <w:tab w:val="center" w:pos="4320"/>
        <w:tab w:val="right" w:pos="8640"/>
      </w:tabs>
      <w:rPr>
        <w:sz w:val="20"/>
        <w:szCs w:val="20"/>
        <w:lang w:val="sr-Latn-ME"/>
      </w:rPr>
    </w:pPr>
  </w:p>
  <w:p w:rsidR="00C1369B" w:rsidRPr="00C1369B" w:rsidRDefault="00C1369B" w:rsidP="00C1369B">
    <w:pPr>
      <w:tabs>
        <w:tab w:val="center" w:pos="4320"/>
        <w:tab w:val="right" w:pos="8640"/>
      </w:tabs>
      <w:jc w:val="center"/>
      <w:rPr>
        <w:sz w:val="22"/>
        <w:szCs w:val="22"/>
        <w:lang w:val="sr-Latn-ME"/>
      </w:rPr>
    </w:pPr>
    <w:r w:rsidRPr="00C1369B">
      <w:rPr>
        <w:sz w:val="20"/>
        <w:szCs w:val="20"/>
        <w:lang w:val="sr-Latn-ME"/>
      </w:rPr>
      <w:fldChar w:fldCharType="begin"/>
    </w:r>
    <w:r w:rsidRPr="00C1369B">
      <w:rPr>
        <w:sz w:val="20"/>
        <w:szCs w:val="20"/>
        <w:lang w:val="sr-Latn-ME"/>
      </w:rPr>
      <w:instrText xml:space="preserve"> PAGE </w:instrText>
    </w:r>
    <w:r w:rsidRPr="00C1369B">
      <w:rPr>
        <w:sz w:val="20"/>
        <w:szCs w:val="20"/>
        <w:lang w:val="sr-Latn-ME"/>
      </w:rPr>
      <w:fldChar w:fldCharType="separate"/>
    </w:r>
    <w:r w:rsidR="00C7785A">
      <w:rPr>
        <w:noProof/>
        <w:sz w:val="20"/>
        <w:szCs w:val="20"/>
        <w:lang w:val="sr-Latn-ME"/>
      </w:rPr>
      <w:t>15</w:t>
    </w:r>
    <w:r w:rsidRPr="00C1369B">
      <w:rPr>
        <w:sz w:val="20"/>
        <w:szCs w:val="20"/>
        <w:lang w:val="sr-Latn-ME"/>
      </w:rPr>
      <w:fldChar w:fldCharType="end"/>
    </w:r>
    <w:r w:rsidRPr="00C1369B">
      <w:rPr>
        <w:sz w:val="20"/>
        <w:szCs w:val="20"/>
        <w:lang w:val="sr-Latn-ME"/>
      </w:rPr>
      <w:t xml:space="preserve"> / </w:t>
    </w:r>
    <w:r w:rsidRPr="00C1369B">
      <w:rPr>
        <w:sz w:val="20"/>
        <w:szCs w:val="20"/>
        <w:lang w:val="sr-Latn-ME"/>
      </w:rPr>
      <w:fldChar w:fldCharType="begin"/>
    </w:r>
    <w:r w:rsidRPr="00C1369B">
      <w:rPr>
        <w:sz w:val="20"/>
        <w:szCs w:val="20"/>
        <w:lang w:val="sr-Latn-ME"/>
      </w:rPr>
      <w:instrText xml:space="preserve"> NUMPAGES </w:instrText>
    </w:r>
    <w:r w:rsidRPr="00C1369B">
      <w:rPr>
        <w:sz w:val="20"/>
        <w:szCs w:val="20"/>
        <w:lang w:val="sr-Latn-ME"/>
      </w:rPr>
      <w:fldChar w:fldCharType="separate"/>
    </w:r>
    <w:r w:rsidR="00C7785A">
      <w:rPr>
        <w:noProof/>
        <w:sz w:val="20"/>
        <w:szCs w:val="20"/>
        <w:lang w:val="sr-Latn-ME"/>
      </w:rPr>
      <w:t>16</w:t>
    </w:r>
    <w:r w:rsidRPr="00C1369B">
      <w:rPr>
        <w:sz w:val="20"/>
        <w:szCs w:val="20"/>
        <w:lang w:val="sr-Latn-ME"/>
      </w:rPr>
      <w:fldChar w:fldCharType="end"/>
    </w:r>
  </w:p>
  <w:p w:rsidR="00C1369B" w:rsidRPr="00C11BA3" w:rsidRDefault="00C1369B" w:rsidP="00C1369B">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54D" w:rsidRDefault="0009354D">
      <w:r>
        <w:separator/>
      </w:r>
    </w:p>
  </w:footnote>
  <w:footnote w:type="continuationSeparator" w:id="0">
    <w:p w:rsidR="0009354D" w:rsidRDefault="00093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9B" w:rsidRPr="000D56C4" w:rsidRDefault="00C1369B" w:rsidP="000D56C4">
    <w:pPr>
      <w:tabs>
        <w:tab w:val="center" w:pos="4320"/>
        <w:tab w:val="right" w:pos="8640"/>
      </w:tabs>
      <w:rPr>
        <w:sz w:val="16"/>
        <w:szCs w:val="16"/>
        <w:lang w:val="sr-Latn-ME"/>
      </w:rPr>
    </w:pPr>
  </w:p>
  <w:p w:rsidR="00C1369B" w:rsidRPr="000D56C4" w:rsidRDefault="00C1369B" w:rsidP="000D56C4">
    <w:pPr>
      <w:pBdr>
        <w:top w:val="thinThickSmallGap" w:sz="24" w:space="2" w:color="auto"/>
      </w:pBdr>
      <w:tabs>
        <w:tab w:val="left" w:pos="2775"/>
      </w:tabs>
      <w:rPr>
        <w:sz w:val="16"/>
        <w:szCs w:val="16"/>
        <w:lang w:val="sr-Latn-ME"/>
      </w:rPr>
    </w:pPr>
    <w:r w:rsidRPr="000D56C4">
      <w:rPr>
        <w:noProof/>
        <w:sz w:val="16"/>
        <w:szCs w:val="16"/>
      </w:rPr>
      <w:drawing>
        <wp:inline distT="0" distB="0" distL="0" distR="0" wp14:anchorId="285C863F" wp14:editId="0096E0FA">
          <wp:extent cx="1419225" cy="971550"/>
          <wp:effectExtent l="0" t="0" r="9525" b="0"/>
          <wp:docPr id="6" name="Picture 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0D56C4">
      <w:rPr>
        <w:sz w:val="16"/>
        <w:szCs w:val="16"/>
        <w:lang w:val="sr-Latn-ME"/>
      </w:rPr>
      <w:tab/>
    </w:r>
  </w:p>
  <w:p w:rsidR="00C1369B" w:rsidRPr="000D56C4" w:rsidRDefault="00C1369B" w:rsidP="00E74AEE">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F6210D0"/>
    <w:multiLevelType w:val="hybridMultilevel"/>
    <w:tmpl w:val="82B6FF68"/>
    <w:lvl w:ilvl="0" w:tplc="CF7A1E5E">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176CA"/>
    <w:rsid w:val="00073A7E"/>
    <w:rsid w:val="0009354D"/>
    <w:rsid w:val="000B7D9A"/>
    <w:rsid w:val="000C5840"/>
    <w:rsid w:val="000D2343"/>
    <w:rsid w:val="000D425A"/>
    <w:rsid w:val="000D56C4"/>
    <w:rsid w:val="000E2084"/>
    <w:rsid w:val="000E6F55"/>
    <w:rsid w:val="000F77FA"/>
    <w:rsid w:val="0013422E"/>
    <w:rsid w:val="0014766D"/>
    <w:rsid w:val="00161064"/>
    <w:rsid w:val="00183A0C"/>
    <w:rsid w:val="001A3FBA"/>
    <w:rsid w:val="001A5518"/>
    <w:rsid w:val="001B5E12"/>
    <w:rsid w:val="001C1263"/>
    <w:rsid w:val="001E390B"/>
    <w:rsid w:val="001F18D0"/>
    <w:rsid w:val="001F42FB"/>
    <w:rsid w:val="001F719A"/>
    <w:rsid w:val="0020796A"/>
    <w:rsid w:val="002109FC"/>
    <w:rsid w:val="00221B80"/>
    <w:rsid w:val="00254A0A"/>
    <w:rsid w:val="00266046"/>
    <w:rsid w:val="002846DB"/>
    <w:rsid w:val="002C6637"/>
    <w:rsid w:val="002E37A5"/>
    <w:rsid w:val="00306DB5"/>
    <w:rsid w:val="0031305C"/>
    <w:rsid w:val="00354FE3"/>
    <w:rsid w:val="00355B61"/>
    <w:rsid w:val="00362686"/>
    <w:rsid w:val="00371510"/>
    <w:rsid w:val="00374199"/>
    <w:rsid w:val="00396DFD"/>
    <w:rsid w:val="003B7A36"/>
    <w:rsid w:val="003C17AB"/>
    <w:rsid w:val="003C7823"/>
    <w:rsid w:val="003E1DCC"/>
    <w:rsid w:val="003F6A59"/>
    <w:rsid w:val="004065C8"/>
    <w:rsid w:val="00411B4B"/>
    <w:rsid w:val="00436F42"/>
    <w:rsid w:val="00451314"/>
    <w:rsid w:val="004534C7"/>
    <w:rsid w:val="00480FB1"/>
    <w:rsid w:val="00483928"/>
    <w:rsid w:val="004B4B64"/>
    <w:rsid w:val="004C58AE"/>
    <w:rsid w:val="004D6103"/>
    <w:rsid w:val="004E3BCE"/>
    <w:rsid w:val="004F0E97"/>
    <w:rsid w:val="00515C21"/>
    <w:rsid w:val="0052352E"/>
    <w:rsid w:val="00530BD7"/>
    <w:rsid w:val="00541EF1"/>
    <w:rsid w:val="00545CD2"/>
    <w:rsid w:val="005476F3"/>
    <w:rsid w:val="00572527"/>
    <w:rsid w:val="00573E40"/>
    <w:rsid w:val="00576348"/>
    <w:rsid w:val="00582CDA"/>
    <w:rsid w:val="00594ED8"/>
    <w:rsid w:val="00596B4F"/>
    <w:rsid w:val="005A0B2E"/>
    <w:rsid w:val="005A23D2"/>
    <w:rsid w:val="005A36CB"/>
    <w:rsid w:val="005B49B8"/>
    <w:rsid w:val="005C0741"/>
    <w:rsid w:val="005C5979"/>
    <w:rsid w:val="005C7B9A"/>
    <w:rsid w:val="005E2E0B"/>
    <w:rsid w:val="005E7558"/>
    <w:rsid w:val="005E7A7D"/>
    <w:rsid w:val="00646BD1"/>
    <w:rsid w:val="0066407F"/>
    <w:rsid w:val="00674BAF"/>
    <w:rsid w:val="00686442"/>
    <w:rsid w:val="00691CB7"/>
    <w:rsid w:val="006A1497"/>
    <w:rsid w:val="006B0BD1"/>
    <w:rsid w:val="006B1B16"/>
    <w:rsid w:val="006C1B4E"/>
    <w:rsid w:val="006C3BB0"/>
    <w:rsid w:val="0072020E"/>
    <w:rsid w:val="00752BC0"/>
    <w:rsid w:val="00766C83"/>
    <w:rsid w:val="00790734"/>
    <w:rsid w:val="007A3FF0"/>
    <w:rsid w:val="007B1026"/>
    <w:rsid w:val="007C7BCD"/>
    <w:rsid w:val="007E6AE5"/>
    <w:rsid w:val="00821B46"/>
    <w:rsid w:val="00824AB9"/>
    <w:rsid w:val="00836B35"/>
    <w:rsid w:val="0089705C"/>
    <w:rsid w:val="008C1A28"/>
    <w:rsid w:val="008C2E98"/>
    <w:rsid w:val="008D44F6"/>
    <w:rsid w:val="008E49BD"/>
    <w:rsid w:val="008E53E9"/>
    <w:rsid w:val="008E5771"/>
    <w:rsid w:val="0090095A"/>
    <w:rsid w:val="00956983"/>
    <w:rsid w:val="00963CF0"/>
    <w:rsid w:val="00964BB1"/>
    <w:rsid w:val="009775D9"/>
    <w:rsid w:val="00997BBD"/>
    <w:rsid w:val="009A1847"/>
    <w:rsid w:val="009B062A"/>
    <w:rsid w:val="009C32F6"/>
    <w:rsid w:val="009E7C6F"/>
    <w:rsid w:val="009F0CEB"/>
    <w:rsid w:val="009F1793"/>
    <w:rsid w:val="009F64DE"/>
    <w:rsid w:val="00A02335"/>
    <w:rsid w:val="00A2497F"/>
    <w:rsid w:val="00A35121"/>
    <w:rsid w:val="00A370D3"/>
    <w:rsid w:val="00A46C9A"/>
    <w:rsid w:val="00A619F3"/>
    <w:rsid w:val="00A87FF6"/>
    <w:rsid w:val="00AA0A3B"/>
    <w:rsid w:val="00AB31E0"/>
    <w:rsid w:val="00AC53CE"/>
    <w:rsid w:val="00AD2193"/>
    <w:rsid w:val="00AF2AC7"/>
    <w:rsid w:val="00AF4D3C"/>
    <w:rsid w:val="00B069E8"/>
    <w:rsid w:val="00B208DB"/>
    <w:rsid w:val="00B23F69"/>
    <w:rsid w:val="00B60619"/>
    <w:rsid w:val="00B67366"/>
    <w:rsid w:val="00B80EE1"/>
    <w:rsid w:val="00B83DC2"/>
    <w:rsid w:val="00BA4B3A"/>
    <w:rsid w:val="00BC5352"/>
    <w:rsid w:val="00C04D34"/>
    <w:rsid w:val="00C11BA3"/>
    <w:rsid w:val="00C1369B"/>
    <w:rsid w:val="00C23D8D"/>
    <w:rsid w:val="00C37AA3"/>
    <w:rsid w:val="00C43419"/>
    <w:rsid w:val="00C44CF3"/>
    <w:rsid w:val="00C61F75"/>
    <w:rsid w:val="00C70B0E"/>
    <w:rsid w:val="00C7785A"/>
    <w:rsid w:val="00C83785"/>
    <w:rsid w:val="00C91A1F"/>
    <w:rsid w:val="00C94C0D"/>
    <w:rsid w:val="00CC0546"/>
    <w:rsid w:val="00CD038C"/>
    <w:rsid w:val="00CD4F85"/>
    <w:rsid w:val="00CD6F02"/>
    <w:rsid w:val="00CE246D"/>
    <w:rsid w:val="00CF07A0"/>
    <w:rsid w:val="00D0082A"/>
    <w:rsid w:val="00D269FB"/>
    <w:rsid w:val="00D63803"/>
    <w:rsid w:val="00D709B3"/>
    <w:rsid w:val="00D803F3"/>
    <w:rsid w:val="00DA2ED6"/>
    <w:rsid w:val="00DA5366"/>
    <w:rsid w:val="00DB3F67"/>
    <w:rsid w:val="00DB76B8"/>
    <w:rsid w:val="00DC2EA1"/>
    <w:rsid w:val="00DD6AAF"/>
    <w:rsid w:val="00DE3F5C"/>
    <w:rsid w:val="00DF1D20"/>
    <w:rsid w:val="00DF25E5"/>
    <w:rsid w:val="00E070F6"/>
    <w:rsid w:val="00E246B9"/>
    <w:rsid w:val="00E45169"/>
    <w:rsid w:val="00E47787"/>
    <w:rsid w:val="00E51C30"/>
    <w:rsid w:val="00E64180"/>
    <w:rsid w:val="00E74AEE"/>
    <w:rsid w:val="00E868E5"/>
    <w:rsid w:val="00E9237A"/>
    <w:rsid w:val="00E939FA"/>
    <w:rsid w:val="00EA0B82"/>
    <w:rsid w:val="00EA5765"/>
    <w:rsid w:val="00EC2532"/>
    <w:rsid w:val="00ED21EB"/>
    <w:rsid w:val="00ED7812"/>
    <w:rsid w:val="00EF3B86"/>
    <w:rsid w:val="00F34554"/>
    <w:rsid w:val="00F45F77"/>
    <w:rsid w:val="00F5167F"/>
    <w:rsid w:val="00F52258"/>
    <w:rsid w:val="00F7736F"/>
    <w:rsid w:val="00F840F2"/>
    <w:rsid w:val="00F8570A"/>
    <w:rsid w:val="00FD548A"/>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12D867-8780-43A3-8F22-66557617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HeaderChar">
    <w:name w:val="Header Char"/>
    <w:link w:val="Header"/>
    <w:rsid w:val="005C7B9A"/>
    <w:rPr>
      <w:sz w:val="24"/>
      <w:szCs w:val="24"/>
    </w:rPr>
  </w:style>
  <w:style w:type="paragraph" w:customStyle="1" w:styleId="TableText10">
    <w:name w:val="TableText10"/>
    <w:basedOn w:val="Normal"/>
    <w:uiPriority w:val="99"/>
    <w:rsid w:val="00161064"/>
    <w:rPr>
      <w:sz w:val="20"/>
      <w:szCs w:val="20"/>
    </w:rPr>
  </w:style>
  <w:style w:type="paragraph" w:customStyle="1" w:styleId="TableHeader10">
    <w:name w:val="TableHeader10"/>
    <w:basedOn w:val="TableText10"/>
    <w:uiPriority w:val="99"/>
    <w:rsid w:val="00161064"/>
    <w:pPr>
      <w:jc w:val="center"/>
    </w:pPr>
    <w:rPr>
      <w:b/>
      <w:bCs/>
    </w:rPr>
  </w:style>
  <w:style w:type="paragraph" w:styleId="ListParagraph">
    <w:name w:val="List Paragraph"/>
    <w:basedOn w:val="Normal"/>
    <w:uiPriority w:val="34"/>
    <w:qFormat/>
    <w:rsid w:val="00D80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EED67-5CFB-41E5-8786-4596FE12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5296</Words>
  <Characters>30193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35419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Tatjana Bankovic</cp:lastModifiedBy>
  <cp:revision>40</cp:revision>
  <dcterms:created xsi:type="dcterms:W3CDTF">2016-12-01T09:43:00Z</dcterms:created>
  <dcterms:modified xsi:type="dcterms:W3CDTF">2016-12-12T10:40:00Z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