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68" w:rsidRPr="00DC1D17" w:rsidRDefault="0057788C" w:rsidP="0057788C">
      <w:pPr>
        <w:tabs>
          <w:tab w:val="left" w:pos="7568"/>
        </w:tabs>
        <w:spacing w:before="1000"/>
        <w:jc w:val="left"/>
        <w:rPr>
          <w:rFonts w:ascii="Times New Roman" w:hAnsi="Times New Roman"/>
          <w:sz w:val="22"/>
          <w:szCs w:val="22"/>
          <w:lang w:val="sr-Latn-ME"/>
        </w:rPr>
      </w:pPr>
      <w:r w:rsidRPr="00DC1D17">
        <w:rPr>
          <w:rFonts w:ascii="Times New Roman" w:hAnsi="Times New Roman"/>
          <w:sz w:val="22"/>
          <w:szCs w:val="22"/>
          <w:lang w:val="sr-Latn-ME"/>
        </w:rPr>
        <w:tab/>
      </w:r>
    </w:p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2977"/>
        <w:gridCol w:w="6383"/>
      </w:tblGrid>
      <w:tr w:rsidR="000D7E68" w:rsidRPr="00DC1D17" w:rsidTr="00C64EA9">
        <w:trPr>
          <w:trHeight w:val="530"/>
          <w:jc w:val="center"/>
        </w:trPr>
        <w:tc>
          <w:tcPr>
            <w:tcW w:w="9360" w:type="dxa"/>
            <w:gridSpan w:val="2"/>
            <w:vAlign w:val="center"/>
          </w:tcPr>
          <w:p w:rsidR="000D7E68" w:rsidRPr="00DC1D17" w:rsidRDefault="000D7E68" w:rsidP="00C64EA9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u w:val="single"/>
                <w:lang w:val="sr-Latn-ME"/>
              </w:rPr>
              <w:t>SAŽETAK KARAKTERISTIKA LIJEKA</w:t>
            </w:r>
          </w:p>
        </w:tc>
      </w:tr>
      <w:tr w:rsidR="000D7E68" w:rsidRPr="00DC1D17" w:rsidTr="00C64EA9">
        <w:trPr>
          <w:trHeight w:val="1969"/>
          <w:jc w:val="center"/>
        </w:trPr>
        <w:tc>
          <w:tcPr>
            <w:tcW w:w="9360" w:type="dxa"/>
            <w:gridSpan w:val="2"/>
            <w:vAlign w:val="bottom"/>
          </w:tcPr>
          <w:p w:rsidR="00037D91" w:rsidRPr="00DC1D17" w:rsidRDefault="00037D91" w:rsidP="00037D91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Esbriet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, kapsula tvrda, 267</w:t>
            </w:r>
            <w:r w:rsidR="005D3143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mg,  </w:t>
            </w:r>
          </w:p>
          <w:p w:rsidR="001D1927" w:rsidRPr="00DC1D17" w:rsidRDefault="001833FA" w:rsidP="00037D91">
            <w:pPr>
              <w:spacing w:after="4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boca plastična, 1 x 270 kapsula, tvrdih</w:t>
            </w:r>
          </w:p>
        </w:tc>
      </w:tr>
      <w:tr w:rsidR="000D7E68" w:rsidRPr="00DC1D17" w:rsidTr="00C64EA9">
        <w:trPr>
          <w:trHeight w:val="1225"/>
          <w:jc w:val="center"/>
        </w:trPr>
        <w:tc>
          <w:tcPr>
            <w:tcW w:w="9360" w:type="dxa"/>
            <w:gridSpan w:val="2"/>
          </w:tcPr>
          <w:p w:rsidR="000D7E68" w:rsidRPr="00DC1D17" w:rsidRDefault="000D7E68" w:rsidP="00C64EA9">
            <w:pPr>
              <w:pStyle w:val="Heading2"/>
              <w:rPr>
                <w:rFonts w:ascii="Times New Roman" w:hAnsi="Times New Roman" w:cs="Times New Roman"/>
                <w:i w:val="0"/>
                <w:color w:val="808080"/>
                <w:sz w:val="22"/>
                <w:szCs w:val="22"/>
                <w:lang w:val="sr-Latn-ME"/>
              </w:rPr>
            </w:pPr>
          </w:p>
        </w:tc>
      </w:tr>
      <w:tr w:rsidR="000D7E68" w:rsidRPr="00DC1D17" w:rsidTr="00DC1D17">
        <w:trPr>
          <w:jc w:val="center"/>
        </w:trPr>
        <w:tc>
          <w:tcPr>
            <w:tcW w:w="2977" w:type="dxa"/>
            <w:vAlign w:val="bottom"/>
          </w:tcPr>
          <w:p w:rsidR="000D7E68" w:rsidRPr="00DC1D17" w:rsidRDefault="000D7E68" w:rsidP="00C64EA9">
            <w:pPr>
              <w:spacing w:before="200"/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Proizvođač:</w:t>
            </w:r>
          </w:p>
        </w:tc>
        <w:tc>
          <w:tcPr>
            <w:tcW w:w="6383" w:type="dxa"/>
            <w:vAlign w:val="bottom"/>
          </w:tcPr>
          <w:p w:rsidR="000D7E68" w:rsidRPr="00DC1D17" w:rsidRDefault="00E11BCB" w:rsidP="00C64EA9">
            <w:pPr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F. Hoffmann</w:t>
            </w:r>
            <w:r w:rsidR="0099078A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-</w:t>
            </w:r>
            <w:r w:rsidR="0099078A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La Roche Ltd</w:t>
            </w:r>
            <w:r w:rsidR="000D7E68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</w:p>
        </w:tc>
      </w:tr>
      <w:tr w:rsidR="000D7E68" w:rsidRPr="00DC1D17" w:rsidTr="00DC1D17">
        <w:trPr>
          <w:jc w:val="center"/>
        </w:trPr>
        <w:tc>
          <w:tcPr>
            <w:tcW w:w="2977" w:type="dxa"/>
            <w:vAlign w:val="bottom"/>
          </w:tcPr>
          <w:p w:rsidR="000D7E68" w:rsidRPr="00DC1D17" w:rsidRDefault="000D7E68" w:rsidP="00C64EA9">
            <w:pPr>
              <w:spacing w:before="200"/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6383" w:type="dxa"/>
            <w:vAlign w:val="bottom"/>
          </w:tcPr>
          <w:p w:rsidR="000D7E68" w:rsidRPr="00DC1D17" w:rsidRDefault="000D7E68" w:rsidP="00E11BCB">
            <w:pPr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Grenzach</w:t>
            </w:r>
            <w:r w:rsidR="00E11BCB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erstrasse 124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, </w:t>
            </w:r>
            <w:r w:rsidR="005D3143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CH-4070, Basel, </w:t>
            </w:r>
            <w:r w:rsidR="00E11BCB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Švajcarska</w:t>
            </w:r>
          </w:p>
        </w:tc>
      </w:tr>
      <w:tr w:rsidR="000D7E68" w:rsidRPr="00DC1D17" w:rsidTr="00DC1D17">
        <w:trPr>
          <w:jc w:val="center"/>
        </w:trPr>
        <w:tc>
          <w:tcPr>
            <w:tcW w:w="2977" w:type="dxa"/>
            <w:vAlign w:val="bottom"/>
          </w:tcPr>
          <w:p w:rsidR="000D7E68" w:rsidRPr="00DC1D17" w:rsidRDefault="000D7E68" w:rsidP="00C64EA9">
            <w:pPr>
              <w:spacing w:before="200"/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Podnosilac zahtjeva:</w:t>
            </w:r>
          </w:p>
        </w:tc>
        <w:tc>
          <w:tcPr>
            <w:tcW w:w="6383" w:type="dxa"/>
            <w:vAlign w:val="bottom"/>
          </w:tcPr>
          <w:p w:rsidR="000D7E68" w:rsidRPr="00DC1D17" w:rsidRDefault="005D3143" w:rsidP="005D3143">
            <w:pPr>
              <w:spacing w:before="20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„</w:t>
            </w:r>
            <w:r w:rsidR="000D7E68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Hoffmann – La Roche Ltd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“</w:t>
            </w:r>
            <w:r w:rsidR="000D7E68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dio stranog društva Podgorica</w:t>
            </w:r>
          </w:p>
        </w:tc>
      </w:tr>
      <w:tr w:rsidR="000D7E68" w:rsidRPr="00DC1D17" w:rsidTr="00DC1D17">
        <w:trPr>
          <w:jc w:val="center"/>
        </w:trPr>
        <w:tc>
          <w:tcPr>
            <w:tcW w:w="2977" w:type="dxa"/>
            <w:vAlign w:val="bottom"/>
          </w:tcPr>
          <w:p w:rsidR="000D7E68" w:rsidRPr="00DC1D17" w:rsidRDefault="000D7E68" w:rsidP="00C64EA9">
            <w:pPr>
              <w:spacing w:before="200"/>
              <w:jc w:val="righ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Adresa:</w:t>
            </w:r>
          </w:p>
        </w:tc>
        <w:tc>
          <w:tcPr>
            <w:tcW w:w="6383" w:type="dxa"/>
            <w:vAlign w:val="bottom"/>
          </w:tcPr>
          <w:p w:rsidR="000D7E68" w:rsidRPr="00DC1D17" w:rsidRDefault="000D7E68" w:rsidP="00C64EA9">
            <w:pPr>
              <w:spacing w:before="200"/>
              <w:ind w:left="72" w:hanging="72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Svetlane Kane Radević br</w:t>
            </w:r>
            <w:r w:rsidR="00841210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.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3, 81000 Podgorica, Crna Gora</w:t>
            </w:r>
          </w:p>
        </w:tc>
      </w:tr>
    </w:tbl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pStyle w:val="Header"/>
        <w:tabs>
          <w:tab w:val="clear" w:pos="4536"/>
          <w:tab w:val="clear" w:pos="9072"/>
          <w:tab w:val="left" w:pos="284"/>
        </w:tabs>
        <w:spacing w:before="400"/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E33D1D">
      <w:pPr>
        <w:pStyle w:val="BodyText"/>
        <w:spacing w:before="0" w:line="240" w:lineRule="auto"/>
        <w:ind w:left="0"/>
        <w:jc w:val="both"/>
        <w:rPr>
          <w:rFonts w:cs="Times New Roman"/>
          <w:lang w:val="sr-Latn-ME"/>
        </w:rPr>
      </w:pPr>
      <w:r w:rsidRPr="00BA1B55">
        <w:rPr>
          <w:rFonts w:cs="Times New Roman"/>
          <w:sz w:val="32"/>
          <w:lang w:val="sr-Latn-ME"/>
        </w:rPr>
        <w:lastRenderedPageBreak/>
        <w:sym w:font="Webdings" w:char="F036"/>
      </w:r>
      <w:r w:rsidRPr="00DC1D17">
        <w:rPr>
          <w:rFonts w:cs="Times New Roman"/>
          <w:lang w:val="sr-Latn-ME"/>
        </w:rPr>
        <w:t>Ovaj lijek je pod dodatnim praćenje</w:t>
      </w:r>
      <w:bookmarkStart w:id="0" w:name="_GoBack"/>
      <w:bookmarkEnd w:id="0"/>
      <w:r w:rsidRPr="00DC1D17">
        <w:rPr>
          <w:rFonts w:cs="Times New Roman"/>
          <w:lang w:val="sr-Latn-ME"/>
        </w:rPr>
        <w:t xml:space="preserve">m. Time se omogućava brzo otkrivanje novih bezbjednosnih informacija. </w:t>
      </w:r>
      <w:r w:rsidR="008C535C" w:rsidRPr="00DC1D17">
        <w:rPr>
          <w:rFonts w:cs="Times New Roman"/>
          <w:lang w:val="sr-Latn-ME"/>
        </w:rPr>
        <w:t>Zdravstveni radnici treba</w:t>
      </w:r>
      <w:r w:rsidRPr="00DC1D17">
        <w:rPr>
          <w:rFonts w:cs="Times New Roman"/>
          <w:lang w:val="sr-Latn-ME"/>
        </w:rPr>
        <w:t xml:space="preserve"> da prijave svaku sumnju na neželjeno dejstvo </w:t>
      </w:r>
      <w:r w:rsidR="008C535C" w:rsidRPr="00DC1D17">
        <w:rPr>
          <w:rFonts w:cs="Times New Roman"/>
          <w:lang w:val="sr-Latn-ME"/>
        </w:rPr>
        <w:t xml:space="preserve">ovog </w:t>
      </w:r>
      <w:r w:rsidRPr="00DC1D17">
        <w:rPr>
          <w:rFonts w:cs="Times New Roman"/>
          <w:lang w:val="sr-Latn-ME"/>
        </w:rPr>
        <w:t>lijek</w:t>
      </w:r>
      <w:r w:rsidR="008C535C" w:rsidRPr="00DC1D17">
        <w:rPr>
          <w:rFonts w:cs="Times New Roman"/>
          <w:lang w:val="sr-Latn-ME"/>
        </w:rPr>
        <w:t>a</w:t>
      </w:r>
      <w:r w:rsidRPr="00DC1D17">
        <w:rPr>
          <w:rFonts w:cs="Times New Roman"/>
          <w:lang w:val="sr-Latn-ME"/>
        </w:rPr>
        <w:t xml:space="preserve">. Za postupak prijavljivanja neželjenih dejstava </w:t>
      </w:r>
      <w:r w:rsidR="008C535C" w:rsidRPr="00DC1D17">
        <w:rPr>
          <w:rFonts w:cs="Times New Roman"/>
          <w:lang w:val="sr-Latn-ME"/>
        </w:rPr>
        <w:t xml:space="preserve">vidjeti odjeljak </w:t>
      </w:r>
      <w:r w:rsidRPr="00DC1D17">
        <w:rPr>
          <w:rFonts w:cs="Times New Roman"/>
          <w:lang w:val="sr-Latn-ME"/>
        </w:rPr>
        <w:t>4.8.</w:t>
      </w:r>
    </w:p>
    <w:p w:rsidR="000D7E68" w:rsidRDefault="000D7E68" w:rsidP="00E33D1D">
      <w:pPr>
        <w:pStyle w:val="BodyText"/>
        <w:spacing w:before="0" w:line="240" w:lineRule="auto"/>
        <w:ind w:left="0"/>
        <w:jc w:val="both"/>
        <w:rPr>
          <w:rFonts w:cs="Times New Roman"/>
          <w:lang w:val="sr-Latn-ME"/>
        </w:rPr>
      </w:pPr>
    </w:p>
    <w:p w:rsidR="00E33D1D" w:rsidRPr="00DC1D17" w:rsidRDefault="00E33D1D" w:rsidP="00E33D1D">
      <w:pPr>
        <w:pStyle w:val="BodyText"/>
        <w:spacing w:before="0" w:line="240" w:lineRule="auto"/>
        <w:ind w:left="0"/>
        <w:jc w:val="both"/>
        <w:rPr>
          <w:rFonts w:cs="Times New Roman"/>
          <w:lang w:val="sr-Latn-ME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1384"/>
        <w:gridCol w:w="8255"/>
      </w:tblGrid>
      <w:tr w:rsidR="000D7E68" w:rsidRPr="00DC1D17" w:rsidTr="0045073A">
        <w:trPr>
          <w:trHeight w:val="284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1. IME LIJEKA</w:t>
            </w:r>
          </w:p>
        </w:tc>
      </w:tr>
      <w:tr w:rsidR="000D7E68" w:rsidRPr="00DC1D17" w:rsidTr="008E3349">
        <w:trPr>
          <w:trHeight w:val="525"/>
        </w:trPr>
        <w:tc>
          <w:tcPr>
            <w:tcW w:w="9639" w:type="dxa"/>
            <w:gridSpan w:val="2"/>
            <w:vAlign w:val="center"/>
          </w:tcPr>
          <w:p w:rsidR="002C2B07" w:rsidRPr="00DC1D17" w:rsidRDefault="002C2B0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0D7E68" w:rsidRPr="00DC1D17" w:rsidRDefault="003A6110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2C2B07" w:rsidRPr="00CF596D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2C2B0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267mg</w:t>
            </w:r>
            <w:r w:rsidR="000D7E6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tvrde kapsule</w:t>
            </w:r>
          </w:p>
          <w:p w:rsidR="00B452D3" w:rsidRPr="00DC1D17" w:rsidRDefault="00B452D3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452D3" w:rsidRPr="00DC1D17" w:rsidRDefault="00B452D3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INN:</w:t>
            </w:r>
            <w:r w:rsidR="005D314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3A611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pirfenidon</w:t>
            </w:r>
          </w:p>
        </w:tc>
      </w:tr>
      <w:tr w:rsidR="000D7E68" w:rsidRPr="00DC1D17" w:rsidTr="008E3349">
        <w:trPr>
          <w:trHeight w:val="338"/>
        </w:trPr>
        <w:tc>
          <w:tcPr>
            <w:tcW w:w="1384" w:type="dxa"/>
          </w:tcPr>
          <w:p w:rsidR="000D7E68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E33D1D" w:rsidRPr="00DC1D17" w:rsidRDefault="00E33D1D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  <w:tc>
          <w:tcPr>
            <w:tcW w:w="8255" w:type="dxa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0D7E68" w:rsidRPr="00DC1D17" w:rsidTr="0045073A">
        <w:tc>
          <w:tcPr>
            <w:tcW w:w="9639" w:type="dxa"/>
            <w:gridSpan w:val="2"/>
            <w:shd w:val="clear" w:color="auto" w:fill="auto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2. KVALITATIVNI I KVANTITATIVNI SASTAV</w:t>
            </w:r>
          </w:p>
        </w:tc>
      </w:tr>
      <w:tr w:rsidR="000D7E68" w:rsidRPr="00DC1D17" w:rsidTr="008E3349">
        <w:trPr>
          <w:trHeight w:val="1145"/>
        </w:trPr>
        <w:tc>
          <w:tcPr>
            <w:tcW w:w="9639" w:type="dxa"/>
            <w:gridSpan w:val="2"/>
            <w:vAlign w:val="center"/>
          </w:tcPr>
          <w:p w:rsidR="002E3DCB" w:rsidRPr="00DC1D17" w:rsidRDefault="002E3DCB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2E3DCB" w:rsidRPr="00DC1D17" w:rsidRDefault="00810FED" w:rsidP="00E33D1D">
            <w:pPr>
              <w:widowControl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Jedna </w:t>
            </w:r>
            <w:r w:rsidR="003A611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kapsula sadrži 267 mg pirfenidona.</w:t>
            </w:r>
          </w:p>
          <w:p w:rsidR="0084357F" w:rsidRPr="00DC1D17" w:rsidRDefault="0084357F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84357F" w:rsidRPr="00DC1D17" w:rsidRDefault="0084357F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Za kompletan spisak pomoćnih supstanci vidjeti dio 6.1.</w:t>
            </w:r>
          </w:p>
          <w:p w:rsidR="00E33D1D" w:rsidRDefault="00E33D1D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E33D1D" w:rsidRPr="00DC1D17" w:rsidRDefault="00E33D1D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</w:tc>
      </w:tr>
      <w:tr w:rsidR="000D7E68" w:rsidRPr="00DC1D17" w:rsidTr="0045073A">
        <w:tc>
          <w:tcPr>
            <w:tcW w:w="9639" w:type="dxa"/>
            <w:gridSpan w:val="2"/>
            <w:shd w:val="clear" w:color="auto" w:fill="auto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3. FARMACEUTSKI OBLIK</w:t>
            </w:r>
          </w:p>
        </w:tc>
      </w:tr>
      <w:tr w:rsidR="000D7E68" w:rsidRPr="00DC1D17" w:rsidTr="008E3349">
        <w:trPr>
          <w:trHeight w:val="1145"/>
        </w:trPr>
        <w:tc>
          <w:tcPr>
            <w:tcW w:w="9639" w:type="dxa"/>
            <w:gridSpan w:val="2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0D7E68" w:rsidRPr="00DC1D17" w:rsidRDefault="003A6110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Tvrda kapsula</w:t>
            </w:r>
            <w:r w:rsidR="0084357F" w:rsidRPr="00DC1D17">
              <w:rPr>
                <w:rFonts w:cs="Times New Roman"/>
                <w:lang w:val="sr-Latn-ME"/>
              </w:rPr>
              <w:t>.</w:t>
            </w:r>
          </w:p>
          <w:p w:rsidR="000D7E68" w:rsidRPr="00DC1D17" w:rsidRDefault="000D7E68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3A6110" w:rsidRPr="00DC1D17" w:rsidRDefault="003A6110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Dvodijelne kapsule sa neprozirnim tijelom bijele </w:t>
            </w:r>
            <w:r w:rsidR="00650E7E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 bjeličaste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boje i neprozirnom kapicom bijele </w:t>
            </w:r>
            <w:r w:rsidR="00650E7E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 bjeličaste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boje na kojoj je smeđim mastilom u</w:t>
            </w:r>
            <w:r w:rsidR="00E33D1D">
              <w:rPr>
                <w:rFonts w:ascii="Times New Roman" w:hAnsi="Times New Roman"/>
                <w:sz w:val="22"/>
                <w:szCs w:val="22"/>
                <w:lang w:val="sr-Latn-ME"/>
              </w:rPr>
              <w:t>tisnuto „PFD 267 mg“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koje sadrže bijeli do blijedožuti prašak.</w:t>
            </w:r>
          </w:p>
          <w:p w:rsidR="003A6110" w:rsidRPr="00DC1D17" w:rsidRDefault="003A6110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0D7E68" w:rsidRPr="00DC1D17" w:rsidTr="0045073A">
        <w:tc>
          <w:tcPr>
            <w:tcW w:w="9639" w:type="dxa"/>
            <w:gridSpan w:val="2"/>
            <w:shd w:val="clear" w:color="auto" w:fill="auto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4. KLINIČKI PODACI</w:t>
            </w:r>
          </w:p>
        </w:tc>
      </w:tr>
      <w:tr w:rsidR="000D7E68" w:rsidRPr="00DC1D17" w:rsidTr="008E3349">
        <w:tc>
          <w:tcPr>
            <w:tcW w:w="9639" w:type="dxa"/>
            <w:gridSpan w:val="2"/>
            <w:vAlign w:val="center"/>
          </w:tcPr>
          <w:p w:rsidR="008E3349" w:rsidRDefault="008E3349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4.1. Terapijske indikacije</w:t>
            </w:r>
          </w:p>
          <w:p w:rsidR="00E936FB" w:rsidRPr="00DC1D17" w:rsidRDefault="00E936FB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35193" w:rsidRPr="00DC1D17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0F233D" w:rsidRPr="008E334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E936F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je indikovan kod odraslih osoba za liječenje blagih do umjereno teških oblika idiopatske 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plućne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fibroze (IPF).</w:t>
            </w:r>
          </w:p>
          <w:p w:rsidR="00545082" w:rsidRPr="00DC1D17" w:rsidRDefault="00545082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</w:tc>
      </w:tr>
      <w:tr w:rsidR="000D7E68" w:rsidRPr="00DC1D17" w:rsidTr="008E3349">
        <w:tc>
          <w:tcPr>
            <w:tcW w:w="9639" w:type="dxa"/>
            <w:gridSpan w:val="2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4.2. Doziranje i način primjene</w:t>
            </w:r>
          </w:p>
          <w:p w:rsidR="000D7E68" w:rsidRPr="00DC1D17" w:rsidRDefault="000D7E68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35193" w:rsidRPr="00DC1D17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Liječenje lijekom Esbriet</w:t>
            </w:r>
            <w:r w:rsidRPr="008E334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da započne i nadgleda ljekar specijalista sa iskustvom u 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dijagnostifikovanju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 liječenju IPF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-a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997DC4" w:rsidRPr="00DC1D17" w:rsidRDefault="00997DC4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2C2E37" w:rsidRPr="00DC1D17" w:rsidRDefault="002C2E3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Doziranje</w:t>
            </w:r>
          </w:p>
          <w:p w:rsidR="002C2E37" w:rsidRPr="00DC1D17" w:rsidRDefault="002C2E3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35193" w:rsidRPr="00DC1D17" w:rsidRDefault="00735193" w:rsidP="00E33D1D">
            <w:pPr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Odrasli</w:t>
            </w:r>
          </w:p>
          <w:p w:rsidR="00735193" w:rsidRPr="00DC1D17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početku liječenja dozu treba titrirati u periodu od 14 dana do preporučene dnevne doze od 9 kapsula na dan, na sljedeći način: </w:t>
            </w:r>
          </w:p>
          <w:p w:rsidR="00735193" w:rsidRPr="00DC1D17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35193" w:rsidRPr="00DC1D17" w:rsidRDefault="00735193" w:rsidP="00E33D1D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 1. do 7. dana: jedn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>a kapsula, tri puta na dan (801 mg/dan)</w:t>
            </w:r>
          </w:p>
          <w:p w:rsidR="00735193" w:rsidRPr="00DC1D17" w:rsidRDefault="00735193" w:rsidP="00E33D1D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 8. do 14. dana: dvije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kapsule, tri puta na dan (1602 mg/dan)</w:t>
            </w:r>
          </w:p>
          <w:p w:rsidR="00735193" w:rsidRPr="00DC1D17" w:rsidRDefault="00735193" w:rsidP="00E33D1D">
            <w:pPr>
              <w:pStyle w:val="ListParagraph"/>
              <w:numPr>
                <w:ilvl w:val="0"/>
                <w:numId w:val="24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 15. dana nadalje: tri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kapsule, tri puta na dan (2403 mg/dan)</w:t>
            </w:r>
          </w:p>
          <w:p w:rsidR="00735193" w:rsidRPr="00DC1D17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35193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Preporučena dnevna doza lijeka Esbriet</w:t>
            </w:r>
            <w:r w:rsidR="00882FA1"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kod pacijenata sa IPF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-om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tri kapsule od 267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 tri puta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 dan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sa hranom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što čini ukupnu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doz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od 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mg/dan.</w:t>
            </w:r>
          </w:p>
          <w:p w:rsidR="00735193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Ni 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jedno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g se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pacijenta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>e preporučuju doze veće od 2403 mg/dan.</w:t>
            </w:r>
          </w:p>
          <w:p w:rsidR="00735193" w:rsidRDefault="00671B7A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Pacijenti</w:t>
            </w:r>
            <w:r w:rsidR="0073519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propuste</w:t>
            </w:r>
            <w:r w:rsidR="0073519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14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više</w:t>
            </w:r>
            <w:r w:rsidR="0073519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uzastopnih dana</w:t>
            </w:r>
            <w:r w:rsidR="00810FE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liječenja lijekom Esbriet</w:t>
            </w:r>
            <w:r w:rsidR="00810FED"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73519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trebaju </w:t>
            </w:r>
            <w:r w:rsidR="003E29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ponovo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započnu</w:t>
            </w:r>
            <w:r w:rsidR="00FC037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terapiju primjenom početnog režima 2-nedjeljne titracije</w:t>
            </w:r>
            <w:r w:rsidR="0073519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do preporučene dnevne doze.</w:t>
            </w:r>
            <w:r w:rsidR="003E29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735193" w:rsidRPr="00DC1D17" w:rsidRDefault="00735193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Kod </w:t>
            </w:r>
            <w:r w:rsidR="009C462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privremenog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prekida liječenja kraćeg od 14 uzastopnih dana, liječenje se može nastaviti 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>dotadašnjom</w:t>
            </w:r>
            <w:r w:rsidR="009C462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preporučenom dnevnom dozom bez titracije.</w:t>
            </w:r>
          </w:p>
          <w:p w:rsidR="00735193" w:rsidRPr="00DC1D17" w:rsidRDefault="00735193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671B7A" w:rsidRPr="00DC1D17" w:rsidRDefault="00671B7A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Prilagođavanje doze i druge mjere za bezbjednu primjenu</w:t>
            </w:r>
          </w:p>
          <w:p w:rsidR="00671B7A" w:rsidRPr="00DC1D17" w:rsidRDefault="00671B7A" w:rsidP="0062065A">
            <w:pPr>
              <w:autoSpaceDE w:val="0"/>
              <w:autoSpaceDN w:val="0"/>
              <w:adjustRightInd w:val="0"/>
              <w:spacing w:before="0" w:after="12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Smetnje pri varenju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: Pacijente koji ne podnose terapiju zbog gastrointestinalnih </w:t>
            </w:r>
            <w:r w:rsidR="00BF7B9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neželjenih dejstava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</w:t>
            </w:r>
            <w:r w:rsidR="009C462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podsjetiti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lijek uzimaju s</w:t>
            </w:r>
            <w:r w:rsidR="00BF7B9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hranom. Ako simptomi </w:t>
            </w:r>
            <w:r w:rsidR="009C462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potraju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doza lijeka Esbriet</w:t>
            </w:r>
            <w:r w:rsidR="00BF7B9F"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može smanjiti na 1-2 kapsule (267 mg-534 mg) 2-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3 puta na dan </w:t>
            </w:r>
            <w:r w:rsidR="004079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sa hranom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uz postepeno povećavanje do preporučene doze prema podnošljivosti. Ako su simptomi i dalje prisutni, </w:t>
            </w:r>
            <w:r w:rsidR="00BF7B9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pacijent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može </w:t>
            </w:r>
            <w:r w:rsidR="00BF7B9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savjetovati da </w:t>
            </w:r>
            <w:r w:rsidR="006151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privremeno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prekine liječenje </w:t>
            </w:r>
            <w:r w:rsidR="006151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 do 2 </w:t>
            </w:r>
            <w:r w:rsidR="00BF7B9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nedjelje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>, dok se simptomi ne povuku.</w:t>
            </w:r>
          </w:p>
          <w:p w:rsidR="00671B7A" w:rsidRPr="00DC1D17" w:rsidRDefault="006151E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R</w:t>
            </w:r>
            <w:r w:rsidR="00671B7A"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 xml:space="preserve">eakcija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 xml:space="preserve">fotoosjetljivosti </w:t>
            </w:r>
            <w:r w:rsidR="00671B7A"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ili osip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: </w:t>
            </w:r>
            <w:r w:rsidR="00A42C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Pacijente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kod kojih se pojav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blaga do umjerena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reakcij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fotoosjetljivosti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osip treba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podsjetiti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 svakodnevno koriste sredstva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za zaštitu od sunca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izbjegavaju izlaganje suncu (vidjeti dio 4.4). Doza lijeka Esbriet</w:t>
            </w:r>
            <w:r w:rsidR="00A42C55"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može</w:t>
            </w:r>
            <w:r w:rsidR="00A42C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da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sma</w:t>
            </w:r>
            <w:r w:rsidR="00A42C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nji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3 kapsule/dan (1 kapsula tri puta dnevno). Ako osip potraje duže od 7 dana,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primjenu lijeka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A42C55"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prekinuti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15 dana,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 zatim </w:t>
            </w:r>
            <w:r w:rsidR="00DF725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postepeno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povećavati dozu do preporučene dnevne doze </w:t>
            </w:r>
            <w:r w:rsidR="00DF725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</w:t>
            </w:r>
            <w:r w:rsidR="00A51B7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isti način kao i tokom razdoblja titracije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671B7A" w:rsidRPr="00DC1D17" w:rsidRDefault="00A42C55" w:rsidP="0062065A">
            <w:pPr>
              <w:autoSpaceDE w:val="0"/>
              <w:autoSpaceDN w:val="0"/>
              <w:adjustRightInd w:val="0"/>
              <w:spacing w:before="0" w:after="12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Pacijente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>koji razviju tešku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reakciju fotoosjetljivosti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težak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osip treba uputiti da prestanu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uzimaju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lijek i potraže savjet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ljekara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(vidjeti dio 4.4). 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Nakon što 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osip povuče, može se ponovo započeti 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liječenje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="00DF725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om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Esbriet</w:t>
            </w:r>
            <w:r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uz postepeno povećanje do preporučene dnevne doze, prema 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odluci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ljekara</w:t>
            </w:r>
            <w:r w:rsidR="00671B7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671B7A" w:rsidRPr="00DC1D17" w:rsidRDefault="00671B7A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Funkcija jetre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: U slučaju značajnog povišenja </w:t>
            </w:r>
            <w:r w:rsidR="00A42C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nivoa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alanin- i/ili aspartat-aminotransferaza (ALT/AST) 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uz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povišenj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A42C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nivoa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bilirubina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bez njega, potrebno je prilagoditi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dozu lijeka Esbriet</w:t>
            </w:r>
            <w:r w:rsidR="00A42C55"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prekinuti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liječenje </w:t>
            </w:r>
            <w:r w:rsidR="008A34E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skladu sa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smjernicama navedenim u dijelu 4.4.</w:t>
            </w:r>
          </w:p>
          <w:p w:rsidR="00671B7A" w:rsidRPr="00DC1D17" w:rsidRDefault="00671B7A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Posebne </w:t>
            </w:r>
            <w:r w:rsidR="008A34E1"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populacije</w:t>
            </w: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 xml:space="preserve">Starije osobe </w:t>
            </w:r>
          </w:p>
          <w:p w:rsidR="0031714F" w:rsidRPr="00DC1D17" w:rsidRDefault="008A34E1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Nije potrebno prilagođavati dozu k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 pacijenata uzrasta 65 i više godina (vidjeti dio 5.2).</w:t>
            </w: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 xml:space="preserve">Oštećenje funkcije jetre  </w:t>
            </w:r>
          </w:p>
          <w:p w:rsidR="00695DEF" w:rsidRPr="0062065A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Nije potrebno da se prilagođava doza kod pacijenata sa blagim do umjerenim oštećenjem funkcije jetre (</w:t>
            </w:r>
            <w:r w:rsidR="008B41F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tj.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stepena A i B prema Child-Pugh</w:t>
            </w:r>
            <w:r w:rsidR="008B41F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klasifikaciji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). </w:t>
            </w:r>
            <w:r w:rsidR="008B41F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Međutim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budući da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nekih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pacijenata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blagim do umjerenim oštećenjem funkcije jetre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nivoi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pirfenidona u plazmi mogu biti povišen</w:t>
            </w:r>
            <w:r w:rsidR="00CD4E4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kod liječenja takvih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pacijenata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lijekom Esbriet</w:t>
            </w:r>
            <w:r w:rsidR="002B7945" w:rsidRPr="001977E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potreban je oprez. </w:t>
            </w:r>
            <w:r w:rsidR="008B41F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acijenat</w:t>
            </w:r>
            <w:r w:rsidR="008B41F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pažljivo pratiti 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zbog moguće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pojav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znakova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toksičnosti, naročito ako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istovremeno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uzimaju 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lijek za koji se zna da je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inhibitor CYP1A2 (vidjeti 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djelove </w:t>
            </w:r>
            <w:r w:rsidR="001977E7">
              <w:rPr>
                <w:rFonts w:ascii="Times New Roman" w:hAnsi="Times New Roman"/>
                <w:sz w:val="22"/>
                <w:szCs w:val="22"/>
                <w:lang w:val="sr-Latn-ME"/>
              </w:rPr>
              <w:t>4.5 i 5.2).</w:t>
            </w:r>
            <w:r w:rsidR="0062065A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Primjena lijeka Esbriet</w:t>
            </w:r>
            <w:r w:rsidR="002B7945" w:rsidRPr="001658D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nije ispit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iv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ana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pacijenata sa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teškim oštećenjem funkcije jetre ili u terminalnoj fazi bolesti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jetre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pa se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zbog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toga </w:t>
            </w:r>
            <w:r w:rsidR="00BF5A4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ne smije </w:t>
            </w:r>
            <w:r w:rsidR="006E37F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primjenjivati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kod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pacijenata</w:t>
            </w:r>
            <w:r w:rsidR="006E37F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 tim bolestima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(vidjeti </w:t>
            </w:r>
            <w:r w:rsidR="0032501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 xml:space="preserve">djelove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4.3, 4.4 i 5.2). </w:t>
            </w:r>
            <w:r w:rsidR="0032501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Preporučuje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 se </w:t>
            </w:r>
            <w:r w:rsidR="006E37F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nadzire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funkcij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jetre</w:t>
            </w:r>
            <w:r w:rsidR="006E37F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tokom liječenja</w:t>
            </w:r>
            <w:r w:rsidR="0032501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6E37F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možda će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biti potrebno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se prilagodi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doz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slučaju povišen</w:t>
            </w:r>
            <w:r w:rsidR="006E37F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ih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vrijednosti </w:t>
            </w:r>
            <w:r w:rsidR="006E37F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enzima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jetre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(vidjeti </w:t>
            </w:r>
            <w:r w:rsidR="00C07A1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djelove </w:t>
            </w:r>
            <w:r w:rsidR="0062065A">
              <w:rPr>
                <w:rFonts w:ascii="Times New Roman" w:hAnsi="Times New Roman"/>
                <w:sz w:val="22"/>
                <w:szCs w:val="22"/>
                <w:lang w:val="sr-Latn-ME"/>
              </w:rPr>
              <w:t>4.4 i 5.2)</w:t>
            </w:r>
          </w:p>
          <w:p w:rsidR="0031714F" w:rsidRPr="00DC1D17" w:rsidRDefault="003B48E2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Oštećenje funkcije bubrega</w:t>
            </w:r>
          </w:p>
          <w:p w:rsidR="0031714F" w:rsidRPr="00DC1D17" w:rsidRDefault="006B536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Nije potrebno prilagođavati dozu ko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pacijenata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blagim do umjerenim oštećenjem funkcije bubrega. Esbriet</w:t>
            </w:r>
            <w:r w:rsidR="002B7945" w:rsidRPr="00DE696E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smije primjenjivati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kod pacijenata 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teškim oštećenjem funkcije bubrega (klirens kreatinina &lt;30 ml/min) ili u terminalnoj fazi bubrežne bolesti koja zahtijeva primjenu dijalize (vidjeti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djelove </w:t>
            </w:r>
            <w:r w:rsidR="00DE696E">
              <w:rPr>
                <w:rFonts w:ascii="Times New Roman" w:hAnsi="Times New Roman"/>
                <w:sz w:val="22"/>
                <w:szCs w:val="22"/>
                <w:lang w:val="sr-Latn-ME"/>
              </w:rPr>
              <w:t>4.3 i 5.2).</w:t>
            </w: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 xml:space="preserve">Pedijatrijska populacija </w:t>
            </w:r>
          </w:p>
          <w:p w:rsidR="0031714F" w:rsidRPr="00DC1D17" w:rsidRDefault="006B536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Nije opravdana p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rimjena lijeka Esbriet</w:t>
            </w:r>
            <w:r w:rsidR="002B7945" w:rsidRPr="00DD670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161BF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pedijatrijskoj populaciji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liječenje IPF</w:t>
            </w:r>
            <w:r w:rsidR="00161BF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-a</w:t>
            </w:r>
            <w:r w:rsidR="0031714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Način primjene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31714F" w:rsidRPr="00DC1D17" w:rsidRDefault="0031714F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Pr="0062065A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61BF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primjenjuje peroralno. Kapsula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mora da </w:t>
            </w:r>
            <w:r w:rsidR="0032501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proguta cijela sa vodom</w:t>
            </w:r>
            <w:r w:rsidR="00161BF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uzima sa hranom</w:t>
            </w:r>
            <w:r w:rsidR="0032501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kako bi se smanjila mogućnost pojave mučnine i vrtoglavice (vidjeti </w:t>
            </w:r>
            <w:r w:rsidR="00161BF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djelove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4.8 i 5.2).</w:t>
            </w: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B7945" w:rsidRPr="00DC1D17" w:rsidRDefault="002B7945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4.3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="00E25AAA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Kontraindikacije</w:t>
            </w: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B7945" w:rsidRPr="00DC1D17" w:rsidRDefault="00157320" w:rsidP="00E33D1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reosjetljivost na </w:t>
            </w:r>
            <w:r w:rsidR="00E25AA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aktivnu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E25AA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supstancu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neku od pomoćnih </w:t>
            </w:r>
            <w:r w:rsidR="00E25AA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supstanci</w:t>
            </w:r>
            <w:r w:rsidR="0062065A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navedenih u dijelu 6.1,</w:t>
            </w:r>
          </w:p>
          <w:p w:rsidR="002B7945" w:rsidRPr="00DC1D17" w:rsidRDefault="00157320" w:rsidP="00E33D1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namneza angioedema </w:t>
            </w:r>
            <w:r w:rsidR="0062065A">
              <w:rPr>
                <w:rFonts w:ascii="Times New Roman" w:hAnsi="Times New Roman"/>
                <w:sz w:val="22"/>
                <w:szCs w:val="22"/>
                <w:lang w:val="sr-Latn-ME"/>
              </w:rPr>
              <w:t>kod primjene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pirfenidona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(vidjeti dio 4.4),</w:t>
            </w:r>
          </w:p>
          <w:p w:rsidR="002B7945" w:rsidRPr="00DC1D17" w:rsidRDefault="00157320" w:rsidP="00E33D1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E25AA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stovremen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fluvoksamina (vidjeti dio 4.5),</w:t>
            </w:r>
          </w:p>
          <w:p w:rsidR="002B7945" w:rsidRPr="00DC1D17" w:rsidRDefault="00157320" w:rsidP="00E33D1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eško oštećenje funkcije jetre ili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terminalna faza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bolesti</w:t>
            </w:r>
            <w:r w:rsidR="00E25AA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jetre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(vidjeti dio 4.2 i 4.4),</w:t>
            </w:r>
          </w:p>
          <w:p w:rsidR="002B7945" w:rsidRPr="00DC1D17" w:rsidRDefault="00157320" w:rsidP="00E33D1D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eško oštećenje funkcije bubrega (CrCl &lt;30 ml/min) ili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terminalna faza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bubrežne bolesti koj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zahtijeva dijalizu (vidjeti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djelove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4.2 i 4.4).</w:t>
            </w: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B7945" w:rsidRPr="00DC1D17" w:rsidRDefault="002B7945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4.4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ab/>
            </w:r>
            <w:r w:rsidR="00E25AAA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Posebna upozorenja i mjere opreza pri </w:t>
            </w:r>
            <w:r w:rsidR="00E25AAA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upotrebi</w:t>
            </w:r>
            <w:r w:rsidR="00155B10"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 lijeka</w:t>
            </w: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Funkcija jetre</w:t>
            </w: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2B7945" w:rsidRPr="00DC1D17" w:rsidRDefault="00E25AAA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pacijenata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su primali Esbriet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®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primijećeno je povišenje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nivoa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ALT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-a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AST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-a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&gt;3 x iznad gornje granice 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normale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(</w:t>
            </w:r>
            <w:r w:rsidR="005E7EA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GGN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). 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Ta su povišenja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rijetko bil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povezan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istovremenim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povišenjem ukupnog serumskog bilirubina. 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Potrebno je </w:t>
            </w:r>
            <w:r w:rsidR="005E7EA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uraditi </w:t>
            </w:r>
            <w:r w:rsidR="0015732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funkcijske testove jetre (ALT, AST i bilirubin) p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rije započinjanja liječenja lijekom Esbriet</w:t>
            </w:r>
            <w:r w:rsidR="00B342E7" w:rsidRPr="00DD670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svak</w:t>
            </w:r>
            <w:r w:rsidR="005E7EA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og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mjeseca 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tokom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prvih 6 mjeseci liječenja, a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zatim</w:t>
            </w:r>
            <w:r w:rsidR="005E7EA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svaka 3 mjeseca (vidjeti dio 4.8). U slučaju značajnog porasta 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nivoa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aminotransferaza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jetre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potrebno je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prilagoditi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dozu lijeka 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="007A40D9" w:rsidRPr="00DD670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ili prekinuti liječenje </w:t>
            </w:r>
            <w:r w:rsidR="00DD6707">
              <w:rPr>
                <w:rFonts w:ascii="Times New Roman" w:hAnsi="Times New Roman"/>
                <w:sz w:val="22"/>
                <w:szCs w:val="22"/>
                <w:lang w:val="sr-Latn-ME"/>
              </w:rPr>
              <w:t>u skladu sa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smjernicama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navedenim u nastavku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pacijenata sa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potvrđenim porastom 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nivoa 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ALT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-a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AST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-a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bilirubina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tokom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liječenja</w:t>
            </w:r>
            <w:r w:rsidR="004F3C1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2B794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možda će </w:t>
            </w:r>
            <w:r w:rsidR="00DD6707">
              <w:rPr>
                <w:rFonts w:ascii="Times New Roman" w:hAnsi="Times New Roman"/>
                <w:sz w:val="22"/>
                <w:szCs w:val="22"/>
                <w:lang w:val="sr-Latn-ME"/>
              </w:rPr>
              <w:t>biti potrebne sljedeće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prilagođavanj</w:t>
            </w:r>
            <w:r w:rsidR="004675C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DD670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doze:</w:t>
            </w:r>
          </w:p>
          <w:p w:rsidR="002B7945" w:rsidRPr="00DC1D17" w:rsidRDefault="002B794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Preporuke u slučaju porasta ALT</w:t>
            </w:r>
            <w:r w:rsidR="007A40D9"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-a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/AST</w:t>
            </w:r>
            <w:r w:rsidR="007A40D9"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-a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Ako nakon započinjanja terapije lijekom Esbriet</w:t>
            </w:r>
            <w:r w:rsidRPr="006046D6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7A40D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kod pacijenata dođe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porast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aminotransferaza 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</w:t>
            </w:r>
            <w:r w:rsidR="006046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&gt;3 do ≤5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x </w:t>
            </w:r>
            <w:r w:rsidR="005E7EA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GGN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treba prekinuti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primjenu svih istovremeno 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primjenjivanih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ljekova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bi mogli prouzrokovati porast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isključiti druge uzroke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pažljivo pratiti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pacijenta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 Ako je to klinički opravdano, dozu lijeka Esbriet</w:t>
            </w:r>
            <w:r w:rsidRPr="006046D6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smanjiti ili prekinuti. 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Nakon što se nalazi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funkcijskih testova jetre 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vrate u normalu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Esbriet</w:t>
            </w:r>
            <w:r w:rsidRPr="006046D6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može ponovo uvesti u liječenje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uz postepeno povećanje doze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 preporučene dnevne doze, ako </w:t>
            </w:r>
            <w:r w:rsidR="00C54FB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je pacijent </w:t>
            </w:r>
            <w:r w:rsidR="00DD6707">
              <w:rPr>
                <w:rFonts w:ascii="Times New Roman" w:hAnsi="Times New Roman"/>
                <w:sz w:val="22"/>
                <w:szCs w:val="22"/>
                <w:lang w:val="sr-Latn-ME"/>
              </w:rPr>
              <w:t>podnosi.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kod pacijenata 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dođe do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porast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 nivoa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amino</w:t>
            </w:r>
            <w:r w:rsidR="006046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transferaza ≤5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x </w:t>
            </w:r>
            <w:r w:rsidR="005E7EA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GGN 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</w:t>
            </w:r>
            <w:r w:rsidR="00C70E2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ćenog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simptom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 ili hiperbilirubinemijom, 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liječenje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Esbriet</w:t>
            </w:r>
            <w:r w:rsidRPr="006046D6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mora se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prekinuti</w:t>
            </w:r>
            <w:r w:rsidR="000B5EC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ne smije se ponovo uvoditi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kod pacijenta </w:t>
            </w:r>
            <w:r w:rsidR="00D7256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dođe do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porast</w:t>
            </w:r>
            <w:r w:rsidR="00D7256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 nivoa</w:t>
            </w:r>
            <w:r w:rsidR="006046D6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aminotransferaza &gt;5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x </w:t>
            </w:r>
            <w:r w:rsidR="005E7EA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GGN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</w:t>
            </w:r>
            <w:r w:rsidR="00D7256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liječenje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lijek</w:t>
            </w:r>
            <w:r w:rsidR="00D72563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Esbriet</w:t>
            </w:r>
            <w:r w:rsidR="00D72563" w:rsidRPr="006046D6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08570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mora se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prekinuti</w:t>
            </w:r>
            <w:r w:rsidR="0008570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ne smije se ponovo uvoditi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u w:val="single"/>
                <w:lang w:val="sr-Latn-ME"/>
              </w:rPr>
              <w:t>Oštećenje funkcije jetre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pacijenata sa umjerenim oštećenjem funkcije jetre (tj. stadijum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B prema Child-Pugh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klasifikaciji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),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izloženost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lijeku Esbriet</w:t>
            </w:r>
            <w:r w:rsidR="00A20877" w:rsidRPr="006046D6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povećala se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60%. Esbriet</w:t>
            </w:r>
            <w:r w:rsidR="00A20877" w:rsidRPr="006046D6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primjenjivati sa oprezom kod pacijenata sa postojećim blagim do umjerenim oštećenjem funkcije jetre (tj. stadijumi A i B prema Child-Pugh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klasifikaciji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jer postoji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mogućnost povećane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izloženosti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lijeku Esbriet</w:t>
            </w:r>
            <w:r w:rsidRPr="00D210AC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Pacijente treba pažljivo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nadzirati zbog moguće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pojav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znakova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toksičnosti, naročito ako istovremeno uzimaju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poznati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inhibitor CYP1A2 (vidjeti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djelove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4.5 i 5.2). Esbriet</w:t>
            </w:r>
            <w:r w:rsidRPr="00D210AC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nije ispitivan kod osoba sa teškim oštećenjem funkcije jetre i zbog toga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ne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smije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primjenjivati kod </w:t>
            </w:r>
            <w:r w:rsidR="00F94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tih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pacijenata.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5D3E46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R</w:t>
            </w:r>
            <w:r w:rsidR="00B342E7"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eakcija </w:t>
            </w: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fotoosjetljivosti </w:t>
            </w:r>
            <w:r w:rsidR="00B342E7"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i osip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Tokom liječenja lijekom Esbriet</w:t>
            </w:r>
            <w:r w:rsidRPr="00D210AC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izlaganje direktnom sunčevom svjetlu (uključujući lampe za sunčanje) treba izbjegavati ili svesti na 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najmanju moguću mjeru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Pacijente treba uputiti da svakodnevno koriste sredstva 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za zaštitu od sunca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nose odjeću koja ih štiti od izloženosti suncu i izbjegavaju druge ljekove za koje se zna da 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prouzrokuju fotoosjetljivost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 Pacijente treba uputiti da svom ljekaru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prijave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simptome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reakcije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fotoosjetljivosti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osipa. Teške 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reakcije fotoosjetljivosti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su 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manje česte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 U slučaju blag</w:t>
            </w:r>
            <w:r w:rsidR="005D3E46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ih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 tešk</w:t>
            </w:r>
            <w:r w:rsidR="0078551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ih slučajeva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reakcije</w:t>
            </w:r>
            <w:r w:rsidR="0078551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fotoosjetljivosti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osipa mož</w:t>
            </w:r>
            <w:r w:rsidR="0078551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B736B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će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biti potrebno prilagoditi dozu ili privremeno prekinuti liječenje (vidjeti dio 4.2).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Angioedem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342E7" w:rsidRPr="00DC1D17" w:rsidRDefault="00801461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primjene lijeka Esbriet</w:t>
            </w:r>
            <w:r w:rsidRPr="00D210AC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nakon njegov</w:t>
            </w:r>
            <w:r w:rsidR="00E9441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og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stavljanja u promet prijavljeni su slučajevi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angioedem</w:t>
            </w:r>
            <w:r w:rsidR="003F290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(ponekad </w:t>
            </w:r>
            <w:r w:rsidR="003F290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ozbiljni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 </w:t>
            </w:r>
            <w:r w:rsidR="003F290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poput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031B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oticanja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lica, </w:t>
            </w:r>
            <w:r w:rsidR="00E52B0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usana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i/ili jezika</w:t>
            </w:r>
            <w:r w:rsidR="007031B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mogu biti </w:t>
            </w:r>
            <w:r w:rsidR="007031B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praćeni</w:t>
            </w:r>
            <w:r w:rsidR="00E52B0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otežanim disanjem ili </w:t>
            </w:r>
            <w:r w:rsidR="00E52B0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pištanjem</w:t>
            </w:r>
            <w:r w:rsidR="007031B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 disanju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E52B0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Zbog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toga </w:t>
            </w:r>
            <w:r w:rsidR="00E52B0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pacijenti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kod kojih se </w:t>
            </w:r>
            <w:r w:rsidR="00BE6F9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jave znakovi ili simptomi angioedema nakon primjene lijeka Esbriet</w:t>
            </w:r>
            <w:r w:rsidR="00E52B09" w:rsidRPr="00D210AC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moraju odmah prekinuti liječenje. </w:t>
            </w:r>
            <w:r w:rsidR="00D210AC">
              <w:rPr>
                <w:rFonts w:ascii="Times New Roman" w:hAnsi="Times New Roman"/>
                <w:sz w:val="22"/>
                <w:szCs w:val="22"/>
                <w:lang w:val="sr-Latn-ME"/>
              </w:rPr>
              <w:t>Pacijente</w:t>
            </w:r>
            <w:r w:rsidR="00F910F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</w:t>
            </w:r>
            <w:r w:rsidR="00E52B09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angioedemom </w:t>
            </w:r>
            <w:r w:rsidR="00AA225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treba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zbrinuti u skladu sa standardn</w:t>
            </w:r>
            <w:r w:rsidR="00CF7E4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 </w:t>
            </w:r>
            <w:r w:rsidR="00CF7E4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liječenjem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 Esbriet</w:t>
            </w:r>
            <w:r w:rsidR="001F4227" w:rsidRPr="00D210AC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ne smije koristiti kod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pacijenata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="00B342E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anamnezom angioedema (vidjeti dio 4.3).</w:t>
            </w:r>
          </w:p>
          <w:p w:rsidR="00B342E7" w:rsidRPr="00DC1D17" w:rsidRDefault="00B342E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F4227" w:rsidRPr="00DC1D1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Vrtoglavica</w:t>
            </w:r>
          </w:p>
          <w:p w:rsidR="001F4227" w:rsidRPr="00DC1D1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F4227" w:rsidRPr="00DC1D17" w:rsidRDefault="00CF7E4B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 pacijenata koji uzimaju Esbriet</w:t>
            </w:r>
            <w:r w:rsidR="001F4227" w:rsidRPr="00992DD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prijavljena je vrtoglavica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 Zbog toga bi pacijent</w:t>
            </w:r>
            <w:r w:rsidR="00992DD5">
              <w:rPr>
                <w:rFonts w:ascii="Times New Roman" w:hAnsi="Times New Roman"/>
                <w:sz w:val="22"/>
                <w:szCs w:val="22"/>
                <w:lang w:val="sr-Latn-ME"/>
              </w:rPr>
              <w:t>i trebali da znaju kako reaguju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 </w:t>
            </w:r>
            <w:r w:rsidR="006866D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ovaj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lijek prije nego </w:t>
            </w:r>
            <w:r w:rsidR="006866D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što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započnu aktivnosti koje zahtijevaju koncentraciju ili koordinaciju (vidjeti dio 4.7). </w:t>
            </w:r>
            <w:r w:rsidR="006866D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Kod većine </w:t>
            </w:r>
            <w:r w:rsidR="00661D3C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</w:t>
            </w:r>
            <w:r w:rsidR="00992DD5">
              <w:rPr>
                <w:rFonts w:ascii="Times New Roman" w:hAnsi="Times New Roman"/>
                <w:sz w:val="22"/>
                <w:szCs w:val="22"/>
                <w:lang w:val="sr-Latn-ME"/>
              </w:rPr>
              <w:t>ata</w:t>
            </w:r>
            <w:r w:rsidR="006866D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su u kliničkim ispitivanjima doživjeli </w:t>
            </w:r>
            <w:r w:rsidR="0038792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vrtoglavicu</w:t>
            </w:r>
            <w:r w:rsidR="006866D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ona se dogodila samo jednom </w:t>
            </w:r>
            <w:r w:rsidR="00B06AC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</w:t>
            </w:r>
            <w:r w:rsidR="006866D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</w:t>
            </w:r>
            <w:r w:rsidR="00A156BB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većini slučajeva </w:t>
            </w:r>
            <w:r w:rsidR="00B06AC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povukla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sama od sebe, </w:t>
            </w:r>
            <w:r w:rsidR="00B06AC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uz medijanu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trajanja od 22 dana. Ako </w:t>
            </w:r>
            <w:r w:rsidR="00B06AC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vrtoglavica ne </w:t>
            </w:r>
            <w:r w:rsidR="00B06AC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poboljša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ili ako se pogorša,</w:t>
            </w:r>
            <w:r w:rsidR="00B06AC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možda će biti</w:t>
            </w:r>
            <w:r w:rsidR="00992DD5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potrebno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prilagoditi dozu ili čak prekinuti terapiju lijekom Esbriet</w:t>
            </w:r>
            <w:r w:rsidR="001F4227" w:rsidRPr="00992DD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1F422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92DD5" w:rsidRDefault="00992DD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92DD5" w:rsidRDefault="00992DD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92DD5" w:rsidRPr="00DC1D17" w:rsidRDefault="00992DD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F4227" w:rsidRPr="00DC1D1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Umor</w:t>
            </w:r>
          </w:p>
          <w:p w:rsidR="001F4227" w:rsidRPr="00DC1D1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F4227" w:rsidRPr="00DC1D17" w:rsidRDefault="00B06AC2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</w:t>
            </w:r>
            <w:r w:rsidR="000269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 pacijenata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uzimaju Esbriet</w:t>
            </w:r>
            <w:r w:rsidR="000269E4" w:rsidRPr="00992DD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prijavljen je umor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0269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Zbog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toga bi </w:t>
            </w:r>
            <w:r w:rsidR="000269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pacijenti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trebali </w:t>
            </w:r>
            <w:r w:rsidR="000269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znaju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kako </w:t>
            </w:r>
            <w:r w:rsidR="000269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reaguju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ovaj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lijek prije nego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što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započnu aktivnosti koje zahtijevaju koncentraciju ili koordinaciju (vidjeti dio 4.7).</w:t>
            </w:r>
          </w:p>
          <w:p w:rsidR="001F4227" w:rsidRPr="00DC1D1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F4227" w:rsidRPr="00DC1D1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Gubitak tjelesne težine</w:t>
            </w:r>
          </w:p>
          <w:p w:rsidR="001F4227" w:rsidRPr="00DC1D17" w:rsidRDefault="001F422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F4227" w:rsidRPr="00DC1D17" w:rsidRDefault="00B06AC2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</w:t>
            </w:r>
            <w:r w:rsidR="005E77C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 pacijenata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liječeni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h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lijekom Esbriet</w:t>
            </w:r>
            <w:r w:rsidR="00A20877" w:rsidRPr="00992DD5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prijavljen je gubitak tjelesne</w:t>
            </w:r>
            <w:r w:rsidR="00815D0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težine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(vidjeti dio 4.8). </w:t>
            </w:r>
            <w:r w:rsidR="005E77C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Ljekari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</w:t>
            </w:r>
            <w:r w:rsidR="005E77C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prate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tjelesnu težinu </w:t>
            </w:r>
            <w:r w:rsidR="00992DD5">
              <w:rPr>
                <w:rFonts w:ascii="Times New Roman" w:hAnsi="Times New Roman"/>
                <w:sz w:val="22"/>
                <w:szCs w:val="22"/>
                <w:lang w:val="sr-Latn-ME"/>
              </w:rPr>
              <w:t>pacijenta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r w:rsidR="00815D0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podsti</w:t>
            </w:r>
            <w:r w:rsidR="00815D0F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ču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povećan unos kalorija </w:t>
            </w:r>
            <w:r w:rsidR="001F422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ako je gubitak na težini klinički značajan.</w:t>
            </w:r>
          </w:p>
          <w:p w:rsidR="000D7E68" w:rsidRPr="00DC1D17" w:rsidRDefault="000D7E68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</w:tc>
      </w:tr>
      <w:tr w:rsidR="000D7E68" w:rsidRPr="00DC1D17" w:rsidTr="008E3349">
        <w:tc>
          <w:tcPr>
            <w:tcW w:w="9639" w:type="dxa"/>
            <w:gridSpan w:val="2"/>
            <w:vAlign w:val="center"/>
          </w:tcPr>
          <w:p w:rsidR="000D7E68" w:rsidRPr="00DC1D17" w:rsidRDefault="000D7E68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b/>
                <w:bCs/>
                <w:lang w:val="sr-Latn-ME"/>
              </w:rPr>
            </w:pPr>
          </w:p>
        </w:tc>
      </w:tr>
      <w:tr w:rsidR="000D7E68" w:rsidRPr="00DC1D17" w:rsidTr="008E3349">
        <w:tc>
          <w:tcPr>
            <w:tcW w:w="9639" w:type="dxa"/>
            <w:gridSpan w:val="2"/>
            <w:vAlign w:val="center"/>
          </w:tcPr>
          <w:p w:rsidR="000D7E68" w:rsidRPr="00DC1D17" w:rsidRDefault="000D7E68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4.5. Interakcije sa drugim ljekovima i druge vrste interakcija</w:t>
            </w:r>
          </w:p>
          <w:p w:rsidR="00A52E57" w:rsidRPr="00DC1D17" w:rsidRDefault="00A52E5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AC7B64" w:rsidRPr="00DC1D17" w:rsidRDefault="00D17B8D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Približno </w:t>
            </w:r>
            <w:r w:rsidR="00992DD5">
              <w:rPr>
                <w:rFonts w:ascii="Times New Roman" w:hAnsi="Times New Roman"/>
                <w:sz w:val="22"/>
                <w:szCs w:val="22"/>
                <w:lang w:val="sr-Latn-ME"/>
              </w:rPr>
              <w:t>70-80% pirfenidona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metaboliše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se uz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pomoć CYP1A2, uz manji doprinos drugih CYP izoenzima, uklju</w:t>
            </w:r>
            <w:r w:rsidR="00992DD5">
              <w:rPr>
                <w:rFonts w:ascii="Times New Roman" w:hAnsi="Times New Roman"/>
                <w:sz w:val="22"/>
                <w:szCs w:val="22"/>
                <w:lang w:val="sr-Latn-ME"/>
              </w:rPr>
              <w:t>čujući CYP2C9, 2C19, 2D6 i 2E1.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Konzumiranje soka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od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grejpfruta povezano je sa inhibicijom CYP1A2 i zbog toga ga treba izbjegavati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tokom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liječenja pirfenidonom. 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Fluvoksamin i inhibitori CYP1A2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D17B8D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jednom ispitivanju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faze I, istovremena primjena lijeka Esbriet</w:t>
            </w:r>
            <w:r w:rsidR="00AC7B64" w:rsidRPr="00095B2A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fluvoksamina (snažnog inhibitora CYP1A2</w:t>
            </w:r>
            <w:r w:rsidR="00095B2A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ima inhibirajuće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dejstvo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 druge CYP izoenzime [CYP2C9, 2</w:t>
            </w:r>
            <w:r w:rsidR="00095B2A">
              <w:rPr>
                <w:rFonts w:ascii="Times New Roman" w:hAnsi="Times New Roman"/>
                <w:sz w:val="22"/>
                <w:szCs w:val="22"/>
                <w:lang w:val="sr-Latn-ME"/>
              </w:rPr>
              <w:t>C19, i 2D6]) dovela je do četvo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rostrukog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povećanja izloženosti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pirfenidonu kod </w:t>
            </w:r>
            <w:r w:rsidR="00095B2A">
              <w:rPr>
                <w:rFonts w:ascii="Times New Roman" w:hAnsi="Times New Roman"/>
                <w:sz w:val="22"/>
                <w:szCs w:val="22"/>
                <w:lang w:val="sr-Latn-ME"/>
              </w:rPr>
              <w:t>nepušača.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Pr="00095B2A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kontraindikovan kod pacijenata koji istovremeno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uzimaju </w:t>
            </w:r>
            <w:r w:rsidR="00095B2A">
              <w:rPr>
                <w:rFonts w:ascii="Times New Roman" w:hAnsi="Times New Roman"/>
                <w:sz w:val="22"/>
                <w:szCs w:val="22"/>
                <w:lang w:val="sr-Latn-ME"/>
              </w:rPr>
              <w:t>fluvoksamin (vidjeti dio 4.3).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Zbog smanjenog klirensa pirfenidona, primjenu  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luvoksamin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prekinuti prije započinjanja terapije lijekom Esbriet</w:t>
            </w:r>
            <w:r w:rsidRPr="00095B2A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izbjegavati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tokom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terapije lijekom Esbriet</w:t>
            </w:r>
            <w:r w:rsidRPr="00095B2A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 Za vrijeme liječenja pirfenidonom treba izbjegavati druge ljekove koji inhibiraju CYP1A2 i jedan ili više drugih izoenzima CYP uključenih u metabolizam pirfenido</w:t>
            </w:r>
            <w:r w:rsidR="00095B2A">
              <w:rPr>
                <w:rFonts w:ascii="Times New Roman" w:hAnsi="Times New Roman"/>
                <w:sz w:val="22"/>
                <w:szCs w:val="22"/>
                <w:lang w:val="sr-Latn-ME"/>
              </w:rPr>
              <w:t>na (npr. CYP2C9, 2C19 i 2D6).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In vitro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64DA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in vivo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ekstrapolacije ukazuju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to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snažni i selektivni inhibitori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CYP1A2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(npr. enoksacin) mogu povećati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izloženost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pirfenidonu približno 2 do 4 puta. Ako je istovremena primjena lijeka Esbriet</w:t>
            </w:r>
            <w:r w:rsidRPr="00471AC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sa snažnim i selektivnim inhibitorima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CYP1A2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neizbježna, dozu lijeka Esbriet</w:t>
            </w:r>
            <w:r w:rsidRPr="00471AC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471AC9">
              <w:rPr>
                <w:rFonts w:ascii="Times New Roman" w:hAnsi="Times New Roman"/>
                <w:sz w:val="22"/>
                <w:szCs w:val="22"/>
                <w:lang w:val="sr-Latn-ME"/>
              </w:rPr>
              <w:t>treba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smanjiti na 801 mg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dan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(jedna kapsula, tri puta dnevno). Pacijente treba pomno nadgledati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zbog moguće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pojave ne</w:t>
            </w:r>
            <w:r w:rsidR="00471AC9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željenih dejstava povezanih sa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lijekom Esbriet</w:t>
            </w:r>
            <w:r w:rsidRPr="00471AC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Ako je potrebno,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lijeka Esbriet</w:t>
            </w:r>
            <w:r w:rsidRPr="00471AC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prekinuti (vidjeti </w:t>
            </w:r>
            <w:r w:rsidR="00D17B8D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dijelove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4.2 i 4.4).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Istovremena primjena lijeka Esbriet</w:t>
            </w:r>
            <w:r w:rsidRPr="00304268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750 mg ciprofloksacina (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umjerenog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inhibitor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 CYP1A2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) povećala je izloženost pirfenidonu za 81%. Ako je primjena ciprofloksacina u dozi od 750 mg dva</w:t>
            </w:r>
            <w:r w:rsidR="00764DA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put</w:t>
            </w:r>
            <w:r w:rsidR="00CF2A7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 dan neizbježna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doz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lijeka Esbriet</w:t>
            </w:r>
            <w:r w:rsidRPr="00304268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treba smanjiti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na 1602 mg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na dan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(dvije kapsule, tri puta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 dan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). Esbriet</w:t>
            </w:r>
            <w:r w:rsidRPr="00304268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treba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primjenjivati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uz oprez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kada se ciprofloksacin primjenjuje u dozi od 250 mg ili 500 mg jednom ili dva</w:t>
            </w:r>
            <w:r w:rsidR="00764DA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put</w:t>
            </w:r>
            <w:r w:rsidR="00CF2A7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 dan</w:t>
            </w:r>
            <w:r w:rsidR="00304268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Pr="00A00614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treba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primjenjivati 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uz oprez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pacijenata koji se liječe drugim umjerenim inhibitorima CYP1A2 (npr. amiodaron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propafenon</w:t>
            </w:r>
            <w:r w:rsidR="007B154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om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). 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AC7B64" w:rsidRPr="00DC1D17" w:rsidRDefault="006D487A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oseban oprez </w:t>
            </w:r>
            <w:r w:rsidR="00697BC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potr</w:t>
            </w:r>
            <w:r w:rsidR="00764DA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</w:t>
            </w:r>
            <w:r w:rsidR="00697BC0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an je i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ako se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istovremeno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sa inhibitorima CYP1A2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primjejuju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snažni inhibitori jednog ili više drugih izoenzima CYP uključenih u metabolizam pirfenidona, kao što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su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CYP2C9 (npr. amiodaron, flukonazol), 2C19 (npr. hloramfenikol) i 2D6 (npr. fluoksetin, paroksetin).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Pušenje </w:t>
            </w:r>
            <w:r w:rsidR="00CF2A78"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cigareta </w:t>
            </w: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i induktori CYP1A2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ispitivanju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interakcija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faze </w:t>
            </w:r>
            <w:r w:rsidR="00C30D5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procjenjiva</w:t>
            </w:r>
            <w:r w:rsidR="00CC011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o </w:t>
            </w:r>
            <w:r w:rsidR="00CC011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je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CC011A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dejstvo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pušenja </w:t>
            </w:r>
            <w:r w:rsidR="00A00614">
              <w:rPr>
                <w:rFonts w:ascii="Times New Roman" w:hAnsi="Times New Roman"/>
                <w:sz w:val="22"/>
                <w:szCs w:val="22"/>
                <w:lang w:val="sr-Latn-ME"/>
              </w:rPr>
              <w:t>cigareta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(induktor CYP1A2) na farmakokinetiku lijeka Esbriet</w:t>
            </w:r>
            <w:r w:rsidR="00CC011A" w:rsidRPr="00A00614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. 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Izloženost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pirfenidonu kod pušača iznosila je 50% 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izloženosti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uočene kod nepušača. Pušenje 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može indukovati proizvodnju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enzima</w:t>
            </w:r>
            <w:r w:rsidR="00A928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jetre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tako povećati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klirens lijeka i 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smanjiti izloženost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lijeku. 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 obzirom na primijećenu povezanost između pušenja </w:t>
            </w:r>
            <w:r w:rsidR="00A00614">
              <w:rPr>
                <w:rFonts w:ascii="Times New Roman" w:hAnsi="Times New Roman"/>
                <w:sz w:val="22"/>
                <w:szCs w:val="22"/>
                <w:lang w:val="sr-Latn-ME"/>
              </w:rPr>
              <w:t>cigareta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njegove sposobnosti da indukuje CYP1A2, tokom liječenja lijekom Esbriet</w:t>
            </w:r>
            <w:r w:rsidR="004036D1" w:rsidRPr="00A00614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="004036D1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izbjegavati </w:t>
            </w:r>
            <w:r w:rsidR="00E429E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</w:t>
            </w:r>
            <w:r w:rsidR="00A928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stovremen</w:t>
            </w:r>
            <w:r w:rsidR="00E429E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="00E429E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snažnih induktora CYP1A2, uključujući pušenje. </w:t>
            </w:r>
            <w:r w:rsidR="00A928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Pacijente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treba </w:t>
            </w:r>
            <w:r w:rsidR="00764DA2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podstaći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 prestanu </w:t>
            </w:r>
            <w:r w:rsidR="00A928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da </w:t>
            </w:r>
            <w:r w:rsidR="00E429E8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primjenjuju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jake induktore CYP1A2 te da prestanu </w:t>
            </w:r>
            <w:r w:rsidR="00A928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puše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prije i za vrijeme liječenja pirfenidonom. </w:t>
            </w: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AC7B64" w:rsidRPr="00DC1D17" w:rsidRDefault="00AC7B64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 slučaju umjerenih induktora CYP1A2 (npr. omeprazol), </w:t>
            </w:r>
            <w:r w:rsidR="00C747E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istovremena primjena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može teoretski </w:t>
            </w:r>
            <w:r w:rsidR="00C747E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prouzrokovati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sniženje </w:t>
            </w:r>
            <w:r w:rsidR="00A92855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nivoa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pirfenidona u plazmi.</w:t>
            </w:r>
          </w:p>
          <w:p w:rsidR="00AC7B64" w:rsidRPr="00DC1D17" w:rsidRDefault="00A92855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Istovremena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primjena ljekova koji mogu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da djeluju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kao </w:t>
            </w:r>
            <w:r w:rsidR="002B6DA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snažni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induktori CYP1A2 i drugih izoenzima CYP uključenih u metabolizam pirfenidona (npr. rifampicin) </w:t>
            </w:r>
            <w:r w:rsidR="006316E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može </w:t>
            </w:r>
            <w:r w:rsidR="002B6DA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prouzrokovati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značajno sniženje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nivoa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pirfenidona u plazmi. </w:t>
            </w:r>
            <w:r w:rsidR="002B6DA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Te </w:t>
            </w:r>
            <w:r w:rsidR="00AC7B64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bi ljekove trebalo izbjegavati kad god je to moguće.</w:t>
            </w:r>
          </w:p>
          <w:p w:rsidR="000D7E68" w:rsidRPr="00DC1D17" w:rsidRDefault="000D7E68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b/>
                <w:bCs/>
                <w:lang w:val="sr-Latn-ME"/>
              </w:rPr>
            </w:pPr>
          </w:p>
        </w:tc>
      </w:tr>
      <w:tr w:rsidR="000D7E68" w:rsidRPr="00DC1D17" w:rsidTr="008E3349">
        <w:tc>
          <w:tcPr>
            <w:tcW w:w="9639" w:type="dxa"/>
            <w:gridSpan w:val="2"/>
          </w:tcPr>
          <w:p w:rsidR="005D4705" w:rsidRPr="00DC1D17" w:rsidRDefault="005D4705" w:rsidP="0045073A">
            <w:pPr>
              <w:pStyle w:val="Header"/>
              <w:tabs>
                <w:tab w:val="clear" w:pos="4536"/>
                <w:tab w:val="clear" w:pos="9072"/>
              </w:tabs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lastRenderedPageBreak/>
              <w:t>4.6. Primjena u periodu trudnoće i dojenja</w:t>
            </w: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Trudnoća </w:t>
            </w: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D4705" w:rsidRPr="00DC1D17" w:rsidRDefault="005D4705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Nema podataka o primjeni lijeka Esbriet</w:t>
            </w:r>
            <w:r w:rsidRPr="000B0133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kod trudnica.</w:t>
            </w:r>
          </w:p>
          <w:p w:rsidR="005D4705" w:rsidRPr="00DC1D17" w:rsidRDefault="005D4705" w:rsidP="00E33D1D">
            <w:pPr>
              <w:spacing w:before="0" w:line="240" w:lineRule="auto"/>
              <w:outlineLvl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životinja, pirfenidon i/ili njegovi metaboliti prolaze kroz placentu i mogu da se akumuliraju u amnionskoj tečnosti.</w:t>
            </w:r>
          </w:p>
          <w:p w:rsidR="005D4705" w:rsidRPr="00DC1D17" w:rsidRDefault="005D4705" w:rsidP="00E33D1D">
            <w:pPr>
              <w:spacing w:before="0" w:line="240" w:lineRule="auto"/>
              <w:outlineLvl w:val="0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D4705" w:rsidRPr="00DC1D17" w:rsidRDefault="005D4705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Kod pacova, kod primjena visokih</w:t>
            </w:r>
            <w:r w:rsidR="000B0133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doza (≥1000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mg/kg/dan) je primijećeno produženje gestacije i smanjenje sposobnosti preživljavanja ploda. </w:t>
            </w:r>
          </w:p>
          <w:p w:rsidR="005D4705" w:rsidRPr="00DC1D17" w:rsidRDefault="005D4705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Kao mjera predostrožnosti, savjetuje se da se izbjegava primjena lijeka Esbriet</w:t>
            </w:r>
            <w:r w:rsidRPr="000B0133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tokom trudnoće.</w:t>
            </w:r>
          </w:p>
          <w:p w:rsidR="005D4705" w:rsidRPr="00DC1D17" w:rsidRDefault="005D4705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Dojenje</w:t>
            </w: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5D4705" w:rsidRPr="00DC1D17" w:rsidRDefault="005D4705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Nije poznato da li se pirfenidon ili njegovi metaboliti izlučuju u majčino mlijeko kod ljudi. Dostupni podaci iz ispitivanja farmakokinetike na životinjama pokazuju da se pirfenidon i/ili njegovi metaboliti izlučuju u mlijeko i da se u njemu akumuliraju (vidjeti dio 5.3). Ne može da se isključi rizik za dojenče</w:t>
            </w:r>
            <w:r w:rsidR="000B0133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5D4705" w:rsidRPr="00DC1D17" w:rsidRDefault="005D4705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Uzimajući u obzir korist dojenja za dijete i korist liječenja lijekom Esbriet</w:t>
            </w:r>
            <w:r w:rsidRPr="000B0133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za majku, neohodno je da se odluči da li će se prekinuti dojenje ili terapija lijekom Esbriet</w:t>
            </w:r>
            <w:r w:rsidRPr="000B0133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.</w:t>
            </w: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 xml:space="preserve">Plodnost </w:t>
            </w:r>
          </w:p>
          <w:p w:rsidR="005D4705" w:rsidRPr="00DC1D17" w:rsidRDefault="005D4705" w:rsidP="00E33D1D">
            <w:pPr>
              <w:autoSpaceDE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9E7AD5" w:rsidRPr="009E7AD5" w:rsidRDefault="005D4705" w:rsidP="009E7AD5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U predkliničkim ispitivanjima nisu primijećeni štetni efekti na plodnost (vidjeti dio 5.3).</w:t>
            </w:r>
          </w:p>
          <w:p w:rsidR="00C0622C" w:rsidRPr="00DC1D17" w:rsidRDefault="00C0622C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pacing w:val="-8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pacing w:val="-8"/>
                <w:sz w:val="22"/>
                <w:szCs w:val="22"/>
                <w:lang w:val="sr-Latn-ME"/>
              </w:rPr>
              <w:t>4.7. Uticaj na psihofizičke sposobnosti prilikom upravljanja motornim vozilima i rukovanja mašinama</w:t>
            </w:r>
          </w:p>
          <w:p w:rsidR="00C0622C" w:rsidRPr="00DC1D17" w:rsidRDefault="00C0622C" w:rsidP="00C0622C">
            <w:pPr>
              <w:pStyle w:val="Header"/>
              <w:tabs>
                <w:tab w:val="clear" w:pos="4536"/>
                <w:tab w:val="clear" w:pos="9072"/>
              </w:tabs>
              <w:spacing w:before="0" w:line="240" w:lineRule="auto"/>
              <w:jc w:val="left"/>
              <w:rPr>
                <w:rFonts w:ascii="Times New Roman" w:hAnsi="Times New Roman"/>
                <w:b/>
                <w:bCs/>
                <w:spacing w:val="-8"/>
                <w:sz w:val="22"/>
                <w:szCs w:val="22"/>
                <w:lang w:val="sr-Latn-ME"/>
              </w:rPr>
            </w:pPr>
          </w:p>
          <w:p w:rsidR="00C0622C" w:rsidRPr="00DC1D17" w:rsidRDefault="00C0622C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Esbriet</w:t>
            </w:r>
            <w:r w:rsidRPr="00C0622C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može da izazove vrtoglavicu i umor koji mogu da utiču na sposobnost upravljanja vozilima i rukovanja mašinama.</w:t>
            </w:r>
          </w:p>
          <w:p w:rsidR="00C0622C" w:rsidRPr="00DC1D17" w:rsidRDefault="00C0622C" w:rsidP="00C0622C">
            <w:pPr>
              <w:pStyle w:val="BodyText"/>
              <w:spacing w:before="0" w:line="240" w:lineRule="auto"/>
              <w:ind w:left="0"/>
              <w:rPr>
                <w:rFonts w:cs="Times New Roman"/>
                <w:lang w:val="sr-Latn-ME"/>
              </w:rPr>
            </w:pPr>
          </w:p>
          <w:p w:rsidR="00DD1B5C" w:rsidRPr="00DC1D17" w:rsidRDefault="00DD1B5C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4.8. Neželjena dejstva </w:t>
            </w:r>
          </w:p>
          <w:p w:rsidR="00DD1B5C" w:rsidRPr="007B5B47" w:rsidRDefault="00DD1B5C" w:rsidP="00DD1B5C">
            <w:pPr>
              <w:pStyle w:val="Header"/>
              <w:tabs>
                <w:tab w:val="clear" w:pos="4536"/>
                <w:tab w:val="clear" w:pos="9072"/>
              </w:tabs>
              <w:spacing w:before="0" w:line="240" w:lineRule="auto"/>
              <w:jc w:val="left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Bezbjednost primjene lijeka Esbriet</w:t>
            </w:r>
            <w:r w:rsidRPr="007B5B4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ispitana je u kliničkim ispitivanjima koja su uključivala 1650 dobrovoljaca i pacijenta. Više od 170 pacijenata ispitano je u otvorenim ispitivanjima tokom više od pet godina, dok su neka ispitivanja trajala do 10 godina.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Najčešće prijavljena neželjena dejstva tokom kliničkih ispitivanja primjene lijeka Esbriet</w:t>
            </w:r>
            <w:r w:rsidRPr="007B5B4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dozi od 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mg/dan u poređenju sa placebom bile su mučnina (32,4% naspram 12,2%), osip (26,2% naspram 7,7%), dijareja (18,8% naspram 14,4%), umor (18,5% naspram 10,4%), dispepsija (16,1% naspram 5,0%), anoreksija (11,4% naspram 3,5%), glavobolja (10,1% naspram 7,7%) i reakcija fotoosjetljivosti (9,3% naspram 1,1%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).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Učestalost ozbiljnih neželjenih dejstava  u kliničkim ispitivanjima bila je slična kod pacijenata liječenih 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lijekom Esbriet</w:t>
            </w:r>
            <w:r w:rsidRPr="007B5B4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mg/dan i onih koji su primali placebo. 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Tabela 1 prikazuje neželjena dejstva prijavljena sa učestalošću od ≥2% kod 623 pacijenta koji su primali Esbriet</w:t>
            </w:r>
            <w:r w:rsidRPr="007B5B4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preporučenoj dozi od 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mg/dan tokom tri pivotalna klinička ispitivanja Faze III. U tabeli 1. uključena su i neželjena dejstva prijavljena nakon stavljanja lijeka u promet. Neželjena dejstva su navedena prema organs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kim sistemima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 u okviru svake grupe učestalosti [vrlo često (≥1/10), često (≥1/100 i &lt;1/10), povremeno (≥1/1000 i &lt;1/100), rijetko (≥1/10 000 i &lt;1/1000)] navedena su u opadajućem nizu prema ozbiljnosti.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4874" w:type="pct"/>
              <w:tblInd w:w="1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14"/>
              <w:gridCol w:w="13"/>
              <w:gridCol w:w="7249"/>
            </w:tblGrid>
            <w:tr w:rsidR="007B5B47" w:rsidRPr="00DC1D17" w:rsidTr="00036AA2">
              <w:trPr>
                <w:trHeight w:val="255"/>
                <w:tblHeader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Tabela 1</w:t>
                  </w: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ab/>
                    <w:t>Neželjena dejstva prema klasifikaciji organskih sistema i učestalosti prema MeDRA definiciji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Infekcije i infestacije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infekcije gornjih disajnih puteva, infekcije urinarnog sistema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Poremećaji krvi i limfnog sistema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Rijetko: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Cs/>
                      <w:sz w:val="22"/>
                      <w:szCs w:val="22"/>
                      <w:lang w:val="sr-Latn-ME"/>
                    </w:rPr>
                    <w:t>agranulocitoza</w:t>
                  </w:r>
                  <w:r w:rsidRPr="00DC1D1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1</w:t>
                  </w:r>
                </w:p>
              </w:tc>
            </w:tr>
            <w:tr w:rsidR="007B5B47" w:rsidRPr="00DC1D17" w:rsidTr="00036AA2">
              <w:tblPrEx>
                <w:tblCellMar>
                  <w:top w:w="28" w:type="dxa"/>
                  <w:bottom w:w="28" w:type="dxa"/>
                </w:tblCellMar>
              </w:tblPrEx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  <w:lang w:val="sr-Latn-ME"/>
                    </w:rPr>
                    <w:t>Poremećaji imunog sistema</w:t>
                  </w:r>
                </w:p>
              </w:tc>
            </w:tr>
            <w:tr w:rsidR="007B5B47" w:rsidRPr="00DC1D17" w:rsidTr="00036AA2">
              <w:tblPrEx>
                <w:tblCellMar>
                  <w:top w:w="28" w:type="dxa"/>
                  <w:bottom w:w="28" w:type="dxa"/>
                </w:tblCellMar>
              </w:tblPrEx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Povremeno: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angioedem</w:t>
                  </w:r>
                  <w:r w:rsidRPr="00DC1D1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1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metabolizma i ishrane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50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Vrlo često:</w:t>
                  </w:r>
                </w:p>
              </w:tc>
              <w:tc>
                <w:tcPr>
                  <w:tcW w:w="3950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anoreksija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gubitak tjelesne težine, smanjen apetit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Psihijatrijski poremećaji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nesanica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nervnog sistema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Vrlo 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glavobolja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vrtoglavica, somnolencija, disgeuzija, letargija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lastRenderedPageBreak/>
                    <w:t>Vaskularni poremećaji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navale vrućine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Respiratorni, torakalni i medijastinalni poremećaji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dispneja, kašalj, produktivni kašalj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Gastrointestinalni poremećaji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Vrlo 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dispepsija, mučnina, dijareja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gastroezofagealna refluksna bolest, povraćanje, distenzija abdomena, nelagodnost u abdomenu, bol u abdomenu, bol u gornjem djelu abdomena, nelagodnost u želucu, gastritis, konstipacija, flatulencija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jetre i žuči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povišeni nivoi ALT-a, povišeni nivoi AST-a, povišeni nivoi gama-glutamil-transferaza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Rijetko: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Povišeni nivoi  ukupnog serumskog bilirubina u kombinaciji sa povišenim nivoima ALT-a i AST-a</w:t>
                  </w:r>
                  <w:r w:rsidRPr="00DC1D17">
                    <w:rPr>
                      <w:rFonts w:ascii="Times New Roman" w:hAnsi="Times New Roman"/>
                      <w:sz w:val="22"/>
                      <w:szCs w:val="22"/>
                      <w:vertAlign w:val="superscript"/>
                      <w:lang w:val="sr-Latn-ME"/>
                    </w:rPr>
                    <w:t>1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keepNext/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kože i potkožnog tkiva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keepNext/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Vrlo 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reakcija fotoosjetljivosti, osip 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svrab, eritem, suva koža, eritematozni osip, makularni osip, pruritični osip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Poremećaji mišićno-koštanog sistema i vezivnog tkiva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mialgija, artralgija 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Opšti poremećaji i reakcije na mjestu primjene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Vrlo 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umor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Često: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astenija, bol u grudnom košu  koja nije u vezi sa srcem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5000" w:type="pct"/>
                  <w:gridSpan w:val="3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Povrede, trovanja i proceduralne komplikacije</w:t>
                  </w:r>
                </w:p>
              </w:tc>
            </w:tr>
            <w:tr w:rsidR="007B5B47" w:rsidRPr="00DC1D17" w:rsidTr="00036AA2">
              <w:trPr>
                <w:trHeight w:val="255"/>
              </w:trPr>
              <w:tc>
                <w:tcPr>
                  <w:tcW w:w="1043" w:type="pct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Često: </w:t>
                  </w:r>
                </w:p>
              </w:tc>
              <w:tc>
                <w:tcPr>
                  <w:tcW w:w="3957" w:type="pct"/>
                  <w:gridSpan w:val="2"/>
                  <w:shd w:val="clear" w:color="auto" w:fill="auto"/>
                </w:tcPr>
                <w:p w:rsidR="007B5B47" w:rsidRPr="00DC1D17" w:rsidRDefault="007B5B47" w:rsidP="00E33D1D">
                  <w:pPr>
                    <w:spacing w:before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 opekotine od sunca</w:t>
                  </w:r>
                </w:p>
              </w:tc>
            </w:tr>
          </w:tbl>
          <w:p w:rsidR="00E828EB" w:rsidRDefault="00E828EB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1.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Utvrđeno tokom praćenja nakon stavljanja lijeka u promet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  <w:r w:rsidRPr="00DC1D17">
              <w:rPr>
                <w:rFonts w:cs="Times New Roman"/>
                <w:u w:val="single"/>
                <w:lang w:val="sr-Latn-ME"/>
              </w:rPr>
              <w:t>Prijavljivanje sumnji na neželjena dejstva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</w:p>
          <w:p w:rsidR="007B5B4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Prijavljivanje neželjenih dejstava nakon dobijanja dozvole je od velikog značaja jer obezbjeđuje kontinuiran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o praćenje odnosa korist /rizik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primjene lijeka. Zdravstveni radnici treba da prijave svaku s</w:t>
            </w: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umnju na neželjeno dejstvo ovog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lijeka Agenciji za ljekove i medicinska sredstva Crne Gore (CALIMS):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Agencija za ljekove i medicinska sredstva Crne Gore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Odjeljenje za farmakovigilancu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Bulevar Ivana Crnojevića 64a, 81000 Podgorica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tel: +382 (0) 20 310 280</w:t>
            </w:r>
          </w:p>
          <w:p w:rsidR="007B5B4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fax: +382 (0) 20 310 581</w:t>
            </w:r>
          </w:p>
          <w:p w:rsidR="00E828EB" w:rsidRPr="00DC1D17" w:rsidRDefault="00E828EB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425E1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hyperlink r:id="rId7" w:history="1">
              <w:r w:rsidR="007B5B47" w:rsidRPr="00DC1D17">
                <w:rPr>
                  <w:rFonts w:ascii="Times New Roman" w:hAnsi="Times New Roman"/>
                  <w:sz w:val="22"/>
                  <w:szCs w:val="22"/>
                  <w:lang w:val="sr-Latn-ME"/>
                </w:rPr>
                <w:t>www.calims.me</w:t>
              </w:r>
            </w:hyperlink>
            <w:r w:rsidR="007B5B4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7B5B47" w:rsidRPr="00DC1D17" w:rsidRDefault="007425E1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hyperlink r:id="rId8" w:history="1">
              <w:r w:rsidR="007B5B47" w:rsidRPr="00DC1D17">
                <w:rPr>
                  <w:rFonts w:ascii="Times New Roman" w:hAnsi="Times New Roman"/>
                  <w:sz w:val="22"/>
                  <w:szCs w:val="22"/>
                  <w:lang w:val="sr-Latn-ME"/>
                </w:rPr>
                <w:t>nezeljenadejstva@calims.me</w:t>
              </w:r>
            </w:hyperlink>
            <w:r w:rsidR="007B5B4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putem IS zdravstvene zaštite</w:t>
            </w:r>
          </w:p>
          <w:p w:rsidR="007B5B47" w:rsidRDefault="007B5B47" w:rsidP="007B5B47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 w:eastAsia="ja-JP"/>
              </w:rPr>
            </w:pPr>
          </w:p>
          <w:p w:rsidR="00E828EB" w:rsidRDefault="00E828EB" w:rsidP="007B5B47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 w:eastAsia="ja-JP"/>
              </w:rPr>
            </w:pPr>
          </w:p>
          <w:p w:rsidR="00EB656B" w:rsidRDefault="00EB656B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 w:eastAsia="ja-JP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lastRenderedPageBreak/>
              <w:t>4.9. Predoziranje i mjere koje je potrebno preduzeti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Kliničko iskustvo sa predoziranjem je ograničeno. Višestruke doze pirfenidona do ukupne doze od 4806 mg/dan primjenjivale su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se u obliku 6 kapsula od 267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 tri puta na dan na zdravim odraslim dobrovoljcima tokom 12-dnevnog perioda, uz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postepeno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povećanje doze. Neželjena dejstva su bila blaga, prolazna i u skladu sa najčešće prijavljivanim neželjenim dejstavima za pirfenidon.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slučaju sumnje na predoziranje, potrebno je osigurati dodatnu medicinsku njegu, uključujući praćenje vitalnih znakova i strog nadzor kliničkog statusa pacijenta.</w:t>
            </w:r>
          </w:p>
          <w:p w:rsidR="007B5B47" w:rsidRPr="00E828EB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E828EB" w:rsidRPr="00E828EB" w:rsidRDefault="00E828EB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5. FARMAKOLOŠKI PODACI</w:t>
            </w:r>
          </w:p>
          <w:p w:rsidR="00E828EB" w:rsidRPr="00DC1D17" w:rsidRDefault="00E828EB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5.1. Farmakodinamski podaci</w:t>
            </w:r>
          </w:p>
          <w:p w:rsidR="00E828EB" w:rsidRPr="00DC1D17" w:rsidRDefault="00E828EB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Farmakoterapijska grupa: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Imunosupresivi, ostali imunosupresivi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ATC kod: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L04AX05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Mehanizam djelovanja pirfenidona još nije u potpunosti utvrđen. Međutim, dosadašnji podaci upućuju na to da pirfenidon ima antifibrozirajuće i protivupalne osobine u različitim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in vitro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sistemima i životinjskim modelima plućne fibroze (fibroza indikovana bleomicinom- i transplantacijom-).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ind w:right="-2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ind w:right="-2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IPF je hronična fibrozirajuća i upalna plućna bolest na koju utiču sinteza i otpuštanje proinflamatornih citokina, uključujući faktor tumorske nekroze-alfa (engl.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tumour necrosis factor-alpha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TNF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α) i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interleukin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1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beta (IL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 xml:space="preserve">1β), a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pokazalo se da pirfenidon smanjuje nakupljanje upalnih ćelija kao odgovor na različite stimulanse. 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ind w:right="-2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ind w:right="-2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Pirfenidon smanjuje proliferaciju fibroblasta, stvaranje proteina povezanih sa fibrozom, stvaranje citokina te povećanu biosintezu i akumulaciju vanćelijskog matriksa kao odgovor na citokine/faktore rasta, kao što su transformirajući faktor rasta beta (engl.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transforming growth factor-beta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TGF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 xml:space="preserve">β) i trombocitni faktor rasta (engl.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platelet-derived growth factor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PDGF).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 w:eastAsia="ja-JP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 w:color="000000"/>
                <w:lang w:val="sr-Latn-ME"/>
              </w:rPr>
            </w:pPr>
            <w:r w:rsidRPr="00DC1D17">
              <w:rPr>
                <w:rFonts w:cs="Times New Roman"/>
                <w:spacing w:val="1"/>
                <w:u w:val="single" w:color="000000"/>
                <w:lang w:val="sr-Latn-ME"/>
              </w:rPr>
              <w:t>K</w:t>
            </w:r>
            <w:r w:rsidRPr="00DC1D17">
              <w:rPr>
                <w:rFonts w:cs="Times New Roman"/>
                <w:spacing w:val="-2"/>
                <w:u w:val="single" w:color="000000"/>
                <w:lang w:val="sr-Latn-ME"/>
              </w:rPr>
              <w:t>l</w:t>
            </w:r>
            <w:r w:rsidRPr="00DC1D17">
              <w:rPr>
                <w:rFonts w:cs="Times New Roman"/>
                <w:spacing w:val="1"/>
                <w:u w:val="single" w:color="000000"/>
                <w:lang w:val="sr-Latn-ME"/>
              </w:rPr>
              <w:t>i</w:t>
            </w:r>
            <w:r w:rsidRPr="00DC1D17">
              <w:rPr>
                <w:rFonts w:cs="Times New Roman"/>
                <w:spacing w:val="-3"/>
                <w:u w:val="single" w:color="000000"/>
                <w:lang w:val="sr-Latn-ME"/>
              </w:rPr>
              <w:t>n</w:t>
            </w:r>
            <w:r w:rsidRPr="00DC1D17">
              <w:rPr>
                <w:rFonts w:cs="Times New Roman"/>
                <w:spacing w:val="1"/>
                <w:u w:val="single" w:color="000000"/>
                <w:lang w:val="sr-Latn-ME"/>
              </w:rPr>
              <w:t>i</w:t>
            </w:r>
            <w:r w:rsidRPr="00DC1D17">
              <w:rPr>
                <w:rFonts w:cs="Times New Roman"/>
                <w:u w:val="single" w:color="000000"/>
                <w:lang w:val="sr-Latn-ME"/>
              </w:rPr>
              <w:t>č</w:t>
            </w:r>
            <w:r w:rsidRPr="00DC1D17">
              <w:rPr>
                <w:rFonts w:cs="Times New Roman"/>
                <w:spacing w:val="-3"/>
                <w:u w:val="single" w:color="000000"/>
                <w:lang w:val="sr-Latn-ME"/>
              </w:rPr>
              <w:t>k</w:t>
            </w:r>
            <w:r w:rsidRPr="00DC1D17">
              <w:rPr>
                <w:rFonts w:cs="Times New Roman"/>
                <w:u w:val="single" w:color="000000"/>
                <w:lang w:val="sr-Latn-ME"/>
              </w:rPr>
              <w:t xml:space="preserve">a </w:t>
            </w:r>
            <w:r w:rsidRPr="00DC1D17">
              <w:rPr>
                <w:rFonts w:cs="Times New Roman"/>
                <w:spacing w:val="-3"/>
                <w:u w:val="single" w:color="000000"/>
                <w:lang w:val="sr-Latn-ME"/>
              </w:rPr>
              <w:t>efikasnost</w:t>
            </w:r>
            <w:r w:rsidRPr="00DC1D17">
              <w:rPr>
                <w:rFonts w:cs="Times New Roman"/>
                <w:u w:val="single" w:color="000000"/>
                <w:lang w:val="sr-Latn-ME"/>
              </w:rPr>
              <w:t xml:space="preserve"> 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 w:color="000000"/>
                <w:lang w:val="sr-Latn-ME"/>
              </w:rPr>
            </w:pP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Klinička efikasnost lijeka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ispitivana je u četiri multicentrična, randomizirana, dvostruko slijepa, placebom kontrolisana ispitivanja faze III kod pacijenata sa IPF. Tri ispitivanja faze III (PIPF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004,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006 i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 xml:space="preserve">016) su bile multinacionalna, a jedno (SP3) je sprovedeno 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>u Japanu.</w:t>
            </w: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E828EB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ispitivanjima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004 i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006 upoređivalo su liječenje lijekom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dozi od 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mg/dan sa placebom. Oba ispitivanja su bila gotovo identično dizajnirana, sa nekoliko razlika, uključujući grupu ispitanika u ispitivanju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004 koja je pr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imala srednju dozu lijeka (1197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mg/dan). </w:t>
            </w: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 xml:space="preserve">U oba ispitivanja se liječenje  primjenjivalo tri puta na dan tokom najmanje 72 nedjelje. Primarni cilj  kod oba ispitivanja bila je promjena procenta predviđenog forsiranog vitalnog kapaciteta (engl.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forced vital capacity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FVC) od početka ispitivanja do 72. nedjelje liječenja. </w:t>
            </w: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ispitivanju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004, pad procenta predviđenog FVC-a od početka ispitivanja do 72. nedjelje liječenja bio je značajno manji kod pacijenata koji su primali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(N=174) 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>nego kod onih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koji su primali placebo (N=174, p=0,001, rang ANCOVA). Liječenje lijekom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značajno je 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>smanjilo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pad postotka predviđenog FVC-a od početnih vrijednosti u 24. nedjelji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(p=0,014), 36. nedjelji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(p&lt;0,001), 48. ne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djelji (p&lt;0,001) i 60. nedjelji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(p&lt;0,001). U 72. nedjelji, pad postotka predviđenog FVC-a za ≥10% u odnosu na početne vrijednosti (granična vrijednost koja ukazuje na rizik od smrti 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>zbog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IPF-a) primijećen je kod 20% pacijenta koji su primali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u poređenju sa 35% pacijenata koji s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>u primali placebo (Tabela 2).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i/>
                <w:lang w:val="sr-Latn-ME"/>
              </w:rPr>
            </w:pPr>
          </w:p>
          <w:tbl>
            <w:tblPr>
              <w:tblW w:w="709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4186"/>
              <w:gridCol w:w="1579"/>
              <w:gridCol w:w="1331"/>
            </w:tblGrid>
            <w:tr w:rsidR="007B5B47" w:rsidRPr="00DC1D17" w:rsidTr="00284DD5">
              <w:trPr>
                <w:jc w:val="center"/>
              </w:trPr>
              <w:tc>
                <w:tcPr>
                  <w:tcW w:w="7096" w:type="dxa"/>
                  <w:gridSpan w:val="3"/>
                  <w:vAlign w:val="bottom"/>
                </w:tcPr>
                <w:p w:rsidR="007B5B47" w:rsidRPr="00DC1D17" w:rsidRDefault="00E828EB" w:rsidP="00E33D1D">
                  <w:pPr>
                    <w:tabs>
                      <w:tab w:val="left" w:pos="64"/>
                    </w:tabs>
                    <w:spacing w:before="0" w:line="240" w:lineRule="auto"/>
                    <w:ind w:left="64" w:hanging="64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Tabela 2: </w:t>
                  </w:r>
                  <w:r w:rsidR="007B5B47"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Kategorička procjena promjene procenta predviđenog FVC-a od početka ispitivanja do 72. nedjelje liječenja u ispitivanju PIPF-004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86" w:type="dxa"/>
                  <w:vAlign w:val="bottom"/>
                </w:tcPr>
                <w:p w:rsidR="007B5B47" w:rsidRPr="00DC1D17" w:rsidRDefault="007B5B47" w:rsidP="00E33D1D">
                  <w:pPr>
                    <w:pStyle w:val="TableHeadings-Left"/>
                    <w:spacing w:before="0" w:after="0" w:line="240" w:lineRule="auto"/>
                    <w:rPr>
                      <w:rFonts w:ascii="Times New Roman" w:hAnsi="Times New Roman" w:cs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579" w:type="dxa"/>
                  <w:vAlign w:val="bottom"/>
                </w:tcPr>
                <w:p w:rsidR="007B5B47" w:rsidRPr="00DC1D17" w:rsidRDefault="007B5B47" w:rsidP="00E33D1D">
                  <w:pPr>
                    <w:pStyle w:val="TableHeadings"/>
                    <w:spacing w:before="0"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Pirfen</w:t>
                  </w:r>
                  <w:r w:rsidR="00E828EB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idon </w:t>
                  </w:r>
                  <w:r w:rsidR="00E828EB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>2403 mg/dan</w:t>
                  </w:r>
                  <w:r w:rsidR="00E828EB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 xml:space="preserve">(N = </w:t>
                  </w:r>
                  <w:r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174)</w:t>
                  </w:r>
                </w:p>
              </w:tc>
              <w:tc>
                <w:tcPr>
                  <w:tcW w:w="1331" w:type="dxa"/>
                  <w:vAlign w:val="bottom"/>
                </w:tcPr>
                <w:p w:rsidR="007B5B47" w:rsidRPr="00DC1D17" w:rsidRDefault="00E828EB" w:rsidP="00E33D1D">
                  <w:pPr>
                    <w:pStyle w:val="TableHeadings"/>
                    <w:spacing w:before="0"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Placebo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 xml:space="preserve">(N = </w:t>
                  </w:r>
                  <w:r w:rsidR="007B5B47"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174)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86" w:type="dxa"/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Pad za ≥10% ili smrt ili transplantacija pluća</w:t>
                  </w:r>
                </w:p>
              </w:tc>
              <w:tc>
                <w:tcPr>
                  <w:tcW w:w="1579" w:type="dxa"/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35 (20%)</w:t>
                  </w:r>
                </w:p>
              </w:tc>
              <w:tc>
                <w:tcPr>
                  <w:tcW w:w="1331" w:type="dxa"/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60 (35%)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86" w:type="dxa"/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Pad manji od 10%</w:t>
                  </w:r>
                </w:p>
              </w:tc>
              <w:tc>
                <w:tcPr>
                  <w:tcW w:w="1579" w:type="dxa"/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97 (56%)</w:t>
                  </w:r>
                </w:p>
              </w:tc>
              <w:tc>
                <w:tcPr>
                  <w:tcW w:w="1331" w:type="dxa"/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90 (52%)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86" w:type="dxa"/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Bez pada (promjena FVC</w:t>
                  </w:r>
                  <w:r w:rsidR="00E828EB">
                    <w:rPr>
                      <w:sz w:val="22"/>
                      <w:szCs w:val="22"/>
                      <w:lang w:val="sr-Latn-ME"/>
                    </w:rPr>
                    <w:t>-a od</w:t>
                  </w:r>
                  <w:r w:rsidRPr="00DC1D17">
                    <w:rPr>
                      <w:sz w:val="22"/>
                      <w:szCs w:val="22"/>
                      <w:lang w:val="sr-Latn-ME"/>
                    </w:rPr>
                    <w:t xml:space="preserve"> &gt;0%)</w:t>
                  </w:r>
                </w:p>
              </w:tc>
              <w:tc>
                <w:tcPr>
                  <w:tcW w:w="1579" w:type="dxa"/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42 (24%)</w:t>
                  </w:r>
                </w:p>
              </w:tc>
              <w:tc>
                <w:tcPr>
                  <w:tcW w:w="1331" w:type="dxa"/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24 (14%)</w:t>
                  </w:r>
                </w:p>
              </w:tc>
            </w:tr>
          </w:tbl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Iako nije bilo razlike između pacijenata koji su primali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poređenju sa onima koji su primali placebo s obzirom na  promjenu udaljenosti pređene  tokom 6 minutnog testa hodanja (engl.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six minute walk test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, 6MWT) od početnih vrijednosti do onih izmjerenih u 72. nedjelji liječenja prema unaprijed definisanom rangu ANCOVA,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ad hoc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analiza pokazala je da se kod 37% pacijenata koji su primali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udaljenost tokom 6MWT-testa smanjila za ≥50m, dok je isto primijećeno kod 47% pacijenata koji su primali placebo u ispitivanju PIPF-004.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ispitivanju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006 liječenje lijekom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(N=171) nije smanjilo pad postotka predviđenog FVC-a, od početnih vrijednosti do onih izmjerenih u 72. nedjelji liječenja u poređenju sa placebom (N=173, p=0,501). Međutim, liječenje lijekom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smanjilo je pad postotka predviđenog FVC-a od početnih vrijednosti do onih iz mjerenih u 24. n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edjelji (p&lt;0,001), 36. nedjelji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(p=0,011) i 48. nedjelji (p=0,005). U 72. nedjelji pad FVC-a za ≥10% primijećen je kod 23% pacijenata koji su primali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i kod 27% pacijenata koji su primali placebo (Tabela 3).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</w:p>
          <w:tbl>
            <w:tblPr>
              <w:tblW w:w="73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4197"/>
              <w:gridCol w:w="1563"/>
              <w:gridCol w:w="1556"/>
            </w:tblGrid>
            <w:tr w:rsidR="007B5B47" w:rsidRPr="00DC1D17" w:rsidTr="00284DD5">
              <w:trPr>
                <w:jc w:val="center"/>
              </w:trPr>
              <w:tc>
                <w:tcPr>
                  <w:tcW w:w="73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E828EB" w:rsidP="00E33D1D">
                  <w:pPr>
                    <w:tabs>
                      <w:tab w:val="left" w:pos="208"/>
                    </w:tabs>
                    <w:spacing w:before="0" w:line="240" w:lineRule="auto"/>
                    <w:ind w:left="88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Tabela 3: </w:t>
                  </w:r>
                  <w:r w:rsidR="007B5B47"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Kategorička procjena promjene postotka predviđenog FVC-a od početka ispitivanja do 72. nedjelje liječenja u ispitivanju PIPF-006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7B5B47" w:rsidP="00E33D1D">
                  <w:pPr>
                    <w:pStyle w:val="TableHeadings-Left"/>
                    <w:spacing w:before="0" w:after="0" w:line="240" w:lineRule="auto"/>
                    <w:rPr>
                      <w:rFonts w:ascii="Times New Roman" w:hAnsi="Times New Roman" w:cs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E828EB" w:rsidP="00E33D1D">
                  <w:pPr>
                    <w:pStyle w:val="TableHeadings"/>
                    <w:spacing w:before="0"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Pirfenidon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>2403 mg/dan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 xml:space="preserve">(N = </w:t>
                  </w:r>
                  <w:r w:rsidR="007B5B47"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171)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E828EB" w:rsidP="00E33D1D">
                  <w:pPr>
                    <w:pStyle w:val="TableHeadings"/>
                    <w:spacing w:before="0"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Placebo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 xml:space="preserve">(N = </w:t>
                  </w:r>
                  <w:r w:rsidR="007B5B47"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173)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Pad za ≥10% ili smrt ili transplantacija pluća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39 (23%)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46 (27%)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Pad manji od 10%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88 (52%)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89 (51%)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Bez pada (promjena FVC &gt;0%)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44 (26%)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38 (22%)</w:t>
                  </w:r>
                </w:p>
              </w:tc>
            </w:tr>
          </w:tbl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U ispitivanju PIPF-006 smanjenje udaljenosti pređene tokom 6MWT testa, od početnih vrijednosti do onih izmjerenih u 72. nedjelji, bilo je značajno manje u odnosu na placebo (p&lt;0,001, rang ANCOVA). Osim toga, ad hoc analiza pokazala je da se kod 33% pacijenata koji su primali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udaljenost pređena tokom 6MWT testa smanjila za ≥50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m, dok je isto primijećeno kod 47% pacijenata koji su primali placebo u ispitivanju PIPF-006.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analizi objedinjenih podataka o preživljavanju u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004 i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006 stopa mortaliteta u grupi koja je primala Esbriet</w:t>
            </w:r>
            <w:r w:rsidRPr="00E828EB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dozi od 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mg/dan iznosila je 7,8%, dok je u grupi k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>oja je primala placebo iznosila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9,8% (odnos hazarda </w:t>
            </w:r>
            <w:r w:rsidR="00E828EB">
              <w:rPr>
                <w:rFonts w:ascii="Times New Roman" w:hAnsi="Times New Roman"/>
                <w:sz w:val="22"/>
                <w:szCs w:val="22"/>
                <w:lang w:val="sr-Latn-ME"/>
              </w:rPr>
              <w:t>HR 0,77 [95% CI, 0,47–1,28]).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ispitivanju PIPF-016, upoređivalo se liječenje lijekom Esbriet</w:t>
            </w:r>
            <w:r w:rsidRPr="00C9605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dozi od 2403 mg/dan sa placebom. Liječenje se primjenjivalo tri puta na dan tokom 52 nedjelje. Primarni cilj bio je promjena postotka predviđenog FVC-a od početka ispitivanja do 52. nedjelje liječenja. Kod ukupno 555 pacijenata, medijana početne vrijednosti postotka predviđenog FVC-a iznos</w:t>
            </w:r>
            <w:r w:rsidR="00C96057">
              <w:rPr>
                <w:rFonts w:ascii="Times New Roman" w:hAnsi="Times New Roman"/>
                <w:sz w:val="22"/>
                <w:szCs w:val="22"/>
                <w:lang w:val="sr-Latn-ME"/>
              </w:rPr>
              <w:t>ila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je 68% (raspon: 48-91%), a %DL</w:t>
            </w:r>
            <w:r w:rsidRPr="00DC1D17">
              <w:rPr>
                <w:rFonts w:ascii="Times New Roman" w:hAnsi="Times New Roman"/>
                <w:sz w:val="22"/>
                <w:szCs w:val="22"/>
                <w:vertAlign w:val="subscript"/>
                <w:lang w:val="sr-Latn-ME"/>
              </w:rPr>
              <w:t>CO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(difuzijski kapacitet za ugljen monoksid) 42% (raspon: 27-170%). Na početku ispitivanja, 2% pacijenata imalo je postotak predviđenog FVC-a manji od 50%, dok je 21% pacijenata imalo postotak predviđenog DL</w:t>
            </w:r>
            <w:r w:rsidRPr="00DC1D17">
              <w:rPr>
                <w:rFonts w:ascii="Times New Roman" w:hAnsi="Times New Roman"/>
                <w:sz w:val="22"/>
                <w:szCs w:val="22"/>
                <w:vertAlign w:val="subscript"/>
                <w:lang w:val="sr-Latn-ME"/>
              </w:rPr>
              <w:t>CO</w:t>
            </w:r>
            <w:r w:rsidR="00C9605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manji od 35%.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ispitivanju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016, pad postotka predviđenog FVC-a od početka ispitivanja do 52. nedjelje liječenja bio je značajno niži kod pacijenata koji su primali Esbriet</w:t>
            </w:r>
            <w:r w:rsidRPr="00C9605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(N=278) u poređenju sa pacijentima koji su primali placebo (N=277, p&lt;0,000001, rang ANCOVA). Liječenje lijekom Esbriet</w:t>
            </w:r>
            <w:r w:rsidRPr="00C9605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značajno je smanjilo i pad postotka predviđenog FVC-a od početnih vrijednosti u 13. nedjelji (p=0,000001), 26. nedjelji</w:t>
            </w:r>
            <w:r w:rsidR="00C9605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(p&lt;0,000001) i 39. nedjelji (p&lt;0,000002). U 52. nedjelji, pad postotka predviđenog FVC-a za ≥10% u odnosu na početne vrijednosti ili smrt primijećeni su kod 17% pacijenata koji su primali Esbriet</w:t>
            </w:r>
            <w:r w:rsidRPr="00C9605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u poređenju sa 32% pacijenata koji su primali placebo (Tabela 4).</w:t>
            </w:r>
          </w:p>
          <w:p w:rsidR="007B5B4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FF6209" w:rsidRPr="00DC1D17" w:rsidRDefault="00FF6209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tbl>
            <w:tblPr>
              <w:tblW w:w="73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4197"/>
              <w:gridCol w:w="1563"/>
              <w:gridCol w:w="1556"/>
            </w:tblGrid>
            <w:tr w:rsidR="007B5B47" w:rsidRPr="00DC1D17" w:rsidTr="00284DD5">
              <w:trPr>
                <w:jc w:val="center"/>
              </w:trPr>
              <w:tc>
                <w:tcPr>
                  <w:tcW w:w="731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C96057" w:rsidP="00E33D1D">
                  <w:pPr>
                    <w:tabs>
                      <w:tab w:val="left" w:pos="208"/>
                    </w:tabs>
                    <w:spacing w:before="0" w:line="240" w:lineRule="auto"/>
                    <w:ind w:left="88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 xml:space="preserve">Tabela 4: </w:t>
                  </w:r>
                  <w:r w:rsidR="007B5B47" w:rsidRPr="00DC1D17">
                    <w:rPr>
                      <w:rFonts w:ascii="Times New Roman" w:hAnsi="Times New Roman"/>
                      <w:b/>
                      <w:sz w:val="22"/>
                      <w:szCs w:val="22"/>
                      <w:lang w:val="sr-Latn-ME"/>
                    </w:rPr>
                    <w:t>Kategorička procjena promjene postotka predviđenog FVC-a od početka ispitivanjado 52. nedjelje liječenja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7B5B47" w:rsidP="00E33D1D">
                  <w:pPr>
                    <w:pStyle w:val="TableHeadings-Left"/>
                    <w:spacing w:before="0" w:after="0" w:line="240" w:lineRule="auto"/>
                    <w:rPr>
                      <w:rFonts w:ascii="Times New Roman" w:hAnsi="Times New Roman" w:cs="Times New Roman"/>
                      <w:sz w:val="22"/>
                      <w:szCs w:val="22"/>
                      <w:lang w:val="sr-Latn-ME"/>
                    </w:rPr>
                  </w:pP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C96057" w:rsidP="00E33D1D">
                  <w:pPr>
                    <w:pStyle w:val="TableHeadings"/>
                    <w:spacing w:before="0"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 xml:space="preserve">Pirfenidon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>2403 mg/dan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 xml:space="preserve">(N = </w:t>
                  </w:r>
                  <w:r w:rsidR="007B5B47"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278)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B5B47" w:rsidRPr="00DC1D17" w:rsidRDefault="00C96057" w:rsidP="00E33D1D">
                  <w:pPr>
                    <w:pStyle w:val="TableHeadings"/>
                    <w:spacing w:before="0" w:after="0" w:line="240" w:lineRule="auto"/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Placebo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br/>
                    <w:t xml:space="preserve">(N = </w:t>
                  </w:r>
                  <w:r w:rsidR="007B5B47" w:rsidRPr="00DC1D17">
                    <w:rPr>
                      <w:rFonts w:ascii="Times New Roman" w:hAnsi="Times New Roman"/>
                      <w:sz w:val="22"/>
                      <w:szCs w:val="22"/>
                      <w:lang w:val="sr-Latn-ME"/>
                    </w:rPr>
                    <w:t>277)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 xml:space="preserve">Pad od ≥10% ili smrt 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46 (17%)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88 (32%)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Pad manji od 10%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169 (61%)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162 (58%)</w:t>
                  </w:r>
                </w:p>
              </w:tc>
            </w:tr>
            <w:tr w:rsidR="007B5B47" w:rsidRPr="00DC1D17" w:rsidTr="00284DD5">
              <w:trPr>
                <w:jc w:val="center"/>
              </w:trPr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Left-Indent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Bez pada (promjena FVC za &gt;0%)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63 (23%)</w:t>
                  </w:r>
                </w:p>
              </w:tc>
              <w:tc>
                <w:tcPr>
                  <w:tcW w:w="1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B47" w:rsidRPr="00DC1D17" w:rsidRDefault="007B5B47" w:rsidP="00E33D1D">
                  <w:pPr>
                    <w:pStyle w:val="TableText-CenterAligned"/>
                    <w:spacing w:before="0" w:after="0" w:line="240" w:lineRule="auto"/>
                    <w:rPr>
                      <w:sz w:val="22"/>
                      <w:szCs w:val="22"/>
                      <w:lang w:val="sr-Latn-ME"/>
                    </w:rPr>
                  </w:pPr>
                  <w:r w:rsidRPr="00DC1D17">
                    <w:rPr>
                      <w:sz w:val="22"/>
                      <w:szCs w:val="22"/>
                      <w:lang w:val="sr-Latn-ME"/>
                    </w:rPr>
                    <w:t>27 (10%)</w:t>
                  </w:r>
                </w:p>
              </w:tc>
            </w:tr>
          </w:tbl>
          <w:p w:rsidR="007B5B4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FF6209" w:rsidRPr="00DC1D17" w:rsidRDefault="00FF6209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ispitivanju PIPF-016, smanjenje udaljenosti pređene tokom 6MWT testa, od početnih vrijednosti do onih izmjerenih u 52. nedjelji, bilo je značajno manje kod pacijenata koji su primali Esbriet</w:t>
            </w:r>
            <w:r w:rsidRPr="00C9605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poređenju sa pacijentima koji su primali placebo (p=0,036, rang ANCOVA); kod 26% pacijenata koji su primali Esbriet</w:t>
            </w:r>
            <w:r w:rsidRPr="00C96057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utvrđeno je smanjenje udaljenosti pređene tokom 6MWT testa za </w:t>
            </w:r>
            <w:r w:rsidR="00C9605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≥50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m, dok je isto primijećeno kod 36% pacijenata koji su primali placebo.</w:t>
            </w:r>
          </w:p>
          <w:p w:rsidR="007B5B4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FF6209" w:rsidRPr="00DC1D17" w:rsidRDefault="00FF6209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lastRenderedPageBreak/>
              <w:t>U unaprijed određenoj analizi objed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t>injenih podataka iz ispitivanja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016, PIPF-004 i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>006 u 12. mjesecu, stopa mortaliteta zbog bilo kojeg uzroka bila je značajno niža u grupi koja je primala Esbriet</w:t>
            </w:r>
            <w:r w:rsidRPr="00FF620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dozi od 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mg/dan (3,5%, 22 od 623 pacijenata) nego u onoj koja je primala placebo (6,7%, 42 od 624 pacijenata), što je dovelo do smanjenja  rizika od smrti zbog bilo kog uzroka od 48% unutar prvih 12 mjeseci (HR 0,52 [95% CI, 0,31–0,87], p=0,0107, log-rang test).</w:t>
            </w: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numPr>
                <w:ilvl w:val="12"/>
                <w:numId w:val="0"/>
              </w:num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U ispitivanju sprovedenom sa japanskim pacijentima (SP3), upoređivali su se pirfenidon u dozi od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1800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mg/dan (koja je uporediva sa dozom od 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2403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mg/dan u američkoj (SAD) i evropskoj populaciji iz ispitivanja PIPF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 xml:space="preserve">004/006 s obzirom na tjelesnu težinu ispitanika) i placebo (N=110, odnosno N=109). Liječenje pirfenidonom značajno je smanjilo srednju vrijednost smanjenja vitalnog kapaciteta (engl. </w:t>
            </w:r>
            <w:r w:rsidRPr="00DC1D17">
              <w:rPr>
                <w:rFonts w:ascii="Times New Roman" w:hAnsi="Times New Roman"/>
                <w:i/>
                <w:sz w:val="22"/>
                <w:szCs w:val="22"/>
                <w:lang w:val="sr-Latn-ME"/>
              </w:rPr>
              <w:t>vital capacity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VC) u 52. nedjelji (primarna mjera  ishoda) u po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t>ređenju sa placebom (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 xml:space="preserve">0,09±0,02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l u odnosu na 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noBreakHyphen/>
              <w:t xml:space="preserve">0,16±0,02 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l, p=0,042).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t>Pedijatrijska populacija</w:t>
            </w:r>
          </w:p>
          <w:p w:rsidR="007B5B47" w:rsidRPr="00DC1D17" w:rsidRDefault="007B5B47" w:rsidP="00E33D1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Evropska agencija za ljekove je izuzela obavezu podnošenja rezultata ispitivanja lijeka Esbriet</w:t>
            </w:r>
            <w:r w:rsidRPr="00FF620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u svim podgrupama pedijatrijske populacije </w:t>
            </w:r>
            <w:r w:rsidR="00FF6209">
              <w:rPr>
                <w:rFonts w:ascii="Times New Roman" w:hAnsi="Times New Roman"/>
                <w:sz w:val="22"/>
                <w:szCs w:val="22"/>
                <w:lang w:val="sr-Latn-ME"/>
              </w:rPr>
              <w:t>u indikaciji</w:t>
            </w: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 xml:space="preserve"> IPF-a (vidjeti dio 4.2 za informacije o pedijatrijskoj primjeni).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5.2. Farmakokinetički podaci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  <w:t>Resorpcija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Primjena lijeka Esbriet</w:t>
            </w:r>
            <w:r w:rsidRPr="00FF620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sa hranom dovodi do velikog smanjenja Cmax (za 50%) i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manjeg dejstva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na AUC, u poređenju sa primjenom natašte. Nakon peroralne primjene jednokratne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doze od 801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mg na pun želudac kod zdravih odraslih starijih dobrovoljaca (u uzrastu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50-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66 godina), brzina resorpcije pirfenidona se smanjila, dok je vrijednost AUC-a kod pacijenata sa punim želucem iznosila oko približno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80-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85% vrijednosti AUC-a zapaženih kod pacijenata koji su lijek uzeli natašte. Primijećena je niža incidenca neželjenih dejstava (mučnine i vrtoglavice) kod pacijenata sa punim želucem u poređenju sa grupom koja je lijek uzela natašte. Zbog toga se preporučuje da se Esbriet</w:t>
            </w:r>
            <w:r w:rsidRPr="00FF620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uzima sa hranom, radi smanjenja incidence mučnine i vrtoglavice. 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Nije utvrđena bioraspoloživost pirfenidona kod ljudi.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  <w:t>Distribucija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Pirfenidon se vezuje za proteine u ljudskoj plazmi, prvenstveno za serumski albumin. Sveobuhvatna srednja vrijednost vezivanja za proteine u plazmi kretala se u rasponu od 50% do 58%, pri koncentracijama zabilježen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im u kliničkim ispitivanjima (1 do 100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μg/ml). Nakon peroralne primjene, srednja vrijednost prividnog volumena distribucije, u stanju dinamičke ravnoteže, iznosi približno 70 l, što ukazuje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na umjerenu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distribuciju pirfenidona u tkiva.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  <w:t>Biotransformacija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Približno se 70-80% pirfenidona metaboliše uz pomoć CYP1A2, uz manji doprinos drugih izoenzima CYP, uključujući CYP2C9, 2C19, 2D6 i 2E1. Dosadašnja ispitivanja </w:t>
            </w:r>
            <w:r w:rsidRPr="00DC1D17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>in vitro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i </w:t>
            </w:r>
            <w:r w:rsidRPr="00DC1D17">
              <w:rPr>
                <w:rFonts w:ascii="Times New Roman" w:hAnsi="Times New Roman"/>
                <w:bCs/>
                <w:i/>
                <w:sz w:val="22"/>
                <w:szCs w:val="22"/>
                <w:lang w:val="sr-Latn-ME"/>
              </w:rPr>
              <w:t>in vivo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nisu utvrdila nikakvu aktivnost glavnog metabolita (5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noBreakHyphen/>
              <w:t>karboksi-pirfenidona), čak ni pri koncentracijama ili dozama značajno većim od onih koje se povezuju s aktivnošću samog pirfenidona.</w:t>
            </w:r>
          </w:p>
          <w:p w:rsidR="007B5B47" w:rsidRDefault="00FF6209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  <w:lastRenderedPageBreak/>
              <w:t>Eliminacija</w:t>
            </w:r>
          </w:p>
          <w:p w:rsidR="00FF6209" w:rsidRPr="00FF6209" w:rsidRDefault="00FF6209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Izgleda da je klirens pirfenidona nakon peroralne primjene umjereno saturabilan. U ispitivanju primjene višestrukih doza različitih jačina kod zdravih starijih odraslih ispitanika, u kojem su se primjenjivale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doze od 267 mg do 1335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mg tri puta na dan, srednja vrijednost klirensa smanjila se za približno 25% kod primjene doza većih od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801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mg tri puta na dan. Nakon primjene jednokratne doze pirfenidona kod zdravih starijih odraslih ispitanika, srednja vrijednost prividnog terminalnog poluvremena eliminacije iznosila je približno 2,4 sata. Oko 80% peroralno primijenjene doze pirfenidona izlučuje se mokraćom u roku od 24 sata od primjene. Najveći dio pirfenidona izlučuje se u obliku metabolita 5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noBreakHyphen/>
              <w:t xml:space="preserve">karboksi-pirfenidona (&gt;95% izlučene doze),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dok se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manje od 1% izlučuje mokraćom u neizmijenjenom obliku.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keepNext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  <w:t>Posebne populacije</w:t>
            </w:r>
          </w:p>
          <w:p w:rsidR="007B5B47" w:rsidRPr="00DC1D17" w:rsidRDefault="007B5B47" w:rsidP="00E33D1D">
            <w:pPr>
              <w:keepNext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Cs/>
                <w:i/>
                <w:sz w:val="22"/>
                <w:szCs w:val="22"/>
                <w:u w:val="single"/>
                <w:lang w:val="sr-Latn-ME"/>
              </w:rPr>
              <w:t>Oštećenje funkcije jetre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Farmakokinetika pirfenidona i metabolita 5-karboksi-pirfenidona upoređivala se kod ispitanika sa umjerenim oštećenjem funkcije jetre (stadijum B prema Child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noBreakHyphen/>
              <w:t xml:space="preserve">Pugh klasifikaciji) i ispitanika sa normalnom funkcijom jetre. Rezultati su ukazali  na srednje povećanje izloženosti pirfenidonu od 60% nakon primjene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jednokratne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doze pirfenidona od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801 mg (3 x 1 kapsula od 267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mg) kod pacijenata sa umjerenim oštećenjem funkcije jetre. Pirfenidon zbog toga treba primjenjivati uz oprez kod pacijenata sa blagim do umjerenim oštećenjem funkcije jetre i takve pacijente treba pažljivo nadzirati zbog moguće pojave znakova toksičnosti, naročito ako istovremeno uzimaju poznati inhibitor CYP1A2 (vidjeti djelove 4.2 i 4.4). Esbriet</w:t>
            </w:r>
            <w:r w:rsidRPr="00FF620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je kontraindikovan kod teškog oštećenja funkcije jetre i kod pacijenata u terminalnoj fazi bolesti jetre (vidjeti djelove 4.2 i 4.3).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i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Cs/>
                <w:i/>
                <w:sz w:val="22"/>
                <w:szCs w:val="22"/>
                <w:u w:val="single"/>
                <w:lang w:val="sr-Latn-ME"/>
              </w:rPr>
              <w:t xml:space="preserve">Oštećenje funkcije bubrega 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Nisu primijećene klinički značajne razlike u farmakokinetici pirfenidona kod ispitanika sa blagim do teškim oštećenjem funkcije bubrega, u poređenju s ispitanicima sa normalnom bubrežnom funkcijom.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Krajnje jedinjenje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se prvenstveno metaboliše u 5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noBreakHyphen/>
              <w:t xml:space="preserve">karboksi-pirfenidon, čija se farmakokinetika mijenja kod osoba sa umjerenim do teškim oštećenjem bubrežne funkcije. Međutim, predviđena količina akumuliranog metabolita, u stanju dinamičke ravnoteže, ne smatra se farmakodinamički važnom, jer njegovo terminalno poluvrijeme eliminacije kod tih osoba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iznosi samo 1-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2 sata. Kod pacijenata sa blagim do umjerenim oštećenjem funkcije bubrega koji se liječe pirfenidonom nije potrebno prilagođavati dozu. Primjena pirfenidona kontraindikovana je kod pacijenata sa teškim oštećenjem funkcije bubrega (CrCl</w:t>
            </w:r>
            <w:r w:rsidRPr="00DC1D17" w:rsidDel="00E62B23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&lt;30ml/min) ili pacijenata u terminalnoj fazi bubrežne bolesti koja zahtijeva dijalizu (vidjeti djelove 4.2 i 4.3).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Populacijske farmakokinetičke analize podataka iz 4 ispitivanja sprovedena kod zdravih osoba ili osoba sa </w:t>
            </w:r>
            <w:r w:rsidR="00FF6209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oštećenjem funkcije bubrega i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jednog ispitivanja sprovedenog kod pacijenata sa IPF-om nisu pokazale klinički značajan uticaj uzrasta, pola ni tjelesne mase na farmakokinetiku pirfenidona. 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 w:right="751"/>
              <w:jc w:val="both"/>
              <w:rPr>
                <w:rFonts w:cs="Times New Roman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5.3. Pretklinički podaci o bezbjednosti 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Pretklinički podaci ne ukazuju na poseban rizik za ljude na osnovu konvencionalnih ispitivanja bezbjednosne farmakologije, toksičnosti ponovljenih doza, genotoksičnosti i kancerogenosti.</w:t>
            </w:r>
          </w:p>
          <w:p w:rsidR="007B5B4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FF6209" w:rsidRPr="00DC1D17" w:rsidRDefault="00FF6209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lastRenderedPageBreak/>
              <w:t>U ispitivanjima toksičnosti ponovljenih doza primijećena su povećanja težine jetre kod miševa, pacova i pasa, koja su često bila propraćena centrolobularnom hipertrofijom jetre. Primijećeno je da se te promjene nakon prekida liječenja povlače. U ispitivanjima kancerogenosti primijećena je povećana incidenca tumora jetre kod pacova i miševa. Ti nalazi na jetri su u skladu sa indukcijom jetrenih mikrosomskih enzima, ali ovaj efekat nije primijećen kod pacijenata koji primaju Esbriet</w:t>
            </w:r>
            <w:r w:rsidRPr="00FF6209">
              <w:rPr>
                <w:rFonts w:ascii="Times New Roman" w:hAnsi="Times New Roman"/>
                <w:sz w:val="22"/>
                <w:szCs w:val="22"/>
                <w:vertAlign w:val="superscript"/>
                <w:lang w:val="sr-Latn-ME"/>
              </w:rPr>
              <w:t>®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. Ti se nalazi ne smatraju značajnim za ljude. 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Statistički značajan porast tumora uterusa primijećen je kod ženki pacova kod kojih je primjenjivana doza od 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1500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mg/kg/dan, koja je 37 puta veća od doze za ljude 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od 2403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mg/dan. Ispitivanja mehanizma nastanka ovih tumora pokazala 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su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da tumori uterusa vjerovatno nastaju zbog hronične neuravnoteženosti polnih hormona pod uticajem dopamina, a koja kod pacova uključuje endokrini mehanizam specifičan za vrstu koji ne postoji kod ljudi.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Toksikološka ispitivanja uticaja na reprodukciju nisu pokazala neželjene efekte na plodnost mužjaka i ženki, niti na postnatalni razvoj mladunčadi pacova, a nisu primijećeni ni znakovi teratogenosti kod pacova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(1000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mg/kg/dan) ni 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kunića (300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mg/kg/dan). Kod životinja, pirfenidon i/ili njegovi metaboliti prolaze kroz placentu i mogu se kumulirati u amnionskoj tečnosti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. Pri visokim dozama (≥450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mg/kg/dan), kod pacova su zabilježeni produženje estrusnog ciklusa i visoka incidenca nepravilnih ciklusa. Pri 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visokim dozama (≥1000 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mg/kg/dan) kod pacova je došlo do produženja gestacije i smanjenja sposobnosti preživljavanja ploda. Ispitivanja na ženkama pacova u laktaciji pokazuju da se pirfenidon i/ili njegovi metaboliti izlučuju u mlijeko, pri čemu može doći do kumulacije pirfenidona i/ili njegovih metabolita u mlijeku.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Pirfenidon nije pokazao nikakvu mutagenu ni genotoksičnu aktivnost u standardn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om nizu testova, a nije pokazao</w:t>
            </w: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 mutagenost ni kada se testirao uz izlaganje UV svjetlosti. Kada se testirao uz izlaganje UV svjetlosti, pirfenidon je bio pozitivan u fotoklastogeničkom testu na kulturi plućnih ćelija kineskog hrčka.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Nakon peroralne primjene pirfenidona i uz izlaganje UVA/UVB svjetlosti, kod zamoraca su primijećeni fototoksičnost i iritacija. Težina fototoksičnih lezija umanjena je primjenom sredstva za zaštitu od sunca</w:t>
            </w:r>
            <w:r w:rsidR="00BD70B6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  <w:t>Procjena rizika za okolinu (ERA)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Ne smatra se da pirfenidon predstavlja potencijalni rizik za površinske vode, mikroorganizme, podzemne vode ni beskičmenjake koji borave u zemljištu.</w:t>
            </w:r>
          </w:p>
          <w:p w:rsidR="007B5B4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BD70B6" w:rsidRPr="00DC1D17" w:rsidRDefault="00BD70B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 FARMACEUTSKI PODACI</w:t>
            </w:r>
          </w:p>
          <w:p w:rsidR="00BD70B6" w:rsidRDefault="00BD70B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6.1. Lista pomoćnih supstanci</w:t>
            </w:r>
          </w:p>
          <w:p w:rsidR="00BD70B6" w:rsidRDefault="00BD70B6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  <w:r w:rsidRPr="00DC1D17">
              <w:rPr>
                <w:rFonts w:cs="Times New Roman"/>
                <w:u w:val="single"/>
                <w:lang w:val="sr-Latn-ME"/>
              </w:rPr>
              <w:t>Sadržaj kapsule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mikrokristalna celuloza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kroskarmeloza natrijum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povidon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magnezijum stearat</w:t>
            </w:r>
          </w:p>
          <w:p w:rsidR="007B5B4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BD70B6" w:rsidRPr="00DC1D17" w:rsidRDefault="00BD70B6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  <w:r w:rsidRPr="00DC1D17">
              <w:rPr>
                <w:rFonts w:cs="Times New Roman"/>
                <w:u w:val="single"/>
                <w:lang w:val="sr-Latn-ME"/>
              </w:rPr>
              <w:lastRenderedPageBreak/>
              <w:t xml:space="preserve">Omotač kapsule: 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titan dioksid (E171)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želatin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  <w:r w:rsidRPr="00DC1D17">
              <w:rPr>
                <w:rFonts w:cs="Times New Roman"/>
                <w:u w:val="single"/>
                <w:lang w:val="sr-Latn-ME"/>
              </w:rPr>
              <w:t>Mastilo za označavanje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smeđe mastilo S</w:t>
            </w:r>
            <w:r w:rsidRPr="00DC1D17">
              <w:rPr>
                <w:rFonts w:cs="Times New Roman"/>
                <w:lang w:val="sr-Latn-ME"/>
              </w:rPr>
              <w:noBreakHyphen/>
              <w:t>1</w:t>
            </w:r>
            <w:r w:rsidRPr="00DC1D17">
              <w:rPr>
                <w:rFonts w:cs="Times New Roman"/>
                <w:lang w:val="sr-Latn-ME"/>
              </w:rPr>
              <w:noBreakHyphen/>
              <w:t>16530 ili ma</w:t>
            </w:r>
            <w:r w:rsidR="00BD70B6">
              <w:rPr>
                <w:rFonts w:cs="Times New Roman"/>
                <w:lang w:val="sr-Latn-ME"/>
              </w:rPr>
              <w:t>stilo 03A2 sadrži:</w:t>
            </w:r>
          </w:p>
          <w:p w:rsidR="007B5B47" w:rsidRPr="00DC1D17" w:rsidRDefault="00BD70B6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>
              <w:rPr>
                <w:rFonts w:cs="Times New Roman"/>
                <w:lang w:val="sr-Latn-ME"/>
              </w:rPr>
              <w:t>šelak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gvožđe oksid, crni (E172)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gvožđe oksid, crveni (E172)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gvožđe oksid, žuti (E172)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propilenglikol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amonijum hidroksid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6.2. Inkompatibilnosti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>Nije primjenjivo.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6.3. Rok upotrebe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3 godine.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6.4. Posebne mjere upozorenja pri čuvanju lijeka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Ne čuvati na temperaturi iznad 30°C.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6.5. Vrsta i sadržaj pakovanja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Bijela boca od polietilena visoke gustine (HDPE) zapremine 250ml sa plastičnim sigurnosnim zatvaračem za djecu, koja sadrži 270 kapsula. Otvor boce je zapečaćen aluminijskom folijom.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6.6. Posebne mjere opreza pri odlaganju materijala koji treba odbaciti nakon primjene lijeka </w:t>
            </w:r>
          </w:p>
          <w:p w:rsidR="007B5B47" w:rsidRPr="00DC1D17" w:rsidRDefault="007B5B47" w:rsidP="00E33D1D">
            <w:pPr>
              <w:tabs>
                <w:tab w:val="left" w:pos="567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u w:val="single"/>
                <w:lang w:val="sr-Latn-ME"/>
              </w:rPr>
            </w:pPr>
          </w:p>
          <w:p w:rsidR="007B5B47" w:rsidRPr="00DC1D17" w:rsidRDefault="007B5B47" w:rsidP="00E33D1D">
            <w:pPr>
              <w:tabs>
                <w:tab w:val="left" w:pos="567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Nema posebnih zahtjeva.</w:t>
            </w:r>
          </w:p>
          <w:p w:rsidR="007B5B47" w:rsidRPr="00DC1D17" w:rsidRDefault="007B5B47" w:rsidP="00E33D1D">
            <w:pPr>
              <w:tabs>
                <w:tab w:val="left" w:pos="567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6.7. Režim izdavanja lijeka</w:t>
            </w: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Ograničen recept.</w:t>
            </w: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 xml:space="preserve">7. NOSILAC DOZVOLE </w:t>
            </w:r>
          </w:p>
          <w:p w:rsidR="007B5B47" w:rsidRPr="00DC1D17" w:rsidRDefault="007B5B47" w:rsidP="00E33D1D">
            <w:pPr>
              <w:widowControl w:val="0"/>
              <w:autoSpaceDE w:val="0"/>
              <w:autoSpaceDN w:val="0"/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 xml:space="preserve">,,Hoffmann – La Roche Ltd” dio stranog društva Podgorica </w:t>
            </w:r>
          </w:p>
          <w:p w:rsidR="007B5B47" w:rsidRPr="00DC1D17" w:rsidRDefault="007B5B47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 w:rsidRPr="00DC1D17">
              <w:rPr>
                <w:rFonts w:cs="Times New Roman"/>
                <w:lang w:val="sr-Latn-ME"/>
              </w:rPr>
              <w:t xml:space="preserve">Svetlane Kane </w:t>
            </w:r>
            <w:r w:rsidR="00BD70B6">
              <w:rPr>
                <w:rFonts w:cs="Times New Roman"/>
                <w:lang w:val="sr-Latn-ME"/>
              </w:rPr>
              <w:t>Radević br. 3, 81000 Podgorica,</w:t>
            </w:r>
          </w:p>
          <w:p w:rsidR="007B5B47" w:rsidRPr="00DC1D17" w:rsidRDefault="00BD70B6" w:rsidP="00E33D1D">
            <w:pPr>
              <w:pStyle w:val="BodyText"/>
              <w:spacing w:before="0" w:line="240" w:lineRule="auto"/>
              <w:ind w:left="0"/>
              <w:jc w:val="both"/>
              <w:rPr>
                <w:rFonts w:cs="Times New Roman"/>
                <w:lang w:val="sr-Latn-ME"/>
              </w:rPr>
            </w:pPr>
            <w:r>
              <w:rPr>
                <w:rFonts w:cs="Times New Roman"/>
                <w:lang w:val="sr-Latn-ME"/>
              </w:rPr>
              <w:t>Crna Gora</w:t>
            </w:r>
          </w:p>
          <w:p w:rsidR="00BD70B6" w:rsidRDefault="00BD70B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8. BROJ PRVE DOZVOLE / OBNOVE DOZVOLE</w:t>
            </w:r>
          </w:p>
          <w:p w:rsidR="00BD70B6" w:rsidRDefault="00BD70B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BD70B6" w:rsidRPr="001D369C" w:rsidRDefault="001D369C" w:rsidP="001D369C">
            <w:pPr>
              <w:pStyle w:val="Header"/>
              <w:tabs>
                <w:tab w:val="left" w:pos="284"/>
              </w:tabs>
              <w:spacing w:before="0" w:line="240" w:lineRule="auto"/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</w:pPr>
            <w:r w:rsidRPr="001D369C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Esb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riet</w:t>
            </w:r>
            <w:r w:rsidRPr="001D369C"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, kapsula tvrda, 267 mg, </w:t>
            </w:r>
            <w:r w:rsidRPr="001D369C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boca plastična, 1 x 270 kapsula, tvrdih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: </w:t>
            </w:r>
            <w:r w:rsidRPr="001D369C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2030/16/295 - 4991</w:t>
            </w:r>
          </w:p>
          <w:p w:rsidR="007B5B4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23C86" w:rsidRPr="00DC1D17" w:rsidRDefault="00123C8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9. DATUM PRVE DOZVOLE / DATUM OBNOVE DOZVOLE</w:t>
            </w:r>
          </w:p>
          <w:p w:rsidR="001D369C" w:rsidRDefault="001D369C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</w:p>
          <w:p w:rsidR="001D369C" w:rsidRPr="00DC1D17" w:rsidRDefault="001D369C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1D369C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Esb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riet</w:t>
            </w:r>
            <w:r w:rsidRPr="001D369C"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sr-Latn-ME"/>
              </w:rPr>
              <w:t>®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, kapsula tvrda, 267 mg, </w:t>
            </w:r>
            <w:r w:rsidRPr="001D369C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boca plastična, 1 x 270 kapsula, tvrdih</w:t>
            </w:r>
            <w:r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 xml:space="preserve">: </w:t>
            </w:r>
            <w:r w:rsidRPr="001D369C">
              <w:rPr>
                <w:rFonts w:ascii="Times New Roman" w:hAnsi="Times New Roman"/>
                <w:bCs/>
                <w:sz w:val="22"/>
                <w:szCs w:val="22"/>
                <w:lang w:val="sr-Latn-ME"/>
              </w:rPr>
              <w:t>26.09.2016. godine</w:t>
            </w:r>
          </w:p>
          <w:p w:rsidR="007B5B4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123C86" w:rsidRPr="00DC1D17" w:rsidRDefault="00123C8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7B5B47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</w:pPr>
            <w:r w:rsidRPr="00DC1D17">
              <w:rPr>
                <w:rFonts w:ascii="Times New Roman" w:hAnsi="Times New Roman"/>
                <w:b/>
                <w:bCs/>
                <w:sz w:val="22"/>
                <w:szCs w:val="22"/>
                <w:lang w:val="sr-Latn-ME"/>
              </w:rPr>
              <w:t>10. DATUM POSLJEDNJE REVIZIJE TEKSTA SAŽETKA OSNOVNIH KARAKTERISTIKA LIJEKA</w:t>
            </w:r>
          </w:p>
          <w:p w:rsidR="00123C86" w:rsidRDefault="00123C8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  <w:p w:rsidR="007B5B47" w:rsidRPr="00DC1D17" w:rsidRDefault="00123C86" w:rsidP="00E33D1D">
            <w:pPr>
              <w:pStyle w:val="Header"/>
              <w:tabs>
                <w:tab w:val="clear" w:pos="4536"/>
                <w:tab w:val="clear" w:pos="9072"/>
                <w:tab w:val="left" w:pos="284"/>
              </w:tabs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  <w:r>
              <w:rPr>
                <w:rFonts w:ascii="Times New Roman" w:hAnsi="Times New Roman"/>
                <w:sz w:val="22"/>
                <w:szCs w:val="22"/>
                <w:lang w:val="sr-Latn-ME"/>
              </w:rPr>
              <w:t>Septembar</w:t>
            </w:r>
            <w:r w:rsidR="007B5B47" w:rsidRPr="00DC1D17">
              <w:rPr>
                <w:rFonts w:ascii="Times New Roman" w:hAnsi="Times New Roman"/>
                <w:sz w:val="22"/>
                <w:szCs w:val="22"/>
                <w:lang w:val="sr-Latn-ME"/>
              </w:rPr>
              <w:t>, 2016.</w:t>
            </w:r>
          </w:p>
          <w:p w:rsidR="000D7E68" w:rsidRPr="00DC1D17" w:rsidRDefault="000D7E68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  <w:tr w:rsidR="000D7E68" w:rsidRPr="00DC1D17" w:rsidTr="008E3349">
        <w:trPr>
          <w:trHeight w:val="1145"/>
        </w:trPr>
        <w:tc>
          <w:tcPr>
            <w:tcW w:w="9639" w:type="dxa"/>
            <w:gridSpan w:val="2"/>
          </w:tcPr>
          <w:p w:rsidR="000D7E68" w:rsidRPr="00DC1D17" w:rsidRDefault="000D7E68" w:rsidP="00E33D1D">
            <w:pPr>
              <w:spacing w:before="0" w:line="240" w:lineRule="auto"/>
              <w:rPr>
                <w:rFonts w:ascii="Times New Roman" w:hAnsi="Times New Roman"/>
                <w:sz w:val="22"/>
                <w:szCs w:val="22"/>
                <w:lang w:val="sr-Latn-ME"/>
              </w:rPr>
            </w:pPr>
          </w:p>
        </w:tc>
      </w:tr>
    </w:tbl>
    <w:p w:rsidR="000D7E68" w:rsidRPr="00DC1D17" w:rsidRDefault="000D7E68" w:rsidP="000D7E68">
      <w:pPr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rPr>
          <w:rFonts w:ascii="Times New Roman" w:hAnsi="Times New Roman"/>
          <w:sz w:val="22"/>
          <w:szCs w:val="22"/>
          <w:lang w:val="sr-Latn-ME"/>
        </w:rPr>
      </w:pPr>
    </w:p>
    <w:p w:rsidR="000D7E68" w:rsidRPr="00DC1D17" w:rsidRDefault="000D7E68" w:rsidP="000D7E68">
      <w:pPr>
        <w:rPr>
          <w:rFonts w:ascii="Times New Roman" w:hAnsi="Times New Roman"/>
          <w:sz w:val="22"/>
          <w:szCs w:val="22"/>
          <w:lang w:val="sr-Latn-ME"/>
        </w:rPr>
      </w:pPr>
    </w:p>
    <w:p w:rsidR="001E6063" w:rsidRPr="00DC1D17" w:rsidRDefault="001E6063">
      <w:pPr>
        <w:rPr>
          <w:rFonts w:ascii="Times New Roman" w:hAnsi="Times New Roman"/>
          <w:sz w:val="22"/>
          <w:szCs w:val="22"/>
          <w:lang w:val="sr-Latn-ME"/>
        </w:rPr>
      </w:pPr>
    </w:p>
    <w:sectPr w:rsidR="001E6063" w:rsidRPr="00DC1D17" w:rsidSect="002743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2155" w:right="1134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5E1" w:rsidRDefault="007425E1">
      <w:r>
        <w:separator/>
      </w:r>
    </w:p>
  </w:endnote>
  <w:endnote w:type="continuationSeparator" w:id="0">
    <w:p w:rsidR="007425E1" w:rsidRDefault="0074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49" w:rsidRDefault="008E33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19</w:t>
    </w:r>
    <w:r>
      <w:rPr>
        <w:rStyle w:val="PageNumber"/>
      </w:rPr>
      <w:fldChar w:fldCharType="end"/>
    </w:r>
  </w:p>
  <w:p w:rsidR="008E3349" w:rsidRDefault="008E334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49" w:rsidRPr="008C6928" w:rsidRDefault="008E3349" w:rsidP="008C6928">
    <w:pPr>
      <w:pBdr>
        <w:top w:val="thinThickSmallGap" w:sz="24" w:space="1" w:color="auto"/>
      </w:pBdr>
      <w:tabs>
        <w:tab w:val="center" w:pos="4320"/>
        <w:tab w:val="right" w:pos="8640"/>
      </w:tabs>
      <w:spacing w:before="0" w:line="240" w:lineRule="auto"/>
      <w:ind w:right="0"/>
      <w:jc w:val="center"/>
      <w:rPr>
        <w:rFonts w:ascii="Times New Roman" w:hAnsi="Times New Roman"/>
        <w:sz w:val="20"/>
        <w:szCs w:val="20"/>
        <w:lang w:val="sr-Latn-ME"/>
      </w:rPr>
    </w:pPr>
  </w:p>
  <w:p w:rsidR="008E3349" w:rsidRPr="008C6928" w:rsidRDefault="008E3349" w:rsidP="008C6928">
    <w:pPr>
      <w:tabs>
        <w:tab w:val="center" w:pos="4320"/>
        <w:tab w:val="right" w:pos="8640"/>
      </w:tabs>
      <w:spacing w:before="0" w:line="240" w:lineRule="auto"/>
      <w:ind w:right="0"/>
      <w:jc w:val="center"/>
      <w:rPr>
        <w:rFonts w:ascii="Times New Roman" w:hAnsi="Times New Roman"/>
        <w:color w:val="E65900"/>
        <w:sz w:val="16"/>
        <w:szCs w:val="18"/>
        <w:lang w:val="sr-Latn-ME"/>
      </w:rPr>
    </w:pPr>
    <w:r w:rsidRPr="008C6928">
      <w:rPr>
        <w:rFonts w:ascii="Times New Roman" w:hAnsi="Times New Roman"/>
        <w:color w:val="FA0000"/>
        <w:sz w:val="16"/>
        <w:szCs w:val="18"/>
        <w:lang w:val="sr-Latn-ME"/>
      </w:rPr>
      <w:t>Agencija za ljekove i medicinska sredstva Crne Gore,</w:t>
    </w:r>
    <w:r w:rsidRPr="008C6928">
      <w:rPr>
        <w:rFonts w:ascii="Times New Roman" w:hAnsi="Times New Roman"/>
        <w:sz w:val="16"/>
        <w:szCs w:val="18"/>
        <w:lang w:val="sr-Latn-ME"/>
      </w:rPr>
      <w:t xml:space="preserve"> </w:t>
    </w:r>
    <w:r w:rsidRPr="008C6928">
      <w:rPr>
        <w:rFonts w:ascii="Times New Roman" w:hAnsi="Times New Roman"/>
        <w:color w:val="E65900"/>
        <w:sz w:val="16"/>
        <w:szCs w:val="18"/>
        <w:lang w:val="sr-Latn-ME"/>
      </w:rPr>
      <w:t>81000 Podgorica, Bul. Ivana Crnojevića 64a</w:t>
    </w:r>
  </w:p>
  <w:p w:rsidR="008E3349" w:rsidRPr="008C6928" w:rsidRDefault="008E3349" w:rsidP="008C6928">
    <w:pPr>
      <w:tabs>
        <w:tab w:val="center" w:pos="4320"/>
        <w:tab w:val="right" w:pos="8640"/>
      </w:tabs>
      <w:spacing w:before="0" w:line="240" w:lineRule="auto"/>
      <w:ind w:right="0"/>
      <w:jc w:val="center"/>
      <w:rPr>
        <w:rFonts w:ascii="Times New Roman" w:hAnsi="Times New Roman"/>
        <w:color w:val="FA0000"/>
        <w:sz w:val="16"/>
        <w:szCs w:val="18"/>
        <w:lang w:val="sr-Latn-ME"/>
      </w:rPr>
    </w:pPr>
    <w:r w:rsidRPr="008C6928">
      <w:rPr>
        <w:rFonts w:ascii="Times New Roman" w:hAnsi="Times New Roman"/>
        <w:color w:val="E65900"/>
        <w:sz w:val="16"/>
        <w:szCs w:val="18"/>
        <w:lang w:val="sr-Latn-ME"/>
      </w:rPr>
      <w:t xml:space="preserve">tel: +382 (0) 20 310 280  </w:t>
    </w:r>
    <w:r w:rsidRPr="008C6928">
      <w:rPr>
        <w:rFonts w:ascii="Times New Roman" w:hAnsi="Times New Roman"/>
        <w:color w:val="FA0000"/>
        <w:sz w:val="16"/>
        <w:szCs w:val="18"/>
        <w:lang w:val="sr-Latn-ME"/>
      </w:rPr>
      <w:t>fax: +382 (0) 20 310 581,</w:t>
    </w:r>
    <w:r w:rsidRPr="008C6928">
      <w:rPr>
        <w:rFonts w:ascii="Times New Roman" w:hAnsi="Times New Roman"/>
        <w:sz w:val="16"/>
        <w:szCs w:val="18"/>
        <w:lang w:val="sr-Latn-ME"/>
      </w:rPr>
      <w:t xml:space="preserve"> </w:t>
    </w:r>
    <w:r w:rsidRPr="008C6928">
      <w:rPr>
        <w:rFonts w:ascii="Times New Roman" w:hAnsi="Times New Roman"/>
        <w:color w:val="E65900"/>
        <w:sz w:val="16"/>
        <w:szCs w:val="18"/>
        <w:lang w:val="sr-Latn-ME"/>
      </w:rPr>
      <w:t>e-mail: info@calims.me,</w:t>
    </w:r>
    <w:r w:rsidRPr="008C6928">
      <w:rPr>
        <w:rFonts w:ascii="Times New Roman" w:hAnsi="Times New Roman"/>
        <w:sz w:val="16"/>
        <w:szCs w:val="18"/>
        <w:lang w:val="sr-Latn-ME"/>
      </w:rPr>
      <w:t xml:space="preserve"> </w:t>
    </w:r>
    <w:r w:rsidRPr="008C6928">
      <w:rPr>
        <w:rFonts w:ascii="Times New Roman" w:hAnsi="Times New Roman"/>
        <w:color w:val="FA0000"/>
        <w:sz w:val="16"/>
        <w:szCs w:val="18"/>
        <w:lang w:val="sr-Latn-ME"/>
      </w:rPr>
      <w:t>www.calims.me</w:t>
    </w:r>
    <w:r w:rsidRPr="008C6928">
      <w:rPr>
        <w:rFonts w:ascii="Times New Roman" w:hAnsi="Times New Roman"/>
        <w:sz w:val="16"/>
        <w:szCs w:val="18"/>
        <w:lang w:val="sr-Latn-ME"/>
      </w:rPr>
      <w:t xml:space="preserve">, </w:t>
    </w:r>
    <w:r w:rsidRPr="008C6928">
      <w:rPr>
        <w:rFonts w:ascii="Times New Roman" w:hAnsi="Times New Roman"/>
        <w:color w:val="E65900"/>
        <w:sz w:val="16"/>
        <w:szCs w:val="18"/>
        <w:lang w:val="sr-Latn-ME"/>
      </w:rPr>
      <w:t>PIB: 02739658,</w:t>
    </w:r>
    <w:r w:rsidRPr="008C6928">
      <w:rPr>
        <w:rFonts w:ascii="Times New Roman" w:hAnsi="Times New Roman"/>
        <w:sz w:val="16"/>
        <w:szCs w:val="18"/>
        <w:lang w:val="sr-Latn-ME"/>
      </w:rPr>
      <w:t xml:space="preserve"> </w:t>
    </w:r>
    <w:r w:rsidRPr="008C6928">
      <w:rPr>
        <w:rFonts w:ascii="Times New Roman" w:hAnsi="Times New Roman"/>
        <w:color w:val="FA0000"/>
        <w:sz w:val="16"/>
        <w:szCs w:val="18"/>
        <w:lang w:val="sr-Latn-ME"/>
      </w:rPr>
      <w:t>žiro račun: 520-3603-33</w:t>
    </w:r>
  </w:p>
  <w:p w:rsidR="008E3349" w:rsidRPr="008C6928" w:rsidRDefault="008E3349" w:rsidP="008C6928">
    <w:pPr>
      <w:tabs>
        <w:tab w:val="center" w:pos="4320"/>
        <w:tab w:val="right" w:pos="8640"/>
      </w:tabs>
      <w:spacing w:before="0" w:line="240" w:lineRule="auto"/>
      <w:ind w:right="0"/>
      <w:jc w:val="center"/>
      <w:rPr>
        <w:rFonts w:ascii="Times New Roman" w:hAnsi="Times New Roman"/>
        <w:sz w:val="16"/>
        <w:szCs w:val="18"/>
        <w:lang w:val="sr-Latn-ME"/>
      </w:rPr>
    </w:pPr>
  </w:p>
  <w:p w:rsidR="008E3349" w:rsidRPr="008C6928" w:rsidRDefault="008E3349" w:rsidP="008C6928">
    <w:pPr>
      <w:tabs>
        <w:tab w:val="center" w:pos="4320"/>
        <w:tab w:val="right" w:pos="8640"/>
      </w:tabs>
      <w:spacing w:before="0" w:line="240" w:lineRule="auto"/>
      <w:ind w:right="0"/>
      <w:jc w:val="left"/>
      <w:rPr>
        <w:rFonts w:ascii="Times New Roman" w:hAnsi="Times New Roman"/>
        <w:sz w:val="20"/>
        <w:szCs w:val="20"/>
        <w:lang w:val="sr-Latn-ME"/>
      </w:rPr>
    </w:pPr>
  </w:p>
  <w:p w:rsidR="008E3349" w:rsidRPr="008C6928" w:rsidRDefault="008E3349" w:rsidP="008C6928">
    <w:pPr>
      <w:tabs>
        <w:tab w:val="center" w:pos="4320"/>
        <w:tab w:val="right" w:pos="8640"/>
      </w:tabs>
      <w:spacing w:before="0" w:line="240" w:lineRule="auto"/>
      <w:ind w:right="0"/>
      <w:jc w:val="center"/>
      <w:rPr>
        <w:rFonts w:ascii="Times New Roman" w:hAnsi="Times New Roman"/>
        <w:sz w:val="22"/>
        <w:szCs w:val="22"/>
        <w:lang w:val="sr-Latn-ME"/>
      </w:rPr>
    </w:pPr>
    <w:r w:rsidRPr="008C6928">
      <w:rPr>
        <w:rFonts w:ascii="Times New Roman" w:hAnsi="Times New Roman"/>
        <w:sz w:val="20"/>
        <w:szCs w:val="20"/>
        <w:lang w:val="sr-Latn-ME"/>
      </w:rPr>
      <w:fldChar w:fldCharType="begin"/>
    </w:r>
    <w:r w:rsidRPr="008C6928">
      <w:rPr>
        <w:rFonts w:ascii="Times New Roman" w:hAnsi="Times New Roman"/>
        <w:sz w:val="20"/>
        <w:szCs w:val="20"/>
        <w:lang w:val="sr-Latn-ME"/>
      </w:rPr>
      <w:instrText xml:space="preserve"> PAGE </w:instrText>
    </w:r>
    <w:r w:rsidRPr="008C6928">
      <w:rPr>
        <w:rFonts w:ascii="Times New Roman" w:hAnsi="Times New Roman"/>
        <w:sz w:val="20"/>
        <w:szCs w:val="20"/>
        <w:lang w:val="sr-Latn-ME"/>
      </w:rPr>
      <w:fldChar w:fldCharType="separate"/>
    </w:r>
    <w:r w:rsidR="00BA1B55">
      <w:rPr>
        <w:rFonts w:ascii="Times New Roman" w:hAnsi="Times New Roman"/>
        <w:noProof/>
        <w:sz w:val="20"/>
        <w:szCs w:val="20"/>
        <w:lang w:val="sr-Latn-ME"/>
      </w:rPr>
      <w:t>10</w:t>
    </w:r>
    <w:r w:rsidRPr="008C6928">
      <w:rPr>
        <w:rFonts w:ascii="Times New Roman" w:hAnsi="Times New Roman"/>
        <w:sz w:val="20"/>
        <w:szCs w:val="20"/>
        <w:lang w:val="sr-Latn-ME"/>
      </w:rPr>
      <w:fldChar w:fldCharType="end"/>
    </w:r>
    <w:r w:rsidRPr="008C6928">
      <w:rPr>
        <w:rFonts w:ascii="Times New Roman" w:hAnsi="Times New Roman"/>
        <w:sz w:val="20"/>
        <w:szCs w:val="20"/>
        <w:lang w:val="sr-Latn-ME"/>
      </w:rPr>
      <w:t xml:space="preserve"> / </w:t>
    </w:r>
    <w:r w:rsidRPr="008C6928">
      <w:rPr>
        <w:rFonts w:ascii="Times New Roman" w:hAnsi="Times New Roman"/>
        <w:sz w:val="20"/>
        <w:szCs w:val="20"/>
        <w:lang w:val="sr-Latn-ME"/>
      </w:rPr>
      <w:fldChar w:fldCharType="begin"/>
    </w:r>
    <w:r w:rsidRPr="008C6928">
      <w:rPr>
        <w:rFonts w:ascii="Times New Roman" w:hAnsi="Times New Roman"/>
        <w:sz w:val="20"/>
        <w:szCs w:val="20"/>
        <w:lang w:val="sr-Latn-ME"/>
      </w:rPr>
      <w:instrText xml:space="preserve"> NUMPAGES </w:instrText>
    </w:r>
    <w:r w:rsidRPr="008C6928">
      <w:rPr>
        <w:rFonts w:ascii="Times New Roman" w:hAnsi="Times New Roman"/>
        <w:sz w:val="20"/>
        <w:szCs w:val="20"/>
        <w:lang w:val="sr-Latn-ME"/>
      </w:rPr>
      <w:fldChar w:fldCharType="separate"/>
    </w:r>
    <w:r w:rsidR="00BA1B55">
      <w:rPr>
        <w:rFonts w:ascii="Times New Roman" w:hAnsi="Times New Roman"/>
        <w:noProof/>
        <w:sz w:val="20"/>
        <w:szCs w:val="20"/>
        <w:lang w:val="sr-Latn-ME"/>
      </w:rPr>
      <w:t>17</w:t>
    </w:r>
    <w:r w:rsidRPr="008C6928">
      <w:rPr>
        <w:rFonts w:ascii="Times New Roman" w:hAnsi="Times New Roman"/>
        <w:sz w:val="20"/>
        <w:szCs w:val="20"/>
        <w:lang w:val="sr-Latn-ME"/>
      </w:rPr>
      <w:fldChar w:fldCharType="end"/>
    </w:r>
  </w:p>
  <w:p w:rsidR="008E3349" w:rsidRPr="008C6928" w:rsidRDefault="008E3349" w:rsidP="008C69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80" w:rsidRDefault="002743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5E1" w:rsidRDefault="007425E1">
      <w:r>
        <w:separator/>
      </w:r>
    </w:p>
  </w:footnote>
  <w:footnote w:type="continuationSeparator" w:id="0">
    <w:p w:rsidR="007425E1" w:rsidRDefault="00742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80" w:rsidRDefault="002743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349" w:rsidRPr="008C6928" w:rsidRDefault="008E3349" w:rsidP="008C6928">
    <w:pPr>
      <w:tabs>
        <w:tab w:val="center" w:pos="4320"/>
        <w:tab w:val="right" w:pos="8640"/>
      </w:tabs>
      <w:spacing w:before="0" w:line="240" w:lineRule="auto"/>
      <w:ind w:right="0"/>
      <w:jc w:val="left"/>
      <w:rPr>
        <w:rFonts w:ascii="Times New Roman" w:hAnsi="Times New Roman"/>
        <w:sz w:val="16"/>
        <w:szCs w:val="16"/>
        <w:lang w:val="sr-Latn-ME"/>
      </w:rPr>
    </w:pPr>
  </w:p>
  <w:p w:rsidR="008E3349" w:rsidRPr="008C6928" w:rsidRDefault="008E3349" w:rsidP="008C6928">
    <w:pPr>
      <w:pBdr>
        <w:top w:val="thinThickSmallGap" w:sz="24" w:space="2" w:color="auto"/>
      </w:pBdr>
      <w:tabs>
        <w:tab w:val="left" w:pos="2775"/>
      </w:tabs>
      <w:spacing w:before="0" w:line="240" w:lineRule="auto"/>
      <w:ind w:right="0"/>
      <w:jc w:val="left"/>
      <w:rPr>
        <w:rFonts w:ascii="Times New Roman" w:hAnsi="Times New Roman"/>
        <w:sz w:val="16"/>
        <w:szCs w:val="16"/>
        <w:lang w:val="sr-Latn-ME"/>
      </w:rPr>
    </w:pPr>
    <w:r w:rsidRPr="008C6928">
      <w:rPr>
        <w:rFonts w:ascii="Times New Roman" w:hAnsi="Times New Roman"/>
        <w:noProof/>
        <w:sz w:val="16"/>
        <w:szCs w:val="16"/>
      </w:rPr>
      <w:drawing>
        <wp:inline distT="0" distB="0" distL="0" distR="0" wp14:anchorId="6BFE7E27" wp14:editId="1D3A8A38">
          <wp:extent cx="1419225" cy="971550"/>
          <wp:effectExtent l="0" t="0" r="9525" b="0"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C6928">
      <w:rPr>
        <w:rFonts w:ascii="Times New Roman" w:hAnsi="Times New Roman"/>
        <w:sz w:val="16"/>
        <w:szCs w:val="16"/>
        <w:lang w:val="sr-Latn-ME"/>
      </w:rPr>
      <w:tab/>
    </w:r>
  </w:p>
  <w:p w:rsidR="008E3349" w:rsidRPr="008C6928" w:rsidRDefault="008E3349" w:rsidP="00E753BB">
    <w:pPr>
      <w:pStyle w:val="Header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4380" w:rsidRDefault="0027438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D23"/>
    <w:multiLevelType w:val="hybridMultilevel"/>
    <w:tmpl w:val="0812D922"/>
    <w:lvl w:ilvl="0" w:tplc="6EAE79E4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sz w:val="22"/>
        <w:szCs w:val="22"/>
      </w:rPr>
    </w:lvl>
    <w:lvl w:ilvl="1" w:tplc="BA82BD1A">
      <w:start w:val="1"/>
      <w:numFmt w:val="bullet"/>
      <w:lvlText w:val="•"/>
      <w:lvlJc w:val="left"/>
      <w:rPr>
        <w:rFonts w:hint="default"/>
      </w:rPr>
    </w:lvl>
    <w:lvl w:ilvl="2" w:tplc="00C02F36">
      <w:start w:val="1"/>
      <w:numFmt w:val="bullet"/>
      <w:lvlText w:val="•"/>
      <w:lvlJc w:val="left"/>
      <w:rPr>
        <w:rFonts w:hint="default"/>
      </w:rPr>
    </w:lvl>
    <w:lvl w:ilvl="3" w:tplc="B23AF7A8">
      <w:start w:val="1"/>
      <w:numFmt w:val="bullet"/>
      <w:lvlText w:val="•"/>
      <w:lvlJc w:val="left"/>
      <w:rPr>
        <w:rFonts w:hint="default"/>
      </w:rPr>
    </w:lvl>
    <w:lvl w:ilvl="4" w:tplc="B2248EAC">
      <w:start w:val="1"/>
      <w:numFmt w:val="bullet"/>
      <w:lvlText w:val="•"/>
      <w:lvlJc w:val="left"/>
      <w:rPr>
        <w:rFonts w:hint="default"/>
      </w:rPr>
    </w:lvl>
    <w:lvl w:ilvl="5" w:tplc="0404735C">
      <w:start w:val="1"/>
      <w:numFmt w:val="bullet"/>
      <w:lvlText w:val="•"/>
      <w:lvlJc w:val="left"/>
      <w:rPr>
        <w:rFonts w:hint="default"/>
      </w:rPr>
    </w:lvl>
    <w:lvl w:ilvl="6" w:tplc="34B8D4BA">
      <w:start w:val="1"/>
      <w:numFmt w:val="bullet"/>
      <w:lvlText w:val="•"/>
      <w:lvlJc w:val="left"/>
      <w:rPr>
        <w:rFonts w:hint="default"/>
      </w:rPr>
    </w:lvl>
    <w:lvl w:ilvl="7" w:tplc="67D4C30E">
      <w:start w:val="1"/>
      <w:numFmt w:val="bullet"/>
      <w:lvlText w:val="•"/>
      <w:lvlJc w:val="left"/>
      <w:rPr>
        <w:rFonts w:hint="default"/>
      </w:rPr>
    </w:lvl>
    <w:lvl w:ilvl="8" w:tplc="6C6245A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9970FCE"/>
    <w:multiLevelType w:val="hybridMultilevel"/>
    <w:tmpl w:val="F05A5874"/>
    <w:lvl w:ilvl="0" w:tplc="F70085AC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0FAEAA8">
      <w:start w:val="1"/>
      <w:numFmt w:val="bullet"/>
      <w:lvlText w:val="•"/>
      <w:lvlJc w:val="left"/>
      <w:rPr>
        <w:rFonts w:hint="default"/>
      </w:rPr>
    </w:lvl>
    <w:lvl w:ilvl="2" w:tplc="F1C84DEA">
      <w:start w:val="1"/>
      <w:numFmt w:val="bullet"/>
      <w:lvlText w:val="•"/>
      <w:lvlJc w:val="left"/>
      <w:rPr>
        <w:rFonts w:hint="default"/>
      </w:rPr>
    </w:lvl>
    <w:lvl w:ilvl="3" w:tplc="8B68AAB0">
      <w:start w:val="1"/>
      <w:numFmt w:val="bullet"/>
      <w:lvlText w:val="•"/>
      <w:lvlJc w:val="left"/>
      <w:rPr>
        <w:rFonts w:hint="default"/>
      </w:rPr>
    </w:lvl>
    <w:lvl w:ilvl="4" w:tplc="A9B88F5C">
      <w:start w:val="1"/>
      <w:numFmt w:val="bullet"/>
      <w:lvlText w:val="•"/>
      <w:lvlJc w:val="left"/>
      <w:rPr>
        <w:rFonts w:hint="default"/>
      </w:rPr>
    </w:lvl>
    <w:lvl w:ilvl="5" w:tplc="23A8293E">
      <w:start w:val="1"/>
      <w:numFmt w:val="bullet"/>
      <w:lvlText w:val="•"/>
      <w:lvlJc w:val="left"/>
      <w:rPr>
        <w:rFonts w:hint="default"/>
      </w:rPr>
    </w:lvl>
    <w:lvl w:ilvl="6" w:tplc="9E44242A">
      <w:start w:val="1"/>
      <w:numFmt w:val="bullet"/>
      <w:lvlText w:val="•"/>
      <w:lvlJc w:val="left"/>
      <w:rPr>
        <w:rFonts w:hint="default"/>
      </w:rPr>
    </w:lvl>
    <w:lvl w:ilvl="7" w:tplc="A34AC4CA">
      <w:start w:val="1"/>
      <w:numFmt w:val="bullet"/>
      <w:lvlText w:val="•"/>
      <w:lvlJc w:val="left"/>
      <w:rPr>
        <w:rFonts w:hint="default"/>
      </w:rPr>
    </w:lvl>
    <w:lvl w:ilvl="8" w:tplc="1F22ABE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A6C7F5B"/>
    <w:multiLevelType w:val="hybridMultilevel"/>
    <w:tmpl w:val="B4D49E28"/>
    <w:lvl w:ilvl="0" w:tplc="CDEE9806">
      <w:start w:val="1"/>
      <w:numFmt w:val="bullet"/>
      <w:lvlText w:val=""/>
      <w:lvlJc w:val="left"/>
      <w:pPr>
        <w:ind w:left="686" w:hanging="568"/>
      </w:pPr>
      <w:rPr>
        <w:rFonts w:ascii="Symbol" w:eastAsia="Symbol" w:hAnsi="Symbol" w:hint="default"/>
        <w:w w:val="76"/>
        <w:sz w:val="22"/>
        <w:szCs w:val="22"/>
      </w:rPr>
    </w:lvl>
    <w:lvl w:ilvl="1" w:tplc="8E0E1D3C">
      <w:start w:val="1"/>
      <w:numFmt w:val="bullet"/>
      <w:lvlText w:val=""/>
      <w:lvlJc w:val="left"/>
      <w:pPr>
        <w:ind w:left="685" w:hanging="208"/>
      </w:pPr>
      <w:rPr>
        <w:rFonts w:ascii="Symbol" w:eastAsia="Symbol" w:hAnsi="Symbol" w:hint="default"/>
        <w:w w:val="76"/>
        <w:sz w:val="22"/>
        <w:szCs w:val="22"/>
      </w:rPr>
    </w:lvl>
    <w:lvl w:ilvl="2" w:tplc="08FA9D70">
      <w:start w:val="1"/>
      <w:numFmt w:val="bullet"/>
      <w:lvlText w:val="•"/>
      <w:lvlJc w:val="left"/>
      <w:pPr>
        <w:ind w:left="826" w:hanging="208"/>
      </w:pPr>
      <w:rPr>
        <w:rFonts w:hint="default"/>
      </w:rPr>
    </w:lvl>
    <w:lvl w:ilvl="3" w:tplc="457400C2">
      <w:start w:val="1"/>
      <w:numFmt w:val="bullet"/>
      <w:lvlText w:val="•"/>
      <w:lvlJc w:val="left"/>
      <w:pPr>
        <w:ind w:left="1871" w:hanging="208"/>
      </w:pPr>
      <w:rPr>
        <w:rFonts w:hint="default"/>
      </w:rPr>
    </w:lvl>
    <w:lvl w:ilvl="4" w:tplc="5AD874C8">
      <w:start w:val="1"/>
      <w:numFmt w:val="bullet"/>
      <w:lvlText w:val="•"/>
      <w:lvlJc w:val="left"/>
      <w:pPr>
        <w:ind w:left="2915" w:hanging="208"/>
      </w:pPr>
      <w:rPr>
        <w:rFonts w:hint="default"/>
      </w:rPr>
    </w:lvl>
    <w:lvl w:ilvl="5" w:tplc="91C22E50">
      <w:start w:val="1"/>
      <w:numFmt w:val="bullet"/>
      <w:lvlText w:val="•"/>
      <w:lvlJc w:val="left"/>
      <w:pPr>
        <w:ind w:left="3960" w:hanging="208"/>
      </w:pPr>
      <w:rPr>
        <w:rFonts w:hint="default"/>
      </w:rPr>
    </w:lvl>
    <w:lvl w:ilvl="6" w:tplc="FF0C1420">
      <w:start w:val="1"/>
      <w:numFmt w:val="bullet"/>
      <w:lvlText w:val="•"/>
      <w:lvlJc w:val="left"/>
      <w:pPr>
        <w:ind w:left="5005" w:hanging="208"/>
      </w:pPr>
      <w:rPr>
        <w:rFonts w:hint="default"/>
      </w:rPr>
    </w:lvl>
    <w:lvl w:ilvl="7" w:tplc="7E26F0A8">
      <w:start w:val="1"/>
      <w:numFmt w:val="bullet"/>
      <w:lvlText w:val="•"/>
      <w:lvlJc w:val="left"/>
      <w:pPr>
        <w:ind w:left="6050" w:hanging="208"/>
      </w:pPr>
      <w:rPr>
        <w:rFonts w:hint="default"/>
      </w:rPr>
    </w:lvl>
    <w:lvl w:ilvl="8" w:tplc="1752E358">
      <w:start w:val="1"/>
      <w:numFmt w:val="bullet"/>
      <w:lvlText w:val="•"/>
      <w:lvlJc w:val="left"/>
      <w:pPr>
        <w:ind w:left="7094" w:hanging="208"/>
      </w:pPr>
      <w:rPr>
        <w:rFonts w:hint="default"/>
      </w:rPr>
    </w:lvl>
  </w:abstractNum>
  <w:abstractNum w:abstractNumId="3" w15:restartNumberingAfterBreak="0">
    <w:nsid w:val="0BFC7BEC"/>
    <w:multiLevelType w:val="hybridMultilevel"/>
    <w:tmpl w:val="C1CE7FE8"/>
    <w:lvl w:ilvl="0" w:tplc="856050CA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C148947E">
      <w:start w:val="1"/>
      <w:numFmt w:val="bullet"/>
      <w:lvlText w:val="•"/>
      <w:lvlJc w:val="left"/>
      <w:rPr>
        <w:rFonts w:hint="default"/>
      </w:rPr>
    </w:lvl>
    <w:lvl w:ilvl="2" w:tplc="0A0CC5BA">
      <w:start w:val="1"/>
      <w:numFmt w:val="bullet"/>
      <w:lvlText w:val="•"/>
      <w:lvlJc w:val="left"/>
      <w:rPr>
        <w:rFonts w:hint="default"/>
      </w:rPr>
    </w:lvl>
    <w:lvl w:ilvl="3" w:tplc="E86C27C0">
      <w:start w:val="1"/>
      <w:numFmt w:val="bullet"/>
      <w:lvlText w:val="•"/>
      <w:lvlJc w:val="left"/>
      <w:rPr>
        <w:rFonts w:hint="default"/>
      </w:rPr>
    </w:lvl>
    <w:lvl w:ilvl="4" w:tplc="3A9AAC74">
      <w:start w:val="1"/>
      <w:numFmt w:val="bullet"/>
      <w:lvlText w:val="•"/>
      <w:lvlJc w:val="left"/>
      <w:rPr>
        <w:rFonts w:hint="default"/>
      </w:rPr>
    </w:lvl>
    <w:lvl w:ilvl="5" w:tplc="8662CB6C">
      <w:start w:val="1"/>
      <w:numFmt w:val="bullet"/>
      <w:lvlText w:val="•"/>
      <w:lvlJc w:val="left"/>
      <w:rPr>
        <w:rFonts w:hint="default"/>
      </w:rPr>
    </w:lvl>
    <w:lvl w:ilvl="6" w:tplc="896EBD42">
      <w:start w:val="1"/>
      <w:numFmt w:val="bullet"/>
      <w:lvlText w:val="•"/>
      <w:lvlJc w:val="left"/>
      <w:rPr>
        <w:rFonts w:hint="default"/>
      </w:rPr>
    </w:lvl>
    <w:lvl w:ilvl="7" w:tplc="1BA27FF4">
      <w:start w:val="1"/>
      <w:numFmt w:val="bullet"/>
      <w:lvlText w:val="•"/>
      <w:lvlJc w:val="left"/>
      <w:rPr>
        <w:rFonts w:hint="default"/>
      </w:rPr>
    </w:lvl>
    <w:lvl w:ilvl="8" w:tplc="12E06B62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015377B"/>
    <w:multiLevelType w:val="hybridMultilevel"/>
    <w:tmpl w:val="5C74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A3CDE"/>
    <w:multiLevelType w:val="hybridMultilevel"/>
    <w:tmpl w:val="86747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E204D"/>
    <w:multiLevelType w:val="multilevel"/>
    <w:tmpl w:val="8A08F048"/>
    <w:lvl w:ilvl="0">
      <w:start w:val="1"/>
      <w:numFmt w:val="decimal"/>
      <w:lvlText w:val="%1."/>
      <w:lvlJc w:val="left"/>
      <w:pPr>
        <w:ind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hanging="567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2">
      <w:start w:val="1"/>
      <w:numFmt w:val="decimal"/>
      <w:lvlText w:val="(%3)"/>
      <w:lvlJc w:val="left"/>
      <w:pPr>
        <w:ind w:hanging="312"/>
      </w:pPr>
      <w:rPr>
        <w:rFonts w:ascii="Times New Roman" w:eastAsia="Times New Roman" w:hAnsi="Times New Roman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1E3C1F07"/>
    <w:multiLevelType w:val="hybridMultilevel"/>
    <w:tmpl w:val="FC90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B33B1"/>
    <w:multiLevelType w:val="hybridMultilevel"/>
    <w:tmpl w:val="875A2F06"/>
    <w:lvl w:ilvl="0" w:tplc="70C221FC">
      <w:start w:val="1"/>
      <w:numFmt w:val="upperLetter"/>
      <w:lvlText w:val="%1."/>
      <w:lvlJc w:val="left"/>
      <w:pPr>
        <w:ind w:hanging="711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42901B18">
      <w:start w:val="1"/>
      <w:numFmt w:val="bullet"/>
      <w:lvlText w:val="•"/>
      <w:lvlJc w:val="left"/>
      <w:rPr>
        <w:rFonts w:hint="default"/>
      </w:rPr>
    </w:lvl>
    <w:lvl w:ilvl="2" w:tplc="DA881C4A">
      <w:start w:val="1"/>
      <w:numFmt w:val="bullet"/>
      <w:lvlText w:val="•"/>
      <w:lvlJc w:val="left"/>
      <w:rPr>
        <w:rFonts w:hint="default"/>
      </w:rPr>
    </w:lvl>
    <w:lvl w:ilvl="3" w:tplc="98E61F1A">
      <w:start w:val="1"/>
      <w:numFmt w:val="bullet"/>
      <w:lvlText w:val="•"/>
      <w:lvlJc w:val="left"/>
      <w:rPr>
        <w:rFonts w:hint="default"/>
      </w:rPr>
    </w:lvl>
    <w:lvl w:ilvl="4" w:tplc="8EDABCEC">
      <w:start w:val="1"/>
      <w:numFmt w:val="bullet"/>
      <w:lvlText w:val="•"/>
      <w:lvlJc w:val="left"/>
      <w:rPr>
        <w:rFonts w:hint="default"/>
      </w:rPr>
    </w:lvl>
    <w:lvl w:ilvl="5" w:tplc="2A10F0EC">
      <w:start w:val="1"/>
      <w:numFmt w:val="bullet"/>
      <w:lvlText w:val="•"/>
      <w:lvlJc w:val="left"/>
      <w:rPr>
        <w:rFonts w:hint="default"/>
      </w:rPr>
    </w:lvl>
    <w:lvl w:ilvl="6" w:tplc="10D64A68">
      <w:start w:val="1"/>
      <w:numFmt w:val="bullet"/>
      <w:lvlText w:val="•"/>
      <w:lvlJc w:val="left"/>
      <w:rPr>
        <w:rFonts w:hint="default"/>
      </w:rPr>
    </w:lvl>
    <w:lvl w:ilvl="7" w:tplc="C61CB07E">
      <w:start w:val="1"/>
      <w:numFmt w:val="bullet"/>
      <w:lvlText w:val="•"/>
      <w:lvlJc w:val="left"/>
      <w:rPr>
        <w:rFonts w:hint="default"/>
      </w:rPr>
    </w:lvl>
    <w:lvl w:ilvl="8" w:tplc="8634204E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2B407265"/>
    <w:multiLevelType w:val="hybridMultilevel"/>
    <w:tmpl w:val="A62C6B22"/>
    <w:lvl w:ilvl="0" w:tplc="09685584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011A5"/>
    <w:multiLevelType w:val="hybridMultilevel"/>
    <w:tmpl w:val="23860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94743"/>
    <w:multiLevelType w:val="hybridMultilevel"/>
    <w:tmpl w:val="3B00EF32"/>
    <w:lvl w:ilvl="0" w:tplc="F2D21D02">
      <w:start w:val="1"/>
      <w:numFmt w:val="decimal"/>
      <w:lvlText w:val="%1."/>
      <w:lvlJc w:val="left"/>
      <w:pPr>
        <w:ind w:hanging="567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4D368998">
      <w:start w:val="1"/>
      <w:numFmt w:val="bullet"/>
      <w:lvlText w:val="•"/>
      <w:lvlJc w:val="left"/>
      <w:rPr>
        <w:rFonts w:hint="default"/>
      </w:rPr>
    </w:lvl>
    <w:lvl w:ilvl="2" w:tplc="227E9C68">
      <w:start w:val="1"/>
      <w:numFmt w:val="bullet"/>
      <w:lvlText w:val="•"/>
      <w:lvlJc w:val="left"/>
      <w:rPr>
        <w:rFonts w:hint="default"/>
      </w:rPr>
    </w:lvl>
    <w:lvl w:ilvl="3" w:tplc="E390A112">
      <w:start w:val="1"/>
      <w:numFmt w:val="bullet"/>
      <w:lvlText w:val="•"/>
      <w:lvlJc w:val="left"/>
      <w:rPr>
        <w:rFonts w:hint="default"/>
      </w:rPr>
    </w:lvl>
    <w:lvl w:ilvl="4" w:tplc="DDE4F280">
      <w:start w:val="1"/>
      <w:numFmt w:val="bullet"/>
      <w:lvlText w:val="•"/>
      <w:lvlJc w:val="left"/>
      <w:rPr>
        <w:rFonts w:hint="default"/>
      </w:rPr>
    </w:lvl>
    <w:lvl w:ilvl="5" w:tplc="D1CE8966">
      <w:start w:val="1"/>
      <w:numFmt w:val="bullet"/>
      <w:lvlText w:val="•"/>
      <w:lvlJc w:val="left"/>
      <w:rPr>
        <w:rFonts w:hint="default"/>
      </w:rPr>
    </w:lvl>
    <w:lvl w:ilvl="6" w:tplc="A0403AB4">
      <w:start w:val="1"/>
      <w:numFmt w:val="bullet"/>
      <w:lvlText w:val="•"/>
      <w:lvlJc w:val="left"/>
      <w:rPr>
        <w:rFonts w:hint="default"/>
      </w:rPr>
    </w:lvl>
    <w:lvl w:ilvl="7" w:tplc="8B84D2D0">
      <w:start w:val="1"/>
      <w:numFmt w:val="bullet"/>
      <w:lvlText w:val="•"/>
      <w:lvlJc w:val="left"/>
      <w:rPr>
        <w:rFonts w:hint="default"/>
      </w:rPr>
    </w:lvl>
    <w:lvl w:ilvl="8" w:tplc="32262BC2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4E40383E"/>
    <w:multiLevelType w:val="hybridMultilevel"/>
    <w:tmpl w:val="A04057CE"/>
    <w:lvl w:ilvl="0" w:tplc="F07A0E3A">
      <w:start w:val="1"/>
      <w:numFmt w:val="bullet"/>
      <w:lvlText w:val="•"/>
      <w:lvlJc w:val="left"/>
      <w:pPr>
        <w:ind w:hanging="349"/>
      </w:pPr>
      <w:rPr>
        <w:rFonts w:ascii="Arial" w:eastAsia="Arial" w:hAnsi="Arial" w:hint="default"/>
        <w:w w:val="131"/>
        <w:sz w:val="22"/>
        <w:szCs w:val="22"/>
      </w:rPr>
    </w:lvl>
    <w:lvl w:ilvl="1" w:tplc="078E4224">
      <w:start w:val="1"/>
      <w:numFmt w:val="bullet"/>
      <w:lvlText w:val="o"/>
      <w:lvlJc w:val="left"/>
      <w:pPr>
        <w:ind w:hanging="337"/>
      </w:pPr>
      <w:rPr>
        <w:rFonts w:ascii="Courier New" w:eastAsia="Courier New" w:hAnsi="Courier New" w:hint="default"/>
        <w:sz w:val="22"/>
        <w:szCs w:val="22"/>
      </w:rPr>
    </w:lvl>
    <w:lvl w:ilvl="2" w:tplc="F2F68FE2">
      <w:start w:val="1"/>
      <w:numFmt w:val="bullet"/>
      <w:lvlText w:val="•"/>
      <w:lvlJc w:val="left"/>
      <w:rPr>
        <w:rFonts w:hint="default"/>
      </w:rPr>
    </w:lvl>
    <w:lvl w:ilvl="3" w:tplc="51B890B8">
      <w:start w:val="1"/>
      <w:numFmt w:val="bullet"/>
      <w:lvlText w:val="•"/>
      <w:lvlJc w:val="left"/>
      <w:rPr>
        <w:rFonts w:hint="default"/>
      </w:rPr>
    </w:lvl>
    <w:lvl w:ilvl="4" w:tplc="7AF2146A">
      <w:start w:val="1"/>
      <w:numFmt w:val="bullet"/>
      <w:lvlText w:val="•"/>
      <w:lvlJc w:val="left"/>
      <w:rPr>
        <w:rFonts w:hint="default"/>
      </w:rPr>
    </w:lvl>
    <w:lvl w:ilvl="5" w:tplc="64326994">
      <w:start w:val="1"/>
      <w:numFmt w:val="bullet"/>
      <w:lvlText w:val="•"/>
      <w:lvlJc w:val="left"/>
      <w:rPr>
        <w:rFonts w:hint="default"/>
      </w:rPr>
    </w:lvl>
    <w:lvl w:ilvl="6" w:tplc="E764AC68">
      <w:start w:val="1"/>
      <w:numFmt w:val="bullet"/>
      <w:lvlText w:val="•"/>
      <w:lvlJc w:val="left"/>
      <w:rPr>
        <w:rFonts w:hint="default"/>
      </w:rPr>
    </w:lvl>
    <w:lvl w:ilvl="7" w:tplc="9AAA0FF8">
      <w:start w:val="1"/>
      <w:numFmt w:val="bullet"/>
      <w:lvlText w:val="•"/>
      <w:lvlJc w:val="left"/>
      <w:rPr>
        <w:rFonts w:hint="default"/>
      </w:rPr>
    </w:lvl>
    <w:lvl w:ilvl="8" w:tplc="0BECE222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4EF977CF"/>
    <w:multiLevelType w:val="hybridMultilevel"/>
    <w:tmpl w:val="1102C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615CEA"/>
    <w:multiLevelType w:val="hybridMultilevel"/>
    <w:tmpl w:val="4218EA00"/>
    <w:lvl w:ilvl="0" w:tplc="FFFFFFFF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A3190"/>
    <w:multiLevelType w:val="hybridMultilevel"/>
    <w:tmpl w:val="40E84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62682"/>
    <w:multiLevelType w:val="hybridMultilevel"/>
    <w:tmpl w:val="E2A21B64"/>
    <w:lvl w:ilvl="0" w:tplc="456A6400">
      <w:start w:val="1"/>
      <w:numFmt w:val="upperLetter"/>
      <w:lvlText w:val="%1."/>
      <w:lvlJc w:val="left"/>
      <w:pPr>
        <w:ind w:hanging="567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1" w:tplc="D20E21C0">
      <w:start w:val="1"/>
      <w:numFmt w:val="upperLetter"/>
      <w:lvlText w:val="%2."/>
      <w:lvlJc w:val="left"/>
      <w:pPr>
        <w:ind w:hanging="269"/>
        <w:jc w:val="right"/>
      </w:pPr>
      <w:rPr>
        <w:rFonts w:ascii="Times New Roman" w:eastAsia="Times New Roman" w:hAnsi="Times New Roman" w:hint="default"/>
        <w:b/>
        <w:bCs/>
        <w:spacing w:val="-2"/>
        <w:sz w:val="22"/>
        <w:szCs w:val="22"/>
      </w:rPr>
    </w:lvl>
    <w:lvl w:ilvl="2" w:tplc="4F12E0B0">
      <w:start w:val="1"/>
      <w:numFmt w:val="bullet"/>
      <w:lvlText w:val="•"/>
      <w:lvlJc w:val="left"/>
      <w:rPr>
        <w:rFonts w:hint="default"/>
      </w:rPr>
    </w:lvl>
    <w:lvl w:ilvl="3" w:tplc="7A64B75C">
      <w:start w:val="1"/>
      <w:numFmt w:val="bullet"/>
      <w:lvlText w:val="•"/>
      <w:lvlJc w:val="left"/>
      <w:rPr>
        <w:rFonts w:hint="default"/>
      </w:rPr>
    </w:lvl>
    <w:lvl w:ilvl="4" w:tplc="BE16EE14">
      <w:start w:val="1"/>
      <w:numFmt w:val="bullet"/>
      <w:lvlText w:val="•"/>
      <w:lvlJc w:val="left"/>
      <w:rPr>
        <w:rFonts w:hint="default"/>
      </w:rPr>
    </w:lvl>
    <w:lvl w:ilvl="5" w:tplc="2136765E">
      <w:start w:val="1"/>
      <w:numFmt w:val="bullet"/>
      <w:lvlText w:val="•"/>
      <w:lvlJc w:val="left"/>
      <w:rPr>
        <w:rFonts w:hint="default"/>
      </w:rPr>
    </w:lvl>
    <w:lvl w:ilvl="6" w:tplc="7E10B5A6">
      <w:start w:val="1"/>
      <w:numFmt w:val="bullet"/>
      <w:lvlText w:val="•"/>
      <w:lvlJc w:val="left"/>
      <w:rPr>
        <w:rFonts w:hint="default"/>
      </w:rPr>
    </w:lvl>
    <w:lvl w:ilvl="7" w:tplc="4100E7C8">
      <w:start w:val="1"/>
      <w:numFmt w:val="bullet"/>
      <w:lvlText w:val="•"/>
      <w:lvlJc w:val="left"/>
      <w:rPr>
        <w:rFonts w:hint="default"/>
      </w:rPr>
    </w:lvl>
    <w:lvl w:ilvl="8" w:tplc="8A8488E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639C2EEC"/>
    <w:multiLevelType w:val="hybridMultilevel"/>
    <w:tmpl w:val="9CF4B5BA"/>
    <w:lvl w:ilvl="0" w:tplc="0EC031E0">
      <w:start w:val="1"/>
      <w:numFmt w:val="bullet"/>
      <w:lvlText w:val="•"/>
      <w:lvlJc w:val="left"/>
      <w:pPr>
        <w:ind w:hanging="567"/>
      </w:pPr>
      <w:rPr>
        <w:rFonts w:ascii="Arial" w:eastAsia="Arial" w:hAnsi="Arial" w:hint="default"/>
        <w:w w:val="131"/>
        <w:sz w:val="22"/>
        <w:szCs w:val="22"/>
      </w:rPr>
    </w:lvl>
    <w:lvl w:ilvl="1" w:tplc="E6CA755E">
      <w:start w:val="1"/>
      <w:numFmt w:val="bullet"/>
      <w:lvlText w:val="o"/>
      <w:lvlJc w:val="left"/>
      <w:pPr>
        <w:ind w:hanging="358"/>
      </w:pPr>
      <w:rPr>
        <w:rFonts w:ascii="Courier New" w:eastAsia="Courier New" w:hAnsi="Courier New" w:hint="default"/>
        <w:sz w:val="22"/>
        <w:szCs w:val="22"/>
      </w:rPr>
    </w:lvl>
    <w:lvl w:ilvl="2" w:tplc="2B2C91FC">
      <w:start w:val="1"/>
      <w:numFmt w:val="bullet"/>
      <w:lvlText w:val="•"/>
      <w:lvlJc w:val="left"/>
      <w:rPr>
        <w:rFonts w:hint="default"/>
      </w:rPr>
    </w:lvl>
    <w:lvl w:ilvl="3" w:tplc="D5FCAAF8">
      <w:start w:val="1"/>
      <w:numFmt w:val="bullet"/>
      <w:lvlText w:val="•"/>
      <w:lvlJc w:val="left"/>
      <w:rPr>
        <w:rFonts w:hint="default"/>
      </w:rPr>
    </w:lvl>
    <w:lvl w:ilvl="4" w:tplc="954AC956">
      <w:start w:val="1"/>
      <w:numFmt w:val="bullet"/>
      <w:lvlText w:val="•"/>
      <w:lvlJc w:val="left"/>
      <w:rPr>
        <w:rFonts w:hint="default"/>
      </w:rPr>
    </w:lvl>
    <w:lvl w:ilvl="5" w:tplc="8D2E9B40">
      <w:start w:val="1"/>
      <w:numFmt w:val="bullet"/>
      <w:lvlText w:val="•"/>
      <w:lvlJc w:val="left"/>
      <w:rPr>
        <w:rFonts w:hint="default"/>
      </w:rPr>
    </w:lvl>
    <w:lvl w:ilvl="6" w:tplc="80DC1F3A">
      <w:start w:val="1"/>
      <w:numFmt w:val="bullet"/>
      <w:lvlText w:val="•"/>
      <w:lvlJc w:val="left"/>
      <w:rPr>
        <w:rFonts w:hint="default"/>
      </w:rPr>
    </w:lvl>
    <w:lvl w:ilvl="7" w:tplc="6E2E4D18">
      <w:start w:val="1"/>
      <w:numFmt w:val="bullet"/>
      <w:lvlText w:val="•"/>
      <w:lvlJc w:val="left"/>
      <w:rPr>
        <w:rFonts w:hint="default"/>
      </w:rPr>
    </w:lvl>
    <w:lvl w:ilvl="8" w:tplc="120CA292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690B0CC1"/>
    <w:multiLevelType w:val="hybridMultilevel"/>
    <w:tmpl w:val="E800DB84"/>
    <w:lvl w:ilvl="0" w:tplc="F45ACEBA">
      <w:start w:val="1"/>
      <w:numFmt w:val="bullet"/>
      <w:lvlText w:val="•"/>
      <w:lvlJc w:val="left"/>
      <w:pPr>
        <w:ind w:hanging="207"/>
      </w:pPr>
      <w:rPr>
        <w:rFonts w:ascii="Arial" w:eastAsia="Arial" w:hAnsi="Arial" w:hint="default"/>
        <w:w w:val="131"/>
        <w:sz w:val="22"/>
        <w:szCs w:val="22"/>
      </w:rPr>
    </w:lvl>
    <w:lvl w:ilvl="1" w:tplc="4FCCA9C0">
      <w:start w:val="1"/>
      <w:numFmt w:val="bullet"/>
      <w:lvlText w:val="•"/>
      <w:lvlJc w:val="left"/>
      <w:rPr>
        <w:rFonts w:hint="default"/>
      </w:rPr>
    </w:lvl>
    <w:lvl w:ilvl="2" w:tplc="9750485C">
      <w:start w:val="1"/>
      <w:numFmt w:val="bullet"/>
      <w:lvlText w:val="•"/>
      <w:lvlJc w:val="left"/>
      <w:rPr>
        <w:rFonts w:hint="default"/>
      </w:rPr>
    </w:lvl>
    <w:lvl w:ilvl="3" w:tplc="58A63070">
      <w:start w:val="1"/>
      <w:numFmt w:val="bullet"/>
      <w:lvlText w:val="•"/>
      <w:lvlJc w:val="left"/>
      <w:rPr>
        <w:rFonts w:hint="default"/>
      </w:rPr>
    </w:lvl>
    <w:lvl w:ilvl="4" w:tplc="AB4ADA8A">
      <w:start w:val="1"/>
      <w:numFmt w:val="bullet"/>
      <w:lvlText w:val="•"/>
      <w:lvlJc w:val="left"/>
      <w:rPr>
        <w:rFonts w:hint="default"/>
      </w:rPr>
    </w:lvl>
    <w:lvl w:ilvl="5" w:tplc="9DDEED60">
      <w:start w:val="1"/>
      <w:numFmt w:val="bullet"/>
      <w:lvlText w:val="•"/>
      <w:lvlJc w:val="left"/>
      <w:rPr>
        <w:rFonts w:hint="default"/>
      </w:rPr>
    </w:lvl>
    <w:lvl w:ilvl="6" w:tplc="36DE7240">
      <w:start w:val="1"/>
      <w:numFmt w:val="bullet"/>
      <w:lvlText w:val="•"/>
      <w:lvlJc w:val="left"/>
      <w:rPr>
        <w:rFonts w:hint="default"/>
      </w:rPr>
    </w:lvl>
    <w:lvl w:ilvl="7" w:tplc="8774CE16">
      <w:start w:val="1"/>
      <w:numFmt w:val="bullet"/>
      <w:lvlText w:val="•"/>
      <w:lvlJc w:val="left"/>
      <w:rPr>
        <w:rFonts w:hint="default"/>
      </w:rPr>
    </w:lvl>
    <w:lvl w:ilvl="8" w:tplc="C308A77C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6C7051BB"/>
    <w:multiLevelType w:val="hybridMultilevel"/>
    <w:tmpl w:val="8BF6F6A2"/>
    <w:lvl w:ilvl="0" w:tplc="384AFD5E">
      <w:start w:val="1"/>
      <w:numFmt w:val="bullet"/>
      <w:lvlText w:val=""/>
      <w:lvlJc w:val="left"/>
      <w:pPr>
        <w:ind w:left="686" w:hanging="568"/>
      </w:pPr>
      <w:rPr>
        <w:rFonts w:ascii="Symbol" w:eastAsia="Symbol" w:hAnsi="Symbol" w:hint="default"/>
        <w:w w:val="76"/>
        <w:sz w:val="22"/>
        <w:szCs w:val="22"/>
      </w:rPr>
    </w:lvl>
    <w:lvl w:ilvl="1" w:tplc="C7AEFE76">
      <w:start w:val="1"/>
      <w:numFmt w:val="bullet"/>
      <w:lvlText w:val=""/>
      <w:lvlJc w:val="left"/>
      <w:pPr>
        <w:ind w:left="685" w:hanging="208"/>
      </w:pPr>
      <w:rPr>
        <w:rFonts w:ascii="Symbol" w:eastAsia="Symbol" w:hAnsi="Symbol" w:hint="default"/>
        <w:w w:val="76"/>
        <w:sz w:val="22"/>
        <w:szCs w:val="22"/>
      </w:rPr>
    </w:lvl>
    <w:lvl w:ilvl="2" w:tplc="B2BA2FB6">
      <w:start w:val="1"/>
      <w:numFmt w:val="bullet"/>
      <w:lvlText w:val="•"/>
      <w:lvlJc w:val="left"/>
      <w:pPr>
        <w:ind w:left="826" w:hanging="208"/>
      </w:pPr>
      <w:rPr>
        <w:rFonts w:hint="default"/>
      </w:rPr>
    </w:lvl>
    <w:lvl w:ilvl="3" w:tplc="E35CC106">
      <w:start w:val="1"/>
      <w:numFmt w:val="bullet"/>
      <w:lvlText w:val="•"/>
      <w:lvlJc w:val="left"/>
      <w:pPr>
        <w:ind w:left="1871" w:hanging="208"/>
      </w:pPr>
      <w:rPr>
        <w:rFonts w:hint="default"/>
      </w:rPr>
    </w:lvl>
    <w:lvl w:ilvl="4" w:tplc="A042702E">
      <w:start w:val="1"/>
      <w:numFmt w:val="bullet"/>
      <w:lvlText w:val="•"/>
      <w:lvlJc w:val="left"/>
      <w:pPr>
        <w:ind w:left="2915" w:hanging="208"/>
      </w:pPr>
      <w:rPr>
        <w:rFonts w:hint="default"/>
      </w:rPr>
    </w:lvl>
    <w:lvl w:ilvl="5" w:tplc="1B7A92E6">
      <w:start w:val="1"/>
      <w:numFmt w:val="bullet"/>
      <w:lvlText w:val="•"/>
      <w:lvlJc w:val="left"/>
      <w:pPr>
        <w:ind w:left="3960" w:hanging="208"/>
      </w:pPr>
      <w:rPr>
        <w:rFonts w:hint="default"/>
      </w:rPr>
    </w:lvl>
    <w:lvl w:ilvl="6" w:tplc="FC90AF82">
      <w:start w:val="1"/>
      <w:numFmt w:val="bullet"/>
      <w:lvlText w:val="•"/>
      <w:lvlJc w:val="left"/>
      <w:pPr>
        <w:ind w:left="5005" w:hanging="208"/>
      </w:pPr>
      <w:rPr>
        <w:rFonts w:hint="default"/>
      </w:rPr>
    </w:lvl>
    <w:lvl w:ilvl="7" w:tplc="83FE2E50">
      <w:start w:val="1"/>
      <w:numFmt w:val="bullet"/>
      <w:lvlText w:val="•"/>
      <w:lvlJc w:val="left"/>
      <w:pPr>
        <w:ind w:left="6050" w:hanging="208"/>
      </w:pPr>
      <w:rPr>
        <w:rFonts w:hint="default"/>
      </w:rPr>
    </w:lvl>
    <w:lvl w:ilvl="8" w:tplc="2EB07B04">
      <w:start w:val="1"/>
      <w:numFmt w:val="bullet"/>
      <w:lvlText w:val="•"/>
      <w:lvlJc w:val="left"/>
      <w:pPr>
        <w:ind w:left="7094" w:hanging="208"/>
      </w:pPr>
      <w:rPr>
        <w:rFonts w:hint="default"/>
      </w:rPr>
    </w:lvl>
  </w:abstractNum>
  <w:abstractNum w:abstractNumId="20" w15:restartNumberingAfterBreak="0">
    <w:nsid w:val="6CC04FB4"/>
    <w:multiLevelType w:val="hybridMultilevel"/>
    <w:tmpl w:val="033EA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248E0"/>
    <w:multiLevelType w:val="hybridMultilevel"/>
    <w:tmpl w:val="0408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23233"/>
    <w:multiLevelType w:val="hybridMultilevel"/>
    <w:tmpl w:val="0470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D8695B"/>
    <w:multiLevelType w:val="hybridMultilevel"/>
    <w:tmpl w:val="40FC9252"/>
    <w:lvl w:ilvl="0" w:tplc="C9624B92">
      <w:start w:val="1"/>
      <w:numFmt w:val="bullet"/>
      <w:lvlText w:val="•"/>
      <w:lvlJc w:val="left"/>
      <w:pPr>
        <w:ind w:hanging="349"/>
      </w:pPr>
      <w:rPr>
        <w:rFonts w:ascii="Arial" w:eastAsia="Arial" w:hAnsi="Arial" w:hint="default"/>
        <w:w w:val="131"/>
        <w:sz w:val="22"/>
        <w:szCs w:val="22"/>
      </w:rPr>
    </w:lvl>
    <w:lvl w:ilvl="1" w:tplc="7E04E056">
      <w:start w:val="1"/>
      <w:numFmt w:val="bullet"/>
      <w:lvlText w:val="o"/>
      <w:lvlJc w:val="left"/>
      <w:pPr>
        <w:ind w:hanging="337"/>
      </w:pPr>
      <w:rPr>
        <w:rFonts w:ascii="Courier New" w:eastAsia="Courier New" w:hAnsi="Courier New" w:hint="default"/>
        <w:sz w:val="22"/>
        <w:szCs w:val="22"/>
      </w:rPr>
    </w:lvl>
    <w:lvl w:ilvl="2" w:tplc="E89C526E">
      <w:start w:val="1"/>
      <w:numFmt w:val="bullet"/>
      <w:lvlText w:val="•"/>
      <w:lvlJc w:val="left"/>
      <w:rPr>
        <w:rFonts w:hint="default"/>
      </w:rPr>
    </w:lvl>
    <w:lvl w:ilvl="3" w:tplc="D33655FE">
      <w:start w:val="1"/>
      <w:numFmt w:val="bullet"/>
      <w:lvlText w:val="•"/>
      <w:lvlJc w:val="left"/>
      <w:rPr>
        <w:rFonts w:hint="default"/>
      </w:rPr>
    </w:lvl>
    <w:lvl w:ilvl="4" w:tplc="5CD6D3DE">
      <w:start w:val="1"/>
      <w:numFmt w:val="bullet"/>
      <w:lvlText w:val="•"/>
      <w:lvlJc w:val="left"/>
      <w:rPr>
        <w:rFonts w:hint="default"/>
      </w:rPr>
    </w:lvl>
    <w:lvl w:ilvl="5" w:tplc="8DA4725E">
      <w:start w:val="1"/>
      <w:numFmt w:val="bullet"/>
      <w:lvlText w:val="•"/>
      <w:lvlJc w:val="left"/>
      <w:rPr>
        <w:rFonts w:hint="default"/>
      </w:rPr>
    </w:lvl>
    <w:lvl w:ilvl="6" w:tplc="1E34FF8E">
      <w:start w:val="1"/>
      <w:numFmt w:val="bullet"/>
      <w:lvlText w:val="•"/>
      <w:lvlJc w:val="left"/>
      <w:rPr>
        <w:rFonts w:hint="default"/>
      </w:rPr>
    </w:lvl>
    <w:lvl w:ilvl="7" w:tplc="B78C10D6">
      <w:start w:val="1"/>
      <w:numFmt w:val="bullet"/>
      <w:lvlText w:val="•"/>
      <w:lvlJc w:val="left"/>
      <w:rPr>
        <w:rFonts w:hint="default"/>
      </w:rPr>
    </w:lvl>
    <w:lvl w:ilvl="8" w:tplc="2162107A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7CBB6FD7"/>
    <w:multiLevelType w:val="hybridMultilevel"/>
    <w:tmpl w:val="AD84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9"/>
  </w:num>
  <w:num w:numId="4">
    <w:abstractNumId w:val="7"/>
  </w:num>
  <w:num w:numId="5">
    <w:abstractNumId w:val="17"/>
  </w:num>
  <w:num w:numId="6">
    <w:abstractNumId w:val="4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3"/>
  </w:num>
  <w:num w:numId="12">
    <w:abstractNumId w:val="12"/>
  </w:num>
  <w:num w:numId="13">
    <w:abstractNumId w:val="18"/>
  </w:num>
  <w:num w:numId="14">
    <w:abstractNumId w:val="16"/>
  </w:num>
  <w:num w:numId="15">
    <w:abstractNumId w:val="8"/>
  </w:num>
  <w:num w:numId="16">
    <w:abstractNumId w:val="6"/>
  </w:num>
  <w:num w:numId="17">
    <w:abstractNumId w:val="19"/>
  </w:num>
  <w:num w:numId="18">
    <w:abstractNumId w:val="24"/>
  </w:num>
  <w:num w:numId="19">
    <w:abstractNumId w:val="20"/>
  </w:num>
  <w:num w:numId="20">
    <w:abstractNumId w:val="2"/>
  </w:num>
  <w:num w:numId="21">
    <w:abstractNumId w:val="21"/>
  </w:num>
  <w:num w:numId="22">
    <w:abstractNumId w:val="14"/>
  </w:num>
  <w:num w:numId="23">
    <w:abstractNumId w:val="10"/>
  </w:num>
  <w:num w:numId="24">
    <w:abstractNumId w:val="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B70"/>
    <w:rsid w:val="00002314"/>
    <w:rsid w:val="00005C49"/>
    <w:rsid w:val="0000776D"/>
    <w:rsid w:val="00016A96"/>
    <w:rsid w:val="000269E4"/>
    <w:rsid w:val="000279D1"/>
    <w:rsid w:val="00030BCF"/>
    <w:rsid w:val="00033AE2"/>
    <w:rsid w:val="0003664A"/>
    <w:rsid w:val="00036AA2"/>
    <w:rsid w:val="00037105"/>
    <w:rsid w:val="00037D91"/>
    <w:rsid w:val="00047149"/>
    <w:rsid w:val="00051AF0"/>
    <w:rsid w:val="000546D6"/>
    <w:rsid w:val="00054B4D"/>
    <w:rsid w:val="0006227E"/>
    <w:rsid w:val="000653A6"/>
    <w:rsid w:val="000674AC"/>
    <w:rsid w:val="0007332E"/>
    <w:rsid w:val="00073D94"/>
    <w:rsid w:val="000749BF"/>
    <w:rsid w:val="00085705"/>
    <w:rsid w:val="00085E11"/>
    <w:rsid w:val="000869CF"/>
    <w:rsid w:val="00092A94"/>
    <w:rsid w:val="00092E6B"/>
    <w:rsid w:val="00095B2A"/>
    <w:rsid w:val="000971B7"/>
    <w:rsid w:val="000A0CBB"/>
    <w:rsid w:val="000A1725"/>
    <w:rsid w:val="000A2710"/>
    <w:rsid w:val="000B0133"/>
    <w:rsid w:val="000B1268"/>
    <w:rsid w:val="000B5EC9"/>
    <w:rsid w:val="000C3D87"/>
    <w:rsid w:val="000C4FE0"/>
    <w:rsid w:val="000C57F9"/>
    <w:rsid w:val="000C7A44"/>
    <w:rsid w:val="000D7E68"/>
    <w:rsid w:val="000E46E5"/>
    <w:rsid w:val="000E59A7"/>
    <w:rsid w:val="000F0CCB"/>
    <w:rsid w:val="000F233D"/>
    <w:rsid w:val="00102D93"/>
    <w:rsid w:val="001033DC"/>
    <w:rsid w:val="001037C6"/>
    <w:rsid w:val="00107793"/>
    <w:rsid w:val="001150FB"/>
    <w:rsid w:val="00117700"/>
    <w:rsid w:val="00123C86"/>
    <w:rsid w:val="00126761"/>
    <w:rsid w:val="0013653C"/>
    <w:rsid w:val="00141462"/>
    <w:rsid w:val="0014501D"/>
    <w:rsid w:val="00145782"/>
    <w:rsid w:val="001473D6"/>
    <w:rsid w:val="00152DA5"/>
    <w:rsid w:val="001555A5"/>
    <w:rsid w:val="00155B10"/>
    <w:rsid w:val="00157320"/>
    <w:rsid w:val="001616CD"/>
    <w:rsid w:val="00161BF8"/>
    <w:rsid w:val="00161C86"/>
    <w:rsid w:val="001638B8"/>
    <w:rsid w:val="00163E51"/>
    <w:rsid w:val="0016428B"/>
    <w:rsid w:val="001658D7"/>
    <w:rsid w:val="00165EB6"/>
    <w:rsid w:val="00174145"/>
    <w:rsid w:val="00174E6E"/>
    <w:rsid w:val="00177CA7"/>
    <w:rsid w:val="001809FE"/>
    <w:rsid w:val="001833FA"/>
    <w:rsid w:val="00186ECE"/>
    <w:rsid w:val="00190780"/>
    <w:rsid w:val="001912EE"/>
    <w:rsid w:val="00194EA9"/>
    <w:rsid w:val="00196A8A"/>
    <w:rsid w:val="001977E7"/>
    <w:rsid w:val="001B21AE"/>
    <w:rsid w:val="001B3727"/>
    <w:rsid w:val="001B4289"/>
    <w:rsid w:val="001B5636"/>
    <w:rsid w:val="001B7C73"/>
    <w:rsid w:val="001C4F42"/>
    <w:rsid w:val="001C68E6"/>
    <w:rsid w:val="001D1927"/>
    <w:rsid w:val="001D1D7B"/>
    <w:rsid w:val="001D21E5"/>
    <w:rsid w:val="001D2533"/>
    <w:rsid w:val="001D344C"/>
    <w:rsid w:val="001D369C"/>
    <w:rsid w:val="001D6D14"/>
    <w:rsid w:val="001E044F"/>
    <w:rsid w:val="001E5A06"/>
    <w:rsid w:val="001E6063"/>
    <w:rsid w:val="001F4227"/>
    <w:rsid w:val="001F5333"/>
    <w:rsid w:val="00201EC5"/>
    <w:rsid w:val="00205DA7"/>
    <w:rsid w:val="00207D05"/>
    <w:rsid w:val="0021018C"/>
    <w:rsid w:val="00211B8C"/>
    <w:rsid w:val="0022154A"/>
    <w:rsid w:val="002216E3"/>
    <w:rsid w:val="00221848"/>
    <w:rsid w:val="0022520A"/>
    <w:rsid w:val="002308EC"/>
    <w:rsid w:val="00231591"/>
    <w:rsid w:val="0023301E"/>
    <w:rsid w:val="00233236"/>
    <w:rsid w:val="00236018"/>
    <w:rsid w:val="00236ABE"/>
    <w:rsid w:val="00236D72"/>
    <w:rsid w:val="00240019"/>
    <w:rsid w:val="00242FC2"/>
    <w:rsid w:val="00244E3C"/>
    <w:rsid w:val="0024532B"/>
    <w:rsid w:val="00245E23"/>
    <w:rsid w:val="00250EBB"/>
    <w:rsid w:val="002521E3"/>
    <w:rsid w:val="00252B63"/>
    <w:rsid w:val="00253C5D"/>
    <w:rsid w:val="0025639C"/>
    <w:rsid w:val="002565E8"/>
    <w:rsid w:val="00260F66"/>
    <w:rsid w:val="00274380"/>
    <w:rsid w:val="00275549"/>
    <w:rsid w:val="0027581D"/>
    <w:rsid w:val="00275A5A"/>
    <w:rsid w:val="00276D76"/>
    <w:rsid w:val="00280479"/>
    <w:rsid w:val="00280FCB"/>
    <w:rsid w:val="00282EE3"/>
    <w:rsid w:val="00284778"/>
    <w:rsid w:val="00284DD5"/>
    <w:rsid w:val="0029052B"/>
    <w:rsid w:val="002A32C6"/>
    <w:rsid w:val="002B285C"/>
    <w:rsid w:val="002B3A8E"/>
    <w:rsid w:val="002B48D5"/>
    <w:rsid w:val="002B5D6D"/>
    <w:rsid w:val="002B6B70"/>
    <w:rsid w:val="002B6DA7"/>
    <w:rsid w:val="002B7945"/>
    <w:rsid w:val="002C00FB"/>
    <w:rsid w:val="002C2B07"/>
    <w:rsid w:val="002C2E37"/>
    <w:rsid w:val="002C4380"/>
    <w:rsid w:val="002C5721"/>
    <w:rsid w:val="002D7569"/>
    <w:rsid w:val="002E04BE"/>
    <w:rsid w:val="002E298A"/>
    <w:rsid w:val="002E3DCB"/>
    <w:rsid w:val="003012EB"/>
    <w:rsid w:val="00303A58"/>
    <w:rsid w:val="00304268"/>
    <w:rsid w:val="00312501"/>
    <w:rsid w:val="00312E16"/>
    <w:rsid w:val="0031649E"/>
    <w:rsid w:val="0031714F"/>
    <w:rsid w:val="00317C2C"/>
    <w:rsid w:val="0032501D"/>
    <w:rsid w:val="003254ED"/>
    <w:rsid w:val="00326DC0"/>
    <w:rsid w:val="00326E79"/>
    <w:rsid w:val="003270D8"/>
    <w:rsid w:val="0033799E"/>
    <w:rsid w:val="003436B8"/>
    <w:rsid w:val="003471A2"/>
    <w:rsid w:val="00350833"/>
    <w:rsid w:val="003513F2"/>
    <w:rsid w:val="00351EFD"/>
    <w:rsid w:val="00352DD6"/>
    <w:rsid w:val="00356590"/>
    <w:rsid w:val="003613B4"/>
    <w:rsid w:val="0036523C"/>
    <w:rsid w:val="003655F7"/>
    <w:rsid w:val="0036635D"/>
    <w:rsid w:val="00371D9D"/>
    <w:rsid w:val="00375886"/>
    <w:rsid w:val="00376378"/>
    <w:rsid w:val="003821F2"/>
    <w:rsid w:val="0038248E"/>
    <w:rsid w:val="00383F77"/>
    <w:rsid w:val="003849AA"/>
    <w:rsid w:val="00384D7F"/>
    <w:rsid w:val="00385C7F"/>
    <w:rsid w:val="00385DD1"/>
    <w:rsid w:val="00387885"/>
    <w:rsid w:val="00387925"/>
    <w:rsid w:val="00394A27"/>
    <w:rsid w:val="003958E8"/>
    <w:rsid w:val="00396358"/>
    <w:rsid w:val="00397E90"/>
    <w:rsid w:val="003A46CA"/>
    <w:rsid w:val="003A6110"/>
    <w:rsid w:val="003B06AC"/>
    <w:rsid w:val="003B2355"/>
    <w:rsid w:val="003B48E2"/>
    <w:rsid w:val="003B50C2"/>
    <w:rsid w:val="003B51C1"/>
    <w:rsid w:val="003B5880"/>
    <w:rsid w:val="003B5907"/>
    <w:rsid w:val="003B6012"/>
    <w:rsid w:val="003C5308"/>
    <w:rsid w:val="003D24E8"/>
    <w:rsid w:val="003D3A67"/>
    <w:rsid w:val="003D6726"/>
    <w:rsid w:val="003D7C6F"/>
    <w:rsid w:val="003E261C"/>
    <w:rsid w:val="003E2946"/>
    <w:rsid w:val="003F255A"/>
    <w:rsid w:val="003F2719"/>
    <w:rsid w:val="003F290F"/>
    <w:rsid w:val="004036D1"/>
    <w:rsid w:val="004079E1"/>
    <w:rsid w:val="00414342"/>
    <w:rsid w:val="004151A6"/>
    <w:rsid w:val="00415539"/>
    <w:rsid w:val="00415F31"/>
    <w:rsid w:val="00420F89"/>
    <w:rsid w:val="00423A19"/>
    <w:rsid w:val="00424705"/>
    <w:rsid w:val="0043124C"/>
    <w:rsid w:val="00432A45"/>
    <w:rsid w:val="00434919"/>
    <w:rsid w:val="00440912"/>
    <w:rsid w:val="0044364C"/>
    <w:rsid w:val="0045073A"/>
    <w:rsid w:val="00460054"/>
    <w:rsid w:val="0046556C"/>
    <w:rsid w:val="004675C0"/>
    <w:rsid w:val="00467EA9"/>
    <w:rsid w:val="00471AC9"/>
    <w:rsid w:val="00480D09"/>
    <w:rsid w:val="00496CCB"/>
    <w:rsid w:val="00497C57"/>
    <w:rsid w:val="004A0B03"/>
    <w:rsid w:val="004A17EA"/>
    <w:rsid w:val="004A419F"/>
    <w:rsid w:val="004A499D"/>
    <w:rsid w:val="004A4E5A"/>
    <w:rsid w:val="004A6B54"/>
    <w:rsid w:val="004B5986"/>
    <w:rsid w:val="004B76B5"/>
    <w:rsid w:val="004C009F"/>
    <w:rsid w:val="004C059E"/>
    <w:rsid w:val="004C18A5"/>
    <w:rsid w:val="004D2217"/>
    <w:rsid w:val="004D347B"/>
    <w:rsid w:val="004D36AB"/>
    <w:rsid w:val="004D5B27"/>
    <w:rsid w:val="004D78B9"/>
    <w:rsid w:val="004E1918"/>
    <w:rsid w:val="004F36F1"/>
    <w:rsid w:val="004F3C12"/>
    <w:rsid w:val="004F5B96"/>
    <w:rsid w:val="00506A8D"/>
    <w:rsid w:val="0050703E"/>
    <w:rsid w:val="00512DC0"/>
    <w:rsid w:val="00515C81"/>
    <w:rsid w:val="00515DB7"/>
    <w:rsid w:val="005201C6"/>
    <w:rsid w:val="0052238F"/>
    <w:rsid w:val="00524DD2"/>
    <w:rsid w:val="00525FF3"/>
    <w:rsid w:val="00526EE8"/>
    <w:rsid w:val="005306E4"/>
    <w:rsid w:val="0053436B"/>
    <w:rsid w:val="00534926"/>
    <w:rsid w:val="005378D3"/>
    <w:rsid w:val="005412C6"/>
    <w:rsid w:val="00542E70"/>
    <w:rsid w:val="00545082"/>
    <w:rsid w:val="005465F6"/>
    <w:rsid w:val="00547DBD"/>
    <w:rsid w:val="005536D9"/>
    <w:rsid w:val="005616DD"/>
    <w:rsid w:val="00570082"/>
    <w:rsid w:val="00570B4B"/>
    <w:rsid w:val="005731C3"/>
    <w:rsid w:val="005749D6"/>
    <w:rsid w:val="0057788C"/>
    <w:rsid w:val="00577BAF"/>
    <w:rsid w:val="00584136"/>
    <w:rsid w:val="00592CC2"/>
    <w:rsid w:val="00592F2F"/>
    <w:rsid w:val="005935A3"/>
    <w:rsid w:val="0059399E"/>
    <w:rsid w:val="00595173"/>
    <w:rsid w:val="005A343E"/>
    <w:rsid w:val="005A65C0"/>
    <w:rsid w:val="005A7C9C"/>
    <w:rsid w:val="005B045D"/>
    <w:rsid w:val="005B0854"/>
    <w:rsid w:val="005B0CA8"/>
    <w:rsid w:val="005B624D"/>
    <w:rsid w:val="005C07E8"/>
    <w:rsid w:val="005C44BB"/>
    <w:rsid w:val="005C7B23"/>
    <w:rsid w:val="005D0C54"/>
    <w:rsid w:val="005D3143"/>
    <w:rsid w:val="005D3E46"/>
    <w:rsid w:val="005D4705"/>
    <w:rsid w:val="005D5EB4"/>
    <w:rsid w:val="005D794F"/>
    <w:rsid w:val="005D7B84"/>
    <w:rsid w:val="005D7C3A"/>
    <w:rsid w:val="005D7EFA"/>
    <w:rsid w:val="005E3C80"/>
    <w:rsid w:val="005E77C0"/>
    <w:rsid w:val="005E77C5"/>
    <w:rsid w:val="005E7EA6"/>
    <w:rsid w:val="005F4E2C"/>
    <w:rsid w:val="006046D6"/>
    <w:rsid w:val="00605830"/>
    <w:rsid w:val="006067F1"/>
    <w:rsid w:val="00607191"/>
    <w:rsid w:val="006105A7"/>
    <w:rsid w:val="00613E85"/>
    <w:rsid w:val="006151E4"/>
    <w:rsid w:val="0062065A"/>
    <w:rsid w:val="006224D5"/>
    <w:rsid w:val="0062345F"/>
    <w:rsid w:val="00624BE8"/>
    <w:rsid w:val="006259E9"/>
    <w:rsid w:val="006316E4"/>
    <w:rsid w:val="006325DC"/>
    <w:rsid w:val="006363DF"/>
    <w:rsid w:val="00636852"/>
    <w:rsid w:val="0064440A"/>
    <w:rsid w:val="00647961"/>
    <w:rsid w:val="00650E7E"/>
    <w:rsid w:val="0065180A"/>
    <w:rsid w:val="00651880"/>
    <w:rsid w:val="00660AA2"/>
    <w:rsid w:val="00661D3C"/>
    <w:rsid w:val="00662619"/>
    <w:rsid w:val="00665406"/>
    <w:rsid w:val="006663A2"/>
    <w:rsid w:val="00666BCB"/>
    <w:rsid w:val="0067125E"/>
    <w:rsid w:val="00671B7A"/>
    <w:rsid w:val="00675A52"/>
    <w:rsid w:val="00680DFC"/>
    <w:rsid w:val="00682981"/>
    <w:rsid w:val="006866DD"/>
    <w:rsid w:val="00695DEF"/>
    <w:rsid w:val="00697042"/>
    <w:rsid w:val="00697BC0"/>
    <w:rsid w:val="006A0B16"/>
    <w:rsid w:val="006A13DE"/>
    <w:rsid w:val="006A2428"/>
    <w:rsid w:val="006A3FAD"/>
    <w:rsid w:val="006A5EE0"/>
    <w:rsid w:val="006B2191"/>
    <w:rsid w:val="006B5367"/>
    <w:rsid w:val="006B726B"/>
    <w:rsid w:val="006C24AE"/>
    <w:rsid w:val="006C3500"/>
    <w:rsid w:val="006C671A"/>
    <w:rsid w:val="006C74C2"/>
    <w:rsid w:val="006C7C2E"/>
    <w:rsid w:val="006D0DEC"/>
    <w:rsid w:val="006D4196"/>
    <w:rsid w:val="006D487A"/>
    <w:rsid w:val="006D4ED5"/>
    <w:rsid w:val="006D5BB1"/>
    <w:rsid w:val="006E1B5C"/>
    <w:rsid w:val="006E2407"/>
    <w:rsid w:val="006E37FF"/>
    <w:rsid w:val="006E4817"/>
    <w:rsid w:val="006E596D"/>
    <w:rsid w:val="006E62A1"/>
    <w:rsid w:val="006E7AF5"/>
    <w:rsid w:val="006F016B"/>
    <w:rsid w:val="00702560"/>
    <w:rsid w:val="00702EEB"/>
    <w:rsid w:val="007031B2"/>
    <w:rsid w:val="0070667B"/>
    <w:rsid w:val="00706A01"/>
    <w:rsid w:val="00715253"/>
    <w:rsid w:val="007162B0"/>
    <w:rsid w:val="00716974"/>
    <w:rsid w:val="00721588"/>
    <w:rsid w:val="00722027"/>
    <w:rsid w:val="0072270E"/>
    <w:rsid w:val="00725B85"/>
    <w:rsid w:val="007262FE"/>
    <w:rsid w:val="00732302"/>
    <w:rsid w:val="00735193"/>
    <w:rsid w:val="007411BD"/>
    <w:rsid w:val="007425E1"/>
    <w:rsid w:val="00754B7F"/>
    <w:rsid w:val="00754FBE"/>
    <w:rsid w:val="00755F2B"/>
    <w:rsid w:val="00761FBC"/>
    <w:rsid w:val="00764DA2"/>
    <w:rsid w:val="00767780"/>
    <w:rsid w:val="00771AD4"/>
    <w:rsid w:val="00774424"/>
    <w:rsid w:val="00775DE4"/>
    <w:rsid w:val="00785515"/>
    <w:rsid w:val="00790ACD"/>
    <w:rsid w:val="0079617C"/>
    <w:rsid w:val="00796863"/>
    <w:rsid w:val="007A211A"/>
    <w:rsid w:val="007A40D9"/>
    <w:rsid w:val="007A5AA2"/>
    <w:rsid w:val="007A65BB"/>
    <w:rsid w:val="007A6CA5"/>
    <w:rsid w:val="007B09CF"/>
    <w:rsid w:val="007B1542"/>
    <w:rsid w:val="007B24F7"/>
    <w:rsid w:val="007B4798"/>
    <w:rsid w:val="007B5B47"/>
    <w:rsid w:val="007C1A1A"/>
    <w:rsid w:val="007C4405"/>
    <w:rsid w:val="007D089C"/>
    <w:rsid w:val="007D0BC5"/>
    <w:rsid w:val="007D1069"/>
    <w:rsid w:val="007D307D"/>
    <w:rsid w:val="007D64FC"/>
    <w:rsid w:val="007E08DD"/>
    <w:rsid w:val="007E1BF1"/>
    <w:rsid w:val="007E4FCE"/>
    <w:rsid w:val="007E5D15"/>
    <w:rsid w:val="007F0FE4"/>
    <w:rsid w:val="007F484E"/>
    <w:rsid w:val="007F487D"/>
    <w:rsid w:val="00800FE2"/>
    <w:rsid w:val="00801461"/>
    <w:rsid w:val="00804435"/>
    <w:rsid w:val="0080684D"/>
    <w:rsid w:val="00810FED"/>
    <w:rsid w:val="008126C7"/>
    <w:rsid w:val="00812EF9"/>
    <w:rsid w:val="00815D0F"/>
    <w:rsid w:val="00827E30"/>
    <w:rsid w:val="008300A8"/>
    <w:rsid w:val="0083130D"/>
    <w:rsid w:val="00831BF0"/>
    <w:rsid w:val="0083785F"/>
    <w:rsid w:val="00841210"/>
    <w:rsid w:val="0084357F"/>
    <w:rsid w:val="0084682A"/>
    <w:rsid w:val="00850E0C"/>
    <w:rsid w:val="00852B00"/>
    <w:rsid w:val="00854BCB"/>
    <w:rsid w:val="00855586"/>
    <w:rsid w:val="008571BB"/>
    <w:rsid w:val="00862EFF"/>
    <w:rsid w:val="0086349C"/>
    <w:rsid w:val="00863621"/>
    <w:rsid w:val="0086714A"/>
    <w:rsid w:val="00870214"/>
    <w:rsid w:val="008759FD"/>
    <w:rsid w:val="00881F4B"/>
    <w:rsid w:val="00882451"/>
    <w:rsid w:val="00882FA1"/>
    <w:rsid w:val="00883C07"/>
    <w:rsid w:val="00886D15"/>
    <w:rsid w:val="008906F0"/>
    <w:rsid w:val="0089141A"/>
    <w:rsid w:val="008926A6"/>
    <w:rsid w:val="00893B50"/>
    <w:rsid w:val="00893F33"/>
    <w:rsid w:val="008A0764"/>
    <w:rsid w:val="008A1C73"/>
    <w:rsid w:val="008A2625"/>
    <w:rsid w:val="008A34E1"/>
    <w:rsid w:val="008A4169"/>
    <w:rsid w:val="008A683E"/>
    <w:rsid w:val="008B0B63"/>
    <w:rsid w:val="008B1864"/>
    <w:rsid w:val="008B1C11"/>
    <w:rsid w:val="008B41F7"/>
    <w:rsid w:val="008B5B6C"/>
    <w:rsid w:val="008C0BED"/>
    <w:rsid w:val="008C2913"/>
    <w:rsid w:val="008C535C"/>
    <w:rsid w:val="008C5FFA"/>
    <w:rsid w:val="008C6928"/>
    <w:rsid w:val="008D09C6"/>
    <w:rsid w:val="008D411C"/>
    <w:rsid w:val="008D5561"/>
    <w:rsid w:val="008D7C8F"/>
    <w:rsid w:val="008E09EB"/>
    <w:rsid w:val="008E3349"/>
    <w:rsid w:val="008E413E"/>
    <w:rsid w:val="008E4446"/>
    <w:rsid w:val="008E5000"/>
    <w:rsid w:val="008E63A1"/>
    <w:rsid w:val="008F153D"/>
    <w:rsid w:val="008F173A"/>
    <w:rsid w:val="008F3F26"/>
    <w:rsid w:val="008F5253"/>
    <w:rsid w:val="008F5C86"/>
    <w:rsid w:val="008F6C8E"/>
    <w:rsid w:val="0090058F"/>
    <w:rsid w:val="00906F50"/>
    <w:rsid w:val="009101F0"/>
    <w:rsid w:val="00913199"/>
    <w:rsid w:val="0092390F"/>
    <w:rsid w:val="00925057"/>
    <w:rsid w:val="009274DF"/>
    <w:rsid w:val="00930B21"/>
    <w:rsid w:val="00940965"/>
    <w:rsid w:val="00943B27"/>
    <w:rsid w:val="009461AA"/>
    <w:rsid w:val="00946789"/>
    <w:rsid w:val="00950C3B"/>
    <w:rsid w:val="00954393"/>
    <w:rsid w:val="009557D2"/>
    <w:rsid w:val="0095633E"/>
    <w:rsid w:val="00956B23"/>
    <w:rsid w:val="00957FF2"/>
    <w:rsid w:val="009612FE"/>
    <w:rsid w:val="0096589E"/>
    <w:rsid w:val="0097408C"/>
    <w:rsid w:val="00974B0E"/>
    <w:rsid w:val="009757DB"/>
    <w:rsid w:val="00977217"/>
    <w:rsid w:val="00986494"/>
    <w:rsid w:val="00986823"/>
    <w:rsid w:val="009878A9"/>
    <w:rsid w:val="0099078A"/>
    <w:rsid w:val="00990B34"/>
    <w:rsid w:val="00992DD5"/>
    <w:rsid w:val="00992F21"/>
    <w:rsid w:val="009932A3"/>
    <w:rsid w:val="00996330"/>
    <w:rsid w:val="00997DC4"/>
    <w:rsid w:val="009A4790"/>
    <w:rsid w:val="009A7639"/>
    <w:rsid w:val="009B414F"/>
    <w:rsid w:val="009C4624"/>
    <w:rsid w:val="009C5CDB"/>
    <w:rsid w:val="009D6B7F"/>
    <w:rsid w:val="009E3276"/>
    <w:rsid w:val="009E38F7"/>
    <w:rsid w:val="009E4B5E"/>
    <w:rsid w:val="009E7AD5"/>
    <w:rsid w:val="009F13F2"/>
    <w:rsid w:val="009F20CB"/>
    <w:rsid w:val="009F6842"/>
    <w:rsid w:val="00A00614"/>
    <w:rsid w:val="00A00DDC"/>
    <w:rsid w:val="00A0297B"/>
    <w:rsid w:val="00A136BA"/>
    <w:rsid w:val="00A15431"/>
    <w:rsid w:val="00A156BB"/>
    <w:rsid w:val="00A20877"/>
    <w:rsid w:val="00A23006"/>
    <w:rsid w:val="00A27691"/>
    <w:rsid w:val="00A33EC9"/>
    <w:rsid w:val="00A3488A"/>
    <w:rsid w:val="00A362D9"/>
    <w:rsid w:val="00A364D6"/>
    <w:rsid w:val="00A36DE1"/>
    <w:rsid w:val="00A37B30"/>
    <w:rsid w:val="00A42C55"/>
    <w:rsid w:val="00A51B71"/>
    <w:rsid w:val="00A52E57"/>
    <w:rsid w:val="00A5450D"/>
    <w:rsid w:val="00A55044"/>
    <w:rsid w:val="00A6755F"/>
    <w:rsid w:val="00A734DC"/>
    <w:rsid w:val="00A74BCB"/>
    <w:rsid w:val="00A815B0"/>
    <w:rsid w:val="00A82DCB"/>
    <w:rsid w:val="00A8576F"/>
    <w:rsid w:val="00A860DF"/>
    <w:rsid w:val="00A86393"/>
    <w:rsid w:val="00A875AB"/>
    <w:rsid w:val="00A911F5"/>
    <w:rsid w:val="00A92855"/>
    <w:rsid w:val="00AA2252"/>
    <w:rsid w:val="00AA23AC"/>
    <w:rsid w:val="00AB497C"/>
    <w:rsid w:val="00AB70ED"/>
    <w:rsid w:val="00AC3022"/>
    <w:rsid w:val="00AC3A71"/>
    <w:rsid w:val="00AC518C"/>
    <w:rsid w:val="00AC61BA"/>
    <w:rsid w:val="00AC7B64"/>
    <w:rsid w:val="00AD6F50"/>
    <w:rsid w:val="00AE1F0F"/>
    <w:rsid w:val="00B01AD2"/>
    <w:rsid w:val="00B02B1A"/>
    <w:rsid w:val="00B04273"/>
    <w:rsid w:val="00B05329"/>
    <w:rsid w:val="00B05F80"/>
    <w:rsid w:val="00B06AC2"/>
    <w:rsid w:val="00B073F1"/>
    <w:rsid w:val="00B13E7C"/>
    <w:rsid w:val="00B14337"/>
    <w:rsid w:val="00B148D4"/>
    <w:rsid w:val="00B211A6"/>
    <w:rsid w:val="00B24C92"/>
    <w:rsid w:val="00B24E92"/>
    <w:rsid w:val="00B314AD"/>
    <w:rsid w:val="00B329F5"/>
    <w:rsid w:val="00B342E7"/>
    <w:rsid w:val="00B408CE"/>
    <w:rsid w:val="00B42566"/>
    <w:rsid w:val="00B42ACE"/>
    <w:rsid w:val="00B44BDF"/>
    <w:rsid w:val="00B452D3"/>
    <w:rsid w:val="00B52477"/>
    <w:rsid w:val="00B547B0"/>
    <w:rsid w:val="00B604DF"/>
    <w:rsid w:val="00B6171F"/>
    <w:rsid w:val="00B63E52"/>
    <w:rsid w:val="00B6734A"/>
    <w:rsid w:val="00B7204E"/>
    <w:rsid w:val="00B736B4"/>
    <w:rsid w:val="00B748C0"/>
    <w:rsid w:val="00B7605C"/>
    <w:rsid w:val="00B76ADE"/>
    <w:rsid w:val="00B770FA"/>
    <w:rsid w:val="00B87E72"/>
    <w:rsid w:val="00B94E5E"/>
    <w:rsid w:val="00B97DB6"/>
    <w:rsid w:val="00BA1B55"/>
    <w:rsid w:val="00BA46D0"/>
    <w:rsid w:val="00BB4AE2"/>
    <w:rsid w:val="00BB5AD8"/>
    <w:rsid w:val="00BB65C8"/>
    <w:rsid w:val="00BB74A8"/>
    <w:rsid w:val="00BB795F"/>
    <w:rsid w:val="00BC0C85"/>
    <w:rsid w:val="00BC381A"/>
    <w:rsid w:val="00BC4BD5"/>
    <w:rsid w:val="00BC4F7A"/>
    <w:rsid w:val="00BD2039"/>
    <w:rsid w:val="00BD4BCF"/>
    <w:rsid w:val="00BD70B6"/>
    <w:rsid w:val="00BD760B"/>
    <w:rsid w:val="00BE0262"/>
    <w:rsid w:val="00BE3212"/>
    <w:rsid w:val="00BE6F9C"/>
    <w:rsid w:val="00BF1685"/>
    <w:rsid w:val="00BF27EC"/>
    <w:rsid w:val="00BF53B9"/>
    <w:rsid w:val="00BF5A4A"/>
    <w:rsid w:val="00BF6C57"/>
    <w:rsid w:val="00BF6DAF"/>
    <w:rsid w:val="00BF7B9F"/>
    <w:rsid w:val="00C00015"/>
    <w:rsid w:val="00C0622C"/>
    <w:rsid w:val="00C0712F"/>
    <w:rsid w:val="00C07A1B"/>
    <w:rsid w:val="00C12841"/>
    <w:rsid w:val="00C23A38"/>
    <w:rsid w:val="00C247F9"/>
    <w:rsid w:val="00C24B87"/>
    <w:rsid w:val="00C30D57"/>
    <w:rsid w:val="00C32A18"/>
    <w:rsid w:val="00C340AB"/>
    <w:rsid w:val="00C37BB5"/>
    <w:rsid w:val="00C40526"/>
    <w:rsid w:val="00C40D46"/>
    <w:rsid w:val="00C44741"/>
    <w:rsid w:val="00C4612F"/>
    <w:rsid w:val="00C462FE"/>
    <w:rsid w:val="00C50955"/>
    <w:rsid w:val="00C53F2E"/>
    <w:rsid w:val="00C54FBF"/>
    <w:rsid w:val="00C56469"/>
    <w:rsid w:val="00C60856"/>
    <w:rsid w:val="00C62D67"/>
    <w:rsid w:val="00C64EA9"/>
    <w:rsid w:val="00C70D31"/>
    <w:rsid w:val="00C70E2A"/>
    <w:rsid w:val="00C71B24"/>
    <w:rsid w:val="00C7204F"/>
    <w:rsid w:val="00C747E5"/>
    <w:rsid w:val="00C772D7"/>
    <w:rsid w:val="00C776CF"/>
    <w:rsid w:val="00C800BF"/>
    <w:rsid w:val="00C84AB1"/>
    <w:rsid w:val="00C85F03"/>
    <w:rsid w:val="00C87264"/>
    <w:rsid w:val="00C91114"/>
    <w:rsid w:val="00C9194E"/>
    <w:rsid w:val="00C96057"/>
    <w:rsid w:val="00CA47AE"/>
    <w:rsid w:val="00CB27D6"/>
    <w:rsid w:val="00CB55BF"/>
    <w:rsid w:val="00CC011A"/>
    <w:rsid w:val="00CC0FB0"/>
    <w:rsid w:val="00CC1CF7"/>
    <w:rsid w:val="00CC5CC6"/>
    <w:rsid w:val="00CC5E6D"/>
    <w:rsid w:val="00CC6043"/>
    <w:rsid w:val="00CD1966"/>
    <w:rsid w:val="00CD395F"/>
    <w:rsid w:val="00CD474B"/>
    <w:rsid w:val="00CD4E40"/>
    <w:rsid w:val="00CE146E"/>
    <w:rsid w:val="00CE39FA"/>
    <w:rsid w:val="00CF1489"/>
    <w:rsid w:val="00CF1643"/>
    <w:rsid w:val="00CF1E73"/>
    <w:rsid w:val="00CF2A78"/>
    <w:rsid w:val="00CF596D"/>
    <w:rsid w:val="00CF7E4B"/>
    <w:rsid w:val="00D0548C"/>
    <w:rsid w:val="00D05744"/>
    <w:rsid w:val="00D17B8D"/>
    <w:rsid w:val="00D210AC"/>
    <w:rsid w:val="00D23ED0"/>
    <w:rsid w:val="00D24143"/>
    <w:rsid w:val="00D345CF"/>
    <w:rsid w:val="00D37D4E"/>
    <w:rsid w:val="00D43B5A"/>
    <w:rsid w:val="00D452AC"/>
    <w:rsid w:val="00D53AC2"/>
    <w:rsid w:val="00D551D8"/>
    <w:rsid w:val="00D56FA6"/>
    <w:rsid w:val="00D62CAC"/>
    <w:rsid w:val="00D6366D"/>
    <w:rsid w:val="00D66CF8"/>
    <w:rsid w:val="00D700DC"/>
    <w:rsid w:val="00D7054B"/>
    <w:rsid w:val="00D72563"/>
    <w:rsid w:val="00D773A4"/>
    <w:rsid w:val="00D823D6"/>
    <w:rsid w:val="00D83B4A"/>
    <w:rsid w:val="00D9674F"/>
    <w:rsid w:val="00DA37AC"/>
    <w:rsid w:val="00DB23E8"/>
    <w:rsid w:val="00DB25D7"/>
    <w:rsid w:val="00DB3685"/>
    <w:rsid w:val="00DC1D17"/>
    <w:rsid w:val="00DC4221"/>
    <w:rsid w:val="00DC632E"/>
    <w:rsid w:val="00DD01FB"/>
    <w:rsid w:val="00DD1B5C"/>
    <w:rsid w:val="00DD1B63"/>
    <w:rsid w:val="00DD302B"/>
    <w:rsid w:val="00DD6707"/>
    <w:rsid w:val="00DE3871"/>
    <w:rsid w:val="00DE696E"/>
    <w:rsid w:val="00DE7DCF"/>
    <w:rsid w:val="00DF0260"/>
    <w:rsid w:val="00DF0B31"/>
    <w:rsid w:val="00DF1A65"/>
    <w:rsid w:val="00DF725B"/>
    <w:rsid w:val="00E00004"/>
    <w:rsid w:val="00E0288A"/>
    <w:rsid w:val="00E03D13"/>
    <w:rsid w:val="00E11BCB"/>
    <w:rsid w:val="00E14422"/>
    <w:rsid w:val="00E1617E"/>
    <w:rsid w:val="00E209C4"/>
    <w:rsid w:val="00E21A5F"/>
    <w:rsid w:val="00E2234F"/>
    <w:rsid w:val="00E22468"/>
    <w:rsid w:val="00E231EA"/>
    <w:rsid w:val="00E23566"/>
    <w:rsid w:val="00E24D26"/>
    <w:rsid w:val="00E24E1B"/>
    <w:rsid w:val="00E25AAA"/>
    <w:rsid w:val="00E27D10"/>
    <w:rsid w:val="00E33372"/>
    <w:rsid w:val="00E33D1D"/>
    <w:rsid w:val="00E40E09"/>
    <w:rsid w:val="00E429E8"/>
    <w:rsid w:val="00E42DD0"/>
    <w:rsid w:val="00E50899"/>
    <w:rsid w:val="00E51033"/>
    <w:rsid w:val="00E51A09"/>
    <w:rsid w:val="00E52B09"/>
    <w:rsid w:val="00E5547D"/>
    <w:rsid w:val="00E56041"/>
    <w:rsid w:val="00E60BDB"/>
    <w:rsid w:val="00E60E09"/>
    <w:rsid w:val="00E61DC6"/>
    <w:rsid w:val="00E6414A"/>
    <w:rsid w:val="00E6527C"/>
    <w:rsid w:val="00E6574F"/>
    <w:rsid w:val="00E717D7"/>
    <w:rsid w:val="00E71F01"/>
    <w:rsid w:val="00E73868"/>
    <w:rsid w:val="00E753BB"/>
    <w:rsid w:val="00E765F9"/>
    <w:rsid w:val="00E828EB"/>
    <w:rsid w:val="00E83121"/>
    <w:rsid w:val="00E83CE1"/>
    <w:rsid w:val="00E871A2"/>
    <w:rsid w:val="00E91744"/>
    <w:rsid w:val="00E92B29"/>
    <w:rsid w:val="00E9365D"/>
    <w:rsid w:val="00E936FB"/>
    <w:rsid w:val="00E94417"/>
    <w:rsid w:val="00EA6E93"/>
    <w:rsid w:val="00EB04EB"/>
    <w:rsid w:val="00EB656B"/>
    <w:rsid w:val="00EB70AE"/>
    <w:rsid w:val="00EB72A0"/>
    <w:rsid w:val="00EC75F7"/>
    <w:rsid w:val="00ED4D18"/>
    <w:rsid w:val="00ED5108"/>
    <w:rsid w:val="00EE104C"/>
    <w:rsid w:val="00EE2AA1"/>
    <w:rsid w:val="00EE3076"/>
    <w:rsid w:val="00EE4698"/>
    <w:rsid w:val="00EE7B8A"/>
    <w:rsid w:val="00EF3122"/>
    <w:rsid w:val="00EF79C0"/>
    <w:rsid w:val="00F045A5"/>
    <w:rsid w:val="00F075C2"/>
    <w:rsid w:val="00F07FCC"/>
    <w:rsid w:val="00F15F80"/>
    <w:rsid w:val="00F26282"/>
    <w:rsid w:val="00F30EF4"/>
    <w:rsid w:val="00F31CE0"/>
    <w:rsid w:val="00F429EE"/>
    <w:rsid w:val="00F47B51"/>
    <w:rsid w:val="00F60639"/>
    <w:rsid w:val="00F60A91"/>
    <w:rsid w:val="00F70E64"/>
    <w:rsid w:val="00F7530F"/>
    <w:rsid w:val="00F76D2E"/>
    <w:rsid w:val="00F80656"/>
    <w:rsid w:val="00F843C7"/>
    <w:rsid w:val="00F86D0F"/>
    <w:rsid w:val="00F90246"/>
    <w:rsid w:val="00F910FA"/>
    <w:rsid w:val="00F91EE5"/>
    <w:rsid w:val="00F94D3C"/>
    <w:rsid w:val="00FA3A33"/>
    <w:rsid w:val="00FA3F62"/>
    <w:rsid w:val="00FA43A4"/>
    <w:rsid w:val="00FA6027"/>
    <w:rsid w:val="00FA6AA7"/>
    <w:rsid w:val="00FA6FCB"/>
    <w:rsid w:val="00FB0F65"/>
    <w:rsid w:val="00FB2EEE"/>
    <w:rsid w:val="00FB4CF4"/>
    <w:rsid w:val="00FC0372"/>
    <w:rsid w:val="00FC1B33"/>
    <w:rsid w:val="00FC465B"/>
    <w:rsid w:val="00FC690B"/>
    <w:rsid w:val="00FE715E"/>
    <w:rsid w:val="00FF0B9F"/>
    <w:rsid w:val="00FF44CB"/>
    <w:rsid w:val="00FF5306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B0FB9E-1EF9-4B0B-96A3-B735779C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" w:line="254" w:lineRule="exact"/>
        <w:ind w:right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E68"/>
    <w:rPr>
      <w:rFonts w:ascii="Humanist777" w:eastAsia="Times New Roman" w:hAnsi="Humanist777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0D7E68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qFormat/>
    <w:rsid w:val="000D7E68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link w:val="Heading3Char"/>
    <w:qFormat/>
    <w:rsid w:val="000D7E68"/>
    <w:pPr>
      <w:keepNext/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link w:val="Heading4Char"/>
    <w:qFormat/>
    <w:rsid w:val="000D7E68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D7E68"/>
    <w:rPr>
      <w:rFonts w:ascii="Arial (W1)" w:eastAsia="Times New Roman" w:hAnsi="Arial (W1)" w:cs="Arial"/>
      <w:b/>
      <w:bCs/>
      <w:i/>
      <w:iCs/>
      <w:sz w:val="32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0D7E68"/>
    <w:rPr>
      <w:rFonts w:ascii="Arial" w:eastAsia="Times New Roman" w:hAnsi="Arial" w:cs="Arial"/>
      <w:i/>
      <w:iCs/>
      <w:color w:val="999999"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0D7E68"/>
    <w:rPr>
      <w:rFonts w:ascii="Arial" w:eastAsia="Times New Roman" w:hAnsi="Arial" w:cs="Arial"/>
      <w:i/>
      <w:iCs/>
      <w:color w:val="999999"/>
      <w:sz w:val="18"/>
      <w:szCs w:val="24"/>
    </w:rPr>
  </w:style>
  <w:style w:type="character" w:customStyle="1" w:styleId="Heading4Char">
    <w:name w:val="Heading 4 Char"/>
    <w:basedOn w:val="DefaultParagraphFont"/>
    <w:link w:val="Heading4"/>
    <w:rsid w:val="000D7E68"/>
    <w:rPr>
      <w:rFonts w:ascii="Arial" w:eastAsia="Times New Roman" w:hAnsi="Arial" w:cs="Arial"/>
      <w:i/>
      <w:iCs/>
      <w:color w:val="999999"/>
      <w:sz w:val="16"/>
      <w:szCs w:val="24"/>
    </w:rPr>
  </w:style>
  <w:style w:type="paragraph" w:styleId="Header">
    <w:name w:val="header"/>
    <w:basedOn w:val="Normal"/>
    <w:link w:val="HeaderChar"/>
    <w:uiPriority w:val="99"/>
    <w:rsid w:val="000D7E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E68"/>
    <w:rPr>
      <w:rFonts w:ascii="Humanist777" w:eastAsia="Times New Roman" w:hAnsi="Humanist777" w:cs="Times New Roman"/>
      <w:sz w:val="24"/>
      <w:szCs w:val="24"/>
    </w:rPr>
  </w:style>
  <w:style w:type="paragraph" w:styleId="Footer">
    <w:name w:val="footer"/>
    <w:basedOn w:val="Normal"/>
    <w:link w:val="FooterChar"/>
    <w:rsid w:val="000D7E6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D7E68"/>
    <w:rPr>
      <w:rFonts w:ascii="Humanist777" w:eastAsia="Times New Roman" w:hAnsi="Humanist777" w:cs="Times New Roman"/>
      <w:sz w:val="24"/>
      <w:szCs w:val="24"/>
    </w:rPr>
  </w:style>
  <w:style w:type="character" w:styleId="PageNumber">
    <w:name w:val="page number"/>
    <w:basedOn w:val="DefaultParagraphFont"/>
    <w:rsid w:val="000D7E68"/>
  </w:style>
  <w:style w:type="character" w:styleId="CommentReference">
    <w:name w:val="annotation reference"/>
    <w:semiHidden/>
    <w:rsid w:val="000D7E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7E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7E68"/>
    <w:rPr>
      <w:rFonts w:ascii="Humanist777" w:eastAsia="Times New Roman" w:hAnsi="Humanist777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D7E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7E68"/>
    <w:rPr>
      <w:rFonts w:ascii="Humanist777" w:eastAsia="Times New Roman" w:hAnsi="Humanist777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0D7E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D7E68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rsid w:val="000D7E68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0D7E6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D7E68"/>
    <w:pPr>
      <w:widowControl w:val="0"/>
      <w:ind w:left="118"/>
      <w:jc w:val="left"/>
    </w:pPr>
    <w:rPr>
      <w:rFonts w:ascii="Times New Roman" w:hAnsi="Times New Roman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D7E68"/>
    <w:rPr>
      <w:rFonts w:ascii="Times New Roman" w:eastAsia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0D7E68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862EFF"/>
    <w:pPr>
      <w:spacing w:before="0" w:line="240" w:lineRule="auto"/>
      <w:ind w:right="0"/>
      <w:jc w:val="left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62EFF"/>
    <w:rPr>
      <w:rFonts w:eastAsiaTheme="minorEastAsia"/>
      <w:lang w:eastAsia="ja-JP"/>
    </w:rPr>
  </w:style>
  <w:style w:type="paragraph" w:customStyle="1" w:styleId="TextTi12">
    <w:name w:val="Text:Ti12"/>
    <w:basedOn w:val="Normal"/>
    <w:link w:val="TextTi12Char"/>
    <w:rsid w:val="002C2E37"/>
    <w:pPr>
      <w:spacing w:before="0" w:after="170" w:line="240" w:lineRule="auto"/>
      <w:ind w:right="0"/>
    </w:pPr>
    <w:rPr>
      <w:rFonts w:ascii="Arial" w:eastAsia="SimSun" w:hAnsi="Arial"/>
      <w:szCs w:val="20"/>
      <w:lang w:val="hr-HR" w:eastAsia="hr-HR"/>
    </w:rPr>
  </w:style>
  <w:style w:type="character" w:customStyle="1" w:styleId="TextTi12Char">
    <w:name w:val="Text:Ti12 Char"/>
    <w:link w:val="TextTi12"/>
    <w:locked/>
    <w:rsid w:val="002C2E37"/>
    <w:rPr>
      <w:rFonts w:ascii="Arial" w:eastAsia="SimSun" w:hAnsi="Arial" w:cs="Times New Roman"/>
      <w:sz w:val="24"/>
      <w:szCs w:val="20"/>
      <w:lang w:val="hr-HR" w:eastAsia="hr-HR"/>
    </w:rPr>
  </w:style>
  <w:style w:type="paragraph" w:styleId="NormalWeb">
    <w:name w:val="Normal (Web)"/>
    <w:basedOn w:val="Normal"/>
    <w:rsid w:val="008571BB"/>
    <w:pPr>
      <w:spacing w:before="100" w:beforeAutospacing="1" w:after="100" w:afterAutospacing="1" w:line="240" w:lineRule="auto"/>
      <w:ind w:right="0"/>
      <w:jc w:val="left"/>
    </w:pPr>
    <w:rPr>
      <w:rFonts w:ascii="TimesNewRoman" w:eastAsia="TimesNewRoman" w:hAnsi="TimesNewRoman"/>
      <w:lang w:val="hr-HR" w:eastAsia="hr-HR"/>
    </w:rPr>
  </w:style>
  <w:style w:type="paragraph" w:customStyle="1" w:styleId="NormalArial">
    <w:name w:val="Normal + Arial"/>
    <w:aliases w:val="9 pt"/>
    <w:basedOn w:val="Normal"/>
    <w:link w:val="NormalArialChar"/>
    <w:rsid w:val="006D5BB1"/>
    <w:pPr>
      <w:spacing w:before="0" w:line="240" w:lineRule="auto"/>
      <w:ind w:right="0"/>
      <w:jc w:val="left"/>
    </w:pPr>
    <w:rPr>
      <w:rFonts w:ascii="Arial" w:eastAsia="MS Mincho" w:hAnsi="Arial"/>
      <w:sz w:val="20"/>
      <w:szCs w:val="20"/>
      <w:lang w:val="hr-HR" w:eastAsia="hr-HR"/>
    </w:rPr>
  </w:style>
  <w:style w:type="character" w:customStyle="1" w:styleId="NormalArialChar">
    <w:name w:val="Normal + Arial Char"/>
    <w:aliases w:val="9 pt Char Char"/>
    <w:link w:val="NormalArial"/>
    <w:locked/>
    <w:rsid w:val="006D5BB1"/>
    <w:rPr>
      <w:rFonts w:ascii="Arial" w:eastAsia="MS Mincho" w:hAnsi="Arial" w:cs="Times New Roman"/>
      <w:sz w:val="20"/>
      <w:szCs w:val="20"/>
      <w:lang w:val="hr-HR" w:eastAsia="hr-H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00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C009F"/>
    <w:rPr>
      <w:rFonts w:ascii="Humanist777" w:eastAsia="Times New Roman" w:hAnsi="Humanist777" w:cs="Times New Roman"/>
      <w:sz w:val="16"/>
      <w:szCs w:val="16"/>
    </w:rPr>
  </w:style>
  <w:style w:type="character" w:styleId="Hyperlink">
    <w:name w:val="Hyperlink"/>
    <w:rsid w:val="00A74BCB"/>
    <w:rPr>
      <w:color w:val="0000FF"/>
      <w:u w:val="single"/>
    </w:rPr>
  </w:style>
  <w:style w:type="character" w:customStyle="1" w:styleId="TableText10Char">
    <w:name w:val="TableText:10 Char"/>
    <w:link w:val="TableText10"/>
    <w:locked/>
    <w:rsid w:val="00524DD2"/>
    <w:rPr>
      <w:rFonts w:ascii="Arial" w:hAnsi="Arial"/>
      <w:lang w:val="hr-HR" w:eastAsia="hr-HR"/>
    </w:rPr>
  </w:style>
  <w:style w:type="paragraph" w:customStyle="1" w:styleId="TableText10">
    <w:name w:val="TableText:10"/>
    <w:basedOn w:val="Normal"/>
    <w:link w:val="TableText10Char"/>
    <w:rsid w:val="00524DD2"/>
    <w:pPr>
      <w:spacing w:before="0" w:line="240" w:lineRule="auto"/>
      <w:ind w:right="0"/>
      <w:jc w:val="left"/>
    </w:pPr>
    <w:rPr>
      <w:rFonts w:ascii="Arial" w:eastAsiaTheme="minorHAnsi" w:hAnsi="Arial" w:cstheme="minorBidi"/>
      <w:sz w:val="22"/>
      <w:szCs w:val="22"/>
      <w:lang w:val="hr-HR" w:eastAsia="hr-HR"/>
    </w:rPr>
  </w:style>
  <w:style w:type="character" w:customStyle="1" w:styleId="TextTi12Char1">
    <w:name w:val="Text:Ti12 Char1"/>
    <w:locked/>
    <w:rsid w:val="007A6CA5"/>
    <w:rPr>
      <w:sz w:val="24"/>
      <w:lang w:eastAsia="ja-JP"/>
    </w:rPr>
  </w:style>
  <w:style w:type="paragraph" w:customStyle="1" w:styleId="TableHeadings">
    <w:name w:val="Table Headings"/>
    <w:link w:val="TableHeadingsChar"/>
    <w:rsid w:val="002B285C"/>
    <w:pPr>
      <w:spacing w:before="20" w:after="20" w:line="220" w:lineRule="exact"/>
      <w:ind w:right="0"/>
      <w:jc w:val="center"/>
    </w:pPr>
    <w:rPr>
      <w:rFonts w:ascii="Arial" w:eastAsia="Times New Roman" w:hAnsi="Arial" w:cs="Times New Roman"/>
      <w:b/>
      <w:sz w:val="18"/>
      <w:szCs w:val="20"/>
    </w:rPr>
  </w:style>
  <w:style w:type="character" w:customStyle="1" w:styleId="TableHeadingsChar">
    <w:name w:val="Table Headings Char"/>
    <w:link w:val="TableHeadings"/>
    <w:locked/>
    <w:rsid w:val="002B285C"/>
    <w:rPr>
      <w:rFonts w:ascii="Arial" w:eastAsia="Times New Roman" w:hAnsi="Arial" w:cs="Times New Roman"/>
      <w:b/>
      <w:sz w:val="18"/>
      <w:szCs w:val="20"/>
    </w:rPr>
  </w:style>
  <w:style w:type="paragraph" w:customStyle="1" w:styleId="TableHeadings-Left">
    <w:name w:val="Table Headings - Left"/>
    <w:basedOn w:val="Normal"/>
    <w:link w:val="TableHeadings-LeftChar"/>
    <w:rsid w:val="002B285C"/>
    <w:pPr>
      <w:spacing w:before="20" w:after="20" w:line="220" w:lineRule="exact"/>
      <w:ind w:left="72" w:right="0"/>
      <w:jc w:val="left"/>
    </w:pPr>
    <w:rPr>
      <w:rFonts w:ascii="Arial Bold" w:hAnsi="Arial Bold" w:cs="Arial"/>
      <w:b/>
      <w:bCs/>
      <w:sz w:val="18"/>
      <w:szCs w:val="20"/>
      <w:lang w:eastAsia="ja-JP"/>
    </w:rPr>
  </w:style>
  <w:style w:type="character" w:customStyle="1" w:styleId="TableHeadings-LeftChar">
    <w:name w:val="Table Headings - Left Char"/>
    <w:link w:val="TableHeadings-Left"/>
    <w:rsid w:val="002B285C"/>
    <w:rPr>
      <w:rFonts w:ascii="Arial Bold" w:eastAsia="Times New Roman" w:hAnsi="Arial Bold" w:cs="Arial"/>
      <w:b/>
      <w:bCs/>
      <w:sz w:val="18"/>
      <w:szCs w:val="20"/>
      <w:lang w:eastAsia="ja-JP"/>
    </w:rPr>
  </w:style>
  <w:style w:type="paragraph" w:customStyle="1" w:styleId="TableText-CenterAligned">
    <w:name w:val="Table Text - Center Aligned"/>
    <w:link w:val="TableText-CenterAlignedChar"/>
    <w:rsid w:val="002B285C"/>
    <w:pPr>
      <w:spacing w:before="20" w:after="20" w:line="220" w:lineRule="exact"/>
      <w:ind w:right="0"/>
      <w:jc w:val="center"/>
    </w:pPr>
    <w:rPr>
      <w:rFonts w:ascii="Times New Roman" w:eastAsia="Times New Roman" w:hAnsi="Times New Roman" w:cs="Times New Roman"/>
      <w:bCs/>
      <w:sz w:val="20"/>
      <w:szCs w:val="20"/>
      <w:lang w:val="en-GB"/>
    </w:rPr>
  </w:style>
  <w:style w:type="character" w:customStyle="1" w:styleId="TableText-CenterAlignedChar">
    <w:name w:val="Table Text - Center Aligned Char"/>
    <w:link w:val="TableText-CenterAligned"/>
    <w:rsid w:val="002B285C"/>
    <w:rPr>
      <w:rFonts w:ascii="Times New Roman" w:eastAsia="Times New Roman" w:hAnsi="Times New Roman" w:cs="Times New Roman"/>
      <w:bCs/>
      <w:sz w:val="20"/>
      <w:szCs w:val="20"/>
      <w:lang w:val="en-GB"/>
    </w:rPr>
  </w:style>
  <w:style w:type="paragraph" w:customStyle="1" w:styleId="TableTextLeft-Indented">
    <w:name w:val="Table Text: Left-Indented"/>
    <w:link w:val="TableTextLeft-IndentedChar"/>
    <w:rsid w:val="002B285C"/>
    <w:pPr>
      <w:spacing w:before="20" w:after="20" w:line="220" w:lineRule="exact"/>
      <w:ind w:left="216" w:righ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ableTextLeft-IndentedChar">
    <w:name w:val="Table Text: Left-Indented Char"/>
    <w:link w:val="TableTextLeft-Indented"/>
    <w:rsid w:val="002B285C"/>
    <w:rPr>
      <w:rFonts w:ascii="Times New Roman" w:eastAsia="Times New Roman" w:hAnsi="Times New Roman" w:cs="Times New Roman"/>
      <w:sz w:val="20"/>
      <w:szCs w:val="20"/>
    </w:rPr>
  </w:style>
  <w:style w:type="character" w:customStyle="1" w:styleId="shorttext">
    <w:name w:val="short_text"/>
    <w:basedOn w:val="DefaultParagraphFont"/>
    <w:rsid w:val="006A5EE0"/>
  </w:style>
  <w:style w:type="character" w:customStyle="1" w:styleId="hps">
    <w:name w:val="hps"/>
    <w:basedOn w:val="DefaultParagraphFont"/>
    <w:rsid w:val="006A5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alims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alims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17</Pages>
  <Words>5619</Words>
  <Characters>32031</Characters>
  <Application>Microsoft Office Word</Application>
  <DocSecurity>0</DocSecurity>
  <Lines>266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37575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Vucenic, Tatjana {MCOM~Podgorica}</dc:creator>
  <cp:lastModifiedBy>Tatjana Bankovic</cp:lastModifiedBy>
  <cp:revision>35</cp:revision>
  <cp:lastPrinted>2016-11-25T13:59:00Z</cp:lastPrinted>
  <dcterms:created xsi:type="dcterms:W3CDTF">2016-12-13T13:38:00Z</dcterms:created>
  <dcterms:modified xsi:type="dcterms:W3CDTF">2016-12-14T14:27:00Z</dcterms:modified>
</cp:coreProperties>
</file>