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F8D" w:rsidRPr="00F63BD6" w:rsidRDefault="00404F8D" w:rsidP="00663E76">
      <w:pPr>
        <w:pStyle w:val="SmPCheading"/>
        <w:spacing w:before="0" w:after="0" w:line="240" w:lineRule="auto"/>
        <w:jc w:val="center"/>
        <w:rPr>
          <w:rFonts w:ascii="Times New Roman" w:hAnsi="Times New Roman"/>
          <w:sz w:val="22"/>
          <w:szCs w:val="22"/>
          <w:lang w:val="sr-Latn-ME"/>
        </w:rPr>
      </w:pPr>
    </w:p>
    <w:p w:rsidR="00404F8D" w:rsidRDefault="00404F8D" w:rsidP="00663E76">
      <w:pPr>
        <w:pStyle w:val="SmPCheading"/>
        <w:spacing w:before="0" w:after="0" w:line="240" w:lineRule="auto"/>
        <w:jc w:val="center"/>
        <w:rPr>
          <w:rFonts w:ascii="Times New Roman" w:hAnsi="Times New Roman"/>
          <w:sz w:val="22"/>
          <w:szCs w:val="22"/>
          <w:lang w:val="sr-Latn-ME"/>
        </w:rPr>
      </w:pPr>
    </w:p>
    <w:p w:rsidR="00736453" w:rsidRDefault="00736453" w:rsidP="00663E76">
      <w:pPr>
        <w:pStyle w:val="SmPCheading"/>
        <w:spacing w:before="0" w:after="0" w:line="240" w:lineRule="auto"/>
        <w:jc w:val="center"/>
        <w:rPr>
          <w:rFonts w:ascii="Times New Roman" w:hAnsi="Times New Roman"/>
          <w:sz w:val="22"/>
          <w:szCs w:val="22"/>
          <w:lang w:val="sr-Latn-ME"/>
        </w:rPr>
      </w:pPr>
    </w:p>
    <w:p w:rsidR="00736453" w:rsidRDefault="00736453" w:rsidP="00663E76">
      <w:pPr>
        <w:pStyle w:val="SmPCheading"/>
        <w:spacing w:before="0" w:after="0" w:line="240" w:lineRule="auto"/>
        <w:jc w:val="center"/>
        <w:rPr>
          <w:rFonts w:ascii="Times New Roman" w:hAnsi="Times New Roman"/>
          <w:sz w:val="22"/>
          <w:szCs w:val="22"/>
          <w:lang w:val="sr-Latn-ME"/>
        </w:rPr>
      </w:pPr>
    </w:p>
    <w:p w:rsidR="00736453" w:rsidRDefault="00736453" w:rsidP="00663E76">
      <w:pPr>
        <w:pStyle w:val="SmPCheading"/>
        <w:spacing w:before="0" w:after="0" w:line="240" w:lineRule="auto"/>
        <w:jc w:val="center"/>
        <w:rPr>
          <w:rFonts w:ascii="Times New Roman" w:hAnsi="Times New Roman"/>
          <w:sz w:val="22"/>
          <w:szCs w:val="22"/>
          <w:lang w:val="sr-Latn-ME"/>
        </w:rPr>
      </w:pPr>
    </w:p>
    <w:p w:rsidR="00736453" w:rsidRDefault="00736453" w:rsidP="00663E76">
      <w:pPr>
        <w:pStyle w:val="SmPCheading"/>
        <w:spacing w:before="0" w:after="0" w:line="240" w:lineRule="auto"/>
        <w:jc w:val="center"/>
        <w:rPr>
          <w:rFonts w:ascii="Times New Roman" w:hAnsi="Times New Roman"/>
          <w:sz w:val="22"/>
          <w:szCs w:val="22"/>
          <w:lang w:val="sr-Latn-ME"/>
        </w:rPr>
      </w:pPr>
    </w:p>
    <w:p w:rsidR="00736453" w:rsidRPr="00F63BD6" w:rsidRDefault="00736453" w:rsidP="00663E76">
      <w:pPr>
        <w:pStyle w:val="SmPCheading"/>
        <w:spacing w:before="0" w:after="0" w:line="240" w:lineRule="auto"/>
        <w:jc w:val="center"/>
        <w:rPr>
          <w:rFonts w:ascii="Times New Roman" w:hAnsi="Times New Roman"/>
          <w:sz w:val="22"/>
          <w:szCs w:val="22"/>
          <w:lang w:val="sr-Latn-ME"/>
        </w:rPr>
      </w:pPr>
    </w:p>
    <w:p w:rsidR="00404F8D" w:rsidRPr="00F63BD6" w:rsidRDefault="00404F8D" w:rsidP="00663E76">
      <w:pPr>
        <w:pStyle w:val="SmPCheading"/>
        <w:spacing w:before="0" w:after="0" w:line="240" w:lineRule="auto"/>
        <w:jc w:val="center"/>
        <w:rPr>
          <w:rFonts w:ascii="Times New Roman" w:hAnsi="Times New Roman"/>
          <w:sz w:val="22"/>
          <w:szCs w:val="22"/>
          <w:lang w:val="sr-Latn-ME"/>
        </w:rPr>
      </w:pPr>
    </w:p>
    <w:p w:rsidR="00A162E1" w:rsidRPr="00F63BD6" w:rsidRDefault="009767EB" w:rsidP="00663E76">
      <w:pPr>
        <w:pStyle w:val="SmPCheading"/>
        <w:spacing w:before="0" w:after="0" w:line="240" w:lineRule="auto"/>
        <w:jc w:val="center"/>
        <w:rPr>
          <w:rFonts w:ascii="Times New Roman" w:hAnsi="Times New Roman"/>
          <w:sz w:val="22"/>
          <w:szCs w:val="22"/>
          <w:u w:val="single"/>
          <w:lang w:val="sr-Latn-ME"/>
        </w:rPr>
      </w:pPr>
      <w:r w:rsidRPr="00F63BD6">
        <w:rPr>
          <w:rFonts w:ascii="Times New Roman" w:hAnsi="Times New Roman"/>
          <w:sz w:val="22"/>
          <w:szCs w:val="22"/>
          <w:u w:val="single"/>
          <w:lang w:val="sr-Latn-ME"/>
        </w:rPr>
        <w:t xml:space="preserve">SAŽETAK </w:t>
      </w:r>
      <w:r w:rsidR="005C4801" w:rsidRPr="00F63BD6">
        <w:rPr>
          <w:rFonts w:ascii="Times New Roman" w:hAnsi="Times New Roman"/>
          <w:sz w:val="22"/>
          <w:szCs w:val="22"/>
          <w:u w:val="single"/>
          <w:lang w:val="sr-Latn-ME"/>
        </w:rPr>
        <w:t>KARAKTERISTIKA</w:t>
      </w:r>
      <w:r w:rsidRPr="00F63BD6">
        <w:rPr>
          <w:rFonts w:ascii="Times New Roman" w:hAnsi="Times New Roman"/>
          <w:sz w:val="22"/>
          <w:szCs w:val="22"/>
          <w:u w:val="single"/>
          <w:lang w:val="sr-Latn-ME"/>
        </w:rPr>
        <w:t xml:space="preserve"> LIJEKA</w:t>
      </w:r>
    </w:p>
    <w:p w:rsidR="00A162E1" w:rsidRPr="00F63BD6" w:rsidRDefault="00A162E1" w:rsidP="00663E76">
      <w:pPr>
        <w:pStyle w:val="SmPCheading"/>
        <w:tabs>
          <w:tab w:val="left" w:pos="1950"/>
        </w:tabs>
        <w:spacing w:before="0" w:after="0" w:line="240" w:lineRule="auto"/>
        <w:jc w:val="both"/>
        <w:rPr>
          <w:rFonts w:ascii="Times New Roman" w:hAnsi="Times New Roman"/>
          <w:sz w:val="22"/>
          <w:szCs w:val="22"/>
          <w:lang w:val="sr-Latn-ME"/>
        </w:rPr>
      </w:pPr>
    </w:p>
    <w:p w:rsidR="00125172" w:rsidRPr="00F63BD6" w:rsidRDefault="003B2F96" w:rsidP="00663E76">
      <w:pPr>
        <w:pStyle w:val="SmPCheading"/>
        <w:spacing w:before="0" w:after="0" w:line="240" w:lineRule="auto"/>
        <w:jc w:val="center"/>
        <w:rPr>
          <w:rFonts w:ascii="Times New Roman" w:hAnsi="Times New Roman"/>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w:t>
      </w:r>
      <w:r w:rsidR="00125172" w:rsidRPr="00F63BD6">
        <w:rPr>
          <w:rFonts w:ascii="Times New Roman" w:hAnsi="Times New Roman"/>
          <w:sz w:val="22"/>
          <w:szCs w:val="22"/>
          <w:lang w:val="sr-Latn-ME"/>
        </w:rPr>
        <w:t>,</w:t>
      </w:r>
      <w:r w:rsidR="00125172" w:rsidRPr="00F63BD6">
        <w:rPr>
          <w:rFonts w:ascii="Times New Roman" w:hAnsi="Times New Roman"/>
          <w:sz w:val="22"/>
          <w:szCs w:val="22"/>
          <w:vertAlign w:val="superscript"/>
          <w:lang w:val="sr-Latn-ME"/>
        </w:rPr>
        <w:t xml:space="preserve"> </w:t>
      </w:r>
      <w:r w:rsidR="00125172" w:rsidRPr="00F63BD6">
        <w:rPr>
          <w:rFonts w:ascii="Times New Roman" w:hAnsi="Times New Roman"/>
          <w:sz w:val="22"/>
          <w:szCs w:val="22"/>
          <w:lang w:val="sr-Latn-ME"/>
        </w:rPr>
        <w:t>koncentrat za rastvor za injekciju/infuziju,</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1</w:t>
      </w:r>
      <w:r w:rsidR="00125172" w:rsidRPr="00F63BD6">
        <w:rPr>
          <w:rFonts w:ascii="Times New Roman" w:hAnsi="Times New Roman"/>
          <w:sz w:val="22"/>
          <w:szCs w:val="22"/>
          <w:lang w:val="sr-Latn-ME"/>
        </w:rPr>
        <w:t xml:space="preserve"> </w:t>
      </w:r>
      <w:r w:rsidRPr="00F63BD6">
        <w:rPr>
          <w:rFonts w:ascii="Times New Roman" w:hAnsi="Times New Roman"/>
          <w:sz w:val="22"/>
          <w:szCs w:val="22"/>
          <w:lang w:val="sr-Latn-ME"/>
        </w:rPr>
        <w:t>mg/ml</w:t>
      </w:r>
      <w:r w:rsidR="00754BEE" w:rsidRPr="00F63BD6">
        <w:rPr>
          <w:rFonts w:ascii="Times New Roman" w:hAnsi="Times New Roman"/>
          <w:sz w:val="22"/>
          <w:szCs w:val="22"/>
          <w:lang w:val="sr-Latn-ME"/>
        </w:rPr>
        <w:t>,</w:t>
      </w:r>
    </w:p>
    <w:p w:rsidR="00125172" w:rsidRPr="00F63BD6" w:rsidRDefault="002A238C" w:rsidP="00663E76">
      <w:pPr>
        <w:pStyle w:val="SmPCheading"/>
        <w:spacing w:before="0" w:after="0" w:line="240" w:lineRule="auto"/>
        <w:jc w:val="center"/>
        <w:rPr>
          <w:rFonts w:ascii="Times New Roman" w:hAnsi="Times New Roman"/>
          <w:b w:val="0"/>
          <w:sz w:val="22"/>
          <w:szCs w:val="22"/>
          <w:lang w:val="sr-Latn-ME"/>
        </w:rPr>
      </w:pPr>
      <w:r w:rsidRPr="00F63BD6">
        <w:rPr>
          <w:rFonts w:ascii="Times New Roman" w:hAnsi="Times New Roman"/>
          <w:b w:val="0"/>
          <w:sz w:val="22"/>
          <w:szCs w:val="22"/>
          <w:lang w:val="sr-Latn-ME"/>
        </w:rPr>
        <w:t>ampula,</w:t>
      </w:r>
      <w:r w:rsidR="00125172" w:rsidRPr="00F63BD6">
        <w:rPr>
          <w:rFonts w:ascii="Times New Roman" w:hAnsi="Times New Roman"/>
          <w:b w:val="0"/>
          <w:sz w:val="22"/>
          <w:szCs w:val="22"/>
          <w:lang w:val="sr-Latn-ME"/>
        </w:rPr>
        <w:t xml:space="preserve"> 5x1 ml</w:t>
      </w:r>
    </w:p>
    <w:p w:rsidR="00180B38" w:rsidRPr="00F63BD6" w:rsidRDefault="00180B38" w:rsidP="00663E76">
      <w:pPr>
        <w:pStyle w:val="SmPCheading"/>
        <w:spacing w:before="0" w:after="0" w:line="240" w:lineRule="auto"/>
        <w:jc w:val="center"/>
        <w:rPr>
          <w:rFonts w:ascii="Times New Roman" w:hAnsi="Times New Roman"/>
          <w:b w:val="0"/>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w:t>
      </w:r>
      <w:r w:rsidRPr="00F63BD6">
        <w:rPr>
          <w:rFonts w:ascii="Times New Roman" w:hAnsi="Times New Roman"/>
          <w:sz w:val="22"/>
          <w:szCs w:val="22"/>
          <w:lang w:val="sr-Latn-ME"/>
        </w:rPr>
        <w:t>,</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koncentrat za rastvor za injekciju/infuziju,</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1 mg/ml</w:t>
      </w:r>
      <w:r w:rsidR="00754BEE" w:rsidRPr="00F63BD6">
        <w:rPr>
          <w:rFonts w:ascii="Times New Roman" w:hAnsi="Times New Roman"/>
          <w:sz w:val="22"/>
          <w:szCs w:val="22"/>
          <w:lang w:val="sr-Latn-ME"/>
        </w:rPr>
        <w:t>,</w:t>
      </w:r>
    </w:p>
    <w:p w:rsidR="003B2F96" w:rsidRPr="00F63BD6" w:rsidRDefault="002A238C" w:rsidP="00663E76">
      <w:pPr>
        <w:pStyle w:val="SmPCheading"/>
        <w:spacing w:before="0" w:after="0" w:line="240" w:lineRule="auto"/>
        <w:jc w:val="center"/>
        <w:rPr>
          <w:rFonts w:ascii="Times New Roman" w:hAnsi="Times New Roman"/>
          <w:b w:val="0"/>
          <w:sz w:val="22"/>
          <w:szCs w:val="22"/>
          <w:lang w:val="sr-Latn-ME"/>
        </w:rPr>
      </w:pPr>
      <w:r w:rsidRPr="00F63BD6">
        <w:rPr>
          <w:rFonts w:ascii="Times New Roman" w:hAnsi="Times New Roman"/>
          <w:b w:val="0"/>
          <w:sz w:val="22"/>
          <w:szCs w:val="22"/>
          <w:lang w:val="sr-Latn-ME"/>
        </w:rPr>
        <w:t>bočica staklena,</w:t>
      </w:r>
      <w:r w:rsidR="00125172" w:rsidRPr="00F63BD6">
        <w:rPr>
          <w:rFonts w:ascii="Times New Roman" w:hAnsi="Times New Roman"/>
          <w:b w:val="0"/>
          <w:sz w:val="22"/>
          <w:szCs w:val="22"/>
          <w:lang w:val="sr-Latn-ME"/>
        </w:rPr>
        <w:t xml:space="preserve"> 5x1 ml</w:t>
      </w:r>
    </w:p>
    <w:p w:rsidR="002A238C" w:rsidRPr="00F63BD6" w:rsidRDefault="002A238C" w:rsidP="00663E76">
      <w:pPr>
        <w:pStyle w:val="SmPCheading"/>
        <w:spacing w:before="0" w:after="0" w:line="240" w:lineRule="auto"/>
        <w:jc w:val="center"/>
        <w:rPr>
          <w:rFonts w:ascii="Times New Roman" w:hAnsi="Times New Roman"/>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w:t>
      </w:r>
      <w:r w:rsidRPr="00F63BD6">
        <w:rPr>
          <w:rFonts w:ascii="Times New Roman" w:hAnsi="Times New Roman"/>
          <w:sz w:val="22"/>
          <w:szCs w:val="22"/>
          <w:lang w:val="sr-Latn-ME"/>
        </w:rPr>
        <w:t>,</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koncentrat za rastvor za injekciju/infuziju,</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3 mg/</w:t>
      </w:r>
      <w:r w:rsidR="00AD1FA0" w:rsidRPr="00F63BD6">
        <w:rPr>
          <w:rFonts w:ascii="Times New Roman" w:hAnsi="Times New Roman"/>
          <w:sz w:val="22"/>
          <w:szCs w:val="22"/>
          <w:lang w:val="sr-Latn-ME"/>
        </w:rPr>
        <w:t xml:space="preserve">3 </w:t>
      </w:r>
      <w:r w:rsidRPr="00F63BD6">
        <w:rPr>
          <w:rFonts w:ascii="Times New Roman" w:hAnsi="Times New Roman"/>
          <w:sz w:val="22"/>
          <w:szCs w:val="22"/>
          <w:lang w:val="sr-Latn-ME"/>
        </w:rPr>
        <w:t>ml</w:t>
      </w:r>
      <w:r w:rsidR="00754BEE" w:rsidRPr="00F63BD6">
        <w:rPr>
          <w:rFonts w:ascii="Times New Roman" w:hAnsi="Times New Roman"/>
          <w:sz w:val="22"/>
          <w:szCs w:val="22"/>
          <w:lang w:val="sr-Latn-ME"/>
        </w:rPr>
        <w:t>,</w:t>
      </w:r>
    </w:p>
    <w:p w:rsidR="002A238C" w:rsidRPr="00F63BD6" w:rsidRDefault="002A238C" w:rsidP="00663E76">
      <w:pPr>
        <w:pStyle w:val="SmPCheading"/>
        <w:spacing w:before="0" w:after="0" w:line="240" w:lineRule="auto"/>
        <w:jc w:val="center"/>
        <w:rPr>
          <w:rFonts w:ascii="Times New Roman" w:hAnsi="Times New Roman"/>
          <w:b w:val="0"/>
          <w:sz w:val="22"/>
          <w:szCs w:val="22"/>
          <w:lang w:val="sr-Latn-ME"/>
        </w:rPr>
      </w:pPr>
      <w:r w:rsidRPr="00F63BD6">
        <w:rPr>
          <w:rFonts w:ascii="Times New Roman" w:hAnsi="Times New Roman"/>
          <w:b w:val="0"/>
          <w:sz w:val="22"/>
          <w:szCs w:val="22"/>
          <w:lang w:val="sr-Latn-ME"/>
        </w:rPr>
        <w:t>ampula,</w:t>
      </w:r>
      <w:r w:rsidR="00AD1FA0" w:rsidRPr="00F63BD6">
        <w:rPr>
          <w:rFonts w:ascii="Times New Roman" w:hAnsi="Times New Roman"/>
          <w:b w:val="0"/>
          <w:sz w:val="22"/>
          <w:szCs w:val="22"/>
          <w:lang w:val="sr-Latn-ME"/>
        </w:rPr>
        <w:t xml:space="preserve"> 5x3</w:t>
      </w:r>
      <w:r w:rsidRPr="00F63BD6">
        <w:rPr>
          <w:rFonts w:ascii="Times New Roman" w:hAnsi="Times New Roman"/>
          <w:b w:val="0"/>
          <w:sz w:val="22"/>
          <w:szCs w:val="22"/>
          <w:lang w:val="sr-Latn-ME"/>
        </w:rPr>
        <w:t xml:space="preserve"> ml</w:t>
      </w:r>
    </w:p>
    <w:p w:rsidR="00180B38" w:rsidRPr="00F63BD6" w:rsidRDefault="00180B38" w:rsidP="00663E76">
      <w:pPr>
        <w:pStyle w:val="SmPCheading"/>
        <w:spacing w:before="0" w:after="0" w:line="240" w:lineRule="auto"/>
        <w:jc w:val="center"/>
        <w:rPr>
          <w:rFonts w:ascii="Times New Roman" w:hAnsi="Times New Roman"/>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w:t>
      </w:r>
      <w:r w:rsidRPr="00F63BD6">
        <w:rPr>
          <w:rFonts w:ascii="Times New Roman" w:hAnsi="Times New Roman"/>
          <w:sz w:val="22"/>
          <w:szCs w:val="22"/>
          <w:lang w:val="sr-Latn-ME"/>
        </w:rPr>
        <w:t>,</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koncentrat za rastvor za injekciju/infuziju,</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3 mg/3 ml</w:t>
      </w:r>
      <w:r w:rsidR="00754BEE" w:rsidRPr="00F63BD6">
        <w:rPr>
          <w:rFonts w:ascii="Times New Roman" w:hAnsi="Times New Roman"/>
          <w:sz w:val="22"/>
          <w:szCs w:val="22"/>
          <w:lang w:val="sr-Latn-ME"/>
        </w:rPr>
        <w:t>,</w:t>
      </w:r>
    </w:p>
    <w:p w:rsidR="002A238C" w:rsidRPr="00F63BD6" w:rsidRDefault="002A238C" w:rsidP="00663E76">
      <w:pPr>
        <w:pStyle w:val="SmPCheading"/>
        <w:spacing w:before="0" w:after="0" w:line="240" w:lineRule="auto"/>
        <w:jc w:val="center"/>
        <w:rPr>
          <w:rFonts w:ascii="Times New Roman" w:hAnsi="Times New Roman"/>
          <w:b w:val="0"/>
          <w:sz w:val="22"/>
          <w:szCs w:val="22"/>
          <w:lang w:val="sr-Latn-ME"/>
        </w:rPr>
      </w:pPr>
      <w:r w:rsidRPr="00F63BD6">
        <w:rPr>
          <w:rFonts w:ascii="Times New Roman" w:hAnsi="Times New Roman"/>
          <w:b w:val="0"/>
          <w:sz w:val="22"/>
          <w:szCs w:val="22"/>
          <w:lang w:val="sr-Latn-ME"/>
        </w:rPr>
        <w:t>bočica staklena,</w:t>
      </w:r>
      <w:r w:rsidR="00AD1FA0" w:rsidRPr="00F63BD6">
        <w:rPr>
          <w:rFonts w:ascii="Times New Roman" w:hAnsi="Times New Roman"/>
          <w:b w:val="0"/>
          <w:sz w:val="22"/>
          <w:szCs w:val="22"/>
          <w:lang w:val="sr-Latn-ME"/>
        </w:rPr>
        <w:t xml:space="preserve"> 5x3</w:t>
      </w:r>
      <w:r w:rsidRPr="00F63BD6">
        <w:rPr>
          <w:rFonts w:ascii="Times New Roman" w:hAnsi="Times New Roman"/>
          <w:b w:val="0"/>
          <w:sz w:val="22"/>
          <w:szCs w:val="22"/>
          <w:lang w:val="sr-Latn-ME"/>
        </w:rPr>
        <w:t xml:space="preserve"> ml</w:t>
      </w:r>
    </w:p>
    <w:p w:rsidR="00404F8D" w:rsidRDefault="00404F8D" w:rsidP="00663E76">
      <w:pPr>
        <w:pStyle w:val="SmPCheading"/>
        <w:tabs>
          <w:tab w:val="left" w:pos="1950"/>
        </w:tabs>
        <w:spacing w:before="0" w:after="0" w:line="240" w:lineRule="auto"/>
        <w:jc w:val="both"/>
        <w:rPr>
          <w:rFonts w:ascii="Times New Roman" w:hAnsi="Times New Roman"/>
          <w:sz w:val="22"/>
          <w:szCs w:val="22"/>
          <w:lang w:val="sr-Latn-ME"/>
        </w:rPr>
      </w:pPr>
    </w:p>
    <w:p w:rsidR="00BF03FF" w:rsidRDefault="00BF03FF" w:rsidP="00663E76">
      <w:pPr>
        <w:pStyle w:val="SmPCheading"/>
        <w:tabs>
          <w:tab w:val="left" w:pos="1950"/>
        </w:tabs>
        <w:spacing w:before="0" w:after="0" w:line="240" w:lineRule="auto"/>
        <w:jc w:val="both"/>
        <w:rPr>
          <w:rFonts w:ascii="Times New Roman" w:hAnsi="Times New Roman"/>
          <w:sz w:val="22"/>
          <w:szCs w:val="22"/>
          <w:lang w:val="sr-Latn-ME"/>
        </w:rPr>
      </w:pPr>
    </w:p>
    <w:p w:rsidR="00BF03FF" w:rsidRDefault="00BF03FF" w:rsidP="00663E76">
      <w:pPr>
        <w:pStyle w:val="SmPCheading"/>
        <w:tabs>
          <w:tab w:val="left" w:pos="1950"/>
        </w:tabs>
        <w:spacing w:before="0" w:after="0" w:line="240" w:lineRule="auto"/>
        <w:jc w:val="both"/>
        <w:rPr>
          <w:rFonts w:ascii="Times New Roman" w:hAnsi="Times New Roman"/>
          <w:sz w:val="22"/>
          <w:szCs w:val="22"/>
          <w:lang w:val="sr-Latn-ME"/>
        </w:rPr>
      </w:pPr>
    </w:p>
    <w:p w:rsidR="00BF03FF" w:rsidRDefault="00BF03FF" w:rsidP="00663E76">
      <w:pPr>
        <w:pStyle w:val="SmPCheading"/>
        <w:tabs>
          <w:tab w:val="left" w:pos="1950"/>
        </w:tabs>
        <w:spacing w:before="0" w:after="0" w:line="240" w:lineRule="auto"/>
        <w:jc w:val="both"/>
        <w:rPr>
          <w:rFonts w:ascii="Times New Roman" w:hAnsi="Times New Roman"/>
          <w:sz w:val="22"/>
          <w:szCs w:val="22"/>
          <w:lang w:val="sr-Latn-ME"/>
        </w:rPr>
      </w:pPr>
    </w:p>
    <w:p w:rsidR="00736453" w:rsidRDefault="00736453" w:rsidP="00663E76">
      <w:pPr>
        <w:pStyle w:val="SmPCheading"/>
        <w:tabs>
          <w:tab w:val="left" w:pos="1950"/>
        </w:tabs>
        <w:spacing w:before="0" w:after="0" w:line="240" w:lineRule="auto"/>
        <w:jc w:val="both"/>
        <w:rPr>
          <w:rFonts w:ascii="Times New Roman" w:hAnsi="Times New Roman"/>
          <w:sz w:val="22"/>
          <w:szCs w:val="22"/>
          <w:lang w:val="sr-Latn-ME"/>
        </w:rPr>
      </w:pPr>
    </w:p>
    <w:p w:rsidR="00736453" w:rsidRPr="00F63BD6" w:rsidRDefault="00736453" w:rsidP="00663E76">
      <w:pPr>
        <w:pStyle w:val="SmPCheading"/>
        <w:tabs>
          <w:tab w:val="left" w:pos="1950"/>
        </w:tabs>
        <w:spacing w:before="0" w:after="0" w:line="240" w:lineRule="auto"/>
        <w:jc w:val="both"/>
        <w:rPr>
          <w:rFonts w:ascii="Times New Roman" w:hAnsi="Times New Roman"/>
          <w:sz w:val="22"/>
          <w:szCs w:val="22"/>
          <w:lang w:val="sr-Latn-ME"/>
        </w:rPr>
      </w:pPr>
    </w:p>
    <w:p w:rsidR="00404F8D" w:rsidRPr="00F63BD6" w:rsidRDefault="00404F8D" w:rsidP="00663E76">
      <w:pPr>
        <w:pStyle w:val="SmPCheading"/>
        <w:tabs>
          <w:tab w:val="left" w:pos="1950"/>
        </w:tabs>
        <w:spacing w:before="0" w:after="0" w:line="240" w:lineRule="auto"/>
        <w:jc w:val="both"/>
        <w:rPr>
          <w:rFonts w:ascii="Times New Roman" w:hAnsi="Times New Roman"/>
          <w:sz w:val="22"/>
          <w:szCs w:val="22"/>
          <w:lang w:val="sr-Latn-ME"/>
        </w:rPr>
      </w:pPr>
    </w:p>
    <w:p w:rsidR="00C04080" w:rsidRPr="00F63BD6" w:rsidRDefault="00F63BD6" w:rsidP="00663E76">
      <w:pPr>
        <w:tabs>
          <w:tab w:val="left" w:pos="2646"/>
        </w:tabs>
        <w:ind w:left="1560" w:hanging="1524"/>
        <w:rPr>
          <w:rFonts w:ascii="Times New Roman" w:hAnsi="Times New Roman"/>
          <w:noProof/>
          <w:sz w:val="22"/>
          <w:szCs w:val="22"/>
          <w:lang w:val="sr-Latn-ME"/>
        </w:rPr>
      </w:pPr>
      <w:r>
        <w:rPr>
          <w:rFonts w:ascii="Times New Roman" w:hAnsi="Times New Roman"/>
          <w:noProof/>
          <w:sz w:val="22"/>
          <w:szCs w:val="22"/>
          <w:lang w:val="sr-Latn-ME"/>
        </w:rPr>
        <w:tab/>
      </w:r>
      <w:r w:rsidR="00BF03FF">
        <w:rPr>
          <w:rFonts w:ascii="Times New Roman" w:hAnsi="Times New Roman"/>
          <w:noProof/>
          <w:sz w:val="22"/>
          <w:szCs w:val="22"/>
          <w:lang w:val="sr-Latn-ME"/>
        </w:rPr>
        <w:t xml:space="preserve">  </w:t>
      </w:r>
      <w:r>
        <w:rPr>
          <w:rFonts w:ascii="Times New Roman" w:hAnsi="Times New Roman"/>
          <w:noProof/>
          <w:sz w:val="22"/>
          <w:szCs w:val="22"/>
          <w:lang w:val="sr-Latn-ME"/>
        </w:rPr>
        <w:t>Proizvođač:</w:t>
      </w:r>
      <w:r w:rsidR="00BF03FF">
        <w:rPr>
          <w:rFonts w:ascii="Times New Roman" w:hAnsi="Times New Roman"/>
          <w:noProof/>
          <w:sz w:val="22"/>
          <w:szCs w:val="22"/>
          <w:lang w:val="sr-Latn-ME"/>
        </w:rPr>
        <w:tab/>
      </w:r>
      <w:r w:rsidR="00C04080" w:rsidRPr="00F63BD6">
        <w:rPr>
          <w:rFonts w:ascii="Times New Roman" w:hAnsi="Times New Roman"/>
          <w:b/>
          <w:noProof/>
          <w:sz w:val="22"/>
          <w:szCs w:val="22"/>
          <w:lang w:val="sr-Latn-ME"/>
        </w:rPr>
        <w:t>P</w:t>
      </w:r>
      <w:r w:rsidR="00F3478D" w:rsidRPr="00F63BD6">
        <w:rPr>
          <w:rFonts w:ascii="Times New Roman" w:hAnsi="Times New Roman"/>
          <w:b/>
          <w:noProof/>
          <w:sz w:val="22"/>
          <w:szCs w:val="22"/>
          <w:lang w:val="sr-Latn-ME"/>
        </w:rPr>
        <w:t>liva</w:t>
      </w:r>
      <w:r w:rsidR="00C04080" w:rsidRPr="00F63BD6">
        <w:rPr>
          <w:rFonts w:ascii="Times New Roman" w:hAnsi="Times New Roman"/>
          <w:b/>
          <w:noProof/>
          <w:sz w:val="22"/>
          <w:szCs w:val="22"/>
          <w:lang w:val="sr-Latn-ME"/>
        </w:rPr>
        <w:t xml:space="preserve"> Hrvatska d.o.o.</w:t>
      </w:r>
    </w:p>
    <w:p w:rsidR="00C04080" w:rsidRPr="00F63BD6" w:rsidRDefault="00BF03FF" w:rsidP="00663E76">
      <w:pPr>
        <w:tabs>
          <w:tab w:val="left" w:pos="2646"/>
        </w:tabs>
        <w:ind w:left="1985" w:hanging="1949"/>
        <w:rPr>
          <w:rFonts w:ascii="Times New Roman" w:hAnsi="Times New Roman"/>
          <w:noProof/>
          <w:sz w:val="22"/>
          <w:szCs w:val="22"/>
          <w:lang w:val="sr-Latn-ME"/>
        </w:rPr>
      </w:pPr>
      <w:r>
        <w:rPr>
          <w:rFonts w:ascii="Times New Roman" w:hAnsi="Times New Roman"/>
          <w:noProof/>
          <w:sz w:val="22"/>
          <w:szCs w:val="22"/>
          <w:lang w:val="sr-Latn-ME"/>
        </w:rPr>
        <w:tab/>
        <w:t xml:space="preserve"> </w:t>
      </w:r>
      <w:r w:rsidR="00C04080" w:rsidRPr="00F63BD6">
        <w:rPr>
          <w:rFonts w:ascii="Times New Roman" w:hAnsi="Times New Roman"/>
          <w:noProof/>
          <w:sz w:val="22"/>
          <w:szCs w:val="22"/>
          <w:lang w:val="sr-Latn-ME"/>
        </w:rPr>
        <w:t>Adresa:</w:t>
      </w:r>
      <w:r>
        <w:rPr>
          <w:rFonts w:ascii="Times New Roman" w:hAnsi="Times New Roman"/>
          <w:noProof/>
          <w:sz w:val="22"/>
          <w:szCs w:val="22"/>
          <w:lang w:val="sr-Latn-ME"/>
        </w:rPr>
        <w:tab/>
      </w:r>
      <w:r w:rsidR="00C04080" w:rsidRPr="00F63BD6">
        <w:rPr>
          <w:rFonts w:ascii="Times New Roman" w:hAnsi="Times New Roman"/>
          <w:b/>
          <w:noProof/>
          <w:sz w:val="22"/>
          <w:szCs w:val="22"/>
          <w:lang w:val="sr-Latn-ME"/>
        </w:rPr>
        <w:t>Prilaz baruna Filipovića 25, 10 000 Zagreb, Hrvatska</w:t>
      </w:r>
    </w:p>
    <w:p w:rsidR="00C04080" w:rsidRPr="00F63BD6" w:rsidRDefault="00BF03FF" w:rsidP="00663E76">
      <w:pPr>
        <w:tabs>
          <w:tab w:val="left" w:pos="2646"/>
        </w:tabs>
        <w:ind w:left="993" w:hanging="957"/>
        <w:rPr>
          <w:rFonts w:ascii="Times New Roman" w:hAnsi="Times New Roman"/>
          <w:b/>
          <w:sz w:val="22"/>
          <w:szCs w:val="22"/>
          <w:lang w:val="sr-Latn-ME"/>
        </w:rPr>
      </w:pPr>
      <w:r>
        <w:rPr>
          <w:rFonts w:ascii="Times New Roman" w:hAnsi="Times New Roman"/>
          <w:sz w:val="22"/>
          <w:szCs w:val="22"/>
          <w:lang w:val="sr-Latn-ME"/>
        </w:rPr>
        <w:tab/>
      </w:r>
      <w:r w:rsidR="00C04080" w:rsidRPr="00F63BD6">
        <w:rPr>
          <w:rFonts w:ascii="Times New Roman" w:hAnsi="Times New Roman"/>
          <w:sz w:val="22"/>
          <w:szCs w:val="22"/>
          <w:lang w:val="sr-Latn-ME"/>
        </w:rPr>
        <w:t>Podnosila zahtjeva:</w:t>
      </w:r>
      <w:r>
        <w:rPr>
          <w:rFonts w:ascii="Times New Roman" w:hAnsi="Times New Roman"/>
          <w:sz w:val="22"/>
          <w:szCs w:val="22"/>
          <w:lang w:val="sr-Latn-ME"/>
        </w:rPr>
        <w:tab/>
      </w:r>
      <w:r w:rsidR="00C04080" w:rsidRPr="00F63BD6">
        <w:rPr>
          <w:rFonts w:ascii="Times New Roman" w:hAnsi="Times New Roman"/>
          <w:b/>
          <w:sz w:val="22"/>
          <w:szCs w:val="22"/>
          <w:lang w:val="sr-Latn-ME"/>
        </w:rPr>
        <w:t>Farmegra d.o.o.</w:t>
      </w:r>
    </w:p>
    <w:p w:rsidR="00C04080" w:rsidRPr="00F63BD6" w:rsidRDefault="00BF03FF" w:rsidP="00663E76">
      <w:pPr>
        <w:tabs>
          <w:tab w:val="left" w:pos="2646"/>
        </w:tabs>
        <w:ind w:left="1985" w:hanging="1949"/>
        <w:rPr>
          <w:rFonts w:ascii="Times New Roman" w:hAnsi="Times New Roman"/>
          <w:sz w:val="22"/>
          <w:szCs w:val="22"/>
          <w:lang w:val="sr-Latn-ME"/>
        </w:rPr>
      </w:pPr>
      <w:r>
        <w:rPr>
          <w:rFonts w:ascii="Times New Roman" w:hAnsi="Times New Roman"/>
          <w:sz w:val="22"/>
          <w:szCs w:val="22"/>
          <w:lang w:val="sr-Latn-ME"/>
        </w:rPr>
        <w:tab/>
        <w:t xml:space="preserve"> </w:t>
      </w:r>
      <w:r w:rsidR="00F63BD6">
        <w:rPr>
          <w:rFonts w:ascii="Times New Roman" w:hAnsi="Times New Roman"/>
          <w:sz w:val="22"/>
          <w:szCs w:val="22"/>
          <w:lang w:val="sr-Latn-ME"/>
        </w:rPr>
        <w:t>Adresa:</w:t>
      </w:r>
      <w:r>
        <w:rPr>
          <w:rFonts w:ascii="Times New Roman" w:hAnsi="Times New Roman"/>
          <w:sz w:val="22"/>
          <w:szCs w:val="22"/>
          <w:lang w:val="sr-Latn-ME"/>
        </w:rPr>
        <w:tab/>
      </w:r>
      <w:r w:rsidR="00C04080" w:rsidRPr="00F63BD6">
        <w:rPr>
          <w:rFonts w:ascii="Times New Roman" w:hAnsi="Times New Roman"/>
          <w:b/>
          <w:sz w:val="22"/>
          <w:szCs w:val="22"/>
          <w:lang w:val="sr-Latn-ME"/>
        </w:rPr>
        <w:t>Kritskog odreda 4/1, 81 000 Podgorica, Crna Gora</w:t>
      </w:r>
    </w:p>
    <w:p w:rsidR="00C04080" w:rsidRPr="00F63BD6" w:rsidRDefault="00C04080" w:rsidP="00663E76">
      <w:pPr>
        <w:suppressAutoHyphens/>
        <w:jc w:val="both"/>
        <w:rPr>
          <w:rFonts w:ascii="Times New Roman" w:hAnsi="Times New Roman"/>
          <w:noProof/>
          <w:sz w:val="22"/>
          <w:szCs w:val="22"/>
          <w:lang w:val="sr-Latn-ME"/>
        </w:rPr>
      </w:pPr>
    </w:p>
    <w:p w:rsidR="003317F3" w:rsidRPr="00F63BD6" w:rsidRDefault="003317F3" w:rsidP="00663E76">
      <w:pPr>
        <w:pStyle w:val="SmPCheading"/>
        <w:spacing w:before="0" w:after="0" w:line="240" w:lineRule="auto"/>
        <w:jc w:val="both"/>
        <w:rPr>
          <w:rFonts w:ascii="Times New Roman" w:hAnsi="Times New Roman"/>
          <w:sz w:val="22"/>
          <w:szCs w:val="22"/>
          <w:lang w:val="sr-Latn-ME"/>
        </w:rPr>
      </w:pPr>
    </w:p>
    <w:p w:rsidR="00404F8D" w:rsidRPr="00F63BD6" w:rsidRDefault="00404F8D" w:rsidP="00663E76">
      <w:pPr>
        <w:pStyle w:val="SmPCheading"/>
        <w:spacing w:before="0" w:after="0" w:line="240" w:lineRule="auto"/>
        <w:jc w:val="both"/>
        <w:rPr>
          <w:rFonts w:ascii="Times New Roman" w:hAnsi="Times New Roman"/>
          <w:sz w:val="22"/>
          <w:szCs w:val="22"/>
          <w:lang w:val="sr-Latn-ME"/>
        </w:rPr>
      </w:pPr>
    </w:p>
    <w:p w:rsidR="00404F8D" w:rsidRPr="00F63BD6" w:rsidRDefault="00404F8D" w:rsidP="00663E76">
      <w:pPr>
        <w:pStyle w:val="SmPCheading"/>
        <w:spacing w:before="0" w:after="0" w:line="240" w:lineRule="auto"/>
        <w:jc w:val="both"/>
        <w:rPr>
          <w:rFonts w:ascii="Times New Roman" w:hAnsi="Times New Roman"/>
          <w:sz w:val="22"/>
          <w:szCs w:val="22"/>
          <w:lang w:val="sr-Latn-ME"/>
        </w:rPr>
      </w:pPr>
    </w:p>
    <w:p w:rsidR="00404F8D" w:rsidRPr="00F63BD6" w:rsidRDefault="00404F8D" w:rsidP="00663E76">
      <w:pPr>
        <w:pStyle w:val="SmPCheading"/>
        <w:spacing w:before="0" w:after="0" w:line="240" w:lineRule="auto"/>
        <w:jc w:val="both"/>
        <w:rPr>
          <w:rFonts w:ascii="Times New Roman" w:hAnsi="Times New Roman"/>
          <w:sz w:val="22"/>
          <w:szCs w:val="22"/>
          <w:lang w:val="sr-Latn-ME"/>
        </w:rPr>
      </w:pPr>
    </w:p>
    <w:p w:rsidR="00404F8D" w:rsidRPr="00F63BD6" w:rsidRDefault="00404F8D" w:rsidP="00663E76">
      <w:pPr>
        <w:pStyle w:val="SmPCheading"/>
        <w:spacing w:before="0" w:after="0" w:line="240" w:lineRule="auto"/>
        <w:jc w:val="both"/>
        <w:rPr>
          <w:rFonts w:ascii="Times New Roman" w:hAnsi="Times New Roman"/>
          <w:sz w:val="22"/>
          <w:szCs w:val="22"/>
          <w:lang w:val="sr-Latn-ME"/>
        </w:rPr>
      </w:pPr>
    </w:p>
    <w:p w:rsidR="00404F8D" w:rsidRPr="00F63BD6" w:rsidRDefault="00404F8D" w:rsidP="00663E76">
      <w:pPr>
        <w:pStyle w:val="SmPCheading"/>
        <w:spacing w:before="0" w:after="0" w:line="240" w:lineRule="auto"/>
        <w:jc w:val="both"/>
        <w:rPr>
          <w:rFonts w:ascii="Times New Roman" w:hAnsi="Times New Roman"/>
          <w:sz w:val="22"/>
          <w:szCs w:val="22"/>
          <w:lang w:val="sr-Latn-ME"/>
        </w:rPr>
      </w:pPr>
    </w:p>
    <w:p w:rsidR="00404F8D" w:rsidRPr="00F63BD6" w:rsidRDefault="00404F8D" w:rsidP="00663E76">
      <w:pPr>
        <w:pStyle w:val="SmPCheading"/>
        <w:spacing w:before="0" w:after="0" w:line="240" w:lineRule="auto"/>
        <w:jc w:val="both"/>
        <w:rPr>
          <w:rFonts w:ascii="Times New Roman" w:hAnsi="Times New Roman"/>
          <w:sz w:val="22"/>
          <w:szCs w:val="22"/>
          <w:lang w:val="sr-Latn-ME"/>
        </w:rPr>
      </w:pPr>
    </w:p>
    <w:p w:rsidR="00404F8D" w:rsidRPr="00F63BD6" w:rsidRDefault="00404F8D" w:rsidP="00663E76">
      <w:pPr>
        <w:pStyle w:val="SmPCheading"/>
        <w:spacing w:before="0" w:after="0" w:line="240" w:lineRule="auto"/>
        <w:jc w:val="both"/>
        <w:rPr>
          <w:rFonts w:ascii="Times New Roman" w:hAnsi="Times New Roman"/>
          <w:sz w:val="22"/>
          <w:szCs w:val="22"/>
          <w:lang w:val="sr-Latn-ME"/>
        </w:rPr>
      </w:pPr>
    </w:p>
    <w:p w:rsidR="00404F8D" w:rsidRDefault="00404F8D" w:rsidP="00663E76">
      <w:pPr>
        <w:pStyle w:val="SmPCheading"/>
        <w:spacing w:before="0" w:after="0" w:line="240" w:lineRule="auto"/>
        <w:jc w:val="both"/>
        <w:rPr>
          <w:rFonts w:ascii="Times New Roman" w:hAnsi="Times New Roman"/>
          <w:sz w:val="22"/>
          <w:szCs w:val="22"/>
          <w:lang w:val="sr-Latn-ME"/>
        </w:rPr>
      </w:pPr>
    </w:p>
    <w:p w:rsidR="00F63BD6" w:rsidRDefault="00F63BD6" w:rsidP="00663E76">
      <w:pPr>
        <w:pStyle w:val="SmPCheading"/>
        <w:spacing w:before="0" w:after="0" w:line="240" w:lineRule="auto"/>
        <w:jc w:val="both"/>
        <w:rPr>
          <w:rFonts w:ascii="Times New Roman" w:hAnsi="Times New Roman"/>
          <w:sz w:val="22"/>
          <w:szCs w:val="22"/>
          <w:lang w:val="sr-Latn-ME"/>
        </w:rPr>
      </w:pPr>
    </w:p>
    <w:p w:rsidR="00F63BD6" w:rsidRDefault="00F63BD6" w:rsidP="00663E76">
      <w:pPr>
        <w:pStyle w:val="SmPCheading"/>
        <w:spacing w:before="0" w:after="0" w:line="240" w:lineRule="auto"/>
        <w:jc w:val="both"/>
        <w:rPr>
          <w:rFonts w:ascii="Times New Roman" w:hAnsi="Times New Roman"/>
          <w:sz w:val="22"/>
          <w:szCs w:val="22"/>
          <w:lang w:val="sr-Latn-ME"/>
        </w:rPr>
      </w:pPr>
    </w:p>
    <w:p w:rsidR="00F63BD6" w:rsidRDefault="00F63BD6" w:rsidP="00663E76">
      <w:pPr>
        <w:pStyle w:val="SmPCheading"/>
        <w:spacing w:before="0" w:after="0" w:line="240" w:lineRule="auto"/>
        <w:jc w:val="both"/>
        <w:rPr>
          <w:rFonts w:ascii="Times New Roman" w:hAnsi="Times New Roman"/>
          <w:sz w:val="22"/>
          <w:szCs w:val="22"/>
          <w:lang w:val="sr-Latn-ME"/>
        </w:rPr>
      </w:pPr>
    </w:p>
    <w:p w:rsidR="00F63BD6" w:rsidRDefault="00F63BD6" w:rsidP="00663E76">
      <w:pPr>
        <w:pStyle w:val="SmPCheading"/>
        <w:spacing w:before="0" w:after="0" w:line="240" w:lineRule="auto"/>
        <w:jc w:val="both"/>
        <w:rPr>
          <w:rFonts w:ascii="Times New Roman" w:hAnsi="Times New Roman"/>
          <w:sz w:val="22"/>
          <w:szCs w:val="22"/>
          <w:lang w:val="sr-Latn-ME"/>
        </w:rPr>
      </w:pPr>
    </w:p>
    <w:p w:rsidR="00F63BD6" w:rsidRDefault="00F63BD6" w:rsidP="00663E76">
      <w:pPr>
        <w:pStyle w:val="SmPCheading"/>
        <w:spacing w:before="0" w:after="0" w:line="240" w:lineRule="auto"/>
        <w:jc w:val="both"/>
        <w:rPr>
          <w:rFonts w:ascii="Times New Roman" w:hAnsi="Times New Roman"/>
          <w:sz w:val="22"/>
          <w:szCs w:val="22"/>
          <w:lang w:val="sr-Latn-ME"/>
        </w:rPr>
      </w:pPr>
    </w:p>
    <w:p w:rsidR="00F63BD6" w:rsidRDefault="00F63BD6" w:rsidP="00663E76">
      <w:pPr>
        <w:pStyle w:val="SmPCheading"/>
        <w:spacing w:before="0" w:after="0" w:line="240" w:lineRule="auto"/>
        <w:jc w:val="both"/>
        <w:rPr>
          <w:rFonts w:ascii="Times New Roman" w:hAnsi="Times New Roman"/>
          <w:sz w:val="22"/>
          <w:szCs w:val="22"/>
          <w:lang w:val="sr-Latn-ME"/>
        </w:rPr>
      </w:pPr>
    </w:p>
    <w:p w:rsidR="00F63BD6" w:rsidRDefault="00F63BD6"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lastRenderedPageBreak/>
        <w:t xml:space="preserve">1. </w:t>
      </w:r>
      <w:r w:rsidR="00353C8C" w:rsidRPr="00F63BD6">
        <w:rPr>
          <w:rFonts w:ascii="Times New Roman" w:hAnsi="Times New Roman"/>
          <w:sz w:val="22"/>
          <w:szCs w:val="22"/>
          <w:lang w:val="sr-Latn-ME"/>
        </w:rPr>
        <w:t>NAZIV LIJEKA</w:t>
      </w:r>
      <w:bookmarkStart w:id="0" w:name="_GoBack"/>
      <w:bookmarkEnd w:id="0"/>
    </w:p>
    <w:p w:rsidR="00E3212D" w:rsidRDefault="00E3212D" w:rsidP="00663E76">
      <w:pPr>
        <w:pStyle w:val="SmPCheading"/>
        <w:spacing w:before="0" w:after="0" w:line="240" w:lineRule="auto"/>
        <w:jc w:val="both"/>
        <w:rPr>
          <w:rFonts w:ascii="Times New Roman" w:hAnsi="Times New Roman"/>
          <w:b w:val="0"/>
          <w:sz w:val="22"/>
          <w:szCs w:val="22"/>
          <w:lang w:val="sr-Latn-ME"/>
        </w:rPr>
      </w:pPr>
    </w:p>
    <w:p w:rsidR="00030EC8" w:rsidRPr="00F63BD6" w:rsidRDefault="00331AAE"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Graftor</w:t>
      </w:r>
      <w:r w:rsidRPr="00F63BD6">
        <w:rPr>
          <w:rFonts w:ascii="Times New Roman" w:hAnsi="Times New Roman"/>
          <w:b w:val="0"/>
          <w:sz w:val="22"/>
          <w:szCs w:val="22"/>
          <w:vertAlign w:val="superscript"/>
          <w:lang w:val="sr-Latn-ME"/>
        </w:rPr>
        <w:t>®</w:t>
      </w:r>
      <w:r w:rsidR="00030EC8" w:rsidRPr="00F63BD6">
        <w:rPr>
          <w:rFonts w:ascii="Times New Roman" w:hAnsi="Times New Roman"/>
          <w:b w:val="0"/>
          <w:sz w:val="22"/>
          <w:szCs w:val="22"/>
          <w:vertAlign w:val="superscript"/>
          <w:lang w:val="sr-Latn-ME"/>
        </w:rPr>
        <w:t xml:space="preserve"> </w:t>
      </w:r>
      <w:r w:rsidR="001756EC" w:rsidRPr="00F63BD6">
        <w:rPr>
          <w:rFonts w:ascii="Times New Roman" w:hAnsi="Times New Roman"/>
          <w:b w:val="0"/>
          <w:sz w:val="22"/>
          <w:szCs w:val="22"/>
          <w:lang w:val="sr-Latn-ME"/>
        </w:rPr>
        <w:t>1</w:t>
      </w:r>
      <w:r w:rsidR="006A220C" w:rsidRPr="00F63BD6">
        <w:rPr>
          <w:rFonts w:ascii="Times New Roman" w:hAnsi="Times New Roman"/>
          <w:b w:val="0"/>
          <w:sz w:val="22"/>
          <w:szCs w:val="22"/>
          <w:lang w:val="sr-Latn-ME"/>
        </w:rPr>
        <w:t xml:space="preserve"> </w:t>
      </w:r>
      <w:r w:rsidR="001756EC" w:rsidRPr="00F63BD6">
        <w:rPr>
          <w:rFonts w:ascii="Times New Roman" w:hAnsi="Times New Roman"/>
          <w:b w:val="0"/>
          <w:sz w:val="22"/>
          <w:szCs w:val="22"/>
          <w:lang w:val="sr-Latn-ME"/>
        </w:rPr>
        <w:t>mg/</w:t>
      </w:r>
      <w:r w:rsidRPr="00F63BD6">
        <w:rPr>
          <w:rFonts w:ascii="Times New Roman" w:hAnsi="Times New Roman"/>
          <w:b w:val="0"/>
          <w:sz w:val="22"/>
          <w:szCs w:val="22"/>
          <w:lang w:val="sr-Latn-ME"/>
        </w:rPr>
        <w:t>ml</w:t>
      </w:r>
      <w:r w:rsidR="00A00007" w:rsidRPr="00F63BD6">
        <w:rPr>
          <w:rFonts w:ascii="Times New Roman" w:hAnsi="Times New Roman"/>
          <w:b w:val="0"/>
          <w:sz w:val="22"/>
          <w:szCs w:val="22"/>
          <w:lang w:val="sr-Latn-ME"/>
        </w:rPr>
        <w:t>,</w:t>
      </w:r>
      <w:r w:rsidRPr="00F63BD6">
        <w:rPr>
          <w:rFonts w:ascii="Times New Roman" w:hAnsi="Times New Roman"/>
          <w:b w:val="0"/>
          <w:sz w:val="22"/>
          <w:szCs w:val="22"/>
          <w:lang w:val="sr-Latn-ME"/>
        </w:rPr>
        <w:t xml:space="preserve"> koncentrat </w:t>
      </w:r>
      <w:r w:rsidR="005C4801" w:rsidRPr="00F63BD6">
        <w:rPr>
          <w:rFonts w:ascii="Times New Roman" w:hAnsi="Times New Roman"/>
          <w:b w:val="0"/>
          <w:sz w:val="22"/>
          <w:szCs w:val="22"/>
          <w:lang w:val="sr-Latn-ME"/>
        </w:rPr>
        <w:t>za rastvor</w:t>
      </w:r>
      <w:r w:rsidRPr="00F63BD6">
        <w:rPr>
          <w:rFonts w:ascii="Times New Roman" w:hAnsi="Times New Roman"/>
          <w:b w:val="0"/>
          <w:sz w:val="22"/>
          <w:szCs w:val="22"/>
          <w:lang w:val="sr-Latn-ME"/>
        </w:rPr>
        <w:t xml:space="preserve"> za </w:t>
      </w:r>
      <w:r w:rsidR="00D859B8" w:rsidRPr="00F63BD6">
        <w:rPr>
          <w:rFonts w:ascii="Times New Roman" w:hAnsi="Times New Roman"/>
          <w:b w:val="0"/>
          <w:sz w:val="22"/>
          <w:szCs w:val="22"/>
          <w:lang w:val="sr-Latn-ME"/>
        </w:rPr>
        <w:t>injekciju</w:t>
      </w:r>
      <w:r w:rsidR="00A00007" w:rsidRPr="00F63BD6">
        <w:rPr>
          <w:rFonts w:ascii="Times New Roman" w:hAnsi="Times New Roman"/>
          <w:b w:val="0"/>
          <w:sz w:val="22"/>
          <w:szCs w:val="22"/>
          <w:lang w:val="sr-Latn-ME"/>
        </w:rPr>
        <w:t>/infuziju</w:t>
      </w:r>
    </w:p>
    <w:p w:rsidR="00A00007" w:rsidRDefault="00331AAE"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Graftor</w:t>
      </w:r>
      <w:r w:rsidRPr="00F63BD6">
        <w:rPr>
          <w:rFonts w:ascii="Times New Roman" w:hAnsi="Times New Roman"/>
          <w:b w:val="0"/>
          <w:sz w:val="22"/>
          <w:szCs w:val="22"/>
          <w:vertAlign w:val="superscript"/>
          <w:lang w:val="sr-Latn-ME"/>
        </w:rPr>
        <w:t xml:space="preserve">® </w:t>
      </w:r>
      <w:r w:rsidRPr="00F63BD6">
        <w:rPr>
          <w:rFonts w:ascii="Times New Roman" w:hAnsi="Times New Roman"/>
          <w:b w:val="0"/>
          <w:sz w:val="22"/>
          <w:szCs w:val="22"/>
          <w:lang w:val="sr-Latn-ME"/>
        </w:rPr>
        <w:t>3</w:t>
      </w:r>
      <w:r w:rsidR="006A220C"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mg/3</w:t>
      </w:r>
      <w:r w:rsidR="006A220C"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ml</w:t>
      </w:r>
      <w:r w:rsidR="00A00007" w:rsidRPr="00F63BD6">
        <w:rPr>
          <w:rFonts w:ascii="Times New Roman" w:hAnsi="Times New Roman"/>
          <w:b w:val="0"/>
          <w:sz w:val="22"/>
          <w:szCs w:val="22"/>
          <w:lang w:val="sr-Latn-ME"/>
        </w:rPr>
        <w:t>,</w:t>
      </w:r>
      <w:r w:rsidRPr="00F63BD6">
        <w:rPr>
          <w:rFonts w:ascii="Times New Roman" w:hAnsi="Times New Roman"/>
          <w:b w:val="0"/>
          <w:sz w:val="22"/>
          <w:szCs w:val="22"/>
          <w:lang w:val="sr-Latn-ME"/>
        </w:rPr>
        <w:t xml:space="preserve"> koncentrat </w:t>
      </w:r>
      <w:r w:rsidR="005C4801" w:rsidRPr="00F63BD6">
        <w:rPr>
          <w:rFonts w:ascii="Times New Roman" w:hAnsi="Times New Roman"/>
          <w:b w:val="0"/>
          <w:sz w:val="22"/>
          <w:szCs w:val="22"/>
          <w:lang w:val="sr-Latn-ME"/>
        </w:rPr>
        <w:t>za rastvor</w:t>
      </w:r>
      <w:r w:rsidRPr="00F63BD6">
        <w:rPr>
          <w:rFonts w:ascii="Times New Roman" w:hAnsi="Times New Roman"/>
          <w:b w:val="0"/>
          <w:sz w:val="22"/>
          <w:szCs w:val="22"/>
          <w:lang w:val="sr-Latn-ME"/>
        </w:rPr>
        <w:t xml:space="preserve"> za </w:t>
      </w:r>
      <w:r w:rsidR="00E3212D">
        <w:rPr>
          <w:rFonts w:ascii="Times New Roman" w:hAnsi="Times New Roman"/>
          <w:b w:val="0"/>
          <w:sz w:val="22"/>
          <w:szCs w:val="22"/>
          <w:lang w:val="sr-Latn-ME"/>
        </w:rPr>
        <w:t>injekciju/infuziju</w:t>
      </w:r>
    </w:p>
    <w:p w:rsidR="00AA0AE7" w:rsidRPr="00F63BD6" w:rsidRDefault="00AA0AE7"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INN: </w:t>
      </w:r>
      <w:r w:rsidRPr="00F63BD6">
        <w:rPr>
          <w:rFonts w:ascii="Times New Roman" w:hAnsi="Times New Roman"/>
          <w:b w:val="0"/>
          <w:sz w:val="22"/>
          <w:szCs w:val="22"/>
          <w:lang w:val="sr-Latn-ME"/>
        </w:rPr>
        <w:t>granisetron</w:t>
      </w:r>
    </w:p>
    <w:p w:rsidR="003317F3" w:rsidRDefault="003317F3" w:rsidP="00663E76">
      <w:pPr>
        <w:pStyle w:val="SmPCheading"/>
        <w:spacing w:before="0" w:after="0" w:line="240" w:lineRule="auto"/>
        <w:jc w:val="both"/>
        <w:rPr>
          <w:rFonts w:ascii="Times New Roman" w:hAnsi="Times New Roman"/>
          <w:sz w:val="22"/>
          <w:szCs w:val="22"/>
          <w:lang w:val="sr-Latn-ME"/>
        </w:rPr>
      </w:pPr>
    </w:p>
    <w:p w:rsidR="00E3212D" w:rsidRPr="00F63BD6" w:rsidRDefault="00E3212D"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2. </w:t>
      </w:r>
      <w:r w:rsidR="00353C8C" w:rsidRPr="00F63BD6">
        <w:rPr>
          <w:rFonts w:ascii="Times New Roman" w:hAnsi="Times New Roman"/>
          <w:sz w:val="22"/>
          <w:szCs w:val="22"/>
          <w:lang w:val="sr-Latn-ME"/>
        </w:rPr>
        <w:t>KVALITATIVNI I KVANTITATIVNI SASTAV</w:t>
      </w:r>
    </w:p>
    <w:p w:rsidR="00E3212D" w:rsidRDefault="00E3212D" w:rsidP="00663E76">
      <w:pPr>
        <w:pStyle w:val="SmPCheading"/>
        <w:spacing w:before="0" w:after="0" w:line="240" w:lineRule="auto"/>
        <w:jc w:val="both"/>
        <w:rPr>
          <w:rFonts w:ascii="Times New Roman" w:hAnsi="Times New Roman"/>
          <w:b w:val="0"/>
          <w:sz w:val="22"/>
          <w:szCs w:val="22"/>
          <w:lang w:val="sr-Latn-ME"/>
        </w:rPr>
      </w:pPr>
    </w:p>
    <w:p w:rsidR="00B753F1" w:rsidRPr="00F63BD6" w:rsidRDefault="00B753F1"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Aktivna supstanca je granisetron.</w:t>
      </w:r>
    </w:p>
    <w:p w:rsidR="00331AAE" w:rsidRPr="00F63BD6" w:rsidRDefault="00331AAE"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1 ml koncentrata </w:t>
      </w:r>
      <w:r w:rsidR="005C4801" w:rsidRPr="00F63BD6">
        <w:rPr>
          <w:rFonts w:ascii="Times New Roman" w:hAnsi="Times New Roman"/>
          <w:b w:val="0"/>
          <w:sz w:val="22"/>
          <w:szCs w:val="22"/>
          <w:lang w:val="sr-Latn-ME"/>
        </w:rPr>
        <w:t xml:space="preserve">za rastvor za </w:t>
      </w:r>
      <w:r w:rsidR="00D859B8" w:rsidRPr="00F63BD6">
        <w:rPr>
          <w:rFonts w:ascii="Times New Roman" w:hAnsi="Times New Roman"/>
          <w:b w:val="0"/>
          <w:sz w:val="22"/>
          <w:szCs w:val="22"/>
          <w:lang w:val="sr-Latn-ME"/>
        </w:rPr>
        <w:t>injekciju</w:t>
      </w:r>
      <w:r w:rsidR="005B4604" w:rsidRPr="00F63BD6">
        <w:rPr>
          <w:rFonts w:ascii="Times New Roman" w:hAnsi="Times New Roman"/>
          <w:b w:val="0"/>
          <w:sz w:val="22"/>
          <w:szCs w:val="22"/>
          <w:lang w:val="sr-Latn-ME"/>
        </w:rPr>
        <w:t>/infuziju</w:t>
      </w:r>
      <w:r w:rsidR="00D859B8" w:rsidRPr="00F63BD6">
        <w:rPr>
          <w:rFonts w:ascii="Times New Roman" w:hAnsi="Times New Roman"/>
          <w:b w:val="0"/>
          <w:sz w:val="22"/>
          <w:szCs w:val="22"/>
          <w:lang w:val="sr-Latn-ME"/>
        </w:rPr>
        <w:t xml:space="preserve"> </w:t>
      </w:r>
      <w:r w:rsidR="005C4801" w:rsidRPr="00F63BD6">
        <w:rPr>
          <w:rFonts w:ascii="Times New Roman" w:hAnsi="Times New Roman"/>
          <w:b w:val="0"/>
          <w:sz w:val="22"/>
          <w:szCs w:val="22"/>
          <w:lang w:val="sr-Latn-ME"/>
        </w:rPr>
        <w:t>sadrži 1 mg granis</w:t>
      </w:r>
      <w:r w:rsidRPr="00F63BD6">
        <w:rPr>
          <w:rFonts w:ascii="Times New Roman" w:hAnsi="Times New Roman"/>
          <w:b w:val="0"/>
          <w:sz w:val="22"/>
          <w:szCs w:val="22"/>
          <w:lang w:val="sr-Latn-ME"/>
        </w:rPr>
        <w:t xml:space="preserve">etrona </w:t>
      </w:r>
      <w:r w:rsidR="00005BBE" w:rsidRPr="00F63BD6">
        <w:rPr>
          <w:rFonts w:ascii="Times New Roman" w:hAnsi="Times New Roman"/>
          <w:b w:val="0"/>
          <w:sz w:val="22"/>
          <w:szCs w:val="22"/>
          <w:lang w:val="sr-Latn-ME"/>
        </w:rPr>
        <w:t>(</w:t>
      </w:r>
      <w:r w:rsidRPr="00F63BD6">
        <w:rPr>
          <w:rFonts w:ascii="Times New Roman" w:hAnsi="Times New Roman"/>
          <w:b w:val="0"/>
          <w:sz w:val="22"/>
          <w:szCs w:val="22"/>
          <w:lang w:val="sr-Latn-ME"/>
        </w:rPr>
        <w:t xml:space="preserve">u </w:t>
      </w:r>
      <w:r w:rsidR="005C4801" w:rsidRPr="00F63BD6">
        <w:rPr>
          <w:rFonts w:ascii="Times New Roman" w:hAnsi="Times New Roman"/>
          <w:b w:val="0"/>
          <w:sz w:val="22"/>
          <w:szCs w:val="22"/>
          <w:lang w:val="sr-Latn-ME"/>
        </w:rPr>
        <w:t>obliku granisetron</w:t>
      </w:r>
      <w:r w:rsidR="00DC40CA" w:rsidRPr="00F63BD6">
        <w:rPr>
          <w:rFonts w:ascii="Times New Roman" w:hAnsi="Times New Roman"/>
          <w:b w:val="0"/>
          <w:sz w:val="22"/>
          <w:szCs w:val="22"/>
          <w:lang w:val="sr-Latn-ME"/>
        </w:rPr>
        <w:t xml:space="preserve"> </w:t>
      </w:r>
      <w:r w:rsidR="00885DCB" w:rsidRPr="00F63BD6">
        <w:rPr>
          <w:rFonts w:ascii="Times New Roman" w:hAnsi="Times New Roman"/>
          <w:b w:val="0"/>
          <w:sz w:val="22"/>
          <w:szCs w:val="22"/>
          <w:lang w:val="sr-Latn-ME"/>
        </w:rPr>
        <w:t>hidro</w:t>
      </w:r>
      <w:r w:rsidR="005C4801" w:rsidRPr="00F63BD6">
        <w:rPr>
          <w:rFonts w:ascii="Times New Roman" w:hAnsi="Times New Roman"/>
          <w:b w:val="0"/>
          <w:sz w:val="22"/>
          <w:szCs w:val="22"/>
          <w:lang w:val="sr-Latn-ME"/>
        </w:rPr>
        <w:t>h</w:t>
      </w:r>
      <w:r w:rsidRPr="00F63BD6">
        <w:rPr>
          <w:rFonts w:ascii="Times New Roman" w:hAnsi="Times New Roman"/>
          <w:b w:val="0"/>
          <w:sz w:val="22"/>
          <w:szCs w:val="22"/>
          <w:lang w:val="sr-Latn-ME"/>
        </w:rPr>
        <w:t>lorida</w:t>
      </w:r>
      <w:r w:rsidR="00005BBE" w:rsidRPr="00F63BD6">
        <w:rPr>
          <w:rFonts w:ascii="Times New Roman" w:hAnsi="Times New Roman"/>
          <w:b w:val="0"/>
          <w:sz w:val="22"/>
          <w:szCs w:val="22"/>
          <w:lang w:val="sr-Latn-ME"/>
        </w:rPr>
        <w:t>)</w:t>
      </w:r>
      <w:r w:rsidR="00885DCB" w:rsidRPr="00F63BD6">
        <w:rPr>
          <w:rFonts w:ascii="Times New Roman" w:hAnsi="Times New Roman"/>
          <w:b w:val="0"/>
          <w:sz w:val="22"/>
          <w:szCs w:val="22"/>
          <w:lang w:val="sr-Latn-ME"/>
        </w:rPr>
        <w:t>.</w:t>
      </w:r>
    </w:p>
    <w:p w:rsidR="00331AAE" w:rsidRPr="00F63BD6" w:rsidRDefault="00EF7506"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3 ml koncentrata za rastvor</w:t>
      </w:r>
      <w:r w:rsidR="005C4801" w:rsidRPr="00F63BD6">
        <w:rPr>
          <w:rFonts w:ascii="Times New Roman" w:hAnsi="Times New Roman"/>
          <w:b w:val="0"/>
          <w:sz w:val="22"/>
          <w:szCs w:val="22"/>
          <w:lang w:val="sr-Latn-ME"/>
        </w:rPr>
        <w:t xml:space="preserve"> za </w:t>
      </w:r>
      <w:r w:rsidR="00885DCB" w:rsidRPr="00F63BD6">
        <w:rPr>
          <w:rFonts w:ascii="Times New Roman" w:hAnsi="Times New Roman"/>
          <w:b w:val="0"/>
          <w:sz w:val="22"/>
          <w:szCs w:val="22"/>
          <w:lang w:val="sr-Latn-ME"/>
        </w:rPr>
        <w:t>injekciju/</w:t>
      </w:r>
      <w:r w:rsidR="005C4801" w:rsidRPr="00F63BD6">
        <w:rPr>
          <w:rFonts w:ascii="Times New Roman" w:hAnsi="Times New Roman"/>
          <w:b w:val="0"/>
          <w:sz w:val="22"/>
          <w:szCs w:val="22"/>
          <w:lang w:val="sr-Latn-ME"/>
        </w:rPr>
        <w:t>infuziju</w:t>
      </w:r>
      <w:r w:rsidR="00D859B8" w:rsidRPr="00F63BD6">
        <w:rPr>
          <w:rFonts w:ascii="Times New Roman" w:hAnsi="Times New Roman"/>
          <w:b w:val="0"/>
          <w:sz w:val="22"/>
          <w:szCs w:val="22"/>
          <w:lang w:val="sr-Latn-ME"/>
        </w:rPr>
        <w:t xml:space="preserve"> </w:t>
      </w:r>
      <w:r w:rsidR="005C4801" w:rsidRPr="00F63BD6">
        <w:rPr>
          <w:rFonts w:ascii="Times New Roman" w:hAnsi="Times New Roman"/>
          <w:b w:val="0"/>
          <w:sz w:val="22"/>
          <w:szCs w:val="22"/>
          <w:lang w:val="sr-Latn-ME"/>
        </w:rPr>
        <w:t xml:space="preserve">sadrži 3 mg granisetrona </w:t>
      </w:r>
      <w:r w:rsidR="00005BBE" w:rsidRPr="00F63BD6">
        <w:rPr>
          <w:rFonts w:ascii="Times New Roman" w:hAnsi="Times New Roman"/>
          <w:b w:val="0"/>
          <w:sz w:val="22"/>
          <w:szCs w:val="22"/>
          <w:lang w:val="sr-Latn-ME"/>
        </w:rPr>
        <w:t>(</w:t>
      </w:r>
      <w:r w:rsidR="005C4801" w:rsidRPr="00F63BD6">
        <w:rPr>
          <w:rFonts w:ascii="Times New Roman" w:hAnsi="Times New Roman"/>
          <w:b w:val="0"/>
          <w:sz w:val="22"/>
          <w:szCs w:val="22"/>
          <w:lang w:val="sr-Latn-ME"/>
        </w:rPr>
        <w:t>u obliku granisetron</w:t>
      </w:r>
      <w:r w:rsidR="00885DCB" w:rsidRPr="00F63BD6">
        <w:rPr>
          <w:rFonts w:ascii="Times New Roman" w:hAnsi="Times New Roman"/>
          <w:b w:val="0"/>
          <w:sz w:val="22"/>
          <w:szCs w:val="22"/>
          <w:lang w:val="sr-Latn-ME"/>
        </w:rPr>
        <w:t xml:space="preserve"> hidro</w:t>
      </w:r>
      <w:r w:rsidR="005C4801" w:rsidRPr="00F63BD6">
        <w:rPr>
          <w:rFonts w:ascii="Times New Roman" w:hAnsi="Times New Roman"/>
          <w:b w:val="0"/>
          <w:sz w:val="22"/>
          <w:szCs w:val="22"/>
          <w:lang w:val="sr-Latn-ME"/>
        </w:rPr>
        <w:t>h</w:t>
      </w:r>
      <w:r w:rsidR="00331AAE" w:rsidRPr="00F63BD6">
        <w:rPr>
          <w:rFonts w:ascii="Times New Roman" w:hAnsi="Times New Roman"/>
          <w:b w:val="0"/>
          <w:sz w:val="22"/>
          <w:szCs w:val="22"/>
          <w:lang w:val="sr-Latn-ME"/>
        </w:rPr>
        <w:t>lorida</w:t>
      </w:r>
      <w:r w:rsidR="00005BBE" w:rsidRPr="00F63BD6">
        <w:rPr>
          <w:rFonts w:ascii="Times New Roman" w:hAnsi="Times New Roman"/>
          <w:b w:val="0"/>
          <w:sz w:val="22"/>
          <w:szCs w:val="22"/>
          <w:lang w:val="sr-Latn-ME"/>
        </w:rPr>
        <w:t>)</w:t>
      </w:r>
      <w:r w:rsidR="00885DCB" w:rsidRPr="00F63BD6">
        <w:rPr>
          <w:rFonts w:ascii="Times New Roman" w:hAnsi="Times New Roman"/>
          <w:b w:val="0"/>
          <w:sz w:val="22"/>
          <w:szCs w:val="22"/>
          <w:lang w:val="sr-Latn-ME"/>
        </w:rPr>
        <w:t>.</w:t>
      </w:r>
    </w:p>
    <w:p w:rsidR="00E3212D" w:rsidRDefault="00E3212D" w:rsidP="00663E76">
      <w:pPr>
        <w:pStyle w:val="SmPCheading"/>
        <w:spacing w:before="0" w:after="0" w:line="240" w:lineRule="auto"/>
        <w:jc w:val="both"/>
        <w:rPr>
          <w:rFonts w:ascii="Times New Roman" w:hAnsi="Times New Roman"/>
          <w:b w:val="0"/>
          <w:sz w:val="22"/>
          <w:szCs w:val="22"/>
          <w:u w:val="single"/>
          <w:lang w:val="sr-Latn-ME"/>
        </w:rPr>
      </w:pPr>
    </w:p>
    <w:p w:rsidR="00331AAE" w:rsidRPr="00F63BD6" w:rsidRDefault="008A418C" w:rsidP="00663E76">
      <w:pPr>
        <w:pStyle w:val="SmPCheading"/>
        <w:spacing w:before="0" w:after="0" w:line="240" w:lineRule="auto"/>
        <w:jc w:val="both"/>
        <w:rPr>
          <w:rFonts w:ascii="Times New Roman" w:hAnsi="Times New Roman"/>
          <w:b w:val="0"/>
          <w:sz w:val="22"/>
          <w:szCs w:val="22"/>
          <w:u w:val="single"/>
          <w:lang w:val="sr-Latn-ME"/>
        </w:rPr>
      </w:pPr>
      <w:r w:rsidRPr="00F63BD6">
        <w:rPr>
          <w:rFonts w:ascii="Times New Roman" w:hAnsi="Times New Roman"/>
          <w:b w:val="0"/>
          <w:sz w:val="22"/>
          <w:szCs w:val="22"/>
          <w:u w:val="single"/>
          <w:lang w:val="sr-Latn-ME"/>
        </w:rPr>
        <w:t>Pomoćne supstance</w:t>
      </w:r>
      <w:r w:rsidR="00B753F1" w:rsidRPr="00F63BD6">
        <w:rPr>
          <w:rFonts w:ascii="Times New Roman" w:hAnsi="Times New Roman"/>
          <w:b w:val="0"/>
          <w:sz w:val="22"/>
          <w:szCs w:val="22"/>
          <w:u w:val="single"/>
          <w:lang w:val="sr-Latn-ME"/>
        </w:rPr>
        <w:t xml:space="preserve"> sa poznatim dejstvom: </w:t>
      </w:r>
      <w:r w:rsidR="00E5526D" w:rsidRPr="00F63BD6">
        <w:rPr>
          <w:rFonts w:ascii="Times New Roman" w:hAnsi="Times New Roman"/>
          <w:b w:val="0"/>
          <w:sz w:val="22"/>
          <w:szCs w:val="22"/>
          <w:u w:val="single"/>
          <w:lang w:val="sr-Latn-ME"/>
        </w:rPr>
        <w:t>n</w:t>
      </w:r>
      <w:r w:rsidR="00B753F1" w:rsidRPr="00F63BD6">
        <w:rPr>
          <w:rFonts w:ascii="Times New Roman" w:hAnsi="Times New Roman"/>
          <w:b w:val="0"/>
          <w:sz w:val="22"/>
          <w:szCs w:val="22"/>
          <w:u w:val="single"/>
          <w:lang w:val="sr-Latn-ME"/>
        </w:rPr>
        <w:t>atrijum</w:t>
      </w:r>
    </w:p>
    <w:p w:rsidR="008A418C" w:rsidRPr="00F63BD6" w:rsidRDefault="00E6586A"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1</w:t>
      </w:r>
      <w:r w:rsidR="008A418C" w:rsidRPr="00F63BD6">
        <w:rPr>
          <w:rFonts w:ascii="Times New Roman" w:hAnsi="Times New Roman"/>
          <w:b w:val="0"/>
          <w:sz w:val="22"/>
          <w:szCs w:val="22"/>
          <w:lang w:val="sr-Latn-ME"/>
        </w:rPr>
        <w:t xml:space="preserve"> ml koncentrata</w:t>
      </w:r>
      <w:r w:rsidR="00005BBE" w:rsidRPr="00F63BD6">
        <w:rPr>
          <w:rFonts w:ascii="Times New Roman" w:hAnsi="Times New Roman"/>
          <w:b w:val="0"/>
          <w:sz w:val="22"/>
          <w:szCs w:val="22"/>
          <w:lang w:val="sr-Latn-ME"/>
        </w:rPr>
        <w:t xml:space="preserve"> za rastvor za injekciju/infuziju</w:t>
      </w:r>
      <w:r w:rsidR="008A418C" w:rsidRPr="00F63BD6">
        <w:rPr>
          <w:rFonts w:ascii="Times New Roman" w:hAnsi="Times New Roman"/>
          <w:b w:val="0"/>
          <w:sz w:val="22"/>
          <w:szCs w:val="22"/>
          <w:lang w:val="sr-Latn-ME"/>
        </w:rPr>
        <w:t xml:space="preserve"> sadrži 3.5 mg natrijuma.</w:t>
      </w:r>
    </w:p>
    <w:p w:rsidR="004A4A21" w:rsidRPr="00F63BD6" w:rsidRDefault="00E3212D" w:rsidP="00663E76">
      <w:pPr>
        <w:pStyle w:val="SmPCheading"/>
        <w:spacing w:before="0" w:after="0" w:line="240" w:lineRule="auto"/>
        <w:jc w:val="both"/>
        <w:rPr>
          <w:rFonts w:ascii="Times New Roman" w:hAnsi="Times New Roman"/>
          <w:b w:val="0"/>
          <w:sz w:val="22"/>
          <w:szCs w:val="22"/>
          <w:lang w:val="sr-Latn-ME"/>
        </w:rPr>
      </w:pPr>
      <w:r>
        <w:rPr>
          <w:rFonts w:ascii="Times New Roman" w:hAnsi="Times New Roman"/>
          <w:b w:val="0"/>
          <w:sz w:val="22"/>
          <w:szCs w:val="22"/>
          <w:lang w:val="sr-Latn-ME"/>
        </w:rPr>
        <w:t>Za</w:t>
      </w:r>
      <w:r w:rsidR="00331AAE" w:rsidRPr="00F63BD6">
        <w:rPr>
          <w:rFonts w:ascii="Times New Roman" w:hAnsi="Times New Roman"/>
          <w:b w:val="0"/>
          <w:sz w:val="22"/>
          <w:szCs w:val="22"/>
          <w:lang w:val="sr-Latn-ME"/>
        </w:rPr>
        <w:t xml:space="preserve"> </w:t>
      </w:r>
      <w:r w:rsidR="00AC7B48" w:rsidRPr="00F63BD6">
        <w:rPr>
          <w:rFonts w:ascii="Times New Roman" w:hAnsi="Times New Roman"/>
          <w:b w:val="0"/>
          <w:sz w:val="22"/>
          <w:szCs w:val="22"/>
          <w:lang w:val="sr-Latn-ME"/>
        </w:rPr>
        <w:t xml:space="preserve">popis pomoćnih </w:t>
      </w:r>
      <w:r w:rsidR="005C4801" w:rsidRPr="00F63BD6">
        <w:rPr>
          <w:rFonts w:ascii="Times New Roman" w:hAnsi="Times New Roman"/>
          <w:b w:val="0"/>
          <w:sz w:val="22"/>
          <w:szCs w:val="22"/>
          <w:lang w:val="sr-Latn-ME"/>
        </w:rPr>
        <w:t>supstanci</w:t>
      </w:r>
      <w:r w:rsidR="00AC7B48" w:rsidRPr="00F63BD6">
        <w:rPr>
          <w:rFonts w:ascii="Times New Roman" w:hAnsi="Times New Roman"/>
          <w:b w:val="0"/>
          <w:sz w:val="22"/>
          <w:szCs w:val="22"/>
          <w:lang w:val="sr-Latn-ME"/>
        </w:rPr>
        <w:t xml:space="preserve"> vidjeti poglavlje</w:t>
      </w:r>
      <w:r w:rsidR="000B543E" w:rsidRPr="00F63BD6">
        <w:rPr>
          <w:rFonts w:ascii="Times New Roman" w:hAnsi="Times New Roman"/>
          <w:b w:val="0"/>
          <w:sz w:val="22"/>
          <w:szCs w:val="22"/>
          <w:lang w:val="sr-Latn-ME"/>
        </w:rPr>
        <w:t xml:space="preserve"> 6.1.</w:t>
      </w:r>
    </w:p>
    <w:p w:rsidR="003317F3" w:rsidRDefault="003317F3" w:rsidP="00663E76">
      <w:pPr>
        <w:pStyle w:val="SmPCheading"/>
        <w:spacing w:before="0" w:after="0" w:line="240" w:lineRule="auto"/>
        <w:jc w:val="both"/>
        <w:rPr>
          <w:rFonts w:ascii="Times New Roman" w:hAnsi="Times New Roman"/>
          <w:sz w:val="22"/>
          <w:szCs w:val="22"/>
          <w:lang w:val="sr-Latn-ME"/>
        </w:rPr>
      </w:pPr>
    </w:p>
    <w:p w:rsidR="00E3212D" w:rsidRPr="00F63BD6" w:rsidRDefault="00E3212D"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3. </w:t>
      </w:r>
      <w:r w:rsidR="00353C8C" w:rsidRPr="00F63BD6">
        <w:rPr>
          <w:rFonts w:ascii="Times New Roman" w:hAnsi="Times New Roman"/>
          <w:sz w:val="22"/>
          <w:szCs w:val="22"/>
          <w:lang w:val="sr-Latn-ME"/>
        </w:rPr>
        <w:t>FARMACEUTSKI OBLIK</w:t>
      </w:r>
    </w:p>
    <w:p w:rsidR="00E3212D" w:rsidRDefault="00E3212D" w:rsidP="00663E76">
      <w:pPr>
        <w:pStyle w:val="SmPCheading"/>
        <w:spacing w:before="0" w:after="0" w:line="240" w:lineRule="auto"/>
        <w:jc w:val="both"/>
        <w:rPr>
          <w:rFonts w:ascii="Times New Roman" w:hAnsi="Times New Roman"/>
          <w:b w:val="0"/>
          <w:sz w:val="22"/>
          <w:szCs w:val="22"/>
          <w:lang w:val="sr-Latn-ME"/>
        </w:rPr>
      </w:pPr>
    </w:p>
    <w:p w:rsidR="004A4A21" w:rsidRPr="00F63BD6" w:rsidRDefault="005C4801"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Koncentrat za rastvor</w:t>
      </w:r>
      <w:r w:rsidR="00331AAE" w:rsidRPr="00F63BD6">
        <w:rPr>
          <w:rFonts w:ascii="Times New Roman" w:hAnsi="Times New Roman"/>
          <w:b w:val="0"/>
          <w:sz w:val="22"/>
          <w:szCs w:val="22"/>
          <w:lang w:val="sr-Latn-ME"/>
        </w:rPr>
        <w:t xml:space="preserve"> za </w:t>
      </w:r>
      <w:r w:rsidR="00A62912" w:rsidRPr="00F63BD6">
        <w:rPr>
          <w:rFonts w:ascii="Times New Roman" w:hAnsi="Times New Roman"/>
          <w:b w:val="0"/>
          <w:sz w:val="22"/>
          <w:szCs w:val="22"/>
          <w:lang w:val="sr-Latn-ME"/>
        </w:rPr>
        <w:t>injekciju/infuziju</w:t>
      </w:r>
      <w:r w:rsidR="00B753F1" w:rsidRPr="00F63BD6">
        <w:rPr>
          <w:rFonts w:ascii="Times New Roman" w:hAnsi="Times New Roman"/>
          <w:b w:val="0"/>
          <w:sz w:val="22"/>
          <w:szCs w:val="22"/>
          <w:lang w:val="sr-Latn-ME"/>
        </w:rPr>
        <w:t>.</w:t>
      </w:r>
    </w:p>
    <w:p w:rsidR="00331AAE" w:rsidRPr="00F63BD6" w:rsidRDefault="00A62912"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Bistar rastvor, bez prisustva vidljivih čestica, </w:t>
      </w:r>
      <w:r w:rsidR="00331AAE" w:rsidRPr="00F63BD6">
        <w:rPr>
          <w:rFonts w:ascii="Times New Roman" w:hAnsi="Times New Roman"/>
          <w:b w:val="0"/>
          <w:sz w:val="22"/>
          <w:szCs w:val="22"/>
          <w:lang w:val="sr-Latn-ME"/>
        </w:rPr>
        <w:t>pH 5.0</w:t>
      </w:r>
      <w:r w:rsidR="006F28F2" w:rsidRPr="00F63BD6">
        <w:rPr>
          <w:rFonts w:ascii="Times New Roman" w:hAnsi="Times New Roman"/>
          <w:b w:val="0"/>
          <w:sz w:val="22"/>
          <w:szCs w:val="22"/>
          <w:lang w:val="sr-Latn-ME"/>
        </w:rPr>
        <w:t xml:space="preserve"> </w:t>
      </w:r>
      <w:r w:rsidR="00331AAE" w:rsidRPr="00F63BD6">
        <w:rPr>
          <w:rFonts w:ascii="Times New Roman" w:hAnsi="Times New Roman"/>
          <w:b w:val="0"/>
          <w:sz w:val="22"/>
          <w:szCs w:val="22"/>
          <w:lang w:val="sr-Latn-ME"/>
        </w:rPr>
        <w:t>–</w:t>
      </w:r>
      <w:r w:rsidR="006F28F2" w:rsidRPr="00F63BD6">
        <w:rPr>
          <w:rFonts w:ascii="Times New Roman" w:hAnsi="Times New Roman"/>
          <w:b w:val="0"/>
          <w:sz w:val="22"/>
          <w:szCs w:val="22"/>
          <w:lang w:val="sr-Latn-ME"/>
        </w:rPr>
        <w:t xml:space="preserve"> </w:t>
      </w:r>
      <w:r w:rsidR="00331AAE" w:rsidRPr="00F63BD6">
        <w:rPr>
          <w:rFonts w:ascii="Times New Roman" w:hAnsi="Times New Roman"/>
          <w:b w:val="0"/>
          <w:sz w:val="22"/>
          <w:szCs w:val="22"/>
          <w:lang w:val="sr-Latn-ME"/>
        </w:rPr>
        <w:t>7.0.</w:t>
      </w:r>
    </w:p>
    <w:p w:rsidR="003317F3" w:rsidRDefault="003317F3" w:rsidP="00663E76">
      <w:pPr>
        <w:pStyle w:val="SmPCheading"/>
        <w:spacing w:before="0" w:after="0" w:line="240" w:lineRule="auto"/>
        <w:jc w:val="both"/>
        <w:rPr>
          <w:rFonts w:ascii="Times New Roman" w:hAnsi="Times New Roman"/>
          <w:sz w:val="22"/>
          <w:szCs w:val="22"/>
          <w:lang w:val="sr-Latn-ME"/>
        </w:rPr>
      </w:pPr>
    </w:p>
    <w:p w:rsidR="00E3212D" w:rsidRPr="00F63BD6" w:rsidRDefault="00E3212D"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4. </w:t>
      </w:r>
      <w:r w:rsidR="00E405CF" w:rsidRPr="00F63BD6">
        <w:rPr>
          <w:rFonts w:ascii="Times New Roman" w:hAnsi="Times New Roman"/>
          <w:bCs/>
          <w:sz w:val="22"/>
          <w:szCs w:val="22"/>
          <w:lang w:val="sr-Latn-ME"/>
        </w:rPr>
        <w:t>KLINIČKI PODACI</w:t>
      </w:r>
    </w:p>
    <w:p w:rsidR="00E3212D" w:rsidRDefault="00E3212D"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4.1. </w:t>
      </w:r>
      <w:r w:rsidR="00CC0898" w:rsidRPr="00F63BD6">
        <w:rPr>
          <w:rFonts w:ascii="Times New Roman" w:hAnsi="Times New Roman"/>
          <w:sz w:val="22"/>
          <w:szCs w:val="22"/>
          <w:lang w:val="sr-Latn-ME"/>
        </w:rPr>
        <w:t>Terapijske indikacije</w:t>
      </w:r>
    </w:p>
    <w:p w:rsidR="00E3212D" w:rsidRDefault="00E3212D" w:rsidP="00663E76">
      <w:pPr>
        <w:pStyle w:val="SmPCheading"/>
        <w:spacing w:before="0" w:after="0" w:line="240" w:lineRule="auto"/>
        <w:jc w:val="both"/>
        <w:rPr>
          <w:rFonts w:ascii="Times New Roman" w:hAnsi="Times New Roman"/>
          <w:b w:val="0"/>
          <w:sz w:val="22"/>
          <w:szCs w:val="22"/>
          <w:lang w:val="sr-Latn-ME"/>
        </w:rPr>
      </w:pPr>
    </w:p>
    <w:p w:rsidR="00CA74A9" w:rsidRPr="00F63BD6" w:rsidRDefault="00CA74A9"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Graftor</w:t>
      </w:r>
      <w:r w:rsidRPr="00F63BD6">
        <w:rPr>
          <w:rFonts w:ascii="Times New Roman" w:hAnsi="Times New Roman"/>
          <w:b w:val="0"/>
          <w:sz w:val="22"/>
          <w:szCs w:val="22"/>
          <w:vertAlign w:val="superscript"/>
          <w:lang w:val="sr-Latn-ME"/>
        </w:rPr>
        <w:t xml:space="preserve">® </w:t>
      </w:r>
      <w:r w:rsidRPr="00F63BD6">
        <w:rPr>
          <w:rFonts w:ascii="Times New Roman" w:hAnsi="Times New Roman"/>
          <w:b w:val="0"/>
          <w:sz w:val="22"/>
          <w:szCs w:val="22"/>
          <w:lang w:val="sr-Latn-ME"/>
        </w:rPr>
        <w:t xml:space="preserve"> </w:t>
      </w:r>
      <w:r w:rsidR="005C4801" w:rsidRPr="00F63BD6">
        <w:rPr>
          <w:rFonts w:ascii="Times New Roman" w:hAnsi="Times New Roman"/>
          <w:b w:val="0"/>
          <w:sz w:val="22"/>
          <w:szCs w:val="22"/>
          <w:lang w:val="sr-Latn-ME"/>
        </w:rPr>
        <w:t>koncentrat za rastvor</w:t>
      </w:r>
      <w:r w:rsidRPr="00F63BD6">
        <w:rPr>
          <w:rFonts w:ascii="Times New Roman" w:hAnsi="Times New Roman"/>
          <w:b w:val="0"/>
          <w:sz w:val="22"/>
          <w:szCs w:val="22"/>
          <w:lang w:val="sr-Latn-ME"/>
        </w:rPr>
        <w:t xml:space="preserve"> za </w:t>
      </w:r>
      <w:r w:rsidR="004A5940" w:rsidRPr="00F63BD6">
        <w:rPr>
          <w:rFonts w:ascii="Times New Roman" w:hAnsi="Times New Roman"/>
          <w:b w:val="0"/>
          <w:sz w:val="22"/>
          <w:szCs w:val="22"/>
          <w:lang w:val="sr-Latn-ME"/>
        </w:rPr>
        <w:t xml:space="preserve">injekciju/infuziju </w:t>
      </w:r>
      <w:r w:rsidR="008A418C" w:rsidRPr="00F63BD6">
        <w:rPr>
          <w:rFonts w:ascii="Times New Roman" w:hAnsi="Times New Roman"/>
          <w:b w:val="0"/>
          <w:sz w:val="22"/>
          <w:szCs w:val="22"/>
          <w:lang w:val="sr-Latn-ME"/>
        </w:rPr>
        <w:t xml:space="preserve">je </w:t>
      </w:r>
      <w:r w:rsidR="004A5940" w:rsidRPr="00F63BD6">
        <w:rPr>
          <w:rFonts w:ascii="Times New Roman" w:hAnsi="Times New Roman"/>
          <w:b w:val="0"/>
          <w:sz w:val="22"/>
          <w:szCs w:val="22"/>
          <w:lang w:val="sr-Latn-ME"/>
        </w:rPr>
        <w:t xml:space="preserve">indikovan </w:t>
      </w:r>
      <w:r w:rsidR="008A418C" w:rsidRPr="00F63BD6">
        <w:rPr>
          <w:rFonts w:ascii="Times New Roman" w:hAnsi="Times New Roman"/>
          <w:b w:val="0"/>
          <w:sz w:val="22"/>
          <w:szCs w:val="22"/>
          <w:lang w:val="sr-Latn-ME"/>
        </w:rPr>
        <w:t xml:space="preserve">kod odraslih za prevenciju i </w:t>
      </w:r>
      <w:r w:rsidR="00DE2149" w:rsidRPr="00F63BD6">
        <w:rPr>
          <w:rFonts w:ascii="Times New Roman" w:hAnsi="Times New Roman"/>
          <w:b w:val="0"/>
          <w:sz w:val="22"/>
          <w:szCs w:val="22"/>
          <w:lang w:val="sr-Latn-ME"/>
        </w:rPr>
        <w:t>terapiju</w:t>
      </w:r>
      <w:r w:rsidR="00E50D7D" w:rsidRPr="00F63BD6">
        <w:rPr>
          <w:rFonts w:ascii="Times New Roman" w:hAnsi="Times New Roman"/>
          <w:b w:val="0"/>
          <w:sz w:val="22"/>
          <w:szCs w:val="22"/>
          <w:lang w:val="sr-Latn-ME"/>
        </w:rPr>
        <w:t>:</w:t>
      </w:r>
    </w:p>
    <w:p w:rsidR="00CA74A9" w:rsidRPr="00E3212D" w:rsidRDefault="00CA74A9" w:rsidP="00663E76">
      <w:pPr>
        <w:pStyle w:val="ListParagraph"/>
        <w:numPr>
          <w:ilvl w:val="0"/>
          <w:numId w:val="26"/>
        </w:numPr>
        <w:jc w:val="both"/>
        <w:rPr>
          <w:rFonts w:ascii="Times New Roman" w:hAnsi="Times New Roman"/>
          <w:sz w:val="22"/>
          <w:szCs w:val="22"/>
          <w:lang w:val="sr-Latn-ME"/>
        </w:rPr>
      </w:pPr>
      <w:r w:rsidRPr="00E3212D">
        <w:rPr>
          <w:rFonts w:ascii="Times New Roman" w:hAnsi="Times New Roman"/>
          <w:sz w:val="22"/>
          <w:szCs w:val="22"/>
          <w:lang w:val="sr-Latn-ME"/>
        </w:rPr>
        <w:t xml:space="preserve">akutne </w:t>
      </w:r>
      <w:r w:rsidR="00331AAE" w:rsidRPr="00E3212D">
        <w:rPr>
          <w:rFonts w:ascii="Times New Roman" w:hAnsi="Times New Roman"/>
          <w:sz w:val="22"/>
          <w:szCs w:val="22"/>
          <w:lang w:val="sr-Latn-ME"/>
        </w:rPr>
        <w:t xml:space="preserve">mučnine i povraćanja </w:t>
      </w:r>
      <w:r w:rsidR="00DE2149" w:rsidRPr="00E3212D">
        <w:rPr>
          <w:rFonts w:ascii="Times New Roman" w:hAnsi="Times New Roman"/>
          <w:sz w:val="22"/>
          <w:szCs w:val="22"/>
          <w:lang w:val="sr-Latn-ME"/>
        </w:rPr>
        <w:t xml:space="preserve">povezanin sa </w:t>
      </w:r>
      <w:r w:rsidR="00EC4AE3" w:rsidRPr="00E3212D">
        <w:rPr>
          <w:rFonts w:ascii="Times New Roman" w:hAnsi="Times New Roman"/>
          <w:sz w:val="22"/>
          <w:szCs w:val="22"/>
          <w:lang w:val="sr-Latn-ME"/>
        </w:rPr>
        <w:t>hemioter</w:t>
      </w:r>
      <w:r w:rsidR="008A418C" w:rsidRPr="00E3212D">
        <w:rPr>
          <w:rFonts w:ascii="Times New Roman" w:hAnsi="Times New Roman"/>
          <w:sz w:val="22"/>
          <w:szCs w:val="22"/>
          <w:lang w:val="sr-Latn-ME"/>
        </w:rPr>
        <w:t>apijom i radioterapijom</w:t>
      </w:r>
      <w:r w:rsidR="00DE2149" w:rsidRPr="00E3212D">
        <w:rPr>
          <w:rFonts w:ascii="Times New Roman" w:hAnsi="Times New Roman"/>
          <w:sz w:val="22"/>
          <w:szCs w:val="22"/>
          <w:lang w:val="sr-Latn-ME"/>
        </w:rPr>
        <w:t>.</w:t>
      </w:r>
    </w:p>
    <w:p w:rsidR="00331AAE" w:rsidRPr="00E3212D" w:rsidRDefault="00331AAE" w:rsidP="00663E76">
      <w:pPr>
        <w:pStyle w:val="ListParagraph"/>
        <w:numPr>
          <w:ilvl w:val="0"/>
          <w:numId w:val="26"/>
        </w:numPr>
        <w:jc w:val="both"/>
        <w:rPr>
          <w:rFonts w:ascii="Times New Roman" w:hAnsi="Times New Roman"/>
          <w:sz w:val="22"/>
          <w:szCs w:val="22"/>
          <w:lang w:val="sr-Latn-ME"/>
        </w:rPr>
      </w:pPr>
      <w:r w:rsidRPr="00E3212D">
        <w:rPr>
          <w:rFonts w:ascii="Times New Roman" w:hAnsi="Times New Roman"/>
          <w:sz w:val="22"/>
          <w:szCs w:val="22"/>
          <w:lang w:val="sr-Latn-ME"/>
        </w:rPr>
        <w:t>postoperativne mučnine i povraćanja</w:t>
      </w:r>
      <w:r w:rsidR="00DE2149" w:rsidRPr="00E3212D">
        <w:rPr>
          <w:rFonts w:ascii="Times New Roman" w:hAnsi="Times New Roman"/>
          <w:sz w:val="22"/>
          <w:szCs w:val="22"/>
          <w:lang w:val="sr-Latn-ME"/>
        </w:rPr>
        <w:t>.</w:t>
      </w:r>
    </w:p>
    <w:p w:rsidR="00C41CD2" w:rsidRPr="00F63BD6" w:rsidRDefault="00C41CD2"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Graftor</w:t>
      </w:r>
      <w:r w:rsidRPr="00F63BD6">
        <w:rPr>
          <w:rFonts w:ascii="Times New Roman" w:hAnsi="Times New Roman"/>
          <w:b w:val="0"/>
          <w:sz w:val="22"/>
          <w:szCs w:val="22"/>
          <w:vertAlign w:val="superscript"/>
          <w:lang w:val="sr-Latn-ME"/>
        </w:rPr>
        <w:t xml:space="preserve">® </w:t>
      </w:r>
      <w:r w:rsidR="005C4801" w:rsidRPr="00F63BD6">
        <w:rPr>
          <w:rFonts w:ascii="Times New Roman" w:hAnsi="Times New Roman"/>
          <w:b w:val="0"/>
          <w:sz w:val="22"/>
          <w:szCs w:val="22"/>
          <w:lang w:val="sr-Latn-ME"/>
        </w:rPr>
        <w:t>koncentrat za rastvor</w:t>
      </w:r>
      <w:r w:rsidRPr="00F63BD6">
        <w:rPr>
          <w:rFonts w:ascii="Times New Roman" w:hAnsi="Times New Roman"/>
          <w:b w:val="0"/>
          <w:sz w:val="22"/>
          <w:szCs w:val="22"/>
          <w:lang w:val="sr-Latn-ME"/>
        </w:rPr>
        <w:t xml:space="preserve"> za </w:t>
      </w:r>
      <w:r w:rsidR="00DE2149" w:rsidRPr="00F63BD6">
        <w:rPr>
          <w:rFonts w:ascii="Times New Roman" w:hAnsi="Times New Roman"/>
          <w:b w:val="0"/>
          <w:sz w:val="22"/>
          <w:szCs w:val="22"/>
          <w:lang w:val="sr-Latn-ME"/>
        </w:rPr>
        <w:t xml:space="preserve">injekciju/infuziju </w:t>
      </w:r>
      <w:r w:rsidR="008A418C" w:rsidRPr="00F63BD6">
        <w:rPr>
          <w:rFonts w:ascii="Times New Roman" w:hAnsi="Times New Roman"/>
          <w:b w:val="0"/>
          <w:sz w:val="22"/>
          <w:szCs w:val="22"/>
          <w:lang w:val="sr-Latn-ME"/>
        </w:rPr>
        <w:t xml:space="preserve">je </w:t>
      </w:r>
      <w:r w:rsidR="00DE2149" w:rsidRPr="00F63BD6">
        <w:rPr>
          <w:rFonts w:ascii="Times New Roman" w:hAnsi="Times New Roman"/>
          <w:b w:val="0"/>
          <w:sz w:val="22"/>
          <w:szCs w:val="22"/>
          <w:lang w:val="sr-Latn-ME"/>
        </w:rPr>
        <w:t xml:space="preserve">indikovan </w:t>
      </w:r>
      <w:r w:rsidR="008A418C" w:rsidRPr="00F63BD6">
        <w:rPr>
          <w:rFonts w:ascii="Times New Roman" w:hAnsi="Times New Roman"/>
          <w:b w:val="0"/>
          <w:sz w:val="22"/>
          <w:szCs w:val="22"/>
          <w:lang w:val="sr-Latn-ME"/>
        </w:rPr>
        <w:t xml:space="preserve">za prevenciju </w:t>
      </w:r>
      <w:r w:rsidR="00DB4990" w:rsidRPr="00F63BD6">
        <w:rPr>
          <w:rFonts w:ascii="Times New Roman" w:hAnsi="Times New Roman"/>
          <w:b w:val="0"/>
          <w:sz w:val="22"/>
          <w:szCs w:val="22"/>
          <w:lang w:val="sr-Latn-ME"/>
        </w:rPr>
        <w:t xml:space="preserve">odložene mučnine i povraćanja </w:t>
      </w:r>
      <w:r w:rsidR="00DE2149" w:rsidRPr="00F63BD6">
        <w:rPr>
          <w:rFonts w:ascii="Times New Roman" w:hAnsi="Times New Roman"/>
          <w:b w:val="0"/>
          <w:sz w:val="22"/>
          <w:szCs w:val="22"/>
          <w:lang w:val="sr-Latn-ME"/>
        </w:rPr>
        <w:t>povezanih sa</w:t>
      </w:r>
      <w:r w:rsidR="00DB4990" w:rsidRPr="00F63BD6">
        <w:rPr>
          <w:rFonts w:ascii="Times New Roman" w:hAnsi="Times New Roman"/>
          <w:b w:val="0"/>
          <w:sz w:val="22"/>
          <w:szCs w:val="22"/>
          <w:lang w:val="sr-Latn-ME"/>
        </w:rPr>
        <w:t xml:space="preserve"> </w:t>
      </w:r>
      <w:r w:rsidR="00EC4AE3" w:rsidRPr="00F63BD6">
        <w:rPr>
          <w:rFonts w:ascii="Times New Roman" w:hAnsi="Times New Roman"/>
          <w:b w:val="0"/>
          <w:sz w:val="22"/>
          <w:szCs w:val="22"/>
          <w:lang w:val="sr-Latn-ME"/>
        </w:rPr>
        <w:t>hemioter</w:t>
      </w:r>
      <w:r w:rsidR="00DB4990" w:rsidRPr="00F63BD6">
        <w:rPr>
          <w:rFonts w:ascii="Times New Roman" w:hAnsi="Times New Roman"/>
          <w:b w:val="0"/>
          <w:sz w:val="22"/>
          <w:szCs w:val="22"/>
          <w:lang w:val="sr-Latn-ME"/>
        </w:rPr>
        <w:t>apijom i radioterapijom</w:t>
      </w:r>
      <w:r w:rsidR="00DE2149" w:rsidRPr="00F63BD6">
        <w:rPr>
          <w:rFonts w:ascii="Times New Roman" w:hAnsi="Times New Roman"/>
          <w:b w:val="0"/>
          <w:sz w:val="22"/>
          <w:szCs w:val="22"/>
          <w:lang w:val="sr-Latn-ME"/>
        </w:rPr>
        <w:t>.</w:t>
      </w:r>
    </w:p>
    <w:p w:rsidR="003317F3" w:rsidRPr="00F63BD6" w:rsidRDefault="00DB4990" w:rsidP="00663E76">
      <w:pPr>
        <w:jc w:val="both"/>
        <w:rPr>
          <w:rFonts w:ascii="Times New Roman" w:hAnsi="Times New Roman"/>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w:t>
      </w:r>
      <w:r w:rsidRPr="00F63BD6">
        <w:rPr>
          <w:rFonts w:ascii="Times New Roman" w:hAnsi="Times New Roman"/>
          <w:b/>
          <w:sz w:val="22"/>
          <w:szCs w:val="22"/>
          <w:vertAlign w:val="superscript"/>
          <w:lang w:val="sr-Latn-ME"/>
        </w:rPr>
        <w:t xml:space="preserve"> </w:t>
      </w:r>
      <w:r w:rsidRPr="00F63BD6">
        <w:rPr>
          <w:rFonts w:ascii="Times New Roman" w:hAnsi="Times New Roman"/>
          <w:sz w:val="22"/>
          <w:szCs w:val="22"/>
          <w:lang w:val="sr-Latn-ME"/>
        </w:rPr>
        <w:t xml:space="preserve">koncentrat za rastvor za </w:t>
      </w:r>
      <w:r w:rsidR="00DE2149" w:rsidRPr="00F63BD6">
        <w:rPr>
          <w:rFonts w:ascii="Times New Roman" w:hAnsi="Times New Roman"/>
          <w:sz w:val="22"/>
          <w:szCs w:val="22"/>
          <w:lang w:val="sr-Latn-ME"/>
        </w:rPr>
        <w:t>injekciju</w:t>
      </w:r>
      <w:r w:rsidR="00DE2149" w:rsidRPr="00F63BD6">
        <w:rPr>
          <w:rFonts w:ascii="Times New Roman" w:hAnsi="Times New Roman"/>
          <w:b/>
          <w:sz w:val="22"/>
          <w:szCs w:val="22"/>
          <w:lang w:val="sr-Latn-ME"/>
        </w:rPr>
        <w:t>/</w:t>
      </w:r>
      <w:r w:rsidR="00DE2149" w:rsidRPr="00F63BD6">
        <w:rPr>
          <w:rFonts w:ascii="Times New Roman" w:hAnsi="Times New Roman"/>
          <w:sz w:val="22"/>
          <w:szCs w:val="22"/>
          <w:lang w:val="sr-Latn-ME"/>
        </w:rPr>
        <w:t>infuziju je indikovan</w:t>
      </w:r>
      <w:r w:rsidR="00DE2149" w:rsidRPr="00F63BD6">
        <w:rPr>
          <w:rFonts w:ascii="Times New Roman" w:hAnsi="Times New Roman"/>
          <w:b/>
          <w:sz w:val="22"/>
          <w:szCs w:val="22"/>
          <w:lang w:val="sr-Latn-ME"/>
        </w:rPr>
        <w:t xml:space="preserve"> </w:t>
      </w:r>
      <w:r w:rsidR="00DE2149" w:rsidRPr="00F63BD6">
        <w:rPr>
          <w:rFonts w:ascii="Times New Roman" w:hAnsi="Times New Roman"/>
          <w:sz w:val="22"/>
          <w:szCs w:val="22"/>
          <w:lang w:val="sr-Latn-ME"/>
        </w:rPr>
        <w:t xml:space="preserve">kod djece </w:t>
      </w:r>
      <w:r w:rsidRPr="00F63BD6">
        <w:rPr>
          <w:rFonts w:ascii="Times New Roman" w:hAnsi="Times New Roman"/>
          <w:sz w:val="22"/>
          <w:szCs w:val="22"/>
          <w:lang w:val="sr-Latn-ME"/>
        </w:rPr>
        <w:t xml:space="preserve">uzrasta od 2 godine i starije za prevenciju i </w:t>
      </w:r>
      <w:r w:rsidR="00DE2149" w:rsidRPr="00F63BD6">
        <w:rPr>
          <w:rFonts w:ascii="Times New Roman" w:hAnsi="Times New Roman"/>
          <w:sz w:val="22"/>
          <w:szCs w:val="22"/>
          <w:lang w:val="sr-Latn-ME"/>
        </w:rPr>
        <w:t xml:space="preserve">terapiju </w:t>
      </w:r>
      <w:r w:rsidRPr="00F63BD6">
        <w:rPr>
          <w:rFonts w:ascii="Times New Roman" w:hAnsi="Times New Roman"/>
          <w:sz w:val="22"/>
          <w:szCs w:val="22"/>
          <w:lang w:val="sr-Latn-ME"/>
        </w:rPr>
        <w:t>akutne mučnine i povraćanj</w:t>
      </w:r>
      <w:r w:rsidR="00DE2149" w:rsidRPr="00F63BD6">
        <w:rPr>
          <w:rFonts w:ascii="Times New Roman" w:hAnsi="Times New Roman"/>
          <w:sz w:val="22"/>
          <w:szCs w:val="22"/>
          <w:lang w:val="sr-Latn-ME"/>
        </w:rPr>
        <w:t>a</w:t>
      </w:r>
      <w:r w:rsidRPr="00F63BD6">
        <w:rPr>
          <w:rFonts w:ascii="Times New Roman" w:hAnsi="Times New Roman"/>
          <w:sz w:val="22"/>
          <w:szCs w:val="22"/>
          <w:lang w:val="sr-Latn-ME"/>
        </w:rPr>
        <w:t xml:space="preserve"> </w:t>
      </w:r>
      <w:r w:rsidR="00DE2149" w:rsidRPr="00F63BD6">
        <w:rPr>
          <w:rFonts w:ascii="Times New Roman" w:hAnsi="Times New Roman"/>
          <w:sz w:val="22"/>
          <w:szCs w:val="22"/>
          <w:lang w:val="sr-Latn-ME"/>
        </w:rPr>
        <w:t>povezanih sa</w:t>
      </w:r>
      <w:r w:rsidRPr="00F63BD6">
        <w:rPr>
          <w:rFonts w:ascii="Times New Roman" w:hAnsi="Times New Roman"/>
          <w:sz w:val="22"/>
          <w:szCs w:val="22"/>
          <w:lang w:val="sr-Latn-ME"/>
        </w:rPr>
        <w:t xml:space="preserve"> </w:t>
      </w:r>
      <w:r w:rsidR="00EC4AE3" w:rsidRPr="00F63BD6">
        <w:rPr>
          <w:rFonts w:ascii="Times New Roman" w:hAnsi="Times New Roman"/>
          <w:sz w:val="22"/>
          <w:szCs w:val="22"/>
          <w:lang w:val="sr-Latn-ME"/>
        </w:rPr>
        <w:t>hemioter</w:t>
      </w:r>
      <w:r w:rsidRPr="00F63BD6">
        <w:rPr>
          <w:rFonts w:ascii="Times New Roman" w:hAnsi="Times New Roman"/>
          <w:sz w:val="22"/>
          <w:szCs w:val="22"/>
          <w:lang w:val="sr-Latn-ME"/>
        </w:rPr>
        <w:t xml:space="preserve">apijom. </w:t>
      </w:r>
      <w:r w:rsidRPr="00F63BD6">
        <w:rPr>
          <w:rFonts w:ascii="Times New Roman" w:hAnsi="Times New Roman"/>
          <w:sz w:val="22"/>
          <w:szCs w:val="22"/>
          <w:lang w:val="sr-Latn-ME"/>
        </w:rPr>
        <w:cr/>
      </w: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4.2. </w:t>
      </w:r>
      <w:r w:rsidR="00930A45" w:rsidRPr="00F63BD6">
        <w:rPr>
          <w:rFonts w:ascii="Times New Roman" w:hAnsi="Times New Roman"/>
          <w:sz w:val="22"/>
          <w:szCs w:val="22"/>
          <w:lang w:val="sr-Latn-ME"/>
        </w:rPr>
        <w:t xml:space="preserve">Doziranje i način </w:t>
      </w:r>
      <w:r w:rsidR="00971A79" w:rsidRPr="00F63BD6">
        <w:rPr>
          <w:rFonts w:ascii="Times New Roman" w:hAnsi="Times New Roman"/>
          <w:bCs/>
          <w:sz w:val="22"/>
          <w:szCs w:val="22"/>
          <w:lang w:val="sr-Latn-ME"/>
        </w:rPr>
        <w:t>primjene</w:t>
      </w:r>
    </w:p>
    <w:p w:rsidR="00663E76" w:rsidRDefault="00663E76" w:rsidP="00663E76">
      <w:pPr>
        <w:jc w:val="both"/>
        <w:rPr>
          <w:rFonts w:ascii="Times New Roman" w:hAnsi="Times New Roman"/>
          <w:sz w:val="22"/>
          <w:szCs w:val="22"/>
          <w:u w:val="single"/>
          <w:lang w:val="sr-Latn-ME"/>
        </w:rPr>
      </w:pPr>
    </w:p>
    <w:p w:rsidR="00CA74A9" w:rsidRPr="00F63BD6" w:rsidRDefault="00BF435F"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Doziranje</w:t>
      </w:r>
    </w:p>
    <w:p w:rsidR="00663E76" w:rsidRDefault="00663E76" w:rsidP="00663E76">
      <w:pPr>
        <w:jc w:val="both"/>
        <w:rPr>
          <w:rFonts w:ascii="Times New Roman" w:hAnsi="Times New Roman"/>
          <w:i/>
          <w:sz w:val="22"/>
          <w:szCs w:val="22"/>
          <w:u w:val="single"/>
          <w:lang w:val="sr-Latn-ME"/>
        </w:rPr>
      </w:pPr>
    </w:p>
    <w:p w:rsidR="000A4D30" w:rsidRPr="00F63BD6" w:rsidRDefault="00EC4AE3" w:rsidP="00663E76">
      <w:pPr>
        <w:jc w:val="both"/>
        <w:rPr>
          <w:rFonts w:ascii="Times New Roman" w:hAnsi="Times New Roman"/>
          <w:i/>
          <w:sz w:val="22"/>
          <w:szCs w:val="22"/>
          <w:u w:val="single"/>
          <w:lang w:val="sr-Latn-ME"/>
        </w:rPr>
      </w:pPr>
      <w:r w:rsidRPr="00F63BD6">
        <w:rPr>
          <w:rFonts w:ascii="Times New Roman" w:hAnsi="Times New Roman"/>
          <w:i/>
          <w:sz w:val="22"/>
          <w:szCs w:val="22"/>
          <w:u w:val="single"/>
          <w:lang w:val="sr-Latn-ME"/>
        </w:rPr>
        <w:t>Hemioter</w:t>
      </w:r>
      <w:r w:rsidR="00DE2149" w:rsidRPr="00F63BD6">
        <w:rPr>
          <w:rFonts w:ascii="Times New Roman" w:hAnsi="Times New Roman"/>
          <w:i/>
          <w:sz w:val="22"/>
          <w:szCs w:val="22"/>
          <w:u w:val="single"/>
          <w:lang w:val="sr-Latn-ME"/>
        </w:rPr>
        <w:t>apijom i radioterapijom indukovana nauzeja (m</w:t>
      </w:r>
      <w:r w:rsidR="00BF435F" w:rsidRPr="00F63BD6">
        <w:rPr>
          <w:rFonts w:ascii="Times New Roman" w:hAnsi="Times New Roman"/>
          <w:i/>
          <w:sz w:val="22"/>
          <w:szCs w:val="22"/>
          <w:u w:val="single"/>
          <w:lang w:val="sr-Latn-ME"/>
        </w:rPr>
        <w:t>učnina</w:t>
      </w:r>
      <w:r w:rsidR="00DE2149" w:rsidRPr="00F63BD6">
        <w:rPr>
          <w:rFonts w:ascii="Times New Roman" w:hAnsi="Times New Roman"/>
          <w:i/>
          <w:sz w:val="22"/>
          <w:szCs w:val="22"/>
          <w:u w:val="single"/>
          <w:lang w:val="sr-Latn-ME"/>
        </w:rPr>
        <w:t>)</w:t>
      </w:r>
      <w:r w:rsidR="00BF435F" w:rsidRPr="00F63BD6">
        <w:rPr>
          <w:rFonts w:ascii="Times New Roman" w:hAnsi="Times New Roman"/>
          <w:i/>
          <w:sz w:val="22"/>
          <w:szCs w:val="22"/>
          <w:u w:val="single"/>
          <w:lang w:val="sr-Latn-ME"/>
        </w:rPr>
        <w:t xml:space="preserve"> i povraćanje </w:t>
      </w:r>
      <w:r w:rsidR="00DE2149" w:rsidRPr="00F63BD6">
        <w:rPr>
          <w:rFonts w:ascii="Times New Roman" w:hAnsi="Times New Roman"/>
          <w:i/>
          <w:sz w:val="22"/>
          <w:szCs w:val="22"/>
          <w:u w:val="single"/>
          <w:lang w:val="sr-Latn-ME"/>
        </w:rPr>
        <w:t>(HINP i RINP)</w:t>
      </w:r>
    </w:p>
    <w:p w:rsidR="00663E76" w:rsidRDefault="00663E76" w:rsidP="00663E76">
      <w:pPr>
        <w:tabs>
          <w:tab w:val="center" w:pos="4674"/>
        </w:tabs>
        <w:jc w:val="both"/>
        <w:rPr>
          <w:rFonts w:ascii="Times New Roman" w:hAnsi="Times New Roman"/>
          <w:i/>
          <w:sz w:val="22"/>
          <w:szCs w:val="22"/>
          <w:lang w:val="sr-Latn-ME"/>
        </w:rPr>
      </w:pPr>
    </w:p>
    <w:p w:rsidR="000A4D30" w:rsidRPr="00F63BD6" w:rsidRDefault="000A4D30" w:rsidP="00663E76">
      <w:pPr>
        <w:tabs>
          <w:tab w:val="center" w:pos="4674"/>
        </w:tabs>
        <w:jc w:val="both"/>
        <w:rPr>
          <w:rFonts w:ascii="Times New Roman" w:hAnsi="Times New Roman"/>
          <w:i/>
          <w:sz w:val="22"/>
          <w:szCs w:val="22"/>
          <w:lang w:val="sr-Latn-ME"/>
        </w:rPr>
      </w:pPr>
      <w:r w:rsidRPr="00F63BD6">
        <w:rPr>
          <w:rFonts w:ascii="Times New Roman" w:hAnsi="Times New Roman"/>
          <w:i/>
          <w:sz w:val="22"/>
          <w:szCs w:val="22"/>
          <w:lang w:val="sr-Latn-ME"/>
        </w:rPr>
        <w:t>Prevenc</w:t>
      </w:r>
      <w:r w:rsidR="00663E76">
        <w:rPr>
          <w:rFonts w:ascii="Times New Roman" w:hAnsi="Times New Roman"/>
          <w:i/>
          <w:sz w:val="22"/>
          <w:szCs w:val="22"/>
          <w:lang w:val="sr-Latn-ME"/>
        </w:rPr>
        <w:t>ija (akutna i odložena mučnina)</w:t>
      </w:r>
    </w:p>
    <w:p w:rsidR="000A4D30" w:rsidRPr="00F63BD6" w:rsidRDefault="000A4D30"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Doz</w:t>
      </w:r>
      <w:r w:rsidR="00A340C3" w:rsidRPr="00F63BD6">
        <w:rPr>
          <w:rFonts w:ascii="Times New Roman" w:hAnsi="Times New Roman"/>
          <w:b w:val="0"/>
          <w:sz w:val="22"/>
          <w:szCs w:val="22"/>
          <w:lang w:val="sr-Latn-ME"/>
        </w:rPr>
        <w:t>u</w:t>
      </w:r>
      <w:r w:rsidRPr="00F63BD6">
        <w:rPr>
          <w:rFonts w:ascii="Times New Roman" w:hAnsi="Times New Roman"/>
          <w:b w:val="0"/>
          <w:sz w:val="22"/>
          <w:szCs w:val="22"/>
          <w:lang w:val="sr-Latn-ME"/>
        </w:rPr>
        <w:t xml:space="preserve"> od 1-3 mg (10-40 μg/kg) </w:t>
      </w:r>
      <w:r w:rsidR="00A340C3" w:rsidRPr="00F63BD6">
        <w:rPr>
          <w:rFonts w:ascii="Times New Roman" w:hAnsi="Times New Roman"/>
          <w:b w:val="0"/>
          <w:sz w:val="22"/>
          <w:szCs w:val="22"/>
          <w:lang w:val="sr-Latn-ME"/>
        </w:rPr>
        <w:t xml:space="preserve">lijeka Grafor, koncentrat za rastvor za injekciju/infuziju, treba </w:t>
      </w:r>
      <w:r w:rsidRPr="00F63BD6">
        <w:rPr>
          <w:rFonts w:ascii="Times New Roman" w:hAnsi="Times New Roman"/>
          <w:b w:val="0"/>
          <w:sz w:val="22"/>
          <w:szCs w:val="22"/>
          <w:lang w:val="sr-Latn-ME"/>
        </w:rPr>
        <w:t>prim</w:t>
      </w:r>
      <w:r w:rsidR="00A340C3" w:rsidRPr="00F63BD6">
        <w:rPr>
          <w:rFonts w:ascii="Times New Roman" w:hAnsi="Times New Roman"/>
          <w:b w:val="0"/>
          <w:sz w:val="22"/>
          <w:szCs w:val="22"/>
          <w:lang w:val="sr-Latn-ME"/>
        </w:rPr>
        <w:t>i</w:t>
      </w:r>
      <w:r w:rsidRPr="00F63BD6">
        <w:rPr>
          <w:rFonts w:ascii="Times New Roman" w:hAnsi="Times New Roman"/>
          <w:b w:val="0"/>
          <w:sz w:val="22"/>
          <w:szCs w:val="22"/>
          <w:lang w:val="sr-Latn-ME"/>
        </w:rPr>
        <w:t>jen</w:t>
      </w:r>
      <w:r w:rsidR="00A340C3" w:rsidRPr="00F63BD6">
        <w:rPr>
          <w:rFonts w:ascii="Times New Roman" w:hAnsi="Times New Roman"/>
          <w:b w:val="0"/>
          <w:sz w:val="22"/>
          <w:szCs w:val="22"/>
          <w:lang w:val="sr-Latn-ME"/>
        </w:rPr>
        <w:t>iti 5 minuta prije</w:t>
      </w:r>
      <w:r w:rsidRPr="00F63BD6">
        <w:rPr>
          <w:rFonts w:ascii="Times New Roman" w:hAnsi="Times New Roman"/>
          <w:b w:val="0"/>
          <w:sz w:val="22"/>
          <w:szCs w:val="22"/>
          <w:lang w:val="sr-Latn-ME"/>
        </w:rPr>
        <w:t xml:space="preserve"> </w:t>
      </w:r>
      <w:r w:rsidR="00A340C3" w:rsidRPr="00F63BD6">
        <w:rPr>
          <w:rFonts w:ascii="Times New Roman" w:hAnsi="Times New Roman"/>
          <w:b w:val="0"/>
          <w:sz w:val="22"/>
          <w:szCs w:val="22"/>
          <w:lang w:val="sr-Latn-ME"/>
        </w:rPr>
        <w:t xml:space="preserve">početka </w:t>
      </w:r>
      <w:r w:rsidR="00EC4AE3" w:rsidRPr="00F63BD6">
        <w:rPr>
          <w:rFonts w:ascii="Times New Roman" w:hAnsi="Times New Roman"/>
          <w:b w:val="0"/>
          <w:sz w:val="22"/>
          <w:szCs w:val="22"/>
          <w:lang w:val="sr-Latn-ME"/>
        </w:rPr>
        <w:t>hemioter</w:t>
      </w:r>
      <w:r w:rsidR="00A340C3" w:rsidRPr="00F63BD6">
        <w:rPr>
          <w:rFonts w:ascii="Times New Roman" w:hAnsi="Times New Roman"/>
          <w:b w:val="0"/>
          <w:sz w:val="22"/>
          <w:szCs w:val="22"/>
          <w:lang w:val="sr-Latn-ME"/>
        </w:rPr>
        <w:t>apije ili kao sporu intravensku</w:t>
      </w:r>
      <w:r w:rsidRPr="00F63BD6">
        <w:rPr>
          <w:rFonts w:ascii="Times New Roman" w:hAnsi="Times New Roman"/>
          <w:b w:val="0"/>
          <w:sz w:val="22"/>
          <w:szCs w:val="22"/>
          <w:lang w:val="sr-Latn-ME"/>
        </w:rPr>
        <w:t xml:space="preserve"> injekcij</w:t>
      </w:r>
      <w:r w:rsidR="00A340C3" w:rsidRPr="00F63BD6">
        <w:rPr>
          <w:rFonts w:ascii="Times New Roman" w:hAnsi="Times New Roman"/>
          <w:b w:val="0"/>
          <w:sz w:val="22"/>
          <w:szCs w:val="22"/>
          <w:lang w:val="sr-Latn-ME"/>
        </w:rPr>
        <w:t>u</w:t>
      </w:r>
      <w:r w:rsidRPr="00F63BD6">
        <w:rPr>
          <w:rFonts w:ascii="Times New Roman" w:hAnsi="Times New Roman"/>
          <w:b w:val="0"/>
          <w:sz w:val="22"/>
          <w:szCs w:val="22"/>
          <w:lang w:val="sr-Latn-ME"/>
        </w:rPr>
        <w:t xml:space="preserve"> ili kao </w:t>
      </w:r>
      <w:r w:rsidR="00A340C3" w:rsidRPr="00F63BD6">
        <w:rPr>
          <w:rFonts w:ascii="Times New Roman" w:hAnsi="Times New Roman"/>
          <w:b w:val="0"/>
          <w:sz w:val="22"/>
          <w:szCs w:val="22"/>
          <w:lang w:val="sr-Latn-ME"/>
        </w:rPr>
        <w:t>razblaženu intravensku</w:t>
      </w:r>
      <w:r w:rsidRPr="00F63BD6">
        <w:rPr>
          <w:rFonts w:ascii="Times New Roman" w:hAnsi="Times New Roman"/>
          <w:b w:val="0"/>
          <w:sz w:val="22"/>
          <w:szCs w:val="22"/>
          <w:lang w:val="sr-Latn-ME"/>
        </w:rPr>
        <w:t xml:space="preserve"> i</w:t>
      </w:r>
      <w:r w:rsidR="00A340C3" w:rsidRPr="00F63BD6">
        <w:rPr>
          <w:rFonts w:ascii="Times New Roman" w:hAnsi="Times New Roman"/>
          <w:b w:val="0"/>
          <w:sz w:val="22"/>
          <w:szCs w:val="22"/>
          <w:lang w:val="sr-Latn-ME"/>
        </w:rPr>
        <w:t>nfuziju</w:t>
      </w:r>
      <w:r w:rsidRPr="00F63BD6">
        <w:rPr>
          <w:rFonts w:ascii="Times New Roman" w:hAnsi="Times New Roman"/>
          <w:b w:val="0"/>
          <w:sz w:val="22"/>
          <w:szCs w:val="22"/>
          <w:lang w:val="sr-Latn-ME"/>
        </w:rPr>
        <w:t xml:space="preserve">. Rastvor treba </w:t>
      </w:r>
      <w:r w:rsidR="00A340C3" w:rsidRPr="00F63BD6">
        <w:rPr>
          <w:rFonts w:ascii="Times New Roman" w:hAnsi="Times New Roman"/>
          <w:b w:val="0"/>
          <w:sz w:val="22"/>
          <w:szCs w:val="22"/>
          <w:lang w:val="sr-Latn-ME"/>
        </w:rPr>
        <w:t>razblažiti</w:t>
      </w:r>
      <w:r w:rsidR="00663E76">
        <w:rPr>
          <w:rFonts w:ascii="Times New Roman" w:hAnsi="Times New Roman"/>
          <w:b w:val="0"/>
          <w:sz w:val="22"/>
          <w:szCs w:val="22"/>
          <w:lang w:val="sr-Latn-ME"/>
        </w:rPr>
        <w:t xml:space="preserve"> na</w:t>
      </w:r>
      <w:r w:rsidRPr="00F63BD6">
        <w:rPr>
          <w:rFonts w:ascii="Times New Roman" w:hAnsi="Times New Roman"/>
          <w:b w:val="0"/>
          <w:sz w:val="22"/>
          <w:szCs w:val="22"/>
          <w:lang w:val="sr-Latn-ME"/>
        </w:rPr>
        <w:t xml:space="preserve"> </w:t>
      </w:r>
      <w:r w:rsidR="00A340C3" w:rsidRPr="00F63BD6">
        <w:rPr>
          <w:rFonts w:ascii="Times New Roman" w:hAnsi="Times New Roman"/>
          <w:b w:val="0"/>
          <w:sz w:val="22"/>
          <w:szCs w:val="22"/>
          <w:lang w:val="sr-Latn-ME"/>
        </w:rPr>
        <w:t>5 ml/</w:t>
      </w:r>
      <w:r w:rsidRPr="00F63BD6">
        <w:rPr>
          <w:rFonts w:ascii="Times New Roman" w:hAnsi="Times New Roman"/>
          <w:b w:val="0"/>
          <w:sz w:val="22"/>
          <w:szCs w:val="22"/>
          <w:lang w:val="sr-Latn-ME"/>
        </w:rPr>
        <w:t>mg.</w:t>
      </w:r>
    </w:p>
    <w:p w:rsidR="000A4D30" w:rsidRPr="00F63BD6" w:rsidRDefault="00A340C3" w:rsidP="00663E76">
      <w:pPr>
        <w:pStyle w:val="SmPCheading"/>
        <w:spacing w:before="0" w:after="0" w:line="240" w:lineRule="auto"/>
        <w:jc w:val="both"/>
        <w:rPr>
          <w:rFonts w:ascii="Times New Roman" w:hAnsi="Times New Roman"/>
          <w:b w:val="0"/>
          <w:i/>
          <w:sz w:val="22"/>
          <w:szCs w:val="22"/>
          <w:lang w:val="sr-Latn-ME"/>
        </w:rPr>
      </w:pPr>
      <w:r w:rsidRPr="00F63BD6">
        <w:rPr>
          <w:rFonts w:ascii="Times New Roman" w:hAnsi="Times New Roman"/>
          <w:b w:val="0"/>
          <w:i/>
          <w:sz w:val="22"/>
          <w:szCs w:val="22"/>
          <w:lang w:val="sr-Latn-ME"/>
        </w:rPr>
        <w:lastRenderedPageBreak/>
        <w:t>Terapija</w:t>
      </w:r>
      <w:r w:rsidR="000A4D30" w:rsidRPr="00F63BD6">
        <w:rPr>
          <w:rFonts w:ascii="Times New Roman" w:hAnsi="Times New Roman"/>
          <w:b w:val="0"/>
          <w:i/>
          <w:sz w:val="22"/>
          <w:szCs w:val="22"/>
          <w:lang w:val="sr-Latn-ME"/>
        </w:rPr>
        <w:t xml:space="preserve"> (akutna mučnina) </w:t>
      </w:r>
    </w:p>
    <w:p w:rsidR="000E0D7F" w:rsidRDefault="00A340C3"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Dozu</w:t>
      </w:r>
      <w:r w:rsidR="000A4D30" w:rsidRPr="00F63BD6">
        <w:rPr>
          <w:rFonts w:ascii="Times New Roman" w:hAnsi="Times New Roman"/>
          <w:b w:val="0"/>
          <w:sz w:val="22"/>
          <w:szCs w:val="22"/>
          <w:lang w:val="sr-Latn-ME"/>
        </w:rPr>
        <w:t xml:space="preserve"> od 1-3 mg (10-40 μg/kg) </w:t>
      </w:r>
      <w:r w:rsidRPr="00F63BD6">
        <w:rPr>
          <w:rFonts w:ascii="Times New Roman" w:hAnsi="Times New Roman"/>
          <w:b w:val="0"/>
          <w:sz w:val="22"/>
          <w:szCs w:val="22"/>
          <w:lang w:val="sr-Latn-ME"/>
        </w:rPr>
        <w:t xml:space="preserve">lijeka Grafor, koncentrat za rastvor za injekciju/infuziju, treba primijeniti </w:t>
      </w:r>
      <w:r w:rsidR="000A4D30" w:rsidRPr="00F63BD6">
        <w:rPr>
          <w:rFonts w:ascii="Times New Roman" w:hAnsi="Times New Roman"/>
          <w:b w:val="0"/>
          <w:sz w:val="22"/>
          <w:szCs w:val="22"/>
          <w:lang w:val="sr-Latn-ME"/>
        </w:rPr>
        <w:t>ili kao spor</w:t>
      </w:r>
      <w:r w:rsidRPr="00F63BD6">
        <w:rPr>
          <w:rFonts w:ascii="Times New Roman" w:hAnsi="Times New Roman"/>
          <w:b w:val="0"/>
          <w:sz w:val="22"/>
          <w:szCs w:val="22"/>
          <w:lang w:val="sr-Latn-ME"/>
        </w:rPr>
        <w:t>u</w:t>
      </w:r>
      <w:r w:rsidR="000A4D30" w:rsidRPr="00F63BD6">
        <w:rPr>
          <w:rFonts w:ascii="Times New Roman" w:hAnsi="Times New Roman"/>
          <w:b w:val="0"/>
          <w:sz w:val="22"/>
          <w:szCs w:val="22"/>
          <w:lang w:val="sr-Latn-ME"/>
        </w:rPr>
        <w:t xml:space="preserve"> intravensk</w:t>
      </w:r>
      <w:r w:rsidRPr="00F63BD6">
        <w:rPr>
          <w:rFonts w:ascii="Times New Roman" w:hAnsi="Times New Roman"/>
          <w:b w:val="0"/>
          <w:sz w:val="22"/>
          <w:szCs w:val="22"/>
          <w:lang w:val="sr-Latn-ME"/>
        </w:rPr>
        <w:t xml:space="preserve">u injekciju ili kao razblaženu </w:t>
      </w:r>
      <w:r w:rsidR="000A4D30" w:rsidRPr="00F63BD6">
        <w:rPr>
          <w:rFonts w:ascii="Times New Roman" w:hAnsi="Times New Roman"/>
          <w:b w:val="0"/>
          <w:sz w:val="22"/>
          <w:szCs w:val="22"/>
          <w:lang w:val="sr-Latn-ME"/>
        </w:rPr>
        <w:t>intravensk</w:t>
      </w:r>
      <w:r w:rsidRPr="00F63BD6">
        <w:rPr>
          <w:rFonts w:ascii="Times New Roman" w:hAnsi="Times New Roman"/>
          <w:b w:val="0"/>
          <w:sz w:val="22"/>
          <w:szCs w:val="22"/>
          <w:lang w:val="sr-Latn-ME"/>
        </w:rPr>
        <w:t>u</w:t>
      </w:r>
      <w:r w:rsidR="000A4D30" w:rsidRPr="00F63BD6">
        <w:rPr>
          <w:rFonts w:ascii="Times New Roman" w:hAnsi="Times New Roman"/>
          <w:b w:val="0"/>
          <w:sz w:val="22"/>
          <w:szCs w:val="22"/>
          <w:lang w:val="sr-Latn-ME"/>
        </w:rPr>
        <w:t xml:space="preserve"> infuzij</w:t>
      </w:r>
      <w:r w:rsidRPr="00F63BD6">
        <w:rPr>
          <w:rFonts w:ascii="Times New Roman" w:hAnsi="Times New Roman"/>
          <w:b w:val="0"/>
          <w:sz w:val="22"/>
          <w:szCs w:val="22"/>
          <w:lang w:val="sr-Latn-ME"/>
        </w:rPr>
        <w:t>u</w:t>
      </w:r>
      <w:r w:rsidR="000A4D30"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u trajanju od</w:t>
      </w:r>
      <w:r w:rsidR="000A4D30" w:rsidRPr="00F63BD6">
        <w:rPr>
          <w:rFonts w:ascii="Times New Roman" w:hAnsi="Times New Roman"/>
          <w:b w:val="0"/>
          <w:sz w:val="22"/>
          <w:szCs w:val="22"/>
          <w:lang w:val="sr-Latn-ME"/>
        </w:rPr>
        <w:t xml:space="preserve"> 5 minuta. Ras</w:t>
      </w:r>
      <w:r w:rsidRPr="00F63BD6">
        <w:rPr>
          <w:rFonts w:ascii="Times New Roman" w:hAnsi="Times New Roman"/>
          <w:b w:val="0"/>
          <w:sz w:val="22"/>
          <w:szCs w:val="22"/>
          <w:lang w:val="sr-Latn-ME"/>
        </w:rPr>
        <w:t>t</w:t>
      </w:r>
      <w:r w:rsidR="000A4D30" w:rsidRPr="00F63BD6">
        <w:rPr>
          <w:rFonts w:ascii="Times New Roman" w:hAnsi="Times New Roman"/>
          <w:b w:val="0"/>
          <w:sz w:val="22"/>
          <w:szCs w:val="22"/>
          <w:lang w:val="sr-Latn-ME"/>
        </w:rPr>
        <w:t xml:space="preserve">vor treba </w:t>
      </w:r>
      <w:r w:rsidRPr="00F63BD6">
        <w:rPr>
          <w:rFonts w:ascii="Times New Roman" w:hAnsi="Times New Roman"/>
          <w:b w:val="0"/>
          <w:sz w:val="22"/>
          <w:szCs w:val="22"/>
          <w:lang w:val="sr-Latn-ME"/>
        </w:rPr>
        <w:t>razblažiti na 5 ml/mg</w:t>
      </w:r>
      <w:r w:rsidR="000E0D7F"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 xml:space="preserve">Naredne </w:t>
      </w:r>
      <w:r w:rsidR="000A4D30" w:rsidRPr="00F63BD6">
        <w:rPr>
          <w:rFonts w:ascii="Times New Roman" w:hAnsi="Times New Roman"/>
          <w:b w:val="0"/>
          <w:sz w:val="22"/>
          <w:szCs w:val="22"/>
          <w:lang w:val="sr-Latn-ME"/>
        </w:rPr>
        <w:t xml:space="preserve">doze održavanja </w:t>
      </w:r>
      <w:r w:rsidR="001D79EF" w:rsidRPr="00F63BD6">
        <w:rPr>
          <w:rFonts w:ascii="Times New Roman" w:hAnsi="Times New Roman"/>
          <w:b w:val="0"/>
          <w:sz w:val="22"/>
          <w:szCs w:val="22"/>
          <w:lang w:val="sr-Latn-ME"/>
        </w:rPr>
        <w:t xml:space="preserve">lijeka Grafor, koncentrat za rastvor za injekciju/infuziju se </w:t>
      </w:r>
      <w:r w:rsidR="000A4D30" w:rsidRPr="00F63BD6">
        <w:rPr>
          <w:rFonts w:ascii="Times New Roman" w:hAnsi="Times New Roman"/>
          <w:b w:val="0"/>
          <w:sz w:val="22"/>
          <w:szCs w:val="22"/>
          <w:lang w:val="sr-Latn-ME"/>
        </w:rPr>
        <w:t xml:space="preserve">mogu </w:t>
      </w:r>
      <w:r w:rsidR="001D79EF" w:rsidRPr="00F63BD6">
        <w:rPr>
          <w:rFonts w:ascii="Times New Roman" w:hAnsi="Times New Roman"/>
          <w:b w:val="0"/>
          <w:sz w:val="22"/>
          <w:szCs w:val="22"/>
          <w:lang w:val="sr-Latn-ME"/>
        </w:rPr>
        <w:t>prim</w:t>
      </w:r>
      <w:r w:rsidR="000A4D30" w:rsidRPr="00F63BD6">
        <w:rPr>
          <w:rFonts w:ascii="Times New Roman" w:hAnsi="Times New Roman"/>
          <w:b w:val="0"/>
          <w:sz w:val="22"/>
          <w:szCs w:val="22"/>
          <w:lang w:val="sr-Latn-ME"/>
        </w:rPr>
        <w:t>jen</w:t>
      </w:r>
      <w:r w:rsidR="001D79EF" w:rsidRPr="00F63BD6">
        <w:rPr>
          <w:rFonts w:ascii="Times New Roman" w:hAnsi="Times New Roman"/>
          <w:b w:val="0"/>
          <w:sz w:val="22"/>
          <w:szCs w:val="22"/>
          <w:lang w:val="sr-Latn-ME"/>
        </w:rPr>
        <w:t>jivati</w:t>
      </w:r>
      <w:r w:rsidR="000A4D30" w:rsidRPr="00F63BD6">
        <w:rPr>
          <w:rFonts w:ascii="Times New Roman" w:hAnsi="Times New Roman"/>
          <w:b w:val="0"/>
          <w:sz w:val="22"/>
          <w:szCs w:val="22"/>
          <w:lang w:val="sr-Latn-ME"/>
        </w:rPr>
        <w:t xml:space="preserve"> u razmaku od </w:t>
      </w:r>
      <w:r w:rsidR="001D79EF" w:rsidRPr="00F63BD6">
        <w:rPr>
          <w:rFonts w:ascii="Times New Roman" w:hAnsi="Times New Roman"/>
          <w:b w:val="0"/>
          <w:sz w:val="22"/>
          <w:szCs w:val="22"/>
          <w:lang w:val="sr-Latn-ME"/>
        </w:rPr>
        <w:t>najmanje</w:t>
      </w:r>
      <w:r w:rsidR="000A4D30" w:rsidRPr="00F63BD6">
        <w:rPr>
          <w:rFonts w:ascii="Times New Roman" w:hAnsi="Times New Roman"/>
          <w:b w:val="0"/>
          <w:sz w:val="22"/>
          <w:szCs w:val="22"/>
          <w:lang w:val="sr-Latn-ME"/>
        </w:rPr>
        <w:t xml:space="preserve"> 10 mi</w:t>
      </w:r>
      <w:r w:rsidR="00663E76">
        <w:rPr>
          <w:rFonts w:ascii="Times New Roman" w:hAnsi="Times New Roman"/>
          <w:b w:val="0"/>
          <w:sz w:val="22"/>
          <w:szCs w:val="22"/>
          <w:lang w:val="sr-Latn-ME"/>
        </w:rPr>
        <w:t xml:space="preserve">nuta. Maksimalna doza </w:t>
      </w:r>
      <w:r w:rsidR="000A4D30" w:rsidRPr="00F63BD6">
        <w:rPr>
          <w:rFonts w:ascii="Times New Roman" w:hAnsi="Times New Roman"/>
          <w:b w:val="0"/>
          <w:sz w:val="22"/>
          <w:szCs w:val="22"/>
          <w:lang w:val="sr-Latn-ME"/>
        </w:rPr>
        <w:t xml:space="preserve">primjenjena u </w:t>
      </w:r>
      <w:r w:rsidR="001D79EF" w:rsidRPr="00F63BD6">
        <w:rPr>
          <w:rFonts w:ascii="Times New Roman" w:hAnsi="Times New Roman"/>
          <w:b w:val="0"/>
          <w:sz w:val="22"/>
          <w:szCs w:val="22"/>
          <w:lang w:val="sr-Latn-ME"/>
        </w:rPr>
        <w:t>toku</w:t>
      </w:r>
      <w:r w:rsidR="000A4D30" w:rsidRPr="00F63BD6">
        <w:rPr>
          <w:rFonts w:ascii="Times New Roman" w:hAnsi="Times New Roman"/>
          <w:b w:val="0"/>
          <w:sz w:val="22"/>
          <w:szCs w:val="22"/>
          <w:lang w:val="sr-Latn-ME"/>
        </w:rPr>
        <w:t xml:space="preserve"> 24 sata ne smije </w:t>
      </w:r>
      <w:r w:rsidR="001D79EF" w:rsidRPr="00F63BD6">
        <w:rPr>
          <w:rFonts w:ascii="Times New Roman" w:hAnsi="Times New Roman"/>
          <w:b w:val="0"/>
          <w:sz w:val="22"/>
          <w:szCs w:val="22"/>
          <w:lang w:val="sr-Latn-ME"/>
        </w:rPr>
        <w:t>da bude veća</w:t>
      </w:r>
      <w:r w:rsidR="000A4D30" w:rsidRPr="00F63BD6">
        <w:rPr>
          <w:rFonts w:ascii="Times New Roman" w:hAnsi="Times New Roman"/>
          <w:b w:val="0"/>
          <w:sz w:val="22"/>
          <w:szCs w:val="22"/>
          <w:lang w:val="sr-Latn-ME"/>
        </w:rPr>
        <w:t xml:space="preserve"> 9 mg.</w:t>
      </w:r>
    </w:p>
    <w:p w:rsidR="00663E76" w:rsidRPr="00F63BD6" w:rsidRDefault="00663E76" w:rsidP="00663E76">
      <w:pPr>
        <w:pStyle w:val="SmPCheading"/>
        <w:spacing w:before="0" w:after="0" w:line="240" w:lineRule="auto"/>
        <w:jc w:val="both"/>
        <w:rPr>
          <w:rFonts w:ascii="Times New Roman" w:hAnsi="Times New Roman"/>
          <w:b w:val="0"/>
          <w:sz w:val="22"/>
          <w:szCs w:val="22"/>
          <w:lang w:val="sr-Latn-ME"/>
        </w:rPr>
      </w:pPr>
    </w:p>
    <w:p w:rsidR="000E0D7F" w:rsidRPr="00F63BD6" w:rsidRDefault="00CE025D" w:rsidP="00663E76">
      <w:pPr>
        <w:pStyle w:val="SmPCheading"/>
        <w:spacing w:before="0" w:after="0" w:line="240" w:lineRule="auto"/>
        <w:jc w:val="both"/>
        <w:rPr>
          <w:rFonts w:ascii="Times New Roman" w:hAnsi="Times New Roman"/>
          <w:b w:val="0"/>
          <w:i/>
          <w:sz w:val="22"/>
          <w:szCs w:val="22"/>
          <w:lang w:val="sr-Latn-ME"/>
        </w:rPr>
      </w:pPr>
      <w:r w:rsidRPr="00F63BD6">
        <w:rPr>
          <w:rFonts w:ascii="Times New Roman" w:hAnsi="Times New Roman"/>
          <w:b w:val="0"/>
          <w:i/>
          <w:sz w:val="22"/>
          <w:szCs w:val="22"/>
          <w:lang w:val="sr-Latn-ME"/>
        </w:rPr>
        <w:t>Kombinacija sa adrenokortikosteroidom</w:t>
      </w:r>
    </w:p>
    <w:p w:rsidR="000E0D7F" w:rsidRDefault="000E0D7F"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Efikasnost </w:t>
      </w:r>
      <w:r w:rsidR="00CE025D" w:rsidRPr="00F63BD6">
        <w:rPr>
          <w:rFonts w:ascii="Times New Roman" w:hAnsi="Times New Roman"/>
          <w:b w:val="0"/>
          <w:sz w:val="22"/>
          <w:szCs w:val="22"/>
          <w:lang w:val="sr-Latn-ME"/>
        </w:rPr>
        <w:t xml:space="preserve">parenteralno primjenjenog </w:t>
      </w:r>
      <w:r w:rsidRPr="00F63BD6">
        <w:rPr>
          <w:rFonts w:ascii="Times New Roman" w:hAnsi="Times New Roman"/>
          <w:b w:val="0"/>
          <w:sz w:val="22"/>
          <w:szCs w:val="22"/>
          <w:lang w:val="sr-Latn-ME"/>
        </w:rPr>
        <w:t xml:space="preserve">granisetrona može biti </w:t>
      </w:r>
      <w:r w:rsidR="00CE025D" w:rsidRPr="00F63BD6">
        <w:rPr>
          <w:rFonts w:ascii="Times New Roman" w:hAnsi="Times New Roman"/>
          <w:b w:val="0"/>
          <w:sz w:val="22"/>
          <w:szCs w:val="22"/>
          <w:lang w:val="sr-Latn-ME"/>
        </w:rPr>
        <w:t>povećana</w:t>
      </w:r>
      <w:r w:rsidRPr="00F63BD6">
        <w:rPr>
          <w:rFonts w:ascii="Times New Roman" w:hAnsi="Times New Roman"/>
          <w:b w:val="0"/>
          <w:sz w:val="22"/>
          <w:szCs w:val="22"/>
          <w:lang w:val="sr-Latn-ME"/>
        </w:rPr>
        <w:t xml:space="preserve"> </w:t>
      </w:r>
      <w:r w:rsidR="00CE025D" w:rsidRPr="00F63BD6">
        <w:rPr>
          <w:rFonts w:ascii="Times New Roman" w:hAnsi="Times New Roman"/>
          <w:b w:val="0"/>
          <w:sz w:val="22"/>
          <w:szCs w:val="22"/>
          <w:lang w:val="sr-Latn-ME"/>
        </w:rPr>
        <w:t>intravenski</w:t>
      </w:r>
      <w:r w:rsidRPr="00F63BD6">
        <w:rPr>
          <w:rFonts w:ascii="Times New Roman" w:hAnsi="Times New Roman"/>
          <w:b w:val="0"/>
          <w:sz w:val="22"/>
          <w:szCs w:val="22"/>
          <w:lang w:val="sr-Latn-ME"/>
        </w:rPr>
        <w:t xml:space="preserve">m </w:t>
      </w:r>
      <w:r w:rsidR="00CE025D" w:rsidRPr="00F63BD6">
        <w:rPr>
          <w:rFonts w:ascii="Times New Roman" w:hAnsi="Times New Roman"/>
          <w:b w:val="0"/>
          <w:sz w:val="22"/>
          <w:szCs w:val="22"/>
          <w:lang w:val="sr-Latn-ME"/>
        </w:rPr>
        <w:t>davanjem dodatne doze</w:t>
      </w:r>
      <w:r w:rsidRPr="00F63BD6">
        <w:rPr>
          <w:rFonts w:ascii="Times New Roman" w:hAnsi="Times New Roman"/>
          <w:b w:val="0"/>
          <w:sz w:val="22"/>
          <w:szCs w:val="22"/>
          <w:lang w:val="sr-Latn-ME"/>
        </w:rPr>
        <w:t xml:space="preserve"> </w:t>
      </w:r>
      <w:r w:rsidR="00CE025D" w:rsidRPr="00F63BD6">
        <w:rPr>
          <w:rFonts w:ascii="Times New Roman" w:hAnsi="Times New Roman"/>
          <w:b w:val="0"/>
          <w:sz w:val="22"/>
          <w:szCs w:val="22"/>
          <w:lang w:val="sr-Latn-ME"/>
        </w:rPr>
        <w:t>adreno</w:t>
      </w:r>
      <w:r w:rsidRPr="00F63BD6">
        <w:rPr>
          <w:rFonts w:ascii="Times New Roman" w:hAnsi="Times New Roman"/>
          <w:b w:val="0"/>
          <w:sz w:val="22"/>
          <w:szCs w:val="22"/>
          <w:lang w:val="sr-Latn-ME"/>
        </w:rPr>
        <w:t xml:space="preserve">kortikosteroida; npr. </w:t>
      </w:r>
      <w:r w:rsidR="00CE025D" w:rsidRPr="00F63BD6">
        <w:rPr>
          <w:rFonts w:ascii="Times New Roman" w:hAnsi="Times New Roman"/>
          <w:b w:val="0"/>
          <w:sz w:val="22"/>
          <w:szCs w:val="22"/>
          <w:lang w:val="sr-Latn-ME"/>
        </w:rPr>
        <w:t xml:space="preserve">8-20 mg deksametazona </w:t>
      </w:r>
      <w:r w:rsidRPr="00F63BD6">
        <w:rPr>
          <w:rFonts w:ascii="Times New Roman" w:hAnsi="Times New Roman"/>
          <w:b w:val="0"/>
          <w:sz w:val="22"/>
          <w:szCs w:val="22"/>
          <w:lang w:val="sr-Latn-ME"/>
        </w:rPr>
        <w:t>primjen</w:t>
      </w:r>
      <w:r w:rsidR="00CE025D" w:rsidRPr="00F63BD6">
        <w:rPr>
          <w:rFonts w:ascii="Times New Roman" w:hAnsi="Times New Roman"/>
          <w:b w:val="0"/>
          <w:sz w:val="22"/>
          <w:szCs w:val="22"/>
          <w:lang w:val="sr-Latn-ME"/>
        </w:rPr>
        <w:t>jenog</w:t>
      </w:r>
      <w:r w:rsidRPr="00F63BD6">
        <w:rPr>
          <w:rFonts w:ascii="Times New Roman" w:hAnsi="Times New Roman"/>
          <w:b w:val="0"/>
          <w:sz w:val="22"/>
          <w:szCs w:val="22"/>
          <w:lang w:val="sr-Latn-ME"/>
        </w:rPr>
        <w:t xml:space="preserve"> prije početka citostatske terapije ili 250 mg metil</w:t>
      </w:r>
      <w:r w:rsidR="00963263"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prednizolona primjenjenog prije početka</w:t>
      </w:r>
      <w:r w:rsidR="00CE025D" w:rsidRPr="00F63BD6">
        <w:rPr>
          <w:rFonts w:ascii="Times New Roman" w:hAnsi="Times New Roman"/>
          <w:b w:val="0"/>
          <w:sz w:val="22"/>
          <w:szCs w:val="22"/>
          <w:lang w:val="sr-Latn-ME"/>
        </w:rPr>
        <w:t xml:space="preserve"> i neposredno </w:t>
      </w:r>
      <w:r w:rsidRPr="00F63BD6">
        <w:rPr>
          <w:rFonts w:ascii="Times New Roman" w:hAnsi="Times New Roman"/>
          <w:b w:val="0"/>
          <w:sz w:val="22"/>
          <w:szCs w:val="22"/>
          <w:lang w:val="sr-Latn-ME"/>
        </w:rPr>
        <w:t xml:space="preserve">nakon završetka </w:t>
      </w:r>
      <w:r w:rsidR="00EC4AE3" w:rsidRPr="00F63BD6">
        <w:rPr>
          <w:rFonts w:ascii="Times New Roman" w:hAnsi="Times New Roman"/>
          <w:b w:val="0"/>
          <w:sz w:val="22"/>
          <w:szCs w:val="22"/>
          <w:lang w:val="sr-Latn-ME"/>
        </w:rPr>
        <w:t>hemioter</w:t>
      </w:r>
      <w:r w:rsidRPr="00F63BD6">
        <w:rPr>
          <w:rFonts w:ascii="Times New Roman" w:hAnsi="Times New Roman"/>
          <w:b w:val="0"/>
          <w:sz w:val="22"/>
          <w:szCs w:val="22"/>
          <w:lang w:val="sr-Latn-ME"/>
        </w:rPr>
        <w:t>apije.</w:t>
      </w:r>
    </w:p>
    <w:p w:rsidR="00663E76" w:rsidRPr="00F63BD6" w:rsidRDefault="00663E76" w:rsidP="00663E76">
      <w:pPr>
        <w:pStyle w:val="SmPCheading"/>
        <w:spacing w:before="0" w:after="0" w:line="240" w:lineRule="auto"/>
        <w:jc w:val="both"/>
        <w:rPr>
          <w:rFonts w:ascii="Times New Roman" w:hAnsi="Times New Roman"/>
          <w:b w:val="0"/>
          <w:sz w:val="22"/>
          <w:szCs w:val="22"/>
          <w:lang w:val="sr-Latn-ME"/>
        </w:rPr>
      </w:pPr>
    </w:p>
    <w:p w:rsidR="000E0D7F" w:rsidRPr="00F63BD6" w:rsidRDefault="000E0D7F" w:rsidP="00663E76">
      <w:pPr>
        <w:pStyle w:val="SmPCheading"/>
        <w:spacing w:before="0" w:after="0" w:line="240" w:lineRule="auto"/>
        <w:jc w:val="both"/>
        <w:rPr>
          <w:rFonts w:ascii="Times New Roman" w:hAnsi="Times New Roman"/>
          <w:b w:val="0"/>
          <w:i/>
          <w:sz w:val="22"/>
          <w:szCs w:val="22"/>
          <w:lang w:val="sr-Latn-ME"/>
        </w:rPr>
      </w:pPr>
      <w:r w:rsidRPr="00F63BD6">
        <w:rPr>
          <w:rFonts w:ascii="Times New Roman" w:hAnsi="Times New Roman"/>
          <w:b w:val="0"/>
          <w:i/>
          <w:sz w:val="22"/>
          <w:szCs w:val="22"/>
          <w:lang w:val="sr-Latn-ME"/>
        </w:rPr>
        <w:t xml:space="preserve">Pedijatrijska populacija </w:t>
      </w:r>
    </w:p>
    <w:p w:rsidR="00372C04" w:rsidRDefault="00CE025D"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Bezbjednost i efikasnost lijeka Grafor, koncentrat za rastvor za injekciju/infuziju kod </w:t>
      </w:r>
      <w:r w:rsidR="000E0D7F" w:rsidRPr="00F63BD6">
        <w:rPr>
          <w:rFonts w:ascii="Times New Roman" w:hAnsi="Times New Roman"/>
          <w:b w:val="0"/>
          <w:sz w:val="22"/>
          <w:szCs w:val="22"/>
          <w:lang w:val="sr-Latn-ME"/>
        </w:rPr>
        <w:t>djece uzrasta od 2 godine i starije</w:t>
      </w:r>
      <w:r w:rsidRPr="00F63BD6">
        <w:rPr>
          <w:rFonts w:ascii="Times New Roman" w:hAnsi="Times New Roman"/>
          <w:b w:val="0"/>
          <w:sz w:val="22"/>
          <w:szCs w:val="22"/>
          <w:lang w:val="sr-Latn-ME"/>
        </w:rPr>
        <w:t xml:space="preserve"> dobro je potvr</w:t>
      </w:r>
      <w:r w:rsidR="00963263" w:rsidRPr="00F63BD6">
        <w:rPr>
          <w:rFonts w:ascii="Times New Roman" w:hAnsi="Times New Roman"/>
          <w:b w:val="0"/>
          <w:sz w:val="22"/>
          <w:szCs w:val="22"/>
          <w:lang w:val="sr-Latn-ME"/>
        </w:rPr>
        <w:t>đ</w:t>
      </w:r>
      <w:r w:rsidRPr="00F63BD6">
        <w:rPr>
          <w:rFonts w:ascii="Times New Roman" w:hAnsi="Times New Roman"/>
          <w:b w:val="0"/>
          <w:sz w:val="22"/>
          <w:szCs w:val="22"/>
          <w:lang w:val="sr-Latn-ME"/>
        </w:rPr>
        <w:t>ena u prevenciji</w:t>
      </w:r>
      <w:r w:rsidR="000E0D7F" w:rsidRPr="00F63BD6">
        <w:rPr>
          <w:rFonts w:ascii="Times New Roman" w:hAnsi="Times New Roman"/>
          <w:b w:val="0"/>
          <w:sz w:val="22"/>
          <w:szCs w:val="22"/>
          <w:lang w:val="sr-Latn-ME"/>
        </w:rPr>
        <w:t xml:space="preserve"> i </w:t>
      </w:r>
      <w:r w:rsidRPr="00F63BD6">
        <w:rPr>
          <w:rFonts w:ascii="Times New Roman" w:hAnsi="Times New Roman"/>
          <w:b w:val="0"/>
          <w:sz w:val="22"/>
          <w:szCs w:val="22"/>
          <w:lang w:val="sr-Latn-ME"/>
        </w:rPr>
        <w:t>terapiji (kontroli</w:t>
      </w:r>
      <w:r w:rsidR="000E0D7F" w:rsidRPr="00F63BD6">
        <w:rPr>
          <w:rFonts w:ascii="Times New Roman" w:hAnsi="Times New Roman"/>
          <w:b w:val="0"/>
          <w:sz w:val="22"/>
          <w:szCs w:val="22"/>
          <w:lang w:val="sr-Latn-ME"/>
        </w:rPr>
        <w:t xml:space="preserve">) akutne mučnine i povraćanja </w:t>
      </w:r>
      <w:r w:rsidRPr="00F63BD6">
        <w:rPr>
          <w:rFonts w:ascii="Times New Roman" w:hAnsi="Times New Roman"/>
          <w:b w:val="0"/>
          <w:sz w:val="22"/>
          <w:szCs w:val="22"/>
          <w:lang w:val="sr-Latn-ME"/>
        </w:rPr>
        <w:t>povezanih sa</w:t>
      </w:r>
      <w:r w:rsidR="000E0D7F" w:rsidRPr="00F63BD6">
        <w:rPr>
          <w:rFonts w:ascii="Times New Roman" w:hAnsi="Times New Roman"/>
          <w:b w:val="0"/>
          <w:sz w:val="22"/>
          <w:szCs w:val="22"/>
          <w:lang w:val="sr-Latn-ME"/>
        </w:rPr>
        <w:t xml:space="preserve"> </w:t>
      </w:r>
      <w:r w:rsidR="00EC4AE3" w:rsidRPr="00F63BD6">
        <w:rPr>
          <w:rFonts w:ascii="Times New Roman" w:hAnsi="Times New Roman"/>
          <w:b w:val="0"/>
          <w:sz w:val="22"/>
          <w:szCs w:val="22"/>
          <w:lang w:val="sr-Latn-ME"/>
        </w:rPr>
        <w:t>hemioter</w:t>
      </w:r>
      <w:r w:rsidR="000E0D7F" w:rsidRPr="00F63BD6">
        <w:rPr>
          <w:rFonts w:ascii="Times New Roman" w:hAnsi="Times New Roman"/>
          <w:b w:val="0"/>
          <w:sz w:val="22"/>
          <w:szCs w:val="22"/>
          <w:lang w:val="sr-Latn-ME"/>
        </w:rPr>
        <w:t xml:space="preserve">apijom i </w:t>
      </w:r>
      <w:r w:rsidRPr="00F63BD6">
        <w:rPr>
          <w:rFonts w:ascii="Times New Roman" w:hAnsi="Times New Roman"/>
          <w:b w:val="0"/>
          <w:sz w:val="22"/>
          <w:szCs w:val="22"/>
          <w:lang w:val="sr-Latn-ME"/>
        </w:rPr>
        <w:t>u prevenciji</w:t>
      </w:r>
      <w:r w:rsidR="000E0D7F" w:rsidRPr="00F63BD6">
        <w:rPr>
          <w:rFonts w:ascii="Times New Roman" w:hAnsi="Times New Roman"/>
          <w:b w:val="0"/>
          <w:sz w:val="22"/>
          <w:szCs w:val="22"/>
          <w:lang w:val="sr-Latn-ME"/>
        </w:rPr>
        <w:t xml:space="preserve"> odložene mučnine i povraćanja povezanih sa </w:t>
      </w:r>
      <w:r w:rsidR="00EC4AE3" w:rsidRPr="00F63BD6">
        <w:rPr>
          <w:rFonts w:ascii="Times New Roman" w:hAnsi="Times New Roman"/>
          <w:b w:val="0"/>
          <w:sz w:val="22"/>
          <w:szCs w:val="22"/>
          <w:lang w:val="sr-Latn-ME"/>
        </w:rPr>
        <w:t>hemioter</w:t>
      </w:r>
      <w:r w:rsidR="000E0D7F" w:rsidRPr="00F63BD6">
        <w:rPr>
          <w:rFonts w:ascii="Times New Roman" w:hAnsi="Times New Roman"/>
          <w:b w:val="0"/>
          <w:sz w:val="22"/>
          <w:szCs w:val="22"/>
          <w:lang w:val="sr-Latn-ME"/>
        </w:rPr>
        <w:t>apijom.</w:t>
      </w:r>
      <w:r w:rsidR="007C07D8"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Dozu</w:t>
      </w:r>
      <w:r w:rsidR="00331AAE" w:rsidRPr="00F63BD6">
        <w:rPr>
          <w:rFonts w:ascii="Times New Roman" w:hAnsi="Times New Roman"/>
          <w:b w:val="0"/>
          <w:sz w:val="22"/>
          <w:szCs w:val="22"/>
          <w:lang w:val="sr-Latn-ME"/>
        </w:rPr>
        <w:t xml:space="preserve"> od</w:t>
      </w:r>
      <w:r w:rsidR="000B322C" w:rsidRPr="00F63BD6">
        <w:rPr>
          <w:rFonts w:ascii="Times New Roman" w:hAnsi="Times New Roman"/>
          <w:b w:val="0"/>
          <w:sz w:val="22"/>
          <w:szCs w:val="22"/>
          <w:lang w:val="sr-Latn-ME"/>
        </w:rPr>
        <w:t xml:space="preserve"> 10-</w:t>
      </w:r>
      <w:r w:rsidR="00331AAE" w:rsidRPr="00F63BD6">
        <w:rPr>
          <w:rFonts w:ascii="Times New Roman" w:hAnsi="Times New Roman"/>
          <w:b w:val="0"/>
          <w:sz w:val="22"/>
          <w:szCs w:val="22"/>
          <w:lang w:val="sr-Latn-ME"/>
        </w:rPr>
        <w:t xml:space="preserve">40 </w:t>
      </w:r>
      <w:r w:rsidR="007C07D8" w:rsidRPr="00F63BD6">
        <w:rPr>
          <w:rFonts w:ascii="Times New Roman" w:hAnsi="Times New Roman"/>
          <w:b w:val="0"/>
          <w:sz w:val="22"/>
          <w:szCs w:val="22"/>
          <w:lang w:val="sr-Latn-ME"/>
        </w:rPr>
        <w:t>mikrograma</w:t>
      </w:r>
      <w:r w:rsidR="00331AAE" w:rsidRPr="00F63BD6">
        <w:rPr>
          <w:rFonts w:ascii="Times New Roman" w:hAnsi="Times New Roman"/>
          <w:b w:val="0"/>
          <w:sz w:val="22"/>
          <w:szCs w:val="22"/>
          <w:lang w:val="sr-Latn-ME"/>
        </w:rPr>
        <w:t xml:space="preserve">/kg tjelesne </w:t>
      </w:r>
      <w:r w:rsidR="007C07D8" w:rsidRPr="00F63BD6">
        <w:rPr>
          <w:rFonts w:ascii="Times New Roman" w:hAnsi="Times New Roman"/>
          <w:b w:val="0"/>
          <w:sz w:val="22"/>
          <w:szCs w:val="22"/>
          <w:lang w:val="sr-Latn-ME"/>
        </w:rPr>
        <w:t>mase</w:t>
      </w:r>
      <w:r w:rsidR="00331AAE" w:rsidRPr="00F63BD6">
        <w:rPr>
          <w:rFonts w:ascii="Times New Roman" w:hAnsi="Times New Roman"/>
          <w:b w:val="0"/>
          <w:sz w:val="22"/>
          <w:szCs w:val="22"/>
          <w:lang w:val="sr-Latn-ME"/>
        </w:rPr>
        <w:t xml:space="preserve"> (do 3 mg) </w:t>
      </w:r>
      <w:r w:rsidRPr="00F63BD6">
        <w:rPr>
          <w:rFonts w:ascii="Times New Roman" w:hAnsi="Times New Roman"/>
          <w:b w:val="0"/>
          <w:sz w:val="22"/>
          <w:szCs w:val="22"/>
          <w:lang w:val="sr-Latn-ME"/>
        </w:rPr>
        <w:t>treba primijeniti</w:t>
      </w:r>
      <w:r w:rsidR="00331AAE" w:rsidRPr="00F63BD6">
        <w:rPr>
          <w:rFonts w:ascii="Times New Roman" w:hAnsi="Times New Roman"/>
          <w:b w:val="0"/>
          <w:sz w:val="22"/>
          <w:szCs w:val="22"/>
          <w:lang w:val="sr-Latn-ME"/>
        </w:rPr>
        <w:t xml:space="preserve"> kao </w:t>
      </w:r>
      <w:r w:rsidRPr="00F63BD6">
        <w:rPr>
          <w:rFonts w:ascii="Times New Roman" w:hAnsi="Times New Roman"/>
          <w:b w:val="0"/>
          <w:sz w:val="22"/>
          <w:szCs w:val="22"/>
          <w:lang w:val="sr-Latn-ME"/>
        </w:rPr>
        <w:t>i.v.</w:t>
      </w:r>
      <w:r w:rsidR="00331AAE" w:rsidRPr="00F63BD6">
        <w:rPr>
          <w:rFonts w:ascii="Times New Roman" w:hAnsi="Times New Roman"/>
          <w:b w:val="0"/>
          <w:sz w:val="22"/>
          <w:szCs w:val="22"/>
          <w:lang w:val="sr-Latn-ME"/>
        </w:rPr>
        <w:t xml:space="preserve"> infuzij</w:t>
      </w:r>
      <w:r w:rsidRPr="00F63BD6">
        <w:rPr>
          <w:rFonts w:ascii="Times New Roman" w:hAnsi="Times New Roman"/>
          <w:b w:val="0"/>
          <w:sz w:val="22"/>
          <w:szCs w:val="22"/>
          <w:lang w:val="sr-Latn-ME"/>
        </w:rPr>
        <w:t>u</w:t>
      </w:r>
      <w:r w:rsidR="007C07D8" w:rsidRPr="00F63BD6">
        <w:rPr>
          <w:rFonts w:ascii="Times New Roman" w:hAnsi="Times New Roman"/>
          <w:b w:val="0"/>
          <w:sz w:val="22"/>
          <w:szCs w:val="22"/>
          <w:lang w:val="sr-Latn-ME"/>
        </w:rPr>
        <w:t>,</w:t>
      </w:r>
      <w:r w:rsidR="00331AAE"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razblaženu</w:t>
      </w:r>
      <w:r w:rsidR="00663E76">
        <w:rPr>
          <w:rFonts w:ascii="Times New Roman" w:hAnsi="Times New Roman"/>
          <w:b w:val="0"/>
          <w:sz w:val="22"/>
          <w:szCs w:val="22"/>
          <w:lang w:val="sr-Latn-ME"/>
        </w:rPr>
        <w:t xml:space="preserve"> u 10</w:t>
      </w:r>
      <w:r w:rsidR="007C07D8" w:rsidRPr="00F63BD6">
        <w:rPr>
          <w:rFonts w:ascii="Times New Roman" w:hAnsi="Times New Roman"/>
          <w:b w:val="0"/>
          <w:sz w:val="22"/>
          <w:szCs w:val="22"/>
          <w:lang w:val="sr-Latn-ME"/>
        </w:rPr>
        <w:t>-</w:t>
      </w:r>
      <w:r w:rsidR="005C4801" w:rsidRPr="00F63BD6">
        <w:rPr>
          <w:rFonts w:ascii="Times New Roman" w:hAnsi="Times New Roman"/>
          <w:b w:val="0"/>
          <w:sz w:val="22"/>
          <w:szCs w:val="22"/>
          <w:lang w:val="sr-Latn-ME"/>
        </w:rPr>
        <w:t xml:space="preserve">30 ml </w:t>
      </w:r>
      <w:r w:rsidR="007C07D8" w:rsidRPr="00F63BD6">
        <w:rPr>
          <w:rFonts w:ascii="Times New Roman" w:hAnsi="Times New Roman"/>
          <w:b w:val="0"/>
          <w:sz w:val="22"/>
          <w:szCs w:val="22"/>
          <w:lang w:val="sr-Latn-ME"/>
        </w:rPr>
        <w:t xml:space="preserve">infuzione tečnosti, </w:t>
      </w:r>
      <w:r w:rsidR="005C4801" w:rsidRPr="00F63BD6">
        <w:rPr>
          <w:rFonts w:ascii="Times New Roman" w:hAnsi="Times New Roman"/>
          <w:b w:val="0"/>
          <w:sz w:val="22"/>
          <w:szCs w:val="22"/>
          <w:lang w:val="sr-Latn-ME"/>
        </w:rPr>
        <w:t>tokom</w:t>
      </w:r>
      <w:r w:rsidR="00331AAE" w:rsidRPr="00F63BD6">
        <w:rPr>
          <w:rFonts w:ascii="Times New Roman" w:hAnsi="Times New Roman"/>
          <w:b w:val="0"/>
          <w:sz w:val="22"/>
          <w:szCs w:val="22"/>
          <w:lang w:val="sr-Latn-ME"/>
        </w:rPr>
        <w:t xml:space="preserve"> 5 minuta</w:t>
      </w:r>
      <w:r w:rsidR="000E0D7F" w:rsidRPr="00F63BD6">
        <w:rPr>
          <w:rFonts w:ascii="Times New Roman" w:hAnsi="Times New Roman"/>
          <w:b w:val="0"/>
          <w:sz w:val="22"/>
          <w:szCs w:val="22"/>
          <w:lang w:val="sr-Latn-ME"/>
        </w:rPr>
        <w:t xml:space="preserve"> prije početka </w:t>
      </w:r>
      <w:r w:rsidR="00EC4AE3" w:rsidRPr="00F63BD6">
        <w:rPr>
          <w:rFonts w:ascii="Times New Roman" w:hAnsi="Times New Roman"/>
          <w:b w:val="0"/>
          <w:sz w:val="22"/>
          <w:szCs w:val="22"/>
          <w:lang w:val="sr-Latn-ME"/>
        </w:rPr>
        <w:t>hemioter</w:t>
      </w:r>
      <w:r w:rsidR="000E0D7F" w:rsidRPr="00F63BD6">
        <w:rPr>
          <w:rFonts w:ascii="Times New Roman" w:hAnsi="Times New Roman"/>
          <w:b w:val="0"/>
          <w:sz w:val="22"/>
          <w:szCs w:val="22"/>
          <w:lang w:val="sr-Latn-ME"/>
        </w:rPr>
        <w:t>apije</w:t>
      </w:r>
      <w:r w:rsidR="007C07D8" w:rsidRPr="00F63BD6">
        <w:rPr>
          <w:rFonts w:ascii="Times New Roman" w:hAnsi="Times New Roman"/>
          <w:b w:val="0"/>
          <w:sz w:val="22"/>
          <w:szCs w:val="22"/>
          <w:lang w:val="sr-Latn-ME"/>
        </w:rPr>
        <w:t>.</w:t>
      </w:r>
      <w:r w:rsidR="000E0D7F" w:rsidRPr="00F63BD6">
        <w:rPr>
          <w:rFonts w:ascii="Times New Roman" w:hAnsi="Times New Roman"/>
          <w:b w:val="0"/>
          <w:sz w:val="22"/>
          <w:szCs w:val="22"/>
          <w:lang w:val="sr-Latn-ME"/>
        </w:rPr>
        <w:t xml:space="preserve"> Jedna dodatna doza se može </w:t>
      </w:r>
      <w:r w:rsidR="007C07D8" w:rsidRPr="00F63BD6">
        <w:rPr>
          <w:rFonts w:ascii="Times New Roman" w:hAnsi="Times New Roman"/>
          <w:b w:val="0"/>
          <w:sz w:val="22"/>
          <w:szCs w:val="22"/>
          <w:lang w:val="sr-Latn-ME"/>
        </w:rPr>
        <w:t xml:space="preserve">primijeniti </w:t>
      </w:r>
      <w:r w:rsidR="000E0D7F" w:rsidRPr="00F63BD6">
        <w:rPr>
          <w:rFonts w:ascii="Times New Roman" w:hAnsi="Times New Roman"/>
          <w:b w:val="0"/>
          <w:sz w:val="22"/>
          <w:szCs w:val="22"/>
          <w:lang w:val="sr-Latn-ME"/>
        </w:rPr>
        <w:t>u</w:t>
      </w:r>
      <w:r w:rsidR="007C07D8" w:rsidRPr="00F63BD6">
        <w:rPr>
          <w:rFonts w:ascii="Times New Roman" w:hAnsi="Times New Roman"/>
          <w:b w:val="0"/>
          <w:sz w:val="22"/>
          <w:szCs w:val="22"/>
          <w:lang w:val="sr-Latn-ME"/>
        </w:rPr>
        <w:t>nutar perioda</w:t>
      </w:r>
      <w:r w:rsidR="000E0D7F" w:rsidRPr="00F63BD6">
        <w:rPr>
          <w:rFonts w:ascii="Times New Roman" w:hAnsi="Times New Roman"/>
          <w:b w:val="0"/>
          <w:sz w:val="22"/>
          <w:szCs w:val="22"/>
          <w:lang w:val="sr-Latn-ME"/>
        </w:rPr>
        <w:t xml:space="preserve"> od 24 sata</w:t>
      </w:r>
      <w:r w:rsidR="007C07D8" w:rsidRPr="00F63BD6">
        <w:rPr>
          <w:rFonts w:ascii="Times New Roman" w:hAnsi="Times New Roman"/>
          <w:b w:val="0"/>
          <w:sz w:val="22"/>
          <w:szCs w:val="22"/>
          <w:lang w:val="sr-Latn-ME"/>
        </w:rPr>
        <w:t>, ako je potrebno</w:t>
      </w:r>
      <w:r w:rsidR="000E0D7F" w:rsidRPr="00F63BD6">
        <w:rPr>
          <w:rFonts w:ascii="Times New Roman" w:hAnsi="Times New Roman"/>
          <w:b w:val="0"/>
          <w:sz w:val="22"/>
          <w:szCs w:val="22"/>
          <w:lang w:val="sr-Latn-ME"/>
        </w:rPr>
        <w:t xml:space="preserve">. </w:t>
      </w:r>
      <w:r w:rsidR="007C07D8" w:rsidRPr="00F63BD6">
        <w:rPr>
          <w:rFonts w:ascii="Times New Roman" w:hAnsi="Times New Roman"/>
          <w:b w:val="0"/>
          <w:sz w:val="22"/>
          <w:szCs w:val="22"/>
          <w:lang w:val="sr-Latn-ME"/>
        </w:rPr>
        <w:t>Ov</w:t>
      </w:r>
      <w:r w:rsidR="000E0D7F" w:rsidRPr="00F63BD6">
        <w:rPr>
          <w:rFonts w:ascii="Times New Roman" w:hAnsi="Times New Roman"/>
          <w:b w:val="0"/>
          <w:sz w:val="22"/>
          <w:szCs w:val="22"/>
          <w:lang w:val="sr-Latn-ME"/>
        </w:rPr>
        <w:t xml:space="preserve">u, dodatnu, dozu treba primijeniti </w:t>
      </w:r>
      <w:r w:rsidR="007C07D8" w:rsidRPr="00F63BD6">
        <w:rPr>
          <w:rFonts w:ascii="Times New Roman" w:hAnsi="Times New Roman"/>
          <w:b w:val="0"/>
          <w:sz w:val="22"/>
          <w:szCs w:val="22"/>
          <w:lang w:val="sr-Latn-ME"/>
        </w:rPr>
        <w:t>najmanje</w:t>
      </w:r>
      <w:r w:rsidR="000E0D7F" w:rsidRPr="00F63BD6">
        <w:rPr>
          <w:rFonts w:ascii="Times New Roman" w:hAnsi="Times New Roman"/>
          <w:b w:val="0"/>
          <w:sz w:val="22"/>
          <w:szCs w:val="22"/>
          <w:lang w:val="sr-Latn-ME"/>
        </w:rPr>
        <w:t xml:space="preserve"> 10 minuta </w:t>
      </w:r>
      <w:r w:rsidR="007C07D8" w:rsidRPr="00F63BD6">
        <w:rPr>
          <w:rFonts w:ascii="Times New Roman" w:hAnsi="Times New Roman"/>
          <w:b w:val="0"/>
          <w:sz w:val="22"/>
          <w:szCs w:val="22"/>
          <w:lang w:val="sr-Latn-ME"/>
        </w:rPr>
        <w:t>nakon početne</w:t>
      </w:r>
      <w:r w:rsidR="000E0D7F" w:rsidRPr="00F63BD6">
        <w:rPr>
          <w:rFonts w:ascii="Times New Roman" w:hAnsi="Times New Roman"/>
          <w:b w:val="0"/>
          <w:sz w:val="22"/>
          <w:szCs w:val="22"/>
          <w:lang w:val="sr-Latn-ME"/>
        </w:rPr>
        <w:t xml:space="preserve"> infuzije.</w:t>
      </w:r>
    </w:p>
    <w:p w:rsidR="00663E76" w:rsidRPr="00F63BD6" w:rsidRDefault="00663E76" w:rsidP="00663E76">
      <w:pPr>
        <w:pStyle w:val="SmPCheading"/>
        <w:spacing w:before="0" w:after="0" w:line="240" w:lineRule="auto"/>
        <w:jc w:val="both"/>
        <w:rPr>
          <w:rFonts w:ascii="Times New Roman" w:hAnsi="Times New Roman"/>
          <w:b w:val="0"/>
          <w:sz w:val="22"/>
          <w:szCs w:val="22"/>
          <w:lang w:val="sr-Latn-ME"/>
        </w:rPr>
      </w:pPr>
    </w:p>
    <w:p w:rsidR="00331AAE" w:rsidRPr="00F63BD6" w:rsidRDefault="00BD2BD3" w:rsidP="00663E76">
      <w:pPr>
        <w:jc w:val="both"/>
        <w:rPr>
          <w:rFonts w:ascii="Times New Roman" w:hAnsi="Times New Roman"/>
          <w:i/>
          <w:sz w:val="22"/>
          <w:szCs w:val="22"/>
          <w:u w:val="single"/>
          <w:lang w:val="sr-Latn-ME"/>
        </w:rPr>
      </w:pPr>
      <w:r w:rsidRPr="00F63BD6">
        <w:rPr>
          <w:rFonts w:ascii="Times New Roman" w:hAnsi="Times New Roman"/>
          <w:i/>
          <w:sz w:val="22"/>
          <w:szCs w:val="22"/>
          <w:u w:val="single"/>
          <w:lang w:val="sr-Latn-ME"/>
        </w:rPr>
        <w:t>P</w:t>
      </w:r>
      <w:r w:rsidR="00372C04" w:rsidRPr="00F63BD6">
        <w:rPr>
          <w:rFonts w:ascii="Times New Roman" w:hAnsi="Times New Roman"/>
          <w:i/>
          <w:sz w:val="22"/>
          <w:szCs w:val="22"/>
          <w:u w:val="single"/>
          <w:lang w:val="sr-Latn-ME"/>
        </w:rPr>
        <w:t>ostoperativn</w:t>
      </w:r>
      <w:r w:rsidR="00990913" w:rsidRPr="00F63BD6">
        <w:rPr>
          <w:rFonts w:ascii="Times New Roman" w:hAnsi="Times New Roman"/>
          <w:i/>
          <w:sz w:val="22"/>
          <w:szCs w:val="22"/>
          <w:u w:val="single"/>
          <w:lang w:val="sr-Latn-ME"/>
        </w:rPr>
        <w:t>a nauzeja (mučnina)</w:t>
      </w:r>
      <w:r w:rsidR="00372C04" w:rsidRPr="00F63BD6">
        <w:rPr>
          <w:rFonts w:ascii="Times New Roman" w:hAnsi="Times New Roman"/>
          <w:i/>
          <w:sz w:val="22"/>
          <w:szCs w:val="22"/>
          <w:u w:val="single"/>
          <w:lang w:val="sr-Latn-ME"/>
        </w:rPr>
        <w:t xml:space="preserve"> i povraćanj</w:t>
      </w:r>
      <w:r w:rsidR="00A1313D" w:rsidRPr="00F63BD6">
        <w:rPr>
          <w:rFonts w:ascii="Times New Roman" w:hAnsi="Times New Roman"/>
          <w:i/>
          <w:sz w:val="22"/>
          <w:szCs w:val="22"/>
          <w:u w:val="single"/>
          <w:lang w:val="sr-Latn-ME"/>
        </w:rPr>
        <w:t>e (PONP)</w:t>
      </w:r>
    </w:p>
    <w:p w:rsidR="00BD2BD3" w:rsidRPr="00F63BD6" w:rsidRDefault="00BD2BD3" w:rsidP="00663E76">
      <w:pPr>
        <w:jc w:val="both"/>
        <w:rPr>
          <w:rFonts w:ascii="Times New Roman" w:hAnsi="Times New Roman"/>
          <w:sz w:val="22"/>
          <w:szCs w:val="22"/>
          <w:lang w:val="sr-Latn-ME"/>
        </w:rPr>
      </w:pPr>
      <w:r w:rsidRPr="00F63BD6">
        <w:rPr>
          <w:rFonts w:ascii="Times New Roman" w:hAnsi="Times New Roman"/>
          <w:sz w:val="22"/>
          <w:szCs w:val="22"/>
          <w:lang w:val="sr-Latn-ME"/>
        </w:rPr>
        <w:t>D</w:t>
      </w:r>
      <w:r w:rsidR="00372C04" w:rsidRPr="00F63BD6">
        <w:rPr>
          <w:rFonts w:ascii="Times New Roman" w:hAnsi="Times New Roman"/>
          <w:sz w:val="22"/>
          <w:szCs w:val="22"/>
          <w:lang w:val="sr-Latn-ME"/>
        </w:rPr>
        <w:t>ozu od 1 mg</w:t>
      </w:r>
      <w:r w:rsidR="00331AAE"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(10 </w:t>
      </w:r>
      <w:r w:rsidR="00DF7A70" w:rsidRPr="00F63BD6">
        <w:rPr>
          <w:rFonts w:ascii="Times New Roman" w:hAnsi="Times New Roman"/>
          <w:sz w:val="22"/>
          <w:szCs w:val="22"/>
          <w:lang w:val="sr-Latn-ME"/>
        </w:rPr>
        <w:t>mikrograma</w:t>
      </w:r>
      <w:r w:rsidRPr="00F63BD6">
        <w:rPr>
          <w:rFonts w:ascii="Times New Roman" w:hAnsi="Times New Roman"/>
          <w:sz w:val="22"/>
          <w:szCs w:val="22"/>
          <w:lang w:val="sr-Latn-ME"/>
        </w:rPr>
        <w:t xml:space="preserve">/kg) </w:t>
      </w:r>
      <w:r w:rsidR="00DF7A70" w:rsidRPr="00F63BD6">
        <w:rPr>
          <w:rFonts w:ascii="Times New Roman" w:hAnsi="Times New Roman"/>
          <w:sz w:val="22"/>
          <w:szCs w:val="22"/>
          <w:lang w:val="sr-Latn-ME"/>
        </w:rPr>
        <w:t xml:space="preserve">lijeka Grafor, koncentrat za rastvor za injekciju/infuziju </w:t>
      </w:r>
      <w:r w:rsidR="00331AAE" w:rsidRPr="00F63BD6">
        <w:rPr>
          <w:rFonts w:ascii="Times New Roman" w:hAnsi="Times New Roman"/>
          <w:sz w:val="22"/>
          <w:szCs w:val="22"/>
          <w:lang w:val="sr-Latn-ME"/>
        </w:rPr>
        <w:t xml:space="preserve">treba </w:t>
      </w:r>
      <w:r w:rsidRPr="00F63BD6">
        <w:rPr>
          <w:rFonts w:ascii="Times New Roman" w:hAnsi="Times New Roman"/>
          <w:sz w:val="22"/>
          <w:szCs w:val="22"/>
          <w:lang w:val="sr-Latn-ME"/>
        </w:rPr>
        <w:t>primijeniti</w:t>
      </w:r>
      <w:r w:rsidR="00331AAE" w:rsidRPr="00F63BD6">
        <w:rPr>
          <w:rFonts w:ascii="Times New Roman" w:hAnsi="Times New Roman"/>
          <w:sz w:val="22"/>
          <w:szCs w:val="22"/>
          <w:lang w:val="sr-Latn-ME"/>
        </w:rPr>
        <w:t xml:space="preserve"> </w:t>
      </w:r>
      <w:r w:rsidR="00DF7A70" w:rsidRPr="00F63BD6">
        <w:rPr>
          <w:rFonts w:ascii="Times New Roman" w:hAnsi="Times New Roman"/>
          <w:sz w:val="22"/>
          <w:szCs w:val="22"/>
          <w:lang w:val="sr-Latn-ME"/>
        </w:rPr>
        <w:t>u vidu spore</w:t>
      </w:r>
      <w:r w:rsidR="00331AAE" w:rsidRPr="00F63BD6">
        <w:rPr>
          <w:rFonts w:ascii="Times New Roman" w:hAnsi="Times New Roman"/>
          <w:sz w:val="22"/>
          <w:szCs w:val="22"/>
          <w:lang w:val="sr-Latn-ME"/>
        </w:rPr>
        <w:t xml:space="preserve"> intravensk</w:t>
      </w:r>
      <w:r w:rsidR="00DF7A70" w:rsidRPr="00F63BD6">
        <w:rPr>
          <w:rFonts w:ascii="Times New Roman" w:hAnsi="Times New Roman"/>
          <w:sz w:val="22"/>
          <w:szCs w:val="22"/>
          <w:lang w:val="sr-Latn-ME"/>
        </w:rPr>
        <w:t>e</w:t>
      </w:r>
      <w:r w:rsidR="00331AAE" w:rsidRPr="00F63BD6">
        <w:rPr>
          <w:rFonts w:ascii="Times New Roman" w:hAnsi="Times New Roman"/>
          <w:sz w:val="22"/>
          <w:szCs w:val="22"/>
          <w:lang w:val="sr-Latn-ME"/>
        </w:rPr>
        <w:t xml:space="preserve"> injekciju</w:t>
      </w:r>
      <w:r w:rsidRPr="00F63BD6">
        <w:rPr>
          <w:rFonts w:ascii="Times New Roman" w:hAnsi="Times New Roman"/>
          <w:sz w:val="22"/>
          <w:szCs w:val="22"/>
          <w:lang w:val="sr-Latn-ME"/>
        </w:rPr>
        <w:t xml:space="preserve">. Maksimalna doza </w:t>
      </w:r>
      <w:r w:rsidR="00DF7A70" w:rsidRPr="00F63BD6">
        <w:rPr>
          <w:rFonts w:ascii="Times New Roman" w:hAnsi="Times New Roman"/>
          <w:sz w:val="22"/>
          <w:szCs w:val="22"/>
          <w:lang w:val="sr-Latn-ME"/>
        </w:rPr>
        <w:t xml:space="preserve">lijeka Grafor </w:t>
      </w:r>
      <w:r w:rsidRPr="00F63BD6">
        <w:rPr>
          <w:rFonts w:ascii="Times New Roman" w:hAnsi="Times New Roman"/>
          <w:sz w:val="22"/>
          <w:szCs w:val="22"/>
          <w:lang w:val="sr-Latn-ME"/>
        </w:rPr>
        <w:t xml:space="preserve">primijenjena </w:t>
      </w:r>
      <w:r w:rsidR="00DF7A70" w:rsidRPr="00F63BD6">
        <w:rPr>
          <w:rFonts w:ascii="Times New Roman" w:hAnsi="Times New Roman"/>
          <w:sz w:val="22"/>
          <w:szCs w:val="22"/>
          <w:lang w:val="sr-Latn-ME"/>
        </w:rPr>
        <w:t xml:space="preserve">tokom </w:t>
      </w:r>
      <w:r w:rsidRPr="00F63BD6">
        <w:rPr>
          <w:rFonts w:ascii="Times New Roman" w:hAnsi="Times New Roman"/>
          <w:sz w:val="22"/>
          <w:szCs w:val="22"/>
          <w:lang w:val="sr-Latn-ME"/>
        </w:rPr>
        <w:t xml:space="preserve">24 sata ne </w:t>
      </w:r>
      <w:r w:rsidR="00DF7A70" w:rsidRPr="00F63BD6">
        <w:rPr>
          <w:rFonts w:ascii="Times New Roman" w:hAnsi="Times New Roman"/>
          <w:sz w:val="22"/>
          <w:szCs w:val="22"/>
          <w:lang w:val="sr-Latn-ME"/>
        </w:rPr>
        <w:t>treba da bude veća od</w:t>
      </w:r>
      <w:r w:rsidRPr="00F63BD6">
        <w:rPr>
          <w:rFonts w:ascii="Times New Roman" w:hAnsi="Times New Roman"/>
          <w:sz w:val="22"/>
          <w:szCs w:val="22"/>
          <w:lang w:val="sr-Latn-ME"/>
        </w:rPr>
        <w:t xml:space="preserve"> 3 mg.</w:t>
      </w:r>
    </w:p>
    <w:p w:rsidR="00BD2BD3" w:rsidRPr="00663E76" w:rsidRDefault="00BD2BD3" w:rsidP="00663E76">
      <w:pPr>
        <w:jc w:val="both"/>
        <w:rPr>
          <w:rFonts w:ascii="Times New Roman" w:hAnsi="Times New Roman"/>
          <w:i/>
          <w:sz w:val="22"/>
          <w:szCs w:val="22"/>
          <w:lang w:val="sr-Latn-ME"/>
        </w:rPr>
      </w:pPr>
      <w:r w:rsidRPr="00F63BD6">
        <w:rPr>
          <w:rFonts w:ascii="Times New Roman" w:hAnsi="Times New Roman"/>
          <w:sz w:val="22"/>
          <w:szCs w:val="22"/>
          <w:lang w:val="sr-Latn-ME"/>
        </w:rPr>
        <w:t>Za prevenciju postoperativne mučnine</w:t>
      </w:r>
      <w:r w:rsidR="000212A4" w:rsidRPr="00F63BD6">
        <w:rPr>
          <w:rFonts w:ascii="Times New Roman" w:hAnsi="Times New Roman"/>
          <w:sz w:val="22"/>
          <w:szCs w:val="22"/>
          <w:lang w:val="sr-Latn-ME"/>
        </w:rPr>
        <w:t xml:space="preserve"> i povraćanja, primjenu treba za</w:t>
      </w:r>
      <w:r w:rsidRPr="00F63BD6">
        <w:rPr>
          <w:rFonts w:ascii="Times New Roman" w:hAnsi="Times New Roman"/>
          <w:sz w:val="22"/>
          <w:szCs w:val="22"/>
          <w:lang w:val="sr-Latn-ME"/>
        </w:rPr>
        <w:t xml:space="preserve">vršiti prije </w:t>
      </w:r>
      <w:r w:rsidR="000212A4" w:rsidRPr="00F63BD6">
        <w:rPr>
          <w:rFonts w:ascii="Times New Roman" w:hAnsi="Times New Roman"/>
          <w:sz w:val="22"/>
          <w:szCs w:val="22"/>
          <w:lang w:val="sr-Latn-ME"/>
        </w:rPr>
        <w:t>indukcije anestezije.</w:t>
      </w:r>
    </w:p>
    <w:p w:rsidR="00963263" w:rsidRPr="00663E76" w:rsidRDefault="00963263" w:rsidP="00663E76">
      <w:pPr>
        <w:jc w:val="both"/>
        <w:rPr>
          <w:rFonts w:ascii="Times New Roman" w:hAnsi="Times New Roman"/>
          <w:i/>
          <w:sz w:val="22"/>
          <w:szCs w:val="22"/>
          <w:lang w:val="sr-Latn-ME"/>
        </w:rPr>
      </w:pPr>
    </w:p>
    <w:p w:rsidR="00E76073" w:rsidRPr="00F63BD6" w:rsidRDefault="00663E76" w:rsidP="00663E76">
      <w:pPr>
        <w:jc w:val="both"/>
        <w:rPr>
          <w:rFonts w:ascii="Times New Roman" w:hAnsi="Times New Roman"/>
          <w:i/>
          <w:sz w:val="22"/>
          <w:szCs w:val="22"/>
          <w:lang w:val="sr-Latn-ME"/>
        </w:rPr>
      </w:pPr>
      <w:r>
        <w:rPr>
          <w:rFonts w:ascii="Times New Roman" w:hAnsi="Times New Roman"/>
          <w:i/>
          <w:sz w:val="22"/>
          <w:szCs w:val="22"/>
          <w:lang w:val="sr-Latn-ME"/>
        </w:rPr>
        <w:t>Pedijatrijska populacija</w:t>
      </w:r>
    </w:p>
    <w:p w:rsidR="00E76073" w:rsidRPr="00663E76" w:rsidRDefault="00E76073"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Trenutno dostupni podaci </w:t>
      </w:r>
      <w:r w:rsidR="00A94CB7" w:rsidRPr="00F63BD6">
        <w:rPr>
          <w:rFonts w:ascii="Times New Roman" w:hAnsi="Times New Roman"/>
          <w:sz w:val="22"/>
          <w:szCs w:val="22"/>
          <w:lang w:val="sr-Latn-ME"/>
        </w:rPr>
        <w:t xml:space="preserve">su </w:t>
      </w:r>
      <w:r w:rsidRPr="00F63BD6">
        <w:rPr>
          <w:rFonts w:ascii="Times New Roman" w:hAnsi="Times New Roman"/>
          <w:sz w:val="22"/>
          <w:szCs w:val="22"/>
          <w:lang w:val="sr-Latn-ME"/>
        </w:rPr>
        <w:t xml:space="preserve">opisani u dijelu 5.1, ali se </w:t>
      </w:r>
      <w:r w:rsidR="00A94CB7" w:rsidRPr="00F63BD6">
        <w:rPr>
          <w:rFonts w:ascii="Times New Roman" w:hAnsi="Times New Roman"/>
          <w:sz w:val="22"/>
          <w:szCs w:val="22"/>
          <w:lang w:val="sr-Latn-ME"/>
        </w:rPr>
        <w:t xml:space="preserve">preporuke u vezi doziranja </w:t>
      </w:r>
      <w:r w:rsidR="00663E76">
        <w:rPr>
          <w:rFonts w:ascii="Times New Roman" w:hAnsi="Times New Roman"/>
          <w:sz w:val="22"/>
          <w:szCs w:val="22"/>
          <w:lang w:val="sr-Latn-ME"/>
        </w:rPr>
        <w:t>ne mogu dati.</w:t>
      </w:r>
      <w:r w:rsidRPr="00F63BD6">
        <w:rPr>
          <w:rFonts w:ascii="Times New Roman" w:hAnsi="Times New Roman"/>
          <w:sz w:val="22"/>
          <w:szCs w:val="22"/>
          <w:lang w:val="sr-Latn-ME"/>
        </w:rPr>
        <w:t xml:space="preserve"> </w:t>
      </w:r>
      <w:r w:rsidR="00A94CB7" w:rsidRPr="00F63BD6">
        <w:rPr>
          <w:rFonts w:ascii="Times New Roman" w:hAnsi="Times New Roman"/>
          <w:sz w:val="22"/>
          <w:szCs w:val="22"/>
          <w:lang w:val="sr-Latn-ME"/>
        </w:rPr>
        <w:t xml:space="preserve">Nema </w:t>
      </w:r>
      <w:r w:rsidRPr="00F63BD6">
        <w:rPr>
          <w:rFonts w:ascii="Times New Roman" w:hAnsi="Times New Roman"/>
          <w:sz w:val="22"/>
          <w:szCs w:val="22"/>
          <w:lang w:val="sr-Latn-ME"/>
        </w:rPr>
        <w:t>dovoljn</w:t>
      </w:r>
      <w:r w:rsidR="00A94CB7" w:rsidRPr="00F63BD6">
        <w:rPr>
          <w:rFonts w:ascii="Times New Roman" w:hAnsi="Times New Roman"/>
          <w:sz w:val="22"/>
          <w:szCs w:val="22"/>
          <w:lang w:val="sr-Latn-ME"/>
        </w:rPr>
        <w:t>o</w:t>
      </w:r>
      <w:r w:rsidRPr="00F63BD6">
        <w:rPr>
          <w:rFonts w:ascii="Times New Roman" w:hAnsi="Times New Roman"/>
          <w:sz w:val="22"/>
          <w:szCs w:val="22"/>
          <w:lang w:val="sr-Latn-ME"/>
        </w:rPr>
        <w:t xml:space="preserve"> klinički</w:t>
      </w:r>
      <w:r w:rsidR="00A94CB7" w:rsidRPr="00F63BD6">
        <w:rPr>
          <w:rFonts w:ascii="Times New Roman" w:hAnsi="Times New Roman"/>
          <w:sz w:val="22"/>
          <w:szCs w:val="22"/>
          <w:lang w:val="sr-Latn-ME"/>
        </w:rPr>
        <w:t>h</w:t>
      </w:r>
      <w:r w:rsidRPr="00F63BD6">
        <w:rPr>
          <w:rFonts w:ascii="Times New Roman" w:hAnsi="Times New Roman"/>
          <w:sz w:val="22"/>
          <w:szCs w:val="22"/>
          <w:lang w:val="sr-Latn-ME"/>
        </w:rPr>
        <w:t xml:space="preserve"> dokaz</w:t>
      </w:r>
      <w:r w:rsidR="00A94CB7" w:rsidRPr="00F63BD6">
        <w:rPr>
          <w:rFonts w:ascii="Times New Roman" w:hAnsi="Times New Roman"/>
          <w:sz w:val="22"/>
          <w:szCs w:val="22"/>
          <w:lang w:val="sr-Latn-ME"/>
        </w:rPr>
        <w:t>a</w:t>
      </w:r>
      <w:r w:rsidRPr="00F63BD6">
        <w:rPr>
          <w:rFonts w:ascii="Times New Roman" w:hAnsi="Times New Roman"/>
          <w:sz w:val="22"/>
          <w:szCs w:val="22"/>
          <w:lang w:val="sr-Latn-ME"/>
        </w:rPr>
        <w:t xml:space="preserve"> </w:t>
      </w:r>
      <w:r w:rsidR="00A94CB7" w:rsidRPr="00F63BD6">
        <w:rPr>
          <w:rFonts w:ascii="Times New Roman" w:hAnsi="Times New Roman"/>
          <w:sz w:val="22"/>
          <w:szCs w:val="22"/>
          <w:lang w:val="sr-Latn-ME"/>
        </w:rPr>
        <w:t xml:space="preserve">da </w:t>
      </w:r>
      <w:r w:rsidRPr="00F63BD6">
        <w:rPr>
          <w:rFonts w:ascii="Times New Roman" w:hAnsi="Times New Roman"/>
          <w:sz w:val="22"/>
          <w:szCs w:val="22"/>
          <w:lang w:val="sr-Latn-ME"/>
        </w:rPr>
        <w:t>bi se mogl</w:t>
      </w:r>
      <w:r w:rsidR="00A94CB7" w:rsidRPr="00F63BD6">
        <w:rPr>
          <w:rFonts w:ascii="Times New Roman" w:hAnsi="Times New Roman"/>
          <w:sz w:val="22"/>
          <w:szCs w:val="22"/>
          <w:lang w:val="sr-Latn-ME"/>
        </w:rPr>
        <w:t xml:space="preserve">e dati preporuke za primjenu koncentrata za rastvor za injekciju/infuzju </w:t>
      </w:r>
      <w:r w:rsidRPr="00F63BD6">
        <w:rPr>
          <w:rFonts w:ascii="Times New Roman" w:hAnsi="Times New Roman"/>
          <w:sz w:val="22"/>
          <w:szCs w:val="22"/>
          <w:lang w:val="sr-Latn-ME"/>
        </w:rPr>
        <w:t xml:space="preserve">u prevenciji i </w:t>
      </w:r>
      <w:r w:rsidR="00A94CB7" w:rsidRPr="00F63BD6">
        <w:rPr>
          <w:rFonts w:ascii="Times New Roman" w:hAnsi="Times New Roman"/>
          <w:sz w:val="22"/>
          <w:szCs w:val="22"/>
          <w:lang w:val="sr-Latn-ME"/>
        </w:rPr>
        <w:t>terapiji</w:t>
      </w:r>
      <w:r w:rsidR="00663E76">
        <w:rPr>
          <w:rFonts w:ascii="Times New Roman" w:hAnsi="Times New Roman"/>
          <w:sz w:val="22"/>
          <w:szCs w:val="22"/>
          <w:lang w:val="sr-Latn-ME"/>
        </w:rPr>
        <w:t xml:space="preserve"> postoperativne</w:t>
      </w:r>
      <w:r w:rsidRPr="00F63BD6">
        <w:rPr>
          <w:rFonts w:ascii="Times New Roman" w:hAnsi="Times New Roman"/>
          <w:sz w:val="22"/>
          <w:szCs w:val="22"/>
          <w:lang w:val="sr-Latn-ME"/>
        </w:rPr>
        <w:t xml:space="preserve"> mučnine i povraćanja</w:t>
      </w:r>
      <w:r w:rsidR="00A94CB7" w:rsidRPr="00F63BD6">
        <w:rPr>
          <w:rFonts w:ascii="Times New Roman" w:hAnsi="Times New Roman"/>
          <w:sz w:val="22"/>
          <w:szCs w:val="22"/>
          <w:lang w:val="sr-Latn-ME"/>
        </w:rPr>
        <w:t xml:space="preserve"> kod djece</w:t>
      </w:r>
      <w:r w:rsidRPr="00F63BD6">
        <w:rPr>
          <w:rFonts w:ascii="Times New Roman" w:hAnsi="Times New Roman"/>
          <w:sz w:val="22"/>
          <w:szCs w:val="22"/>
          <w:lang w:val="sr-Latn-ME"/>
        </w:rPr>
        <w:t>.</w:t>
      </w:r>
    </w:p>
    <w:p w:rsidR="00963263" w:rsidRPr="00F63BD6" w:rsidRDefault="00963263" w:rsidP="00663E76">
      <w:pPr>
        <w:jc w:val="both"/>
        <w:rPr>
          <w:rFonts w:ascii="Times New Roman" w:hAnsi="Times New Roman"/>
          <w:sz w:val="22"/>
          <w:szCs w:val="22"/>
          <w:lang w:val="sr-Latn-ME"/>
        </w:rPr>
      </w:pPr>
    </w:p>
    <w:p w:rsidR="00A11910" w:rsidRPr="00F63BD6" w:rsidRDefault="00A11910" w:rsidP="00663E76">
      <w:pPr>
        <w:jc w:val="both"/>
        <w:rPr>
          <w:rFonts w:ascii="Times New Roman" w:hAnsi="Times New Roman"/>
          <w:i/>
          <w:sz w:val="22"/>
          <w:szCs w:val="22"/>
          <w:u w:val="single"/>
          <w:lang w:val="sr-Latn-ME"/>
        </w:rPr>
      </w:pPr>
      <w:r w:rsidRPr="00F63BD6">
        <w:rPr>
          <w:rFonts w:ascii="Times New Roman" w:hAnsi="Times New Roman"/>
          <w:i/>
          <w:sz w:val="22"/>
          <w:szCs w:val="22"/>
          <w:u w:val="single"/>
          <w:lang w:val="sr-Latn-ME"/>
        </w:rPr>
        <w:t xml:space="preserve">Posebne </w:t>
      </w:r>
      <w:r w:rsidR="005C4801" w:rsidRPr="00F63BD6">
        <w:rPr>
          <w:rFonts w:ascii="Times New Roman" w:hAnsi="Times New Roman"/>
          <w:i/>
          <w:sz w:val="22"/>
          <w:szCs w:val="22"/>
          <w:u w:val="single"/>
          <w:lang w:val="sr-Latn-ME"/>
        </w:rPr>
        <w:t>grup</w:t>
      </w:r>
      <w:r w:rsidRPr="00F63BD6">
        <w:rPr>
          <w:rFonts w:ascii="Times New Roman" w:hAnsi="Times New Roman"/>
          <w:i/>
          <w:sz w:val="22"/>
          <w:szCs w:val="22"/>
          <w:u w:val="single"/>
          <w:lang w:val="sr-Latn-ME"/>
        </w:rPr>
        <w:t>e bolesnika</w:t>
      </w:r>
    </w:p>
    <w:p w:rsidR="00A11910" w:rsidRPr="00F63BD6" w:rsidRDefault="00A11910" w:rsidP="00663E76">
      <w:pPr>
        <w:jc w:val="both"/>
        <w:rPr>
          <w:rFonts w:ascii="Times New Roman" w:hAnsi="Times New Roman"/>
          <w:i/>
          <w:sz w:val="22"/>
          <w:szCs w:val="22"/>
          <w:lang w:val="sr-Latn-ME"/>
        </w:rPr>
      </w:pPr>
      <w:r w:rsidRPr="00F63BD6">
        <w:rPr>
          <w:rFonts w:ascii="Times New Roman" w:hAnsi="Times New Roman"/>
          <w:i/>
          <w:sz w:val="22"/>
          <w:szCs w:val="22"/>
          <w:lang w:val="sr-Latn-ME"/>
        </w:rPr>
        <w:t>Starije osobe</w:t>
      </w:r>
      <w:r w:rsidR="00E76073" w:rsidRPr="00F63BD6">
        <w:rPr>
          <w:rFonts w:ascii="Times New Roman" w:hAnsi="Times New Roman"/>
          <w:i/>
          <w:sz w:val="22"/>
          <w:szCs w:val="22"/>
          <w:lang w:val="sr-Latn-ME"/>
        </w:rPr>
        <w:t xml:space="preserve"> i </w:t>
      </w:r>
      <w:r w:rsidR="002B1DEE" w:rsidRPr="00F63BD6">
        <w:rPr>
          <w:rFonts w:ascii="Times New Roman" w:hAnsi="Times New Roman"/>
          <w:i/>
          <w:sz w:val="22"/>
          <w:szCs w:val="22"/>
          <w:lang w:val="sr-Latn-ME"/>
        </w:rPr>
        <w:t>pacijenti</w:t>
      </w:r>
      <w:r w:rsidR="00E76073" w:rsidRPr="00F63BD6">
        <w:rPr>
          <w:rFonts w:ascii="Times New Roman" w:hAnsi="Times New Roman"/>
          <w:i/>
          <w:sz w:val="22"/>
          <w:szCs w:val="22"/>
          <w:lang w:val="sr-Latn-ME"/>
        </w:rPr>
        <w:t xml:space="preserve"> sa oštećenjem</w:t>
      </w:r>
      <w:r w:rsidR="002B1DEE" w:rsidRPr="00F63BD6">
        <w:rPr>
          <w:rFonts w:ascii="Times New Roman" w:hAnsi="Times New Roman"/>
          <w:i/>
          <w:sz w:val="22"/>
          <w:szCs w:val="22"/>
          <w:lang w:val="sr-Latn-ME"/>
        </w:rPr>
        <w:t xml:space="preserve"> funkcije</w:t>
      </w:r>
      <w:r w:rsidR="00E76073" w:rsidRPr="00F63BD6">
        <w:rPr>
          <w:rFonts w:ascii="Times New Roman" w:hAnsi="Times New Roman"/>
          <w:i/>
          <w:sz w:val="22"/>
          <w:szCs w:val="22"/>
          <w:lang w:val="sr-Latn-ME"/>
        </w:rPr>
        <w:t xml:space="preserve"> bubrega</w:t>
      </w:r>
    </w:p>
    <w:p w:rsidR="00E76073" w:rsidRPr="00F63BD6" w:rsidRDefault="002B1DEE" w:rsidP="00663E76">
      <w:pPr>
        <w:jc w:val="both"/>
        <w:rPr>
          <w:rFonts w:ascii="Times New Roman" w:hAnsi="Times New Roman"/>
          <w:sz w:val="22"/>
          <w:szCs w:val="22"/>
          <w:lang w:val="sr-Latn-ME"/>
        </w:rPr>
      </w:pPr>
      <w:r w:rsidRPr="00F63BD6">
        <w:rPr>
          <w:rFonts w:ascii="Times New Roman" w:hAnsi="Times New Roman"/>
          <w:sz w:val="22"/>
          <w:szCs w:val="22"/>
          <w:lang w:val="sr-Latn-ME"/>
        </w:rPr>
        <w:t>Ni</w:t>
      </w:r>
      <w:r w:rsidR="00963263" w:rsidRPr="00F63BD6">
        <w:rPr>
          <w:rFonts w:ascii="Times New Roman" w:hAnsi="Times New Roman"/>
          <w:sz w:val="22"/>
          <w:szCs w:val="22"/>
          <w:lang w:val="sr-Latn-ME"/>
        </w:rPr>
        <w:t>je</w:t>
      </w:r>
      <w:r w:rsidRPr="00F63BD6">
        <w:rPr>
          <w:rFonts w:ascii="Times New Roman" w:hAnsi="Times New Roman"/>
          <w:sz w:val="22"/>
          <w:szCs w:val="22"/>
          <w:lang w:val="sr-Latn-ME"/>
        </w:rPr>
        <w:t>su potrebne dodatne mjere opreza kod starijih pacijenata niti kod pacijenata sa oštećenjem funkcije bubrega.</w:t>
      </w:r>
    </w:p>
    <w:p w:rsidR="00963263" w:rsidRPr="00F63BD6" w:rsidRDefault="00963263" w:rsidP="00663E76">
      <w:pPr>
        <w:jc w:val="both"/>
        <w:rPr>
          <w:rFonts w:ascii="Times New Roman" w:hAnsi="Times New Roman"/>
          <w:sz w:val="22"/>
          <w:szCs w:val="22"/>
          <w:lang w:val="sr-Latn-ME"/>
        </w:rPr>
      </w:pPr>
    </w:p>
    <w:p w:rsidR="00A11910" w:rsidRPr="00F63BD6" w:rsidRDefault="00584239" w:rsidP="00663E76">
      <w:pPr>
        <w:jc w:val="both"/>
        <w:rPr>
          <w:rFonts w:ascii="Times New Roman" w:hAnsi="Times New Roman"/>
          <w:i/>
          <w:sz w:val="22"/>
          <w:szCs w:val="22"/>
          <w:lang w:val="sr-Latn-ME"/>
        </w:rPr>
      </w:pPr>
      <w:r w:rsidRPr="00F63BD6">
        <w:rPr>
          <w:rFonts w:ascii="Times New Roman" w:hAnsi="Times New Roman"/>
          <w:i/>
          <w:sz w:val="22"/>
          <w:szCs w:val="22"/>
          <w:lang w:val="sr-Latn-ME"/>
        </w:rPr>
        <w:t>Pacijenti</w:t>
      </w:r>
      <w:r w:rsidR="00A11910" w:rsidRPr="00F63BD6">
        <w:rPr>
          <w:rFonts w:ascii="Times New Roman" w:hAnsi="Times New Roman"/>
          <w:i/>
          <w:sz w:val="22"/>
          <w:szCs w:val="22"/>
          <w:lang w:val="sr-Latn-ME"/>
        </w:rPr>
        <w:t xml:space="preserve"> s</w:t>
      </w:r>
      <w:r w:rsidR="00E76073" w:rsidRPr="00F63BD6">
        <w:rPr>
          <w:rFonts w:ascii="Times New Roman" w:hAnsi="Times New Roman"/>
          <w:i/>
          <w:sz w:val="22"/>
          <w:szCs w:val="22"/>
          <w:lang w:val="sr-Latn-ME"/>
        </w:rPr>
        <w:t>a</w:t>
      </w:r>
      <w:r w:rsidR="00A11910" w:rsidRPr="00F63BD6">
        <w:rPr>
          <w:rFonts w:ascii="Times New Roman" w:hAnsi="Times New Roman"/>
          <w:i/>
          <w:sz w:val="22"/>
          <w:szCs w:val="22"/>
          <w:lang w:val="sr-Latn-ME"/>
        </w:rPr>
        <w:t xml:space="preserve"> oštećenjem </w:t>
      </w:r>
      <w:r w:rsidR="001B4D34" w:rsidRPr="00F63BD6">
        <w:rPr>
          <w:rFonts w:ascii="Times New Roman" w:hAnsi="Times New Roman"/>
          <w:i/>
          <w:sz w:val="22"/>
          <w:szCs w:val="22"/>
          <w:lang w:val="sr-Latn-ME"/>
        </w:rPr>
        <w:t xml:space="preserve">funkcije </w:t>
      </w:r>
      <w:r w:rsidR="00A11910" w:rsidRPr="00F63BD6">
        <w:rPr>
          <w:rFonts w:ascii="Times New Roman" w:hAnsi="Times New Roman"/>
          <w:i/>
          <w:sz w:val="22"/>
          <w:szCs w:val="22"/>
          <w:lang w:val="sr-Latn-ME"/>
        </w:rPr>
        <w:t xml:space="preserve">jetre </w:t>
      </w:r>
    </w:p>
    <w:p w:rsidR="00E64DE1" w:rsidRDefault="001B4D34" w:rsidP="00663E76">
      <w:pPr>
        <w:jc w:val="both"/>
        <w:rPr>
          <w:rFonts w:ascii="Times New Roman" w:hAnsi="Times New Roman"/>
          <w:sz w:val="22"/>
          <w:szCs w:val="22"/>
          <w:lang w:val="sr-Latn-ME"/>
        </w:rPr>
      </w:pPr>
      <w:r w:rsidRPr="00F63BD6">
        <w:rPr>
          <w:rFonts w:ascii="Times New Roman" w:hAnsi="Times New Roman"/>
          <w:sz w:val="22"/>
          <w:szCs w:val="22"/>
          <w:lang w:val="sr-Latn-ME"/>
        </w:rPr>
        <w:t>Do danas n</w:t>
      </w:r>
      <w:r w:rsidR="00E76073" w:rsidRPr="00F63BD6">
        <w:rPr>
          <w:rFonts w:ascii="Times New Roman" w:hAnsi="Times New Roman"/>
          <w:sz w:val="22"/>
          <w:szCs w:val="22"/>
          <w:lang w:val="sr-Latn-ME"/>
        </w:rPr>
        <w:t xml:space="preserve">ema dokaza o povećanoj </w:t>
      </w:r>
      <w:r w:rsidRPr="00F63BD6">
        <w:rPr>
          <w:rFonts w:ascii="Times New Roman" w:hAnsi="Times New Roman"/>
          <w:sz w:val="22"/>
          <w:szCs w:val="22"/>
          <w:lang w:val="sr-Latn-ME"/>
        </w:rPr>
        <w:t>učestalosti</w:t>
      </w:r>
      <w:r w:rsidR="00E76073" w:rsidRPr="00F63BD6">
        <w:rPr>
          <w:rFonts w:ascii="Times New Roman" w:hAnsi="Times New Roman"/>
          <w:sz w:val="22"/>
          <w:szCs w:val="22"/>
          <w:lang w:val="sr-Latn-ME"/>
        </w:rPr>
        <w:t xml:space="preserve"> </w:t>
      </w:r>
      <w:r w:rsidRPr="00F63BD6">
        <w:rPr>
          <w:rFonts w:ascii="Times New Roman" w:hAnsi="Times New Roman"/>
          <w:sz w:val="22"/>
          <w:szCs w:val="22"/>
          <w:lang w:val="sr-Latn-ME"/>
        </w:rPr>
        <w:t>neželjenih</w:t>
      </w:r>
      <w:r w:rsidR="00E76073" w:rsidRPr="00F63BD6">
        <w:rPr>
          <w:rFonts w:ascii="Times New Roman" w:hAnsi="Times New Roman"/>
          <w:sz w:val="22"/>
          <w:szCs w:val="22"/>
          <w:lang w:val="sr-Latn-ME"/>
        </w:rPr>
        <w:t xml:space="preserve"> događaja kod </w:t>
      </w:r>
      <w:r w:rsidRPr="00F63BD6">
        <w:rPr>
          <w:rFonts w:ascii="Times New Roman" w:hAnsi="Times New Roman"/>
          <w:sz w:val="22"/>
          <w:szCs w:val="22"/>
          <w:lang w:val="sr-Latn-ME"/>
        </w:rPr>
        <w:t>pacijenata</w:t>
      </w:r>
      <w:r w:rsidR="00E76073" w:rsidRPr="00F63BD6">
        <w:rPr>
          <w:rFonts w:ascii="Times New Roman" w:hAnsi="Times New Roman"/>
          <w:sz w:val="22"/>
          <w:szCs w:val="22"/>
          <w:lang w:val="sr-Latn-ME"/>
        </w:rPr>
        <w:t xml:space="preserve"> sa poremećajem</w:t>
      </w:r>
      <w:r w:rsidRPr="00F63BD6">
        <w:rPr>
          <w:rFonts w:ascii="Times New Roman" w:hAnsi="Times New Roman"/>
          <w:sz w:val="22"/>
          <w:szCs w:val="22"/>
          <w:lang w:val="sr-Latn-ME"/>
        </w:rPr>
        <w:t xml:space="preserve"> funkcije</w:t>
      </w:r>
      <w:r w:rsidR="00E76073" w:rsidRPr="00F63BD6">
        <w:rPr>
          <w:rFonts w:ascii="Times New Roman" w:hAnsi="Times New Roman"/>
          <w:sz w:val="22"/>
          <w:szCs w:val="22"/>
          <w:lang w:val="sr-Latn-ME"/>
        </w:rPr>
        <w:t xml:space="preserve"> jetre.</w:t>
      </w:r>
      <w:r w:rsidRPr="00F63BD6">
        <w:rPr>
          <w:rFonts w:ascii="Times New Roman" w:hAnsi="Times New Roman"/>
          <w:sz w:val="22"/>
          <w:szCs w:val="22"/>
          <w:lang w:val="sr-Latn-ME"/>
        </w:rPr>
        <w:t xml:space="preserve"> Na osnovu kinetike lijeka, iako nije neophodno prilago</w:t>
      </w:r>
      <w:r w:rsidR="00633091" w:rsidRPr="00F63BD6">
        <w:rPr>
          <w:rFonts w:ascii="Times New Roman" w:hAnsi="Times New Roman"/>
          <w:sz w:val="22"/>
          <w:szCs w:val="22"/>
          <w:lang w:val="sr-Latn-ME"/>
        </w:rPr>
        <w:t>đ</w:t>
      </w:r>
      <w:r w:rsidR="00663E76">
        <w:rPr>
          <w:rFonts w:ascii="Times New Roman" w:hAnsi="Times New Roman"/>
          <w:sz w:val="22"/>
          <w:szCs w:val="22"/>
          <w:lang w:val="sr-Latn-ME"/>
        </w:rPr>
        <w:t>avanje doze,</w:t>
      </w:r>
      <w:r w:rsidR="00E76073"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granisetron </w:t>
      </w:r>
      <w:r w:rsidR="003A05C8" w:rsidRPr="00F63BD6">
        <w:rPr>
          <w:rFonts w:ascii="Times New Roman" w:hAnsi="Times New Roman"/>
          <w:sz w:val="22"/>
          <w:szCs w:val="22"/>
          <w:lang w:val="sr-Latn-ME"/>
        </w:rPr>
        <w:t xml:space="preserve">treba </w:t>
      </w:r>
      <w:r w:rsidRPr="00F63BD6">
        <w:rPr>
          <w:rFonts w:ascii="Times New Roman" w:hAnsi="Times New Roman"/>
          <w:sz w:val="22"/>
          <w:szCs w:val="22"/>
          <w:lang w:val="sr-Latn-ME"/>
        </w:rPr>
        <w:t>koristiti uz izvjesnu dozu opreza kod ove grupe pacijenata</w:t>
      </w:r>
      <w:r w:rsidR="003A05C8" w:rsidRPr="00F63BD6">
        <w:rPr>
          <w:rFonts w:ascii="Times New Roman" w:hAnsi="Times New Roman"/>
          <w:sz w:val="22"/>
          <w:szCs w:val="22"/>
          <w:lang w:val="sr-Latn-ME"/>
        </w:rPr>
        <w:t xml:space="preserve"> </w:t>
      </w:r>
      <w:r w:rsidR="00A11910" w:rsidRPr="00F63BD6">
        <w:rPr>
          <w:rFonts w:ascii="Times New Roman" w:hAnsi="Times New Roman"/>
          <w:sz w:val="22"/>
          <w:szCs w:val="22"/>
          <w:lang w:val="sr-Latn-ME"/>
        </w:rPr>
        <w:t>(vidjeti poglavlje 5.2).</w:t>
      </w:r>
    </w:p>
    <w:p w:rsidR="00663E76" w:rsidRPr="00F63BD6" w:rsidRDefault="00663E76" w:rsidP="00663E76">
      <w:pPr>
        <w:jc w:val="both"/>
        <w:rPr>
          <w:rFonts w:ascii="Times New Roman" w:hAnsi="Times New Roman"/>
          <w:sz w:val="22"/>
          <w:szCs w:val="22"/>
          <w:lang w:val="sr-Latn-ME"/>
        </w:rPr>
      </w:pPr>
    </w:p>
    <w:p w:rsidR="003A05C8" w:rsidRPr="00F63BD6" w:rsidRDefault="00663E76" w:rsidP="00663E76">
      <w:pPr>
        <w:pStyle w:val="SmPCheading"/>
        <w:spacing w:before="0" w:after="0" w:line="240" w:lineRule="auto"/>
        <w:jc w:val="both"/>
        <w:rPr>
          <w:rFonts w:ascii="Times New Roman" w:hAnsi="Times New Roman"/>
          <w:b w:val="0"/>
          <w:sz w:val="22"/>
          <w:szCs w:val="22"/>
          <w:u w:val="single"/>
          <w:lang w:val="sr-Latn-ME"/>
        </w:rPr>
      </w:pPr>
      <w:r>
        <w:rPr>
          <w:rFonts w:ascii="Times New Roman" w:hAnsi="Times New Roman"/>
          <w:b w:val="0"/>
          <w:sz w:val="22"/>
          <w:szCs w:val="22"/>
          <w:u w:val="single"/>
          <w:lang w:val="sr-Latn-ME"/>
        </w:rPr>
        <w:t>Način primjene</w:t>
      </w:r>
    </w:p>
    <w:p w:rsidR="00663E76" w:rsidRDefault="00663E76" w:rsidP="00663E76">
      <w:pPr>
        <w:pStyle w:val="SmPCheading"/>
        <w:spacing w:before="0" w:after="0" w:line="240" w:lineRule="auto"/>
        <w:jc w:val="both"/>
        <w:rPr>
          <w:rFonts w:ascii="Times New Roman" w:hAnsi="Times New Roman"/>
          <w:b w:val="0"/>
          <w:sz w:val="22"/>
          <w:szCs w:val="22"/>
          <w:lang w:val="sr-Latn-ME"/>
        </w:rPr>
      </w:pPr>
    </w:p>
    <w:p w:rsidR="00717B44" w:rsidRPr="00F63BD6" w:rsidRDefault="00371DED"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Lijek</w:t>
      </w:r>
      <w:r w:rsidR="00270CF4" w:rsidRPr="00F63BD6">
        <w:rPr>
          <w:rFonts w:ascii="Times New Roman" w:hAnsi="Times New Roman"/>
          <w:b w:val="0"/>
          <w:sz w:val="22"/>
          <w:szCs w:val="22"/>
          <w:lang w:val="sr-Latn-ME"/>
        </w:rPr>
        <w:t xml:space="preserve"> </w:t>
      </w:r>
      <w:r w:rsidR="003A05C8" w:rsidRPr="00F63BD6">
        <w:rPr>
          <w:rFonts w:ascii="Times New Roman" w:hAnsi="Times New Roman"/>
          <w:b w:val="0"/>
          <w:sz w:val="22"/>
          <w:szCs w:val="22"/>
          <w:lang w:val="sr-Latn-ME"/>
        </w:rPr>
        <w:t>se može prim</w:t>
      </w:r>
      <w:r w:rsidR="00963263" w:rsidRPr="00F63BD6">
        <w:rPr>
          <w:rFonts w:ascii="Times New Roman" w:hAnsi="Times New Roman"/>
          <w:b w:val="0"/>
          <w:sz w:val="22"/>
          <w:szCs w:val="22"/>
          <w:lang w:val="sr-Latn-ME"/>
        </w:rPr>
        <w:t>i</w:t>
      </w:r>
      <w:r w:rsidR="003A05C8" w:rsidRPr="00F63BD6">
        <w:rPr>
          <w:rFonts w:ascii="Times New Roman" w:hAnsi="Times New Roman"/>
          <w:b w:val="0"/>
          <w:sz w:val="22"/>
          <w:szCs w:val="22"/>
          <w:lang w:val="sr-Latn-ME"/>
        </w:rPr>
        <w:t xml:space="preserve">jeniti ili kao spora intravenska injekcija (kroz najmanje 30 sekundi) ili kao intravenska infuzija </w:t>
      </w:r>
      <w:r w:rsidRPr="00F63BD6">
        <w:rPr>
          <w:rFonts w:ascii="Times New Roman" w:hAnsi="Times New Roman"/>
          <w:b w:val="0"/>
          <w:sz w:val="22"/>
          <w:szCs w:val="22"/>
          <w:lang w:val="sr-Latn-ME"/>
        </w:rPr>
        <w:t>razblažena</w:t>
      </w:r>
      <w:r w:rsidR="003A05C8" w:rsidRPr="00F63BD6">
        <w:rPr>
          <w:rFonts w:ascii="Times New Roman" w:hAnsi="Times New Roman"/>
          <w:b w:val="0"/>
          <w:sz w:val="22"/>
          <w:szCs w:val="22"/>
          <w:lang w:val="sr-Latn-ME"/>
        </w:rPr>
        <w:t xml:space="preserve"> u 20 do 50 ml </w:t>
      </w:r>
      <w:r w:rsidRPr="00F63BD6">
        <w:rPr>
          <w:rFonts w:ascii="Times New Roman" w:hAnsi="Times New Roman"/>
          <w:b w:val="0"/>
          <w:sz w:val="22"/>
          <w:szCs w:val="22"/>
          <w:lang w:val="sr-Latn-ME"/>
        </w:rPr>
        <w:t>kompatibilnog</w:t>
      </w:r>
      <w:r w:rsidR="003A05C8" w:rsidRPr="00F63BD6">
        <w:rPr>
          <w:rFonts w:ascii="Times New Roman" w:hAnsi="Times New Roman"/>
          <w:b w:val="0"/>
          <w:sz w:val="22"/>
          <w:szCs w:val="22"/>
          <w:lang w:val="sr-Latn-ME"/>
        </w:rPr>
        <w:t xml:space="preserve"> rastvora </w:t>
      </w:r>
      <w:r w:rsidRPr="00F63BD6">
        <w:rPr>
          <w:rFonts w:ascii="Times New Roman" w:hAnsi="Times New Roman"/>
          <w:b w:val="0"/>
          <w:sz w:val="22"/>
          <w:szCs w:val="22"/>
          <w:lang w:val="sr-Latn-ME"/>
        </w:rPr>
        <w:t>za infuzij</w:t>
      </w:r>
      <w:r w:rsidR="00963263" w:rsidRPr="00F63BD6">
        <w:rPr>
          <w:rFonts w:ascii="Times New Roman" w:hAnsi="Times New Roman"/>
          <w:b w:val="0"/>
          <w:sz w:val="22"/>
          <w:szCs w:val="22"/>
          <w:lang w:val="sr-Latn-ME"/>
        </w:rPr>
        <w:t>u</w:t>
      </w:r>
      <w:r w:rsidRPr="00F63BD6">
        <w:rPr>
          <w:rFonts w:ascii="Times New Roman" w:hAnsi="Times New Roman"/>
          <w:b w:val="0"/>
          <w:sz w:val="22"/>
          <w:szCs w:val="22"/>
          <w:lang w:val="sr-Latn-ME"/>
        </w:rPr>
        <w:t xml:space="preserve"> i prim</w:t>
      </w:r>
      <w:r w:rsidR="00963263" w:rsidRPr="00F63BD6">
        <w:rPr>
          <w:rFonts w:ascii="Times New Roman" w:hAnsi="Times New Roman"/>
          <w:b w:val="0"/>
          <w:sz w:val="22"/>
          <w:szCs w:val="22"/>
          <w:lang w:val="sr-Latn-ME"/>
        </w:rPr>
        <w:t>i</w:t>
      </w:r>
      <w:r w:rsidRPr="00F63BD6">
        <w:rPr>
          <w:rFonts w:ascii="Times New Roman" w:hAnsi="Times New Roman"/>
          <w:b w:val="0"/>
          <w:sz w:val="22"/>
          <w:szCs w:val="22"/>
          <w:lang w:val="sr-Latn-ME"/>
        </w:rPr>
        <w:t xml:space="preserve">jenjena tokom </w:t>
      </w:r>
      <w:r w:rsidR="003A05C8" w:rsidRPr="00F63BD6">
        <w:rPr>
          <w:rFonts w:ascii="Times New Roman" w:hAnsi="Times New Roman"/>
          <w:b w:val="0"/>
          <w:sz w:val="22"/>
          <w:szCs w:val="22"/>
          <w:lang w:val="sr-Latn-ME"/>
        </w:rPr>
        <w:t>5 minuta.</w:t>
      </w:r>
    </w:p>
    <w:p w:rsidR="000F6BE5" w:rsidRPr="00663E76" w:rsidRDefault="000F6BE5"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lastRenderedPageBreak/>
        <w:t xml:space="preserve">4.3. </w:t>
      </w:r>
      <w:r w:rsidR="003618B5" w:rsidRPr="00F63BD6">
        <w:rPr>
          <w:rFonts w:ascii="Times New Roman" w:hAnsi="Times New Roman"/>
          <w:sz w:val="22"/>
          <w:szCs w:val="22"/>
          <w:lang w:val="sr-Latn-ME"/>
        </w:rPr>
        <w:t>Kontraindikacije</w:t>
      </w:r>
    </w:p>
    <w:p w:rsidR="00064955" w:rsidRDefault="00064955" w:rsidP="00663E76">
      <w:pPr>
        <w:jc w:val="both"/>
        <w:rPr>
          <w:rFonts w:ascii="Times New Roman" w:hAnsi="Times New Roman"/>
          <w:sz w:val="22"/>
          <w:szCs w:val="22"/>
          <w:lang w:val="sr-Latn-ME"/>
        </w:rPr>
      </w:pPr>
    </w:p>
    <w:p w:rsidR="00331AAE" w:rsidRPr="00F63BD6" w:rsidRDefault="00486E4A"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Preosjetljivost na </w:t>
      </w:r>
      <w:r w:rsidR="00F03FE0" w:rsidRPr="00F63BD6">
        <w:rPr>
          <w:rFonts w:ascii="Times New Roman" w:hAnsi="Times New Roman"/>
          <w:sz w:val="22"/>
          <w:szCs w:val="22"/>
          <w:lang w:val="sr-Latn-ME"/>
        </w:rPr>
        <w:t>aktivnu supstancu</w:t>
      </w:r>
      <w:r w:rsidR="000F6BE5" w:rsidRPr="00F63BD6">
        <w:rPr>
          <w:rFonts w:ascii="Times New Roman" w:hAnsi="Times New Roman"/>
          <w:sz w:val="22"/>
          <w:szCs w:val="22"/>
          <w:lang w:val="sr-Latn-ME"/>
        </w:rPr>
        <w:t xml:space="preserve"> </w:t>
      </w:r>
      <w:r w:rsidR="00372C04" w:rsidRPr="00F63BD6">
        <w:rPr>
          <w:rFonts w:ascii="Times New Roman" w:hAnsi="Times New Roman"/>
          <w:sz w:val="22"/>
          <w:szCs w:val="22"/>
          <w:lang w:val="sr-Latn-ME"/>
        </w:rPr>
        <w:t xml:space="preserve">ili na bilo koju </w:t>
      </w:r>
      <w:r w:rsidR="00F03FE0" w:rsidRPr="00F63BD6">
        <w:rPr>
          <w:rFonts w:ascii="Times New Roman" w:hAnsi="Times New Roman"/>
          <w:sz w:val="22"/>
          <w:szCs w:val="22"/>
          <w:lang w:val="sr-Latn-ME"/>
        </w:rPr>
        <w:t>od pomoćnih</w:t>
      </w:r>
      <w:r w:rsidR="00372C04" w:rsidRPr="00F63BD6">
        <w:rPr>
          <w:rFonts w:ascii="Times New Roman" w:hAnsi="Times New Roman"/>
          <w:sz w:val="22"/>
          <w:szCs w:val="22"/>
          <w:lang w:val="sr-Latn-ME"/>
        </w:rPr>
        <w:t xml:space="preserve"> </w:t>
      </w:r>
      <w:r w:rsidRPr="00F63BD6">
        <w:rPr>
          <w:rFonts w:ascii="Times New Roman" w:hAnsi="Times New Roman"/>
          <w:sz w:val="22"/>
          <w:szCs w:val="22"/>
          <w:lang w:val="sr-Latn-ME"/>
        </w:rPr>
        <w:t>supstanc</w:t>
      </w:r>
      <w:r w:rsidR="00F03FE0" w:rsidRPr="00F63BD6">
        <w:rPr>
          <w:rFonts w:ascii="Times New Roman" w:hAnsi="Times New Roman"/>
          <w:sz w:val="22"/>
          <w:szCs w:val="22"/>
          <w:lang w:val="sr-Latn-ME"/>
        </w:rPr>
        <w:t>i navedenih u odjeljku 6.1</w:t>
      </w:r>
      <w:r w:rsidR="00331AAE" w:rsidRPr="00F63BD6">
        <w:rPr>
          <w:rFonts w:ascii="Times New Roman" w:hAnsi="Times New Roman"/>
          <w:sz w:val="22"/>
          <w:szCs w:val="22"/>
          <w:lang w:val="sr-Latn-ME"/>
        </w:rPr>
        <w:t>.</w:t>
      </w:r>
    </w:p>
    <w:p w:rsidR="00691B80" w:rsidRPr="00366253" w:rsidRDefault="00691B80" w:rsidP="00663E76">
      <w:pPr>
        <w:pStyle w:val="SmPCheading"/>
        <w:spacing w:before="0" w:after="0" w:line="240" w:lineRule="auto"/>
        <w:jc w:val="both"/>
        <w:rPr>
          <w:rFonts w:ascii="Times New Roman" w:hAnsi="Times New Roman"/>
          <w:sz w:val="22"/>
          <w:szCs w:val="22"/>
          <w:lang w:val="sr-Latn-ME"/>
        </w:rPr>
      </w:pPr>
    </w:p>
    <w:p w:rsidR="00671A84"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4.4. </w:t>
      </w:r>
      <w:r w:rsidR="0087423F" w:rsidRPr="00F63BD6">
        <w:rPr>
          <w:rFonts w:ascii="Times New Roman" w:hAnsi="Times New Roman"/>
          <w:sz w:val="22"/>
          <w:szCs w:val="22"/>
          <w:lang w:val="sr-Latn-ME"/>
        </w:rPr>
        <w:t>Posebna upozorenja i</w:t>
      </w:r>
      <w:r w:rsidR="00002901" w:rsidRPr="00F63BD6">
        <w:rPr>
          <w:rFonts w:ascii="Times New Roman" w:hAnsi="Times New Roman"/>
          <w:sz w:val="22"/>
          <w:szCs w:val="22"/>
          <w:lang w:val="sr-Latn-ME"/>
        </w:rPr>
        <w:t xml:space="preserve"> mje</w:t>
      </w:r>
      <w:r w:rsidR="00486E4A" w:rsidRPr="00F63BD6">
        <w:rPr>
          <w:rFonts w:ascii="Times New Roman" w:hAnsi="Times New Roman"/>
          <w:sz w:val="22"/>
          <w:szCs w:val="22"/>
          <w:lang w:val="sr-Latn-ME"/>
        </w:rPr>
        <w:t xml:space="preserve">re </w:t>
      </w:r>
      <w:r w:rsidR="00971A79" w:rsidRPr="00F63BD6">
        <w:rPr>
          <w:rFonts w:ascii="Times New Roman" w:hAnsi="Times New Roman"/>
          <w:bCs/>
          <w:sz w:val="22"/>
          <w:szCs w:val="22"/>
          <w:lang w:val="sr-Latn-ME"/>
        </w:rPr>
        <w:t>opreza pri upotrebi lijeka</w:t>
      </w:r>
    </w:p>
    <w:p w:rsidR="00064955" w:rsidRDefault="00064955" w:rsidP="00663E76">
      <w:pPr>
        <w:jc w:val="both"/>
        <w:rPr>
          <w:rFonts w:ascii="Times New Roman" w:hAnsi="Times New Roman"/>
          <w:sz w:val="22"/>
          <w:szCs w:val="22"/>
          <w:lang w:val="sr-Latn-ME"/>
        </w:rPr>
      </w:pPr>
    </w:p>
    <w:p w:rsidR="00331AAE" w:rsidRPr="00F63BD6" w:rsidRDefault="001063C9" w:rsidP="00663E76">
      <w:pPr>
        <w:jc w:val="both"/>
        <w:rPr>
          <w:rFonts w:ascii="Times New Roman" w:hAnsi="Times New Roman"/>
          <w:sz w:val="22"/>
          <w:szCs w:val="22"/>
          <w:lang w:val="sr-Latn-ME"/>
        </w:rPr>
      </w:pPr>
      <w:r w:rsidRPr="00F63BD6">
        <w:rPr>
          <w:rFonts w:ascii="Times New Roman" w:hAnsi="Times New Roman"/>
          <w:sz w:val="22"/>
          <w:szCs w:val="22"/>
          <w:lang w:val="sr-Latn-ME"/>
        </w:rPr>
        <w:t>Kako</w:t>
      </w:r>
      <w:r w:rsidR="00331AAE" w:rsidRPr="00F63BD6">
        <w:rPr>
          <w:rFonts w:ascii="Times New Roman" w:hAnsi="Times New Roman"/>
          <w:sz w:val="22"/>
          <w:szCs w:val="22"/>
          <w:lang w:val="sr-Latn-ME"/>
        </w:rPr>
        <w:t xml:space="preserve"> </w:t>
      </w:r>
      <w:r w:rsidR="00486E4A" w:rsidRPr="00F63BD6">
        <w:rPr>
          <w:rFonts w:ascii="Times New Roman" w:hAnsi="Times New Roman"/>
          <w:sz w:val="22"/>
          <w:szCs w:val="22"/>
          <w:lang w:val="sr-Latn-ME"/>
        </w:rPr>
        <w:t>granis</w:t>
      </w:r>
      <w:r w:rsidR="00C41CD2" w:rsidRPr="00F63BD6">
        <w:rPr>
          <w:rFonts w:ascii="Times New Roman" w:hAnsi="Times New Roman"/>
          <w:sz w:val="22"/>
          <w:szCs w:val="22"/>
          <w:lang w:val="sr-Latn-ME"/>
        </w:rPr>
        <w:t>etron</w:t>
      </w:r>
      <w:r w:rsidR="00331AAE" w:rsidRPr="00F63BD6">
        <w:rPr>
          <w:rFonts w:ascii="Times New Roman" w:hAnsi="Times New Roman"/>
          <w:sz w:val="22"/>
          <w:szCs w:val="22"/>
          <w:lang w:val="sr-Latn-ME"/>
        </w:rPr>
        <w:t xml:space="preserve"> može smanjiti motilitet crijeva, </w:t>
      </w:r>
      <w:r w:rsidRPr="00F63BD6">
        <w:rPr>
          <w:rFonts w:ascii="Times New Roman" w:hAnsi="Times New Roman"/>
          <w:sz w:val="22"/>
          <w:szCs w:val="22"/>
          <w:lang w:val="sr-Latn-ME"/>
        </w:rPr>
        <w:t>pacijente</w:t>
      </w:r>
      <w:r w:rsidR="00331AAE" w:rsidRPr="00F63BD6">
        <w:rPr>
          <w:rFonts w:ascii="Times New Roman" w:hAnsi="Times New Roman"/>
          <w:sz w:val="22"/>
          <w:szCs w:val="22"/>
          <w:lang w:val="sr-Latn-ME"/>
        </w:rPr>
        <w:t xml:space="preserve"> sa zna</w:t>
      </w:r>
      <w:r w:rsidRPr="00F63BD6">
        <w:rPr>
          <w:rFonts w:ascii="Times New Roman" w:hAnsi="Times New Roman"/>
          <w:sz w:val="22"/>
          <w:szCs w:val="22"/>
          <w:lang w:val="sr-Latn-ME"/>
        </w:rPr>
        <w:t>ci</w:t>
      </w:r>
      <w:r w:rsidR="00331AAE" w:rsidRPr="00F63BD6">
        <w:rPr>
          <w:rFonts w:ascii="Times New Roman" w:hAnsi="Times New Roman"/>
          <w:sz w:val="22"/>
          <w:szCs w:val="22"/>
          <w:lang w:val="sr-Latn-ME"/>
        </w:rPr>
        <w:t>ma subakutn</w:t>
      </w:r>
      <w:r w:rsidR="00654C50" w:rsidRPr="00F63BD6">
        <w:rPr>
          <w:rFonts w:ascii="Times New Roman" w:hAnsi="Times New Roman"/>
          <w:sz w:val="22"/>
          <w:szCs w:val="22"/>
          <w:lang w:val="sr-Latn-ME"/>
        </w:rPr>
        <w:t>e</w:t>
      </w:r>
      <w:r w:rsidR="00331AAE" w:rsidRPr="00F63BD6">
        <w:rPr>
          <w:rFonts w:ascii="Times New Roman" w:hAnsi="Times New Roman"/>
          <w:sz w:val="22"/>
          <w:szCs w:val="22"/>
          <w:lang w:val="sr-Latn-ME"/>
        </w:rPr>
        <w:t xml:space="preserve"> </w:t>
      </w:r>
      <w:r w:rsidR="00654C50" w:rsidRPr="00F63BD6">
        <w:rPr>
          <w:rFonts w:ascii="Times New Roman" w:hAnsi="Times New Roman"/>
          <w:sz w:val="22"/>
          <w:szCs w:val="22"/>
          <w:lang w:val="sr-Latn-ME"/>
        </w:rPr>
        <w:t xml:space="preserve">intestinalne opstrukcije </w:t>
      </w:r>
      <w:r w:rsidR="00331AAE" w:rsidRPr="00F63BD6">
        <w:rPr>
          <w:rFonts w:ascii="Times New Roman" w:hAnsi="Times New Roman"/>
          <w:sz w:val="22"/>
          <w:szCs w:val="22"/>
          <w:lang w:val="sr-Latn-ME"/>
        </w:rPr>
        <w:t>crijeva treba pratiti nakon</w:t>
      </w:r>
      <w:r w:rsidR="00654C50" w:rsidRPr="00F63BD6">
        <w:rPr>
          <w:rFonts w:ascii="Times New Roman" w:hAnsi="Times New Roman"/>
          <w:sz w:val="22"/>
          <w:szCs w:val="22"/>
          <w:lang w:val="sr-Latn-ME"/>
        </w:rPr>
        <w:t xml:space="preserve"> njegove</w:t>
      </w:r>
      <w:r w:rsidR="00331AAE" w:rsidRPr="00F63BD6">
        <w:rPr>
          <w:rFonts w:ascii="Times New Roman" w:hAnsi="Times New Roman"/>
          <w:sz w:val="22"/>
          <w:szCs w:val="22"/>
          <w:lang w:val="sr-Latn-ME"/>
        </w:rPr>
        <w:t xml:space="preserve"> primjene</w:t>
      </w:r>
      <w:r w:rsidR="00AB781C" w:rsidRPr="00F63BD6">
        <w:rPr>
          <w:rFonts w:ascii="Times New Roman" w:hAnsi="Times New Roman"/>
          <w:b/>
          <w:sz w:val="22"/>
          <w:szCs w:val="22"/>
          <w:lang w:val="sr-Latn-ME"/>
        </w:rPr>
        <w:t>.</w:t>
      </w:r>
    </w:p>
    <w:p w:rsidR="00064955" w:rsidRDefault="00064955" w:rsidP="00663E76">
      <w:pPr>
        <w:jc w:val="both"/>
        <w:rPr>
          <w:rFonts w:ascii="Times New Roman" w:hAnsi="Times New Roman"/>
          <w:sz w:val="22"/>
          <w:szCs w:val="22"/>
          <w:lang w:val="sr-Latn-ME"/>
        </w:rPr>
      </w:pPr>
    </w:p>
    <w:p w:rsidR="00B0459B" w:rsidRPr="00F63BD6" w:rsidRDefault="00463539"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Kao i kod </w:t>
      </w:r>
      <w:r w:rsidR="007B653C" w:rsidRPr="00F63BD6">
        <w:rPr>
          <w:rFonts w:ascii="Times New Roman" w:hAnsi="Times New Roman"/>
          <w:sz w:val="22"/>
          <w:szCs w:val="22"/>
          <w:lang w:val="sr-Latn-ME"/>
        </w:rPr>
        <w:t>drugih</w:t>
      </w:r>
      <w:r w:rsidRPr="00F63BD6">
        <w:rPr>
          <w:rFonts w:ascii="Times New Roman" w:hAnsi="Times New Roman"/>
          <w:sz w:val="22"/>
          <w:szCs w:val="22"/>
          <w:lang w:val="sr-Latn-ME"/>
        </w:rPr>
        <w:t xml:space="preserve"> </w:t>
      </w:r>
      <w:r w:rsidR="00D37D30" w:rsidRPr="00F63BD6">
        <w:rPr>
          <w:rFonts w:ascii="Times New Roman" w:hAnsi="Times New Roman"/>
          <w:sz w:val="22"/>
          <w:szCs w:val="22"/>
          <w:lang w:val="sr-Latn-ME"/>
        </w:rPr>
        <w:t>5-HT</w:t>
      </w:r>
      <w:r w:rsidR="00D37D30" w:rsidRPr="00F63BD6">
        <w:rPr>
          <w:rFonts w:ascii="Times New Roman" w:hAnsi="Times New Roman"/>
          <w:sz w:val="22"/>
          <w:szCs w:val="22"/>
          <w:vertAlign w:val="subscript"/>
          <w:lang w:val="sr-Latn-ME"/>
        </w:rPr>
        <w:t>3</w:t>
      </w:r>
      <w:r w:rsidR="00435A84" w:rsidRPr="00F63BD6">
        <w:rPr>
          <w:rFonts w:ascii="Times New Roman" w:hAnsi="Times New Roman"/>
          <w:sz w:val="22"/>
          <w:szCs w:val="22"/>
          <w:lang w:val="sr-Latn-ME"/>
        </w:rPr>
        <w:t xml:space="preserve"> antagonista</w:t>
      </w:r>
      <w:r w:rsidR="000D06F0" w:rsidRPr="00F63BD6">
        <w:rPr>
          <w:rFonts w:ascii="Times New Roman" w:hAnsi="Times New Roman"/>
          <w:sz w:val="22"/>
          <w:szCs w:val="22"/>
          <w:lang w:val="sr-Latn-ME"/>
        </w:rPr>
        <w:t>,</w:t>
      </w:r>
      <w:r w:rsidR="00D37D30" w:rsidRPr="00F63BD6">
        <w:rPr>
          <w:rFonts w:ascii="Times New Roman" w:hAnsi="Times New Roman"/>
          <w:sz w:val="22"/>
          <w:szCs w:val="22"/>
          <w:lang w:val="sr-Latn-ME"/>
        </w:rPr>
        <w:t xml:space="preserve"> </w:t>
      </w:r>
      <w:r w:rsidRPr="00F63BD6">
        <w:rPr>
          <w:rFonts w:ascii="Times New Roman" w:hAnsi="Times New Roman"/>
          <w:sz w:val="22"/>
          <w:szCs w:val="22"/>
          <w:lang w:val="sr-Latn-ME"/>
        </w:rPr>
        <w:t>pri primjeni</w:t>
      </w:r>
      <w:r w:rsidR="000D06F0" w:rsidRPr="00F63BD6">
        <w:rPr>
          <w:rFonts w:ascii="Times New Roman" w:hAnsi="Times New Roman"/>
          <w:sz w:val="22"/>
          <w:szCs w:val="22"/>
          <w:lang w:val="sr-Latn-ME"/>
        </w:rPr>
        <w:t xml:space="preserve"> granis</w:t>
      </w:r>
      <w:r w:rsidR="00D37D30" w:rsidRPr="00F63BD6">
        <w:rPr>
          <w:rFonts w:ascii="Times New Roman" w:hAnsi="Times New Roman"/>
          <w:sz w:val="22"/>
          <w:szCs w:val="22"/>
          <w:lang w:val="sr-Latn-ME"/>
        </w:rPr>
        <w:t>etron</w:t>
      </w:r>
      <w:r w:rsidRPr="00F63BD6">
        <w:rPr>
          <w:rFonts w:ascii="Times New Roman" w:hAnsi="Times New Roman"/>
          <w:sz w:val="22"/>
          <w:szCs w:val="22"/>
          <w:lang w:val="sr-Latn-ME"/>
        </w:rPr>
        <w:t xml:space="preserve">a prijavljeni su slučajevi promjena </w:t>
      </w:r>
      <w:r w:rsidR="00C108B5" w:rsidRPr="00F63BD6">
        <w:rPr>
          <w:rFonts w:ascii="Times New Roman" w:hAnsi="Times New Roman"/>
          <w:sz w:val="22"/>
          <w:szCs w:val="22"/>
          <w:lang w:val="sr-Latn-ME"/>
        </w:rPr>
        <w:t xml:space="preserve">na </w:t>
      </w:r>
      <w:r w:rsidRPr="00F63BD6">
        <w:rPr>
          <w:rFonts w:ascii="Times New Roman" w:hAnsi="Times New Roman"/>
          <w:sz w:val="22"/>
          <w:szCs w:val="22"/>
          <w:lang w:val="sr-Latn-ME"/>
        </w:rPr>
        <w:t>elektrokardiogram</w:t>
      </w:r>
      <w:r w:rsidR="00435A84" w:rsidRPr="00F63BD6">
        <w:rPr>
          <w:rFonts w:ascii="Times New Roman" w:hAnsi="Times New Roman"/>
          <w:sz w:val="22"/>
          <w:szCs w:val="22"/>
          <w:lang w:val="sr-Latn-ME"/>
        </w:rPr>
        <w:t xml:space="preserve">u </w:t>
      </w:r>
      <w:r w:rsidRPr="00F63BD6">
        <w:rPr>
          <w:rFonts w:ascii="Times New Roman" w:hAnsi="Times New Roman"/>
          <w:sz w:val="22"/>
          <w:szCs w:val="22"/>
          <w:lang w:val="sr-Latn-ME"/>
        </w:rPr>
        <w:t>(</w:t>
      </w:r>
      <w:r w:rsidR="00D37D30" w:rsidRPr="00F63BD6">
        <w:rPr>
          <w:rFonts w:ascii="Times New Roman" w:hAnsi="Times New Roman"/>
          <w:sz w:val="22"/>
          <w:szCs w:val="22"/>
          <w:lang w:val="sr-Latn-ME"/>
        </w:rPr>
        <w:t>EKG</w:t>
      </w:r>
      <w:r w:rsidRPr="00F63BD6">
        <w:rPr>
          <w:rFonts w:ascii="Times New Roman" w:hAnsi="Times New Roman"/>
          <w:sz w:val="22"/>
          <w:szCs w:val="22"/>
          <w:lang w:val="sr-Latn-ME"/>
        </w:rPr>
        <w:t>), uključujući produženje QT intervala</w:t>
      </w:r>
      <w:r w:rsidR="00D37D30" w:rsidRPr="00F63BD6">
        <w:rPr>
          <w:rFonts w:ascii="Times New Roman" w:hAnsi="Times New Roman"/>
          <w:sz w:val="22"/>
          <w:szCs w:val="22"/>
          <w:lang w:val="sr-Latn-ME"/>
        </w:rPr>
        <w:t>.</w:t>
      </w:r>
      <w:r w:rsidRPr="00F63BD6">
        <w:rPr>
          <w:rFonts w:ascii="Times New Roman" w:hAnsi="Times New Roman"/>
          <w:sz w:val="22"/>
          <w:szCs w:val="22"/>
          <w:lang w:val="sr-Latn-ME"/>
        </w:rPr>
        <w:t xml:space="preserve"> Kod </w:t>
      </w:r>
      <w:r w:rsidR="00FF7C35" w:rsidRPr="00F63BD6">
        <w:rPr>
          <w:rFonts w:ascii="Times New Roman" w:hAnsi="Times New Roman"/>
          <w:sz w:val="22"/>
          <w:szCs w:val="22"/>
          <w:lang w:val="sr-Latn-ME"/>
        </w:rPr>
        <w:t>pacijenata</w:t>
      </w:r>
      <w:r w:rsidRPr="00F63BD6">
        <w:rPr>
          <w:rFonts w:ascii="Times New Roman" w:hAnsi="Times New Roman"/>
          <w:sz w:val="22"/>
          <w:szCs w:val="22"/>
          <w:lang w:val="sr-Latn-ME"/>
        </w:rPr>
        <w:t xml:space="preserve"> </w:t>
      </w:r>
      <w:r w:rsidR="00D37D30" w:rsidRPr="00F63BD6">
        <w:rPr>
          <w:rFonts w:ascii="Times New Roman" w:hAnsi="Times New Roman"/>
          <w:sz w:val="22"/>
          <w:szCs w:val="22"/>
          <w:lang w:val="sr-Latn-ME"/>
        </w:rPr>
        <w:t xml:space="preserve"> s</w:t>
      </w:r>
      <w:r w:rsidR="000D06F0" w:rsidRPr="00F63BD6">
        <w:rPr>
          <w:rFonts w:ascii="Times New Roman" w:hAnsi="Times New Roman"/>
          <w:sz w:val="22"/>
          <w:szCs w:val="22"/>
          <w:lang w:val="sr-Latn-ME"/>
        </w:rPr>
        <w:t>a</w:t>
      </w:r>
      <w:r w:rsidR="00D37D30" w:rsidRPr="00F63BD6">
        <w:rPr>
          <w:rFonts w:ascii="Times New Roman" w:hAnsi="Times New Roman"/>
          <w:sz w:val="22"/>
          <w:szCs w:val="22"/>
          <w:lang w:val="sr-Latn-ME"/>
        </w:rPr>
        <w:t xml:space="preserve"> postojećim aritmijama ili </w:t>
      </w:r>
      <w:r w:rsidR="004F002B" w:rsidRPr="00F63BD6">
        <w:rPr>
          <w:rFonts w:ascii="Times New Roman" w:hAnsi="Times New Roman"/>
          <w:sz w:val="22"/>
          <w:szCs w:val="22"/>
          <w:lang w:val="sr-Latn-ME"/>
        </w:rPr>
        <w:t xml:space="preserve">poremećajima </w:t>
      </w:r>
      <w:r w:rsidRPr="00F63BD6">
        <w:rPr>
          <w:rFonts w:ascii="Times New Roman" w:hAnsi="Times New Roman"/>
          <w:sz w:val="22"/>
          <w:szCs w:val="22"/>
          <w:lang w:val="sr-Latn-ME"/>
        </w:rPr>
        <w:t>srčan</w:t>
      </w:r>
      <w:r w:rsidR="004F002B" w:rsidRPr="00F63BD6">
        <w:rPr>
          <w:rFonts w:ascii="Times New Roman" w:hAnsi="Times New Roman"/>
          <w:sz w:val="22"/>
          <w:szCs w:val="22"/>
          <w:lang w:val="sr-Latn-ME"/>
        </w:rPr>
        <w:t>e</w:t>
      </w:r>
      <w:r w:rsidRPr="00F63BD6">
        <w:rPr>
          <w:rFonts w:ascii="Times New Roman" w:hAnsi="Times New Roman"/>
          <w:sz w:val="22"/>
          <w:szCs w:val="22"/>
          <w:lang w:val="sr-Latn-ME"/>
        </w:rPr>
        <w:t xml:space="preserve"> </w:t>
      </w:r>
      <w:r w:rsidR="004F002B" w:rsidRPr="00F63BD6">
        <w:rPr>
          <w:rFonts w:ascii="Times New Roman" w:hAnsi="Times New Roman"/>
          <w:sz w:val="22"/>
          <w:szCs w:val="22"/>
          <w:lang w:val="sr-Latn-ME"/>
        </w:rPr>
        <w:t>provodljivosti,</w:t>
      </w:r>
      <w:r w:rsidR="00D37D30" w:rsidRPr="00F63BD6">
        <w:rPr>
          <w:rFonts w:ascii="Times New Roman" w:hAnsi="Times New Roman"/>
          <w:sz w:val="22"/>
          <w:szCs w:val="22"/>
          <w:lang w:val="sr-Latn-ME"/>
        </w:rPr>
        <w:t xml:space="preserve"> </w:t>
      </w:r>
      <w:r w:rsidR="003361A4" w:rsidRPr="00F63BD6">
        <w:rPr>
          <w:rFonts w:ascii="Times New Roman" w:hAnsi="Times New Roman"/>
          <w:sz w:val="22"/>
          <w:szCs w:val="22"/>
          <w:lang w:val="sr-Latn-ME"/>
        </w:rPr>
        <w:t>ovo</w:t>
      </w:r>
      <w:r w:rsidRPr="00F63BD6">
        <w:rPr>
          <w:rFonts w:ascii="Times New Roman" w:hAnsi="Times New Roman"/>
          <w:sz w:val="22"/>
          <w:szCs w:val="22"/>
          <w:lang w:val="sr-Latn-ME"/>
        </w:rPr>
        <w:t xml:space="preserve"> može </w:t>
      </w:r>
      <w:r w:rsidR="004F002B" w:rsidRPr="00F63BD6">
        <w:rPr>
          <w:rFonts w:ascii="Times New Roman" w:hAnsi="Times New Roman"/>
          <w:sz w:val="22"/>
          <w:szCs w:val="22"/>
          <w:lang w:val="sr-Latn-ME"/>
        </w:rPr>
        <w:t>dovesti do kliničkih posl</w:t>
      </w:r>
      <w:r w:rsidR="003361A4" w:rsidRPr="00F63BD6">
        <w:rPr>
          <w:rFonts w:ascii="Times New Roman" w:hAnsi="Times New Roman"/>
          <w:sz w:val="22"/>
          <w:szCs w:val="22"/>
          <w:lang w:val="sr-Latn-ME"/>
        </w:rPr>
        <w:t>j</w:t>
      </w:r>
      <w:r w:rsidRPr="00F63BD6">
        <w:rPr>
          <w:rFonts w:ascii="Times New Roman" w:hAnsi="Times New Roman"/>
          <w:sz w:val="22"/>
          <w:szCs w:val="22"/>
          <w:lang w:val="sr-Latn-ME"/>
        </w:rPr>
        <w:t>edic</w:t>
      </w:r>
      <w:r w:rsidR="004F002B" w:rsidRPr="00F63BD6">
        <w:rPr>
          <w:rFonts w:ascii="Times New Roman" w:hAnsi="Times New Roman"/>
          <w:sz w:val="22"/>
          <w:szCs w:val="22"/>
          <w:lang w:val="sr-Latn-ME"/>
        </w:rPr>
        <w:t>a</w:t>
      </w:r>
      <w:r w:rsidRPr="00F63BD6">
        <w:rPr>
          <w:rFonts w:ascii="Times New Roman" w:hAnsi="Times New Roman"/>
          <w:sz w:val="22"/>
          <w:szCs w:val="22"/>
          <w:lang w:val="sr-Latn-ME"/>
        </w:rPr>
        <w:t xml:space="preserve">. Zbog toga je potreban oprez kod </w:t>
      </w:r>
      <w:r w:rsidR="00FF00A5" w:rsidRPr="00F63BD6">
        <w:rPr>
          <w:rFonts w:ascii="Times New Roman" w:hAnsi="Times New Roman"/>
          <w:sz w:val="22"/>
          <w:szCs w:val="22"/>
          <w:lang w:val="sr-Latn-ME"/>
        </w:rPr>
        <w:t>pacijanata sa istovremenim srčanim</w:t>
      </w:r>
      <w:r w:rsidRPr="00F63BD6">
        <w:rPr>
          <w:rFonts w:ascii="Times New Roman" w:hAnsi="Times New Roman"/>
          <w:sz w:val="22"/>
          <w:szCs w:val="22"/>
          <w:lang w:val="sr-Latn-ME"/>
        </w:rPr>
        <w:t xml:space="preserve"> </w:t>
      </w:r>
      <w:r w:rsidR="00FF00A5" w:rsidRPr="00F63BD6">
        <w:rPr>
          <w:rFonts w:ascii="Times New Roman" w:hAnsi="Times New Roman"/>
          <w:sz w:val="22"/>
          <w:szCs w:val="22"/>
          <w:lang w:val="sr-Latn-ME"/>
        </w:rPr>
        <w:t xml:space="preserve">oboljenjima, onih koji </w:t>
      </w:r>
      <w:r w:rsidRPr="00F63BD6">
        <w:rPr>
          <w:rFonts w:ascii="Times New Roman" w:hAnsi="Times New Roman"/>
          <w:sz w:val="22"/>
          <w:szCs w:val="22"/>
          <w:lang w:val="sr-Latn-ME"/>
        </w:rPr>
        <w:t xml:space="preserve">primaju kardiotoksičnu </w:t>
      </w:r>
      <w:r w:rsidR="00EC4AE3" w:rsidRPr="00F63BD6">
        <w:rPr>
          <w:rFonts w:ascii="Times New Roman" w:hAnsi="Times New Roman"/>
          <w:sz w:val="22"/>
          <w:szCs w:val="22"/>
          <w:lang w:val="sr-Latn-ME"/>
        </w:rPr>
        <w:t>hemioter</w:t>
      </w:r>
      <w:r w:rsidRPr="00F63BD6">
        <w:rPr>
          <w:rFonts w:ascii="Times New Roman" w:hAnsi="Times New Roman"/>
          <w:sz w:val="22"/>
          <w:szCs w:val="22"/>
          <w:lang w:val="sr-Latn-ME"/>
        </w:rPr>
        <w:t xml:space="preserve">apiju i/ili istovremeno imaju poremećaje elektrolita (vidjeti </w:t>
      </w:r>
      <w:r w:rsidR="003361A4" w:rsidRPr="00F63BD6">
        <w:rPr>
          <w:rFonts w:ascii="Times New Roman" w:hAnsi="Times New Roman"/>
          <w:sz w:val="22"/>
          <w:szCs w:val="22"/>
          <w:lang w:val="sr-Latn-ME"/>
        </w:rPr>
        <w:t>odjeljak</w:t>
      </w:r>
      <w:r w:rsidR="00064955">
        <w:rPr>
          <w:rFonts w:ascii="Times New Roman" w:hAnsi="Times New Roman"/>
          <w:sz w:val="22"/>
          <w:szCs w:val="22"/>
          <w:lang w:val="sr-Latn-ME"/>
        </w:rPr>
        <w:t xml:space="preserve"> 4.5).</w:t>
      </w:r>
    </w:p>
    <w:p w:rsidR="00064955" w:rsidRDefault="00064955" w:rsidP="00663E76">
      <w:pPr>
        <w:jc w:val="both"/>
        <w:rPr>
          <w:rFonts w:ascii="Times New Roman" w:hAnsi="Times New Roman"/>
          <w:sz w:val="22"/>
          <w:szCs w:val="22"/>
          <w:lang w:val="sr-Latn-ME"/>
        </w:rPr>
      </w:pPr>
    </w:p>
    <w:p w:rsidR="00463539" w:rsidRPr="00F63BD6" w:rsidRDefault="00DA29F7" w:rsidP="00663E76">
      <w:pPr>
        <w:jc w:val="both"/>
        <w:rPr>
          <w:rFonts w:ascii="Times New Roman" w:hAnsi="Times New Roman"/>
          <w:sz w:val="22"/>
          <w:szCs w:val="22"/>
          <w:lang w:val="sr-Latn-ME"/>
        </w:rPr>
      </w:pPr>
      <w:r w:rsidRPr="00F63BD6">
        <w:rPr>
          <w:rFonts w:ascii="Times New Roman" w:hAnsi="Times New Roman"/>
          <w:sz w:val="22"/>
          <w:szCs w:val="22"/>
          <w:lang w:val="sr-Latn-ME"/>
        </w:rPr>
        <w:t>Prijavljena</w:t>
      </w:r>
      <w:r w:rsidR="00463539" w:rsidRPr="00F63BD6">
        <w:rPr>
          <w:rFonts w:ascii="Times New Roman" w:hAnsi="Times New Roman"/>
          <w:sz w:val="22"/>
          <w:szCs w:val="22"/>
          <w:lang w:val="sr-Latn-ME"/>
        </w:rPr>
        <w:t xml:space="preserve"> je </w:t>
      </w:r>
      <w:r w:rsidR="00BC71E9" w:rsidRPr="00F63BD6">
        <w:rPr>
          <w:rFonts w:ascii="Times New Roman" w:hAnsi="Times New Roman"/>
          <w:sz w:val="22"/>
          <w:szCs w:val="22"/>
          <w:lang w:val="sr-Latn-ME"/>
        </w:rPr>
        <w:t xml:space="preserve">ukrštena </w:t>
      </w:r>
      <w:r w:rsidR="00463539" w:rsidRPr="00F63BD6">
        <w:rPr>
          <w:rFonts w:ascii="Times New Roman" w:hAnsi="Times New Roman"/>
          <w:sz w:val="22"/>
          <w:szCs w:val="22"/>
          <w:lang w:val="sr-Latn-ME"/>
        </w:rPr>
        <w:t>osjetljivost</w:t>
      </w:r>
      <w:r w:rsidR="00BC71E9" w:rsidRPr="00F63BD6">
        <w:rPr>
          <w:rFonts w:ascii="Times New Roman" w:hAnsi="Times New Roman"/>
          <w:sz w:val="22"/>
          <w:szCs w:val="22"/>
          <w:lang w:val="sr-Latn-ME"/>
        </w:rPr>
        <w:t xml:space="preserve"> između antagonista 5-HT</w:t>
      </w:r>
      <w:r w:rsidR="005544D3" w:rsidRPr="00F63BD6">
        <w:rPr>
          <w:rFonts w:ascii="Times New Roman" w:hAnsi="Times New Roman"/>
          <w:sz w:val="22"/>
          <w:szCs w:val="22"/>
          <w:vertAlign w:val="subscript"/>
          <w:lang w:val="sr-Latn-ME"/>
        </w:rPr>
        <w:t>3</w:t>
      </w:r>
      <w:r w:rsidR="00BC71E9" w:rsidRPr="00F63BD6">
        <w:rPr>
          <w:rFonts w:ascii="Times New Roman" w:hAnsi="Times New Roman"/>
          <w:sz w:val="22"/>
          <w:szCs w:val="22"/>
          <w:lang w:val="sr-Latn-ME"/>
        </w:rPr>
        <w:t xml:space="preserve"> (npr. d</w:t>
      </w:r>
      <w:r w:rsidR="00463539" w:rsidRPr="00F63BD6">
        <w:rPr>
          <w:rFonts w:ascii="Times New Roman" w:hAnsi="Times New Roman"/>
          <w:sz w:val="22"/>
          <w:szCs w:val="22"/>
          <w:lang w:val="sr-Latn-ME"/>
        </w:rPr>
        <w:t>olasetron, ondasetron).</w:t>
      </w:r>
    </w:p>
    <w:p w:rsidR="00064955" w:rsidRDefault="00064955" w:rsidP="00663E76">
      <w:pPr>
        <w:jc w:val="both"/>
        <w:rPr>
          <w:rFonts w:ascii="Times New Roman" w:hAnsi="Times New Roman"/>
          <w:sz w:val="22"/>
          <w:szCs w:val="22"/>
          <w:lang w:val="sr-Latn-ME"/>
        </w:rPr>
      </w:pPr>
    </w:p>
    <w:p w:rsidR="004F1536" w:rsidRPr="00F63BD6" w:rsidRDefault="005544D3" w:rsidP="00663E76">
      <w:pPr>
        <w:jc w:val="both"/>
        <w:rPr>
          <w:rFonts w:ascii="Times New Roman" w:hAnsi="Times New Roman"/>
          <w:sz w:val="22"/>
          <w:szCs w:val="22"/>
          <w:lang w:val="sr-Latn-ME"/>
        </w:rPr>
      </w:pPr>
      <w:r w:rsidRPr="00F63BD6">
        <w:rPr>
          <w:rFonts w:ascii="Times New Roman" w:hAnsi="Times New Roman"/>
          <w:sz w:val="22"/>
          <w:szCs w:val="22"/>
          <w:lang w:val="sr-Latn-ME"/>
        </w:rPr>
        <w:t>Lijek Grafor, koncentrat za rastvor za injekciju/infuziju sadrži 0,15mmol (3.5mg) natrijuma po ml. Savjetuje se poseban oprez kod pacijenata koji su na dijeti u kojoj se kontroliše unos natrijuma, ukoliko je doza veća od 6.6ml.</w:t>
      </w:r>
    </w:p>
    <w:p w:rsidR="00064955" w:rsidRDefault="00064955" w:rsidP="00663E76">
      <w:pPr>
        <w:jc w:val="both"/>
        <w:rPr>
          <w:rFonts w:ascii="Times New Roman" w:hAnsi="Times New Roman"/>
          <w:sz w:val="22"/>
          <w:szCs w:val="22"/>
          <w:lang w:val="sr-Latn-ME"/>
        </w:rPr>
      </w:pPr>
    </w:p>
    <w:p w:rsidR="005544D3" w:rsidRPr="00F63BD6" w:rsidRDefault="005544D3" w:rsidP="00663E76">
      <w:pPr>
        <w:jc w:val="both"/>
        <w:rPr>
          <w:rFonts w:ascii="Times New Roman" w:hAnsi="Times New Roman"/>
          <w:sz w:val="22"/>
          <w:szCs w:val="22"/>
          <w:lang w:val="sr-Latn-ME"/>
        </w:rPr>
      </w:pPr>
      <w:r w:rsidRPr="00F63BD6">
        <w:rPr>
          <w:rFonts w:ascii="Times New Roman" w:hAnsi="Times New Roman"/>
          <w:sz w:val="22"/>
          <w:szCs w:val="22"/>
          <w:lang w:val="sr-Latn-ME"/>
        </w:rPr>
        <w:t>Prijavljeni su slučajevi serotoninskog sindroma prilikom istovremene upotrebe sa antagonistima 5-HT3, ali je učestalost bila najveća ukoliko su 5-HT</w:t>
      </w:r>
      <w:r w:rsidRPr="00F63BD6">
        <w:rPr>
          <w:rFonts w:ascii="Times New Roman" w:hAnsi="Times New Roman"/>
          <w:sz w:val="22"/>
          <w:szCs w:val="22"/>
          <w:vertAlign w:val="subscript"/>
          <w:lang w:val="sr-Latn-ME"/>
        </w:rPr>
        <w:t>3</w:t>
      </w:r>
      <w:r w:rsidRPr="00F63BD6">
        <w:rPr>
          <w:rFonts w:ascii="Times New Roman" w:hAnsi="Times New Roman"/>
          <w:sz w:val="22"/>
          <w:szCs w:val="22"/>
          <w:lang w:val="sr-Latn-ME"/>
        </w:rPr>
        <w:t xml:space="preserve"> antagonisti primjenjivani u kombinaciji sa drugim serotonergičkim ljekovima (uključujući selektivne inhibitore preuzimanja serotonina (SSRIs), kao i </w:t>
      </w:r>
      <w:r w:rsidR="006C6F64" w:rsidRPr="00F63BD6">
        <w:rPr>
          <w:rFonts w:ascii="Times New Roman" w:hAnsi="Times New Roman"/>
          <w:sz w:val="22"/>
          <w:szCs w:val="22"/>
          <w:lang w:val="sr-Latn-ME"/>
        </w:rPr>
        <w:t xml:space="preserve">inhibitore ponovnog preuzimanja serotonina i noradrenalina </w:t>
      </w:r>
      <w:r w:rsidRPr="00F63BD6">
        <w:rPr>
          <w:rFonts w:ascii="Times New Roman" w:hAnsi="Times New Roman"/>
          <w:sz w:val="22"/>
          <w:szCs w:val="22"/>
          <w:lang w:val="sr-Latn-ME"/>
        </w:rPr>
        <w:t xml:space="preserve">(SNRIs). </w:t>
      </w:r>
      <w:r w:rsidR="006C6F64" w:rsidRPr="00F63BD6">
        <w:rPr>
          <w:rFonts w:ascii="Times New Roman" w:hAnsi="Times New Roman"/>
          <w:sz w:val="22"/>
          <w:szCs w:val="22"/>
          <w:lang w:val="sr-Latn-ME"/>
        </w:rPr>
        <w:t>Savjetuje se odgovarajuće praćenje pacijenta sa simptomina sličnim serotoninskom sindromu.</w:t>
      </w:r>
    </w:p>
    <w:p w:rsidR="006C6F64" w:rsidRPr="00F63BD6" w:rsidRDefault="006C6F64" w:rsidP="00663E76">
      <w:pPr>
        <w:jc w:val="both"/>
        <w:rPr>
          <w:rFonts w:ascii="Times New Roman" w:hAnsi="Times New Roman"/>
          <w:sz w:val="22"/>
          <w:szCs w:val="22"/>
          <w:lang w:val="sr-Latn-ME"/>
        </w:rPr>
      </w:pPr>
    </w:p>
    <w:p w:rsidR="00AB781C" w:rsidRPr="00F63BD6" w:rsidRDefault="00AB781C" w:rsidP="00663E76">
      <w:pPr>
        <w:jc w:val="both"/>
        <w:rPr>
          <w:rFonts w:ascii="Times New Roman" w:hAnsi="Times New Roman"/>
          <w:b/>
          <w:bCs/>
          <w:sz w:val="22"/>
          <w:szCs w:val="22"/>
          <w:lang w:val="sr-Latn-ME"/>
        </w:rPr>
      </w:pPr>
      <w:r w:rsidRPr="00F63BD6">
        <w:rPr>
          <w:rFonts w:ascii="Times New Roman" w:hAnsi="Times New Roman"/>
          <w:b/>
          <w:bCs/>
          <w:sz w:val="22"/>
          <w:szCs w:val="22"/>
          <w:lang w:val="sr-Latn-ME"/>
        </w:rPr>
        <w:t>4.5. Interakcije sa drugim ljekovima i druge vrste interakcija</w:t>
      </w:r>
    </w:p>
    <w:p w:rsidR="00064955" w:rsidRDefault="00064955" w:rsidP="00663E76">
      <w:pPr>
        <w:jc w:val="both"/>
        <w:rPr>
          <w:rFonts w:ascii="Times New Roman" w:hAnsi="Times New Roman"/>
          <w:sz w:val="22"/>
          <w:szCs w:val="22"/>
          <w:lang w:val="sr-Latn-ME"/>
        </w:rPr>
      </w:pPr>
    </w:p>
    <w:p w:rsidR="00EC4AE3" w:rsidRPr="00F63BD6" w:rsidRDefault="008E6A64" w:rsidP="00663E76">
      <w:pPr>
        <w:jc w:val="both"/>
        <w:rPr>
          <w:rFonts w:ascii="Times New Roman" w:hAnsi="Times New Roman"/>
          <w:sz w:val="22"/>
          <w:szCs w:val="22"/>
          <w:lang w:val="sr-Latn-ME"/>
        </w:rPr>
      </w:pPr>
      <w:r w:rsidRPr="00F63BD6">
        <w:rPr>
          <w:rFonts w:ascii="Times New Roman" w:hAnsi="Times New Roman"/>
          <w:sz w:val="22"/>
          <w:szCs w:val="22"/>
          <w:lang w:val="sr-Latn-ME"/>
        </w:rPr>
        <w:t>Kao i kod ostalih antagonista 5-HT</w:t>
      </w:r>
      <w:r w:rsidRPr="00F63BD6">
        <w:rPr>
          <w:rFonts w:ascii="Times New Roman" w:hAnsi="Times New Roman"/>
          <w:sz w:val="22"/>
          <w:szCs w:val="22"/>
          <w:vertAlign w:val="subscript"/>
          <w:lang w:val="sr-Latn-ME"/>
        </w:rPr>
        <w:t>3</w:t>
      </w:r>
      <w:r w:rsidRPr="00F63BD6">
        <w:rPr>
          <w:rFonts w:ascii="Times New Roman" w:hAnsi="Times New Roman"/>
          <w:sz w:val="22"/>
          <w:szCs w:val="22"/>
          <w:lang w:val="sr-Latn-ME"/>
        </w:rPr>
        <w:t xml:space="preserve">, pri primjeni granisetrona prijavljeni su slučajevi promjena elektrokardiograma (EKG), uključujući produženja QT intervala. Kod </w:t>
      </w:r>
      <w:r w:rsidR="00EC4AE3" w:rsidRPr="00F63BD6">
        <w:rPr>
          <w:rFonts w:ascii="Times New Roman" w:hAnsi="Times New Roman"/>
          <w:sz w:val="22"/>
          <w:szCs w:val="22"/>
          <w:lang w:val="sr-Latn-ME"/>
        </w:rPr>
        <w:t>pacijenata</w:t>
      </w:r>
      <w:r w:rsidRPr="00F63BD6">
        <w:rPr>
          <w:rFonts w:ascii="Times New Roman" w:hAnsi="Times New Roman"/>
          <w:sz w:val="22"/>
          <w:szCs w:val="22"/>
          <w:lang w:val="sr-Latn-ME"/>
        </w:rPr>
        <w:t xml:space="preserve"> koji su  istovremeno </w:t>
      </w:r>
      <w:r w:rsidR="00EC4AE3" w:rsidRPr="00F63BD6">
        <w:rPr>
          <w:rFonts w:ascii="Times New Roman" w:hAnsi="Times New Roman"/>
          <w:sz w:val="22"/>
          <w:szCs w:val="22"/>
          <w:lang w:val="sr-Latn-ME"/>
        </w:rPr>
        <w:t>na terapiji</w:t>
      </w:r>
      <w:r w:rsidRPr="00F63BD6">
        <w:rPr>
          <w:rFonts w:ascii="Times New Roman" w:hAnsi="Times New Roman"/>
          <w:sz w:val="22"/>
          <w:szCs w:val="22"/>
          <w:lang w:val="sr-Latn-ME"/>
        </w:rPr>
        <w:t xml:space="preserve"> ljekovima </w:t>
      </w:r>
      <w:r w:rsidR="00EC4AE3" w:rsidRPr="00F63BD6">
        <w:rPr>
          <w:rFonts w:ascii="Times New Roman" w:hAnsi="Times New Roman"/>
          <w:sz w:val="22"/>
          <w:szCs w:val="22"/>
          <w:lang w:val="sr-Latn-ME"/>
        </w:rPr>
        <w:t>za koje se zna da</w:t>
      </w:r>
      <w:r w:rsidRPr="00F63BD6">
        <w:rPr>
          <w:rFonts w:ascii="Times New Roman" w:hAnsi="Times New Roman"/>
          <w:sz w:val="22"/>
          <w:szCs w:val="22"/>
          <w:lang w:val="sr-Latn-ME"/>
        </w:rPr>
        <w:t xml:space="preserve"> produž</w:t>
      </w:r>
      <w:r w:rsidR="00EC4AE3" w:rsidRPr="00F63BD6">
        <w:rPr>
          <w:rFonts w:ascii="Times New Roman" w:hAnsi="Times New Roman"/>
          <w:sz w:val="22"/>
          <w:szCs w:val="22"/>
          <w:lang w:val="sr-Latn-ME"/>
        </w:rPr>
        <w:t>ava</w:t>
      </w:r>
      <w:r w:rsidRPr="00F63BD6">
        <w:rPr>
          <w:rFonts w:ascii="Times New Roman" w:hAnsi="Times New Roman"/>
          <w:sz w:val="22"/>
          <w:szCs w:val="22"/>
          <w:lang w:val="sr-Latn-ME"/>
        </w:rPr>
        <w:t xml:space="preserve">ju QT interval i/ili su </w:t>
      </w:r>
      <w:r w:rsidR="00EC4AE3" w:rsidRPr="00F63BD6">
        <w:rPr>
          <w:rFonts w:ascii="Times New Roman" w:hAnsi="Times New Roman"/>
          <w:sz w:val="22"/>
          <w:szCs w:val="22"/>
          <w:lang w:val="sr-Latn-ME"/>
        </w:rPr>
        <w:t>skloni izazivanju aritmija</w:t>
      </w:r>
      <w:r w:rsidRPr="00F63BD6">
        <w:rPr>
          <w:rFonts w:ascii="Times New Roman" w:hAnsi="Times New Roman"/>
          <w:sz w:val="22"/>
          <w:szCs w:val="22"/>
          <w:lang w:val="sr-Latn-ME"/>
        </w:rPr>
        <w:t xml:space="preserve">, </w:t>
      </w:r>
      <w:r w:rsidR="00EC4AE3" w:rsidRPr="00F63BD6">
        <w:rPr>
          <w:rFonts w:ascii="Times New Roman" w:hAnsi="Times New Roman"/>
          <w:sz w:val="22"/>
          <w:szCs w:val="22"/>
          <w:lang w:val="sr-Latn-ME"/>
        </w:rPr>
        <w:t>ovo</w:t>
      </w:r>
      <w:r w:rsidRPr="00F63BD6">
        <w:rPr>
          <w:rFonts w:ascii="Times New Roman" w:hAnsi="Times New Roman"/>
          <w:sz w:val="22"/>
          <w:szCs w:val="22"/>
          <w:lang w:val="sr-Latn-ME"/>
        </w:rPr>
        <w:t xml:space="preserve"> može  uzrokovati kliničke posljedice (vidjeti </w:t>
      </w:r>
      <w:r w:rsidR="00EC4AE3" w:rsidRPr="00F63BD6">
        <w:rPr>
          <w:rFonts w:ascii="Times New Roman" w:hAnsi="Times New Roman"/>
          <w:sz w:val="22"/>
          <w:szCs w:val="22"/>
          <w:lang w:val="sr-Latn-ME"/>
        </w:rPr>
        <w:t>odjeljak</w:t>
      </w:r>
      <w:r w:rsidR="00064955">
        <w:rPr>
          <w:rFonts w:ascii="Times New Roman" w:hAnsi="Times New Roman"/>
          <w:sz w:val="22"/>
          <w:szCs w:val="22"/>
          <w:lang w:val="sr-Latn-ME"/>
        </w:rPr>
        <w:t xml:space="preserve"> 4.4.).</w:t>
      </w:r>
    </w:p>
    <w:p w:rsidR="00064955" w:rsidRDefault="00064955" w:rsidP="00663E76">
      <w:pPr>
        <w:jc w:val="both"/>
        <w:rPr>
          <w:rFonts w:ascii="Times New Roman" w:hAnsi="Times New Roman"/>
          <w:sz w:val="22"/>
          <w:szCs w:val="22"/>
          <w:lang w:val="sr-Latn-ME"/>
        </w:rPr>
      </w:pPr>
    </w:p>
    <w:p w:rsidR="008E6A64" w:rsidRPr="00F63BD6" w:rsidRDefault="008E6A64"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U </w:t>
      </w:r>
      <w:r w:rsidR="00EC4AE3" w:rsidRPr="00F63BD6">
        <w:rPr>
          <w:rFonts w:ascii="Times New Roman" w:hAnsi="Times New Roman"/>
          <w:sz w:val="22"/>
          <w:szCs w:val="22"/>
          <w:lang w:val="sr-Latn-ME"/>
        </w:rPr>
        <w:t>studijama</w:t>
      </w:r>
      <w:r w:rsidRPr="00F63BD6">
        <w:rPr>
          <w:rFonts w:ascii="Times New Roman" w:hAnsi="Times New Roman"/>
          <w:sz w:val="22"/>
          <w:szCs w:val="22"/>
          <w:lang w:val="sr-Latn-ME"/>
        </w:rPr>
        <w:t xml:space="preserve"> na zdravim </w:t>
      </w:r>
      <w:r w:rsidR="00EC4AE3" w:rsidRPr="00F63BD6">
        <w:rPr>
          <w:rFonts w:ascii="Times New Roman" w:hAnsi="Times New Roman"/>
          <w:sz w:val="22"/>
          <w:szCs w:val="22"/>
          <w:lang w:val="sr-Latn-ME"/>
        </w:rPr>
        <w:t>ispitanicima</w:t>
      </w:r>
      <w:r w:rsidRPr="00F63BD6">
        <w:rPr>
          <w:rFonts w:ascii="Times New Roman" w:hAnsi="Times New Roman"/>
          <w:sz w:val="22"/>
          <w:szCs w:val="22"/>
          <w:lang w:val="sr-Latn-ME"/>
        </w:rPr>
        <w:t xml:space="preserve"> ni</w:t>
      </w:r>
      <w:r w:rsidR="00633091" w:rsidRPr="00F63BD6">
        <w:rPr>
          <w:rFonts w:ascii="Times New Roman" w:hAnsi="Times New Roman"/>
          <w:sz w:val="22"/>
          <w:szCs w:val="22"/>
          <w:lang w:val="sr-Latn-ME"/>
        </w:rPr>
        <w:t>je</w:t>
      </w:r>
      <w:r w:rsidRPr="00F63BD6">
        <w:rPr>
          <w:rFonts w:ascii="Times New Roman" w:hAnsi="Times New Roman"/>
          <w:sz w:val="22"/>
          <w:szCs w:val="22"/>
          <w:lang w:val="sr-Latn-ME"/>
        </w:rPr>
        <w:t xml:space="preserve">su </w:t>
      </w:r>
      <w:r w:rsidR="00EC4AE3" w:rsidRPr="00F63BD6">
        <w:rPr>
          <w:rFonts w:ascii="Times New Roman" w:hAnsi="Times New Roman"/>
          <w:sz w:val="22"/>
          <w:szCs w:val="22"/>
          <w:lang w:val="sr-Latn-ME"/>
        </w:rPr>
        <w:t>na</w:t>
      </w:r>
      <w:r w:rsidR="00633091" w:rsidRPr="00F63BD6">
        <w:rPr>
          <w:rFonts w:ascii="Times New Roman" w:hAnsi="Times New Roman"/>
          <w:sz w:val="22"/>
          <w:szCs w:val="22"/>
          <w:lang w:val="sr-Latn-ME"/>
        </w:rPr>
        <w:t>đ</w:t>
      </w:r>
      <w:r w:rsidR="00EC4AE3" w:rsidRPr="00F63BD6">
        <w:rPr>
          <w:rFonts w:ascii="Times New Roman" w:hAnsi="Times New Roman"/>
          <w:sz w:val="22"/>
          <w:szCs w:val="22"/>
          <w:lang w:val="sr-Latn-ME"/>
        </w:rPr>
        <w:t>eni nikakvi</w:t>
      </w:r>
      <w:r w:rsidRPr="00F63BD6">
        <w:rPr>
          <w:rFonts w:ascii="Times New Roman" w:hAnsi="Times New Roman"/>
          <w:sz w:val="22"/>
          <w:szCs w:val="22"/>
          <w:lang w:val="sr-Latn-ME"/>
        </w:rPr>
        <w:t xml:space="preserve"> dokazi </w:t>
      </w:r>
      <w:r w:rsidR="00EC4AE3" w:rsidRPr="00F63BD6">
        <w:rPr>
          <w:rFonts w:ascii="Times New Roman" w:hAnsi="Times New Roman"/>
          <w:sz w:val="22"/>
          <w:szCs w:val="22"/>
          <w:lang w:val="sr-Latn-ME"/>
        </w:rPr>
        <w:t xml:space="preserve">o bilo kakvim </w:t>
      </w:r>
      <w:r w:rsidRPr="00F63BD6">
        <w:rPr>
          <w:rFonts w:ascii="Times New Roman" w:hAnsi="Times New Roman"/>
          <w:sz w:val="22"/>
          <w:szCs w:val="22"/>
          <w:lang w:val="sr-Latn-ME"/>
        </w:rPr>
        <w:t>interakcij</w:t>
      </w:r>
      <w:r w:rsidR="00EC4AE3" w:rsidRPr="00F63BD6">
        <w:rPr>
          <w:rFonts w:ascii="Times New Roman" w:hAnsi="Times New Roman"/>
          <w:sz w:val="22"/>
          <w:szCs w:val="22"/>
          <w:lang w:val="sr-Latn-ME"/>
        </w:rPr>
        <w:t>ama</w:t>
      </w:r>
      <w:r w:rsidRPr="00F63BD6">
        <w:rPr>
          <w:rFonts w:ascii="Times New Roman" w:hAnsi="Times New Roman"/>
          <w:sz w:val="22"/>
          <w:szCs w:val="22"/>
          <w:lang w:val="sr-Latn-ME"/>
        </w:rPr>
        <w:t xml:space="preserve"> između granisetrona i benzodiazepina (lorazepam), neurole</w:t>
      </w:r>
      <w:r w:rsidR="00EC4AE3" w:rsidRPr="00F63BD6">
        <w:rPr>
          <w:rFonts w:ascii="Times New Roman" w:hAnsi="Times New Roman"/>
          <w:sz w:val="22"/>
          <w:szCs w:val="22"/>
          <w:lang w:val="sr-Latn-ME"/>
        </w:rPr>
        <w:t>ptika (haloperidol) ili antiulkusnih l</w:t>
      </w:r>
      <w:r w:rsidR="00064955">
        <w:rPr>
          <w:rFonts w:ascii="Times New Roman" w:hAnsi="Times New Roman"/>
          <w:sz w:val="22"/>
          <w:szCs w:val="22"/>
          <w:lang w:val="sr-Latn-ME"/>
        </w:rPr>
        <w:t>jekova (cimetidin).</w:t>
      </w:r>
    </w:p>
    <w:p w:rsidR="008E6A64" w:rsidRPr="00F63BD6" w:rsidRDefault="008E6A64" w:rsidP="00663E76">
      <w:pPr>
        <w:jc w:val="both"/>
        <w:rPr>
          <w:rFonts w:ascii="Times New Roman" w:hAnsi="Times New Roman"/>
          <w:sz w:val="22"/>
          <w:szCs w:val="22"/>
          <w:lang w:val="sr-Latn-ME"/>
        </w:rPr>
      </w:pPr>
      <w:r w:rsidRPr="00F63BD6">
        <w:rPr>
          <w:rFonts w:ascii="Times New Roman" w:hAnsi="Times New Roman"/>
          <w:sz w:val="22"/>
          <w:szCs w:val="22"/>
          <w:lang w:val="sr-Latn-ME"/>
        </w:rPr>
        <w:t>Dodatno, granisetron nije pokazao nijednu interakciju sa</w:t>
      </w:r>
      <w:r w:rsidR="00EC4AE3" w:rsidRPr="00F63BD6">
        <w:rPr>
          <w:rFonts w:ascii="Times New Roman" w:hAnsi="Times New Roman"/>
          <w:sz w:val="22"/>
          <w:szCs w:val="22"/>
          <w:lang w:val="sr-Latn-ME"/>
        </w:rPr>
        <w:t xml:space="preserve"> emetogenom</w:t>
      </w:r>
      <w:r w:rsidRPr="00F63BD6">
        <w:rPr>
          <w:rFonts w:ascii="Times New Roman" w:hAnsi="Times New Roman"/>
          <w:sz w:val="22"/>
          <w:szCs w:val="22"/>
          <w:lang w:val="sr-Latn-ME"/>
        </w:rPr>
        <w:t xml:space="preserve"> </w:t>
      </w:r>
      <w:r w:rsidR="00064955">
        <w:rPr>
          <w:rFonts w:ascii="Times New Roman" w:hAnsi="Times New Roman"/>
          <w:sz w:val="22"/>
          <w:szCs w:val="22"/>
          <w:lang w:val="sr-Latn-ME"/>
        </w:rPr>
        <w:t>hemioterapijom.</w:t>
      </w:r>
    </w:p>
    <w:p w:rsidR="00064955" w:rsidRDefault="00064955" w:rsidP="00663E76">
      <w:pPr>
        <w:jc w:val="both"/>
        <w:rPr>
          <w:rFonts w:ascii="Times New Roman" w:hAnsi="Times New Roman"/>
          <w:sz w:val="22"/>
          <w:szCs w:val="22"/>
          <w:lang w:val="sr-Latn-ME"/>
        </w:rPr>
      </w:pPr>
    </w:p>
    <w:p w:rsidR="00231A72" w:rsidRPr="00F63BD6" w:rsidRDefault="008E6A64" w:rsidP="00663E76">
      <w:pPr>
        <w:jc w:val="both"/>
        <w:rPr>
          <w:rFonts w:ascii="Times New Roman" w:hAnsi="Times New Roman"/>
          <w:sz w:val="22"/>
          <w:szCs w:val="22"/>
          <w:lang w:val="sr-Latn-ME"/>
        </w:rPr>
      </w:pPr>
      <w:r w:rsidRPr="00F63BD6">
        <w:rPr>
          <w:rFonts w:ascii="Times New Roman" w:hAnsi="Times New Roman"/>
          <w:sz w:val="22"/>
          <w:szCs w:val="22"/>
          <w:lang w:val="sr-Latn-ME"/>
        </w:rPr>
        <w:t>Ni</w:t>
      </w:r>
      <w:r w:rsidR="00633091" w:rsidRPr="00F63BD6">
        <w:rPr>
          <w:rFonts w:ascii="Times New Roman" w:hAnsi="Times New Roman"/>
          <w:sz w:val="22"/>
          <w:szCs w:val="22"/>
          <w:lang w:val="sr-Latn-ME"/>
        </w:rPr>
        <w:t>je</w:t>
      </w:r>
      <w:r w:rsidRPr="00F63BD6">
        <w:rPr>
          <w:rFonts w:ascii="Times New Roman" w:hAnsi="Times New Roman"/>
          <w:sz w:val="22"/>
          <w:szCs w:val="22"/>
          <w:lang w:val="sr-Latn-ME"/>
        </w:rPr>
        <w:t xml:space="preserve">su </w:t>
      </w:r>
      <w:r w:rsidR="00EC4AE3" w:rsidRPr="00F63BD6">
        <w:rPr>
          <w:rFonts w:ascii="Times New Roman" w:hAnsi="Times New Roman"/>
          <w:sz w:val="22"/>
          <w:szCs w:val="22"/>
          <w:lang w:val="sr-Latn-ME"/>
        </w:rPr>
        <w:t>sprovedene specifične studije interakcij</w:t>
      </w:r>
      <w:r w:rsidR="00064955">
        <w:rPr>
          <w:rFonts w:ascii="Times New Roman" w:hAnsi="Times New Roman"/>
          <w:sz w:val="22"/>
          <w:szCs w:val="22"/>
          <w:lang w:val="sr-Latn-ME"/>
        </w:rPr>
        <w:t>a na anesteziranim pacijentima.</w:t>
      </w:r>
    </w:p>
    <w:p w:rsidR="00064955" w:rsidRDefault="00064955" w:rsidP="00663E76">
      <w:pPr>
        <w:jc w:val="both"/>
        <w:rPr>
          <w:rFonts w:ascii="Times New Roman" w:hAnsi="Times New Roman"/>
          <w:sz w:val="22"/>
          <w:szCs w:val="22"/>
          <w:lang w:val="sr-Latn-ME"/>
        </w:rPr>
      </w:pPr>
    </w:p>
    <w:p w:rsidR="00EC4AE3" w:rsidRDefault="00EC4AE3"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Serotonergički ljekovi (npr. SSRI i SNRI): postoje izvještaji o pojavi serotoninskog sindroma pri </w:t>
      </w:r>
      <w:r w:rsidR="00780AC2" w:rsidRPr="00F63BD6">
        <w:rPr>
          <w:rFonts w:ascii="Times New Roman" w:hAnsi="Times New Roman"/>
          <w:sz w:val="22"/>
          <w:szCs w:val="22"/>
          <w:lang w:val="sr-Latn-ME"/>
        </w:rPr>
        <w:t>istovremenoj upotrebi 5-HT</w:t>
      </w:r>
      <w:r w:rsidR="00780AC2" w:rsidRPr="00F63BD6">
        <w:rPr>
          <w:rFonts w:ascii="Times New Roman" w:hAnsi="Times New Roman"/>
          <w:sz w:val="22"/>
          <w:szCs w:val="22"/>
          <w:vertAlign w:val="subscript"/>
          <w:lang w:val="sr-Latn-ME"/>
        </w:rPr>
        <w:t xml:space="preserve">3 </w:t>
      </w:r>
      <w:r w:rsidR="00780AC2" w:rsidRPr="00F63BD6">
        <w:rPr>
          <w:rFonts w:ascii="Times New Roman" w:hAnsi="Times New Roman"/>
          <w:sz w:val="22"/>
          <w:szCs w:val="22"/>
          <w:lang w:val="sr-Latn-ME"/>
        </w:rPr>
        <w:t>antagonista i drugih serotonergičkih ljekova (uključujući SSRI i SNRI).</w:t>
      </w:r>
    </w:p>
    <w:p w:rsidR="00064955" w:rsidRDefault="00064955" w:rsidP="00663E76">
      <w:pPr>
        <w:jc w:val="both"/>
        <w:rPr>
          <w:rFonts w:ascii="Times New Roman" w:hAnsi="Times New Roman"/>
          <w:sz w:val="22"/>
          <w:szCs w:val="22"/>
          <w:lang w:val="sr-Latn-ME"/>
        </w:rPr>
      </w:pPr>
    </w:p>
    <w:p w:rsidR="00064955" w:rsidRDefault="00064955" w:rsidP="00663E76">
      <w:pPr>
        <w:jc w:val="both"/>
        <w:rPr>
          <w:rFonts w:ascii="Times New Roman" w:hAnsi="Times New Roman"/>
          <w:sz w:val="22"/>
          <w:szCs w:val="22"/>
          <w:lang w:val="sr-Latn-ME"/>
        </w:rPr>
      </w:pPr>
    </w:p>
    <w:p w:rsidR="00064955" w:rsidRDefault="00064955" w:rsidP="00663E76">
      <w:pPr>
        <w:jc w:val="both"/>
        <w:rPr>
          <w:rFonts w:ascii="Times New Roman" w:hAnsi="Times New Roman"/>
          <w:sz w:val="22"/>
          <w:szCs w:val="22"/>
          <w:lang w:val="sr-Latn-ME"/>
        </w:rPr>
      </w:pPr>
    </w:p>
    <w:p w:rsidR="00064955" w:rsidRPr="00F63BD6" w:rsidRDefault="00064955" w:rsidP="00663E76">
      <w:pPr>
        <w:jc w:val="both"/>
        <w:rPr>
          <w:rFonts w:ascii="Times New Roman" w:hAnsi="Times New Roman"/>
          <w:sz w:val="22"/>
          <w:szCs w:val="22"/>
          <w:lang w:val="sr-Latn-ME"/>
        </w:rPr>
      </w:pPr>
    </w:p>
    <w:p w:rsidR="00C84DCE" w:rsidRPr="00F63BD6" w:rsidRDefault="005A0722" w:rsidP="00663E76">
      <w:pPr>
        <w:jc w:val="both"/>
        <w:rPr>
          <w:rFonts w:ascii="Times New Roman" w:hAnsi="Times New Roman"/>
          <w:b/>
          <w:sz w:val="22"/>
          <w:szCs w:val="22"/>
          <w:lang w:val="sr-Latn-ME"/>
        </w:rPr>
      </w:pPr>
      <w:r>
        <w:rPr>
          <w:rFonts w:ascii="Times New Roman" w:hAnsi="Times New Roman"/>
          <w:b/>
          <w:sz w:val="22"/>
          <w:szCs w:val="22"/>
          <w:lang w:val="sr-Latn-ME"/>
        </w:rPr>
        <w:lastRenderedPageBreak/>
        <w:t xml:space="preserve">4.6. </w:t>
      </w:r>
      <w:r w:rsidR="00C84DCE" w:rsidRPr="00F63BD6">
        <w:rPr>
          <w:rFonts w:ascii="Times New Roman" w:hAnsi="Times New Roman"/>
          <w:b/>
          <w:sz w:val="22"/>
          <w:szCs w:val="22"/>
          <w:lang w:val="sr-Latn-ME"/>
        </w:rPr>
        <w:t>Primjena u periodu trudnoće i dojenja</w:t>
      </w:r>
    </w:p>
    <w:p w:rsidR="00064955" w:rsidRDefault="00064955" w:rsidP="00663E76">
      <w:pPr>
        <w:jc w:val="both"/>
        <w:rPr>
          <w:rFonts w:ascii="Times New Roman" w:hAnsi="Times New Roman"/>
          <w:sz w:val="22"/>
          <w:szCs w:val="22"/>
          <w:u w:val="single"/>
          <w:lang w:val="sr-Latn-ME"/>
        </w:rPr>
      </w:pPr>
    </w:p>
    <w:p w:rsidR="00FE7A99" w:rsidRPr="00F63BD6" w:rsidRDefault="00FE7A99"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Trudnoća</w:t>
      </w:r>
    </w:p>
    <w:p w:rsidR="00064955" w:rsidRDefault="00064955" w:rsidP="00663E76">
      <w:pPr>
        <w:jc w:val="both"/>
        <w:rPr>
          <w:rFonts w:ascii="Times New Roman" w:hAnsi="Times New Roman"/>
          <w:sz w:val="22"/>
          <w:szCs w:val="22"/>
          <w:lang w:val="sr-Latn-ME"/>
        </w:rPr>
      </w:pPr>
    </w:p>
    <w:p w:rsidR="00156876" w:rsidRPr="00F63BD6" w:rsidRDefault="00EC4AE3"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Podaci o primjeni granisetrona kod trudnica su ograničeni. Studije na životinjama ne pokazuju direktna ili indirektna štetna dejstva u vezi reproduktivne toksičnosti (vidjeti odjeljak 5.3.). </w:t>
      </w:r>
      <w:r w:rsidR="004F62DA" w:rsidRPr="00F63BD6">
        <w:rPr>
          <w:rFonts w:ascii="Times New Roman" w:hAnsi="Times New Roman"/>
          <w:sz w:val="22"/>
          <w:szCs w:val="22"/>
          <w:lang w:val="sr-Latn-ME"/>
        </w:rPr>
        <w:t>K</w:t>
      </w:r>
      <w:r w:rsidRPr="00F63BD6">
        <w:rPr>
          <w:rFonts w:ascii="Times New Roman" w:hAnsi="Times New Roman"/>
          <w:sz w:val="22"/>
          <w:szCs w:val="22"/>
          <w:lang w:val="sr-Latn-ME"/>
        </w:rPr>
        <w:t>ao mjera opreza, poželjno je izvjegavati primjenu granisetrona u trudnoći.</w:t>
      </w:r>
    </w:p>
    <w:p w:rsidR="00064955" w:rsidRDefault="00064955" w:rsidP="00663E76">
      <w:pPr>
        <w:jc w:val="both"/>
        <w:rPr>
          <w:rFonts w:ascii="Times New Roman" w:hAnsi="Times New Roman"/>
          <w:sz w:val="22"/>
          <w:szCs w:val="22"/>
          <w:u w:val="single"/>
          <w:lang w:val="sr-Latn-ME"/>
        </w:rPr>
      </w:pPr>
    </w:p>
    <w:p w:rsidR="00FE7A99" w:rsidRPr="00F63BD6" w:rsidRDefault="00FE7A99"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Dojenje</w:t>
      </w:r>
    </w:p>
    <w:p w:rsidR="00064955" w:rsidRDefault="00064955" w:rsidP="00663E76">
      <w:pPr>
        <w:jc w:val="both"/>
        <w:rPr>
          <w:rFonts w:ascii="Times New Roman" w:hAnsi="Times New Roman"/>
          <w:sz w:val="22"/>
          <w:szCs w:val="22"/>
          <w:lang w:val="sr-Latn-ME"/>
        </w:rPr>
      </w:pPr>
    </w:p>
    <w:p w:rsidR="00331AAE" w:rsidRPr="00F63BD6" w:rsidRDefault="004F62DA" w:rsidP="00663E76">
      <w:pPr>
        <w:jc w:val="both"/>
        <w:rPr>
          <w:rFonts w:ascii="Times New Roman" w:hAnsi="Times New Roman"/>
          <w:sz w:val="22"/>
          <w:szCs w:val="22"/>
          <w:lang w:val="sr-Latn-ME"/>
        </w:rPr>
      </w:pPr>
      <w:r w:rsidRPr="00F63BD6">
        <w:rPr>
          <w:rFonts w:ascii="Times New Roman" w:hAnsi="Times New Roman"/>
          <w:sz w:val="22"/>
          <w:szCs w:val="22"/>
          <w:lang w:val="sr-Latn-ME"/>
        </w:rPr>
        <w:t>Nije poznato da li se granisetron ili njegovi metaboliti izlučuju u majčino mlijeko kod ljudi. Kao mjera opreza dojenje se ne preporučuje u toku terapije lijekom Graftor.</w:t>
      </w:r>
    </w:p>
    <w:p w:rsidR="00064955" w:rsidRDefault="00064955" w:rsidP="00663E76">
      <w:pPr>
        <w:tabs>
          <w:tab w:val="left" w:pos="2235"/>
        </w:tabs>
        <w:jc w:val="both"/>
        <w:rPr>
          <w:rFonts w:ascii="Times New Roman" w:hAnsi="Times New Roman"/>
          <w:sz w:val="22"/>
          <w:szCs w:val="22"/>
          <w:u w:val="single"/>
          <w:lang w:val="sr-Latn-ME"/>
        </w:rPr>
      </w:pPr>
    </w:p>
    <w:p w:rsidR="00741C7E" w:rsidRPr="00F63BD6" w:rsidRDefault="00741C7E" w:rsidP="00663E76">
      <w:pPr>
        <w:tabs>
          <w:tab w:val="left" w:pos="2235"/>
        </w:tabs>
        <w:jc w:val="both"/>
        <w:rPr>
          <w:rFonts w:ascii="Times New Roman" w:hAnsi="Times New Roman"/>
          <w:sz w:val="22"/>
          <w:szCs w:val="22"/>
          <w:u w:val="single"/>
          <w:lang w:val="sr-Latn-ME"/>
        </w:rPr>
      </w:pPr>
      <w:r w:rsidRPr="00F63BD6">
        <w:rPr>
          <w:rFonts w:ascii="Times New Roman" w:hAnsi="Times New Roman"/>
          <w:sz w:val="22"/>
          <w:szCs w:val="22"/>
          <w:u w:val="single"/>
          <w:lang w:val="sr-Latn-ME"/>
        </w:rPr>
        <w:t>Plodnost</w:t>
      </w:r>
    </w:p>
    <w:p w:rsidR="00064955" w:rsidRDefault="00064955" w:rsidP="00663E76">
      <w:pPr>
        <w:jc w:val="both"/>
        <w:rPr>
          <w:rFonts w:ascii="Times New Roman" w:hAnsi="Times New Roman"/>
          <w:sz w:val="22"/>
          <w:szCs w:val="22"/>
          <w:lang w:val="sr-Latn-ME"/>
        </w:rPr>
      </w:pPr>
    </w:p>
    <w:p w:rsidR="00741C7E" w:rsidRPr="00F63BD6" w:rsidRDefault="00741C7E"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Granisetron nije </w:t>
      </w:r>
      <w:r w:rsidR="004F62DA" w:rsidRPr="00F63BD6">
        <w:rPr>
          <w:rFonts w:ascii="Times New Roman" w:hAnsi="Times New Roman"/>
          <w:sz w:val="22"/>
          <w:szCs w:val="22"/>
          <w:lang w:val="sr-Latn-ME"/>
        </w:rPr>
        <w:t xml:space="preserve">imao </w:t>
      </w:r>
      <w:r w:rsidRPr="00F63BD6">
        <w:rPr>
          <w:rFonts w:ascii="Times New Roman" w:hAnsi="Times New Roman"/>
          <w:sz w:val="22"/>
          <w:szCs w:val="22"/>
          <w:lang w:val="sr-Latn-ME"/>
        </w:rPr>
        <w:t>štetn</w:t>
      </w:r>
      <w:r w:rsidR="004F62DA" w:rsidRPr="00F63BD6">
        <w:rPr>
          <w:rFonts w:ascii="Times New Roman" w:hAnsi="Times New Roman"/>
          <w:sz w:val="22"/>
          <w:szCs w:val="22"/>
          <w:lang w:val="sr-Latn-ME"/>
        </w:rPr>
        <w:t>a dejstva na reproduktivnu sposobnost ni fertilitet kod pacova.</w:t>
      </w:r>
    </w:p>
    <w:p w:rsidR="0012277A" w:rsidRPr="008E3BB5" w:rsidRDefault="0012277A" w:rsidP="00663E76">
      <w:pPr>
        <w:autoSpaceDE w:val="0"/>
        <w:autoSpaceDN w:val="0"/>
        <w:adjustRightInd w:val="0"/>
        <w:jc w:val="both"/>
        <w:rPr>
          <w:rFonts w:ascii="Times New Roman" w:hAnsi="Times New Roman"/>
          <w:sz w:val="22"/>
          <w:szCs w:val="22"/>
          <w:lang w:val="sr-Latn-ME" w:eastAsia="hr-HR"/>
        </w:rPr>
      </w:pPr>
    </w:p>
    <w:p w:rsidR="00C84DCE" w:rsidRPr="00F63BD6" w:rsidRDefault="005A0722" w:rsidP="00663E76">
      <w:pPr>
        <w:jc w:val="both"/>
        <w:rPr>
          <w:rFonts w:ascii="Times New Roman" w:hAnsi="Times New Roman"/>
          <w:b/>
          <w:bCs/>
          <w:sz w:val="22"/>
          <w:szCs w:val="22"/>
          <w:lang w:val="sr-Latn-ME"/>
        </w:rPr>
      </w:pPr>
      <w:r>
        <w:rPr>
          <w:rFonts w:ascii="Times New Roman" w:hAnsi="Times New Roman"/>
          <w:b/>
          <w:bCs/>
          <w:sz w:val="22"/>
          <w:szCs w:val="22"/>
          <w:lang w:val="sr-Latn-ME"/>
        </w:rPr>
        <w:t xml:space="preserve">4.7. </w:t>
      </w:r>
      <w:r w:rsidR="00C84DCE" w:rsidRPr="00F63BD6">
        <w:rPr>
          <w:rFonts w:ascii="Times New Roman" w:hAnsi="Times New Roman"/>
          <w:b/>
          <w:bCs/>
          <w:sz w:val="22"/>
          <w:szCs w:val="22"/>
          <w:lang w:val="sr-Latn-ME"/>
        </w:rPr>
        <w:t>Uticaj na psihofizičke sposobnosti prilikom upravljanja motornim vozilima i rukovanja mašinama</w:t>
      </w:r>
    </w:p>
    <w:p w:rsidR="005A0722" w:rsidRDefault="005A0722" w:rsidP="00663E76">
      <w:pPr>
        <w:jc w:val="both"/>
        <w:rPr>
          <w:rFonts w:ascii="Times New Roman" w:hAnsi="Times New Roman"/>
          <w:sz w:val="22"/>
          <w:szCs w:val="22"/>
          <w:lang w:val="sr-Latn-ME"/>
        </w:rPr>
      </w:pPr>
    </w:p>
    <w:p w:rsidR="00331AAE" w:rsidRPr="005A0722" w:rsidRDefault="00C973B0" w:rsidP="00663E76">
      <w:pPr>
        <w:jc w:val="both"/>
        <w:rPr>
          <w:rFonts w:ascii="Times New Roman" w:hAnsi="Times New Roman"/>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w:t>
      </w:r>
      <w:r w:rsidRPr="00F63BD6">
        <w:rPr>
          <w:rFonts w:ascii="Times New Roman" w:hAnsi="Times New Roman"/>
          <w:sz w:val="22"/>
          <w:szCs w:val="22"/>
          <w:lang w:val="sr-Latn-ME"/>
        </w:rPr>
        <w:t xml:space="preserve"> koncentrat za rastvor za injekciju</w:t>
      </w:r>
      <w:r w:rsidR="004F62DA" w:rsidRPr="00F63BD6">
        <w:rPr>
          <w:rFonts w:ascii="Times New Roman" w:hAnsi="Times New Roman"/>
          <w:sz w:val="22"/>
          <w:szCs w:val="22"/>
          <w:lang w:val="sr-Latn-ME"/>
        </w:rPr>
        <w:t xml:space="preserve">/infuziju nema ili ima zanemarljiv </w:t>
      </w:r>
      <w:r w:rsidR="004309A6" w:rsidRPr="00F63BD6">
        <w:rPr>
          <w:rFonts w:ascii="Times New Roman" w:hAnsi="Times New Roman"/>
          <w:sz w:val="22"/>
          <w:szCs w:val="22"/>
          <w:lang w:val="sr-Latn-ME"/>
        </w:rPr>
        <w:t>uticaj na sposobnost</w:t>
      </w:r>
      <w:r w:rsidRPr="00F63BD6">
        <w:rPr>
          <w:rFonts w:ascii="Times New Roman" w:hAnsi="Times New Roman"/>
          <w:sz w:val="22"/>
          <w:szCs w:val="22"/>
          <w:lang w:val="sr-Latn-ME"/>
        </w:rPr>
        <w:t xml:space="preserve"> upravlj</w:t>
      </w:r>
      <w:r w:rsidR="004309A6" w:rsidRPr="00F63BD6">
        <w:rPr>
          <w:rFonts w:ascii="Times New Roman" w:hAnsi="Times New Roman"/>
          <w:sz w:val="22"/>
          <w:szCs w:val="22"/>
          <w:lang w:val="sr-Latn-ME"/>
        </w:rPr>
        <w:t xml:space="preserve">anja vozilima i rukovanje </w:t>
      </w:r>
      <w:r w:rsidRPr="00F63BD6">
        <w:rPr>
          <w:rFonts w:ascii="Times New Roman" w:hAnsi="Times New Roman"/>
          <w:sz w:val="22"/>
          <w:szCs w:val="22"/>
          <w:lang w:val="sr-Latn-ME"/>
        </w:rPr>
        <w:t>mašinama.</w:t>
      </w:r>
    </w:p>
    <w:p w:rsidR="005A0722" w:rsidRDefault="005A0722" w:rsidP="00663E76">
      <w:pPr>
        <w:pStyle w:val="naslovSmPC-a"/>
        <w:tabs>
          <w:tab w:val="center" w:pos="851"/>
        </w:tabs>
        <w:spacing w:before="0" w:after="0" w:line="240" w:lineRule="auto"/>
        <w:jc w:val="both"/>
        <w:rPr>
          <w:rFonts w:ascii="Times New Roman" w:hAnsi="Times New Roman"/>
          <w:bCs/>
          <w:sz w:val="22"/>
          <w:szCs w:val="22"/>
          <w:lang w:val="sr-Latn-ME"/>
        </w:rPr>
      </w:pPr>
    </w:p>
    <w:p w:rsidR="00C84DCE" w:rsidRPr="00F63BD6" w:rsidRDefault="00C84DCE" w:rsidP="00663E76">
      <w:pPr>
        <w:pStyle w:val="naslovSmPC-a"/>
        <w:tabs>
          <w:tab w:val="center" w:pos="851"/>
        </w:tabs>
        <w:spacing w:before="0" w:after="0" w:line="240" w:lineRule="auto"/>
        <w:jc w:val="both"/>
        <w:rPr>
          <w:rFonts w:ascii="Times New Roman" w:hAnsi="Times New Roman"/>
          <w:bCs/>
          <w:sz w:val="22"/>
          <w:szCs w:val="22"/>
          <w:lang w:val="sr-Latn-ME"/>
        </w:rPr>
      </w:pPr>
      <w:r w:rsidRPr="00F63BD6">
        <w:rPr>
          <w:rFonts w:ascii="Times New Roman" w:hAnsi="Times New Roman"/>
          <w:bCs/>
          <w:sz w:val="22"/>
          <w:szCs w:val="22"/>
          <w:lang w:val="sr-Latn-ME"/>
        </w:rPr>
        <w:t xml:space="preserve">4.8. </w:t>
      </w:r>
      <w:r w:rsidRPr="00F63BD6">
        <w:rPr>
          <w:rFonts w:ascii="Times New Roman" w:hAnsi="Times New Roman"/>
          <w:bCs/>
          <w:sz w:val="22"/>
          <w:szCs w:val="22"/>
          <w:lang w:val="sr-Latn-ME"/>
        </w:rPr>
        <w:tab/>
        <w:t>Neželjena dejstva</w:t>
      </w:r>
    </w:p>
    <w:p w:rsidR="005A0722" w:rsidRDefault="005A0722" w:rsidP="00663E76">
      <w:pPr>
        <w:pStyle w:val="naslovSmPC-a"/>
        <w:tabs>
          <w:tab w:val="center" w:pos="0"/>
        </w:tabs>
        <w:spacing w:before="0" w:after="0" w:line="240" w:lineRule="auto"/>
        <w:jc w:val="both"/>
        <w:rPr>
          <w:rFonts w:ascii="Times New Roman" w:hAnsi="Times New Roman"/>
          <w:b w:val="0"/>
          <w:sz w:val="22"/>
          <w:szCs w:val="22"/>
          <w:u w:val="single"/>
          <w:lang w:val="sr-Latn-ME"/>
        </w:rPr>
      </w:pPr>
    </w:p>
    <w:p w:rsidR="004A7884" w:rsidRPr="00F63BD6" w:rsidRDefault="004A7884" w:rsidP="00663E76">
      <w:pPr>
        <w:pStyle w:val="naslovSmPC-a"/>
        <w:tabs>
          <w:tab w:val="center" w:pos="0"/>
        </w:tabs>
        <w:spacing w:before="0" w:after="0" w:line="240" w:lineRule="auto"/>
        <w:jc w:val="both"/>
        <w:rPr>
          <w:rFonts w:ascii="Times New Roman" w:hAnsi="Times New Roman"/>
          <w:b w:val="0"/>
          <w:sz w:val="22"/>
          <w:szCs w:val="22"/>
          <w:u w:val="single"/>
          <w:lang w:val="sr-Latn-ME"/>
        </w:rPr>
      </w:pPr>
      <w:r w:rsidRPr="00F63BD6">
        <w:rPr>
          <w:rFonts w:ascii="Times New Roman" w:hAnsi="Times New Roman"/>
          <w:b w:val="0"/>
          <w:sz w:val="22"/>
          <w:szCs w:val="22"/>
          <w:u w:val="single"/>
          <w:lang w:val="sr-Latn-ME"/>
        </w:rPr>
        <w:t xml:space="preserve">Sažetak bezbjednosnog profila </w:t>
      </w:r>
    </w:p>
    <w:p w:rsidR="005A0722" w:rsidRDefault="005A0722" w:rsidP="00663E76">
      <w:pPr>
        <w:pStyle w:val="naslovSmPC-a"/>
        <w:spacing w:before="0" w:after="0" w:line="240" w:lineRule="auto"/>
        <w:jc w:val="both"/>
        <w:rPr>
          <w:rFonts w:ascii="Times New Roman" w:hAnsi="Times New Roman"/>
          <w:b w:val="0"/>
          <w:sz w:val="22"/>
          <w:szCs w:val="22"/>
          <w:lang w:val="sr-Latn-ME"/>
        </w:rPr>
      </w:pPr>
    </w:p>
    <w:p w:rsidR="004A7884" w:rsidRPr="00F63BD6" w:rsidRDefault="004A7884" w:rsidP="00663E76">
      <w:pPr>
        <w:pStyle w:val="naslovSmPC-a"/>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Najčešće prijavljivana neželjena </w:t>
      </w:r>
      <w:r w:rsidR="004309A6" w:rsidRPr="00F63BD6">
        <w:rPr>
          <w:rFonts w:ascii="Times New Roman" w:hAnsi="Times New Roman"/>
          <w:b w:val="0"/>
          <w:sz w:val="22"/>
          <w:szCs w:val="22"/>
          <w:lang w:val="sr-Latn-ME"/>
        </w:rPr>
        <w:t>dejstva pri primjeni granisetrona</w:t>
      </w:r>
      <w:r w:rsidR="00C50FE4" w:rsidRPr="00F63BD6">
        <w:rPr>
          <w:rFonts w:ascii="Times New Roman" w:hAnsi="Times New Roman"/>
          <w:b w:val="0"/>
          <w:sz w:val="22"/>
          <w:szCs w:val="22"/>
          <w:lang w:val="sr-Latn-ME"/>
        </w:rPr>
        <w:t>, koja mogu biti prolazna,</w:t>
      </w:r>
      <w:r w:rsidR="004309A6"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su</w:t>
      </w:r>
      <w:r w:rsidR="004309A6" w:rsidRPr="00F63BD6">
        <w:rPr>
          <w:rFonts w:ascii="Times New Roman" w:hAnsi="Times New Roman"/>
          <w:b w:val="0"/>
          <w:sz w:val="22"/>
          <w:szCs w:val="22"/>
          <w:lang w:val="sr-Latn-ME"/>
        </w:rPr>
        <w:t xml:space="preserve"> glavobolja i konstipacija</w:t>
      </w:r>
      <w:r w:rsidRPr="00F63BD6">
        <w:rPr>
          <w:rFonts w:ascii="Times New Roman" w:hAnsi="Times New Roman"/>
          <w:b w:val="0"/>
          <w:sz w:val="22"/>
          <w:szCs w:val="22"/>
          <w:lang w:val="sr-Latn-ME"/>
        </w:rPr>
        <w:t xml:space="preserve">. </w:t>
      </w:r>
      <w:r w:rsidR="003732FD" w:rsidRPr="00F63BD6">
        <w:rPr>
          <w:rFonts w:ascii="Times New Roman" w:hAnsi="Times New Roman"/>
          <w:b w:val="0"/>
          <w:sz w:val="22"/>
          <w:szCs w:val="22"/>
          <w:lang w:val="sr-Latn-ME"/>
        </w:rPr>
        <w:t>Pri primjeni granisetrona p</w:t>
      </w:r>
      <w:r w:rsidR="003C3F97" w:rsidRPr="00F63BD6">
        <w:rPr>
          <w:rFonts w:ascii="Times New Roman" w:hAnsi="Times New Roman"/>
          <w:b w:val="0"/>
          <w:sz w:val="22"/>
          <w:szCs w:val="22"/>
          <w:lang w:val="sr-Latn-ME"/>
        </w:rPr>
        <w:t>rijavljene</w:t>
      </w:r>
      <w:r w:rsidRPr="00F63BD6">
        <w:rPr>
          <w:rFonts w:ascii="Times New Roman" w:hAnsi="Times New Roman"/>
          <w:b w:val="0"/>
          <w:sz w:val="22"/>
          <w:szCs w:val="22"/>
          <w:lang w:val="sr-Latn-ME"/>
        </w:rPr>
        <w:t xml:space="preserve"> su promjene </w:t>
      </w:r>
      <w:r w:rsidR="004309A6" w:rsidRPr="00F63BD6">
        <w:rPr>
          <w:rFonts w:ascii="Times New Roman" w:hAnsi="Times New Roman"/>
          <w:b w:val="0"/>
          <w:sz w:val="22"/>
          <w:szCs w:val="22"/>
          <w:lang w:val="sr-Latn-ME"/>
        </w:rPr>
        <w:t xml:space="preserve">na </w:t>
      </w:r>
      <w:r w:rsidRPr="00F63BD6">
        <w:rPr>
          <w:rFonts w:ascii="Times New Roman" w:hAnsi="Times New Roman"/>
          <w:b w:val="0"/>
          <w:sz w:val="22"/>
          <w:szCs w:val="22"/>
          <w:lang w:val="sr-Latn-ME"/>
        </w:rPr>
        <w:t>EKG-</w:t>
      </w:r>
      <w:r w:rsidR="004309A6" w:rsidRPr="00F63BD6">
        <w:rPr>
          <w:rFonts w:ascii="Times New Roman" w:hAnsi="Times New Roman"/>
          <w:b w:val="0"/>
          <w:sz w:val="22"/>
          <w:szCs w:val="22"/>
          <w:lang w:val="sr-Latn-ME"/>
        </w:rPr>
        <w:t>u</w:t>
      </w:r>
      <w:r w:rsidRPr="00F63BD6">
        <w:rPr>
          <w:rFonts w:ascii="Times New Roman" w:hAnsi="Times New Roman"/>
          <w:b w:val="0"/>
          <w:sz w:val="22"/>
          <w:szCs w:val="22"/>
          <w:lang w:val="sr-Latn-ME"/>
        </w:rPr>
        <w:t xml:space="preserve">, uključujući produženje QT intervala (vidjeti </w:t>
      </w:r>
      <w:r w:rsidR="00EB2FDD" w:rsidRPr="00F63BD6">
        <w:rPr>
          <w:rFonts w:ascii="Times New Roman" w:hAnsi="Times New Roman"/>
          <w:b w:val="0"/>
          <w:sz w:val="22"/>
          <w:szCs w:val="22"/>
          <w:lang w:val="sr-Latn-ME"/>
        </w:rPr>
        <w:t>odjeljke</w:t>
      </w:r>
      <w:r w:rsidRPr="00F63BD6">
        <w:rPr>
          <w:rFonts w:ascii="Times New Roman" w:hAnsi="Times New Roman"/>
          <w:b w:val="0"/>
          <w:sz w:val="22"/>
          <w:szCs w:val="22"/>
          <w:lang w:val="sr-Latn-ME"/>
        </w:rPr>
        <w:t xml:space="preserve"> 4.4 i 4.5).</w:t>
      </w:r>
    </w:p>
    <w:p w:rsidR="005A0722" w:rsidRDefault="005A0722" w:rsidP="00663E76">
      <w:pPr>
        <w:pStyle w:val="naslovSmPC-a"/>
        <w:spacing w:before="0" w:after="0" w:line="240" w:lineRule="auto"/>
        <w:jc w:val="both"/>
        <w:rPr>
          <w:rFonts w:ascii="Times New Roman" w:hAnsi="Times New Roman"/>
          <w:b w:val="0"/>
          <w:sz w:val="22"/>
          <w:szCs w:val="22"/>
          <w:u w:val="single"/>
          <w:lang w:val="sr-Latn-ME"/>
        </w:rPr>
      </w:pPr>
    </w:p>
    <w:p w:rsidR="004A7884" w:rsidRPr="00F63BD6" w:rsidRDefault="004A7884" w:rsidP="00663E76">
      <w:pPr>
        <w:pStyle w:val="naslovSmPC-a"/>
        <w:spacing w:before="0" w:after="0" w:line="240" w:lineRule="auto"/>
        <w:jc w:val="both"/>
        <w:rPr>
          <w:rFonts w:ascii="Times New Roman" w:hAnsi="Times New Roman"/>
          <w:b w:val="0"/>
          <w:sz w:val="22"/>
          <w:szCs w:val="22"/>
          <w:u w:val="single"/>
          <w:lang w:val="sr-Latn-ME"/>
        </w:rPr>
      </w:pPr>
      <w:r w:rsidRPr="00F63BD6">
        <w:rPr>
          <w:rFonts w:ascii="Times New Roman" w:hAnsi="Times New Roman"/>
          <w:b w:val="0"/>
          <w:sz w:val="22"/>
          <w:szCs w:val="22"/>
          <w:u w:val="single"/>
          <w:lang w:val="sr-Latn-ME"/>
        </w:rPr>
        <w:t xml:space="preserve">Prijavljena neželjena dejstva </w:t>
      </w:r>
    </w:p>
    <w:p w:rsidR="005A0722" w:rsidRDefault="005A0722" w:rsidP="00663E76">
      <w:pPr>
        <w:pStyle w:val="naslovSmPC-a"/>
        <w:spacing w:before="0" w:after="0" w:line="240" w:lineRule="auto"/>
        <w:jc w:val="both"/>
        <w:rPr>
          <w:rFonts w:ascii="Times New Roman" w:hAnsi="Times New Roman"/>
          <w:b w:val="0"/>
          <w:sz w:val="22"/>
          <w:szCs w:val="22"/>
          <w:lang w:val="sr-Latn-ME"/>
        </w:rPr>
      </w:pPr>
    </w:p>
    <w:p w:rsidR="005A0722" w:rsidRDefault="00EB2FDD" w:rsidP="00663E76">
      <w:pPr>
        <w:pStyle w:val="naslovSmPC-a"/>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U nastavku je dat tabelarni prikaz </w:t>
      </w:r>
      <w:r w:rsidR="004A7884" w:rsidRPr="00F63BD6">
        <w:rPr>
          <w:rFonts w:ascii="Times New Roman" w:hAnsi="Times New Roman"/>
          <w:b w:val="0"/>
          <w:sz w:val="22"/>
          <w:szCs w:val="22"/>
          <w:lang w:val="sr-Latn-ME"/>
        </w:rPr>
        <w:t>neželjen</w:t>
      </w:r>
      <w:r w:rsidRPr="00F63BD6">
        <w:rPr>
          <w:rFonts w:ascii="Times New Roman" w:hAnsi="Times New Roman"/>
          <w:b w:val="0"/>
          <w:sz w:val="22"/>
          <w:szCs w:val="22"/>
          <w:lang w:val="sr-Latn-ME"/>
        </w:rPr>
        <w:t xml:space="preserve">ih </w:t>
      </w:r>
      <w:r w:rsidR="004A7884" w:rsidRPr="00F63BD6">
        <w:rPr>
          <w:rFonts w:ascii="Times New Roman" w:hAnsi="Times New Roman"/>
          <w:b w:val="0"/>
          <w:sz w:val="22"/>
          <w:szCs w:val="22"/>
          <w:lang w:val="sr-Latn-ME"/>
        </w:rPr>
        <w:t>dejst</w:t>
      </w:r>
      <w:r w:rsidRPr="00F63BD6">
        <w:rPr>
          <w:rFonts w:ascii="Times New Roman" w:hAnsi="Times New Roman"/>
          <w:b w:val="0"/>
          <w:sz w:val="22"/>
          <w:szCs w:val="22"/>
          <w:lang w:val="sr-Latn-ME"/>
        </w:rPr>
        <w:t>a</w:t>
      </w:r>
      <w:r w:rsidR="004A7884" w:rsidRPr="00F63BD6">
        <w:rPr>
          <w:rFonts w:ascii="Times New Roman" w:hAnsi="Times New Roman"/>
          <w:b w:val="0"/>
          <w:sz w:val="22"/>
          <w:szCs w:val="22"/>
          <w:lang w:val="sr-Latn-ME"/>
        </w:rPr>
        <w:t>va</w:t>
      </w:r>
      <w:r w:rsidR="00AB4CB8" w:rsidRPr="00F63BD6">
        <w:rPr>
          <w:rFonts w:ascii="Times New Roman" w:hAnsi="Times New Roman"/>
          <w:b w:val="0"/>
          <w:sz w:val="22"/>
          <w:szCs w:val="22"/>
          <w:lang w:val="sr-Latn-ME"/>
        </w:rPr>
        <w:t>,</w:t>
      </w:r>
      <w:r w:rsidR="004A7884" w:rsidRPr="00F63BD6">
        <w:rPr>
          <w:rFonts w:ascii="Times New Roman" w:hAnsi="Times New Roman"/>
          <w:b w:val="0"/>
          <w:sz w:val="22"/>
          <w:szCs w:val="22"/>
          <w:lang w:val="sr-Latn-ME"/>
        </w:rPr>
        <w:t xml:space="preserve"> zabilježen</w:t>
      </w:r>
      <w:r w:rsidRPr="00F63BD6">
        <w:rPr>
          <w:rFonts w:ascii="Times New Roman" w:hAnsi="Times New Roman"/>
          <w:b w:val="0"/>
          <w:sz w:val="22"/>
          <w:szCs w:val="22"/>
          <w:lang w:val="sr-Latn-ME"/>
        </w:rPr>
        <w:t>ih</w:t>
      </w:r>
      <w:r w:rsidR="004A7884" w:rsidRPr="00F63BD6">
        <w:rPr>
          <w:rFonts w:ascii="Times New Roman" w:hAnsi="Times New Roman"/>
          <w:b w:val="0"/>
          <w:sz w:val="22"/>
          <w:szCs w:val="22"/>
          <w:lang w:val="sr-Latn-ME"/>
        </w:rPr>
        <w:t xml:space="preserve"> u kliničkim ispitivanjima i  </w:t>
      </w:r>
      <w:r w:rsidR="00686068" w:rsidRPr="00F63BD6">
        <w:rPr>
          <w:rFonts w:ascii="Times New Roman" w:hAnsi="Times New Roman"/>
          <w:b w:val="0"/>
          <w:sz w:val="22"/>
          <w:szCs w:val="22"/>
          <w:lang w:val="sr-Latn-ME"/>
        </w:rPr>
        <w:t>tokom</w:t>
      </w:r>
      <w:r w:rsidR="00686068" w:rsidRPr="00F63BD6">
        <w:rPr>
          <w:rFonts w:ascii="Times New Roman" w:hAnsi="Times New Roman"/>
          <w:b w:val="0"/>
          <w:sz w:val="22"/>
          <w:szCs w:val="22"/>
          <w:u w:val="single"/>
          <w:lang w:val="sr-Latn-ME"/>
        </w:rPr>
        <w:t xml:space="preserve"> </w:t>
      </w:r>
      <w:r w:rsidRPr="00F63BD6">
        <w:rPr>
          <w:rFonts w:ascii="Times New Roman" w:hAnsi="Times New Roman"/>
          <w:b w:val="0"/>
          <w:sz w:val="22"/>
          <w:szCs w:val="22"/>
          <w:lang w:val="sr-Latn-ME"/>
        </w:rPr>
        <w:t>postmarketinško</w:t>
      </w:r>
      <w:r w:rsidR="00686068" w:rsidRPr="00F63BD6">
        <w:rPr>
          <w:rFonts w:ascii="Times New Roman" w:hAnsi="Times New Roman"/>
          <w:b w:val="0"/>
          <w:sz w:val="22"/>
          <w:szCs w:val="22"/>
          <w:lang w:val="sr-Latn-ME"/>
        </w:rPr>
        <w:t>g</w:t>
      </w:r>
      <w:r w:rsidRPr="00F63BD6">
        <w:rPr>
          <w:rFonts w:ascii="Times New Roman" w:hAnsi="Times New Roman"/>
          <w:b w:val="0"/>
          <w:sz w:val="22"/>
          <w:szCs w:val="22"/>
          <w:lang w:val="sr-Latn-ME"/>
        </w:rPr>
        <w:t xml:space="preserve"> praćenj</w:t>
      </w:r>
      <w:r w:rsidR="00686068" w:rsidRPr="00F63BD6">
        <w:rPr>
          <w:rFonts w:ascii="Times New Roman" w:hAnsi="Times New Roman"/>
          <w:b w:val="0"/>
          <w:sz w:val="22"/>
          <w:szCs w:val="22"/>
          <w:lang w:val="sr-Latn-ME"/>
        </w:rPr>
        <w:t>a</w:t>
      </w:r>
      <w:r w:rsidR="00AB4CB8" w:rsidRPr="00F63BD6">
        <w:rPr>
          <w:rFonts w:ascii="Times New Roman" w:hAnsi="Times New Roman"/>
          <w:b w:val="0"/>
          <w:sz w:val="22"/>
          <w:szCs w:val="22"/>
          <w:lang w:val="sr-Latn-ME"/>
        </w:rPr>
        <w:t>,</w:t>
      </w:r>
      <w:r w:rsidR="004A7884" w:rsidRPr="00F63BD6">
        <w:rPr>
          <w:rFonts w:ascii="Times New Roman" w:hAnsi="Times New Roman"/>
          <w:b w:val="0"/>
          <w:sz w:val="22"/>
          <w:szCs w:val="22"/>
          <w:lang w:val="sr-Latn-ME"/>
        </w:rPr>
        <w:t xml:space="preserve"> </w:t>
      </w:r>
      <w:r w:rsidRPr="00F63BD6">
        <w:rPr>
          <w:rFonts w:ascii="Times New Roman" w:hAnsi="Times New Roman"/>
          <w:b w:val="0"/>
          <w:sz w:val="22"/>
          <w:szCs w:val="22"/>
          <w:lang w:val="sr-Latn-ME"/>
        </w:rPr>
        <w:t>koja su povezana</w:t>
      </w:r>
      <w:r w:rsidR="004A7884" w:rsidRPr="00F63BD6">
        <w:rPr>
          <w:rFonts w:ascii="Times New Roman" w:hAnsi="Times New Roman"/>
          <w:b w:val="0"/>
          <w:sz w:val="22"/>
          <w:szCs w:val="22"/>
          <w:lang w:val="sr-Latn-ME"/>
        </w:rPr>
        <w:t xml:space="preserve"> sa primjenom granisetrona i ostalih antagonista 5-HT</w:t>
      </w:r>
      <w:r w:rsidR="004A7884" w:rsidRPr="00F63BD6">
        <w:rPr>
          <w:rFonts w:ascii="Times New Roman" w:hAnsi="Times New Roman"/>
          <w:b w:val="0"/>
          <w:sz w:val="22"/>
          <w:szCs w:val="22"/>
          <w:vertAlign w:val="subscript"/>
          <w:lang w:val="sr-Latn-ME"/>
        </w:rPr>
        <w:t>3</w:t>
      </w:r>
      <w:r w:rsidR="005A0722">
        <w:rPr>
          <w:rFonts w:ascii="Times New Roman" w:hAnsi="Times New Roman"/>
          <w:b w:val="0"/>
          <w:sz w:val="22"/>
          <w:szCs w:val="22"/>
          <w:lang w:val="sr-Latn-ME"/>
        </w:rPr>
        <w:t>.</w:t>
      </w:r>
    </w:p>
    <w:p w:rsidR="005A0722" w:rsidRDefault="005A0722" w:rsidP="00663E76">
      <w:pPr>
        <w:pStyle w:val="naslovSmPC-a"/>
        <w:spacing w:before="0" w:after="0" w:line="240" w:lineRule="auto"/>
        <w:jc w:val="both"/>
        <w:rPr>
          <w:rFonts w:ascii="Times New Roman" w:hAnsi="Times New Roman"/>
          <w:b w:val="0"/>
          <w:sz w:val="22"/>
          <w:szCs w:val="22"/>
          <w:lang w:val="sr-Latn-ME"/>
        </w:rPr>
      </w:pPr>
    </w:p>
    <w:p w:rsidR="001271EA" w:rsidRPr="00F63BD6" w:rsidRDefault="00EB2FDD" w:rsidP="00663E76">
      <w:pPr>
        <w:pStyle w:val="naslovSmPC-a"/>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Kategorije </w:t>
      </w:r>
      <w:r w:rsidR="008A1041" w:rsidRPr="00F63BD6">
        <w:rPr>
          <w:rFonts w:ascii="Times New Roman" w:hAnsi="Times New Roman"/>
          <w:b w:val="0"/>
          <w:sz w:val="22"/>
          <w:szCs w:val="22"/>
          <w:lang w:val="sr-Latn-ME"/>
        </w:rPr>
        <w:t xml:space="preserve">učestalosti </w:t>
      </w:r>
      <w:r w:rsidRPr="00F63BD6">
        <w:rPr>
          <w:rFonts w:ascii="Times New Roman" w:hAnsi="Times New Roman"/>
          <w:b w:val="0"/>
          <w:sz w:val="22"/>
          <w:szCs w:val="22"/>
          <w:lang w:val="sr-Latn-ME"/>
        </w:rPr>
        <w:t>su sljedeće</w:t>
      </w:r>
      <w:r w:rsidR="001271EA" w:rsidRPr="00F63BD6">
        <w:rPr>
          <w:rFonts w:ascii="Times New Roman" w:hAnsi="Times New Roman"/>
          <w:b w:val="0"/>
          <w:sz w:val="22"/>
          <w:szCs w:val="22"/>
          <w:lang w:val="sr-Latn-ME"/>
        </w:rPr>
        <w:t>:</w:t>
      </w:r>
    </w:p>
    <w:p w:rsidR="005A0722" w:rsidRDefault="005A0722" w:rsidP="00663E76">
      <w:pPr>
        <w:jc w:val="both"/>
        <w:rPr>
          <w:rFonts w:ascii="Times New Roman" w:hAnsi="Times New Roman"/>
          <w:sz w:val="22"/>
          <w:szCs w:val="22"/>
          <w:lang w:val="sr-Latn-ME"/>
        </w:rPr>
      </w:pPr>
    </w:p>
    <w:p w:rsidR="001271EA" w:rsidRPr="00F63BD6" w:rsidRDefault="008A1041" w:rsidP="00663E76">
      <w:pPr>
        <w:jc w:val="both"/>
        <w:rPr>
          <w:rFonts w:ascii="Times New Roman" w:hAnsi="Times New Roman"/>
          <w:sz w:val="22"/>
          <w:szCs w:val="22"/>
          <w:lang w:val="sr-Latn-ME"/>
        </w:rPr>
      </w:pPr>
      <w:r w:rsidRPr="00F63BD6">
        <w:rPr>
          <w:rFonts w:ascii="Times New Roman" w:hAnsi="Times New Roman"/>
          <w:sz w:val="22"/>
          <w:szCs w:val="22"/>
          <w:lang w:val="sr-Latn-ME"/>
        </w:rPr>
        <w:t>V</w:t>
      </w:r>
      <w:r w:rsidR="006F75B1" w:rsidRPr="00F63BD6">
        <w:rPr>
          <w:rFonts w:ascii="Times New Roman" w:hAnsi="Times New Roman"/>
          <w:sz w:val="22"/>
          <w:szCs w:val="22"/>
          <w:lang w:val="sr-Latn-ME"/>
        </w:rPr>
        <w:t>e</w:t>
      </w:r>
      <w:r w:rsidRPr="00F63BD6">
        <w:rPr>
          <w:rFonts w:ascii="Times New Roman" w:hAnsi="Times New Roman"/>
          <w:sz w:val="22"/>
          <w:szCs w:val="22"/>
          <w:lang w:val="sr-Latn-ME"/>
        </w:rPr>
        <w:t>o</w:t>
      </w:r>
      <w:r w:rsidR="006F75B1" w:rsidRPr="00F63BD6">
        <w:rPr>
          <w:rFonts w:ascii="Times New Roman" w:hAnsi="Times New Roman"/>
          <w:sz w:val="22"/>
          <w:szCs w:val="22"/>
          <w:lang w:val="sr-Latn-ME"/>
        </w:rPr>
        <w:t>ma</w:t>
      </w:r>
      <w:r w:rsidRPr="00F63BD6">
        <w:rPr>
          <w:rFonts w:ascii="Times New Roman" w:hAnsi="Times New Roman"/>
          <w:sz w:val="22"/>
          <w:szCs w:val="22"/>
          <w:lang w:val="sr-Latn-ME"/>
        </w:rPr>
        <w:t xml:space="preserve"> čest</w:t>
      </w:r>
      <w:r w:rsidR="006F75B1" w:rsidRPr="00F63BD6">
        <w:rPr>
          <w:rFonts w:ascii="Times New Roman" w:hAnsi="Times New Roman"/>
          <w:sz w:val="22"/>
          <w:szCs w:val="22"/>
          <w:lang w:val="sr-Latn-ME"/>
        </w:rPr>
        <w:t>a</w:t>
      </w:r>
      <w:r w:rsidR="001271EA" w:rsidRPr="00F63BD6">
        <w:rPr>
          <w:rFonts w:ascii="Times New Roman" w:hAnsi="Times New Roman"/>
          <w:sz w:val="22"/>
          <w:szCs w:val="22"/>
          <w:lang w:val="sr-Latn-ME"/>
        </w:rPr>
        <w:t xml:space="preserve"> (≥1/10)</w:t>
      </w:r>
    </w:p>
    <w:p w:rsidR="001271EA" w:rsidRPr="00F63BD6" w:rsidRDefault="008A1041" w:rsidP="00663E76">
      <w:pPr>
        <w:jc w:val="both"/>
        <w:rPr>
          <w:rFonts w:ascii="Times New Roman" w:hAnsi="Times New Roman"/>
          <w:sz w:val="22"/>
          <w:szCs w:val="22"/>
          <w:lang w:val="sr-Latn-ME"/>
        </w:rPr>
      </w:pPr>
      <w:r w:rsidRPr="00F63BD6">
        <w:rPr>
          <w:rFonts w:ascii="Times New Roman" w:hAnsi="Times New Roman"/>
          <w:sz w:val="22"/>
          <w:szCs w:val="22"/>
          <w:lang w:val="sr-Latn-ME"/>
        </w:rPr>
        <w:t>Čest</w:t>
      </w:r>
      <w:r w:rsidR="006F75B1" w:rsidRPr="00F63BD6">
        <w:rPr>
          <w:rFonts w:ascii="Times New Roman" w:hAnsi="Times New Roman"/>
          <w:sz w:val="22"/>
          <w:szCs w:val="22"/>
          <w:lang w:val="sr-Latn-ME"/>
        </w:rPr>
        <w:t>a</w:t>
      </w:r>
      <w:r w:rsidR="001271EA" w:rsidRPr="00F63BD6">
        <w:rPr>
          <w:rFonts w:ascii="Times New Roman" w:hAnsi="Times New Roman"/>
          <w:sz w:val="22"/>
          <w:szCs w:val="22"/>
          <w:lang w:val="sr-Latn-ME"/>
        </w:rPr>
        <w:t xml:space="preserve"> (≥1/100 do</w:t>
      </w:r>
      <w:r w:rsidR="006F75B1" w:rsidRPr="00F63BD6">
        <w:rPr>
          <w:rFonts w:ascii="Times New Roman" w:hAnsi="Times New Roman"/>
          <w:sz w:val="22"/>
          <w:szCs w:val="22"/>
          <w:lang w:val="sr-Latn-ME"/>
        </w:rPr>
        <w:t xml:space="preserve"> </w:t>
      </w:r>
      <w:r w:rsidR="001271EA" w:rsidRPr="00F63BD6">
        <w:rPr>
          <w:rFonts w:ascii="Times New Roman" w:hAnsi="Times New Roman"/>
          <w:sz w:val="22"/>
          <w:szCs w:val="22"/>
          <w:lang w:val="sr-Latn-ME"/>
        </w:rPr>
        <w:t>&lt;1/10)</w:t>
      </w:r>
    </w:p>
    <w:p w:rsidR="001271EA" w:rsidRPr="00F63BD6" w:rsidRDefault="008A1041" w:rsidP="00663E76">
      <w:pPr>
        <w:jc w:val="both"/>
        <w:rPr>
          <w:rFonts w:ascii="Times New Roman" w:hAnsi="Times New Roman"/>
          <w:sz w:val="22"/>
          <w:szCs w:val="22"/>
          <w:lang w:val="sr-Latn-ME"/>
        </w:rPr>
      </w:pPr>
      <w:r w:rsidRPr="00F63BD6">
        <w:rPr>
          <w:rFonts w:ascii="Times New Roman" w:hAnsi="Times New Roman"/>
          <w:sz w:val="22"/>
          <w:szCs w:val="22"/>
          <w:lang w:val="sr-Latn-ME"/>
        </w:rPr>
        <w:t>Povremen</w:t>
      </w:r>
      <w:r w:rsidR="006F75B1" w:rsidRPr="00F63BD6">
        <w:rPr>
          <w:rFonts w:ascii="Times New Roman" w:hAnsi="Times New Roman"/>
          <w:sz w:val="22"/>
          <w:szCs w:val="22"/>
          <w:lang w:val="sr-Latn-ME"/>
        </w:rPr>
        <w:t>a</w:t>
      </w:r>
      <w:r w:rsidR="001271EA" w:rsidRPr="00F63BD6">
        <w:rPr>
          <w:rFonts w:ascii="Times New Roman" w:hAnsi="Times New Roman"/>
          <w:sz w:val="22"/>
          <w:szCs w:val="22"/>
          <w:lang w:val="sr-Latn-ME"/>
        </w:rPr>
        <w:t xml:space="preserve"> (≥1/1.000 do &lt;1/100)</w:t>
      </w:r>
    </w:p>
    <w:p w:rsidR="001271EA" w:rsidRPr="00F63BD6" w:rsidRDefault="008A1041" w:rsidP="00663E76">
      <w:pPr>
        <w:jc w:val="both"/>
        <w:rPr>
          <w:rFonts w:ascii="Times New Roman" w:hAnsi="Times New Roman"/>
          <w:sz w:val="22"/>
          <w:szCs w:val="22"/>
          <w:lang w:val="sr-Latn-ME"/>
        </w:rPr>
      </w:pPr>
      <w:r w:rsidRPr="00F63BD6">
        <w:rPr>
          <w:rFonts w:ascii="Times New Roman" w:hAnsi="Times New Roman"/>
          <w:sz w:val="22"/>
          <w:szCs w:val="22"/>
          <w:lang w:val="sr-Latn-ME"/>
        </w:rPr>
        <w:t>Rijetk</w:t>
      </w:r>
      <w:r w:rsidR="006F75B1" w:rsidRPr="00F63BD6">
        <w:rPr>
          <w:rFonts w:ascii="Times New Roman" w:hAnsi="Times New Roman"/>
          <w:sz w:val="22"/>
          <w:szCs w:val="22"/>
          <w:lang w:val="sr-Latn-ME"/>
        </w:rPr>
        <w:t>a</w:t>
      </w:r>
      <w:r w:rsidR="001271EA" w:rsidRPr="00F63BD6">
        <w:rPr>
          <w:rFonts w:ascii="Times New Roman" w:hAnsi="Times New Roman"/>
          <w:sz w:val="22"/>
          <w:szCs w:val="22"/>
          <w:lang w:val="sr-Latn-ME"/>
        </w:rPr>
        <w:t xml:space="preserve"> (≥1/10.000 do &lt;1/1.000) </w:t>
      </w:r>
    </w:p>
    <w:p w:rsidR="001271EA" w:rsidRPr="00F63BD6" w:rsidRDefault="008A1041" w:rsidP="00663E76">
      <w:pPr>
        <w:jc w:val="both"/>
        <w:rPr>
          <w:rFonts w:ascii="Times New Roman" w:hAnsi="Times New Roman"/>
          <w:sz w:val="22"/>
          <w:szCs w:val="22"/>
          <w:lang w:val="sr-Latn-ME"/>
        </w:rPr>
      </w:pPr>
      <w:r w:rsidRPr="00F63BD6">
        <w:rPr>
          <w:rFonts w:ascii="Times New Roman" w:hAnsi="Times New Roman"/>
          <w:sz w:val="22"/>
          <w:szCs w:val="22"/>
          <w:lang w:val="sr-Latn-ME"/>
        </w:rPr>
        <w:t>V</w:t>
      </w:r>
      <w:r w:rsidR="006F75B1" w:rsidRPr="00F63BD6">
        <w:rPr>
          <w:rFonts w:ascii="Times New Roman" w:hAnsi="Times New Roman"/>
          <w:sz w:val="22"/>
          <w:szCs w:val="22"/>
          <w:lang w:val="sr-Latn-ME"/>
        </w:rPr>
        <w:t>e</w:t>
      </w:r>
      <w:r w:rsidRPr="00F63BD6">
        <w:rPr>
          <w:rFonts w:ascii="Times New Roman" w:hAnsi="Times New Roman"/>
          <w:sz w:val="22"/>
          <w:szCs w:val="22"/>
          <w:lang w:val="sr-Latn-ME"/>
        </w:rPr>
        <w:t>o</w:t>
      </w:r>
      <w:r w:rsidR="006F75B1" w:rsidRPr="00F63BD6">
        <w:rPr>
          <w:rFonts w:ascii="Times New Roman" w:hAnsi="Times New Roman"/>
          <w:sz w:val="22"/>
          <w:szCs w:val="22"/>
          <w:lang w:val="sr-Latn-ME"/>
        </w:rPr>
        <w:t>ma</w:t>
      </w:r>
      <w:r w:rsidRPr="00F63BD6">
        <w:rPr>
          <w:rFonts w:ascii="Times New Roman" w:hAnsi="Times New Roman"/>
          <w:sz w:val="22"/>
          <w:szCs w:val="22"/>
          <w:lang w:val="sr-Latn-ME"/>
        </w:rPr>
        <w:t xml:space="preserve"> rijetk</w:t>
      </w:r>
      <w:r w:rsidR="006F75B1" w:rsidRPr="00F63BD6">
        <w:rPr>
          <w:rFonts w:ascii="Times New Roman" w:hAnsi="Times New Roman"/>
          <w:sz w:val="22"/>
          <w:szCs w:val="22"/>
          <w:lang w:val="sr-Latn-ME"/>
        </w:rPr>
        <w:t>a</w:t>
      </w:r>
      <w:r w:rsidR="001271EA" w:rsidRPr="00F63BD6">
        <w:rPr>
          <w:rFonts w:ascii="Times New Roman" w:hAnsi="Times New Roman"/>
          <w:sz w:val="22"/>
          <w:szCs w:val="22"/>
          <w:lang w:val="sr-Latn-ME"/>
        </w:rPr>
        <w:t xml:space="preserve"> (&lt;1/10.000)</w:t>
      </w:r>
    </w:p>
    <w:p w:rsidR="009D1056" w:rsidRDefault="009D1056" w:rsidP="00663E76">
      <w:pPr>
        <w:jc w:val="both"/>
        <w:rPr>
          <w:rFonts w:ascii="Times New Roman" w:hAnsi="Times New Roman"/>
          <w:sz w:val="22"/>
          <w:szCs w:val="22"/>
          <w:lang w:val="sr-Latn-ME"/>
        </w:rPr>
      </w:pPr>
    </w:p>
    <w:p w:rsidR="005A0722" w:rsidRDefault="005A0722" w:rsidP="00663E76">
      <w:pPr>
        <w:jc w:val="both"/>
        <w:rPr>
          <w:rFonts w:ascii="Times New Roman" w:hAnsi="Times New Roman"/>
          <w:sz w:val="22"/>
          <w:szCs w:val="22"/>
          <w:lang w:val="sr-Latn-ME"/>
        </w:rPr>
      </w:pPr>
    </w:p>
    <w:p w:rsidR="005A0722" w:rsidRDefault="005A0722" w:rsidP="00663E76">
      <w:pPr>
        <w:jc w:val="both"/>
        <w:rPr>
          <w:rFonts w:ascii="Times New Roman" w:hAnsi="Times New Roman"/>
          <w:sz w:val="22"/>
          <w:szCs w:val="22"/>
          <w:lang w:val="sr-Latn-ME"/>
        </w:rPr>
      </w:pPr>
    </w:p>
    <w:p w:rsidR="005A0722" w:rsidRPr="00F63BD6" w:rsidRDefault="005A0722" w:rsidP="00663E76">
      <w:pPr>
        <w:jc w:val="both"/>
        <w:rPr>
          <w:rFonts w:ascii="Times New Roman" w:hAnsi="Times New Roman"/>
          <w:sz w:val="22"/>
          <w:szCs w:val="22"/>
          <w:lang w:val="sr-Latn-ME"/>
        </w:rPr>
      </w:pPr>
    </w:p>
    <w:tbl>
      <w:tblPr>
        <w:tblStyle w:val="TableGrid"/>
        <w:tblW w:w="0" w:type="auto"/>
        <w:jc w:val="center"/>
        <w:tblLook w:val="04A0" w:firstRow="1" w:lastRow="0" w:firstColumn="1" w:lastColumn="0" w:noHBand="0" w:noVBand="1"/>
      </w:tblPr>
      <w:tblGrid>
        <w:gridCol w:w="4670"/>
        <w:gridCol w:w="4668"/>
      </w:tblGrid>
      <w:tr w:rsidR="00E62871" w:rsidRPr="00F63BD6" w:rsidTr="005A0722">
        <w:trPr>
          <w:jc w:val="center"/>
        </w:trPr>
        <w:tc>
          <w:tcPr>
            <w:tcW w:w="9338" w:type="dxa"/>
            <w:gridSpan w:val="2"/>
          </w:tcPr>
          <w:p w:rsidR="00E62871" w:rsidRPr="00F63BD6" w:rsidRDefault="00E62871" w:rsidP="00663E76">
            <w:pPr>
              <w:jc w:val="both"/>
              <w:rPr>
                <w:rFonts w:ascii="Times New Roman" w:hAnsi="Times New Roman"/>
                <w:sz w:val="22"/>
                <w:szCs w:val="22"/>
                <w:lang w:val="sr-Latn-ME" w:eastAsia="hr-HR"/>
              </w:rPr>
            </w:pPr>
            <w:r w:rsidRPr="00F63BD6">
              <w:rPr>
                <w:rFonts w:ascii="Times New Roman" w:hAnsi="Times New Roman"/>
                <w:b/>
                <w:i/>
                <w:color w:val="000000" w:themeColor="text1"/>
                <w:sz w:val="22"/>
                <w:szCs w:val="22"/>
                <w:lang w:val="sr-Latn-ME" w:eastAsia="hr-HR"/>
              </w:rPr>
              <w:lastRenderedPageBreak/>
              <w:t>Imunološki poremećaji</w:t>
            </w:r>
          </w:p>
        </w:tc>
      </w:tr>
      <w:tr w:rsidR="00B41808" w:rsidRPr="00F63BD6" w:rsidTr="005A0722">
        <w:trPr>
          <w:jc w:val="center"/>
        </w:trPr>
        <w:tc>
          <w:tcPr>
            <w:tcW w:w="4670" w:type="dxa"/>
          </w:tcPr>
          <w:p w:rsidR="00B41808" w:rsidRPr="00F63BD6" w:rsidRDefault="00B41808"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Povremeno</w:t>
            </w:r>
          </w:p>
        </w:tc>
        <w:tc>
          <w:tcPr>
            <w:tcW w:w="4668" w:type="dxa"/>
          </w:tcPr>
          <w:p w:rsidR="00B41808" w:rsidRPr="00F63BD6" w:rsidRDefault="00E62871"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r</w:t>
            </w:r>
            <w:r w:rsidR="007E0791" w:rsidRPr="00F63BD6">
              <w:rPr>
                <w:rFonts w:ascii="Times New Roman" w:hAnsi="Times New Roman"/>
                <w:sz w:val="22"/>
                <w:szCs w:val="22"/>
                <w:lang w:val="sr-Latn-ME" w:eastAsia="hr-HR"/>
              </w:rPr>
              <w:t>eakcije preos</w:t>
            </w:r>
            <w:r w:rsidR="00D73815" w:rsidRPr="00F63BD6">
              <w:rPr>
                <w:rFonts w:ascii="Times New Roman" w:hAnsi="Times New Roman"/>
                <w:sz w:val="22"/>
                <w:szCs w:val="22"/>
                <w:lang w:val="sr-Latn-ME" w:eastAsia="hr-HR"/>
              </w:rPr>
              <w:t>j</w:t>
            </w:r>
            <w:r w:rsidR="007E0791" w:rsidRPr="00F63BD6">
              <w:rPr>
                <w:rFonts w:ascii="Times New Roman" w:hAnsi="Times New Roman"/>
                <w:sz w:val="22"/>
                <w:szCs w:val="22"/>
                <w:lang w:val="sr-Latn-ME" w:eastAsia="hr-HR"/>
              </w:rPr>
              <w:t>etljivosti, npr. anafilaksa, urtikarija</w:t>
            </w:r>
          </w:p>
        </w:tc>
      </w:tr>
      <w:tr w:rsidR="00C26B34" w:rsidRPr="00F63BD6" w:rsidTr="005A0722">
        <w:trPr>
          <w:jc w:val="center"/>
        </w:trPr>
        <w:tc>
          <w:tcPr>
            <w:tcW w:w="9338" w:type="dxa"/>
            <w:gridSpan w:val="2"/>
          </w:tcPr>
          <w:p w:rsidR="00C26B34" w:rsidRPr="00F63BD6" w:rsidRDefault="00C26B34" w:rsidP="00663E76">
            <w:pPr>
              <w:jc w:val="both"/>
              <w:rPr>
                <w:rFonts w:ascii="Times New Roman" w:hAnsi="Times New Roman"/>
                <w:sz w:val="22"/>
                <w:szCs w:val="22"/>
                <w:lang w:val="sr-Latn-ME" w:eastAsia="hr-HR"/>
              </w:rPr>
            </w:pPr>
            <w:r w:rsidRPr="00F63BD6">
              <w:rPr>
                <w:rFonts w:ascii="Times New Roman" w:hAnsi="Times New Roman"/>
                <w:b/>
                <w:i/>
                <w:sz w:val="22"/>
                <w:szCs w:val="22"/>
                <w:lang w:val="sr-Latn-ME" w:eastAsia="hr-HR"/>
              </w:rPr>
              <w:t>Psihijatrijski poremećaji</w:t>
            </w:r>
          </w:p>
        </w:tc>
      </w:tr>
      <w:tr w:rsidR="00B41808" w:rsidRPr="00F63BD6" w:rsidTr="005A0722">
        <w:trPr>
          <w:jc w:val="center"/>
        </w:trPr>
        <w:tc>
          <w:tcPr>
            <w:tcW w:w="4670" w:type="dxa"/>
          </w:tcPr>
          <w:p w:rsidR="00B41808" w:rsidRPr="00F63BD6" w:rsidRDefault="00753138"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Č</w:t>
            </w:r>
            <w:r w:rsidR="00422A9A" w:rsidRPr="00F63BD6">
              <w:rPr>
                <w:rFonts w:ascii="Times New Roman" w:hAnsi="Times New Roman"/>
                <w:sz w:val="22"/>
                <w:szCs w:val="22"/>
                <w:lang w:val="sr-Latn-ME" w:eastAsia="hr-HR"/>
              </w:rPr>
              <w:t>esto</w:t>
            </w:r>
          </w:p>
        </w:tc>
        <w:tc>
          <w:tcPr>
            <w:tcW w:w="4668" w:type="dxa"/>
          </w:tcPr>
          <w:p w:rsidR="00B41808" w:rsidRPr="00F63BD6" w:rsidRDefault="00422A9A"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nesanica</w:t>
            </w:r>
          </w:p>
        </w:tc>
      </w:tr>
      <w:tr w:rsidR="00C26B34" w:rsidRPr="00F63BD6" w:rsidTr="005A0722">
        <w:trPr>
          <w:jc w:val="center"/>
        </w:trPr>
        <w:tc>
          <w:tcPr>
            <w:tcW w:w="9338" w:type="dxa"/>
            <w:gridSpan w:val="2"/>
          </w:tcPr>
          <w:p w:rsidR="00C26B34" w:rsidRPr="00F63BD6" w:rsidRDefault="00C26B34" w:rsidP="00663E76">
            <w:pPr>
              <w:jc w:val="both"/>
              <w:rPr>
                <w:rFonts w:ascii="Times New Roman" w:hAnsi="Times New Roman"/>
                <w:sz w:val="22"/>
                <w:szCs w:val="22"/>
                <w:lang w:val="sr-Latn-ME" w:eastAsia="hr-HR"/>
              </w:rPr>
            </w:pPr>
            <w:r w:rsidRPr="00F63BD6">
              <w:rPr>
                <w:rFonts w:ascii="Times New Roman" w:hAnsi="Times New Roman"/>
                <w:b/>
                <w:i/>
                <w:sz w:val="22"/>
                <w:szCs w:val="22"/>
                <w:lang w:val="sr-Latn-ME" w:eastAsia="hr-HR"/>
              </w:rPr>
              <w:t>Poremećaji nervnog sistema</w:t>
            </w:r>
          </w:p>
        </w:tc>
      </w:tr>
      <w:tr w:rsidR="00422A9A" w:rsidRPr="00F63BD6" w:rsidTr="005A0722">
        <w:trPr>
          <w:jc w:val="center"/>
        </w:trPr>
        <w:tc>
          <w:tcPr>
            <w:tcW w:w="4670" w:type="dxa"/>
          </w:tcPr>
          <w:p w:rsidR="00422A9A" w:rsidRPr="00F63BD6" w:rsidRDefault="00753138" w:rsidP="00663E76">
            <w:pPr>
              <w:jc w:val="both"/>
              <w:rPr>
                <w:rFonts w:ascii="Times New Roman" w:hAnsi="Times New Roman"/>
                <w:sz w:val="22"/>
                <w:szCs w:val="22"/>
                <w:lang w:val="sr-Latn-ME"/>
              </w:rPr>
            </w:pPr>
            <w:r w:rsidRPr="00F63BD6">
              <w:rPr>
                <w:rFonts w:ascii="Times New Roman" w:hAnsi="Times New Roman"/>
                <w:sz w:val="22"/>
                <w:szCs w:val="22"/>
                <w:lang w:val="sr-Latn-ME"/>
              </w:rPr>
              <w:t>V</w:t>
            </w:r>
            <w:r w:rsidR="00422A9A" w:rsidRPr="00F63BD6">
              <w:rPr>
                <w:rFonts w:ascii="Times New Roman" w:hAnsi="Times New Roman"/>
                <w:sz w:val="22"/>
                <w:szCs w:val="22"/>
                <w:lang w:val="sr-Latn-ME"/>
              </w:rPr>
              <w:t xml:space="preserve">eoma često </w:t>
            </w:r>
          </w:p>
        </w:tc>
        <w:tc>
          <w:tcPr>
            <w:tcW w:w="4668" w:type="dxa"/>
          </w:tcPr>
          <w:p w:rsidR="00422A9A" w:rsidRPr="00F63BD6" w:rsidRDefault="00422A9A"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glavobolja </w:t>
            </w:r>
          </w:p>
        </w:tc>
      </w:tr>
      <w:tr w:rsidR="00422A9A" w:rsidRPr="00F63BD6" w:rsidTr="005A0722">
        <w:trPr>
          <w:jc w:val="center"/>
        </w:trPr>
        <w:tc>
          <w:tcPr>
            <w:tcW w:w="4670" w:type="dxa"/>
          </w:tcPr>
          <w:p w:rsidR="00422A9A" w:rsidRPr="00F63BD6" w:rsidRDefault="00753138" w:rsidP="00663E76">
            <w:pPr>
              <w:jc w:val="both"/>
              <w:rPr>
                <w:rFonts w:ascii="Times New Roman" w:hAnsi="Times New Roman"/>
                <w:sz w:val="22"/>
                <w:szCs w:val="22"/>
                <w:lang w:val="sr-Latn-ME"/>
              </w:rPr>
            </w:pPr>
            <w:r w:rsidRPr="00F63BD6">
              <w:rPr>
                <w:rFonts w:ascii="Times New Roman" w:hAnsi="Times New Roman"/>
                <w:sz w:val="22"/>
                <w:szCs w:val="22"/>
                <w:lang w:val="sr-Latn-ME"/>
              </w:rPr>
              <w:t>P</w:t>
            </w:r>
            <w:r w:rsidR="00422A9A" w:rsidRPr="00F63BD6">
              <w:rPr>
                <w:rFonts w:ascii="Times New Roman" w:hAnsi="Times New Roman"/>
                <w:sz w:val="22"/>
                <w:szCs w:val="22"/>
                <w:lang w:val="sr-Latn-ME"/>
              </w:rPr>
              <w:t xml:space="preserve">ovremeno </w:t>
            </w:r>
          </w:p>
        </w:tc>
        <w:tc>
          <w:tcPr>
            <w:tcW w:w="4668" w:type="dxa"/>
          </w:tcPr>
          <w:p w:rsidR="00422A9A" w:rsidRPr="00F63BD6" w:rsidRDefault="00422A9A"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ekstrapiramidalne reakcije </w:t>
            </w:r>
          </w:p>
        </w:tc>
      </w:tr>
      <w:tr w:rsidR="00422A9A" w:rsidRPr="00F63BD6" w:rsidTr="005A0722">
        <w:trPr>
          <w:jc w:val="center"/>
        </w:trPr>
        <w:tc>
          <w:tcPr>
            <w:tcW w:w="4670" w:type="dxa"/>
          </w:tcPr>
          <w:p w:rsidR="00422A9A" w:rsidRPr="00F63BD6" w:rsidRDefault="00753138" w:rsidP="00663E76">
            <w:pPr>
              <w:jc w:val="both"/>
              <w:rPr>
                <w:rFonts w:ascii="Times New Roman" w:hAnsi="Times New Roman"/>
                <w:sz w:val="22"/>
                <w:szCs w:val="22"/>
                <w:lang w:val="sr-Latn-ME"/>
              </w:rPr>
            </w:pPr>
            <w:r w:rsidRPr="00F63BD6">
              <w:rPr>
                <w:rFonts w:ascii="Times New Roman" w:hAnsi="Times New Roman"/>
                <w:sz w:val="22"/>
                <w:szCs w:val="22"/>
                <w:lang w:val="sr-Latn-ME"/>
              </w:rPr>
              <w:t>P</w:t>
            </w:r>
            <w:r w:rsidR="00422A9A" w:rsidRPr="00F63BD6">
              <w:rPr>
                <w:rFonts w:ascii="Times New Roman" w:hAnsi="Times New Roman"/>
                <w:sz w:val="22"/>
                <w:szCs w:val="22"/>
                <w:lang w:val="sr-Latn-ME"/>
              </w:rPr>
              <w:t xml:space="preserve">ovremeno </w:t>
            </w:r>
          </w:p>
        </w:tc>
        <w:tc>
          <w:tcPr>
            <w:tcW w:w="4668" w:type="dxa"/>
          </w:tcPr>
          <w:p w:rsidR="00422A9A" w:rsidRPr="00F63BD6" w:rsidRDefault="00422A9A" w:rsidP="00663E76">
            <w:pPr>
              <w:jc w:val="both"/>
              <w:rPr>
                <w:rFonts w:ascii="Times New Roman" w:hAnsi="Times New Roman"/>
                <w:sz w:val="22"/>
                <w:szCs w:val="22"/>
                <w:lang w:val="sr-Latn-ME"/>
              </w:rPr>
            </w:pPr>
            <w:r w:rsidRPr="00F63BD6">
              <w:rPr>
                <w:rFonts w:ascii="Times New Roman" w:hAnsi="Times New Roman"/>
                <w:sz w:val="22"/>
                <w:szCs w:val="22"/>
                <w:lang w:val="sr-Latn-ME"/>
              </w:rPr>
              <w:t>serotoninski sindrom (videti od</w:t>
            </w:r>
            <w:r w:rsidR="00D73815" w:rsidRPr="00F63BD6">
              <w:rPr>
                <w:rFonts w:ascii="Times New Roman" w:hAnsi="Times New Roman"/>
                <w:sz w:val="22"/>
                <w:szCs w:val="22"/>
                <w:lang w:val="sr-Latn-ME"/>
              </w:rPr>
              <w:t>j</w:t>
            </w:r>
            <w:r w:rsidRPr="00F63BD6">
              <w:rPr>
                <w:rFonts w:ascii="Times New Roman" w:hAnsi="Times New Roman"/>
                <w:sz w:val="22"/>
                <w:szCs w:val="22"/>
                <w:lang w:val="sr-Latn-ME"/>
              </w:rPr>
              <w:t>eljke 4.4 i 4.5)</w:t>
            </w:r>
          </w:p>
        </w:tc>
      </w:tr>
      <w:tr w:rsidR="00C26B34" w:rsidRPr="00F63BD6" w:rsidTr="005A0722">
        <w:trPr>
          <w:trHeight w:val="449"/>
          <w:jc w:val="center"/>
        </w:trPr>
        <w:tc>
          <w:tcPr>
            <w:tcW w:w="9338" w:type="dxa"/>
            <w:gridSpan w:val="2"/>
          </w:tcPr>
          <w:p w:rsidR="00C26B34" w:rsidRPr="00F63BD6" w:rsidRDefault="00C26B34" w:rsidP="00663E76">
            <w:pPr>
              <w:jc w:val="both"/>
              <w:rPr>
                <w:rFonts w:ascii="Times New Roman" w:hAnsi="Times New Roman"/>
                <w:sz w:val="22"/>
                <w:szCs w:val="22"/>
                <w:lang w:val="sr-Latn-ME" w:eastAsia="hr-HR"/>
              </w:rPr>
            </w:pPr>
            <w:r w:rsidRPr="00F63BD6">
              <w:rPr>
                <w:rFonts w:ascii="Times New Roman" w:hAnsi="Times New Roman"/>
                <w:b/>
                <w:i/>
                <w:sz w:val="22"/>
                <w:szCs w:val="22"/>
                <w:lang w:val="sr-Latn-ME" w:eastAsia="hr-HR"/>
              </w:rPr>
              <w:t>Kardiološki poremećaji</w:t>
            </w:r>
          </w:p>
        </w:tc>
      </w:tr>
      <w:tr w:rsidR="00B41808" w:rsidRPr="00F63BD6" w:rsidTr="005A0722">
        <w:trPr>
          <w:jc w:val="center"/>
        </w:trPr>
        <w:tc>
          <w:tcPr>
            <w:tcW w:w="4670" w:type="dxa"/>
          </w:tcPr>
          <w:p w:rsidR="00B41808" w:rsidRPr="00F63BD6" w:rsidRDefault="00D744BC"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P</w:t>
            </w:r>
            <w:r w:rsidR="00B41808" w:rsidRPr="00F63BD6">
              <w:rPr>
                <w:rFonts w:ascii="Times New Roman" w:hAnsi="Times New Roman"/>
                <w:sz w:val="22"/>
                <w:szCs w:val="22"/>
                <w:lang w:val="sr-Latn-ME" w:eastAsia="hr-HR"/>
              </w:rPr>
              <w:t>ovremeno</w:t>
            </w:r>
          </w:p>
        </w:tc>
        <w:tc>
          <w:tcPr>
            <w:tcW w:w="4668" w:type="dxa"/>
          </w:tcPr>
          <w:p w:rsidR="00B41808" w:rsidRPr="00F63BD6" w:rsidRDefault="00E27EB3"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produženje QT intervala</w:t>
            </w:r>
          </w:p>
        </w:tc>
      </w:tr>
      <w:tr w:rsidR="00C26B34" w:rsidRPr="00F63BD6" w:rsidTr="005A0722">
        <w:trPr>
          <w:jc w:val="center"/>
        </w:trPr>
        <w:tc>
          <w:tcPr>
            <w:tcW w:w="9338" w:type="dxa"/>
            <w:gridSpan w:val="2"/>
          </w:tcPr>
          <w:p w:rsidR="00C26B34" w:rsidRPr="00F63BD6" w:rsidRDefault="00C26B34" w:rsidP="00663E76">
            <w:pPr>
              <w:jc w:val="both"/>
              <w:rPr>
                <w:rFonts w:ascii="Times New Roman" w:hAnsi="Times New Roman"/>
                <w:sz w:val="22"/>
                <w:szCs w:val="22"/>
                <w:lang w:val="sr-Latn-ME" w:eastAsia="hr-HR"/>
              </w:rPr>
            </w:pPr>
            <w:r w:rsidRPr="00F63BD6">
              <w:rPr>
                <w:rFonts w:ascii="Times New Roman" w:hAnsi="Times New Roman"/>
                <w:b/>
                <w:i/>
                <w:sz w:val="22"/>
                <w:szCs w:val="22"/>
                <w:lang w:val="sr-Latn-ME" w:eastAsia="hr-HR"/>
              </w:rPr>
              <w:t>Gastrointestinalni poremećaji</w:t>
            </w:r>
          </w:p>
        </w:tc>
      </w:tr>
      <w:tr w:rsidR="009D1056" w:rsidRPr="00F63BD6" w:rsidTr="005A0722">
        <w:trPr>
          <w:jc w:val="center"/>
        </w:trPr>
        <w:tc>
          <w:tcPr>
            <w:tcW w:w="4670" w:type="dxa"/>
          </w:tcPr>
          <w:p w:rsidR="009D1056" w:rsidRPr="00F63BD6" w:rsidRDefault="00D744BC"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Ve</w:t>
            </w:r>
            <w:r w:rsidR="009D1056" w:rsidRPr="00F63BD6">
              <w:rPr>
                <w:rFonts w:ascii="Times New Roman" w:hAnsi="Times New Roman"/>
                <w:sz w:val="22"/>
                <w:szCs w:val="22"/>
                <w:lang w:val="sr-Latn-ME" w:eastAsia="hr-HR"/>
              </w:rPr>
              <w:t>o</w:t>
            </w:r>
            <w:r w:rsidRPr="00F63BD6">
              <w:rPr>
                <w:rFonts w:ascii="Times New Roman" w:hAnsi="Times New Roman"/>
                <w:sz w:val="22"/>
                <w:szCs w:val="22"/>
                <w:lang w:val="sr-Latn-ME" w:eastAsia="hr-HR"/>
              </w:rPr>
              <w:t>ma</w:t>
            </w:r>
            <w:r w:rsidR="009D1056" w:rsidRPr="00F63BD6">
              <w:rPr>
                <w:rFonts w:ascii="Times New Roman" w:hAnsi="Times New Roman"/>
                <w:sz w:val="22"/>
                <w:szCs w:val="22"/>
                <w:lang w:val="sr-Latn-ME" w:eastAsia="hr-HR"/>
              </w:rPr>
              <w:t xml:space="preserve"> često </w:t>
            </w:r>
          </w:p>
        </w:tc>
        <w:tc>
          <w:tcPr>
            <w:tcW w:w="4668" w:type="dxa"/>
          </w:tcPr>
          <w:p w:rsidR="009D1056" w:rsidRPr="00F63BD6" w:rsidRDefault="00E27EB3"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konstipacija</w:t>
            </w:r>
          </w:p>
        </w:tc>
      </w:tr>
      <w:tr w:rsidR="009D1056" w:rsidRPr="00F63BD6" w:rsidTr="005A0722">
        <w:trPr>
          <w:jc w:val="center"/>
        </w:trPr>
        <w:tc>
          <w:tcPr>
            <w:tcW w:w="4670" w:type="dxa"/>
          </w:tcPr>
          <w:p w:rsidR="009D1056" w:rsidRPr="00F63BD6" w:rsidRDefault="00D744BC"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Č</w:t>
            </w:r>
            <w:r w:rsidR="00E27EB3" w:rsidRPr="00F63BD6">
              <w:rPr>
                <w:rFonts w:ascii="Times New Roman" w:hAnsi="Times New Roman"/>
                <w:sz w:val="22"/>
                <w:szCs w:val="22"/>
                <w:lang w:val="sr-Latn-ME" w:eastAsia="hr-HR"/>
              </w:rPr>
              <w:t>esto</w:t>
            </w:r>
          </w:p>
        </w:tc>
        <w:tc>
          <w:tcPr>
            <w:tcW w:w="4668" w:type="dxa"/>
          </w:tcPr>
          <w:p w:rsidR="009D1056" w:rsidRPr="00F63BD6" w:rsidRDefault="00E27EB3"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dijareja</w:t>
            </w:r>
          </w:p>
        </w:tc>
      </w:tr>
      <w:tr w:rsidR="001262B2" w:rsidRPr="00F63BD6" w:rsidTr="005A0722">
        <w:trPr>
          <w:jc w:val="center"/>
        </w:trPr>
        <w:tc>
          <w:tcPr>
            <w:tcW w:w="9338" w:type="dxa"/>
            <w:gridSpan w:val="2"/>
          </w:tcPr>
          <w:p w:rsidR="001262B2" w:rsidRPr="00F63BD6" w:rsidRDefault="001262B2" w:rsidP="00663E76">
            <w:pPr>
              <w:jc w:val="both"/>
              <w:rPr>
                <w:rFonts w:ascii="Times New Roman" w:hAnsi="Times New Roman"/>
                <w:sz w:val="22"/>
                <w:szCs w:val="22"/>
                <w:lang w:val="sr-Latn-ME" w:eastAsia="hr-HR"/>
              </w:rPr>
            </w:pPr>
            <w:r w:rsidRPr="00F63BD6">
              <w:rPr>
                <w:rFonts w:ascii="Times New Roman" w:hAnsi="Times New Roman"/>
                <w:b/>
                <w:i/>
                <w:sz w:val="22"/>
                <w:szCs w:val="22"/>
                <w:lang w:val="sr-Latn-ME" w:eastAsia="hr-HR"/>
              </w:rPr>
              <w:t>Hepatobilijarni poremećaji</w:t>
            </w:r>
          </w:p>
        </w:tc>
      </w:tr>
      <w:tr w:rsidR="009D1056" w:rsidRPr="00F63BD6" w:rsidTr="005A0722">
        <w:trPr>
          <w:jc w:val="center"/>
        </w:trPr>
        <w:tc>
          <w:tcPr>
            <w:tcW w:w="4670" w:type="dxa"/>
          </w:tcPr>
          <w:p w:rsidR="009D1056" w:rsidRPr="00F63BD6" w:rsidRDefault="00D744BC"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Č</w:t>
            </w:r>
            <w:r w:rsidR="00D73815" w:rsidRPr="00F63BD6">
              <w:rPr>
                <w:rFonts w:ascii="Times New Roman" w:hAnsi="Times New Roman"/>
                <w:sz w:val="22"/>
                <w:szCs w:val="22"/>
                <w:lang w:val="sr-Latn-ME" w:eastAsia="hr-HR"/>
              </w:rPr>
              <w:t>esto</w:t>
            </w:r>
          </w:p>
        </w:tc>
        <w:tc>
          <w:tcPr>
            <w:tcW w:w="4668" w:type="dxa"/>
          </w:tcPr>
          <w:p w:rsidR="009D1056" w:rsidRPr="00F63BD6" w:rsidRDefault="00D73815" w:rsidP="00663E76">
            <w:pPr>
              <w:jc w:val="both"/>
              <w:rPr>
                <w:rFonts w:ascii="Times New Roman" w:hAnsi="Times New Roman"/>
                <w:sz w:val="22"/>
                <w:szCs w:val="22"/>
                <w:lang w:val="sr-Latn-ME" w:eastAsia="hr-HR"/>
              </w:rPr>
            </w:pPr>
            <w:r w:rsidRPr="00F63BD6">
              <w:rPr>
                <w:rFonts w:ascii="Times New Roman" w:hAnsi="Times New Roman"/>
                <w:sz w:val="22"/>
                <w:szCs w:val="22"/>
                <w:lang w:val="sr-Latn-ME"/>
              </w:rPr>
              <w:t>pov</w:t>
            </w:r>
            <w:r w:rsidR="00D744BC" w:rsidRPr="00F63BD6">
              <w:rPr>
                <w:rFonts w:ascii="Times New Roman" w:hAnsi="Times New Roman"/>
                <w:sz w:val="22"/>
                <w:szCs w:val="22"/>
                <w:lang w:val="sr-Latn-ME"/>
              </w:rPr>
              <w:t>iše</w:t>
            </w:r>
            <w:r w:rsidRPr="00F63BD6">
              <w:rPr>
                <w:rFonts w:ascii="Times New Roman" w:hAnsi="Times New Roman"/>
                <w:sz w:val="22"/>
                <w:szCs w:val="22"/>
                <w:lang w:val="sr-Latn-ME"/>
              </w:rPr>
              <w:t>ne vr</w:t>
            </w:r>
            <w:r w:rsidR="00DD3F27" w:rsidRPr="00F63BD6">
              <w:rPr>
                <w:rFonts w:ascii="Times New Roman" w:hAnsi="Times New Roman"/>
                <w:sz w:val="22"/>
                <w:szCs w:val="22"/>
                <w:lang w:val="sr-Latn-ME"/>
              </w:rPr>
              <w:t>ij</w:t>
            </w:r>
            <w:r w:rsidRPr="00F63BD6">
              <w:rPr>
                <w:rFonts w:ascii="Times New Roman" w:hAnsi="Times New Roman"/>
                <w:sz w:val="22"/>
                <w:szCs w:val="22"/>
                <w:lang w:val="sr-Latn-ME"/>
              </w:rPr>
              <w:t>ednosti transaminaza jetre*</w:t>
            </w:r>
          </w:p>
        </w:tc>
      </w:tr>
      <w:tr w:rsidR="001262B2" w:rsidRPr="00F63BD6" w:rsidTr="005A0722">
        <w:trPr>
          <w:jc w:val="center"/>
        </w:trPr>
        <w:tc>
          <w:tcPr>
            <w:tcW w:w="9338" w:type="dxa"/>
            <w:gridSpan w:val="2"/>
          </w:tcPr>
          <w:p w:rsidR="001262B2" w:rsidRPr="00F63BD6" w:rsidRDefault="001262B2" w:rsidP="00663E76">
            <w:pPr>
              <w:jc w:val="both"/>
              <w:rPr>
                <w:rFonts w:ascii="Times New Roman" w:hAnsi="Times New Roman"/>
                <w:sz w:val="22"/>
                <w:szCs w:val="22"/>
                <w:lang w:val="sr-Latn-ME" w:eastAsia="hr-HR"/>
              </w:rPr>
            </w:pPr>
            <w:r w:rsidRPr="00F63BD6">
              <w:rPr>
                <w:rFonts w:ascii="Times New Roman" w:hAnsi="Times New Roman"/>
                <w:b/>
                <w:i/>
                <w:color w:val="000000" w:themeColor="text1"/>
                <w:sz w:val="22"/>
                <w:szCs w:val="22"/>
                <w:lang w:val="sr-Latn-ME" w:eastAsia="hr-HR"/>
              </w:rPr>
              <w:t>Poremećaji kože i potkožnog tkiva</w:t>
            </w:r>
          </w:p>
        </w:tc>
      </w:tr>
      <w:tr w:rsidR="009D1056" w:rsidRPr="00F63BD6" w:rsidTr="005A0722">
        <w:trPr>
          <w:jc w:val="center"/>
        </w:trPr>
        <w:tc>
          <w:tcPr>
            <w:tcW w:w="4670" w:type="dxa"/>
          </w:tcPr>
          <w:p w:rsidR="009D1056" w:rsidRPr="00F63BD6" w:rsidRDefault="00DD3F27"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P</w:t>
            </w:r>
            <w:r w:rsidR="009D1056" w:rsidRPr="00F63BD6">
              <w:rPr>
                <w:rFonts w:ascii="Times New Roman" w:hAnsi="Times New Roman"/>
                <w:sz w:val="22"/>
                <w:szCs w:val="22"/>
                <w:lang w:val="sr-Latn-ME" w:eastAsia="hr-HR"/>
              </w:rPr>
              <w:t>ovremeno</w:t>
            </w:r>
          </w:p>
        </w:tc>
        <w:tc>
          <w:tcPr>
            <w:tcW w:w="4668" w:type="dxa"/>
          </w:tcPr>
          <w:p w:rsidR="009D1056" w:rsidRPr="00F63BD6" w:rsidRDefault="00DD3F27"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o</w:t>
            </w:r>
            <w:r w:rsidR="009D1056" w:rsidRPr="00F63BD6">
              <w:rPr>
                <w:rFonts w:ascii="Times New Roman" w:hAnsi="Times New Roman"/>
                <w:sz w:val="22"/>
                <w:szCs w:val="22"/>
                <w:lang w:val="sr-Latn-ME" w:eastAsia="hr-HR"/>
              </w:rPr>
              <w:t>sip</w:t>
            </w:r>
          </w:p>
        </w:tc>
      </w:tr>
    </w:tbl>
    <w:p w:rsidR="004A586C" w:rsidRDefault="004A586C" w:rsidP="00663E76">
      <w:pPr>
        <w:jc w:val="both"/>
        <w:rPr>
          <w:rFonts w:ascii="Times New Roman" w:hAnsi="Times New Roman"/>
          <w:sz w:val="22"/>
          <w:szCs w:val="22"/>
          <w:lang w:val="sr-Latn-ME" w:eastAsia="hr-HR"/>
        </w:rPr>
      </w:pPr>
    </w:p>
    <w:p w:rsidR="005717B2" w:rsidRPr="00F63BD6" w:rsidRDefault="009E7B4D" w:rsidP="00663E76">
      <w:pPr>
        <w:jc w:val="both"/>
        <w:rPr>
          <w:rFonts w:ascii="Times New Roman" w:hAnsi="Times New Roman"/>
          <w:sz w:val="22"/>
          <w:szCs w:val="22"/>
          <w:lang w:val="sr-Latn-ME" w:eastAsia="hr-HR"/>
        </w:rPr>
      </w:pPr>
      <w:r w:rsidRPr="00F63BD6">
        <w:rPr>
          <w:rFonts w:ascii="Times New Roman" w:hAnsi="Times New Roman"/>
          <w:sz w:val="22"/>
          <w:szCs w:val="22"/>
          <w:lang w:val="sr-Latn-ME" w:eastAsia="hr-HR"/>
        </w:rPr>
        <w:t xml:space="preserve">* </w:t>
      </w:r>
      <w:r w:rsidR="00AC28AA" w:rsidRPr="00F63BD6">
        <w:rPr>
          <w:rFonts w:ascii="Times New Roman" w:hAnsi="Times New Roman"/>
          <w:sz w:val="22"/>
          <w:szCs w:val="22"/>
          <w:lang w:val="sr-Latn-ME" w:eastAsia="hr-HR"/>
        </w:rPr>
        <w:t xml:space="preserve">javljaju se sa sličnom učestalošću kod </w:t>
      </w:r>
      <w:r w:rsidR="00D73815" w:rsidRPr="00F63BD6">
        <w:rPr>
          <w:rFonts w:ascii="Times New Roman" w:hAnsi="Times New Roman"/>
          <w:sz w:val="22"/>
          <w:szCs w:val="22"/>
          <w:lang w:val="sr-Latn-ME" w:eastAsia="hr-HR"/>
        </w:rPr>
        <w:t>pacijenata</w:t>
      </w:r>
      <w:r w:rsidR="00AC28AA" w:rsidRPr="00F63BD6">
        <w:rPr>
          <w:rFonts w:ascii="Times New Roman" w:hAnsi="Times New Roman"/>
          <w:sz w:val="22"/>
          <w:szCs w:val="22"/>
          <w:lang w:val="sr-Latn-ME" w:eastAsia="hr-HR"/>
        </w:rPr>
        <w:t xml:space="preserve"> koji su </w:t>
      </w:r>
      <w:r w:rsidR="00D73815" w:rsidRPr="00F63BD6">
        <w:rPr>
          <w:rFonts w:ascii="Times New Roman" w:hAnsi="Times New Roman"/>
          <w:sz w:val="22"/>
          <w:szCs w:val="22"/>
          <w:lang w:val="sr-Latn-ME" w:eastAsia="hr-HR"/>
        </w:rPr>
        <w:t>primali terapiju komparatorom.</w:t>
      </w:r>
    </w:p>
    <w:p w:rsidR="00D41ECE" w:rsidRPr="004A586C" w:rsidRDefault="00D41ECE" w:rsidP="00663E76">
      <w:pPr>
        <w:pStyle w:val="Style2"/>
        <w:tabs>
          <w:tab w:val="left" w:pos="0"/>
        </w:tabs>
        <w:spacing w:line="240" w:lineRule="auto"/>
        <w:ind w:left="0"/>
        <w:rPr>
          <w:rFonts w:ascii="Times New Roman" w:hAnsi="Times New Roman"/>
          <w:sz w:val="22"/>
          <w:szCs w:val="22"/>
          <w:lang w:val="sr-Latn-ME"/>
        </w:rPr>
      </w:pPr>
    </w:p>
    <w:p w:rsidR="00AC28AA" w:rsidRPr="00F63BD6" w:rsidRDefault="00AC28AA" w:rsidP="00663E76">
      <w:pPr>
        <w:pStyle w:val="Style2"/>
        <w:tabs>
          <w:tab w:val="left" w:pos="0"/>
        </w:tabs>
        <w:spacing w:line="240" w:lineRule="auto"/>
        <w:ind w:left="0"/>
        <w:rPr>
          <w:rFonts w:ascii="Times New Roman" w:hAnsi="Times New Roman"/>
          <w:sz w:val="22"/>
          <w:szCs w:val="22"/>
          <w:u w:val="single"/>
          <w:lang w:val="sr-Latn-ME"/>
        </w:rPr>
      </w:pPr>
      <w:r w:rsidRPr="00F63BD6">
        <w:rPr>
          <w:rFonts w:ascii="Times New Roman" w:hAnsi="Times New Roman"/>
          <w:sz w:val="22"/>
          <w:szCs w:val="22"/>
          <w:u w:val="single"/>
          <w:lang w:val="sr-Latn-ME"/>
        </w:rPr>
        <w:t xml:space="preserve">Opis </w:t>
      </w:r>
      <w:r w:rsidR="00BF18DA" w:rsidRPr="00F63BD6">
        <w:rPr>
          <w:rFonts w:ascii="Times New Roman" w:hAnsi="Times New Roman"/>
          <w:sz w:val="22"/>
          <w:szCs w:val="22"/>
          <w:u w:val="single"/>
          <w:lang w:val="sr-Latn-ME"/>
        </w:rPr>
        <w:t>odabranih</w:t>
      </w:r>
      <w:r w:rsidR="004A586C">
        <w:rPr>
          <w:rFonts w:ascii="Times New Roman" w:hAnsi="Times New Roman"/>
          <w:sz w:val="22"/>
          <w:szCs w:val="22"/>
          <w:u w:val="single"/>
          <w:lang w:val="sr-Latn-ME"/>
        </w:rPr>
        <w:t xml:space="preserve"> neželjenih dejstava</w:t>
      </w:r>
    </w:p>
    <w:p w:rsidR="004A586C" w:rsidRDefault="004A586C" w:rsidP="00663E76">
      <w:pPr>
        <w:pStyle w:val="Style2"/>
        <w:tabs>
          <w:tab w:val="left" w:pos="0"/>
        </w:tabs>
        <w:spacing w:line="240" w:lineRule="auto"/>
        <w:ind w:left="0"/>
        <w:rPr>
          <w:rFonts w:ascii="Times New Roman" w:hAnsi="Times New Roman"/>
          <w:sz w:val="22"/>
          <w:szCs w:val="22"/>
          <w:lang w:val="sr-Latn-ME"/>
        </w:rPr>
      </w:pPr>
    </w:p>
    <w:p w:rsidR="004A586C" w:rsidRDefault="00AC28AA" w:rsidP="004A586C">
      <w:pPr>
        <w:pStyle w:val="Style2"/>
        <w:tabs>
          <w:tab w:val="left" w:pos="0"/>
        </w:tabs>
        <w:spacing w:line="240" w:lineRule="auto"/>
        <w:ind w:left="0"/>
        <w:rPr>
          <w:rFonts w:ascii="Times New Roman" w:hAnsi="Times New Roman"/>
          <w:sz w:val="22"/>
          <w:szCs w:val="22"/>
          <w:lang w:val="sr-Latn-ME"/>
        </w:rPr>
      </w:pPr>
      <w:r w:rsidRPr="00F63BD6">
        <w:rPr>
          <w:rFonts w:ascii="Times New Roman" w:hAnsi="Times New Roman"/>
          <w:sz w:val="22"/>
          <w:szCs w:val="22"/>
          <w:lang w:val="sr-Latn-ME"/>
        </w:rPr>
        <w:t>Kao i kod ostalih antagonista 5-HT</w:t>
      </w:r>
      <w:r w:rsidRPr="00F63BD6">
        <w:rPr>
          <w:rFonts w:ascii="Times New Roman" w:hAnsi="Times New Roman"/>
          <w:sz w:val="22"/>
          <w:szCs w:val="22"/>
          <w:vertAlign w:val="subscript"/>
          <w:lang w:val="sr-Latn-ME"/>
        </w:rPr>
        <w:t>3</w:t>
      </w:r>
      <w:r w:rsidRPr="00F63BD6">
        <w:rPr>
          <w:rFonts w:ascii="Times New Roman" w:hAnsi="Times New Roman"/>
          <w:sz w:val="22"/>
          <w:szCs w:val="22"/>
          <w:lang w:val="sr-Latn-ME"/>
        </w:rPr>
        <w:t>, kod primjene granisetrona su zabilježene promjene EKG-a uključujući produženje QT interval</w:t>
      </w:r>
      <w:r w:rsidR="004A586C">
        <w:rPr>
          <w:rFonts w:ascii="Times New Roman" w:hAnsi="Times New Roman"/>
          <w:sz w:val="22"/>
          <w:szCs w:val="22"/>
          <w:lang w:val="sr-Latn-ME"/>
        </w:rPr>
        <w:t>a (vidjeti djelove 4.4 i 4.5).</w:t>
      </w:r>
    </w:p>
    <w:p w:rsidR="000934FC" w:rsidRPr="00F63BD6" w:rsidRDefault="000934FC" w:rsidP="004A586C">
      <w:pPr>
        <w:pStyle w:val="Style2"/>
        <w:tabs>
          <w:tab w:val="left" w:pos="0"/>
        </w:tabs>
        <w:spacing w:line="240" w:lineRule="auto"/>
        <w:ind w:left="0"/>
        <w:rPr>
          <w:rFonts w:ascii="Times New Roman" w:hAnsi="Times New Roman"/>
          <w:sz w:val="22"/>
          <w:szCs w:val="22"/>
          <w:lang w:val="sr-Latn-ME"/>
        </w:rPr>
      </w:pPr>
      <w:r w:rsidRPr="00F63BD6">
        <w:rPr>
          <w:rFonts w:ascii="Times New Roman" w:hAnsi="Times New Roman"/>
          <w:sz w:val="22"/>
          <w:szCs w:val="22"/>
          <w:lang w:val="sr-Latn-ME"/>
        </w:rPr>
        <w:t>Kao i kod drugih 5-HT3 antagonista, prijavljeni su slučajevi serotoninskog sindroma (uključujući izmijenjeni mentalni status, autonomnu disfunkciju i neuromišićne poremećaje) nakon istovremene primjene granisetrona i drugih serotonergičkih ljekova (vidjeti odjeljke 4.4 i 4.5).</w:t>
      </w:r>
    </w:p>
    <w:p w:rsidR="004A586C" w:rsidRDefault="004A586C" w:rsidP="00663E76">
      <w:pPr>
        <w:jc w:val="both"/>
        <w:rPr>
          <w:rFonts w:ascii="Times New Roman" w:eastAsia="Calibri" w:hAnsi="Times New Roman"/>
          <w:sz w:val="22"/>
          <w:szCs w:val="22"/>
          <w:u w:val="single"/>
          <w:lang w:val="sr-Latn-ME"/>
        </w:rPr>
      </w:pPr>
    </w:p>
    <w:p w:rsidR="00570344" w:rsidRPr="00F63BD6" w:rsidRDefault="00570344" w:rsidP="00663E76">
      <w:pPr>
        <w:jc w:val="both"/>
        <w:rPr>
          <w:rFonts w:ascii="Times New Roman" w:eastAsia="Calibri" w:hAnsi="Times New Roman"/>
          <w:sz w:val="22"/>
          <w:szCs w:val="22"/>
          <w:u w:val="single"/>
          <w:lang w:val="sr-Latn-ME"/>
        </w:rPr>
      </w:pPr>
      <w:r w:rsidRPr="00F63BD6">
        <w:rPr>
          <w:rFonts w:ascii="Times New Roman" w:eastAsia="Calibri" w:hAnsi="Times New Roman"/>
          <w:sz w:val="22"/>
          <w:szCs w:val="22"/>
          <w:u w:val="single"/>
          <w:lang w:val="sr-Latn-ME"/>
        </w:rPr>
        <w:t>Prijavljivanje sumnji na neželjena dejstva</w:t>
      </w:r>
    </w:p>
    <w:p w:rsidR="00615837" w:rsidRDefault="00615837" w:rsidP="00663E76">
      <w:pPr>
        <w:jc w:val="both"/>
        <w:rPr>
          <w:rFonts w:ascii="Times New Roman" w:eastAsia="Calibri" w:hAnsi="Times New Roman"/>
          <w:sz w:val="22"/>
          <w:szCs w:val="22"/>
          <w:lang w:val="sr-Latn-ME"/>
        </w:rPr>
      </w:pPr>
    </w:p>
    <w:p w:rsidR="00570344" w:rsidRPr="00F63BD6" w:rsidRDefault="00570344" w:rsidP="00663E76">
      <w:pPr>
        <w:jc w:val="both"/>
        <w:rPr>
          <w:rFonts w:ascii="Times New Roman" w:eastAsia="Calibri" w:hAnsi="Times New Roman"/>
          <w:sz w:val="22"/>
          <w:szCs w:val="22"/>
          <w:lang w:val="sr-Latn-ME"/>
        </w:rPr>
      </w:pPr>
      <w:r w:rsidRPr="00F63BD6">
        <w:rPr>
          <w:rFonts w:ascii="Times New Roman" w:eastAsia="Calibri" w:hAnsi="Times New Roman"/>
          <w:sz w:val="22"/>
          <w:szCs w:val="22"/>
          <w:lang w:val="sr-Latn-ME"/>
        </w:rPr>
        <w:t>Prijavljivanje neželjenih dejstava nakon dobijanja do</w:t>
      </w:r>
      <w:r w:rsidR="00615837">
        <w:rPr>
          <w:rFonts w:ascii="Times New Roman" w:eastAsia="Calibri" w:hAnsi="Times New Roman"/>
          <w:sz w:val="22"/>
          <w:szCs w:val="22"/>
          <w:lang w:val="sr-Latn-ME"/>
        </w:rPr>
        <w:t xml:space="preserve">zvole je od velikog značaja jer </w:t>
      </w:r>
      <w:r w:rsidRPr="00F63BD6">
        <w:rPr>
          <w:rFonts w:ascii="Times New Roman" w:eastAsia="Calibri" w:hAnsi="Times New Roman"/>
          <w:sz w:val="22"/>
          <w:szCs w:val="22"/>
          <w:lang w:val="sr-Latn-ME"/>
        </w:rPr>
        <w:t>obezbjeđuje kontinuirano praćenje odnosa korist/rizik primjene lijeka. Zdravstveni radnici treba da prijave svaku sumnju na neželjeno dejstvo ovog lijeka Agenciji za ljekove i medicinska sredstva Crne Gore (CALIMS):</w:t>
      </w:r>
    </w:p>
    <w:p w:rsidR="00615837" w:rsidRDefault="00615837" w:rsidP="00663E76">
      <w:pPr>
        <w:jc w:val="both"/>
        <w:rPr>
          <w:rFonts w:ascii="Times New Roman" w:eastAsia="Calibri" w:hAnsi="Times New Roman"/>
          <w:sz w:val="22"/>
          <w:szCs w:val="22"/>
          <w:lang w:val="sr-Latn-ME"/>
        </w:rPr>
      </w:pPr>
    </w:p>
    <w:p w:rsidR="00570344" w:rsidRPr="00F63BD6" w:rsidRDefault="00570344" w:rsidP="00663E76">
      <w:pPr>
        <w:jc w:val="both"/>
        <w:rPr>
          <w:rFonts w:ascii="Times New Roman" w:eastAsia="Calibri" w:hAnsi="Times New Roman"/>
          <w:sz w:val="22"/>
          <w:szCs w:val="22"/>
          <w:lang w:val="sr-Latn-ME"/>
        </w:rPr>
      </w:pPr>
      <w:r w:rsidRPr="00F63BD6">
        <w:rPr>
          <w:rFonts w:ascii="Times New Roman" w:eastAsia="Calibri" w:hAnsi="Times New Roman"/>
          <w:sz w:val="22"/>
          <w:szCs w:val="22"/>
          <w:lang w:val="sr-Latn-ME"/>
        </w:rPr>
        <w:t>Agencija za ljekove i medicinska sredstva Crne Gore</w:t>
      </w:r>
    </w:p>
    <w:p w:rsidR="00570344" w:rsidRPr="00F63BD6" w:rsidRDefault="00570344" w:rsidP="00663E76">
      <w:pPr>
        <w:jc w:val="both"/>
        <w:rPr>
          <w:rFonts w:ascii="Times New Roman" w:eastAsia="Calibri" w:hAnsi="Times New Roman"/>
          <w:sz w:val="22"/>
          <w:szCs w:val="22"/>
          <w:lang w:val="sr-Latn-ME"/>
        </w:rPr>
      </w:pPr>
      <w:r w:rsidRPr="00F63BD6">
        <w:rPr>
          <w:rFonts w:ascii="Times New Roman" w:eastAsia="Calibri" w:hAnsi="Times New Roman"/>
          <w:sz w:val="22"/>
          <w:szCs w:val="22"/>
          <w:lang w:val="sr-Latn-ME"/>
        </w:rPr>
        <w:t>Odjeljenje za farmakovigilancu</w:t>
      </w:r>
    </w:p>
    <w:p w:rsidR="00570344" w:rsidRPr="00F63BD6" w:rsidRDefault="00570344" w:rsidP="00663E76">
      <w:pPr>
        <w:jc w:val="both"/>
        <w:rPr>
          <w:rFonts w:ascii="Times New Roman" w:eastAsia="Calibri" w:hAnsi="Times New Roman"/>
          <w:sz w:val="22"/>
          <w:szCs w:val="22"/>
          <w:lang w:val="sr-Latn-ME"/>
        </w:rPr>
      </w:pPr>
      <w:r w:rsidRPr="00F63BD6">
        <w:rPr>
          <w:rFonts w:ascii="Times New Roman" w:eastAsia="Calibri" w:hAnsi="Times New Roman"/>
          <w:sz w:val="22"/>
          <w:szCs w:val="22"/>
          <w:lang w:val="sr-Latn-ME"/>
        </w:rPr>
        <w:t>Bulevar Ivana Crnojevića 64a, 81000 Podgorica</w:t>
      </w:r>
    </w:p>
    <w:p w:rsidR="00570344" w:rsidRPr="00F63BD6" w:rsidRDefault="00570344" w:rsidP="00663E76">
      <w:pPr>
        <w:jc w:val="both"/>
        <w:rPr>
          <w:rFonts w:ascii="Times New Roman" w:eastAsia="Calibri" w:hAnsi="Times New Roman"/>
          <w:sz w:val="22"/>
          <w:szCs w:val="22"/>
          <w:lang w:val="sr-Latn-ME"/>
        </w:rPr>
      </w:pPr>
    </w:p>
    <w:p w:rsidR="00570344" w:rsidRPr="00F63BD6" w:rsidRDefault="00570344" w:rsidP="00663E76">
      <w:pPr>
        <w:jc w:val="both"/>
        <w:rPr>
          <w:rFonts w:ascii="Times New Roman" w:eastAsia="Calibri" w:hAnsi="Times New Roman"/>
          <w:sz w:val="22"/>
          <w:szCs w:val="22"/>
          <w:lang w:val="sr-Latn-ME"/>
        </w:rPr>
      </w:pPr>
      <w:r w:rsidRPr="00F63BD6">
        <w:rPr>
          <w:rFonts w:ascii="Times New Roman" w:eastAsia="Calibri" w:hAnsi="Times New Roman"/>
          <w:sz w:val="22"/>
          <w:szCs w:val="22"/>
          <w:lang w:val="sr-Latn-ME"/>
        </w:rPr>
        <w:t>tel: +382 (0) 20 310 280</w:t>
      </w:r>
    </w:p>
    <w:p w:rsidR="00570344" w:rsidRPr="00F63BD6" w:rsidRDefault="00570344" w:rsidP="00663E76">
      <w:pPr>
        <w:jc w:val="both"/>
        <w:rPr>
          <w:rFonts w:ascii="Times New Roman" w:eastAsia="Calibri" w:hAnsi="Times New Roman"/>
          <w:sz w:val="22"/>
          <w:szCs w:val="22"/>
          <w:lang w:val="sr-Latn-ME"/>
        </w:rPr>
      </w:pPr>
      <w:r w:rsidRPr="00F63BD6">
        <w:rPr>
          <w:rFonts w:ascii="Times New Roman" w:eastAsia="Calibri" w:hAnsi="Times New Roman"/>
          <w:sz w:val="22"/>
          <w:szCs w:val="22"/>
          <w:lang w:val="sr-Latn-ME"/>
        </w:rPr>
        <w:t>fax: +382 (0) 20 310 581</w:t>
      </w:r>
    </w:p>
    <w:p w:rsidR="00570344" w:rsidRPr="00F63BD6" w:rsidRDefault="00D07AFB" w:rsidP="00663E76">
      <w:pPr>
        <w:jc w:val="both"/>
        <w:rPr>
          <w:rFonts w:ascii="Times New Roman" w:eastAsia="Calibri" w:hAnsi="Times New Roman"/>
          <w:sz w:val="22"/>
          <w:szCs w:val="22"/>
          <w:lang w:val="sr-Latn-ME"/>
        </w:rPr>
      </w:pPr>
      <w:hyperlink r:id="rId8" w:history="1">
        <w:r w:rsidR="00570344" w:rsidRPr="00F63BD6">
          <w:rPr>
            <w:rFonts w:ascii="Times New Roman" w:eastAsia="Calibri" w:hAnsi="Times New Roman"/>
            <w:color w:val="0000FF"/>
            <w:sz w:val="22"/>
            <w:szCs w:val="22"/>
            <w:u w:val="single"/>
            <w:lang w:val="sr-Latn-ME"/>
          </w:rPr>
          <w:t>www.calims.me</w:t>
        </w:r>
      </w:hyperlink>
    </w:p>
    <w:p w:rsidR="00570344" w:rsidRPr="00F63BD6" w:rsidRDefault="00D07AFB" w:rsidP="00663E76">
      <w:pPr>
        <w:jc w:val="both"/>
        <w:rPr>
          <w:rFonts w:ascii="Times New Roman" w:eastAsia="Calibri" w:hAnsi="Times New Roman"/>
          <w:color w:val="0000FF"/>
          <w:sz w:val="22"/>
          <w:szCs w:val="22"/>
          <w:u w:val="single"/>
          <w:lang w:val="sr-Latn-ME"/>
        </w:rPr>
      </w:pPr>
      <w:hyperlink r:id="rId9" w:history="1">
        <w:r w:rsidR="00570344" w:rsidRPr="00F63BD6">
          <w:rPr>
            <w:rFonts w:ascii="Times New Roman" w:eastAsia="Calibri" w:hAnsi="Times New Roman"/>
            <w:color w:val="0000FF"/>
            <w:sz w:val="22"/>
            <w:szCs w:val="22"/>
            <w:u w:val="single"/>
            <w:lang w:val="sr-Latn-ME"/>
          </w:rPr>
          <w:t>nezeljenadejstva@calims.me</w:t>
        </w:r>
      </w:hyperlink>
    </w:p>
    <w:p w:rsidR="00570344" w:rsidRPr="00F63BD6" w:rsidRDefault="00570344" w:rsidP="00663E76">
      <w:pPr>
        <w:pStyle w:val="Style2"/>
        <w:tabs>
          <w:tab w:val="left" w:pos="0"/>
        </w:tabs>
        <w:spacing w:line="240" w:lineRule="auto"/>
        <w:ind w:left="0"/>
        <w:rPr>
          <w:rFonts w:ascii="Times New Roman" w:eastAsia="Calibri" w:hAnsi="Times New Roman"/>
          <w:sz w:val="22"/>
          <w:szCs w:val="22"/>
          <w:lang w:val="sr-Latn-ME" w:eastAsia="en-US"/>
        </w:rPr>
      </w:pPr>
      <w:r w:rsidRPr="00F63BD6">
        <w:rPr>
          <w:rFonts w:ascii="Times New Roman" w:eastAsia="Calibri" w:hAnsi="Times New Roman"/>
          <w:sz w:val="22"/>
          <w:szCs w:val="22"/>
          <w:lang w:val="sr-Latn-ME" w:eastAsia="en-US"/>
        </w:rPr>
        <w:t>putem IS zdravstvene zaštite</w:t>
      </w:r>
    </w:p>
    <w:p w:rsidR="002F1B22" w:rsidRPr="00F63BD6" w:rsidRDefault="002F1B22" w:rsidP="00663E76">
      <w:pPr>
        <w:pStyle w:val="Style2"/>
        <w:tabs>
          <w:tab w:val="left" w:pos="0"/>
        </w:tabs>
        <w:spacing w:line="240" w:lineRule="auto"/>
        <w:ind w:left="0"/>
        <w:rPr>
          <w:rFonts w:ascii="Times New Roman" w:eastAsia="Calibri" w:hAnsi="Times New Roman"/>
          <w:sz w:val="22"/>
          <w:szCs w:val="22"/>
          <w:lang w:val="sr-Latn-ME" w:eastAsia="en-US"/>
        </w:rPr>
      </w:pPr>
    </w:p>
    <w:p w:rsidR="00570344" w:rsidRPr="00F63BD6" w:rsidRDefault="00615837" w:rsidP="00663E76">
      <w:pPr>
        <w:jc w:val="both"/>
        <w:rPr>
          <w:rFonts w:ascii="Times New Roman" w:hAnsi="Times New Roman"/>
          <w:b/>
          <w:bCs/>
          <w:sz w:val="22"/>
          <w:szCs w:val="22"/>
          <w:lang w:val="sr-Latn-ME" w:eastAsia="hr-HR"/>
        </w:rPr>
      </w:pPr>
      <w:r>
        <w:rPr>
          <w:rFonts w:ascii="Times New Roman" w:hAnsi="Times New Roman"/>
          <w:b/>
          <w:bCs/>
          <w:sz w:val="22"/>
          <w:szCs w:val="22"/>
          <w:lang w:val="sr-Latn-ME" w:eastAsia="hr-HR"/>
        </w:rPr>
        <w:lastRenderedPageBreak/>
        <w:t xml:space="preserve">4.9. </w:t>
      </w:r>
      <w:r w:rsidR="00570344" w:rsidRPr="00F63BD6">
        <w:rPr>
          <w:rFonts w:ascii="Times New Roman" w:hAnsi="Times New Roman"/>
          <w:b/>
          <w:bCs/>
          <w:sz w:val="22"/>
          <w:szCs w:val="22"/>
          <w:lang w:val="sr-Latn-ME" w:eastAsia="hr-HR"/>
        </w:rPr>
        <w:t>Predoziranje i mjere koje je potrebno preduzeti</w:t>
      </w:r>
    </w:p>
    <w:p w:rsidR="00331AAE" w:rsidRPr="00F63BD6" w:rsidRDefault="009E7B4D"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Za </w:t>
      </w:r>
      <w:r w:rsidR="00AC28AA" w:rsidRPr="00F63BD6">
        <w:rPr>
          <w:rFonts w:ascii="Times New Roman" w:hAnsi="Times New Roman"/>
          <w:sz w:val="22"/>
          <w:szCs w:val="22"/>
          <w:lang w:val="sr-Latn-ME"/>
        </w:rPr>
        <w:t>Graftor</w:t>
      </w:r>
      <w:r w:rsidR="00AC28AA" w:rsidRPr="00F63BD6">
        <w:rPr>
          <w:rFonts w:ascii="Times New Roman" w:hAnsi="Times New Roman"/>
          <w:sz w:val="22"/>
          <w:szCs w:val="22"/>
          <w:vertAlign w:val="superscript"/>
          <w:lang w:val="sr-Latn-ME"/>
        </w:rPr>
        <w:t>®</w:t>
      </w:r>
      <w:r w:rsidR="008A1041" w:rsidRPr="00F63BD6">
        <w:rPr>
          <w:rFonts w:ascii="Times New Roman" w:hAnsi="Times New Roman"/>
          <w:sz w:val="22"/>
          <w:szCs w:val="22"/>
          <w:lang w:val="sr-Latn-ME"/>
        </w:rPr>
        <w:t xml:space="preserve"> </w:t>
      </w:r>
      <w:r w:rsidR="00AC28AA" w:rsidRPr="00F63BD6">
        <w:rPr>
          <w:rFonts w:ascii="Times New Roman" w:hAnsi="Times New Roman"/>
          <w:sz w:val="22"/>
          <w:szCs w:val="22"/>
          <w:lang w:val="sr-Latn-ME"/>
        </w:rPr>
        <w:t>koncentrat za rastvor za infuziju ili injekciju ne</w:t>
      </w:r>
      <w:r w:rsidR="00331AAE" w:rsidRPr="00F63BD6">
        <w:rPr>
          <w:rFonts w:ascii="Times New Roman" w:hAnsi="Times New Roman"/>
          <w:sz w:val="22"/>
          <w:szCs w:val="22"/>
          <w:lang w:val="sr-Latn-ME"/>
        </w:rPr>
        <w:t xml:space="preserve"> postoji specifičan antidot. U slučaju predoziranja liječenje je simptomatsko. </w:t>
      </w:r>
      <w:r w:rsidR="00AC28AA" w:rsidRPr="00F63BD6">
        <w:rPr>
          <w:rFonts w:ascii="Times New Roman" w:hAnsi="Times New Roman"/>
          <w:sz w:val="22"/>
          <w:szCs w:val="22"/>
          <w:lang w:val="sr-Latn-ME"/>
        </w:rPr>
        <w:t xml:space="preserve">Zabilježene su primijenjene doze sve do 38.5 mg </w:t>
      </w:r>
      <w:r w:rsidR="008A1041" w:rsidRPr="00F63BD6">
        <w:rPr>
          <w:rFonts w:ascii="Times New Roman" w:hAnsi="Times New Roman"/>
          <w:sz w:val="22"/>
          <w:szCs w:val="22"/>
          <w:lang w:val="sr-Latn-ME"/>
        </w:rPr>
        <w:t xml:space="preserve"> granis</w:t>
      </w:r>
      <w:r w:rsidRPr="00F63BD6">
        <w:rPr>
          <w:rFonts w:ascii="Times New Roman" w:hAnsi="Times New Roman"/>
          <w:sz w:val="22"/>
          <w:szCs w:val="22"/>
          <w:lang w:val="sr-Latn-ME"/>
        </w:rPr>
        <w:t>etrona</w:t>
      </w:r>
      <w:r w:rsidR="00AC28AA" w:rsidRPr="00F63BD6">
        <w:rPr>
          <w:rFonts w:ascii="Times New Roman" w:hAnsi="Times New Roman"/>
          <w:sz w:val="22"/>
          <w:szCs w:val="22"/>
          <w:lang w:val="sr-Latn-ME"/>
        </w:rPr>
        <w:t xml:space="preserve"> u pojedinačnoj injekciji, sa simptomima blage glavobolje</w:t>
      </w:r>
      <w:r w:rsidR="00331AAE" w:rsidRPr="00F63BD6">
        <w:rPr>
          <w:rFonts w:ascii="Times New Roman" w:hAnsi="Times New Roman"/>
          <w:sz w:val="22"/>
          <w:szCs w:val="22"/>
          <w:lang w:val="sr-Latn-ME"/>
        </w:rPr>
        <w:t>, ali osim toga ni</w:t>
      </w:r>
      <w:r w:rsidR="00633091" w:rsidRPr="00F63BD6">
        <w:rPr>
          <w:rFonts w:ascii="Times New Roman" w:hAnsi="Times New Roman"/>
          <w:sz w:val="22"/>
          <w:szCs w:val="22"/>
          <w:lang w:val="sr-Latn-ME"/>
        </w:rPr>
        <w:t>je</w:t>
      </w:r>
      <w:r w:rsidR="00331AAE" w:rsidRPr="00F63BD6">
        <w:rPr>
          <w:rFonts w:ascii="Times New Roman" w:hAnsi="Times New Roman"/>
          <w:sz w:val="22"/>
          <w:szCs w:val="22"/>
          <w:lang w:val="sr-Latn-ME"/>
        </w:rPr>
        <w:t>su primijećene druge posljedice.</w:t>
      </w:r>
    </w:p>
    <w:p w:rsidR="00B2114D" w:rsidRPr="00F63BD6" w:rsidRDefault="00B2114D" w:rsidP="00663E76">
      <w:pPr>
        <w:jc w:val="both"/>
        <w:rPr>
          <w:rFonts w:ascii="Times New Roman" w:hAnsi="Times New Roman"/>
          <w:color w:val="FF0000"/>
          <w:sz w:val="22"/>
          <w:szCs w:val="22"/>
          <w:lang w:val="sr-Latn-ME" w:eastAsia="hr-HR"/>
        </w:rPr>
      </w:pPr>
    </w:p>
    <w:p w:rsidR="0021519B" w:rsidRPr="00F63BD6" w:rsidRDefault="00615837" w:rsidP="00663E76">
      <w:pPr>
        <w:pStyle w:val="SmPCheading"/>
        <w:spacing w:before="0" w:after="0" w:line="240" w:lineRule="auto"/>
        <w:jc w:val="both"/>
        <w:rPr>
          <w:rFonts w:ascii="Times New Roman" w:hAnsi="Times New Roman"/>
          <w:bCs/>
          <w:sz w:val="22"/>
          <w:szCs w:val="22"/>
          <w:lang w:val="sr-Latn-ME"/>
        </w:rPr>
      </w:pPr>
      <w:r>
        <w:rPr>
          <w:rFonts w:ascii="Times New Roman" w:hAnsi="Times New Roman"/>
          <w:bCs/>
          <w:sz w:val="22"/>
          <w:szCs w:val="22"/>
          <w:lang w:val="sr-Latn-ME"/>
        </w:rPr>
        <w:t xml:space="preserve">5. </w:t>
      </w:r>
      <w:r w:rsidR="0021519B" w:rsidRPr="00F63BD6">
        <w:rPr>
          <w:rFonts w:ascii="Times New Roman" w:hAnsi="Times New Roman"/>
          <w:bCs/>
          <w:sz w:val="22"/>
          <w:szCs w:val="22"/>
          <w:lang w:val="sr-Latn-ME"/>
        </w:rPr>
        <w:t>FARMAKOLOŠKI PODACI</w:t>
      </w:r>
    </w:p>
    <w:p w:rsidR="00615837" w:rsidRDefault="00615837" w:rsidP="00663E76">
      <w:pPr>
        <w:jc w:val="both"/>
        <w:rPr>
          <w:rFonts w:ascii="Times New Roman" w:hAnsi="Times New Roman"/>
          <w:b/>
          <w:bCs/>
          <w:sz w:val="22"/>
          <w:szCs w:val="22"/>
          <w:lang w:val="sr-Latn-ME"/>
        </w:rPr>
      </w:pPr>
    </w:p>
    <w:p w:rsidR="0021519B" w:rsidRPr="00F63BD6" w:rsidRDefault="00615837" w:rsidP="00663E76">
      <w:pPr>
        <w:jc w:val="both"/>
        <w:rPr>
          <w:rFonts w:ascii="Times New Roman" w:hAnsi="Times New Roman"/>
          <w:b/>
          <w:bCs/>
          <w:sz w:val="22"/>
          <w:szCs w:val="22"/>
          <w:lang w:val="sr-Latn-ME"/>
        </w:rPr>
      </w:pPr>
      <w:r>
        <w:rPr>
          <w:rFonts w:ascii="Times New Roman" w:hAnsi="Times New Roman"/>
          <w:b/>
          <w:bCs/>
          <w:sz w:val="22"/>
          <w:szCs w:val="22"/>
          <w:lang w:val="sr-Latn-ME"/>
        </w:rPr>
        <w:t xml:space="preserve">5.1. </w:t>
      </w:r>
      <w:r w:rsidR="0021519B" w:rsidRPr="00F63BD6">
        <w:rPr>
          <w:rFonts w:ascii="Times New Roman" w:hAnsi="Times New Roman"/>
          <w:b/>
          <w:bCs/>
          <w:sz w:val="22"/>
          <w:szCs w:val="22"/>
          <w:lang w:val="sr-Latn-ME"/>
        </w:rPr>
        <w:t>Farmakodinamski podaci</w:t>
      </w:r>
    </w:p>
    <w:p w:rsidR="00615837" w:rsidRDefault="00615837" w:rsidP="00663E76">
      <w:pPr>
        <w:jc w:val="both"/>
        <w:rPr>
          <w:rFonts w:ascii="Times New Roman" w:hAnsi="Times New Roman"/>
          <w:i/>
          <w:sz w:val="22"/>
          <w:szCs w:val="22"/>
          <w:lang w:val="sr-Latn-ME" w:eastAsia="hr-HR"/>
        </w:rPr>
      </w:pPr>
    </w:p>
    <w:p w:rsidR="003D64D5" w:rsidRDefault="0088507F" w:rsidP="00663E76">
      <w:pPr>
        <w:jc w:val="both"/>
        <w:rPr>
          <w:rFonts w:ascii="Times New Roman" w:hAnsi="Times New Roman"/>
          <w:sz w:val="22"/>
          <w:szCs w:val="22"/>
          <w:lang w:val="sr-Latn-ME"/>
        </w:rPr>
      </w:pPr>
      <w:r w:rsidRPr="00615837">
        <w:rPr>
          <w:rFonts w:ascii="Times New Roman" w:hAnsi="Times New Roman"/>
          <w:b/>
          <w:sz w:val="22"/>
          <w:szCs w:val="22"/>
          <w:lang w:val="sr-Latn-ME" w:eastAsia="hr-HR"/>
        </w:rPr>
        <w:t xml:space="preserve">Farmakoterapijska </w:t>
      </w:r>
      <w:r w:rsidR="008A1041" w:rsidRPr="00615837">
        <w:rPr>
          <w:rFonts w:ascii="Times New Roman" w:hAnsi="Times New Roman"/>
          <w:b/>
          <w:sz w:val="22"/>
          <w:szCs w:val="22"/>
          <w:lang w:val="sr-Latn-ME" w:eastAsia="hr-HR"/>
        </w:rPr>
        <w:t>grup</w:t>
      </w:r>
      <w:r w:rsidRPr="00615837">
        <w:rPr>
          <w:rFonts w:ascii="Times New Roman" w:hAnsi="Times New Roman"/>
          <w:b/>
          <w:sz w:val="22"/>
          <w:szCs w:val="22"/>
          <w:lang w:val="sr-Latn-ME" w:eastAsia="hr-HR"/>
        </w:rPr>
        <w:t>a</w:t>
      </w:r>
      <w:r w:rsidR="00545BF4" w:rsidRPr="00615837">
        <w:rPr>
          <w:rFonts w:ascii="Times New Roman" w:hAnsi="Times New Roman"/>
          <w:b/>
          <w:sz w:val="22"/>
          <w:szCs w:val="22"/>
          <w:lang w:val="sr-Latn-ME" w:eastAsia="hr-HR"/>
        </w:rPr>
        <w:t>:</w:t>
      </w:r>
      <w:r w:rsidR="00545BF4" w:rsidRPr="00F63BD6">
        <w:rPr>
          <w:rFonts w:ascii="Times New Roman" w:hAnsi="Times New Roman"/>
          <w:i/>
          <w:sz w:val="22"/>
          <w:szCs w:val="22"/>
          <w:lang w:val="sr-Latn-ME" w:eastAsia="hr-HR"/>
        </w:rPr>
        <w:t xml:space="preserve"> </w:t>
      </w:r>
      <w:bookmarkStart w:id="1" w:name="OLE_LINK1"/>
      <w:r w:rsidR="0021519B" w:rsidRPr="00F63BD6">
        <w:rPr>
          <w:rFonts w:ascii="Times New Roman" w:hAnsi="Times New Roman"/>
          <w:sz w:val="22"/>
          <w:szCs w:val="22"/>
          <w:lang w:val="sr-Latn-ME"/>
        </w:rPr>
        <w:t xml:space="preserve">Antiemetici i sredstva </w:t>
      </w:r>
      <w:bookmarkEnd w:id="1"/>
      <w:r w:rsidR="006B0257" w:rsidRPr="00F63BD6">
        <w:rPr>
          <w:rFonts w:ascii="Times New Roman" w:hAnsi="Times New Roman"/>
          <w:sz w:val="22"/>
          <w:szCs w:val="22"/>
          <w:lang w:val="sr-Latn-ME"/>
        </w:rPr>
        <w:t>protiv nauzeje</w:t>
      </w:r>
      <w:r w:rsidR="0021519B" w:rsidRPr="00F63BD6">
        <w:rPr>
          <w:rFonts w:ascii="Times New Roman" w:hAnsi="Times New Roman"/>
          <w:sz w:val="22"/>
          <w:szCs w:val="22"/>
          <w:lang w:val="sr-Latn-ME"/>
        </w:rPr>
        <w:t xml:space="preserve"> mučnine;</w:t>
      </w:r>
      <w:r w:rsidR="0021519B" w:rsidRPr="00F63BD6">
        <w:rPr>
          <w:rFonts w:ascii="Times New Roman" w:hAnsi="Times New Roman"/>
          <w:sz w:val="22"/>
          <w:szCs w:val="22"/>
          <w:lang w:val="sr-Latn-ME" w:eastAsia="hr-HR"/>
        </w:rPr>
        <w:t xml:space="preserve"> Antagonisti serotonina </w:t>
      </w:r>
      <w:r w:rsidR="0021519B" w:rsidRPr="00F63BD6">
        <w:rPr>
          <w:rFonts w:ascii="Times New Roman" w:hAnsi="Times New Roman"/>
          <w:sz w:val="22"/>
          <w:szCs w:val="22"/>
          <w:lang w:val="sr-Latn-ME"/>
        </w:rPr>
        <w:t>(5-HT</w:t>
      </w:r>
      <w:r w:rsidR="0021519B" w:rsidRPr="00F63BD6">
        <w:rPr>
          <w:rFonts w:ascii="Times New Roman" w:hAnsi="Times New Roman"/>
          <w:sz w:val="22"/>
          <w:szCs w:val="22"/>
          <w:vertAlign w:val="subscript"/>
          <w:lang w:val="sr-Latn-ME"/>
        </w:rPr>
        <w:t>3</w:t>
      </w:r>
      <w:r w:rsidR="0021519B" w:rsidRPr="00F63BD6">
        <w:rPr>
          <w:rFonts w:ascii="Times New Roman" w:hAnsi="Times New Roman"/>
          <w:sz w:val="22"/>
          <w:szCs w:val="22"/>
          <w:lang w:val="sr-Latn-ME"/>
        </w:rPr>
        <w:t>).</w:t>
      </w:r>
    </w:p>
    <w:p w:rsidR="00615837" w:rsidRPr="00F63BD6" w:rsidRDefault="00615837" w:rsidP="00663E76">
      <w:pPr>
        <w:jc w:val="both"/>
        <w:rPr>
          <w:rFonts w:ascii="Times New Roman" w:hAnsi="Times New Roman"/>
          <w:i/>
          <w:sz w:val="22"/>
          <w:szCs w:val="22"/>
          <w:lang w:val="sr-Latn-ME" w:eastAsia="hr-HR"/>
        </w:rPr>
      </w:pPr>
    </w:p>
    <w:p w:rsidR="00985BB7" w:rsidRDefault="0021519B" w:rsidP="00663E76">
      <w:pPr>
        <w:jc w:val="both"/>
        <w:rPr>
          <w:rFonts w:ascii="Times New Roman" w:hAnsi="Times New Roman"/>
          <w:sz w:val="22"/>
          <w:szCs w:val="22"/>
          <w:lang w:val="sr-Latn-ME" w:eastAsia="hr-HR"/>
        </w:rPr>
      </w:pPr>
      <w:r w:rsidRPr="00F63BD6">
        <w:rPr>
          <w:rFonts w:ascii="Times New Roman" w:hAnsi="Times New Roman"/>
          <w:b/>
          <w:bCs/>
          <w:sz w:val="22"/>
          <w:szCs w:val="22"/>
          <w:lang w:val="sr-Latn-ME"/>
        </w:rPr>
        <w:t>ATC kod:</w:t>
      </w:r>
      <w:r w:rsidRPr="00F63BD6">
        <w:rPr>
          <w:rFonts w:ascii="Times New Roman" w:hAnsi="Times New Roman"/>
          <w:bCs/>
          <w:sz w:val="22"/>
          <w:szCs w:val="22"/>
          <w:lang w:val="sr-Latn-ME"/>
        </w:rPr>
        <w:t xml:space="preserve"> </w:t>
      </w:r>
      <w:r w:rsidR="009E7B4D" w:rsidRPr="00F63BD6">
        <w:rPr>
          <w:rFonts w:ascii="Times New Roman" w:hAnsi="Times New Roman"/>
          <w:sz w:val="22"/>
          <w:szCs w:val="22"/>
          <w:lang w:val="sr-Latn-ME"/>
        </w:rPr>
        <w:t>A04AA</w:t>
      </w:r>
      <w:r w:rsidR="009A2830" w:rsidRPr="00F63BD6">
        <w:rPr>
          <w:rFonts w:ascii="Times New Roman" w:hAnsi="Times New Roman"/>
          <w:sz w:val="22"/>
          <w:szCs w:val="22"/>
          <w:lang w:val="sr-Latn-ME"/>
        </w:rPr>
        <w:t>02</w:t>
      </w:r>
    </w:p>
    <w:p w:rsidR="00615837" w:rsidRPr="00F63BD6" w:rsidRDefault="00615837" w:rsidP="00663E76">
      <w:pPr>
        <w:jc w:val="both"/>
        <w:rPr>
          <w:rFonts w:ascii="Times New Roman" w:hAnsi="Times New Roman"/>
          <w:sz w:val="22"/>
          <w:szCs w:val="22"/>
          <w:lang w:val="sr-Latn-ME"/>
        </w:rPr>
      </w:pPr>
    </w:p>
    <w:p w:rsidR="00985BB7" w:rsidRPr="00F63BD6" w:rsidRDefault="00985BB7"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Neurološki mehanizmi, mučnina i povrać</w:t>
      </w:r>
      <w:r w:rsidR="00615837">
        <w:rPr>
          <w:rFonts w:ascii="Times New Roman" w:hAnsi="Times New Roman"/>
          <w:sz w:val="22"/>
          <w:szCs w:val="22"/>
          <w:u w:val="single"/>
          <w:lang w:val="sr-Latn-ME"/>
        </w:rPr>
        <w:t>anje uz posredovanje serotonina</w:t>
      </w:r>
    </w:p>
    <w:p w:rsidR="006B0257" w:rsidRDefault="00985BB7"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Serotonin je </w:t>
      </w:r>
      <w:r w:rsidR="006B0257" w:rsidRPr="00F63BD6">
        <w:rPr>
          <w:rFonts w:ascii="Times New Roman" w:hAnsi="Times New Roman"/>
          <w:sz w:val="22"/>
          <w:szCs w:val="22"/>
          <w:lang w:val="sr-Latn-ME"/>
        </w:rPr>
        <w:t>osnovni</w:t>
      </w:r>
      <w:r w:rsidRPr="00F63BD6">
        <w:rPr>
          <w:rFonts w:ascii="Times New Roman" w:hAnsi="Times New Roman"/>
          <w:sz w:val="22"/>
          <w:szCs w:val="22"/>
          <w:lang w:val="sr-Latn-ME"/>
        </w:rPr>
        <w:t xml:space="preserve"> neurotrans</w:t>
      </w:r>
      <w:r w:rsidR="005A6A3E" w:rsidRPr="00F63BD6">
        <w:rPr>
          <w:rFonts w:ascii="Times New Roman" w:hAnsi="Times New Roman"/>
          <w:sz w:val="22"/>
          <w:szCs w:val="22"/>
          <w:lang w:val="sr-Latn-ME"/>
        </w:rPr>
        <w:t>miter odgovoran za emezu nakon h</w:t>
      </w:r>
      <w:r w:rsidRPr="00F63BD6">
        <w:rPr>
          <w:rFonts w:ascii="Times New Roman" w:hAnsi="Times New Roman"/>
          <w:sz w:val="22"/>
          <w:szCs w:val="22"/>
          <w:lang w:val="sr-Latn-ME"/>
        </w:rPr>
        <w:t>em</w:t>
      </w:r>
      <w:r w:rsidR="006B0257" w:rsidRPr="00F63BD6">
        <w:rPr>
          <w:rFonts w:ascii="Times New Roman" w:hAnsi="Times New Roman"/>
          <w:sz w:val="22"/>
          <w:szCs w:val="22"/>
          <w:lang w:val="sr-Latn-ME"/>
        </w:rPr>
        <w:t>i</w:t>
      </w:r>
      <w:r w:rsidRPr="00F63BD6">
        <w:rPr>
          <w:rFonts w:ascii="Times New Roman" w:hAnsi="Times New Roman"/>
          <w:sz w:val="22"/>
          <w:szCs w:val="22"/>
          <w:lang w:val="sr-Latn-ME"/>
        </w:rPr>
        <w:t>o- ili radioterapije. Receptori 5-HT</w:t>
      </w:r>
      <w:r w:rsidRPr="00F63BD6">
        <w:rPr>
          <w:rFonts w:ascii="Times New Roman" w:hAnsi="Times New Roman"/>
          <w:sz w:val="22"/>
          <w:szCs w:val="22"/>
          <w:vertAlign w:val="subscript"/>
          <w:lang w:val="sr-Latn-ME"/>
        </w:rPr>
        <w:t>3</w:t>
      </w:r>
      <w:r w:rsidRPr="00F63BD6">
        <w:rPr>
          <w:rFonts w:ascii="Times New Roman" w:hAnsi="Times New Roman"/>
          <w:sz w:val="22"/>
          <w:szCs w:val="22"/>
          <w:lang w:val="sr-Latn-ME"/>
        </w:rPr>
        <w:t xml:space="preserve"> nalaze se </w:t>
      </w:r>
      <w:r w:rsidR="006B0257" w:rsidRPr="00F63BD6">
        <w:rPr>
          <w:rFonts w:ascii="Times New Roman" w:hAnsi="Times New Roman"/>
          <w:sz w:val="22"/>
          <w:szCs w:val="22"/>
          <w:lang w:val="sr-Latn-ME"/>
        </w:rPr>
        <w:t>lokalizovani su na tr</w:t>
      </w:r>
      <w:r w:rsidR="00C77E35" w:rsidRPr="00F63BD6">
        <w:rPr>
          <w:rFonts w:ascii="Times New Roman" w:hAnsi="Times New Roman"/>
          <w:sz w:val="22"/>
          <w:szCs w:val="22"/>
          <w:lang w:val="sr-Latn-ME"/>
        </w:rPr>
        <w:t>i</w:t>
      </w:r>
      <w:r w:rsidR="006B0257" w:rsidRPr="00F63BD6">
        <w:rPr>
          <w:rFonts w:ascii="Times New Roman" w:hAnsi="Times New Roman"/>
          <w:sz w:val="22"/>
          <w:szCs w:val="22"/>
          <w:lang w:val="sr-Latn-ME"/>
        </w:rPr>
        <w:t xml:space="preserve"> mjesta</w:t>
      </w:r>
      <w:r w:rsidRPr="00F63BD6">
        <w:rPr>
          <w:rFonts w:ascii="Times New Roman" w:hAnsi="Times New Roman"/>
          <w:sz w:val="22"/>
          <w:szCs w:val="22"/>
          <w:lang w:val="sr-Latn-ME"/>
        </w:rPr>
        <w:t xml:space="preserve">: </w:t>
      </w:r>
      <w:r w:rsidR="006B0257" w:rsidRPr="00F63BD6">
        <w:rPr>
          <w:rFonts w:ascii="Times New Roman" w:hAnsi="Times New Roman"/>
          <w:sz w:val="22"/>
          <w:szCs w:val="22"/>
          <w:lang w:val="sr-Latn-ME"/>
        </w:rPr>
        <w:t xml:space="preserve">na nervnim </w:t>
      </w:r>
      <w:r w:rsidRPr="00F63BD6">
        <w:rPr>
          <w:rFonts w:ascii="Times New Roman" w:hAnsi="Times New Roman"/>
          <w:sz w:val="22"/>
          <w:szCs w:val="22"/>
          <w:lang w:val="sr-Latn-ME"/>
        </w:rPr>
        <w:t>završeci</w:t>
      </w:r>
      <w:r w:rsidR="006B0257" w:rsidRPr="00F63BD6">
        <w:rPr>
          <w:rFonts w:ascii="Times New Roman" w:hAnsi="Times New Roman"/>
          <w:sz w:val="22"/>
          <w:szCs w:val="22"/>
          <w:lang w:val="sr-Latn-ME"/>
        </w:rPr>
        <w:t>ma</w:t>
      </w:r>
      <w:r w:rsidRPr="00F63BD6">
        <w:rPr>
          <w:rFonts w:ascii="Times New Roman" w:hAnsi="Times New Roman"/>
          <w:sz w:val="22"/>
          <w:szCs w:val="22"/>
          <w:lang w:val="sr-Latn-ME"/>
        </w:rPr>
        <w:t xml:space="preserve"> </w:t>
      </w:r>
      <w:r w:rsidRPr="00F63BD6">
        <w:rPr>
          <w:rFonts w:ascii="Times New Roman" w:hAnsi="Times New Roman"/>
          <w:i/>
          <w:sz w:val="22"/>
          <w:szCs w:val="22"/>
          <w:lang w:val="sr-Latn-ME"/>
        </w:rPr>
        <w:t>vagusa</w:t>
      </w:r>
      <w:r w:rsidRPr="00F63BD6">
        <w:rPr>
          <w:rFonts w:ascii="Times New Roman" w:hAnsi="Times New Roman"/>
          <w:sz w:val="22"/>
          <w:szCs w:val="22"/>
          <w:lang w:val="sr-Latn-ME"/>
        </w:rPr>
        <w:t xml:space="preserve"> </w:t>
      </w:r>
      <w:r w:rsidR="006B0257" w:rsidRPr="00F63BD6">
        <w:rPr>
          <w:rFonts w:ascii="Times New Roman" w:hAnsi="Times New Roman"/>
          <w:sz w:val="22"/>
          <w:szCs w:val="22"/>
          <w:lang w:val="sr-Latn-ME"/>
        </w:rPr>
        <w:t xml:space="preserve">u gastrointestinalnom traktu i hemioreceptorskim triger zonama lokalizovanim u </w:t>
      </w:r>
      <w:r w:rsidR="006B0257" w:rsidRPr="00F63BD6">
        <w:rPr>
          <w:rFonts w:ascii="Times New Roman" w:hAnsi="Times New Roman"/>
          <w:i/>
          <w:sz w:val="22"/>
          <w:szCs w:val="22"/>
          <w:lang w:val="sr-Latn-ME"/>
        </w:rPr>
        <w:t>area postrema</w:t>
      </w:r>
      <w:r w:rsidR="006B0257" w:rsidRPr="00F63BD6">
        <w:rPr>
          <w:rFonts w:ascii="Times New Roman" w:hAnsi="Times New Roman"/>
          <w:sz w:val="22"/>
          <w:szCs w:val="22"/>
          <w:lang w:val="sr-Latn-ME"/>
        </w:rPr>
        <w:t xml:space="preserve"> i </w:t>
      </w:r>
      <w:r w:rsidR="006B0257" w:rsidRPr="00F63BD6">
        <w:rPr>
          <w:rFonts w:ascii="Times New Roman" w:hAnsi="Times New Roman"/>
          <w:i/>
          <w:sz w:val="22"/>
          <w:szCs w:val="22"/>
          <w:lang w:val="sr-Latn-ME"/>
        </w:rPr>
        <w:t>nucleus tractus solidarius</w:t>
      </w:r>
      <w:r w:rsidR="006B0257" w:rsidRPr="00F63BD6">
        <w:rPr>
          <w:rFonts w:ascii="Times New Roman" w:hAnsi="Times New Roman"/>
          <w:sz w:val="22"/>
          <w:szCs w:val="22"/>
          <w:lang w:val="sr-Latn-ME"/>
        </w:rPr>
        <w:t xml:space="preserve"> centra za povraćanje u moždanom stablu. Hemioreceptorske triger zone su lokalizovane na kaudalnom kraju četvrte komore (</w:t>
      </w:r>
      <w:r w:rsidR="006B0257" w:rsidRPr="00F63BD6">
        <w:rPr>
          <w:rFonts w:ascii="Times New Roman" w:hAnsi="Times New Roman"/>
          <w:i/>
          <w:sz w:val="22"/>
          <w:szCs w:val="22"/>
          <w:lang w:val="sr-Latn-ME"/>
        </w:rPr>
        <w:t>area postrema</w:t>
      </w:r>
      <w:r w:rsidR="006B0257" w:rsidRPr="00F63BD6">
        <w:rPr>
          <w:rFonts w:ascii="Times New Roman" w:hAnsi="Times New Roman"/>
          <w:sz w:val="22"/>
          <w:szCs w:val="22"/>
          <w:lang w:val="sr-Latn-ME"/>
        </w:rPr>
        <w:t>). U ovoj strukturi krvno-moždana barijera nije dovoljno efikasna, pa će se detektovati emetički agensi i u sistemskoj cirkulaciji i u cerebrospinalnoj tečnosti. Centar za povraćanje je lokalizovan u medularnim strukturama moždanog stabla. Najviše signala prima iz hemioreceptorskih triger zona, a vagusne i</w:t>
      </w:r>
      <w:r w:rsidR="00615837">
        <w:rPr>
          <w:rFonts w:ascii="Times New Roman" w:hAnsi="Times New Roman"/>
          <w:sz w:val="22"/>
          <w:szCs w:val="22"/>
          <w:lang w:val="sr-Latn-ME"/>
        </w:rPr>
        <w:t xml:space="preserve"> simpatičke signale iz crijeva.</w:t>
      </w:r>
    </w:p>
    <w:p w:rsidR="00615837" w:rsidRPr="00F63BD6" w:rsidRDefault="00615837" w:rsidP="00663E76">
      <w:pPr>
        <w:jc w:val="both"/>
        <w:rPr>
          <w:rFonts w:ascii="Times New Roman" w:hAnsi="Times New Roman"/>
          <w:sz w:val="22"/>
          <w:szCs w:val="22"/>
          <w:lang w:val="sr-Latn-ME"/>
        </w:rPr>
      </w:pPr>
    </w:p>
    <w:p w:rsidR="006B0257" w:rsidRPr="00F63BD6" w:rsidRDefault="006B0257" w:rsidP="00663E76">
      <w:pPr>
        <w:jc w:val="both"/>
        <w:rPr>
          <w:rFonts w:ascii="Times New Roman" w:hAnsi="Times New Roman"/>
          <w:sz w:val="22"/>
          <w:szCs w:val="22"/>
          <w:lang w:val="sr-Latn-ME"/>
        </w:rPr>
      </w:pPr>
      <w:r w:rsidRPr="00F63BD6">
        <w:rPr>
          <w:rFonts w:ascii="Times New Roman" w:hAnsi="Times New Roman"/>
          <w:sz w:val="22"/>
          <w:szCs w:val="22"/>
          <w:lang w:val="sr-Latn-ME"/>
        </w:rPr>
        <w:t>Nakon izlaganja radijaciji ili citotoksičnim supstancama, serotonin (5-HT) se oslobađa iz enterohromafinih ćelija mukoze tankog creva</w:t>
      </w:r>
      <w:r w:rsidR="00C77E35" w:rsidRPr="00F63BD6">
        <w:rPr>
          <w:rFonts w:ascii="Times New Roman" w:hAnsi="Times New Roman"/>
          <w:sz w:val="22"/>
          <w:szCs w:val="22"/>
          <w:lang w:val="sr-Latn-ME"/>
        </w:rPr>
        <w:t>,</w:t>
      </w:r>
      <w:r w:rsidRPr="00F63BD6">
        <w:rPr>
          <w:rFonts w:ascii="Times New Roman" w:hAnsi="Times New Roman"/>
          <w:sz w:val="22"/>
          <w:szCs w:val="22"/>
          <w:lang w:val="sr-Latn-ME"/>
        </w:rPr>
        <w:t xml:space="preserve"> koje se nalaze neposredno uz vagusne aferentne neurone na kojima su lokalizovani 5-HT3 receptori. Oslobođeni serotonin aktivira vagusne neurone putem 5-HT3 receptora, što konačno dovodi do jakog emetičkog odgovora posredstvom hemioreceptorske triger zone unutar </w:t>
      </w:r>
      <w:r w:rsidRPr="00F63BD6">
        <w:rPr>
          <w:rFonts w:ascii="Times New Roman" w:hAnsi="Times New Roman"/>
          <w:i/>
          <w:sz w:val="22"/>
          <w:szCs w:val="22"/>
          <w:lang w:val="sr-Latn-ME"/>
        </w:rPr>
        <w:t>area postrema</w:t>
      </w:r>
      <w:r w:rsidRPr="00F63BD6">
        <w:rPr>
          <w:rFonts w:ascii="Times New Roman" w:hAnsi="Times New Roman"/>
          <w:sz w:val="22"/>
          <w:szCs w:val="22"/>
          <w:lang w:val="sr-Latn-ME"/>
        </w:rPr>
        <w:t>.</w:t>
      </w:r>
    </w:p>
    <w:p w:rsidR="006B0257" w:rsidRPr="00F63BD6" w:rsidRDefault="006B0257" w:rsidP="00663E76">
      <w:pPr>
        <w:jc w:val="both"/>
        <w:rPr>
          <w:rFonts w:ascii="Times New Roman" w:hAnsi="Times New Roman"/>
          <w:sz w:val="22"/>
          <w:szCs w:val="22"/>
          <w:lang w:val="sr-Latn-ME"/>
        </w:rPr>
      </w:pPr>
    </w:p>
    <w:p w:rsidR="001036C9" w:rsidRPr="00F63BD6" w:rsidRDefault="001036C9"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Mehanizam djelovanja</w:t>
      </w:r>
    </w:p>
    <w:p w:rsidR="00BC24F5" w:rsidRPr="00F63BD6" w:rsidRDefault="006B0257" w:rsidP="00663E76">
      <w:pPr>
        <w:jc w:val="both"/>
        <w:rPr>
          <w:rFonts w:ascii="Times New Roman" w:hAnsi="Times New Roman"/>
          <w:sz w:val="22"/>
          <w:szCs w:val="22"/>
          <w:lang w:val="sr-Latn-ME"/>
        </w:rPr>
      </w:pPr>
      <w:r w:rsidRPr="00F63BD6">
        <w:rPr>
          <w:rFonts w:ascii="Times New Roman" w:hAnsi="Times New Roman"/>
          <w:sz w:val="22"/>
          <w:szCs w:val="22"/>
          <w:lang w:val="sr-Latn-ME"/>
        </w:rPr>
        <w:t>Granisetron je snažan antiemetik i visoko selektivan antagonist receptor</w:t>
      </w:r>
      <w:r w:rsidR="00324D0F" w:rsidRPr="00F63BD6">
        <w:rPr>
          <w:rFonts w:ascii="Times New Roman" w:hAnsi="Times New Roman"/>
          <w:sz w:val="22"/>
          <w:szCs w:val="22"/>
          <w:lang w:val="sr-Latn-ME"/>
        </w:rPr>
        <w:t xml:space="preserve">a za 5-hidroksitriptamin </w:t>
      </w:r>
      <w:r w:rsidR="00331AAE" w:rsidRPr="00F63BD6">
        <w:rPr>
          <w:rFonts w:ascii="Times New Roman" w:hAnsi="Times New Roman"/>
          <w:sz w:val="22"/>
          <w:szCs w:val="22"/>
          <w:lang w:val="sr-Latn-ME"/>
        </w:rPr>
        <w:t>(5-HT</w:t>
      </w:r>
      <w:r w:rsidR="00331AAE" w:rsidRPr="00F63BD6">
        <w:rPr>
          <w:rFonts w:ascii="Times New Roman" w:hAnsi="Times New Roman"/>
          <w:sz w:val="22"/>
          <w:szCs w:val="22"/>
          <w:vertAlign w:val="subscript"/>
          <w:lang w:val="sr-Latn-ME"/>
        </w:rPr>
        <w:t>3</w:t>
      </w:r>
      <w:r w:rsidR="00615837">
        <w:rPr>
          <w:rFonts w:ascii="Times New Roman" w:hAnsi="Times New Roman"/>
          <w:sz w:val="22"/>
          <w:szCs w:val="22"/>
          <w:lang w:val="sr-Latn-ME"/>
        </w:rPr>
        <w:t>).</w:t>
      </w:r>
    </w:p>
    <w:p w:rsidR="00615837" w:rsidRDefault="00324D0F" w:rsidP="00663E76">
      <w:pPr>
        <w:jc w:val="both"/>
        <w:rPr>
          <w:rFonts w:ascii="Times New Roman" w:hAnsi="Times New Roman"/>
          <w:sz w:val="22"/>
          <w:szCs w:val="22"/>
          <w:lang w:val="sr-Latn-ME"/>
        </w:rPr>
      </w:pPr>
      <w:r w:rsidRPr="00F63BD6">
        <w:rPr>
          <w:rFonts w:ascii="Times New Roman" w:hAnsi="Times New Roman"/>
          <w:sz w:val="22"/>
          <w:szCs w:val="22"/>
          <w:lang w:val="sr-Latn-ME"/>
        </w:rPr>
        <w:t>Studije vezivanja radioliganda su pokazale da granisetron ima zanemarljiv afinitet za druge vrste receptora uključujući 5-HT i dopaminska D2 m</w:t>
      </w:r>
      <w:r w:rsidR="00BC24F5" w:rsidRPr="00F63BD6">
        <w:rPr>
          <w:rFonts w:ascii="Times New Roman" w:hAnsi="Times New Roman"/>
          <w:sz w:val="22"/>
          <w:szCs w:val="22"/>
          <w:lang w:val="sr-Latn-ME"/>
        </w:rPr>
        <w:t>j</w:t>
      </w:r>
      <w:r w:rsidRPr="00F63BD6">
        <w:rPr>
          <w:rFonts w:ascii="Times New Roman" w:hAnsi="Times New Roman"/>
          <w:sz w:val="22"/>
          <w:szCs w:val="22"/>
          <w:lang w:val="sr-Latn-ME"/>
        </w:rPr>
        <w:t>esta vezivanja</w:t>
      </w:r>
      <w:r w:rsidR="00C77E35" w:rsidRPr="00F63BD6">
        <w:rPr>
          <w:rFonts w:ascii="Times New Roman" w:hAnsi="Times New Roman"/>
          <w:sz w:val="22"/>
          <w:szCs w:val="22"/>
          <w:lang w:val="sr-Latn-ME"/>
        </w:rPr>
        <w:t>.</w:t>
      </w:r>
    </w:p>
    <w:p w:rsidR="00615837" w:rsidRDefault="00615837" w:rsidP="00663E76">
      <w:pPr>
        <w:jc w:val="both"/>
        <w:rPr>
          <w:rFonts w:ascii="Times New Roman" w:hAnsi="Times New Roman"/>
          <w:sz w:val="22"/>
          <w:szCs w:val="22"/>
          <w:lang w:val="sr-Latn-ME"/>
        </w:rPr>
      </w:pPr>
    </w:p>
    <w:p w:rsidR="00A3107E" w:rsidRPr="00F63BD6" w:rsidRDefault="00A3107E"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 xml:space="preserve">Hemioterapijom i radioterapijom indukovana mučnina i povraćanje </w:t>
      </w:r>
    </w:p>
    <w:p w:rsidR="00615837" w:rsidRDefault="00A3107E" w:rsidP="00663E76">
      <w:pPr>
        <w:jc w:val="both"/>
        <w:rPr>
          <w:rFonts w:ascii="Times New Roman" w:hAnsi="Times New Roman"/>
          <w:sz w:val="22"/>
          <w:szCs w:val="22"/>
          <w:lang w:val="sr-Latn-ME" w:eastAsia="hr-HR"/>
        </w:rPr>
      </w:pPr>
      <w:r w:rsidRPr="00F63BD6">
        <w:rPr>
          <w:rFonts w:ascii="Times New Roman" w:hAnsi="Times New Roman"/>
          <w:sz w:val="22"/>
          <w:szCs w:val="22"/>
          <w:lang w:val="sr-Latn-ME"/>
        </w:rPr>
        <w:t>Pokazano je da granisetron primjenjen intravenski sprečava mučninu i povraćanje povezane sa hemioterapijom karcinoma kod odraslih i djece uzrasta od 2 do 16 godina.</w:t>
      </w:r>
      <w:r w:rsidR="00AF4421" w:rsidRPr="00F63BD6">
        <w:rPr>
          <w:rFonts w:ascii="Times New Roman" w:hAnsi="Times New Roman"/>
          <w:sz w:val="22"/>
          <w:szCs w:val="22"/>
          <w:lang w:val="sr-Latn-ME" w:eastAsia="hr-HR"/>
        </w:rPr>
        <w:cr/>
      </w:r>
    </w:p>
    <w:p w:rsidR="00E92834" w:rsidRPr="00F63BD6" w:rsidRDefault="00E92834" w:rsidP="00663E76">
      <w:pPr>
        <w:jc w:val="both"/>
        <w:rPr>
          <w:rFonts w:ascii="Times New Roman" w:hAnsi="Times New Roman"/>
          <w:sz w:val="22"/>
          <w:szCs w:val="22"/>
          <w:lang w:val="sr-Latn-ME" w:eastAsia="hr-HR"/>
        </w:rPr>
      </w:pPr>
      <w:r w:rsidRPr="00F63BD6">
        <w:rPr>
          <w:rFonts w:ascii="Times New Roman" w:hAnsi="Times New Roman"/>
          <w:sz w:val="22"/>
          <w:szCs w:val="22"/>
          <w:u w:val="single"/>
          <w:lang w:val="sr-Latn-ME" w:eastAsia="hr-HR"/>
        </w:rPr>
        <w:t>Postoperativna mučnina i povraćanje</w:t>
      </w:r>
      <w:r w:rsidRPr="00F63BD6">
        <w:rPr>
          <w:rFonts w:ascii="Times New Roman" w:hAnsi="Times New Roman"/>
          <w:sz w:val="22"/>
          <w:szCs w:val="22"/>
          <w:lang w:val="sr-Latn-ME" w:eastAsia="hr-HR"/>
        </w:rPr>
        <w:t xml:space="preserve"> </w:t>
      </w:r>
    </w:p>
    <w:p w:rsidR="00A3107E" w:rsidRDefault="00A3107E" w:rsidP="00663E76">
      <w:pPr>
        <w:jc w:val="both"/>
        <w:rPr>
          <w:rFonts w:ascii="Times New Roman" w:hAnsi="Times New Roman"/>
          <w:sz w:val="22"/>
          <w:szCs w:val="22"/>
          <w:lang w:val="sr-Latn-ME"/>
        </w:rPr>
      </w:pPr>
      <w:r w:rsidRPr="00F63BD6">
        <w:rPr>
          <w:rFonts w:ascii="Times New Roman" w:hAnsi="Times New Roman"/>
          <w:sz w:val="22"/>
          <w:szCs w:val="22"/>
          <w:lang w:val="sr-Latn-ME"/>
        </w:rPr>
        <w:t>Pokazano je da je granisetron efikasan kada se primjenjuje intravenski, za prevenciju i terapiju postoperativne muč</w:t>
      </w:r>
      <w:r w:rsidR="00615837">
        <w:rPr>
          <w:rFonts w:ascii="Times New Roman" w:hAnsi="Times New Roman"/>
          <w:sz w:val="22"/>
          <w:szCs w:val="22"/>
          <w:lang w:val="sr-Latn-ME"/>
        </w:rPr>
        <w:t>nine i povraćanja kod odraslih.</w:t>
      </w:r>
    </w:p>
    <w:p w:rsidR="00615837" w:rsidRPr="00F63BD6" w:rsidRDefault="00615837" w:rsidP="00663E76">
      <w:pPr>
        <w:jc w:val="both"/>
        <w:rPr>
          <w:rFonts w:ascii="Times New Roman" w:hAnsi="Times New Roman"/>
          <w:sz w:val="22"/>
          <w:szCs w:val="22"/>
          <w:lang w:val="sr-Latn-ME"/>
        </w:rPr>
      </w:pPr>
    </w:p>
    <w:p w:rsidR="003227F3" w:rsidRPr="00F63BD6" w:rsidRDefault="003227F3" w:rsidP="00663E76">
      <w:pPr>
        <w:jc w:val="both"/>
        <w:rPr>
          <w:rFonts w:ascii="Times New Roman" w:hAnsi="Times New Roman"/>
          <w:sz w:val="22"/>
          <w:szCs w:val="22"/>
          <w:u w:val="single"/>
          <w:lang w:val="sr-Latn-ME" w:eastAsia="hr-HR"/>
        </w:rPr>
      </w:pPr>
      <w:r w:rsidRPr="00F63BD6">
        <w:rPr>
          <w:rFonts w:ascii="Times New Roman" w:hAnsi="Times New Roman"/>
          <w:sz w:val="22"/>
          <w:szCs w:val="22"/>
          <w:u w:val="single"/>
          <w:lang w:val="sr-Latn-ME" w:eastAsia="hr-HR"/>
        </w:rPr>
        <w:t>Farmakološk</w:t>
      </w:r>
      <w:r w:rsidR="00457138" w:rsidRPr="00F63BD6">
        <w:rPr>
          <w:rFonts w:ascii="Times New Roman" w:hAnsi="Times New Roman"/>
          <w:sz w:val="22"/>
          <w:szCs w:val="22"/>
          <w:u w:val="single"/>
          <w:lang w:val="sr-Latn-ME" w:eastAsia="hr-HR"/>
        </w:rPr>
        <w:t>e</w:t>
      </w:r>
      <w:r w:rsidRPr="00F63BD6">
        <w:rPr>
          <w:rFonts w:ascii="Times New Roman" w:hAnsi="Times New Roman"/>
          <w:sz w:val="22"/>
          <w:szCs w:val="22"/>
          <w:u w:val="single"/>
          <w:lang w:val="sr-Latn-ME" w:eastAsia="hr-HR"/>
        </w:rPr>
        <w:t xml:space="preserve"> </w:t>
      </w:r>
      <w:r w:rsidR="00457138" w:rsidRPr="00F63BD6">
        <w:rPr>
          <w:rFonts w:ascii="Times New Roman" w:hAnsi="Times New Roman"/>
          <w:sz w:val="22"/>
          <w:szCs w:val="22"/>
          <w:u w:val="single"/>
          <w:lang w:val="sr-Latn-ME" w:eastAsia="hr-HR"/>
        </w:rPr>
        <w:t>osobine</w:t>
      </w:r>
      <w:r w:rsidRPr="00F63BD6">
        <w:rPr>
          <w:rFonts w:ascii="Times New Roman" w:hAnsi="Times New Roman"/>
          <w:sz w:val="22"/>
          <w:szCs w:val="22"/>
          <w:u w:val="single"/>
          <w:lang w:val="sr-Latn-ME" w:eastAsia="hr-HR"/>
        </w:rPr>
        <w:t xml:space="preserve"> granisetrona </w:t>
      </w:r>
    </w:p>
    <w:p w:rsidR="00457138" w:rsidRPr="00F63BD6" w:rsidRDefault="00457138" w:rsidP="00663E76">
      <w:pPr>
        <w:jc w:val="both"/>
        <w:rPr>
          <w:rFonts w:ascii="Times New Roman" w:hAnsi="Times New Roman"/>
          <w:sz w:val="22"/>
          <w:szCs w:val="22"/>
          <w:lang w:val="sr-Latn-ME"/>
        </w:rPr>
      </w:pPr>
      <w:r w:rsidRPr="00F63BD6">
        <w:rPr>
          <w:rFonts w:ascii="Times New Roman" w:hAnsi="Times New Roman"/>
          <w:sz w:val="22"/>
          <w:szCs w:val="22"/>
          <w:lang w:val="sr-Latn-ME"/>
        </w:rPr>
        <w:t>Prijavljena je interakcija sa neurotropnim i drugim aktivnim supstancama putem njegove aktivnosti na citohrom P 450 (vid</w:t>
      </w:r>
      <w:r w:rsidR="00C77E35" w:rsidRPr="00F63BD6">
        <w:rPr>
          <w:rFonts w:ascii="Times New Roman" w:hAnsi="Times New Roman"/>
          <w:sz w:val="22"/>
          <w:szCs w:val="22"/>
          <w:lang w:val="sr-Latn-ME"/>
        </w:rPr>
        <w:t>j</w:t>
      </w:r>
      <w:r w:rsidRPr="00F63BD6">
        <w:rPr>
          <w:rFonts w:ascii="Times New Roman" w:hAnsi="Times New Roman"/>
          <w:sz w:val="22"/>
          <w:szCs w:val="22"/>
          <w:lang w:val="sr-Latn-ME"/>
        </w:rPr>
        <w:t>eti od</w:t>
      </w:r>
      <w:r w:rsidR="00C77E35" w:rsidRPr="00F63BD6">
        <w:rPr>
          <w:rFonts w:ascii="Times New Roman" w:hAnsi="Times New Roman"/>
          <w:sz w:val="22"/>
          <w:szCs w:val="22"/>
          <w:lang w:val="sr-Latn-ME"/>
        </w:rPr>
        <w:t>j</w:t>
      </w:r>
      <w:r w:rsidR="00615837">
        <w:rPr>
          <w:rFonts w:ascii="Times New Roman" w:hAnsi="Times New Roman"/>
          <w:sz w:val="22"/>
          <w:szCs w:val="22"/>
          <w:lang w:val="sr-Latn-ME"/>
        </w:rPr>
        <w:t>eljak 4.5).</w:t>
      </w:r>
    </w:p>
    <w:p w:rsidR="00E319C3" w:rsidRDefault="00457138" w:rsidP="00663E76">
      <w:pPr>
        <w:jc w:val="both"/>
        <w:rPr>
          <w:rFonts w:ascii="Times New Roman" w:hAnsi="Times New Roman"/>
          <w:sz w:val="22"/>
          <w:szCs w:val="22"/>
          <w:lang w:val="sr-Latn-ME"/>
        </w:rPr>
      </w:pPr>
      <w:r w:rsidRPr="00F63BD6">
        <w:rPr>
          <w:rFonts w:ascii="Times New Roman" w:hAnsi="Times New Roman"/>
          <w:i/>
          <w:sz w:val="22"/>
          <w:szCs w:val="22"/>
          <w:lang w:val="sr-Latn-ME"/>
        </w:rPr>
        <w:lastRenderedPageBreak/>
        <w:t>In vitro</w:t>
      </w:r>
      <w:r w:rsidRPr="00F63BD6">
        <w:rPr>
          <w:rFonts w:ascii="Times New Roman" w:hAnsi="Times New Roman"/>
          <w:sz w:val="22"/>
          <w:szCs w:val="22"/>
          <w:lang w:val="sr-Latn-ME"/>
        </w:rPr>
        <w:t xml:space="preserve"> studije su pokazale da granisetron ne modifikuje podfamiliju 3A4 citohroma P450 (uključena u metabolizam nekih od glavnih narkotičkih agenasa). Iako je pokazano da ketokonazol inhibiše oksidaciju prstena granisetrona </w:t>
      </w:r>
      <w:r w:rsidRPr="00F63BD6">
        <w:rPr>
          <w:rFonts w:ascii="Times New Roman" w:hAnsi="Times New Roman"/>
          <w:i/>
          <w:sz w:val="22"/>
          <w:szCs w:val="22"/>
          <w:lang w:val="sr-Latn-ME"/>
        </w:rPr>
        <w:t>in vitro</w:t>
      </w:r>
      <w:r w:rsidRPr="00F63BD6">
        <w:rPr>
          <w:rFonts w:ascii="Times New Roman" w:hAnsi="Times New Roman"/>
          <w:sz w:val="22"/>
          <w:szCs w:val="22"/>
          <w:lang w:val="sr-Latn-ME"/>
        </w:rPr>
        <w:t>, ova aktivnost s</w:t>
      </w:r>
      <w:r w:rsidR="00615837">
        <w:rPr>
          <w:rFonts w:ascii="Times New Roman" w:hAnsi="Times New Roman"/>
          <w:sz w:val="22"/>
          <w:szCs w:val="22"/>
          <w:lang w:val="sr-Latn-ME"/>
        </w:rPr>
        <w:t>e ne smatra klinički značajnom.</w:t>
      </w:r>
    </w:p>
    <w:p w:rsidR="00615837" w:rsidRPr="00F63BD6" w:rsidRDefault="00615837" w:rsidP="00663E76">
      <w:pPr>
        <w:jc w:val="both"/>
        <w:rPr>
          <w:rFonts w:ascii="Times New Roman" w:hAnsi="Times New Roman"/>
          <w:sz w:val="22"/>
          <w:szCs w:val="22"/>
          <w:lang w:val="sr-Latn-ME"/>
        </w:rPr>
      </w:pPr>
    </w:p>
    <w:p w:rsidR="00E319C3" w:rsidRDefault="00457138" w:rsidP="00663E76">
      <w:pPr>
        <w:jc w:val="both"/>
        <w:rPr>
          <w:rFonts w:ascii="Times New Roman" w:hAnsi="Times New Roman"/>
          <w:sz w:val="22"/>
          <w:szCs w:val="22"/>
          <w:lang w:val="sr-Latn-ME"/>
        </w:rPr>
      </w:pPr>
      <w:r w:rsidRPr="00F63BD6">
        <w:rPr>
          <w:rFonts w:ascii="Times New Roman" w:hAnsi="Times New Roman"/>
          <w:sz w:val="22"/>
          <w:szCs w:val="22"/>
          <w:lang w:val="sr-Latn-ME"/>
        </w:rPr>
        <w:t>Iako je sa antagonistima 5-HT3 receptora uočeno produženje QT intervala (vid</w:t>
      </w:r>
      <w:r w:rsidR="00E319C3" w:rsidRPr="00F63BD6">
        <w:rPr>
          <w:rFonts w:ascii="Times New Roman" w:hAnsi="Times New Roman"/>
          <w:sz w:val="22"/>
          <w:szCs w:val="22"/>
          <w:lang w:val="sr-Latn-ME"/>
        </w:rPr>
        <w:t>j</w:t>
      </w:r>
      <w:r w:rsidRPr="00F63BD6">
        <w:rPr>
          <w:rFonts w:ascii="Times New Roman" w:hAnsi="Times New Roman"/>
          <w:sz w:val="22"/>
          <w:szCs w:val="22"/>
          <w:lang w:val="sr-Latn-ME"/>
        </w:rPr>
        <w:t>eti od</w:t>
      </w:r>
      <w:r w:rsidR="00E319C3" w:rsidRPr="00F63BD6">
        <w:rPr>
          <w:rFonts w:ascii="Times New Roman" w:hAnsi="Times New Roman"/>
          <w:sz w:val="22"/>
          <w:szCs w:val="22"/>
          <w:lang w:val="sr-Latn-ME"/>
        </w:rPr>
        <w:t>j</w:t>
      </w:r>
      <w:r w:rsidRPr="00F63BD6">
        <w:rPr>
          <w:rFonts w:ascii="Times New Roman" w:hAnsi="Times New Roman"/>
          <w:sz w:val="22"/>
          <w:szCs w:val="22"/>
          <w:lang w:val="sr-Latn-ME"/>
        </w:rPr>
        <w:t>eljak 4.4), učestalost i opseg ovog dejstva nemaju klinički značaj kod zdravih ispitanika. Ipak se preporučuje praćenje i EKG-a i kliničkih abnormalnosti kada su pacijenti istovremeno na terapiji l</w:t>
      </w:r>
      <w:r w:rsidR="00E319C3" w:rsidRPr="00F63BD6">
        <w:rPr>
          <w:rFonts w:ascii="Times New Roman" w:hAnsi="Times New Roman"/>
          <w:sz w:val="22"/>
          <w:szCs w:val="22"/>
          <w:lang w:val="sr-Latn-ME"/>
        </w:rPr>
        <w:t>j</w:t>
      </w:r>
      <w:r w:rsidRPr="00F63BD6">
        <w:rPr>
          <w:rFonts w:ascii="Times New Roman" w:hAnsi="Times New Roman"/>
          <w:sz w:val="22"/>
          <w:szCs w:val="22"/>
          <w:lang w:val="sr-Latn-ME"/>
        </w:rPr>
        <w:t>ekovima za koje se zna da produžavaju QT interval (vid</w:t>
      </w:r>
      <w:r w:rsidR="00E319C3" w:rsidRPr="00F63BD6">
        <w:rPr>
          <w:rFonts w:ascii="Times New Roman" w:hAnsi="Times New Roman"/>
          <w:sz w:val="22"/>
          <w:szCs w:val="22"/>
          <w:lang w:val="sr-Latn-ME"/>
        </w:rPr>
        <w:t>j</w:t>
      </w:r>
      <w:r w:rsidRPr="00F63BD6">
        <w:rPr>
          <w:rFonts w:ascii="Times New Roman" w:hAnsi="Times New Roman"/>
          <w:sz w:val="22"/>
          <w:szCs w:val="22"/>
          <w:lang w:val="sr-Latn-ME"/>
        </w:rPr>
        <w:t>eti od</w:t>
      </w:r>
      <w:r w:rsidR="00E319C3" w:rsidRPr="00F63BD6">
        <w:rPr>
          <w:rFonts w:ascii="Times New Roman" w:hAnsi="Times New Roman"/>
          <w:sz w:val="22"/>
          <w:szCs w:val="22"/>
          <w:lang w:val="sr-Latn-ME"/>
        </w:rPr>
        <w:t>j</w:t>
      </w:r>
      <w:r w:rsidR="00615837">
        <w:rPr>
          <w:rFonts w:ascii="Times New Roman" w:hAnsi="Times New Roman"/>
          <w:sz w:val="22"/>
          <w:szCs w:val="22"/>
          <w:lang w:val="sr-Latn-ME"/>
        </w:rPr>
        <w:t>eljak 4.5).</w:t>
      </w:r>
    </w:p>
    <w:p w:rsidR="00615837" w:rsidRPr="00F63BD6" w:rsidRDefault="00615837" w:rsidP="00663E76">
      <w:pPr>
        <w:jc w:val="both"/>
        <w:rPr>
          <w:rFonts w:ascii="Times New Roman" w:hAnsi="Times New Roman"/>
          <w:sz w:val="22"/>
          <w:szCs w:val="22"/>
          <w:lang w:val="sr-Latn-ME"/>
        </w:rPr>
      </w:pPr>
    </w:p>
    <w:p w:rsidR="003227F3" w:rsidRPr="00F63BD6" w:rsidRDefault="003227F3" w:rsidP="00663E76">
      <w:pPr>
        <w:jc w:val="both"/>
        <w:rPr>
          <w:rFonts w:ascii="Times New Roman" w:hAnsi="Times New Roman"/>
          <w:sz w:val="22"/>
          <w:szCs w:val="22"/>
          <w:u w:val="single"/>
          <w:lang w:val="sr-Latn-ME" w:eastAsia="hr-HR"/>
        </w:rPr>
      </w:pPr>
      <w:r w:rsidRPr="00F63BD6">
        <w:rPr>
          <w:rFonts w:ascii="Times New Roman" w:hAnsi="Times New Roman"/>
          <w:sz w:val="22"/>
          <w:szCs w:val="22"/>
          <w:u w:val="single"/>
          <w:lang w:val="sr-Latn-ME" w:eastAsia="hr-HR"/>
        </w:rPr>
        <w:t xml:space="preserve">Pedijatrijska populacija </w:t>
      </w:r>
    </w:p>
    <w:p w:rsidR="00180726" w:rsidRPr="00F63BD6" w:rsidRDefault="00E319C3" w:rsidP="00663E76">
      <w:pPr>
        <w:jc w:val="both"/>
        <w:rPr>
          <w:rFonts w:ascii="Times New Roman" w:hAnsi="Times New Roman"/>
          <w:sz w:val="22"/>
          <w:szCs w:val="22"/>
          <w:lang w:val="sr-Latn-ME"/>
        </w:rPr>
      </w:pPr>
      <w:r w:rsidRPr="00F63BD6">
        <w:rPr>
          <w:rFonts w:ascii="Times New Roman" w:hAnsi="Times New Roman"/>
          <w:sz w:val="22"/>
          <w:szCs w:val="22"/>
          <w:lang w:val="sr-Latn-ME"/>
        </w:rPr>
        <w:t>Klinička primjena granisetrona je objavljena od strane Candiotti i saradnika. Prospektivna, multicentrična, randomizovana, dvostruko slijepa studija na paralelnim grupama je procijenila 157 djece uzrasta od 2 od 16 godina podvrgnute elektivnoj hirurgiji. Kod većine pacijenata je zapažena potpuna kontrola postoperativne mučnine i povraćanja tokom prva 2 sata nakon intervencije.</w:t>
      </w:r>
    </w:p>
    <w:p w:rsidR="00C77E35" w:rsidRPr="00F63BD6" w:rsidRDefault="00C77E35" w:rsidP="00663E76">
      <w:pPr>
        <w:jc w:val="both"/>
        <w:rPr>
          <w:rFonts w:ascii="Times New Roman" w:hAnsi="Times New Roman"/>
          <w:sz w:val="22"/>
          <w:szCs w:val="22"/>
          <w:lang w:val="sr-Latn-ME" w:eastAsia="hr-HR"/>
        </w:rPr>
      </w:pPr>
    </w:p>
    <w:p w:rsidR="00EE3144" w:rsidRPr="00F63BD6" w:rsidRDefault="00615837" w:rsidP="00663E76">
      <w:pPr>
        <w:jc w:val="both"/>
        <w:rPr>
          <w:rFonts w:ascii="Times New Roman" w:hAnsi="Times New Roman"/>
          <w:b/>
          <w:bCs/>
          <w:sz w:val="22"/>
          <w:szCs w:val="22"/>
          <w:lang w:val="sr-Latn-ME"/>
        </w:rPr>
      </w:pPr>
      <w:r>
        <w:rPr>
          <w:rFonts w:ascii="Times New Roman" w:hAnsi="Times New Roman"/>
          <w:b/>
          <w:bCs/>
          <w:sz w:val="22"/>
          <w:szCs w:val="22"/>
          <w:lang w:val="sr-Latn-ME"/>
        </w:rPr>
        <w:t xml:space="preserve">5.2. </w:t>
      </w:r>
      <w:r w:rsidR="00EE3144" w:rsidRPr="00F63BD6">
        <w:rPr>
          <w:rFonts w:ascii="Times New Roman" w:hAnsi="Times New Roman"/>
          <w:b/>
          <w:bCs/>
          <w:sz w:val="22"/>
          <w:szCs w:val="22"/>
          <w:lang w:val="sr-Latn-ME"/>
        </w:rPr>
        <w:t>Farmakokinetički podaci</w:t>
      </w:r>
    </w:p>
    <w:p w:rsidR="00615837" w:rsidRDefault="00615837" w:rsidP="00663E76">
      <w:pPr>
        <w:jc w:val="both"/>
        <w:rPr>
          <w:rFonts w:ascii="Times New Roman" w:hAnsi="Times New Roman"/>
          <w:sz w:val="22"/>
          <w:szCs w:val="22"/>
          <w:lang w:val="sr-Latn-ME"/>
        </w:rPr>
      </w:pPr>
    </w:p>
    <w:p w:rsidR="00E319C3" w:rsidRDefault="00E319C3" w:rsidP="00663E76">
      <w:pPr>
        <w:jc w:val="both"/>
        <w:rPr>
          <w:rFonts w:ascii="Times New Roman" w:hAnsi="Times New Roman"/>
          <w:sz w:val="22"/>
          <w:szCs w:val="22"/>
          <w:lang w:val="sr-Latn-ME"/>
        </w:rPr>
      </w:pPr>
      <w:r w:rsidRPr="00F63BD6">
        <w:rPr>
          <w:rFonts w:ascii="Times New Roman" w:hAnsi="Times New Roman"/>
          <w:sz w:val="22"/>
          <w:szCs w:val="22"/>
          <w:lang w:val="sr-Latn-ME"/>
        </w:rPr>
        <w:t>Kod odraslih, farmakokinetika pri oralnoj primjeni je linearna do doze koja je 2,5 puta veća od preporučene. Na osnovu opsežnog programa definisanja doze je jasno da antiemetička efikasnost nije nedvosmisleno povezana sa prim</w:t>
      </w:r>
      <w:r w:rsidR="00C77E35" w:rsidRPr="00F63BD6">
        <w:rPr>
          <w:rFonts w:ascii="Times New Roman" w:hAnsi="Times New Roman"/>
          <w:sz w:val="22"/>
          <w:szCs w:val="22"/>
          <w:lang w:val="sr-Latn-ME"/>
        </w:rPr>
        <w:t>i</w:t>
      </w:r>
      <w:r w:rsidRPr="00F63BD6">
        <w:rPr>
          <w:rFonts w:ascii="Times New Roman" w:hAnsi="Times New Roman"/>
          <w:sz w:val="22"/>
          <w:szCs w:val="22"/>
          <w:lang w:val="sr-Latn-ME"/>
        </w:rPr>
        <w:t>jenjenim dozama ili koncentracijama granisetrona u plazmi. Četvorostruko povećanje početne profilaktičke doze granisetrona nije pravilo razliku u smislu procenta pacijenata koji su odgovorili na terapiju, niti dužine kontrole simptoma.</w:t>
      </w:r>
    </w:p>
    <w:p w:rsidR="00615837" w:rsidRPr="00F63BD6" w:rsidRDefault="00615837" w:rsidP="00663E76">
      <w:pPr>
        <w:jc w:val="both"/>
        <w:rPr>
          <w:rFonts w:ascii="Times New Roman" w:hAnsi="Times New Roman"/>
          <w:sz w:val="22"/>
          <w:szCs w:val="22"/>
          <w:u w:val="single"/>
          <w:lang w:val="sr-Latn-ME"/>
        </w:rPr>
      </w:pPr>
    </w:p>
    <w:p w:rsidR="00BE0F4A" w:rsidRPr="00F63BD6" w:rsidRDefault="00BE0F4A"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 xml:space="preserve">Distribucija </w:t>
      </w:r>
    </w:p>
    <w:p w:rsidR="00E319C3" w:rsidRDefault="00E319C3"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Granisetron se u velikoj mjeri distribuira, sa srednjim volumen distribucije od približno 3 </w:t>
      </w:r>
      <w:r w:rsidR="005A4C97" w:rsidRPr="00F63BD6">
        <w:rPr>
          <w:rFonts w:ascii="Times New Roman" w:hAnsi="Times New Roman"/>
          <w:sz w:val="22"/>
          <w:szCs w:val="22"/>
          <w:lang w:val="sr-Latn-ME"/>
        </w:rPr>
        <w:t>l</w:t>
      </w:r>
      <w:r w:rsidRPr="00F63BD6">
        <w:rPr>
          <w:rFonts w:ascii="Times New Roman" w:hAnsi="Times New Roman"/>
          <w:sz w:val="22"/>
          <w:szCs w:val="22"/>
          <w:lang w:val="sr-Latn-ME"/>
        </w:rPr>
        <w:t>/kg. Vezivanje za proteine plazme je oko 65%</w:t>
      </w:r>
      <w:r w:rsidR="00615837">
        <w:rPr>
          <w:rFonts w:ascii="Times New Roman" w:hAnsi="Times New Roman"/>
          <w:sz w:val="22"/>
          <w:szCs w:val="22"/>
          <w:lang w:val="sr-Latn-ME"/>
        </w:rPr>
        <w:t>.</w:t>
      </w:r>
    </w:p>
    <w:p w:rsidR="00615837" w:rsidRPr="00F63BD6" w:rsidRDefault="00615837" w:rsidP="00663E76">
      <w:pPr>
        <w:jc w:val="both"/>
        <w:rPr>
          <w:rFonts w:ascii="Times New Roman" w:hAnsi="Times New Roman"/>
          <w:sz w:val="22"/>
          <w:szCs w:val="22"/>
          <w:lang w:val="sr-Latn-ME"/>
        </w:rPr>
      </w:pPr>
    </w:p>
    <w:p w:rsidR="00BE0F4A" w:rsidRPr="00F63BD6" w:rsidRDefault="00BE0F4A"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 xml:space="preserve">Biotransformacija </w:t>
      </w:r>
    </w:p>
    <w:p w:rsidR="00E319C3" w:rsidRDefault="00E319C3"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Granisetron se primarno metaboliše u jetri putem oksidacije i nakon toga konjugacije. Glavni metaboliti su 7- OH-granisetron i njegovi sulfatni i glukuronidni konjugati. Iako su kod 7-OH-granisetrona i indazolin N dezmetilgranisetrona uočene antiemetičke osobine, malo je vjerovatno da oni značajno doprinose farmakološkoj aktivnosti granisetrona kod ljudi. </w:t>
      </w:r>
      <w:r w:rsidRPr="00F63BD6">
        <w:rPr>
          <w:rFonts w:ascii="Times New Roman" w:hAnsi="Times New Roman"/>
          <w:i/>
          <w:sz w:val="22"/>
          <w:szCs w:val="22"/>
          <w:lang w:val="sr-Latn-ME"/>
        </w:rPr>
        <w:t>In vitro</w:t>
      </w:r>
      <w:r w:rsidRPr="00F63BD6">
        <w:rPr>
          <w:rFonts w:ascii="Times New Roman" w:hAnsi="Times New Roman"/>
          <w:sz w:val="22"/>
          <w:szCs w:val="22"/>
          <w:lang w:val="sr-Latn-ME"/>
        </w:rPr>
        <w:t xml:space="preserve"> studije na mikrozomima jetre pokazuju da je glavni metabolički put granisetrona inhibiran ketokonazolom, što ukazuje da je njegov metabolizam posredovan putem podfamilije 3A citohroma P450 (vidjeti odjeljak 4.5).</w:t>
      </w:r>
    </w:p>
    <w:p w:rsidR="00615837" w:rsidRPr="00F63BD6" w:rsidRDefault="00615837" w:rsidP="00663E76">
      <w:pPr>
        <w:jc w:val="both"/>
        <w:rPr>
          <w:rFonts w:ascii="Times New Roman" w:hAnsi="Times New Roman"/>
          <w:sz w:val="22"/>
          <w:szCs w:val="22"/>
          <w:lang w:val="sr-Latn-ME"/>
        </w:rPr>
      </w:pPr>
    </w:p>
    <w:p w:rsidR="00F872A1" w:rsidRPr="00F63BD6" w:rsidRDefault="00F872A1"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 xml:space="preserve">Eliminacija </w:t>
      </w:r>
    </w:p>
    <w:p w:rsidR="00E319C3" w:rsidRDefault="00E319C3" w:rsidP="00663E76">
      <w:pPr>
        <w:jc w:val="both"/>
        <w:rPr>
          <w:rFonts w:ascii="Times New Roman" w:hAnsi="Times New Roman"/>
          <w:sz w:val="22"/>
          <w:szCs w:val="22"/>
          <w:lang w:val="sr-Latn-ME"/>
        </w:rPr>
      </w:pPr>
      <w:r w:rsidRPr="00F63BD6">
        <w:rPr>
          <w:rFonts w:ascii="Times New Roman" w:hAnsi="Times New Roman"/>
          <w:sz w:val="22"/>
          <w:szCs w:val="22"/>
          <w:lang w:val="sr-Latn-ME"/>
        </w:rPr>
        <w:t>Eliminacija se obavlja pretežno metabolizmom u jetri. Prosječno se 12 % doze izluči urinom u obliku nepromijenjenog granisetrona, dok se 47% doze izlučuje urinom u obliku metabolita. Ostatak se izlučuje u obliku metabolita fecesom. Srednje poluvrijeme eliminacije iz plazme pacijenata je približno devet sati nakon oralne i intravenske primjene, sa velikim interindividualnim razlikam</w:t>
      </w:r>
      <w:r w:rsidR="00615837">
        <w:rPr>
          <w:rFonts w:ascii="Times New Roman" w:hAnsi="Times New Roman"/>
          <w:sz w:val="22"/>
          <w:szCs w:val="22"/>
          <w:lang w:val="sr-Latn-ME"/>
        </w:rPr>
        <w:t>a.</w:t>
      </w:r>
    </w:p>
    <w:p w:rsidR="00615837" w:rsidRPr="00F63BD6" w:rsidRDefault="00615837" w:rsidP="00663E76">
      <w:pPr>
        <w:jc w:val="both"/>
        <w:rPr>
          <w:rFonts w:ascii="Times New Roman" w:hAnsi="Times New Roman"/>
          <w:sz w:val="22"/>
          <w:szCs w:val="22"/>
          <w:lang w:val="sr-Latn-ME"/>
        </w:rPr>
      </w:pPr>
    </w:p>
    <w:p w:rsidR="00331AAE" w:rsidRPr="00F63BD6" w:rsidRDefault="000C3806"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 xml:space="preserve">Farmakokinetika </w:t>
      </w:r>
      <w:r w:rsidR="00F97F3C" w:rsidRPr="00F63BD6">
        <w:rPr>
          <w:rFonts w:ascii="Times New Roman" w:hAnsi="Times New Roman"/>
          <w:sz w:val="22"/>
          <w:szCs w:val="22"/>
          <w:u w:val="single"/>
          <w:lang w:val="sr-Latn-ME"/>
        </w:rPr>
        <w:t>u posebnim</w:t>
      </w:r>
      <w:r w:rsidRPr="00F63BD6">
        <w:rPr>
          <w:rFonts w:ascii="Times New Roman" w:hAnsi="Times New Roman"/>
          <w:sz w:val="22"/>
          <w:szCs w:val="22"/>
          <w:u w:val="single"/>
          <w:lang w:val="sr-Latn-ME"/>
        </w:rPr>
        <w:t xml:space="preserve"> </w:t>
      </w:r>
      <w:r w:rsidR="00B27B0D" w:rsidRPr="00F63BD6">
        <w:rPr>
          <w:rFonts w:ascii="Times New Roman" w:hAnsi="Times New Roman"/>
          <w:sz w:val="22"/>
          <w:szCs w:val="22"/>
          <w:u w:val="single"/>
          <w:lang w:val="sr-Latn-ME"/>
        </w:rPr>
        <w:t>grup</w:t>
      </w:r>
      <w:r w:rsidRPr="00F63BD6">
        <w:rPr>
          <w:rFonts w:ascii="Times New Roman" w:hAnsi="Times New Roman"/>
          <w:sz w:val="22"/>
          <w:szCs w:val="22"/>
          <w:u w:val="single"/>
          <w:lang w:val="sr-Latn-ME"/>
        </w:rPr>
        <w:t>a</w:t>
      </w:r>
      <w:r w:rsidR="00F97F3C" w:rsidRPr="00F63BD6">
        <w:rPr>
          <w:rFonts w:ascii="Times New Roman" w:hAnsi="Times New Roman"/>
          <w:sz w:val="22"/>
          <w:szCs w:val="22"/>
          <w:u w:val="single"/>
          <w:lang w:val="sr-Latn-ME"/>
        </w:rPr>
        <w:t>ma</w:t>
      </w:r>
      <w:r w:rsidRPr="00F63BD6">
        <w:rPr>
          <w:rFonts w:ascii="Times New Roman" w:hAnsi="Times New Roman"/>
          <w:sz w:val="22"/>
          <w:szCs w:val="22"/>
          <w:u w:val="single"/>
          <w:lang w:val="sr-Latn-ME"/>
        </w:rPr>
        <w:t xml:space="preserve"> bolesnika</w:t>
      </w:r>
    </w:p>
    <w:p w:rsidR="003A2734" w:rsidRPr="00F63BD6" w:rsidRDefault="003A2734" w:rsidP="00663E76">
      <w:pPr>
        <w:jc w:val="both"/>
        <w:rPr>
          <w:rFonts w:ascii="Times New Roman" w:hAnsi="Times New Roman"/>
          <w:i/>
          <w:sz w:val="22"/>
          <w:szCs w:val="22"/>
          <w:lang w:val="sr-Latn-ME"/>
        </w:rPr>
      </w:pPr>
      <w:r w:rsidRPr="00F63BD6">
        <w:rPr>
          <w:rFonts w:ascii="Times New Roman" w:hAnsi="Times New Roman"/>
          <w:i/>
          <w:sz w:val="22"/>
          <w:szCs w:val="22"/>
          <w:lang w:val="sr-Latn-ME"/>
        </w:rPr>
        <w:t>Insuficijencija bubrega</w:t>
      </w:r>
    </w:p>
    <w:p w:rsidR="00E319C3" w:rsidRDefault="00E319C3" w:rsidP="00663E76">
      <w:pPr>
        <w:jc w:val="both"/>
        <w:rPr>
          <w:rFonts w:ascii="Times New Roman" w:hAnsi="Times New Roman"/>
          <w:sz w:val="22"/>
          <w:szCs w:val="22"/>
          <w:lang w:val="sr-Latn-ME"/>
        </w:rPr>
      </w:pPr>
      <w:r w:rsidRPr="00F63BD6">
        <w:rPr>
          <w:rFonts w:ascii="Times New Roman" w:hAnsi="Times New Roman"/>
          <w:sz w:val="22"/>
          <w:szCs w:val="22"/>
          <w:lang w:val="sr-Latn-ME"/>
        </w:rPr>
        <w:t>Kod pacijenata sa teškom bubrežnom insuficijencijom, podaci ukazuju da su farmakokinetički parametri, nakon intravenske primjene pojedinačne doze, uglavnom sličn</w:t>
      </w:r>
      <w:r w:rsidR="00615837">
        <w:rPr>
          <w:rFonts w:ascii="Times New Roman" w:hAnsi="Times New Roman"/>
          <w:sz w:val="22"/>
          <w:szCs w:val="22"/>
          <w:lang w:val="sr-Latn-ME"/>
        </w:rPr>
        <w:t>i onima kod zdravih ispitanika.</w:t>
      </w:r>
    </w:p>
    <w:p w:rsidR="00615837" w:rsidRPr="00F63BD6" w:rsidRDefault="00615837" w:rsidP="00663E76">
      <w:pPr>
        <w:jc w:val="both"/>
        <w:rPr>
          <w:rFonts w:ascii="Times New Roman" w:hAnsi="Times New Roman"/>
          <w:sz w:val="22"/>
          <w:szCs w:val="22"/>
          <w:lang w:val="sr-Latn-ME"/>
        </w:rPr>
      </w:pPr>
    </w:p>
    <w:p w:rsidR="00523A3F" w:rsidRPr="00F63BD6" w:rsidRDefault="00523A3F" w:rsidP="00663E76">
      <w:pPr>
        <w:jc w:val="both"/>
        <w:rPr>
          <w:rFonts w:ascii="Times New Roman" w:hAnsi="Times New Roman"/>
          <w:i/>
          <w:sz w:val="22"/>
          <w:szCs w:val="22"/>
          <w:lang w:val="sr-Latn-ME"/>
        </w:rPr>
      </w:pPr>
      <w:r w:rsidRPr="00F63BD6">
        <w:rPr>
          <w:rFonts w:ascii="Times New Roman" w:hAnsi="Times New Roman"/>
          <w:i/>
          <w:sz w:val="22"/>
          <w:szCs w:val="22"/>
          <w:lang w:val="sr-Latn-ME"/>
        </w:rPr>
        <w:lastRenderedPageBreak/>
        <w:t>Oštećenje funkcije jetre</w:t>
      </w:r>
    </w:p>
    <w:p w:rsidR="00F41352" w:rsidRDefault="00F41352" w:rsidP="00663E76">
      <w:pPr>
        <w:jc w:val="both"/>
        <w:rPr>
          <w:rFonts w:ascii="Times New Roman" w:hAnsi="Times New Roman"/>
          <w:sz w:val="22"/>
          <w:szCs w:val="22"/>
          <w:lang w:val="sr-Latn-ME"/>
        </w:rPr>
      </w:pPr>
      <w:r w:rsidRPr="00F63BD6">
        <w:rPr>
          <w:rFonts w:ascii="Times New Roman" w:hAnsi="Times New Roman"/>
          <w:sz w:val="22"/>
          <w:szCs w:val="22"/>
          <w:lang w:val="sr-Latn-ME"/>
        </w:rPr>
        <w:t>Kod pacijenata sa oštećenjem funkcije jetre usljed neoplastičnih promjena jetre, ukupni plazma klirens intravenski primjenjene doze je približno prepolovljen u poređenju sa pacijentima bez promjena na jetri. Uprkos ovim promjenama, nije potrebno prilagođavan</w:t>
      </w:r>
      <w:r w:rsidR="00615837">
        <w:rPr>
          <w:rFonts w:ascii="Times New Roman" w:hAnsi="Times New Roman"/>
          <w:sz w:val="22"/>
          <w:szCs w:val="22"/>
          <w:lang w:val="sr-Latn-ME"/>
        </w:rPr>
        <w:t>je doze (vidjeti odjeljak 4.2).</w:t>
      </w:r>
    </w:p>
    <w:p w:rsidR="00615837" w:rsidRPr="00F63BD6" w:rsidRDefault="00615837" w:rsidP="00663E76">
      <w:pPr>
        <w:jc w:val="both"/>
        <w:rPr>
          <w:rFonts w:ascii="Times New Roman" w:hAnsi="Times New Roman"/>
          <w:sz w:val="22"/>
          <w:szCs w:val="22"/>
          <w:lang w:val="sr-Latn-ME"/>
        </w:rPr>
      </w:pPr>
    </w:p>
    <w:p w:rsidR="001C2C66" w:rsidRPr="00F63BD6" w:rsidRDefault="00F41352" w:rsidP="00663E76">
      <w:pPr>
        <w:jc w:val="both"/>
        <w:rPr>
          <w:rFonts w:ascii="Times New Roman" w:hAnsi="Times New Roman"/>
          <w:i/>
          <w:sz w:val="22"/>
          <w:szCs w:val="22"/>
          <w:lang w:val="sr-Latn-ME"/>
        </w:rPr>
      </w:pPr>
      <w:r w:rsidRPr="00F63BD6">
        <w:rPr>
          <w:rFonts w:ascii="Times New Roman" w:hAnsi="Times New Roman"/>
          <w:i/>
          <w:sz w:val="22"/>
          <w:szCs w:val="22"/>
          <w:lang w:val="sr-Latn-ME"/>
        </w:rPr>
        <w:t>Starije osobe</w:t>
      </w:r>
    </w:p>
    <w:p w:rsidR="00F41352" w:rsidRDefault="00F41352" w:rsidP="00663E76">
      <w:pPr>
        <w:jc w:val="both"/>
        <w:rPr>
          <w:rFonts w:ascii="Times New Roman" w:hAnsi="Times New Roman"/>
          <w:sz w:val="22"/>
          <w:szCs w:val="22"/>
          <w:lang w:val="sr-Latn-ME"/>
        </w:rPr>
      </w:pPr>
      <w:r w:rsidRPr="00F63BD6">
        <w:rPr>
          <w:rFonts w:ascii="Times New Roman" w:hAnsi="Times New Roman"/>
          <w:sz w:val="22"/>
          <w:szCs w:val="22"/>
          <w:lang w:val="sr-Latn-ME"/>
        </w:rPr>
        <w:t>Kod starijih ispitanika, poslje pojedinačnih doza datih intravenski, farmakokinetički parametri su bili unutar opsega koji je nađen kod mlađih ispitanika.</w:t>
      </w:r>
    </w:p>
    <w:p w:rsidR="00615837" w:rsidRPr="00F63BD6" w:rsidRDefault="00615837" w:rsidP="00663E76">
      <w:pPr>
        <w:jc w:val="both"/>
        <w:rPr>
          <w:rFonts w:ascii="Times New Roman" w:hAnsi="Times New Roman"/>
          <w:sz w:val="22"/>
          <w:szCs w:val="22"/>
          <w:lang w:val="sr-Latn-ME"/>
        </w:rPr>
      </w:pPr>
    </w:p>
    <w:p w:rsidR="001C2C66" w:rsidRPr="00F63BD6" w:rsidRDefault="001C2C66" w:rsidP="00663E76">
      <w:pPr>
        <w:jc w:val="both"/>
        <w:rPr>
          <w:rFonts w:ascii="Times New Roman" w:hAnsi="Times New Roman"/>
          <w:i/>
          <w:sz w:val="22"/>
          <w:szCs w:val="22"/>
          <w:lang w:val="sr-Latn-ME"/>
        </w:rPr>
      </w:pPr>
      <w:r w:rsidRPr="00F63BD6">
        <w:rPr>
          <w:rFonts w:ascii="Times New Roman" w:hAnsi="Times New Roman"/>
          <w:i/>
          <w:sz w:val="22"/>
          <w:szCs w:val="22"/>
          <w:lang w:val="sr-Latn-ME"/>
        </w:rPr>
        <w:t xml:space="preserve">Pedijatrijska populacija </w:t>
      </w:r>
    </w:p>
    <w:p w:rsidR="001C2C66" w:rsidRDefault="00F41352" w:rsidP="00663E76">
      <w:pPr>
        <w:jc w:val="both"/>
        <w:rPr>
          <w:rFonts w:ascii="Times New Roman" w:hAnsi="Times New Roman"/>
          <w:sz w:val="22"/>
          <w:szCs w:val="22"/>
          <w:lang w:val="sr-Latn-ME"/>
        </w:rPr>
      </w:pPr>
      <w:r w:rsidRPr="00F63BD6">
        <w:rPr>
          <w:rFonts w:ascii="Times New Roman" w:hAnsi="Times New Roman"/>
          <w:sz w:val="22"/>
          <w:szCs w:val="22"/>
          <w:lang w:val="sr-Latn-ME"/>
        </w:rPr>
        <w:t>Kod djece, nakon pojedinačnih intravenskih doza, farmakokinetika je slična kao kod odraslih kada su odgovarajući parametri (volumen distribucije, ukupni klirens iz plazme) normalizovani prema tjelesnoj masi.</w:t>
      </w:r>
    </w:p>
    <w:p w:rsidR="00615837" w:rsidRPr="00F63BD6" w:rsidRDefault="00615837" w:rsidP="00663E76">
      <w:pPr>
        <w:jc w:val="both"/>
        <w:rPr>
          <w:rFonts w:ascii="Times New Roman" w:hAnsi="Times New Roman"/>
          <w:sz w:val="22"/>
          <w:szCs w:val="22"/>
          <w:lang w:val="sr-Latn-ME"/>
        </w:rPr>
      </w:pPr>
    </w:p>
    <w:p w:rsidR="000B543E" w:rsidRPr="00F63BD6" w:rsidRDefault="000B543E"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5.3. </w:t>
      </w:r>
      <w:r w:rsidR="003D063A" w:rsidRPr="00F63BD6">
        <w:rPr>
          <w:rFonts w:ascii="Times New Roman" w:hAnsi="Times New Roman"/>
          <w:sz w:val="22"/>
          <w:szCs w:val="22"/>
          <w:lang w:val="sr-Latn-ME"/>
        </w:rPr>
        <w:t>Pred</w:t>
      </w:r>
      <w:r w:rsidR="0087423F" w:rsidRPr="00F63BD6">
        <w:rPr>
          <w:rFonts w:ascii="Times New Roman" w:hAnsi="Times New Roman"/>
          <w:sz w:val="22"/>
          <w:szCs w:val="22"/>
          <w:lang w:val="sr-Latn-ME"/>
        </w:rPr>
        <w:t xml:space="preserve">klinički podaci o </w:t>
      </w:r>
      <w:r w:rsidR="003D063A" w:rsidRPr="00F63BD6">
        <w:rPr>
          <w:rFonts w:ascii="Times New Roman" w:hAnsi="Times New Roman"/>
          <w:sz w:val="22"/>
          <w:szCs w:val="22"/>
          <w:lang w:val="sr-Latn-ME"/>
        </w:rPr>
        <w:t>bezbjednosti</w:t>
      </w:r>
      <w:r w:rsidRPr="00F63BD6">
        <w:rPr>
          <w:rFonts w:ascii="Times New Roman" w:hAnsi="Times New Roman"/>
          <w:sz w:val="22"/>
          <w:szCs w:val="22"/>
          <w:lang w:val="sr-Latn-ME"/>
        </w:rPr>
        <w:t xml:space="preserve"> </w:t>
      </w:r>
    </w:p>
    <w:p w:rsidR="00615837" w:rsidRDefault="00615837" w:rsidP="00663E76">
      <w:pPr>
        <w:jc w:val="both"/>
        <w:rPr>
          <w:rFonts w:ascii="Times New Roman" w:hAnsi="Times New Roman"/>
          <w:sz w:val="22"/>
          <w:szCs w:val="22"/>
          <w:lang w:val="sr-Latn-ME"/>
        </w:rPr>
      </w:pPr>
    </w:p>
    <w:p w:rsidR="00844616" w:rsidRDefault="00844616" w:rsidP="00663E76">
      <w:pPr>
        <w:jc w:val="both"/>
        <w:rPr>
          <w:rFonts w:ascii="Times New Roman" w:hAnsi="Times New Roman"/>
          <w:sz w:val="22"/>
          <w:szCs w:val="22"/>
          <w:lang w:val="sr-Latn-ME"/>
        </w:rPr>
      </w:pPr>
      <w:r w:rsidRPr="00F63BD6">
        <w:rPr>
          <w:rFonts w:ascii="Times New Roman" w:hAnsi="Times New Roman"/>
          <w:sz w:val="22"/>
          <w:szCs w:val="22"/>
          <w:lang w:val="sr-Latn-ME"/>
        </w:rPr>
        <w:t>Pretklinički podaci dobijeni na osnovu konvencionalnih farmakoloških ispitivanja bezbjednosti, toksičnosti ponovljenih doza, reproduktivne toksičnosti i genotoksičnosti ne ukazuju na posebne opasnosti pri primjeni lijeka kod ljudi. Studije karcinogenosti ne ukazuju na poseban rizik kod ljudi kada se primjenjuje u preporučenim dozama kod ljudi. Međutim, pri primjeni većih doza i tokom dužeg vremenskog perioda, ne može se iskl</w:t>
      </w:r>
      <w:r w:rsidR="00615837">
        <w:rPr>
          <w:rFonts w:ascii="Times New Roman" w:hAnsi="Times New Roman"/>
          <w:sz w:val="22"/>
          <w:szCs w:val="22"/>
          <w:lang w:val="sr-Latn-ME"/>
        </w:rPr>
        <w:t>jučiti rizik od karcinogenosti.</w:t>
      </w:r>
    </w:p>
    <w:p w:rsidR="00615837" w:rsidRPr="00F63BD6" w:rsidRDefault="00615837" w:rsidP="00663E76">
      <w:pPr>
        <w:jc w:val="both"/>
        <w:rPr>
          <w:rFonts w:ascii="Times New Roman" w:hAnsi="Times New Roman"/>
          <w:sz w:val="22"/>
          <w:szCs w:val="22"/>
          <w:lang w:val="sr-Latn-ME"/>
        </w:rPr>
      </w:pPr>
    </w:p>
    <w:p w:rsidR="0087423F" w:rsidRPr="00F63BD6" w:rsidRDefault="008774E7"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Studija na kloniranim humanim srčanim jonskim kanalima je pokazala da granisetron ima potencijal da utiče na srčanu repolarizaciju putem blokade HERG kalijum</w:t>
      </w:r>
      <w:r w:rsidR="005A4C97" w:rsidRPr="00F63BD6">
        <w:rPr>
          <w:rFonts w:ascii="Times New Roman" w:hAnsi="Times New Roman"/>
          <w:b w:val="0"/>
          <w:sz w:val="22"/>
          <w:szCs w:val="22"/>
          <w:lang w:val="sr-Latn-ME"/>
        </w:rPr>
        <w:t>skih</w:t>
      </w:r>
      <w:r w:rsidRPr="00F63BD6">
        <w:rPr>
          <w:rFonts w:ascii="Times New Roman" w:hAnsi="Times New Roman"/>
          <w:b w:val="0"/>
          <w:sz w:val="22"/>
          <w:szCs w:val="22"/>
          <w:lang w:val="sr-Latn-ME"/>
        </w:rPr>
        <w:t xml:space="preserve"> kanala. Pokazano je da granisetron blokira kanale i za natrijum i za kalijum, što može uticati i na depolarizaciju i na repolarizaciju produženjem PR, QRS i QT intervala. Ovaj podatak služi da se razjasne molekularni mehanizmi nastanka nekih prom</w:t>
      </w:r>
      <w:r w:rsidR="005A4C97" w:rsidRPr="00F63BD6">
        <w:rPr>
          <w:rFonts w:ascii="Times New Roman" w:hAnsi="Times New Roman"/>
          <w:b w:val="0"/>
          <w:sz w:val="22"/>
          <w:szCs w:val="22"/>
          <w:lang w:val="sr-Latn-ME"/>
        </w:rPr>
        <w:t>j</w:t>
      </w:r>
      <w:r w:rsidRPr="00F63BD6">
        <w:rPr>
          <w:rFonts w:ascii="Times New Roman" w:hAnsi="Times New Roman"/>
          <w:b w:val="0"/>
          <w:sz w:val="22"/>
          <w:szCs w:val="22"/>
          <w:lang w:val="sr-Latn-ME"/>
        </w:rPr>
        <w:t>ena na EKG-u (naročito produženje QT i QRS intervala) povezanih sa primjenom ove grupe ljekova. Ipak, nema promjena srčane frekvence, krvnog pritiska ili EKG zapisa. Ukoliko nastupe promjene, one su generalno bez kliničkog značaja.</w:t>
      </w:r>
    </w:p>
    <w:p w:rsidR="005A4C97" w:rsidRDefault="005A4C97" w:rsidP="00663E76">
      <w:pPr>
        <w:pStyle w:val="SmPCheading"/>
        <w:spacing w:before="0" w:after="0" w:line="240" w:lineRule="auto"/>
        <w:jc w:val="both"/>
        <w:rPr>
          <w:rFonts w:ascii="Times New Roman" w:hAnsi="Times New Roman"/>
          <w:b w:val="0"/>
          <w:sz w:val="22"/>
          <w:szCs w:val="22"/>
          <w:lang w:val="sr-Latn-ME"/>
        </w:rPr>
      </w:pPr>
    </w:p>
    <w:p w:rsidR="00615837" w:rsidRPr="00F63BD6" w:rsidRDefault="00615837" w:rsidP="00663E76">
      <w:pPr>
        <w:pStyle w:val="SmPCheading"/>
        <w:spacing w:before="0" w:after="0" w:line="240" w:lineRule="auto"/>
        <w:jc w:val="both"/>
        <w:rPr>
          <w:rFonts w:ascii="Times New Roman" w:hAnsi="Times New Roman"/>
          <w:b w:val="0"/>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6. </w:t>
      </w:r>
      <w:r w:rsidR="003D063A" w:rsidRPr="00F63BD6">
        <w:rPr>
          <w:rFonts w:ascii="Times New Roman" w:hAnsi="Times New Roman"/>
          <w:sz w:val="22"/>
          <w:szCs w:val="22"/>
          <w:lang w:val="sr-Latn-ME"/>
        </w:rPr>
        <w:t>FARMACEUTSK</w:t>
      </w:r>
      <w:r w:rsidR="00E07355" w:rsidRPr="00F63BD6">
        <w:rPr>
          <w:rFonts w:ascii="Times New Roman" w:hAnsi="Times New Roman"/>
          <w:sz w:val="22"/>
          <w:szCs w:val="22"/>
          <w:lang w:val="sr-Latn-ME"/>
        </w:rPr>
        <w:t>I</w:t>
      </w:r>
      <w:r w:rsidR="00D27D1B" w:rsidRPr="00F63BD6">
        <w:rPr>
          <w:rFonts w:ascii="Times New Roman" w:hAnsi="Times New Roman"/>
          <w:sz w:val="22"/>
          <w:szCs w:val="22"/>
          <w:lang w:val="sr-Latn-ME"/>
        </w:rPr>
        <w:t xml:space="preserve"> </w:t>
      </w:r>
      <w:r w:rsidR="00E07355" w:rsidRPr="00F63BD6">
        <w:rPr>
          <w:rFonts w:ascii="Times New Roman" w:hAnsi="Times New Roman"/>
          <w:sz w:val="22"/>
          <w:szCs w:val="22"/>
          <w:lang w:val="sr-Latn-ME"/>
        </w:rPr>
        <w:t>PODACI</w:t>
      </w:r>
    </w:p>
    <w:p w:rsidR="00615837" w:rsidRDefault="00615837"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6.1. </w:t>
      </w:r>
      <w:r w:rsidR="003D063A" w:rsidRPr="00F63BD6">
        <w:rPr>
          <w:rFonts w:ascii="Times New Roman" w:hAnsi="Times New Roman"/>
          <w:sz w:val="22"/>
          <w:szCs w:val="22"/>
          <w:lang w:val="sr-Latn-ME"/>
        </w:rPr>
        <w:t xml:space="preserve">Lista </w:t>
      </w:r>
      <w:r w:rsidR="001D15A5" w:rsidRPr="00F63BD6">
        <w:rPr>
          <w:rFonts w:ascii="Times New Roman" w:hAnsi="Times New Roman"/>
          <w:sz w:val="22"/>
          <w:szCs w:val="22"/>
          <w:lang w:val="sr-Latn-ME"/>
        </w:rPr>
        <w:t>pomoćnih supstanci</w:t>
      </w:r>
    </w:p>
    <w:p w:rsidR="00615837" w:rsidRDefault="00615837" w:rsidP="00663E76">
      <w:pPr>
        <w:pStyle w:val="SmPCheading"/>
        <w:spacing w:before="0" w:after="0" w:line="240" w:lineRule="auto"/>
        <w:jc w:val="both"/>
        <w:rPr>
          <w:rFonts w:ascii="Times New Roman" w:hAnsi="Times New Roman"/>
          <w:b w:val="0"/>
          <w:sz w:val="22"/>
          <w:szCs w:val="22"/>
          <w:lang w:val="sr-Latn-ME"/>
        </w:rPr>
      </w:pPr>
    </w:p>
    <w:p w:rsidR="00A821A8" w:rsidRPr="00F63BD6" w:rsidRDefault="00C904CF"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Natrij</w:t>
      </w:r>
      <w:r w:rsidR="003D063A" w:rsidRPr="00F63BD6">
        <w:rPr>
          <w:rFonts w:ascii="Times New Roman" w:hAnsi="Times New Roman"/>
          <w:b w:val="0"/>
          <w:sz w:val="22"/>
          <w:szCs w:val="22"/>
          <w:lang w:val="sr-Latn-ME"/>
        </w:rPr>
        <w:t>um h</w:t>
      </w:r>
      <w:r w:rsidRPr="00F63BD6">
        <w:rPr>
          <w:rFonts w:ascii="Times New Roman" w:hAnsi="Times New Roman"/>
          <w:b w:val="0"/>
          <w:sz w:val="22"/>
          <w:szCs w:val="22"/>
          <w:lang w:val="sr-Latn-ME"/>
        </w:rPr>
        <w:t>lorid</w:t>
      </w:r>
    </w:p>
    <w:p w:rsidR="00C904CF" w:rsidRPr="00F63BD6" w:rsidRDefault="003D063A"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Natrijum</w:t>
      </w:r>
      <w:r w:rsidR="00C904CF" w:rsidRPr="00F63BD6">
        <w:rPr>
          <w:rFonts w:ascii="Times New Roman" w:hAnsi="Times New Roman"/>
          <w:b w:val="0"/>
          <w:sz w:val="22"/>
          <w:szCs w:val="22"/>
          <w:lang w:val="sr-Latn-ME"/>
        </w:rPr>
        <w:t xml:space="preserve"> hidroksid</w:t>
      </w:r>
      <w:r w:rsidR="00800AF6" w:rsidRPr="00F63BD6">
        <w:rPr>
          <w:rFonts w:ascii="Times New Roman" w:hAnsi="Times New Roman"/>
          <w:b w:val="0"/>
          <w:sz w:val="22"/>
          <w:szCs w:val="22"/>
          <w:lang w:val="sr-Latn-ME"/>
        </w:rPr>
        <w:t xml:space="preserve"> (za p</w:t>
      </w:r>
      <w:r w:rsidR="00E5526D" w:rsidRPr="00F63BD6">
        <w:rPr>
          <w:rFonts w:ascii="Times New Roman" w:hAnsi="Times New Roman"/>
          <w:b w:val="0"/>
          <w:sz w:val="22"/>
          <w:szCs w:val="22"/>
          <w:lang w:val="sr-Latn-ME"/>
        </w:rPr>
        <w:t>odešavanje</w:t>
      </w:r>
      <w:r w:rsidR="00800AF6" w:rsidRPr="00F63BD6">
        <w:rPr>
          <w:rFonts w:ascii="Times New Roman" w:hAnsi="Times New Roman"/>
          <w:b w:val="0"/>
          <w:sz w:val="22"/>
          <w:szCs w:val="22"/>
          <w:lang w:val="sr-Latn-ME"/>
        </w:rPr>
        <w:t xml:space="preserve"> pH vrijednosti)</w:t>
      </w:r>
    </w:p>
    <w:p w:rsidR="00C904CF" w:rsidRPr="00F63BD6" w:rsidRDefault="003D063A"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Hlorovodonič</w:t>
      </w:r>
      <w:r w:rsidR="00C904CF" w:rsidRPr="00F63BD6">
        <w:rPr>
          <w:rFonts w:ascii="Times New Roman" w:hAnsi="Times New Roman"/>
          <w:b w:val="0"/>
          <w:sz w:val="22"/>
          <w:szCs w:val="22"/>
          <w:lang w:val="sr-Latn-ME"/>
        </w:rPr>
        <w:t>na kiselina</w:t>
      </w:r>
      <w:r w:rsidR="00800AF6" w:rsidRPr="00F63BD6">
        <w:rPr>
          <w:rFonts w:ascii="Times New Roman" w:hAnsi="Times New Roman"/>
          <w:b w:val="0"/>
          <w:sz w:val="22"/>
          <w:szCs w:val="22"/>
          <w:lang w:val="sr-Latn-ME"/>
        </w:rPr>
        <w:t xml:space="preserve"> (za p</w:t>
      </w:r>
      <w:r w:rsidR="00E5526D" w:rsidRPr="00F63BD6">
        <w:rPr>
          <w:rFonts w:ascii="Times New Roman" w:hAnsi="Times New Roman"/>
          <w:b w:val="0"/>
          <w:sz w:val="22"/>
          <w:szCs w:val="22"/>
          <w:lang w:val="sr-Latn-ME"/>
        </w:rPr>
        <w:t>odešavanje</w:t>
      </w:r>
      <w:r w:rsidR="00800AF6" w:rsidRPr="00F63BD6">
        <w:rPr>
          <w:rFonts w:ascii="Times New Roman" w:hAnsi="Times New Roman"/>
          <w:b w:val="0"/>
          <w:sz w:val="22"/>
          <w:szCs w:val="22"/>
          <w:lang w:val="sr-Latn-ME"/>
        </w:rPr>
        <w:t xml:space="preserve"> pH vrijednosti)</w:t>
      </w:r>
    </w:p>
    <w:p w:rsidR="00C904CF" w:rsidRPr="00F63BD6" w:rsidRDefault="00C904CF"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Voda za injekcije</w:t>
      </w:r>
    </w:p>
    <w:p w:rsidR="00C904CF" w:rsidRPr="00F63BD6" w:rsidRDefault="00C904CF" w:rsidP="00663E76">
      <w:pPr>
        <w:pStyle w:val="SmPCheading"/>
        <w:spacing w:before="0" w:after="0" w:line="240" w:lineRule="auto"/>
        <w:jc w:val="both"/>
        <w:rPr>
          <w:rFonts w:ascii="Times New Roman" w:hAnsi="Times New Roman"/>
          <w:b w:val="0"/>
          <w:color w:val="FF0000"/>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6.2. </w:t>
      </w:r>
      <w:r w:rsidR="000E6A9B" w:rsidRPr="00F63BD6">
        <w:rPr>
          <w:rFonts w:ascii="Times New Roman" w:hAnsi="Times New Roman"/>
          <w:sz w:val="22"/>
          <w:szCs w:val="22"/>
          <w:lang w:val="sr-Latn-ME"/>
        </w:rPr>
        <w:t>Inkompatibilnost</w:t>
      </w:r>
      <w:r w:rsidR="002D4D50" w:rsidRPr="00F63BD6">
        <w:rPr>
          <w:rFonts w:ascii="Times New Roman" w:hAnsi="Times New Roman"/>
          <w:sz w:val="22"/>
          <w:szCs w:val="22"/>
          <w:lang w:val="sr-Latn-ME"/>
        </w:rPr>
        <w:t>i</w:t>
      </w:r>
    </w:p>
    <w:p w:rsidR="00615837" w:rsidRDefault="00615837" w:rsidP="00663E76">
      <w:pPr>
        <w:pStyle w:val="SmPCheading"/>
        <w:spacing w:before="0" w:after="0" w:line="240" w:lineRule="auto"/>
        <w:jc w:val="both"/>
        <w:rPr>
          <w:rFonts w:ascii="Times New Roman" w:hAnsi="Times New Roman"/>
          <w:b w:val="0"/>
          <w:sz w:val="22"/>
          <w:szCs w:val="22"/>
          <w:lang w:val="sr-Latn-ME"/>
        </w:rPr>
      </w:pPr>
    </w:p>
    <w:p w:rsidR="0087423F" w:rsidRPr="00615837" w:rsidRDefault="00F023B3"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b w:val="0"/>
          <w:sz w:val="22"/>
          <w:szCs w:val="22"/>
          <w:lang w:val="sr-Latn-ME"/>
        </w:rPr>
        <w:t>U nedostatku studija kompatibilnosti, ovaj l</w:t>
      </w:r>
      <w:r w:rsidR="00AA3510" w:rsidRPr="00F63BD6">
        <w:rPr>
          <w:rFonts w:ascii="Times New Roman" w:hAnsi="Times New Roman"/>
          <w:b w:val="0"/>
          <w:sz w:val="22"/>
          <w:szCs w:val="22"/>
          <w:lang w:val="sr-Latn-ME"/>
        </w:rPr>
        <w:t>ij</w:t>
      </w:r>
      <w:r w:rsidRPr="00F63BD6">
        <w:rPr>
          <w:rFonts w:ascii="Times New Roman" w:hAnsi="Times New Roman"/>
          <w:b w:val="0"/>
          <w:sz w:val="22"/>
          <w:szCs w:val="22"/>
          <w:lang w:val="sr-Latn-ME"/>
        </w:rPr>
        <w:t>ek se ne sm</w:t>
      </w:r>
      <w:r w:rsidR="00AA3510" w:rsidRPr="00F63BD6">
        <w:rPr>
          <w:rFonts w:ascii="Times New Roman" w:hAnsi="Times New Roman"/>
          <w:b w:val="0"/>
          <w:sz w:val="22"/>
          <w:szCs w:val="22"/>
          <w:lang w:val="sr-Latn-ME"/>
        </w:rPr>
        <w:t>ij</w:t>
      </w:r>
      <w:r w:rsidRPr="00F63BD6">
        <w:rPr>
          <w:rFonts w:ascii="Times New Roman" w:hAnsi="Times New Roman"/>
          <w:b w:val="0"/>
          <w:sz w:val="22"/>
          <w:szCs w:val="22"/>
          <w:lang w:val="sr-Latn-ME"/>
        </w:rPr>
        <w:t>e m</w:t>
      </w:r>
      <w:r w:rsidR="00AA3510" w:rsidRPr="00F63BD6">
        <w:rPr>
          <w:rFonts w:ascii="Times New Roman" w:hAnsi="Times New Roman"/>
          <w:b w:val="0"/>
          <w:sz w:val="22"/>
          <w:szCs w:val="22"/>
          <w:lang w:val="sr-Latn-ME"/>
        </w:rPr>
        <w:t>ij</w:t>
      </w:r>
      <w:r w:rsidRPr="00F63BD6">
        <w:rPr>
          <w:rFonts w:ascii="Times New Roman" w:hAnsi="Times New Roman"/>
          <w:b w:val="0"/>
          <w:sz w:val="22"/>
          <w:szCs w:val="22"/>
          <w:lang w:val="sr-Latn-ME"/>
        </w:rPr>
        <w:t>ešati sa drugim l</w:t>
      </w:r>
      <w:r w:rsidR="00AA3510" w:rsidRPr="00F63BD6">
        <w:rPr>
          <w:rFonts w:ascii="Times New Roman" w:hAnsi="Times New Roman"/>
          <w:b w:val="0"/>
          <w:sz w:val="22"/>
          <w:szCs w:val="22"/>
          <w:lang w:val="sr-Latn-ME"/>
        </w:rPr>
        <w:t>j</w:t>
      </w:r>
      <w:r w:rsidR="00615837">
        <w:rPr>
          <w:rFonts w:ascii="Times New Roman" w:hAnsi="Times New Roman"/>
          <w:b w:val="0"/>
          <w:sz w:val="22"/>
          <w:szCs w:val="22"/>
          <w:lang w:val="sr-Latn-ME"/>
        </w:rPr>
        <w:t>ekovima.</w:t>
      </w:r>
    </w:p>
    <w:p w:rsidR="0070027F" w:rsidRDefault="0070027F"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6.3. </w:t>
      </w:r>
      <w:r w:rsidR="000E6A9B" w:rsidRPr="00F63BD6">
        <w:rPr>
          <w:rFonts w:ascii="Times New Roman" w:hAnsi="Times New Roman"/>
          <w:sz w:val="22"/>
          <w:szCs w:val="22"/>
          <w:lang w:val="sr-Latn-ME"/>
        </w:rPr>
        <w:t xml:space="preserve">Rok </w:t>
      </w:r>
      <w:r w:rsidR="003D063A" w:rsidRPr="00F63BD6">
        <w:rPr>
          <w:rFonts w:ascii="Times New Roman" w:hAnsi="Times New Roman"/>
          <w:sz w:val="22"/>
          <w:szCs w:val="22"/>
          <w:lang w:val="sr-Latn-ME"/>
        </w:rPr>
        <w:t>upotrebe</w:t>
      </w:r>
    </w:p>
    <w:p w:rsidR="0070027F" w:rsidRDefault="0070027F" w:rsidP="00663E76">
      <w:pPr>
        <w:pStyle w:val="SmPCheading"/>
        <w:spacing w:before="0" w:after="0" w:line="240" w:lineRule="auto"/>
        <w:jc w:val="both"/>
        <w:rPr>
          <w:rFonts w:ascii="Times New Roman" w:hAnsi="Times New Roman"/>
          <w:b w:val="0"/>
          <w:sz w:val="22"/>
          <w:szCs w:val="22"/>
          <w:lang w:val="sr-Latn-ME"/>
        </w:rPr>
      </w:pPr>
    </w:p>
    <w:p w:rsidR="00943620" w:rsidRPr="00F63BD6" w:rsidRDefault="00943620"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Rok upotrebe prij</w:t>
      </w:r>
      <w:r w:rsidR="0070027F">
        <w:rPr>
          <w:rFonts w:ascii="Times New Roman" w:hAnsi="Times New Roman"/>
          <w:b w:val="0"/>
          <w:sz w:val="22"/>
          <w:szCs w:val="22"/>
          <w:lang w:val="sr-Latn-ME"/>
        </w:rPr>
        <w:t>e prvog otvaranja: 3 godine.</w:t>
      </w:r>
    </w:p>
    <w:p w:rsidR="00A06377" w:rsidRPr="00F63BD6" w:rsidRDefault="00943620" w:rsidP="00663E76">
      <w:pPr>
        <w:pStyle w:val="SmPCheading"/>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lastRenderedPageBreak/>
        <w:t>Rok upotrebe nakon prvog otvaranja/razblaženja: Nakon otvaranja i razblaženja, lijek se mora upotrijebiti odmah.</w:t>
      </w:r>
    </w:p>
    <w:p w:rsidR="0087423F" w:rsidRPr="00C41574" w:rsidRDefault="0087423F" w:rsidP="00663E76">
      <w:pPr>
        <w:pStyle w:val="SmPCheading"/>
        <w:spacing w:before="0" w:after="0" w:line="240" w:lineRule="auto"/>
        <w:jc w:val="both"/>
        <w:rPr>
          <w:rFonts w:ascii="Times New Roman" w:hAnsi="Times New Roman"/>
          <w:sz w:val="22"/>
          <w:szCs w:val="22"/>
          <w:lang w:val="sr-Latn-ME"/>
        </w:rPr>
      </w:pPr>
    </w:p>
    <w:p w:rsidR="00A162E1" w:rsidRPr="00F63BD6" w:rsidRDefault="00A162E1"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6.4. </w:t>
      </w:r>
      <w:r w:rsidR="003D063A" w:rsidRPr="00F63BD6">
        <w:rPr>
          <w:rFonts w:ascii="Times New Roman" w:hAnsi="Times New Roman"/>
          <w:sz w:val="22"/>
          <w:szCs w:val="22"/>
          <w:lang w:val="sr-Latn-ME"/>
        </w:rPr>
        <w:t xml:space="preserve">Posebna </w:t>
      </w:r>
      <w:r w:rsidR="001D15A5" w:rsidRPr="00F63BD6">
        <w:rPr>
          <w:rFonts w:ascii="Times New Roman" w:hAnsi="Times New Roman"/>
          <w:sz w:val="22"/>
          <w:szCs w:val="22"/>
          <w:lang w:val="sr-Latn-ME"/>
        </w:rPr>
        <w:t xml:space="preserve">mjere </w:t>
      </w:r>
      <w:r w:rsidR="003D063A" w:rsidRPr="00F63BD6">
        <w:rPr>
          <w:rFonts w:ascii="Times New Roman" w:hAnsi="Times New Roman"/>
          <w:sz w:val="22"/>
          <w:szCs w:val="22"/>
          <w:lang w:val="sr-Latn-ME"/>
        </w:rPr>
        <w:t>upozorenj</w:t>
      </w:r>
      <w:r w:rsidR="001D15A5" w:rsidRPr="00F63BD6">
        <w:rPr>
          <w:rFonts w:ascii="Times New Roman" w:hAnsi="Times New Roman"/>
          <w:sz w:val="22"/>
          <w:szCs w:val="22"/>
          <w:lang w:val="sr-Latn-ME"/>
        </w:rPr>
        <w:t>a pri</w:t>
      </w:r>
      <w:r w:rsidR="003D063A" w:rsidRPr="00F63BD6">
        <w:rPr>
          <w:rFonts w:ascii="Times New Roman" w:hAnsi="Times New Roman"/>
          <w:sz w:val="22"/>
          <w:szCs w:val="22"/>
          <w:lang w:val="sr-Latn-ME"/>
        </w:rPr>
        <w:t xml:space="preserve"> čuvanj</w:t>
      </w:r>
      <w:r w:rsidR="001D15A5" w:rsidRPr="00F63BD6">
        <w:rPr>
          <w:rFonts w:ascii="Times New Roman" w:hAnsi="Times New Roman"/>
          <w:sz w:val="22"/>
          <w:szCs w:val="22"/>
          <w:lang w:val="sr-Latn-ME"/>
        </w:rPr>
        <w:t>u</w:t>
      </w:r>
      <w:r w:rsidR="000E6A9B" w:rsidRPr="00F63BD6">
        <w:rPr>
          <w:rFonts w:ascii="Times New Roman" w:hAnsi="Times New Roman"/>
          <w:sz w:val="22"/>
          <w:szCs w:val="22"/>
          <w:lang w:val="sr-Latn-ME"/>
        </w:rPr>
        <w:t xml:space="preserve"> lijeka</w:t>
      </w:r>
    </w:p>
    <w:p w:rsidR="00C41574" w:rsidRDefault="00C41574" w:rsidP="00663E76">
      <w:pPr>
        <w:jc w:val="both"/>
        <w:rPr>
          <w:rFonts w:ascii="Times New Roman" w:hAnsi="Times New Roman"/>
          <w:sz w:val="22"/>
          <w:szCs w:val="22"/>
          <w:lang w:val="sr-Latn-ME"/>
        </w:rPr>
      </w:pPr>
    </w:p>
    <w:p w:rsidR="003F2F0D" w:rsidRPr="00F63BD6" w:rsidRDefault="003F2F0D" w:rsidP="00663E76">
      <w:pPr>
        <w:jc w:val="both"/>
        <w:rPr>
          <w:rFonts w:ascii="Times New Roman" w:hAnsi="Times New Roman"/>
          <w:sz w:val="22"/>
          <w:szCs w:val="22"/>
          <w:lang w:val="sr-Latn-ME"/>
        </w:rPr>
      </w:pPr>
      <w:r w:rsidRPr="00F63BD6">
        <w:rPr>
          <w:rFonts w:ascii="Times New Roman" w:hAnsi="Times New Roman"/>
          <w:sz w:val="22"/>
          <w:szCs w:val="22"/>
          <w:lang w:val="sr-Latn-ME"/>
        </w:rPr>
        <w:t>Nema posebnih u</w:t>
      </w:r>
      <w:r w:rsidR="003D063A" w:rsidRPr="00F63BD6">
        <w:rPr>
          <w:rFonts w:ascii="Times New Roman" w:hAnsi="Times New Roman"/>
          <w:sz w:val="22"/>
          <w:szCs w:val="22"/>
          <w:lang w:val="sr-Latn-ME"/>
        </w:rPr>
        <w:t>slov</w:t>
      </w:r>
      <w:r w:rsidRPr="00F63BD6">
        <w:rPr>
          <w:rFonts w:ascii="Times New Roman" w:hAnsi="Times New Roman"/>
          <w:sz w:val="22"/>
          <w:szCs w:val="22"/>
          <w:lang w:val="sr-Latn-ME"/>
        </w:rPr>
        <w:t>a čuvanja.</w:t>
      </w:r>
    </w:p>
    <w:p w:rsidR="00800AF6" w:rsidRPr="00F63BD6" w:rsidRDefault="00800AF6" w:rsidP="00663E76">
      <w:pPr>
        <w:jc w:val="both"/>
        <w:rPr>
          <w:rFonts w:ascii="Times New Roman" w:hAnsi="Times New Roman"/>
          <w:sz w:val="22"/>
          <w:szCs w:val="22"/>
          <w:lang w:val="sr-Latn-ME"/>
        </w:rPr>
      </w:pPr>
      <w:r w:rsidRPr="00F63BD6">
        <w:rPr>
          <w:rFonts w:ascii="Times New Roman" w:hAnsi="Times New Roman"/>
          <w:sz w:val="22"/>
          <w:szCs w:val="22"/>
          <w:lang w:val="sr-Latn-ME"/>
        </w:rPr>
        <w:t>N</w:t>
      </w:r>
      <w:r w:rsidR="00AD71A9" w:rsidRPr="00F63BD6">
        <w:rPr>
          <w:rFonts w:ascii="Times New Roman" w:hAnsi="Times New Roman"/>
          <w:sz w:val="22"/>
          <w:szCs w:val="22"/>
          <w:lang w:val="sr-Latn-ME"/>
        </w:rPr>
        <w:t>e</w:t>
      </w:r>
      <w:r w:rsidRPr="00F63BD6">
        <w:rPr>
          <w:rFonts w:ascii="Times New Roman" w:hAnsi="Times New Roman"/>
          <w:sz w:val="22"/>
          <w:szCs w:val="22"/>
          <w:lang w:val="sr-Latn-ME"/>
        </w:rPr>
        <w:t xml:space="preserve"> zamrzavati.</w:t>
      </w:r>
    </w:p>
    <w:p w:rsidR="00331AAE" w:rsidRPr="00F63BD6" w:rsidRDefault="003F2F0D" w:rsidP="00663E76">
      <w:pPr>
        <w:jc w:val="both"/>
        <w:rPr>
          <w:rFonts w:ascii="Times New Roman" w:hAnsi="Times New Roman"/>
          <w:sz w:val="22"/>
          <w:szCs w:val="22"/>
          <w:lang w:val="sr-Latn-ME"/>
        </w:rPr>
      </w:pPr>
      <w:r w:rsidRPr="00F63BD6">
        <w:rPr>
          <w:rFonts w:ascii="Times New Roman" w:hAnsi="Times New Roman"/>
          <w:sz w:val="22"/>
          <w:szCs w:val="22"/>
          <w:lang w:val="sr-Latn-ME"/>
        </w:rPr>
        <w:t>Čuvati u originalnom</w:t>
      </w:r>
      <w:r w:rsidR="00A06377" w:rsidRPr="00F63BD6">
        <w:rPr>
          <w:rFonts w:ascii="Times New Roman" w:hAnsi="Times New Roman"/>
          <w:sz w:val="22"/>
          <w:szCs w:val="22"/>
          <w:lang w:val="sr-Latn-ME"/>
        </w:rPr>
        <w:t xml:space="preserve"> pakovanju, zaštićeno od sv</w:t>
      </w:r>
      <w:r w:rsidR="007539A0" w:rsidRPr="00F63BD6">
        <w:rPr>
          <w:rFonts w:ascii="Times New Roman" w:hAnsi="Times New Roman"/>
          <w:sz w:val="22"/>
          <w:szCs w:val="22"/>
          <w:lang w:val="sr-Latn-ME"/>
        </w:rPr>
        <w:t>i</w:t>
      </w:r>
      <w:r w:rsidR="00A06377" w:rsidRPr="00F63BD6">
        <w:rPr>
          <w:rFonts w:ascii="Times New Roman" w:hAnsi="Times New Roman"/>
          <w:sz w:val="22"/>
          <w:szCs w:val="22"/>
          <w:lang w:val="sr-Latn-ME"/>
        </w:rPr>
        <w:t>jetla</w:t>
      </w:r>
      <w:r w:rsidRPr="00F63BD6">
        <w:rPr>
          <w:rFonts w:ascii="Times New Roman" w:hAnsi="Times New Roman"/>
          <w:sz w:val="22"/>
          <w:szCs w:val="22"/>
          <w:lang w:val="sr-Latn-ME"/>
        </w:rPr>
        <w:t>.</w:t>
      </w:r>
    </w:p>
    <w:p w:rsidR="00A06377" w:rsidRPr="00F63BD6" w:rsidRDefault="003D063A"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Za uslove čuvanja </w:t>
      </w:r>
      <w:r w:rsidR="00B41729" w:rsidRPr="00F63BD6">
        <w:rPr>
          <w:rFonts w:ascii="Times New Roman" w:hAnsi="Times New Roman"/>
          <w:sz w:val="22"/>
          <w:szCs w:val="22"/>
          <w:lang w:val="sr-Latn-ME"/>
        </w:rPr>
        <w:t>razblaženog</w:t>
      </w:r>
      <w:r w:rsidRPr="00F63BD6">
        <w:rPr>
          <w:rFonts w:ascii="Times New Roman" w:hAnsi="Times New Roman"/>
          <w:sz w:val="22"/>
          <w:szCs w:val="22"/>
          <w:lang w:val="sr-Latn-ME"/>
        </w:rPr>
        <w:t xml:space="preserve"> rastvora</w:t>
      </w:r>
      <w:r w:rsidR="00A06377" w:rsidRPr="00F63BD6">
        <w:rPr>
          <w:rFonts w:ascii="Times New Roman" w:hAnsi="Times New Roman"/>
          <w:sz w:val="22"/>
          <w:szCs w:val="22"/>
          <w:lang w:val="sr-Latn-ME"/>
        </w:rPr>
        <w:t>, vidjeti poglavlje 6.3.</w:t>
      </w:r>
    </w:p>
    <w:p w:rsidR="00D92E18" w:rsidRPr="00F63BD6" w:rsidRDefault="00D92E18" w:rsidP="00663E76">
      <w:pPr>
        <w:pStyle w:val="naslovSmPC-a"/>
        <w:spacing w:before="0" w:after="0" w:line="240" w:lineRule="auto"/>
        <w:jc w:val="both"/>
        <w:rPr>
          <w:rFonts w:ascii="Times New Roman" w:hAnsi="Times New Roman"/>
          <w:sz w:val="22"/>
          <w:szCs w:val="22"/>
          <w:lang w:val="sr-Latn-ME"/>
        </w:rPr>
      </w:pPr>
    </w:p>
    <w:p w:rsidR="00A06377" w:rsidRPr="00F63BD6" w:rsidRDefault="00A162E1" w:rsidP="00663E76">
      <w:pPr>
        <w:pStyle w:val="naslovSmPC-a"/>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6.5. </w:t>
      </w:r>
      <w:r w:rsidR="0087423F" w:rsidRPr="00F63BD6">
        <w:rPr>
          <w:rFonts w:ascii="Times New Roman" w:hAnsi="Times New Roman"/>
          <w:sz w:val="22"/>
          <w:szCs w:val="22"/>
          <w:lang w:val="sr-Latn-ME"/>
        </w:rPr>
        <w:t>Vrsta i sadržaj</w:t>
      </w:r>
      <w:r w:rsidR="002D4D50" w:rsidRPr="00F63BD6">
        <w:rPr>
          <w:rFonts w:ascii="Times New Roman" w:hAnsi="Times New Roman"/>
          <w:sz w:val="22"/>
          <w:szCs w:val="22"/>
          <w:lang w:val="sr-Latn-ME"/>
        </w:rPr>
        <w:t xml:space="preserve"> </w:t>
      </w:r>
      <w:r w:rsidR="004160FB" w:rsidRPr="00F63BD6">
        <w:rPr>
          <w:rFonts w:ascii="Times New Roman" w:hAnsi="Times New Roman"/>
          <w:sz w:val="22"/>
          <w:szCs w:val="22"/>
          <w:lang w:val="sr-Latn-ME"/>
        </w:rPr>
        <w:t>pakovanja</w:t>
      </w:r>
    </w:p>
    <w:p w:rsidR="00C41574" w:rsidRDefault="00C41574" w:rsidP="00663E76">
      <w:pPr>
        <w:pStyle w:val="naslovSmPC-a"/>
        <w:spacing w:before="0" w:after="0" w:line="240" w:lineRule="auto"/>
        <w:jc w:val="both"/>
        <w:rPr>
          <w:rFonts w:ascii="Times New Roman" w:hAnsi="Times New Roman"/>
          <w:sz w:val="22"/>
          <w:szCs w:val="22"/>
          <w:lang w:val="sr-Latn-ME"/>
        </w:rPr>
      </w:pPr>
    </w:p>
    <w:p w:rsidR="00800AF6" w:rsidRPr="00F63BD6" w:rsidRDefault="00800AF6" w:rsidP="00663E76">
      <w:pPr>
        <w:pStyle w:val="naslovSmPC-a"/>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Graftor 1</w:t>
      </w:r>
      <w:r w:rsidR="000A529E"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mg/ml koncentrat za rastvor za </w:t>
      </w:r>
      <w:r w:rsidR="000A529E" w:rsidRPr="00F63BD6">
        <w:rPr>
          <w:rFonts w:ascii="Times New Roman" w:hAnsi="Times New Roman"/>
          <w:sz w:val="22"/>
          <w:szCs w:val="22"/>
          <w:lang w:val="sr-Latn-ME"/>
        </w:rPr>
        <w:t>injekciju/</w:t>
      </w:r>
      <w:r w:rsidRPr="00F63BD6">
        <w:rPr>
          <w:rFonts w:ascii="Times New Roman" w:hAnsi="Times New Roman"/>
          <w:sz w:val="22"/>
          <w:szCs w:val="22"/>
          <w:lang w:val="sr-Latn-ME"/>
        </w:rPr>
        <w:t xml:space="preserve">infuziju </w:t>
      </w:r>
    </w:p>
    <w:p w:rsidR="00800AF6" w:rsidRPr="00F63BD6" w:rsidRDefault="00231F88" w:rsidP="00663E76">
      <w:pPr>
        <w:pStyle w:val="naslovSmPC-a"/>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1 ml koncentrata za rastvor</w:t>
      </w:r>
      <w:r w:rsidR="00800AF6" w:rsidRPr="00F63BD6">
        <w:rPr>
          <w:rFonts w:ascii="Times New Roman" w:hAnsi="Times New Roman"/>
          <w:b w:val="0"/>
          <w:sz w:val="22"/>
          <w:szCs w:val="22"/>
          <w:lang w:val="sr-Latn-ME"/>
        </w:rPr>
        <w:t xml:space="preserve"> za </w:t>
      </w:r>
      <w:r w:rsidR="000A529E" w:rsidRPr="00F63BD6">
        <w:rPr>
          <w:rFonts w:ascii="Times New Roman" w:hAnsi="Times New Roman"/>
          <w:b w:val="0"/>
          <w:sz w:val="22"/>
          <w:szCs w:val="22"/>
          <w:lang w:val="sr-Latn-ME"/>
        </w:rPr>
        <w:t xml:space="preserve">injekciju/infuziju </w:t>
      </w:r>
      <w:r w:rsidR="00800AF6" w:rsidRPr="00F63BD6">
        <w:rPr>
          <w:rFonts w:ascii="Times New Roman" w:hAnsi="Times New Roman"/>
          <w:b w:val="0"/>
          <w:sz w:val="22"/>
          <w:szCs w:val="22"/>
          <w:lang w:val="sr-Latn-ME"/>
        </w:rPr>
        <w:t>u bezbo</w:t>
      </w:r>
      <w:r w:rsidR="00D31928" w:rsidRPr="00F63BD6">
        <w:rPr>
          <w:rFonts w:ascii="Times New Roman" w:hAnsi="Times New Roman"/>
          <w:b w:val="0"/>
          <w:sz w:val="22"/>
          <w:szCs w:val="22"/>
          <w:lang w:val="sr-Latn-ME"/>
        </w:rPr>
        <w:t>jnoj staklenoj ampuli</w:t>
      </w:r>
      <w:r w:rsidR="003C6A88" w:rsidRPr="00F63BD6">
        <w:rPr>
          <w:rFonts w:ascii="Times New Roman" w:hAnsi="Times New Roman"/>
          <w:b w:val="0"/>
          <w:sz w:val="22"/>
          <w:szCs w:val="22"/>
          <w:lang w:val="sr-Latn-ME"/>
        </w:rPr>
        <w:t xml:space="preserve"> (od stakla tip I)</w:t>
      </w:r>
      <w:r w:rsidR="00D31928" w:rsidRPr="00F63BD6">
        <w:rPr>
          <w:rFonts w:ascii="Times New Roman" w:hAnsi="Times New Roman"/>
          <w:b w:val="0"/>
          <w:sz w:val="22"/>
          <w:szCs w:val="22"/>
          <w:lang w:val="sr-Latn-ME"/>
        </w:rPr>
        <w:t>, 5 ampula.</w:t>
      </w:r>
    </w:p>
    <w:p w:rsidR="004160FB" w:rsidRPr="00F63BD6" w:rsidRDefault="004160FB" w:rsidP="00663E76">
      <w:pPr>
        <w:pStyle w:val="naslovSmPC-a"/>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1 ml koncentrata za rastvor za </w:t>
      </w:r>
      <w:r w:rsidR="000A529E" w:rsidRPr="00F63BD6">
        <w:rPr>
          <w:rFonts w:ascii="Times New Roman" w:hAnsi="Times New Roman"/>
          <w:b w:val="0"/>
          <w:sz w:val="22"/>
          <w:szCs w:val="22"/>
          <w:lang w:val="sr-Latn-ME"/>
        </w:rPr>
        <w:t xml:space="preserve">injekciju/infuziju </w:t>
      </w:r>
      <w:r w:rsidRPr="00F63BD6">
        <w:rPr>
          <w:rFonts w:ascii="Times New Roman" w:hAnsi="Times New Roman"/>
          <w:b w:val="0"/>
          <w:sz w:val="22"/>
          <w:szCs w:val="22"/>
          <w:lang w:val="sr-Latn-ME"/>
        </w:rPr>
        <w:t>u bezbojnoj staklenoj bočici</w:t>
      </w:r>
      <w:r w:rsidR="003C6A88" w:rsidRPr="00F63BD6">
        <w:rPr>
          <w:rFonts w:ascii="Times New Roman" w:hAnsi="Times New Roman"/>
          <w:b w:val="0"/>
          <w:sz w:val="22"/>
          <w:szCs w:val="22"/>
          <w:lang w:val="sr-Latn-ME"/>
        </w:rPr>
        <w:t xml:space="preserve"> (od stakla tip I)</w:t>
      </w:r>
      <w:r w:rsidRPr="00F63BD6">
        <w:rPr>
          <w:rFonts w:ascii="Times New Roman" w:hAnsi="Times New Roman"/>
          <w:b w:val="0"/>
          <w:sz w:val="22"/>
          <w:szCs w:val="22"/>
          <w:lang w:val="sr-Latn-ME"/>
        </w:rPr>
        <w:t xml:space="preserve">, 5 </w:t>
      </w:r>
      <w:r w:rsidR="00D31928" w:rsidRPr="00F63BD6">
        <w:rPr>
          <w:rFonts w:ascii="Times New Roman" w:hAnsi="Times New Roman"/>
          <w:b w:val="0"/>
          <w:sz w:val="22"/>
          <w:szCs w:val="22"/>
          <w:lang w:val="sr-Latn-ME"/>
        </w:rPr>
        <w:t>bočica.</w:t>
      </w:r>
    </w:p>
    <w:p w:rsidR="00C41574" w:rsidRDefault="00C41574" w:rsidP="00663E76">
      <w:pPr>
        <w:pStyle w:val="naslovSmPC-a"/>
        <w:spacing w:before="0" w:after="0" w:line="240" w:lineRule="auto"/>
        <w:jc w:val="both"/>
        <w:rPr>
          <w:rFonts w:ascii="Times New Roman" w:hAnsi="Times New Roman"/>
          <w:sz w:val="22"/>
          <w:szCs w:val="22"/>
          <w:lang w:val="sr-Latn-ME"/>
        </w:rPr>
      </w:pPr>
    </w:p>
    <w:p w:rsidR="00800AF6" w:rsidRPr="00F63BD6" w:rsidRDefault="00800AF6" w:rsidP="00663E76">
      <w:pPr>
        <w:pStyle w:val="naslovSmPC-a"/>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 xml:space="preserve">Graftor </w:t>
      </w:r>
      <w:r w:rsidR="00231F88" w:rsidRPr="00F63BD6">
        <w:rPr>
          <w:rFonts w:ascii="Times New Roman" w:hAnsi="Times New Roman"/>
          <w:sz w:val="22"/>
          <w:szCs w:val="22"/>
          <w:lang w:val="sr-Latn-ME"/>
        </w:rPr>
        <w:t>3 mg/3 ml koncentrat za rastvor</w:t>
      </w:r>
      <w:r w:rsidRPr="00F63BD6">
        <w:rPr>
          <w:rFonts w:ascii="Times New Roman" w:hAnsi="Times New Roman"/>
          <w:sz w:val="22"/>
          <w:szCs w:val="22"/>
          <w:lang w:val="sr-Latn-ME"/>
        </w:rPr>
        <w:t xml:space="preserve"> za </w:t>
      </w:r>
      <w:r w:rsidR="00DA2B84" w:rsidRPr="00F63BD6">
        <w:rPr>
          <w:rFonts w:ascii="Times New Roman" w:hAnsi="Times New Roman"/>
          <w:sz w:val="22"/>
          <w:szCs w:val="22"/>
          <w:lang w:val="sr-Latn-ME"/>
        </w:rPr>
        <w:t xml:space="preserve">injekciju/infuziju </w:t>
      </w:r>
    </w:p>
    <w:p w:rsidR="00D92E18" w:rsidRPr="00F63BD6" w:rsidRDefault="00800AF6" w:rsidP="00663E76">
      <w:pPr>
        <w:pStyle w:val="naslovSmPC-a"/>
        <w:widowControl/>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3 ml koncentrata za </w:t>
      </w:r>
      <w:r w:rsidR="00231F88" w:rsidRPr="00F63BD6">
        <w:rPr>
          <w:rFonts w:ascii="Times New Roman" w:hAnsi="Times New Roman"/>
          <w:b w:val="0"/>
          <w:sz w:val="22"/>
          <w:szCs w:val="22"/>
          <w:lang w:val="sr-Latn-ME"/>
        </w:rPr>
        <w:t>rastvor</w:t>
      </w:r>
      <w:r w:rsidRPr="00F63BD6">
        <w:rPr>
          <w:rFonts w:ascii="Times New Roman" w:hAnsi="Times New Roman"/>
          <w:b w:val="0"/>
          <w:sz w:val="22"/>
          <w:szCs w:val="22"/>
          <w:lang w:val="sr-Latn-ME"/>
        </w:rPr>
        <w:t xml:space="preserve"> za </w:t>
      </w:r>
      <w:r w:rsidR="00DA2B84" w:rsidRPr="00F63BD6">
        <w:rPr>
          <w:rFonts w:ascii="Times New Roman" w:hAnsi="Times New Roman"/>
          <w:b w:val="0"/>
          <w:sz w:val="22"/>
          <w:szCs w:val="22"/>
          <w:lang w:val="sr-Latn-ME"/>
        </w:rPr>
        <w:t xml:space="preserve">injekciju/infuziju </w:t>
      </w:r>
      <w:r w:rsidRPr="00F63BD6">
        <w:rPr>
          <w:rFonts w:ascii="Times New Roman" w:hAnsi="Times New Roman"/>
          <w:b w:val="0"/>
          <w:sz w:val="22"/>
          <w:szCs w:val="22"/>
          <w:lang w:val="sr-Latn-ME"/>
        </w:rPr>
        <w:t>u bezb</w:t>
      </w:r>
      <w:r w:rsidR="00D31928" w:rsidRPr="00F63BD6">
        <w:rPr>
          <w:rFonts w:ascii="Times New Roman" w:hAnsi="Times New Roman"/>
          <w:b w:val="0"/>
          <w:sz w:val="22"/>
          <w:szCs w:val="22"/>
          <w:lang w:val="sr-Latn-ME"/>
        </w:rPr>
        <w:t>ojnoj staklenoj ampuli</w:t>
      </w:r>
      <w:r w:rsidR="003C6A88" w:rsidRPr="00F63BD6">
        <w:rPr>
          <w:rFonts w:ascii="Times New Roman" w:hAnsi="Times New Roman"/>
          <w:b w:val="0"/>
          <w:sz w:val="22"/>
          <w:szCs w:val="22"/>
          <w:lang w:val="sr-Latn-ME"/>
        </w:rPr>
        <w:t xml:space="preserve"> (od stakla tip I)</w:t>
      </w:r>
      <w:r w:rsidR="00D31928" w:rsidRPr="00F63BD6">
        <w:rPr>
          <w:rFonts w:ascii="Times New Roman" w:hAnsi="Times New Roman"/>
          <w:b w:val="0"/>
          <w:sz w:val="22"/>
          <w:szCs w:val="22"/>
          <w:lang w:val="sr-Latn-ME"/>
        </w:rPr>
        <w:t>, 5 ampula.</w:t>
      </w:r>
    </w:p>
    <w:p w:rsidR="00D31928" w:rsidRPr="00F63BD6" w:rsidRDefault="00D31928" w:rsidP="00663E76">
      <w:pPr>
        <w:pStyle w:val="naslovSmPC-a"/>
        <w:widowControl/>
        <w:spacing w:before="0" w:after="0" w:line="240" w:lineRule="auto"/>
        <w:jc w:val="both"/>
        <w:rPr>
          <w:rFonts w:ascii="Times New Roman" w:hAnsi="Times New Roman"/>
          <w:b w:val="0"/>
          <w:sz w:val="22"/>
          <w:szCs w:val="22"/>
          <w:lang w:val="sr-Latn-ME"/>
        </w:rPr>
      </w:pPr>
      <w:r w:rsidRPr="00F63BD6">
        <w:rPr>
          <w:rFonts w:ascii="Times New Roman" w:hAnsi="Times New Roman"/>
          <w:b w:val="0"/>
          <w:sz w:val="22"/>
          <w:szCs w:val="22"/>
          <w:lang w:val="sr-Latn-ME"/>
        </w:rPr>
        <w:t xml:space="preserve">3 ml koncentrata za rastvor za </w:t>
      </w:r>
      <w:r w:rsidR="00DA2B84" w:rsidRPr="00F63BD6">
        <w:rPr>
          <w:rFonts w:ascii="Times New Roman" w:hAnsi="Times New Roman"/>
          <w:b w:val="0"/>
          <w:sz w:val="22"/>
          <w:szCs w:val="22"/>
          <w:lang w:val="sr-Latn-ME"/>
        </w:rPr>
        <w:t xml:space="preserve">injekciju/infuziju </w:t>
      </w:r>
      <w:r w:rsidRPr="00F63BD6">
        <w:rPr>
          <w:rFonts w:ascii="Times New Roman" w:hAnsi="Times New Roman"/>
          <w:b w:val="0"/>
          <w:sz w:val="22"/>
          <w:szCs w:val="22"/>
          <w:lang w:val="sr-Latn-ME"/>
        </w:rPr>
        <w:t>u bezbojnoj staklenoj bočici</w:t>
      </w:r>
      <w:r w:rsidR="003C6A88" w:rsidRPr="00F63BD6">
        <w:rPr>
          <w:rFonts w:ascii="Times New Roman" w:hAnsi="Times New Roman"/>
          <w:b w:val="0"/>
          <w:sz w:val="22"/>
          <w:szCs w:val="22"/>
          <w:lang w:val="sr-Latn-ME"/>
        </w:rPr>
        <w:t xml:space="preserve"> (od stakla tip I)</w:t>
      </w:r>
      <w:r w:rsidRPr="00F63BD6">
        <w:rPr>
          <w:rFonts w:ascii="Times New Roman" w:hAnsi="Times New Roman"/>
          <w:b w:val="0"/>
          <w:sz w:val="22"/>
          <w:szCs w:val="22"/>
          <w:lang w:val="sr-Latn-ME"/>
        </w:rPr>
        <w:t>, 5 bočica.</w:t>
      </w:r>
    </w:p>
    <w:p w:rsidR="00901DDF" w:rsidRPr="00C41574" w:rsidRDefault="00901DDF" w:rsidP="00663E76">
      <w:pPr>
        <w:pStyle w:val="naslovSmPC-a"/>
        <w:widowControl/>
        <w:spacing w:before="0" w:after="0" w:line="240" w:lineRule="auto"/>
        <w:jc w:val="both"/>
        <w:rPr>
          <w:rFonts w:ascii="Times New Roman" w:hAnsi="Times New Roman"/>
          <w:sz w:val="22"/>
          <w:szCs w:val="22"/>
          <w:lang w:val="sr-Latn-ME"/>
        </w:rPr>
      </w:pPr>
    </w:p>
    <w:p w:rsidR="001D15A5" w:rsidRPr="00F63BD6" w:rsidRDefault="003D063A" w:rsidP="00663E76">
      <w:pPr>
        <w:tabs>
          <w:tab w:val="left" w:pos="540"/>
          <w:tab w:val="left" w:pos="569"/>
        </w:tabs>
        <w:jc w:val="both"/>
        <w:rPr>
          <w:rFonts w:ascii="Times New Roman" w:hAnsi="Times New Roman"/>
          <w:b/>
          <w:bCs/>
          <w:sz w:val="22"/>
          <w:szCs w:val="22"/>
          <w:lang w:val="sr-Latn-ME"/>
        </w:rPr>
      </w:pPr>
      <w:r w:rsidRPr="00F63BD6">
        <w:rPr>
          <w:rFonts w:ascii="Times New Roman" w:hAnsi="Times New Roman"/>
          <w:b/>
          <w:sz w:val="22"/>
          <w:szCs w:val="22"/>
          <w:lang w:val="sr-Latn-ME"/>
        </w:rPr>
        <w:t xml:space="preserve">6.6. </w:t>
      </w:r>
      <w:r w:rsidR="001D15A5" w:rsidRPr="00F63BD6">
        <w:rPr>
          <w:rFonts w:ascii="Times New Roman" w:hAnsi="Times New Roman"/>
          <w:b/>
          <w:bCs/>
          <w:sz w:val="22"/>
          <w:szCs w:val="22"/>
          <w:lang w:val="sr-Latn-ME"/>
        </w:rPr>
        <w:t xml:space="preserve">Posebne mjere opreza pri odlaganju materijala koji treba odbaciti nakon primjene lijeka </w:t>
      </w:r>
    </w:p>
    <w:p w:rsidR="001D15A5" w:rsidRPr="00F63BD6" w:rsidRDefault="001D15A5" w:rsidP="00663E76">
      <w:pPr>
        <w:tabs>
          <w:tab w:val="left" w:pos="540"/>
          <w:tab w:val="left" w:pos="569"/>
        </w:tabs>
        <w:jc w:val="both"/>
        <w:rPr>
          <w:rFonts w:ascii="Times New Roman" w:hAnsi="Times New Roman"/>
          <w:bCs/>
          <w:sz w:val="22"/>
          <w:szCs w:val="22"/>
          <w:lang w:val="sr-Latn-ME"/>
        </w:rPr>
      </w:pPr>
    </w:p>
    <w:p w:rsidR="00E17569" w:rsidRPr="00F63BD6" w:rsidRDefault="004A4056" w:rsidP="00663E76">
      <w:pPr>
        <w:jc w:val="both"/>
        <w:rPr>
          <w:rFonts w:ascii="Times New Roman" w:hAnsi="Times New Roman"/>
          <w:b/>
          <w:sz w:val="22"/>
          <w:szCs w:val="22"/>
          <w:lang w:val="sr-Latn-ME"/>
        </w:rPr>
      </w:pPr>
      <w:r w:rsidRPr="00F63BD6">
        <w:rPr>
          <w:rFonts w:ascii="Times New Roman" w:hAnsi="Times New Roman"/>
          <w:sz w:val="22"/>
          <w:szCs w:val="22"/>
          <w:lang w:val="sr-Latn-ME"/>
        </w:rPr>
        <w:t>Rekonstituisani lijek je b</w:t>
      </w:r>
      <w:r w:rsidR="00D2034A" w:rsidRPr="00F63BD6">
        <w:rPr>
          <w:rFonts w:ascii="Times New Roman" w:hAnsi="Times New Roman"/>
          <w:sz w:val="22"/>
          <w:szCs w:val="22"/>
          <w:lang w:val="sr-Latn-ME"/>
        </w:rPr>
        <w:t>istar rastvor, bez prisustva vidljivih čestica.</w:t>
      </w:r>
    </w:p>
    <w:p w:rsidR="00D2034A" w:rsidRPr="00F63BD6" w:rsidRDefault="00D2034A" w:rsidP="00663E76">
      <w:pPr>
        <w:jc w:val="both"/>
        <w:rPr>
          <w:rFonts w:ascii="Times New Roman" w:hAnsi="Times New Roman"/>
          <w:sz w:val="22"/>
          <w:szCs w:val="22"/>
          <w:lang w:val="sr-Latn-ME"/>
        </w:rPr>
      </w:pPr>
      <w:r w:rsidRPr="00F63BD6">
        <w:rPr>
          <w:rFonts w:ascii="Times New Roman" w:hAnsi="Times New Roman"/>
          <w:sz w:val="22"/>
          <w:szCs w:val="22"/>
          <w:lang w:val="sr-Latn-ME"/>
        </w:rPr>
        <w:t>Lijek zahtijeva razblaživanje prije upotrebe bilo kao injekcija ili infuzija.</w:t>
      </w:r>
    </w:p>
    <w:p w:rsidR="004A4056" w:rsidRPr="00F63BD6" w:rsidRDefault="00D2034A" w:rsidP="00663E76">
      <w:pPr>
        <w:jc w:val="both"/>
        <w:rPr>
          <w:rFonts w:ascii="Times New Roman" w:hAnsi="Times New Roman"/>
          <w:sz w:val="22"/>
          <w:szCs w:val="22"/>
          <w:lang w:val="sr-Latn-ME"/>
        </w:rPr>
      </w:pPr>
      <w:r w:rsidRPr="00F63BD6">
        <w:rPr>
          <w:rFonts w:ascii="Times New Roman" w:hAnsi="Times New Roman"/>
          <w:sz w:val="22"/>
          <w:szCs w:val="22"/>
          <w:lang w:val="sr-Latn-ME"/>
        </w:rPr>
        <w:t>Za jednokratnu upotrebu. Svu neiskorišćenu količinu lijeka treba odbaciti.</w:t>
      </w:r>
    </w:p>
    <w:p w:rsidR="0070641F" w:rsidRPr="00F63BD6" w:rsidRDefault="00D2034A" w:rsidP="00663E76">
      <w:pPr>
        <w:jc w:val="both"/>
        <w:rPr>
          <w:rFonts w:ascii="Times New Roman" w:hAnsi="Times New Roman"/>
          <w:sz w:val="22"/>
          <w:szCs w:val="22"/>
          <w:lang w:val="sr-Latn-ME"/>
        </w:rPr>
      </w:pPr>
      <w:r w:rsidRPr="00F63BD6">
        <w:rPr>
          <w:rFonts w:ascii="Times New Roman" w:hAnsi="Times New Roman"/>
          <w:sz w:val="22"/>
          <w:szCs w:val="22"/>
          <w:lang w:val="sr-Latn-ME"/>
        </w:rPr>
        <w:t>Razblažene injekcije i infuzije</w:t>
      </w:r>
      <w:r w:rsidR="001A3757"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 treba prije prim</w:t>
      </w:r>
      <w:r w:rsidR="001A3757" w:rsidRPr="00F63BD6">
        <w:rPr>
          <w:rFonts w:ascii="Times New Roman" w:hAnsi="Times New Roman"/>
          <w:sz w:val="22"/>
          <w:szCs w:val="22"/>
          <w:lang w:val="sr-Latn-ME"/>
        </w:rPr>
        <w:t>j</w:t>
      </w:r>
      <w:r w:rsidRPr="00F63BD6">
        <w:rPr>
          <w:rFonts w:ascii="Times New Roman" w:hAnsi="Times New Roman"/>
          <w:sz w:val="22"/>
          <w:szCs w:val="22"/>
          <w:lang w:val="sr-Latn-ME"/>
        </w:rPr>
        <w:t>ene vizuelno pregledati na prisustvo čestica. Upotr</w:t>
      </w:r>
      <w:r w:rsidR="00DA2B84" w:rsidRPr="00F63BD6">
        <w:rPr>
          <w:rFonts w:ascii="Times New Roman" w:hAnsi="Times New Roman"/>
          <w:sz w:val="22"/>
          <w:szCs w:val="22"/>
          <w:lang w:val="sr-Latn-ME"/>
        </w:rPr>
        <w:t>ij</w:t>
      </w:r>
      <w:r w:rsidRPr="00F63BD6">
        <w:rPr>
          <w:rFonts w:ascii="Times New Roman" w:hAnsi="Times New Roman"/>
          <w:sz w:val="22"/>
          <w:szCs w:val="22"/>
          <w:lang w:val="sr-Latn-ME"/>
        </w:rPr>
        <w:t>ebiti samo bistar rastvor bez vidljivih čestica.</w:t>
      </w:r>
    </w:p>
    <w:p w:rsidR="00D2034A" w:rsidRPr="00F63BD6" w:rsidRDefault="00D2034A" w:rsidP="00663E76">
      <w:pPr>
        <w:jc w:val="both"/>
        <w:rPr>
          <w:rFonts w:ascii="Times New Roman" w:hAnsi="Times New Roman"/>
          <w:sz w:val="22"/>
          <w:szCs w:val="22"/>
          <w:lang w:val="sr-Latn-ME"/>
        </w:rPr>
      </w:pPr>
    </w:p>
    <w:p w:rsidR="00092F3C" w:rsidRPr="00F63BD6" w:rsidRDefault="00092F3C"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 xml:space="preserve">® </w:t>
      </w:r>
      <w:r w:rsidR="001756EC" w:rsidRPr="00F63BD6">
        <w:rPr>
          <w:rFonts w:ascii="Times New Roman" w:hAnsi="Times New Roman"/>
          <w:sz w:val="22"/>
          <w:szCs w:val="22"/>
          <w:lang w:val="sr-Latn-ME"/>
        </w:rPr>
        <w:t>1</w:t>
      </w:r>
      <w:r w:rsidR="00AD71A9" w:rsidRPr="00F63BD6">
        <w:rPr>
          <w:rFonts w:ascii="Times New Roman" w:hAnsi="Times New Roman"/>
          <w:sz w:val="22"/>
          <w:szCs w:val="22"/>
          <w:lang w:val="sr-Latn-ME"/>
        </w:rPr>
        <w:t xml:space="preserve"> </w:t>
      </w:r>
      <w:r w:rsidR="001756EC" w:rsidRPr="00F63BD6">
        <w:rPr>
          <w:rFonts w:ascii="Times New Roman" w:hAnsi="Times New Roman"/>
          <w:sz w:val="22"/>
          <w:szCs w:val="22"/>
          <w:lang w:val="sr-Latn-ME"/>
        </w:rPr>
        <w:t>mg/</w:t>
      </w:r>
      <w:r w:rsidRPr="00F63BD6">
        <w:rPr>
          <w:rFonts w:ascii="Times New Roman" w:hAnsi="Times New Roman"/>
          <w:sz w:val="22"/>
          <w:szCs w:val="22"/>
          <w:lang w:val="sr-Latn-ME"/>
        </w:rPr>
        <w:t xml:space="preserve">ml </w:t>
      </w:r>
      <w:r w:rsidR="00AD71A9" w:rsidRPr="00F63BD6">
        <w:rPr>
          <w:rFonts w:ascii="Times New Roman" w:hAnsi="Times New Roman"/>
          <w:sz w:val="22"/>
          <w:szCs w:val="22"/>
          <w:lang w:val="sr-Latn-ME"/>
        </w:rPr>
        <w:t>koncentrat za rastvor za injekciju/infuziju</w:t>
      </w:r>
      <w:r w:rsidRPr="00F63BD6">
        <w:rPr>
          <w:rFonts w:ascii="Times New Roman" w:hAnsi="Times New Roman"/>
          <w:sz w:val="22"/>
          <w:szCs w:val="22"/>
          <w:lang w:val="sr-Latn-ME"/>
        </w:rPr>
        <w:t>:</w:t>
      </w:r>
    </w:p>
    <w:p w:rsidR="00093E86" w:rsidRDefault="00093E86" w:rsidP="00663E76">
      <w:pPr>
        <w:tabs>
          <w:tab w:val="left" w:pos="6135"/>
        </w:tabs>
        <w:jc w:val="both"/>
        <w:rPr>
          <w:rFonts w:ascii="Times New Roman" w:hAnsi="Times New Roman"/>
          <w:b/>
          <w:sz w:val="22"/>
          <w:szCs w:val="22"/>
          <w:u w:val="single"/>
          <w:lang w:val="sr-Latn-ME"/>
        </w:rPr>
      </w:pPr>
    </w:p>
    <w:p w:rsidR="0070641F" w:rsidRPr="00F63BD6" w:rsidRDefault="0070641F" w:rsidP="00663E76">
      <w:pPr>
        <w:tabs>
          <w:tab w:val="left" w:pos="6135"/>
        </w:tabs>
        <w:jc w:val="both"/>
        <w:rPr>
          <w:rFonts w:ascii="Times New Roman" w:hAnsi="Times New Roman"/>
          <w:b/>
          <w:sz w:val="22"/>
          <w:szCs w:val="22"/>
          <w:u w:val="single"/>
          <w:lang w:val="sr-Latn-ME"/>
        </w:rPr>
      </w:pPr>
      <w:r w:rsidRPr="00F63BD6">
        <w:rPr>
          <w:rFonts w:ascii="Times New Roman" w:hAnsi="Times New Roman"/>
          <w:b/>
          <w:sz w:val="22"/>
          <w:szCs w:val="22"/>
          <w:u w:val="single"/>
          <w:lang w:val="sr-Latn-ME"/>
        </w:rPr>
        <w:t>Priprema rastvora za infuziju</w:t>
      </w:r>
    </w:p>
    <w:p w:rsidR="00093E86" w:rsidRDefault="00093E86" w:rsidP="00663E76">
      <w:pPr>
        <w:jc w:val="both"/>
        <w:rPr>
          <w:rFonts w:ascii="Times New Roman" w:hAnsi="Times New Roman"/>
          <w:sz w:val="22"/>
          <w:szCs w:val="22"/>
          <w:u w:val="single"/>
          <w:lang w:val="sr-Latn-ME"/>
        </w:rPr>
      </w:pPr>
    </w:p>
    <w:p w:rsidR="0070641F" w:rsidRPr="00F63BD6" w:rsidRDefault="00331AAE"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Djeca</w:t>
      </w:r>
      <w:r w:rsidR="00716F02" w:rsidRPr="00F63BD6">
        <w:rPr>
          <w:rFonts w:ascii="Times New Roman" w:hAnsi="Times New Roman"/>
          <w:sz w:val="22"/>
          <w:szCs w:val="22"/>
          <w:u w:val="single"/>
          <w:lang w:val="sr-Latn-ME"/>
        </w:rPr>
        <w:t xml:space="preserve"> </w:t>
      </w:r>
    </w:p>
    <w:p w:rsidR="005B5B75" w:rsidRPr="00F63BD6" w:rsidRDefault="008D7837" w:rsidP="00663E76">
      <w:pPr>
        <w:jc w:val="both"/>
        <w:rPr>
          <w:rFonts w:ascii="Times New Roman" w:hAnsi="Times New Roman"/>
          <w:sz w:val="22"/>
          <w:szCs w:val="22"/>
          <w:lang w:val="sr-Latn-ME"/>
        </w:rPr>
      </w:pPr>
      <w:r w:rsidRPr="00F63BD6">
        <w:rPr>
          <w:rFonts w:ascii="Times New Roman" w:hAnsi="Times New Roman"/>
          <w:sz w:val="22"/>
          <w:szCs w:val="22"/>
          <w:lang w:val="sr-Latn-ME"/>
        </w:rPr>
        <w:t>Da bi se pripremila doza od 40 mikrograma/kg, treba uzeti odgovarajuću zapreminu i razblažiti rastvorom za infuziju do</w:t>
      </w:r>
      <w:r w:rsidR="005B5B75" w:rsidRPr="00F63BD6">
        <w:rPr>
          <w:rFonts w:ascii="Times New Roman" w:hAnsi="Times New Roman"/>
          <w:sz w:val="22"/>
          <w:szCs w:val="22"/>
          <w:lang w:val="sr-Latn-ME"/>
        </w:rPr>
        <w:t xml:space="preserve"> ukupne zapremine od 10 do 30 ml</w:t>
      </w:r>
      <w:r w:rsidRPr="00F63BD6">
        <w:rPr>
          <w:rFonts w:ascii="Times New Roman" w:hAnsi="Times New Roman"/>
          <w:sz w:val="22"/>
          <w:szCs w:val="22"/>
          <w:lang w:val="sr-Latn-ME"/>
        </w:rPr>
        <w:t>. Bilo koji od sl</w:t>
      </w:r>
      <w:r w:rsidR="005B5B75" w:rsidRPr="00F63BD6">
        <w:rPr>
          <w:rFonts w:ascii="Times New Roman" w:hAnsi="Times New Roman"/>
          <w:sz w:val="22"/>
          <w:szCs w:val="22"/>
          <w:lang w:val="sr-Latn-ME"/>
        </w:rPr>
        <w:t>j</w:t>
      </w:r>
      <w:r w:rsidRPr="00F63BD6">
        <w:rPr>
          <w:rFonts w:ascii="Times New Roman" w:hAnsi="Times New Roman"/>
          <w:sz w:val="22"/>
          <w:szCs w:val="22"/>
          <w:lang w:val="sr-Latn-ME"/>
        </w:rPr>
        <w:t>ede</w:t>
      </w:r>
      <w:r w:rsidR="00093E86">
        <w:rPr>
          <w:rFonts w:ascii="Times New Roman" w:hAnsi="Times New Roman"/>
          <w:sz w:val="22"/>
          <w:szCs w:val="22"/>
          <w:lang w:val="sr-Latn-ME"/>
        </w:rPr>
        <w:t>ćih rastvora se može koristiti:</w:t>
      </w:r>
    </w:p>
    <w:p w:rsidR="005B5B75" w:rsidRPr="00F63BD6" w:rsidRDefault="008D7837"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0,9</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 m/v rastvor natrijum</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hlorida </w:t>
      </w:r>
    </w:p>
    <w:p w:rsidR="005B5B75" w:rsidRPr="00F63BD6" w:rsidRDefault="008D7837"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0,18</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 m/v rastvor natrijum</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hlorida i 4</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 m/v rastvor glukoze </w:t>
      </w:r>
    </w:p>
    <w:p w:rsidR="005B5B75" w:rsidRPr="00F63BD6" w:rsidRDefault="008D7837"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 xml:space="preserve">5 % m/v rastvor glukoze </w:t>
      </w:r>
    </w:p>
    <w:p w:rsidR="005B5B75" w:rsidRPr="00F63BD6" w:rsidRDefault="008D7837"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 xml:space="preserve">Hartmanov rastvor za injekciju </w:t>
      </w:r>
    </w:p>
    <w:p w:rsidR="005B4FB3" w:rsidRPr="00F63BD6" w:rsidRDefault="008D7837"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rastvor natrijum</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laktata ili </w:t>
      </w:r>
    </w:p>
    <w:p w:rsidR="005B5B75" w:rsidRPr="00F63BD6" w:rsidRDefault="008D7837"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 xml:space="preserve">10 % rastvor manitola. </w:t>
      </w:r>
    </w:p>
    <w:p w:rsidR="00093E86" w:rsidRDefault="00093E86" w:rsidP="00663E76">
      <w:pPr>
        <w:jc w:val="both"/>
        <w:rPr>
          <w:rFonts w:ascii="Times New Roman" w:hAnsi="Times New Roman"/>
          <w:sz w:val="22"/>
          <w:szCs w:val="22"/>
          <w:lang w:val="sr-Latn-ME"/>
        </w:rPr>
      </w:pPr>
    </w:p>
    <w:p w:rsidR="005B5B75" w:rsidRPr="00F63BD6" w:rsidRDefault="008D7837"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Ne koristiti druge rastvore za razblaživanje. </w:t>
      </w:r>
    </w:p>
    <w:p w:rsidR="00442C99" w:rsidRPr="00F63BD6" w:rsidRDefault="00442C99" w:rsidP="00663E76">
      <w:pPr>
        <w:jc w:val="both"/>
        <w:rPr>
          <w:rFonts w:ascii="Times New Roman" w:hAnsi="Times New Roman"/>
          <w:sz w:val="22"/>
          <w:szCs w:val="22"/>
          <w:lang w:val="sr-Latn-ME"/>
        </w:rPr>
      </w:pPr>
      <w:r w:rsidRPr="00F63BD6">
        <w:rPr>
          <w:rFonts w:ascii="Times New Roman" w:hAnsi="Times New Roman"/>
          <w:sz w:val="22"/>
          <w:szCs w:val="22"/>
          <w:lang w:val="sr-Latn-ME"/>
        </w:rPr>
        <w:t>Dozu treba primijeniti kao intravensku infuziju u trajanju od</w:t>
      </w:r>
      <w:r w:rsidR="000067CA" w:rsidRPr="00F63BD6">
        <w:rPr>
          <w:rFonts w:ascii="Times New Roman" w:hAnsi="Times New Roman"/>
          <w:sz w:val="22"/>
          <w:szCs w:val="22"/>
          <w:lang w:val="sr-Latn-ME"/>
        </w:rPr>
        <w:t xml:space="preserve"> najmanje</w:t>
      </w:r>
      <w:r w:rsidRPr="00F63BD6">
        <w:rPr>
          <w:rFonts w:ascii="Times New Roman" w:hAnsi="Times New Roman"/>
          <w:sz w:val="22"/>
          <w:szCs w:val="22"/>
          <w:lang w:val="sr-Latn-ME"/>
        </w:rPr>
        <w:t xml:space="preserve"> 5 minuta.</w:t>
      </w:r>
    </w:p>
    <w:p w:rsidR="005B5B75" w:rsidRDefault="005B5B75" w:rsidP="00663E76">
      <w:pPr>
        <w:jc w:val="both"/>
        <w:rPr>
          <w:rFonts w:ascii="Times New Roman" w:hAnsi="Times New Roman"/>
          <w:sz w:val="22"/>
          <w:szCs w:val="22"/>
          <w:lang w:val="sr-Latn-ME"/>
        </w:rPr>
      </w:pPr>
    </w:p>
    <w:p w:rsidR="00093E86" w:rsidRPr="00F63BD6" w:rsidRDefault="00093E86" w:rsidP="00663E76">
      <w:pPr>
        <w:jc w:val="both"/>
        <w:rPr>
          <w:rFonts w:ascii="Times New Roman" w:hAnsi="Times New Roman"/>
          <w:sz w:val="22"/>
          <w:szCs w:val="22"/>
          <w:lang w:val="sr-Latn-ME"/>
        </w:rPr>
      </w:pPr>
    </w:p>
    <w:p w:rsidR="0070641F" w:rsidRPr="00F63BD6" w:rsidRDefault="0070641F" w:rsidP="00663E76">
      <w:pPr>
        <w:jc w:val="both"/>
        <w:rPr>
          <w:rFonts w:ascii="Times New Roman" w:hAnsi="Times New Roman"/>
          <w:b/>
          <w:sz w:val="22"/>
          <w:szCs w:val="22"/>
          <w:u w:val="single"/>
          <w:lang w:val="sr-Latn-ME"/>
        </w:rPr>
      </w:pPr>
      <w:r w:rsidRPr="00F63BD6">
        <w:rPr>
          <w:rFonts w:ascii="Times New Roman" w:hAnsi="Times New Roman"/>
          <w:b/>
          <w:sz w:val="22"/>
          <w:szCs w:val="22"/>
          <w:u w:val="single"/>
          <w:lang w:val="sr-Latn-ME"/>
        </w:rPr>
        <w:lastRenderedPageBreak/>
        <w:t xml:space="preserve">Priprema spore intravenske </w:t>
      </w:r>
      <w:r w:rsidR="0028600B" w:rsidRPr="00F63BD6">
        <w:rPr>
          <w:rFonts w:ascii="Times New Roman" w:hAnsi="Times New Roman"/>
          <w:b/>
          <w:sz w:val="22"/>
          <w:szCs w:val="22"/>
          <w:u w:val="single"/>
          <w:lang w:val="sr-Latn-ME"/>
        </w:rPr>
        <w:t>injekcije</w:t>
      </w:r>
    </w:p>
    <w:p w:rsidR="00093E86" w:rsidRDefault="00093E86" w:rsidP="00663E76">
      <w:pPr>
        <w:jc w:val="both"/>
        <w:rPr>
          <w:rFonts w:ascii="Times New Roman" w:hAnsi="Times New Roman"/>
          <w:sz w:val="22"/>
          <w:szCs w:val="22"/>
          <w:u w:val="single"/>
          <w:lang w:val="sr-Latn-ME"/>
        </w:rPr>
      </w:pPr>
    </w:p>
    <w:p w:rsidR="00405257" w:rsidRPr="00F63BD6" w:rsidRDefault="00405257" w:rsidP="00663E76">
      <w:pPr>
        <w:jc w:val="both"/>
        <w:rPr>
          <w:rFonts w:ascii="Times New Roman" w:hAnsi="Times New Roman"/>
          <w:i/>
          <w:sz w:val="22"/>
          <w:szCs w:val="22"/>
          <w:lang w:val="sr-Latn-ME"/>
        </w:rPr>
      </w:pPr>
      <w:r w:rsidRPr="00F63BD6">
        <w:rPr>
          <w:rFonts w:ascii="Times New Roman" w:hAnsi="Times New Roman"/>
          <w:sz w:val="22"/>
          <w:szCs w:val="22"/>
          <w:u w:val="single"/>
          <w:lang w:val="sr-Latn-ME"/>
        </w:rPr>
        <w:t>Odrasli</w:t>
      </w:r>
      <w:r w:rsidR="00331AAE" w:rsidRPr="00F63BD6">
        <w:rPr>
          <w:rFonts w:ascii="Times New Roman" w:hAnsi="Times New Roman"/>
          <w:i/>
          <w:sz w:val="22"/>
          <w:szCs w:val="22"/>
          <w:lang w:val="sr-Latn-ME"/>
        </w:rPr>
        <w:t xml:space="preserve"> </w:t>
      </w:r>
    </w:p>
    <w:p w:rsidR="00405257" w:rsidRPr="00F63BD6" w:rsidRDefault="00CB1776" w:rsidP="00663E76">
      <w:pPr>
        <w:jc w:val="both"/>
        <w:rPr>
          <w:rFonts w:ascii="Times New Roman" w:hAnsi="Times New Roman"/>
          <w:sz w:val="22"/>
          <w:szCs w:val="22"/>
          <w:lang w:val="sr-Latn-ME"/>
        </w:rPr>
      </w:pPr>
      <w:r w:rsidRPr="00F63BD6">
        <w:rPr>
          <w:rFonts w:ascii="Times New Roman" w:hAnsi="Times New Roman"/>
          <w:sz w:val="22"/>
          <w:szCs w:val="22"/>
          <w:lang w:val="sr-Latn-ME"/>
        </w:rPr>
        <w:t>Da bi se pripremila doza od 1</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mg, iz ampule (bočice) se izvuče 1</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ml i razblaži d</w:t>
      </w:r>
      <w:r w:rsidR="005B4FB3" w:rsidRPr="00F63BD6">
        <w:rPr>
          <w:rFonts w:ascii="Times New Roman" w:hAnsi="Times New Roman"/>
          <w:sz w:val="22"/>
          <w:szCs w:val="22"/>
          <w:lang w:val="sr-Latn-ME"/>
        </w:rPr>
        <w:t>o</w:t>
      </w:r>
      <w:r w:rsidRPr="00F63BD6">
        <w:rPr>
          <w:rFonts w:ascii="Times New Roman" w:hAnsi="Times New Roman"/>
          <w:sz w:val="22"/>
          <w:szCs w:val="22"/>
          <w:lang w:val="sr-Latn-ME"/>
        </w:rPr>
        <w:t xml:space="preserve"> 5</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ml 0,9</w:t>
      </w:r>
      <w:r w:rsidR="005B4FB3"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 rastvorom natrijum hlorida. Ne koristiti druge rastvore za razblaživanje. Dozu treba primijeniti kao sporu intravensku injekciju u trajanju od </w:t>
      </w:r>
      <w:r w:rsidR="005B4FB3" w:rsidRPr="00F63BD6">
        <w:rPr>
          <w:rFonts w:ascii="Times New Roman" w:hAnsi="Times New Roman"/>
          <w:sz w:val="22"/>
          <w:szCs w:val="22"/>
          <w:lang w:val="sr-Latn-ME"/>
        </w:rPr>
        <w:t xml:space="preserve">najmanje </w:t>
      </w:r>
      <w:r w:rsidRPr="00F63BD6">
        <w:rPr>
          <w:rFonts w:ascii="Times New Roman" w:hAnsi="Times New Roman"/>
          <w:sz w:val="22"/>
          <w:szCs w:val="22"/>
          <w:lang w:val="sr-Latn-ME"/>
        </w:rPr>
        <w:t>30 sekundi.</w:t>
      </w:r>
    </w:p>
    <w:p w:rsidR="0070641F" w:rsidRPr="00093E86" w:rsidRDefault="0070641F" w:rsidP="00663E76">
      <w:pPr>
        <w:jc w:val="both"/>
        <w:rPr>
          <w:rFonts w:ascii="Times New Roman" w:hAnsi="Times New Roman"/>
          <w:sz w:val="22"/>
          <w:szCs w:val="22"/>
          <w:lang w:val="sr-Latn-ME"/>
        </w:rPr>
      </w:pPr>
    </w:p>
    <w:p w:rsidR="00092F3C" w:rsidRPr="00F63BD6" w:rsidRDefault="00092F3C" w:rsidP="00663E76">
      <w:pPr>
        <w:pStyle w:val="SmPCheading"/>
        <w:spacing w:before="0" w:after="0" w:line="240" w:lineRule="auto"/>
        <w:jc w:val="both"/>
        <w:rPr>
          <w:rFonts w:ascii="Times New Roman" w:hAnsi="Times New Roman"/>
          <w:sz w:val="22"/>
          <w:szCs w:val="22"/>
          <w:lang w:val="sr-Latn-ME"/>
        </w:rPr>
      </w:pPr>
      <w:r w:rsidRPr="00F63BD6">
        <w:rPr>
          <w:rFonts w:ascii="Times New Roman" w:hAnsi="Times New Roman"/>
          <w:sz w:val="22"/>
          <w:szCs w:val="22"/>
          <w:lang w:val="sr-Latn-ME"/>
        </w:rPr>
        <w:t>Graftor</w:t>
      </w:r>
      <w:r w:rsidRPr="00F63BD6">
        <w:rPr>
          <w:rFonts w:ascii="Times New Roman" w:hAnsi="Times New Roman"/>
          <w:sz w:val="22"/>
          <w:szCs w:val="22"/>
          <w:vertAlign w:val="superscript"/>
          <w:lang w:val="sr-Latn-ME"/>
        </w:rPr>
        <w:t xml:space="preserve">® </w:t>
      </w:r>
      <w:r w:rsidRPr="00F63BD6">
        <w:rPr>
          <w:rFonts w:ascii="Times New Roman" w:hAnsi="Times New Roman"/>
          <w:sz w:val="22"/>
          <w:szCs w:val="22"/>
          <w:lang w:val="sr-Latn-ME"/>
        </w:rPr>
        <w:t>3</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mg/3</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ml </w:t>
      </w:r>
      <w:r w:rsidR="00AD71A9" w:rsidRPr="00F63BD6">
        <w:rPr>
          <w:rFonts w:ascii="Times New Roman" w:hAnsi="Times New Roman"/>
          <w:sz w:val="22"/>
          <w:szCs w:val="22"/>
          <w:lang w:val="sr-Latn-ME"/>
        </w:rPr>
        <w:t>koncentrat za rastvor za injekciju/infuziju</w:t>
      </w:r>
      <w:r w:rsidRPr="00F63BD6">
        <w:rPr>
          <w:rFonts w:ascii="Times New Roman" w:hAnsi="Times New Roman"/>
          <w:sz w:val="22"/>
          <w:szCs w:val="22"/>
          <w:lang w:val="sr-Latn-ME"/>
        </w:rPr>
        <w:t>:</w:t>
      </w:r>
    </w:p>
    <w:p w:rsidR="00962A9A" w:rsidRDefault="00962A9A" w:rsidP="00663E76">
      <w:pPr>
        <w:jc w:val="both"/>
        <w:rPr>
          <w:rFonts w:ascii="Times New Roman" w:hAnsi="Times New Roman"/>
          <w:sz w:val="22"/>
          <w:szCs w:val="22"/>
          <w:u w:val="single"/>
          <w:lang w:val="sr-Latn-ME"/>
        </w:rPr>
      </w:pPr>
    </w:p>
    <w:p w:rsidR="00092F3C" w:rsidRPr="00F63BD6" w:rsidRDefault="0070641F"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Odrasli</w:t>
      </w:r>
    </w:p>
    <w:p w:rsidR="002B2FE5" w:rsidRPr="00F63BD6" w:rsidRDefault="002B2FE5" w:rsidP="00663E76">
      <w:pPr>
        <w:jc w:val="both"/>
        <w:rPr>
          <w:rFonts w:ascii="Times New Roman" w:hAnsi="Times New Roman"/>
          <w:sz w:val="22"/>
          <w:szCs w:val="22"/>
          <w:lang w:val="sr-Latn-ME"/>
        </w:rPr>
      </w:pPr>
      <w:r w:rsidRPr="00F63BD6">
        <w:rPr>
          <w:rFonts w:ascii="Times New Roman" w:hAnsi="Times New Roman"/>
          <w:sz w:val="22"/>
          <w:szCs w:val="22"/>
          <w:lang w:val="sr-Latn-ME"/>
        </w:rPr>
        <w:t>Za pripremanje doze od 3 mg, izvući 3 m</w:t>
      </w:r>
      <w:r w:rsidR="00AD71A9" w:rsidRPr="00F63BD6">
        <w:rPr>
          <w:rFonts w:ascii="Times New Roman" w:hAnsi="Times New Roman"/>
          <w:sz w:val="22"/>
          <w:szCs w:val="22"/>
          <w:lang w:val="sr-Latn-ME"/>
        </w:rPr>
        <w:t>l</w:t>
      </w:r>
      <w:r w:rsidRPr="00F63BD6">
        <w:rPr>
          <w:rFonts w:ascii="Times New Roman" w:hAnsi="Times New Roman"/>
          <w:sz w:val="22"/>
          <w:szCs w:val="22"/>
          <w:lang w:val="sr-Latn-ME"/>
        </w:rPr>
        <w:t xml:space="preserve"> iz ampule (bočice) i razblažiti do 15 m</w:t>
      </w:r>
      <w:r w:rsidR="00AD71A9" w:rsidRPr="00F63BD6">
        <w:rPr>
          <w:rFonts w:ascii="Times New Roman" w:hAnsi="Times New Roman"/>
          <w:sz w:val="22"/>
          <w:szCs w:val="22"/>
          <w:lang w:val="sr-Latn-ME"/>
        </w:rPr>
        <w:t>l</w:t>
      </w:r>
      <w:r w:rsidRPr="00F63BD6">
        <w:rPr>
          <w:rFonts w:ascii="Times New Roman" w:hAnsi="Times New Roman"/>
          <w:sz w:val="22"/>
          <w:szCs w:val="22"/>
          <w:lang w:val="sr-Latn-ME"/>
        </w:rPr>
        <w:t xml:space="preserve"> 0,9</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 rastvorom natrijum</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hlorida (bolus injekcija) ili razblažiti rastvorom za infuziju do ukupne zapremine od 20</w:t>
      </w:r>
      <w:r w:rsidR="00AD71A9" w:rsidRPr="00F63BD6">
        <w:rPr>
          <w:rFonts w:ascii="Times New Roman" w:hAnsi="Times New Roman"/>
          <w:sz w:val="22"/>
          <w:szCs w:val="22"/>
          <w:lang w:val="sr-Latn-ME"/>
        </w:rPr>
        <w:t xml:space="preserve"> ml</w:t>
      </w:r>
      <w:r w:rsidRPr="00F63BD6">
        <w:rPr>
          <w:rFonts w:ascii="Times New Roman" w:hAnsi="Times New Roman"/>
          <w:sz w:val="22"/>
          <w:szCs w:val="22"/>
          <w:lang w:val="sr-Latn-ME"/>
        </w:rPr>
        <w:t xml:space="preserve"> do 50</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m</w:t>
      </w:r>
      <w:r w:rsidR="00AD71A9" w:rsidRPr="00F63BD6">
        <w:rPr>
          <w:rFonts w:ascii="Times New Roman" w:hAnsi="Times New Roman"/>
          <w:sz w:val="22"/>
          <w:szCs w:val="22"/>
          <w:lang w:val="sr-Latn-ME"/>
        </w:rPr>
        <w:t>l</w:t>
      </w:r>
      <w:r w:rsidRPr="00F63BD6">
        <w:rPr>
          <w:rFonts w:ascii="Times New Roman" w:hAnsi="Times New Roman"/>
          <w:sz w:val="22"/>
          <w:szCs w:val="22"/>
          <w:lang w:val="sr-Latn-ME"/>
        </w:rPr>
        <w:t xml:space="preserve"> koriste</w:t>
      </w:r>
      <w:r w:rsidR="00962A9A">
        <w:rPr>
          <w:rFonts w:ascii="Times New Roman" w:hAnsi="Times New Roman"/>
          <w:sz w:val="22"/>
          <w:szCs w:val="22"/>
          <w:lang w:val="sr-Latn-ME"/>
        </w:rPr>
        <w:t>ći jedan od sljedećih rastvora:</w:t>
      </w:r>
    </w:p>
    <w:p w:rsidR="002B2FE5" w:rsidRPr="00F63BD6" w:rsidRDefault="002B2FE5"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0,9</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 m/v rastvor natrijum</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hlorida </w:t>
      </w:r>
    </w:p>
    <w:p w:rsidR="002B2FE5" w:rsidRPr="00F63BD6" w:rsidRDefault="002B2FE5"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0,18</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 m/v rastvor natrijum</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hlorida i 4</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 m/v rastvor glukoze </w:t>
      </w:r>
    </w:p>
    <w:p w:rsidR="002B2FE5" w:rsidRPr="00F63BD6" w:rsidRDefault="002B2FE5"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 xml:space="preserve">5 % m/v rastvor glukoze </w:t>
      </w:r>
    </w:p>
    <w:p w:rsidR="002B2FE5" w:rsidRPr="00F63BD6" w:rsidRDefault="002B2FE5"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 xml:space="preserve">Hartmanov rastvor za injekciju </w:t>
      </w:r>
    </w:p>
    <w:p w:rsidR="00AD71A9" w:rsidRPr="00F63BD6" w:rsidRDefault="002B2FE5" w:rsidP="00663E76">
      <w:pPr>
        <w:pStyle w:val="ListParagraph"/>
        <w:numPr>
          <w:ilvl w:val="0"/>
          <w:numId w:val="24"/>
        </w:numPr>
        <w:jc w:val="both"/>
        <w:rPr>
          <w:rFonts w:ascii="Times New Roman" w:hAnsi="Times New Roman"/>
          <w:sz w:val="22"/>
          <w:szCs w:val="22"/>
          <w:lang w:val="sr-Latn-ME"/>
        </w:rPr>
      </w:pPr>
      <w:r w:rsidRPr="00F63BD6">
        <w:rPr>
          <w:rFonts w:ascii="Times New Roman" w:hAnsi="Times New Roman"/>
          <w:sz w:val="22"/>
          <w:szCs w:val="22"/>
          <w:lang w:val="sr-Latn-ME"/>
        </w:rPr>
        <w:t>rastvor natrijum</w:t>
      </w:r>
      <w:r w:rsidR="00AD71A9"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laktata ili </w:t>
      </w:r>
    </w:p>
    <w:p w:rsidR="002B2FE5" w:rsidRPr="00F63BD6" w:rsidRDefault="002B2FE5" w:rsidP="00663E76">
      <w:pPr>
        <w:pStyle w:val="ListParagraph"/>
        <w:numPr>
          <w:ilvl w:val="0"/>
          <w:numId w:val="25"/>
        </w:numPr>
        <w:jc w:val="both"/>
        <w:rPr>
          <w:rFonts w:ascii="Times New Roman" w:hAnsi="Times New Roman"/>
          <w:sz w:val="22"/>
          <w:szCs w:val="22"/>
          <w:lang w:val="sr-Latn-ME"/>
        </w:rPr>
      </w:pPr>
      <w:r w:rsidRPr="00F63BD6">
        <w:rPr>
          <w:rFonts w:ascii="Times New Roman" w:hAnsi="Times New Roman"/>
          <w:sz w:val="22"/>
          <w:szCs w:val="22"/>
          <w:lang w:val="sr-Latn-ME"/>
        </w:rPr>
        <w:t xml:space="preserve">10 % rastvor manitola </w:t>
      </w:r>
    </w:p>
    <w:p w:rsidR="00962A9A" w:rsidRDefault="00962A9A" w:rsidP="00663E76">
      <w:pPr>
        <w:jc w:val="both"/>
        <w:rPr>
          <w:rFonts w:ascii="Times New Roman" w:hAnsi="Times New Roman"/>
          <w:sz w:val="22"/>
          <w:szCs w:val="22"/>
          <w:lang w:val="sr-Latn-ME"/>
        </w:rPr>
      </w:pPr>
    </w:p>
    <w:p w:rsidR="002B2FE5" w:rsidRPr="00F63BD6" w:rsidRDefault="002B2FE5"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Ne koristiti druge rastvore za razblaživanje. </w:t>
      </w:r>
    </w:p>
    <w:p w:rsidR="00092F3C" w:rsidRPr="00F63BD6" w:rsidRDefault="002B2FE5" w:rsidP="00663E76">
      <w:pPr>
        <w:jc w:val="both"/>
        <w:rPr>
          <w:rFonts w:ascii="Times New Roman" w:hAnsi="Times New Roman"/>
          <w:sz w:val="22"/>
          <w:szCs w:val="22"/>
          <w:lang w:val="sr-Latn-ME"/>
        </w:rPr>
      </w:pPr>
      <w:r w:rsidRPr="00F63BD6">
        <w:rPr>
          <w:rFonts w:ascii="Times New Roman" w:hAnsi="Times New Roman"/>
          <w:sz w:val="22"/>
          <w:szCs w:val="22"/>
          <w:lang w:val="sr-Latn-ME"/>
        </w:rPr>
        <w:t>Intravensku infuziju granisetrona pripremiti neposredno prije prim</w:t>
      </w:r>
      <w:r w:rsidR="009355DE" w:rsidRPr="00F63BD6">
        <w:rPr>
          <w:rFonts w:ascii="Times New Roman" w:hAnsi="Times New Roman"/>
          <w:sz w:val="22"/>
          <w:szCs w:val="22"/>
          <w:lang w:val="sr-Latn-ME"/>
        </w:rPr>
        <w:t>j</w:t>
      </w:r>
      <w:r w:rsidRPr="00F63BD6">
        <w:rPr>
          <w:rFonts w:ascii="Times New Roman" w:hAnsi="Times New Roman"/>
          <w:sz w:val="22"/>
          <w:szCs w:val="22"/>
          <w:lang w:val="sr-Latn-ME"/>
        </w:rPr>
        <w:t>ene (vidjeti odjeljak 6.3)</w:t>
      </w:r>
      <w:r w:rsidR="009355DE" w:rsidRPr="00F63BD6">
        <w:rPr>
          <w:rFonts w:ascii="Times New Roman" w:hAnsi="Times New Roman"/>
          <w:sz w:val="22"/>
          <w:szCs w:val="22"/>
          <w:lang w:val="sr-Latn-ME"/>
        </w:rPr>
        <w:t>.</w:t>
      </w:r>
      <w:r w:rsidRPr="00F63BD6">
        <w:rPr>
          <w:rFonts w:ascii="Times New Roman" w:hAnsi="Times New Roman"/>
          <w:sz w:val="22"/>
          <w:szCs w:val="22"/>
          <w:lang w:val="sr-Latn-ME"/>
        </w:rPr>
        <w:t xml:space="preserve"> </w:t>
      </w:r>
    </w:p>
    <w:p w:rsidR="00E00E13" w:rsidRPr="00F63BD6" w:rsidRDefault="002B2FE5" w:rsidP="00663E76">
      <w:pPr>
        <w:jc w:val="both"/>
        <w:rPr>
          <w:rFonts w:ascii="Times New Roman" w:hAnsi="Times New Roman"/>
          <w:sz w:val="22"/>
          <w:szCs w:val="22"/>
          <w:lang w:val="sr-Latn-ME"/>
        </w:rPr>
      </w:pPr>
      <w:r w:rsidRPr="00F63BD6">
        <w:rPr>
          <w:rFonts w:ascii="Times New Roman" w:hAnsi="Times New Roman"/>
          <w:sz w:val="22"/>
          <w:szCs w:val="22"/>
          <w:lang w:val="sr-Latn-ME"/>
        </w:rPr>
        <w:t>Dozu treba primijeniti kao sporu intravensku injekciju (15</w:t>
      </w:r>
      <w:r w:rsidR="00113E91" w:rsidRPr="00F63BD6">
        <w:rPr>
          <w:rFonts w:ascii="Times New Roman" w:hAnsi="Times New Roman"/>
          <w:sz w:val="22"/>
          <w:szCs w:val="22"/>
          <w:lang w:val="sr-Latn-ME"/>
        </w:rPr>
        <w:t xml:space="preserve"> </w:t>
      </w:r>
      <w:r w:rsidRPr="00F63BD6">
        <w:rPr>
          <w:rFonts w:ascii="Times New Roman" w:hAnsi="Times New Roman"/>
          <w:sz w:val="22"/>
          <w:szCs w:val="22"/>
          <w:lang w:val="sr-Latn-ME"/>
        </w:rPr>
        <w:t>ml u trajanju od najmanje 30 sekundi) ili kao intravensku infuziju (20</w:t>
      </w:r>
      <w:r w:rsidR="00113E91" w:rsidRPr="00F63BD6">
        <w:rPr>
          <w:rFonts w:ascii="Times New Roman" w:hAnsi="Times New Roman"/>
          <w:sz w:val="22"/>
          <w:szCs w:val="22"/>
          <w:lang w:val="sr-Latn-ME"/>
        </w:rPr>
        <w:t xml:space="preserve"> ml</w:t>
      </w:r>
      <w:r w:rsidRPr="00F63BD6">
        <w:rPr>
          <w:rFonts w:ascii="Times New Roman" w:hAnsi="Times New Roman"/>
          <w:sz w:val="22"/>
          <w:szCs w:val="22"/>
          <w:lang w:val="sr-Latn-ME"/>
        </w:rPr>
        <w:t xml:space="preserve"> do 50</w:t>
      </w:r>
      <w:r w:rsidR="00113E91" w:rsidRPr="00F63BD6">
        <w:rPr>
          <w:rFonts w:ascii="Times New Roman" w:hAnsi="Times New Roman"/>
          <w:sz w:val="22"/>
          <w:szCs w:val="22"/>
          <w:lang w:val="sr-Latn-ME"/>
        </w:rPr>
        <w:t xml:space="preserve"> </w:t>
      </w:r>
      <w:r w:rsidRPr="00F63BD6">
        <w:rPr>
          <w:rFonts w:ascii="Times New Roman" w:hAnsi="Times New Roman"/>
          <w:sz w:val="22"/>
          <w:szCs w:val="22"/>
          <w:lang w:val="sr-Latn-ME"/>
        </w:rPr>
        <w:t>ml u trajanju od najmanje 5 minuta).</w:t>
      </w:r>
    </w:p>
    <w:p w:rsidR="000067CA" w:rsidRPr="00F63BD6" w:rsidRDefault="000067CA" w:rsidP="00663E76">
      <w:pPr>
        <w:jc w:val="both"/>
        <w:rPr>
          <w:rFonts w:ascii="Times New Roman" w:hAnsi="Times New Roman"/>
          <w:sz w:val="22"/>
          <w:szCs w:val="22"/>
          <w:u w:val="single"/>
          <w:lang w:val="sr-Latn-ME"/>
        </w:rPr>
      </w:pPr>
    </w:p>
    <w:p w:rsidR="00C754C6" w:rsidRPr="00F63BD6" w:rsidRDefault="00A502FE" w:rsidP="00663E76">
      <w:pPr>
        <w:jc w:val="both"/>
        <w:rPr>
          <w:rFonts w:ascii="Times New Roman" w:hAnsi="Times New Roman"/>
          <w:sz w:val="22"/>
          <w:szCs w:val="22"/>
          <w:u w:val="single"/>
          <w:lang w:val="sr-Latn-ME"/>
        </w:rPr>
      </w:pPr>
      <w:r w:rsidRPr="00F63BD6">
        <w:rPr>
          <w:rFonts w:ascii="Times New Roman" w:hAnsi="Times New Roman"/>
          <w:sz w:val="22"/>
          <w:szCs w:val="22"/>
          <w:u w:val="single"/>
          <w:lang w:val="sr-Latn-ME"/>
        </w:rPr>
        <w:t>Adolescenti</w:t>
      </w:r>
      <w:r w:rsidR="000D7DBC" w:rsidRPr="00F63BD6">
        <w:rPr>
          <w:rFonts w:ascii="Times New Roman" w:hAnsi="Times New Roman"/>
          <w:sz w:val="22"/>
          <w:szCs w:val="22"/>
          <w:u w:val="single"/>
          <w:lang w:val="sr-Latn-ME"/>
        </w:rPr>
        <w:t xml:space="preserve"> tjelesne težine veće od 50 kg</w:t>
      </w:r>
    </w:p>
    <w:p w:rsidR="00C754C6" w:rsidRPr="00F63BD6" w:rsidRDefault="00C754C6" w:rsidP="00663E76">
      <w:pPr>
        <w:jc w:val="both"/>
        <w:rPr>
          <w:rFonts w:ascii="Times New Roman" w:hAnsi="Times New Roman"/>
          <w:sz w:val="22"/>
          <w:szCs w:val="22"/>
          <w:lang w:val="sr-Latn-ME"/>
        </w:rPr>
      </w:pPr>
      <w:r w:rsidRPr="00F63BD6">
        <w:rPr>
          <w:rFonts w:ascii="Times New Roman" w:hAnsi="Times New Roman"/>
          <w:sz w:val="22"/>
          <w:szCs w:val="22"/>
          <w:lang w:val="sr-Latn-ME"/>
        </w:rPr>
        <w:t>Za pripremu doze od 40 μg/kg uzima se odgovarajuć</w:t>
      </w:r>
      <w:r w:rsidR="000067CA" w:rsidRPr="00F63BD6">
        <w:rPr>
          <w:rFonts w:ascii="Times New Roman" w:hAnsi="Times New Roman"/>
          <w:sz w:val="22"/>
          <w:szCs w:val="22"/>
          <w:lang w:val="sr-Latn-ME"/>
        </w:rPr>
        <w:t>a</w:t>
      </w:r>
      <w:r w:rsidRPr="00F63BD6">
        <w:rPr>
          <w:rFonts w:ascii="Times New Roman" w:hAnsi="Times New Roman"/>
          <w:sz w:val="22"/>
          <w:szCs w:val="22"/>
          <w:lang w:val="sr-Latn-ME"/>
        </w:rPr>
        <w:t xml:space="preserve"> </w:t>
      </w:r>
      <w:r w:rsidR="000067CA" w:rsidRPr="00F63BD6">
        <w:rPr>
          <w:rFonts w:ascii="Times New Roman" w:hAnsi="Times New Roman"/>
          <w:sz w:val="22"/>
          <w:szCs w:val="22"/>
          <w:lang w:val="sr-Latn-ME"/>
        </w:rPr>
        <w:t>zapremina</w:t>
      </w:r>
      <w:r w:rsidRPr="00F63BD6">
        <w:rPr>
          <w:rFonts w:ascii="Times New Roman" w:hAnsi="Times New Roman"/>
          <w:sz w:val="22"/>
          <w:szCs w:val="22"/>
          <w:lang w:val="sr-Latn-ME"/>
        </w:rPr>
        <w:t xml:space="preserve"> i </w:t>
      </w:r>
      <w:r w:rsidR="000067CA" w:rsidRPr="00F63BD6">
        <w:rPr>
          <w:rFonts w:ascii="Times New Roman" w:hAnsi="Times New Roman"/>
          <w:sz w:val="22"/>
          <w:szCs w:val="22"/>
          <w:lang w:val="sr-Latn-ME"/>
        </w:rPr>
        <w:t>razblaži rastvorom za infuziju</w:t>
      </w:r>
      <w:r w:rsidRPr="00F63BD6">
        <w:rPr>
          <w:rFonts w:ascii="Times New Roman" w:hAnsi="Times New Roman"/>
          <w:sz w:val="22"/>
          <w:szCs w:val="22"/>
          <w:lang w:val="sr-Latn-ME"/>
        </w:rPr>
        <w:t xml:space="preserve"> </w:t>
      </w:r>
      <w:r w:rsidR="000067CA" w:rsidRPr="00F63BD6">
        <w:rPr>
          <w:rFonts w:ascii="Times New Roman" w:hAnsi="Times New Roman"/>
          <w:sz w:val="22"/>
          <w:szCs w:val="22"/>
          <w:lang w:val="sr-Latn-ME"/>
        </w:rPr>
        <w:t xml:space="preserve">do </w:t>
      </w:r>
      <w:r w:rsidRPr="00F63BD6">
        <w:rPr>
          <w:rFonts w:ascii="Times New Roman" w:hAnsi="Times New Roman"/>
          <w:sz w:val="22"/>
          <w:szCs w:val="22"/>
          <w:lang w:val="sr-Latn-ME"/>
        </w:rPr>
        <w:t>ukupn</w:t>
      </w:r>
      <w:r w:rsidR="000067CA" w:rsidRPr="00F63BD6">
        <w:rPr>
          <w:rFonts w:ascii="Times New Roman" w:hAnsi="Times New Roman"/>
          <w:sz w:val="22"/>
          <w:szCs w:val="22"/>
          <w:lang w:val="sr-Latn-ME"/>
        </w:rPr>
        <w:t>e</w:t>
      </w:r>
      <w:r w:rsidRPr="00F63BD6">
        <w:rPr>
          <w:rFonts w:ascii="Times New Roman" w:hAnsi="Times New Roman"/>
          <w:sz w:val="22"/>
          <w:szCs w:val="22"/>
          <w:lang w:val="sr-Latn-ME"/>
        </w:rPr>
        <w:t xml:space="preserve"> </w:t>
      </w:r>
      <w:r w:rsidR="000067CA" w:rsidRPr="00F63BD6">
        <w:rPr>
          <w:rFonts w:ascii="Times New Roman" w:hAnsi="Times New Roman"/>
          <w:sz w:val="22"/>
          <w:szCs w:val="22"/>
          <w:lang w:val="sr-Latn-ME"/>
        </w:rPr>
        <w:t>zapremine</w:t>
      </w:r>
      <w:r w:rsidRPr="00F63BD6">
        <w:rPr>
          <w:rFonts w:ascii="Times New Roman" w:hAnsi="Times New Roman"/>
          <w:sz w:val="22"/>
          <w:szCs w:val="22"/>
          <w:lang w:val="sr-Latn-ME"/>
        </w:rPr>
        <w:t xml:space="preserve"> od 10</w:t>
      </w:r>
      <w:r w:rsidR="00113E91" w:rsidRPr="00F63BD6">
        <w:rPr>
          <w:rFonts w:ascii="Times New Roman" w:hAnsi="Times New Roman"/>
          <w:sz w:val="22"/>
          <w:szCs w:val="22"/>
          <w:lang w:val="sr-Latn-ME"/>
        </w:rPr>
        <w:t xml:space="preserve"> ml</w:t>
      </w:r>
      <w:r w:rsidRPr="00F63BD6">
        <w:rPr>
          <w:rFonts w:ascii="Times New Roman" w:hAnsi="Times New Roman"/>
          <w:sz w:val="22"/>
          <w:szCs w:val="22"/>
          <w:lang w:val="sr-Latn-ME"/>
        </w:rPr>
        <w:t xml:space="preserve"> do 30 ml. </w:t>
      </w:r>
    </w:p>
    <w:p w:rsidR="00962A9A" w:rsidRDefault="00962A9A" w:rsidP="00663E76">
      <w:pPr>
        <w:jc w:val="both"/>
        <w:rPr>
          <w:rFonts w:ascii="Times New Roman" w:hAnsi="Times New Roman"/>
          <w:sz w:val="22"/>
          <w:szCs w:val="22"/>
          <w:lang w:val="sr-Latn-ME"/>
        </w:rPr>
      </w:pPr>
    </w:p>
    <w:p w:rsidR="000067CA" w:rsidRPr="00F63BD6" w:rsidRDefault="000067CA" w:rsidP="00663E76">
      <w:pPr>
        <w:jc w:val="both"/>
        <w:rPr>
          <w:rFonts w:ascii="Times New Roman" w:hAnsi="Times New Roman"/>
          <w:sz w:val="22"/>
          <w:szCs w:val="22"/>
          <w:lang w:val="sr-Latn-ME"/>
        </w:rPr>
      </w:pPr>
      <w:r w:rsidRPr="00F63BD6">
        <w:rPr>
          <w:rFonts w:ascii="Times New Roman" w:hAnsi="Times New Roman"/>
          <w:sz w:val="22"/>
          <w:szCs w:val="22"/>
          <w:lang w:val="sr-Latn-ME"/>
        </w:rPr>
        <w:t>Bilo koji od sljed</w:t>
      </w:r>
      <w:r w:rsidR="00962A9A">
        <w:rPr>
          <w:rFonts w:ascii="Times New Roman" w:hAnsi="Times New Roman"/>
          <w:sz w:val="22"/>
          <w:szCs w:val="22"/>
          <w:lang w:val="sr-Latn-ME"/>
        </w:rPr>
        <w:t>ećih rastora se može koristiti:</w:t>
      </w:r>
    </w:p>
    <w:p w:rsidR="000067CA" w:rsidRPr="00F63BD6" w:rsidRDefault="000067CA" w:rsidP="00663E76">
      <w:pPr>
        <w:pStyle w:val="ListParagraph"/>
        <w:numPr>
          <w:ilvl w:val="0"/>
          <w:numId w:val="25"/>
        </w:numPr>
        <w:jc w:val="both"/>
        <w:rPr>
          <w:rFonts w:ascii="Times New Roman" w:hAnsi="Times New Roman"/>
          <w:sz w:val="22"/>
          <w:szCs w:val="22"/>
          <w:lang w:val="sr-Latn-ME"/>
        </w:rPr>
      </w:pPr>
      <w:r w:rsidRPr="00F63BD6">
        <w:rPr>
          <w:rFonts w:ascii="Times New Roman" w:hAnsi="Times New Roman"/>
          <w:sz w:val="22"/>
          <w:szCs w:val="22"/>
          <w:lang w:val="sr-Latn-ME"/>
        </w:rPr>
        <w:t>0,9</w:t>
      </w:r>
      <w:r w:rsidR="00113E91" w:rsidRPr="00F63BD6">
        <w:rPr>
          <w:rFonts w:ascii="Times New Roman" w:hAnsi="Times New Roman"/>
          <w:sz w:val="22"/>
          <w:szCs w:val="22"/>
          <w:lang w:val="sr-Latn-ME"/>
        </w:rPr>
        <w:t xml:space="preserve"> </w:t>
      </w:r>
      <w:r w:rsidRPr="00F63BD6">
        <w:rPr>
          <w:rFonts w:ascii="Times New Roman" w:hAnsi="Times New Roman"/>
          <w:sz w:val="22"/>
          <w:szCs w:val="22"/>
          <w:lang w:val="sr-Latn-ME"/>
        </w:rPr>
        <w:t>% m/v rastvor natrijum</w:t>
      </w:r>
      <w:r w:rsidR="00113E91"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hlorida </w:t>
      </w:r>
    </w:p>
    <w:p w:rsidR="000067CA" w:rsidRPr="00F63BD6" w:rsidRDefault="000067CA" w:rsidP="00663E76">
      <w:pPr>
        <w:pStyle w:val="ListParagraph"/>
        <w:numPr>
          <w:ilvl w:val="0"/>
          <w:numId w:val="25"/>
        </w:numPr>
        <w:jc w:val="both"/>
        <w:rPr>
          <w:rFonts w:ascii="Times New Roman" w:hAnsi="Times New Roman"/>
          <w:sz w:val="22"/>
          <w:szCs w:val="22"/>
          <w:lang w:val="sr-Latn-ME"/>
        </w:rPr>
      </w:pPr>
      <w:r w:rsidRPr="00F63BD6">
        <w:rPr>
          <w:rFonts w:ascii="Times New Roman" w:hAnsi="Times New Roman"/>
          <w:sz w:val="22"/>
          <w:szCs w:val="22"/>
          <w:lang w:val="sr-Latn-ME"/>
        </w:rPr>
        <w:t>0,18</w:t>
      </w:r>
      <w:r w:rsidR="00113E91" w:rsidRPr="00F63BD6">
        <w:rPr>
          <w:rFonts w:ascii="Times New Roman" w:hAnsi="Times New Roman"/>
          <w:sz w:val="22"/>
          <w:szCs w:val="22"/>
          <w:lang w:val="sr-Latn-ME"/>
        </w:rPr>
        <w:t xml:space="preserve"> </w:t>
      </w:r>
      <w:r w:rsidRPr="00F63BD6">
        <w:rPr>
          <w:rFonts w:ascii="Times New Roman" w:hAnsi="Times New Roman"/>
          <w:sz w:val="22"/>
          <w:szCs w:val="22"/>
          <w:lang w:val="sr-Latn-ME"/>
        </w:rPr>
        <w:t>%</w:t>
      </w:r>
      <w:r w:rsidR="00113E91"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 m/v rastvor natrijum</w:t>
      </w:r>
      <w:r w:rsidR="00113E91" w:rsidRPr="00F63BD6">
        <w:rPr>
          <w:rFonts w:ascii="Times New Roman" w:hAnsi="Times New Roman"/>
          <w:sz w:val="22"/>
          <w:szCs w:val="22"/>
          <w:lang w:val="sr-Latn-ME"/>
        </w:rPr>
        <w:t xml:space="preserve"> </w:t>
      </w:r>
      <w:r w:rsidRPr="00F63BD6">
        <w:rPr>
          <w:rFonts w:ascii="Times New Roman" w:hAnsi="Times New Roman"/>
          <w:sz w:val="22"/>
          <w:szCs w:val="22"/>
          <w:lang w:val="sr-Latn-ME"/>
        </w:rPr>
        <w:t xml:space="preserve">hlorida i 4% m/v rastvor glukoze </w:t>
      </w:r>
    </w:p>
    <w:p w:rsidR="000067CA" w:rsidRPr="00F63BD6" w:rsidRDefault="000067CA" w:rsidP="00663E76">
      <w:pPr>
        <w:pStyle w:val="ListParagraph"/>
        <w:numPr>
          <w:ilvl w:val="0"/>
          <w:numId w:val="25"/>
        </w:numPr>
        <w:jc w:val="both"/>
        <w:rPr>
          <w:rFonts w:ascii="Times New Roman" w:hAnsi="Times New Roman"/>
          <w:sz w:val="22"/>
          <w:szCs w:val="22"/>
          <w:lang w:val="sr-Latn-ME"/>
        </w:rPr>
      </w:pPr>
      <w:r w:rsidRPr="00F63BD6">
        <w:rPr>
          <w:rFonts w:ascii="Times New Roman" w:hAnsi="Times New Roman"/>
          <w:sz w:val="22"/>
          <w:szCs w:val="22"/>
          <w:lang w:val="sr-Latn-ME"/>
        </w:rPr>
        <w:t xml:space="preserve">5 % m/v rastvor glukoze </w:t>
      </w:r>
    </w:p>
    <w:p w:rsidR="000067CA" w:rsidRPr="00F63BD6" w:rsidRDefault="000067CA" w:rsidP="00663E76">
      <w:pPr>
        <w:pStyle w:val="ListParagraph"/>
        <w:numPr>
          <w:ilvl w:val="0"/>
          <w:numId w:val="25"/>
        </w:numPr>
        <w:jc w:val="both"/>
        <w:rPr>
          <w:rFonts w:ascii="Times New Roman" w:hAnsi="Times New Roman"/>
          <w:sz w:val="22"/>
          <w:szCs w:val="22"/>
          <w:lang w:val="sr-Latn-ME"/>
        </w:rPr>
      </w:pPr>
      <w:r w:rsidRPr="00F63BD6">
        <w:rPr>
          <w:rFonts w:ascii="Times New Roman" w:hAnsi="Times New Roman"/>
          <w:sz w:val="22"/>
          <w:szCs w:val="22"/>
          <w:lang w:val="sr-Latn-ME"/>
        </w:rPr>
        <w:t xml:space="preserve">Hartmanov rastvor za injekciju </w:t>
      </w:r>
    </w:p>
    <w:p w:rsidR="00113E91" w:rsidRPr="00F63BD6" w:rsidRDefault="000067CA" w:rsidP="00663E76">
      <w:pPr>
        <w:pStyle w:val="ListParagraph"/>
        <w:numPr>
          <w:ilvl w:val="0"/>
          <w:numId w:val="25"/>
        </w:numPr>
        <w:jc w:val="both"/>
        <w:rPr>
          <w:rFonts w:ascii="Times New Roman" w:hAnsi="Times New Roman"/>
          <w:sz w:val="22"/>
          <w:szCs w:val="22"/>
          <w:lang w:val="sr-Latn-ME"/>
        </w:rPr>
      </w:pPr>
      <w:r w:rsidRPr="00F63BD6">
        <w:rPr>
          <w:rFonts w:ascii="Times New Roman" w:hAnsi="Times New Roman"/>
          <w:sz w:val="22"/>
          <w:szCs w:val="22"/>
          <w:lang w:val="sr-Latn-ME"/>
        </w:rPr>
        <w:t>rastvor natrijum</w:t>
      </w:r>
      <w:r w:rsidR="00113E91" w:rsidRPr="00F63BD6">
        <w:rPr>
          <w:rFonts w:ascii="Times New Roman" w:hAnsi="Times New Roman"/>
          <w:sz w:val="22"/>
          <w:szCs w:val="22"/>
          <w:lang w:val="sr-Latn-ME"/>
        </w:rPr>
        <w:t xml:space="preserve"> l</w:t>
      </w:r>
      <w:r w:rsidRPr="00F63BD6">
        <w:rPr>
          <w:rFonts w:ascii="Times New Roman" w:hAnsi="Times New Roman"/>
          <w:sz w:val="22"/>
          <w:szCs w:val="22"/>
          <w:lang w:val="sr-Latn-ME"/>
        </w:rPr>
        <w:t xml:space="preserve">aktata ili </w:t>
      </w:r>
    </w:p>
    <w:p w:rsidR="00C754C6" w:rsidRPr="00F63BD6" w:rsidRDefault="000067CA" w:rsidP="00663E76">
      <w:pPr>
        <w:pStyle w:val="ListParagraph"/>
        <w:numPr>
          <w:ilvl w:val="0"/>
          <w:numId w:val="25"/>
        </w:numPr>
        <w:jc w:val="both"/>
        <w:rPr>
          <w:rFonts w:ascii="Times New Roman" w:hAnsi="Times New Roman"/>
          <w:sz w:val="22"/>
          <w:szCs w:val="22"/>
          <w:lang w:val="sr-Latn-ME"/>
        </w:rPr>
      </w:pPr>
      <w:r w:rsidRPr="00F63BD6">
        <w:rPr>
          <w:rFonts w:ascii="Times New Roman" w:hAnsi="Times New Roman"/>
          <w:sz w:val="22"/>
          <w:szCs w:val="22"/>
          <w:lang w:val="sr-Latn-ME"/>
        </w:rPr>
        <w:t>10 % rastvor manitola.</w:t>
      </w:r>
    </w:p>
    <w:p w:rsidR="003A5554" w:rsidRPr="00F63BD6" w:rsidRDefault="003A5554" w:rsidP="00663E76">
      <w:pPr>
        <w:jc w:val="both"/>
        <w:rPr>
          <w:rFonts w:ascii="Times New Roman" w:hAnsi="Times New Roman"/>
          <w:sz w:val="22"/>
          <w:szCs w:val="22"/>
          <w:lang w:val="sr-Latn-ME"/>
        </w:rPr>
      </w:pPr>
    </w:p>
    <w:p w:rsidR="000067CA" w:rsidRPr="00F63BD6" w:rsidRDefault="000067CA" w:rsidP="00663E76">
      <w:pPr>
        <w:jc w:val="both"/>
        <w:rPr>
          <w:rFonts w:ascii="Times New Roman" w:hAnsi="Times New Roman"/>
          <w:sz w:val="22"/>
          <w:szCs w:val="22"/>
          <w:lang w:val="sr-Latn-ME"/>
        </w:rPr>
      </w:pPr>
      <w:r w:rsidRPr="00F63BD6">
        <w:rPr>
          <w:rFonts w:ascii="Times New Roman" w:hAnsi="Times New Roman"/>
          <w:sz w:val="22"/>
          <w:szCs w:val="22"/>
          <w:lang w:val="sr-Latn-ME"/>
        </w:rPr>
        <w:t xml:space="preserve">Ne koristiti druge rastvore za razblaživanje. </w:t>
      </w:r>
    </w:p>
    <w:p w:rsidR="000067CA" w:rsidRPr="00F63BD6" w:rsidRDefault="000067CA" w:rsidP="00663E76">
      <w:pPr>
        <w:jc w:val="both"/>
        <w:rPr>
          <w:rFonts w:ascii="Times New Roman" w:hAnsi="Times New Roman"/>
          <w:sz w:val="22"/>
          <w:szCs w:val="22"/>
          <w:lang w:val="sr-Latn-ME"/>
        </w:rPr>
      </w:pPr>
      <w:r w:rsidRPr="00F63BD6">
        <w:rPr>
          <w:rFonts w:ascii="Times New Roman" w:hAnsi="Times New Roman"/>
          <w:sz w:val="22"/>
          <w:szCs w:val="22"/>
          <w:lang w:val="sr-Latn-ME"/>
        </w:rPr>
        <w:t>Dozu treba primijeniti kao intravensku infuziju u trajanju od najmanje 5 minuta.</w:t>
      </w:r>
    </w:p>
    <w:p w:rsidR="003A5554" w:rsidRPr="00F63BD6" w:rsidRDefault="003A5554" w:rsidP="00663E76">
      <w:pPr>
        <w:jc w:val="both"/>
        <w:rPr>
          <w:rFonts w:ascii="Times New Roman" w:hAnsi="Times New Roman"/>
          <w:sz w:val="22"/>
          <w:szCs w:val="22"/>
          <w:lang w:val="sr-Latn-ME"/>
        </w:rPr>
      </w:pPr>
      <w:r w:rsidRPr="00F63BD6">
        <w:rPr>
          <w:rFonts w:ascii="Times New Roman" w:hAnsi="Times New Roman"/>
          <w:sz w:val="22"/>
          <w:szCs w:val="22"/>
          <w:lang w:val="sr-Latn-ME"/>
        </w:rPr>
        <w:t>Intravensku infuziju granisetrona pripremiti neposredno prije primjene (vidjeti odjeljak 6.3.)</w:t>
      </w:r>
    </w:p>
    <w:p w:rsidR="00C754C6" w:rsidRPr="00F63BD6" w:rsidRDefault="003A5554" w:rsidP="00663E76">
      <w:pPr>
        <w:jc w:val="both"/>
        <w:rPr>
          <w:rFonts w:ascii="Times New Roman" w:hAnsi="Times New Roman"/>
          <w:sz w:val="22"/>
          <w:szCs w:val="22"/>
          <w:lang w:val="sr-Latn-ME"/>
        </w:rPr>
      </w:pPr>
      <w:r w:rsidRPr="00F63BD6">
        <w:rPr>
          <w:rFonts w:ascii="Times New Roman" w:hAnsi="Times New Roman"/>
          <w:sz w:val="22"/>
          <w:szCs w:val="22"/>
          <w:lang w:val="sr-Latn-ME"/>
        </w:rPr>
        <w:t>K</w:t>
      </w:r>
      <w:r w:rsidR="00C754C6" w:rsidRPr="00F63BD6">
        <w:rPr>
          <w:rFonts w:ascii="Times New Roman" w:hAnsi="Times New Roman"/>
          <w:sz w:val="22"/>
          <w:szCs w:val="22"/>
          <w:lang w:val="sr-Latn-ME"/>
        </w:rPr>
        <w:t>ao mjera oprez</w:t>
      </w:r>
      <w:r w:rsidR="004E5F74" w:rsidRPr="00F63BD6">
        <w:rPr>
          <w:rFonts w:ascii="Times New Roman" w:hAnsi="Times New Roman"/>
          <w:sz w:val="22"/>
          <w:szCs w:val="22"/>
          <w:lang w:val="sr-Latn-ME"/>
        </w:rPr>
        <w:t>a, Graftor koncentrat za rastvor</w:t>
      </w:r>
      <w:r w:rsidR="00C754C6" w:rsidRPr="00F63BD6">
        <w:rPr>
          <w:rFonts w:ascii="Times New Roman" w:hAnsi="Times New Roman"/>
          <w:sz w:val="22"/>
          <w:szCs w:val="22"/>
          <w:lang w:val="sr-Latn-ME"/>
        </w:rPr>
        <w:t xml:space="preserve"> za infuziju ili injekciju se ne smije miješati u </w:t>
      </w:r>
      <w:r w:rsidR="004E5F74" w:rsidRPr="00F63BD6">
        <w:rPr>
          <w:rFonts w:ascii="Times New Roman" w:hAnsi="Times New Roman"/>
          <w:sz w:val="22"/>
          <w:szCs w:val="22"/>
          <w:lang w:val="sr-Latn-ME"/>
        </w:rPr>
        <w:t>rastvoru</w:t>
      </w:r>
      <w:r w:rsidR="00C754C6" w:rsidRPr="00F63BD6">
        <w:rPr>
          <w:rFonts w:ascii="Times New Roman" w:hAnsi="Times New Roman"/>
          <w:sz w:val="22"/>
          <w:szCs w:val="22"/>
          <w:lang w:val="sr-Latn-ME"/>
        </w:rPr>
        <w:t xml:space="preserve"> s</w:t>
      </w:r>
      <w:r w:rsidR="004E5F74" w:rsidRPr="00F63BD6">
        <w:rPr>
          <w:rFonts w:ascii="Times New Roman" w:hAnsi="Times New Roman"/>
          <w:sz w:val="22"/>
          <w:szCs w:val="22"/>
          <w:lang w:val="sr-Latn-ME"/>
        </w:rPr>
        <w:t>a</w:t>
      </w:r>
      <w:r w:rsidR="00C754C6" w:rsidRPr="00F63BD6">
        <w:rPr>
          <w:rFonts w:ascii="Times New Roman" w:hAnsi="Times New Roman"/>
          <w:sz w:val="22"/>
          <w:szCs w:val="22"/>
          <w:lang w:val="sr-Latn-ME"/>
        </w:rPr>
        <w:t xml:space="preserve"> drugim lijekovima. </w:t>
      </w:r>
    </w:p>
    <w:p w:rsidR="003A5554" w:rsidRPr="00F63BD6" w:rsidRDefault="003A5554" w:rsidP="00663E76">
      <w:pPr>
        <w:jc w:val="both"/>
        <w:rPr>
          <w:rFonts w:ascii="Times New Roman" w:hAnsi="Times New Roman"/>
          <w:sz w:val="22"/>
          <w:szCs w:val="22"/>
          <w:lang w:val="sr-Latn-ME"/>
        </w:rPr>
      </w:pPr>
    </w:p>
    <w:p w:rsidR="002E4F4F" w:rsidRPr="00F63BD6" w:rsidRDefault="002E4F4F" w:rsidP="00663E76">
      <w:pPr>
        <w:jc w:val="both"/>
        <w:rPr>
          <w:rFonts w:ascii="Times New Roman" w:hAnsi="Times New Roman"/>
          <w:sz w:val="22"/>
          <w:szCs w:val="22"/>
          <w:lang w:val="sr-Latn-ME"/>
        </w:rPr>
      </w:pPr>
      <w:r w:rsidRPr="00F63BD6">
        <w:rPr>
          <w:rFonts w:ascii="Times New Roman" w:hAnsi="Times New Roman"/>
          <w:sz w:val="22"/>
          <w:szCs w:val="22"/>
          <w:lang w:val="sr-Latn-ME"/>
        </w:rPr>
        <w:t>Svu neiskorišćenu količinu lijeka ili otpadnog materijala nakon njegove upotrebe treba ukloniti u skladu sa važećim propisima.</w:t>
      </w:r>
    </w:p>
    <w:p w:rsidR="001D15A5" w:rsidRPr="00F63BD6" w:rsidRDefault="001943C7" w:rsidP="00663E76">
      <w:pPr>
        <w:tabs>
          <w:tab w:val="left" w:pos="540"/>
          <w:tab w:val="left" w:pos="569"/>
        </w:tabs>
        <w:jc w:val="both"/>
        <w:rPr>
          <w:rFonts w:ascii="Times New Roman" w:hAnsi="Times New Roman"/>
          <w:b/>
          <w:bCs/>
          <w:sz w:val="22"/>
          <w:szCs w:val="22"/>
          <w:lang w:val="sr-Latn-ME"/>
        </w:rPr>
      </w:pPr>
      <w:r w:rsidRPr="00F63BD6">
        <w:rPr>
          <w:rFonts w:ascii="Times New Roman" w:hAnsi="Times New Roman"/>
          <w:b/>
          <w:caps/>
          <w:sz w:val="22"/>
          <w:szCs w:val="22"/>
          <w:lang w:val="sr-Latn-ME"/>
        </w:rPr>
        <w:lastRenderedPageBreak/>
        <w:t>6.7</w:t>
      </w:r>
      <w:r w:rsidR="00962A9A">
        <w:rPr>
          <w:rFonts w:ascii="Times New Roman" w:hAnsi="Times New Roman"/>
          <w:b/>
          <w:caps/>
          <w:sz w:val="22"/>
          <w:szCs w:val="22"/>
          <w:lang w:val="sr-Latn-ME"/>
        </w:rPr>
        <w:t xml:space="preserve"> </w:t>
      </w:r>
      <w:r w:rsidR="001D15A5" w:rsidRPr="00F63BD6">
        <w:rPr>
          <w:rFonts w:ascii="Times New Roman" w:hAnsi="Times New Roman"/>
          <w:b/>
          <w:bCs/>
          <w:sz w:val="22"/>
          <w:szCs w:val="22"/>
          <w:lang w:val="sr-Latn-ME"/>
        </w:rPr>
        <w:t>Režim izdavanja lijeka</w:t>
      </w:r>
    </w:p>
    <w:p w:rsidR="001D15A5" w:rsidRPr="00F63BD6" w:rsidRDefault="001D15A5" w:rsidP="00663E76">
      <w:pPr>
        <w:jc w:val="both"/>
        <w:rPr>
          <w:rFonts w:ascii="Times New Roman" w:hAnsi="Times New Roman"/>
          <w:sz w:val="22"/>
          <w:szCs w:val="22"/>
          <w:lang w:val="sr-Latn-ME"/>
        </w:rPr>
      </w:pPr>
    </w:p>
    <w:p w:rsidR="00EA15AB" w:rsidRPr="00F63BD6" w:rsidRDefault="001500BB" w:rsidP="00663E76">
      <w:pPr>
        <w:jc w:val="both"/>
        <w:rPr>
          <w:rFonts w:ascii="Times New Roman" w:hAnsi="Times New Roman"/>
          <w:sz w:val="22"/>
          <w:szCs w:val="22"/>
          <w:lang w:val="sr-Latn-ME"/>
        </w:rPr>
      </w:pPr>
      <w:r w:rsidRPr="00F63BD6">
        <w:rPr>
          <w:rFonts w:ascii="Times New Roman" w:hAnsi="Times New Roman"/>
          <w:sz w:val="22"/>
          <w:szCs w:val="22"/>
          <w:lang w:val="sr-Latn-ME"/>
        </w:rPr>
        <w:t>Ograničen recept</w:t>
      </w:r>
      <w:r w:rsidR="00113E91" w:rsidRPr="00F63BD6">
        <w:rPr>
          <w:rFonts w:ascii="Times New Roman" w:hAnsi="Times New Roman"/>
          <w:sz w:val="22"/>
          <w:szCs w:val="22"/>
          <w:lang w:val="sr-Latn-ME"/>
        </w:rPr>
        <w:t>.</w:t>
      </w:r>
    </w:p>
    <w:p w:rsidR="00EA15AB" w:rsidRPr="00962A9A" w:rsidRDefault="00EA15AB" w:rsidP="00663E76">
      <w:pPr>
        <w:jc w:val="both"/>
        <w:rPr>
          <w:rFonts w:ascii="Times New Roman" w:hAnsi="Times New Roman"/>
          <w:sz w:val="22"/>
          <w:szCs w:val="22"/>
          <w:lang w:val="sr-Latn-ME"/>
        </w:rPr>
      </w:pPr>
    </w:p>
    <w:p w:rsidR="00962A9A" w:rsidRDefault="00962A9A" w:rsidP="00663E76">
      <w:pPr>
        <w:jc w:val="both"/>
        <w:rPr>
          <w:rFonts w:ascii="Times New Roman" w:hAnsi="Times New Roman"/>
          <w:b/>
          <w:caps/>
          <w:sz w:val="22"/>
          <w:szCs w:val="22"/>
          <w:lang w:val="sr-Latn-ME"/>
        </w:rPr>
      </w:pPr>
    </w:p>
    <w:p w:rsidR="00E17569" w:rsidRPr="00F63BD6" w:rsidRDefault="00962A9A" w:rsidP="00663E76">
      <w:pPr>
        <w:jc w:val="both"/>
        <w:rPr>
          <w:rFonts w:ascii="Times New Roman" w:hAnsi="Times New Roman"/>
          <w:b/>
          <w:caps/>
          <w:sz w:val="22"/>
          <w:szCs w:val="22"/>
          <w:lang w:val="sr-Latn-ME"/>
        </w:rPr>
      </w:pPr>
      <w:r>
        <w:rPr>
          <w:rFonts w:ascii="Times New Roman" w:hAnsi="Times New Roman"/>
          <w:b/>
          <w:caps/>
          <w:sz w:val="22"/>
          <w:szCs w:val="22"/>
          <w:lang w:val="sr-Latn-ME"/>
        </w:rPr>
        <w:t xml:space="preserve">7. </w:t>
      </w:r>
      <w:r w:rsidR="00DD44B2" w:rsidRPr="00F63BD6">
        <w:rPr>
          <w:rFonts w:ascii="Times New Roman" w:hAnsi="Times New Roman"/>
          <w:b/>
          <w:caps/>
          <w:sz w:val="22"/>
          <w:szCs w:val="22"/>
          <w:lang w:val="sr-Latn-ME"/>
        </w:rPr>
        <w:t>NOSILAC DOZVOLE</w:t>
      </w:r>
    </w:p>
    <w:p w:rsidR="00962A9A" w:rsidRDefault="00962A9A" w:rsidP="00663E76">
      <w:pPr>
        <w:pStyle w:val="1"/>
        <w:tabs>
          <w:tab w:val="clear" w:pos="640"/>
          <w:tab w:val="clear" w:pos="8560"/>
        </w:tabs>
        <w:spacing w:before="0"/>
        <w:ind w:right="0"/>
        <w:jc w:val="both"/>
        <w:rPr>
          <w:rFonts w:ascii="Times New Roman" w:hAnsi="Times New Roman"/>
          <w:sz w:val="22"/>
          <w:szCs w:val="22"/>
          <w:lang w:val="sr-Latn-ME"/>
        </w:rPr>
      </w:pPr>
    </w:p>
    <w:p w:rsidR="00331AAE" w:rsidRPr="00F63BD6" w:rsidRDefault="00DD44B2" w:rsidP="00663E76">
      <w:pPr>
        <w:pStyle w:val="1"/>
        <w:tabs>
          <w:tab w:val="clear" w:pos="640"/>
          <w:tab w:val="clear" w:pos="8560"/>
        </w:tabs>
        <w:spacing w:before="0"/>
        <w:ind w:right="0"/>
        <w:jc w:val="both"/>
        <w:rPr>
          <w:rFonts w:ascii="Times New Roman" w:hAnsi="Times New Roman"/>
          <w:sz w:val="22"/>
          <w:szCs w:val="22"/>
          <w:lang w:val="sr-Latn-ME"/>
        </w:rPr>
      </w:pPr>
      <w:r w:rsidRPr="00F63BD6">
        <w:rPr>
          <w:rFonts w:ascii="Times New Roman" w:hAnsi="Times New Roman"/>
          <w:sz w:val="22"/>
          <w:szCs w:val="22"/>
          <w:lang w:val="sr-Latn-ME"/>
        </w:rPr>
        <w:t>Farmegra d.o.o.</w:t>
      </w:r>
    </w:p>
    <w:p w:rsidR="00DD44B2" w:rsidRPr="00F63BD6" w:rsidRDefault="001943C7" w:rsidP="00962A9A">
      <w:pPr>
        <w:jc w:val="both"/>
        <w:rPr>
          <w:rFonts w:ascii="Times New Roman" w:hAnsi="Times New Roman"/>
          <w:sz w:val="22"/>
          <w:szCs w:val="22"/>
          <w:lang w:val="sr-Latn-ME"/>
        </w:rPr>
      </w:pPr>
      <w:r w:rsidRPr="00F63BD6">
        <w:rPr>
          <w:rFonts w:ascii="Times New Roman" w:hAnsi="Times New Roman"/>
          <w:sz w:val="22"/>
          <w:szCs w:val="22"/>
          <w:lang w:val="sr-Latn-ME"/>
        </w:rPr>
        <w:t>Kritskog odreda 4/1</w:t>
      </w:r>
    </w:p>
    <w:p w:rsidR="00E17569" w:rsidRDefault="00DD44B2" w:rsidP="00962A9A">
      <w:pPr>
        <w:jc w:val="both"/>
        <w:rPr>
          <w:rFonts w:ascii="Times New Roman" w:hAnsi="Times New Roman"/>
          <w:sz w:val="22"/>
          <w:szCs w:val="22"/>
          <w:lang w:val="sr-Latn-ME"/>
        </w:rPr>
      </w:pPr>
      <w:r w:rsidRPr="00F63BD6">
        <w:rPr>
          <w:rFonts w:ascii="Times New Roman" w:hAnsi="Times New Roman"/>
          <w:sz w:val="22"/>
          <w:szCs w:val="22"/>
          <w:lang w:val="sr-Latn-ME"/>
        </w:rPr>
        <w:t>81 000 Podgorica</w:t>
      </w:r>
      <w:r w:rsidR="00885DCB" w:rsidRPr="00F63BD6">
        <w:rPr>
          <w:rFonts w:ascii="Times New Roman" w:hAnsi="Times New Roman"/>
          <w:sz w:val="22"/>
          <w:szCs w:val="22"/>
          <w:lang w:val="sr-Latn-ME"/>
        </w:rPr>
        <w:t>, Crna Gora</w:t>
      </w:r>
    </w:p>
    <w:p w:rsidR="00962A9A" w:rsidRDefault="00962A9A" w:rsidP="00962A9A">
      <w:pPr>
        <w:jc w:val="both"/>
        <w:rPr>
          <w:rFonts w:ascii="Times New Roman" w:hAnsi="Times New Roman"/>
          <w:sz w:val="22"/>
          <w:szCs w:val="22"/>
          <w:lang w:val="sr-Latn-ME"/>
        </w:rPr>
      </w:pPr>
    </w:p>
    <w:p w:rsidR="00962A9A" w:rsidRPr="00F63BD6" w:rsidRDefault="00962A9A" w:rsidP="00962A9A">
      <w:pPr>
        <w:jc w:val="both"/>
        <w:rPr>
          <w:rFonts w:ascii="Times New Roman" w:hAnsi="Times New Roman"/>
          <w:sz w:val="22"/>
          <w:szCs w:val="22"/>
          <w:lang w:val="sr-Latn-ME"/>
        </w:rPr>
      </w:pPr>
    </w:p>
    <w:p w:rsidR="00E17569" w:rsidRPr="00F63BD6" w:rsidRDefault="00E17569" w:rsidP="00663E76">
      <w:pPr>
        <w:ind w:left="705" w:hanging="705"/>
        <w:jc w:val="both"/>
        <w:rPr>
          <w:rFonts w:ascii="Times New Roman" w:hAnsi="Times New Roman"/>
          <w:b/>
          <w:caps/>
          <w:sz w:val="22"/>
          <w:szCs w:val="22"/>
          <w:lang w:val="sr-Latn-ME"/>
        </w:rPr>
      </w:pPr>
      <w:r w:rsidRPr="00F63BD6">
        <w:rPr>
          <w:rFonts w:ascii="Times New Roman" w:hAnsi="Times New Roman"/>
          <w:b/>
          <w:caps/>
          <w:sz w:val="22"/>
          <w:szCs w:val="22"/>
          <w:lang w:val="sr-Latn-ME"/>
        </w:rPr>
        <w:t>8.</w:t>
      </w:r>
      <w:r w:rsidR="00962A9A">
        <w:rPr>
          <w:rFonts w:ascii="Times New Roman" w:hAnsi="Times New Roman"/>
          <w:b/>
          <w:caps/>
          <w:sz w:val="22"/>
          <w:szCs w:val="22"/>
          <w:lang w:val="sr-Latn-ME"/>
        </w:rPr>
        <w:t xml:space="preserve"> </w:t>
      </w:r>
      <w:r w:rsidR="00E07355" w:rsidRPr="00F63BD6">
        <w:rPr>
          <w:rFonts w:ascii="Times New Roman" w:hAnsi="Times New Roman"/>
          <w:b/>
          <w:bCs/>
          <w:sz w:val="22"/>
          <w:szCs w:val="22"/>
          <w:lang w:val="sr-Latn-ME"/>
        </w:rPr>
        <w:t>BROJ PRVE DOZVOLE/ OBNOVE DOZVOLE</w:t>
      </w:r>
      <w:r w:rsidR="00E07355" w:rsidRPr="00F63BD6" w:rsidDel="00E07355">
        <w:rPr>
          <w:rFonts w:ascii="Times New Roman" w:hAnsi="Times New Roman"/>
          <w:b/>
          <w:caps/>
          <w:sz w:val="22"/>
          <w:szCs w:val="22"/>
          <w:lang w:val="sr-Latn-ME"/>
        </w:rPr>
        <w:t xml:space="preserve"> </w:t>
      </w:r>
    </w:p>
    <w:p w:rsidR="007E500B" w:rsidRDefault="007E500B" w:rsidP="00663E76">
      <w:pPr>
        <w:ind w:left="705" w:hanging="705"/>
        <w:jc w:val="both"/>
        <w:rPr>
          <w:rFonts w:ascii="Times New Roman" w:hAnsi="Times New Roman"/>
          <w:b/>
          <w:caps/>
          <w:sz w:val="22"/>
          <w:szCs w:val="22"/>
          <w:lang w:val="sr-Latn-ME"/>
        </w:rPr>
      </w:pPr>
    </w:p>
    <w:p w:rsidR="00B131CE" w:rsidRPr="00B131CE" w:rsidRDefault="00B131CE" w:rsidP="00B131CE">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1mg/ml, ampula,</w:t>
      </w:r>
      <w:r>
        <w:rPr>
          <w:rFonts w:ascii="Times New Roman" w:hAnsi="Times New Roman"/>
          <w:b w:val="0"/>
          <w:sz w:val="22"/>
          <w:szCs w:val="22"/>
          <w:lang w:val="sr-Latn-ME"/>
        </w:rPr>
        <w:t xml:space="preserve"> 5x1</w:t>
      </w:r>
      <w:r w:rsidRPr="00B131CE">
        <w:rPr>
          <w:rFonts w:ascii="Times New Roman" w:hAnsi="Times New Roman"/>
          <w:b w:val="0"/>
          <w:sz w:val="22"/>
          <w:szCs w:val="22"/>
          <w:lang w:val="sr-Latn-ME"/>
        </w:rPr>
        <w:t>ml</w:t>
      </w:r>
      <w:r w:rsidR="00D65A0B">
        <w:rPr>
          <w:rFonts w:ascii="Times New Roman" w:hAnsi="Times New Roman"/>
          <w:b w:val="0"/>
          <w:sz w:val="22"/>
          <w:szCs w:val="22"/>
          <w:lang w:val="sr-Latn-ME"/>
        </w:rPr>
        <w:t>:</w:t>
      </w:r>
      <w:r w:rsidR="00FF3529">
        <w:rPr>
          <w:rFonts w:ascii="Times New Roman" w:hAnsi="Times New Roman"/>
          <w:b w:val="0"/>
          <w:sz w:val="22"/>
          <w:szCs w:val="22"/>
          <w:lang w:val="sr-Latn-ME"/>
        </w:rPr>
        <w:t xml:space="preserve"> </w:t>
      </w:r>
      <w:r w:rsidR="00FF3529" w:rsidRPr="00FF3529">
        <w:rPr>
          <w:rFonts w:ascii="Times New Roman" w:hAnsi="Times New Roman"/>
          <w:b w:val="0"/>
          <w:sz w:val="22"/>
          <w:szCs w:val="22"/>
          <w:lang w:val="sr-Latn-ME"/>
        </w:rPr>
        <w:t>2030/17/15 - 1279</w:t>
      </w:r>
    </w:p>
    <w:p w:rsidR="00405123" w:rsidRPr="00B131CE" w:rsidRDefault="00405123" w:rsidP="00405123">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Pr>
          <w:rFonts w:ascii="Times New Roman" w:hAnsi="Times New Roman"/>
          <w:b w:val="0"/>
          <w:sz w:val="22"/>
          <w:szCs w:val="22"/>
          <w:lang w:val="sr-Latn-ME"/>
        </w:rPr>
        <w:t>3</w:t>
      </w:r>
      <w:r w:rsidRPr="00B131CE">
        <w:rPr>
          <w:rFonts w:ascii="Times New Roman" w:hAnsi="Times New Roman"/>
          <w:b w:val="0"/>
          <w:sz w:val="22"/>
          <w:szCs w:val="22"/>
          <w:lang w:val="sr-Latn-ME"/>
        </w:rPr>
        <w:t>mg/</w:t>
      </w:r>
      <w:r>
        <w:rPr>
          <w:rFonts w:ascii="Times New Roman" w:hAnsi="Times New Roman"/>
          <w:b w:val="0"/>
          <w:sz w:val="22"/>
          <w:szCs w:val="22"/>
          <w:lang w:val="sr-Latn-ME"/>
        </w:rPr>
        <w:t>3</w:t>
      </w:r>
      <w:r w:rsidRPr="00B131CE">
        <w:rPr>
          <w:rFonts w:ascii="Times New Roman" w:hAnsi="Times New Roman"/>
          <w:b w:val="0"/>
          <w:sz w:val="22"/>
          <w:szCs w:val="22"/>
          <w:lang w:val="sr-Latn-ME"/>
        </w:rPr>
        <w:t>ml, ampula, 5x3ml</w:t>
      </w:r>
      <w:r>
        <w:rPr>
          <w:rFonts w:ascii="Times New Roman" w:hAnsi="Times New Roman"/>
          <w:b w:val="0"/>
          <w:sz w:val="22"/>
          <w:szCs w:val="22"/>
          <w:lang w:val="sr-Latn-ME"/>
        </w:rPr>
        <w:t xml:space="preserve">: </w:t>
      </w:r>
      <w:r w:rsidRPr="00554F8E">
        <w:rPr>
          <w:rFonts w:ascii="Times New Roman" w:hAnsi="Times New Roman"/>
          <w:b w:val="0"/>
          <w:sz w:val="22"/>
          <w:szCs w:val="22"/>
          <w:lang w:val="sr-Latn-ME"/>
        </w:rPr>
        <w:t>2030/17/16 - 1280</w:t>
      </w:r>
    </w:p>
    <w:p w:rsidR="00B131CE" w:rsidRPr="00B131CE" w:rsidRDefault="00B131CE" w:rsidP="00B131CE">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Pr>
          <w:rFonts w:ascii="Times New Roman" w:hAnsi="Times New Roman"/>
          <w:b w:val="0"/>
          <w:sz w:val="22"/>
          <w:szCs w:val="22"/>
          <w:lang w:val="sr-Latn-ME"/>
        </w:rPr>
        <w:t>1</w:t>
      </w:r>
      <w:r w:rsidRPr="00B131CE">
        <w:rPr>
          <w:rFonts w:ascii="Times New Roman" w:hAnsi="Times New Roman"/>
          <w:b w:val="0"/>
          <w:sz w:val="22"/>
          <w:szCs w:val="22"/>
          <w:lang w:val="sr-Latn-ME"/>
        </w:rPr>
        <w:t>mg/ml, bočica staklena,</w:t>
      </w:r>
      <w:r>
        <w:rPr>
          <w:rFonts w:ascii="Times New Roman" w:hAnsi="Times New Roman"/>
          <w:b w:val="0"/>
          <w:sz w:val="22"/>
          <w:szCs w:val="22"/>
          <w:lang w:val="sr-Latn-ME"/>
        </w:rPr>
        <w:t xml:space="preserve"> 5x1</w:t>
      </w:r>
      <w:r w:rsidRPr="00B131CE">
        <w:rPr>
          <w:rFonts w:ascii="Times New Roman" w:hAnsi="Times New Roman"/>
          <w:b w:val="0"/>
          <w:sz w:val="22"/>
          <w:szCs w:val="22"/>
          <w:lang w:val="sr-Latn-ME"/>
        </w:rPr>
        <w:t>ml</w:t>
      </w:r>
      <w:r w:rsidR="00D65A0B">
        <w:rPr>
          <w:rFonts w:ascii="Times New Roman" w:hAnsi="Times New Roman"/>
          <w:b w:val="0"/>
          <w:sz w:val="22"/>
          <w:szCs w:val="22"/>
          <w:lang w:val="sr-Latn-ME"/>
        </w:rPr>
        <w:t>:</w:t>
      </w:r>
      <w:r w:rsidR="00FF3529">
        <w:rPr>
          <w:rFonts w:ascii="Times New Roman" w:hAnsi="Times New Roman"/>
          <w:b w:val="0"/>
          <w:sz w:val="22"/>
          <w:szCs w:val="22"/>
          <w:lang w:val="sr-Latn-ME"/>
        </w:rPr>
        <w:t xml:space="preserve"> </w:t>
      </w:r>
      <w:r w:rsidR="00FF3529" w:rsidRPr="00FF3529">
        <w:rPr>
          <w:rFonts w:ascii="Times New Roman" w:hAnsi="Times New Roman"/>
          <w:b w:val="0"/>
          <w:sz w:val="22"/>
          <w:szCs w:val="22"/>
          <w:lang w:val="sr-Latn-ME"/>
        </w:rPr>
        <w:t>2030/17/17 - 549</w:t>
      </w:r>
    </w:p>
    <w:p w:rsidR="00B131CE" w:rsidRPr="00B131CE" w:rsidRDefault="00B131CE" w:rsidP="00B131CE">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Pr>
          <w:rFonts w:ascii="Times New Roman" w:hAnsi="Times New Roman"/>
          <w:b w:val="0"/>
          <w:sz w:val="22"/>
          <w:szCs w:val="22"/>
          <w:lang w:val="sr-Latn-ME"/>
        </w:rPr>
        <w:t>3mg/3</w:t>
      </w:r>
      <w:r w:rsidRPr="00B131CE">
        <w:rPr>
          <w:rFonts w:ascii="Times New Roman" w:hAnsi="Times New Roman"/>
          <w:b w:val="0"/>
          <w:sz w:val="22"/>
          <w:szCs w:val="22"/>
          <w:lang w:val="sr-Latn-ME"/>
        </w:rPr>
        <w:t>ml, bočica staklena, 5x3ml</w:t>
      </w:r>
      <w:r w:rsidR="00D65A0B">
        <w:rPr>
          <w:rFonts w:ascii="Times New Roman" w:hAnsi="Times New Roman"/>
          <w:b w:val="0"/>
          <w:sz w:val="22"/>
          <w:szCs w:val="22"/>
          <w:lang w:val="sr-Latn-ME"/>
        </w:rPr>
        <w:t>:</w:t>
      </w:r>
      <w:r w:rsidR="00FF3529">
        <w:rPr>
          <w:rFonts w:ascii="Times New Roman" w:hAnsi="Times New Roman"/>
          <w:b w:val="0"/>
          <w:sz w:val="22"/>
          <w:szCs w:val="22"/>
          <w:lang w:val="sr-Latn-ME"/>
        </w:rPr>
        <w:t xml:space="preserve"> </w:t>
      </w:r>
      <w:r w:rsidR="00FF3529" w:rsidRPr="00FF3529">
        <w:rPr>
          <w:rFonts w:ascii="Times New Roman" w:hAnsi="Times New Roman"/>
          <w:b w:val="0"/>
          <w:sz w:val="22"/>
          <w:szCs w:val="22"/>
          <w:lang w:val="sr-Latn-ME"/>
        </w:rPr>
        <w:t>2030/17/18 - 550</w:t>
      </w:r>
    </w:p>
    <w:p w:rsidR="00962A9A" w:rsidRDefault="00962A9A" w:rsidP="00663E76">
      <w:pPr>
        <w:ind w:left="705" w:hanging="705"/>
        <w:jc w:val="both"/>
        <w:rPr>
          <w:rFonts w:ascii="Times New Roman" w:hAnsi="Times New Roman"/>
          <w:b/>
          <w:caps/>
          <w:sz w:val="22"/>
          <w:szCs w:val="22"/>
          <w:lang w:val="sr-Latn-ME"/>
        </w:rPr>
      </w:pPr>
    </w:p>
    <w:p w:rsidR="00962A9A" w:rsidRPr="00F63BD6" w:rsidRDefault="00962A9A" w:rsidP="00B131CE">
      <w:pPr>
        <w:jc w:val="both"/>
        <w:rPr>
          <w:rFonts w:ascii="Times New Roman" w:hAnsi="Times New Roman"/>
          <w:b/>
          <w:caps/>
          <w:sz w:val="22"/>
          <w:szCs w:val="22"/>
          <w:lang w:val="sr-Latn-ME"/>
        </w:rPr>
      </w:pPr>
    </w:p>
    <w:p w:rsidR="00E17569" w:rsidRPr="00F63BD6" w:rsidRDefault="00E17569" w:rsidP="00663E76">
      <w:pPr>
        <w:jc w:val="both"/>
        <w:rPr>
          <w:rFonts w:ascii="Times New Roman" w:hAnsi="Times New Roman"/>
          <w:b/>
          <w:caps/>
          <w:sz w:val="22"/>
          <w:szCs w:val="22"/>
          <w:lang w:val="sr-Latn-ME"/>
        </w:rPr>
      </w:pPr>
      <w:r w:rsidRPr="00F63BD6">
        <w:rPr>
          <w:rFonts w:ascii="Times New Roman" w:hAnsi="Times New Roman"/>
          <w:b/>
          <w:caps/>
          <w:sz w:val="22"/>
          <w:szCs w:val="22"/>
          <w:lang w:val="sr-Latn-ME"/>
        </w:rPr>
        <w:t>9.</w:t>
      </w:r>
      <w:r w:rsidR="00962A9A">
        <w:rPr>
          <w:rFonts w:ascii="Times New Roman" w:hAnsi="Times New Roman"/>
          <w:b/>
          <w:caps/>
          <w:sz w:val="22"/>
          <w:szCs w:val="22"/>
          <w:lang w:val="sr-Latn-ME"/>
        </w:rPr>
        <w:t xml:space="preserve"> </w:t>
      </w:r>
      <w:r w:rsidR="00E07355" w:rsidRPr="00F63BD6">
        <w:rPr>
          <w:rFonts w:ascii="Times New Roman" w:hAnsi="Times New Roman"/>
          <w:b/>
          <w:bCs/>
          <w:sz w:val="22"/>
          <w:szCs w:val="22"/>
          <w:lang w:val="sr-Latn-ME"/>
        </w:rPr>
        <w:t>DATUM PRVE DOZVOLE/ DATUM OBNOVE DOZVOLE</w:t>
      </w:r>
      <w:r w:rsidR="00E07355" w:rsidRPr="00F63BD6" w:rsidDel="00E07355">
        <w:rPr>
          <w:rFonts w:ascii="Times New Roman" w:hAnsi="Times New Roman"/>
          <w:b/>
          <w:caps/>
          <w:sz w:val="22"/>
          <w:szCs w:val="22"/>
          <w:lang w:val="sr-Latn-ME"/>
        </w:rPr>
        <w:t xml:space="preserve"> </w:t>
      </w:r>
    </w:p>
    <w:p w:rsidR="00E17569" w:rsidRDefault="00E17569" w:rsidP="00663E76">
      <w:pPr>
        <w:jc w:val="both"/>
        <w:rPr>
          <w:rFonts w:ascii="Times New Roman" w:hAnsi="Times New Roman"/>
          <w:sz w:val="22"/>
          <w:szCs w:val="22"/>
          <w:lang w:val="sr-Latn-ME"/>
        </w:rPr>
      </w:pPr>
    </w:p>
    <w:p w:rsidR="00D65A0B" w:rsidRPr="00B131CE" w:rsidRDefault="00D65A0B" w:rsidP="00D65A0B">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1mg/ml, ampula,</w:t>
      </w:r>
      <w:r>
        <w:rPr>
          <w:rFonts w:ascii="Times New Roman" w:hAnsi="Times New Roman"/>
          <w:b w:val="0"/>
          <w:sz w:val="22"/>
          <w:szCs w:val="22"/>
          <w:lang w:val="sr-Latn-ME"/>
        </w:rPr>
        <w:t xml:space="preserve"> 5x1</w:t>
      </w:r>
      <w:r w:rsidRPr="00B131CE">
        <w:rPr>
          <w:rFonts w:ascii="Times New Roman" w:hAnsi="Times New Roman"/>
          <w:b w:val="0"/>
          <w:sz w:val="22"/>
          <w:szCs w:val="22"/>
          <w:lang w:val="sr-Latn-ME"/>
        </w:rPr>
        <w:t>ml</w:t>
      </w:r>
      <w:r>
        <w:rPr>
          <w:rFonts w:ascii="Times New Roman" w:hAnsi="Times New Roman"/>
          <w:b w:val="0"/>
          <w:sz w:val="22"/>
          <w:szCs w:val="22"/>
          <w:lang w:val="sr-Latn-ME"/>
        </w:rPr>
        <w:t>:</w:t>
      </w:r>
      <w:r w:rsidR="00554F8E">
        <w:rPr>
          <w:rFonts w:ascii="Times New Roman" w:hAnsi="Times New Roman"/>
          <w:b w:val="0"/>
          <w:sz w:val="22"/>
          <w:szCs w:val="22"/>
          <w:lang w:val="sr-Latn-ME"/>
        </w:rPr>
        <w:t xml:space="preserve"> </w:t>
      </w:r>
      <w:r w:rsidR="00554F8E" w:rsidRPr="00554F8E">
        <w:rPr>
          <w:rFonts w:ascii="Times New Roman" w:hAnsi="Times New Roman"/>
          <w:b w:val="0"/>
          <w:sz w:val="22"/>
          <w:szCs w:val="22"/>
          <w:lang w:val="sr-Latn-ME"/>
        </w:rPr>
        <w:t>16.01.2017. godine</w:t>
      </w:r>
    </w:p>
    <w:p w:rsidR="00405123" w:rsidRPr="00B131CE" w:rsidRDefault="00405123" w:rsidP="00405123">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Pr>
          <w:rFonts w:ascii="Times New Roman" w:hAnsi="Times New Roman"/>
          <w:b w:val="0"/>
          <w:sz w:val="22"/>
          <w:szCs w:val="22"/>
          <w:lang w:val="sr-Latn-ME"/>
        </w:rPr>
        <w:t>3</w:t>
      </w:r>
      <w:r w:rsidRPr="00B131CE">
        <w:rPr>
          <w:rFonts w:ascii="Times New Roman" w:hAnsi="Times New Roman"/>
          <w:b w:val="0"/>
          <w:sz w:val="22"/>
          <w:szCs w:val="22"/>
          <w:lang w:val="sr-Latn-ME"/>
        </w:rPr>
        <w:t>mg/</w:t>
      </w:r>
      <w:r>
        <w:rPr>
          <w:rFonts w:ascii="Times New Roman" w:hAnsi="Times New Roman"/>
          <w:b w:val="0"/>
          <w:sz w:val="22"/>
          <w:szCs w:val="22"/>
          <w:lang w:val="sr-Latn-ME"/>
        </w:rPr>
        <w:t>3</w:t>
      </w:r>
      <w:r w:rsidRPr="00B131CE">
        <w:rPr>
          <w:rFonts w:ascii="Times New Roman" w:hAnsi="Times New Roman"/>
          <w:b w:val="0"/>
          <w:sz w:val="22"/>
          <w:szCs w:val="22"/>
          <w:lang w:val="sr-Latn-ME"/>
        </w:rPr>
        <w:t>ml, ampula, 5x3ml</w:t>
      </w:r>
      <w:r>
        <w:rPr>
          <w:rFonts w:ascii="Times New Roman" w:hAnsi="Times New Roman"/>
          <w:b w:val="0"/>
          <w:sz w:val="22"/>
          <w:szCs w:val="22"/>
          <w:lang w:val="sr-Latn-ME"/>
        </w:rPr>
        <w:t xml:space="preserve">: </w:t>
      </w:r>
      <w:r w:rsidRPr="00554F8E">
        <w:rPr>
          <w:rFonts w:ascii="Times New Roman" w:hAnsi="Times New Roman"/>
          <w:b w:val="0"/>
          <w:sz w:val="22"/>
          <w:szCs w:val="22"/>
          <w:lang w:val="sr-Latn-ME"/>
        </w:rPr>
        <w:t>16.01.2017. godine</w:t>
      </w:r>
    </w:p>
    <w:p w:rsidR="00D65A0B" w:rsidRPr="00B131CE" w:rsidRDefault="00D65A0B" w:rsidP="00D65A0B">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Pr>
          <w:rFonts w:ascii="Times New Roman" w:hAnsi="Times New Roman"/>
          <w:b w:val="0"/>
          <w:sz w:val="22"/>
          <w:szCs w:val="22"/>
          <w:lang w:val="sr-Latn-ME"/>
        </w:rPr>
        <w:t>1</w:t>
      </w:r>
      <w:r w:rsidRPr="00B131CE">
        <w:rPr>
          <w:rFonts w:ascii="Times New Roman" w:hAnsi="Times New Roman"/>
          <w:b w:val="0"/>
          <w:sz w:val="22"/>
          <w:szCs w:val="22"/>
          <w:lang w:val="sr-Latn-ME"/>
        </w:rPr>
        <w:t>mg/ml, bočica staklena,</w:t>
      </w:r>
      <w:r>
        <w:rPr>
          <w:rFonts w:ascii="Times New Roman" w:hAnsi="Times New Roman"/>
          <w:b w:val="0"/>
          <w:sz w:val="22"/>
          <w:szCs w:val="22"/>
          <w:lang w:val="sr-Latn-ME"/>
        </w:rPr>
        <w:t xml:space="preserve"> 5x1</w:t>
      </w:r>
      <w:r w:rsidRPr="00B131CE">
        <w:rPr>
          <w:rFonts w:ascii="Times New Roman" w:hAnsi="Times New Roman"/>
          <w:b w:val="0"/>
          <w:sz w:val="22"/>
          <w:szCs w:val="22"/>
          <w:lang w:val="sr-Latn-ME"/>
        </w:rPr>
        <w:t>ml</w:t>
      </w:r>
      <w:r>
        <w:rPr>
          <w:rFonts w:ascii="Times New Roman" w:hAnsi="Times New Roman"/>
          <w:b w:val="0"/>
          <w:sz w:val="22"/>
          <w:szCs w:val="22"/>
          <w:lang w:val="sr-Latn-ME"/>
        </w:rPr>
        <w:t>:</w:t>
      </w:r>
      <w:r w:rsidR="00554F8E">
        <w:rPr>
          <w:rFonts w:ascii="Times New Roman" w:hAnsi="Times New Roman"/>
          <w:b w:val="0"/>
          <w:sz w:val="22"/>
          <w:szCs w:val="22"/>
          <w:lang w:val="sr-Latn-ME"/>
        </w:rPr>
        <w:t xml:space="preserve"> </w:t>
      </w:r>
      <w:r w:rsidR="00554F8E" w:rsidRPr="00554F8E">
        <w:rPr>
          <w:rFonts w:ascii="Times New Roman" w:hAnsi="Times New Roman"/>
          <w:b w:val="0"/>
          <w:sz w:val="22"/>
          <w:szCs w:val="22"/>
          <w:lang w:val="sr-Latn-ME"/>
        </w:rPr>
        <w:t>16.01.2017. godine</w:t>
      </w:r>
    </w:p>
    <w:p w:rsidR="00962A9A" w:rsidRPr="00D65A0B" w:rsidRDefault="00D65A0B" w:rsidP="00D65A0B">
      <w:pPr>
        <w:pStyle w:val="SmPCheading"/>
        <w:spacing w:before="0" w:after="0" w:line="240" w:lineRule="auto"/>
        <w:rPr>
          <w:rFonts w:ascii="Times New Roman" w:hAnsi="Times New Roman"/>
          <w:b w:val="0"/>
          <w:sz w:val="22"/>
          <w:szCs w:val="22"/>
          <w:lang w:val="sr-Latn-ME"/>
        </w:rPr>
      </w:pPr>
      <w:r w:rsidRPr="00B131CE">
        <w:rPr>
          <w:rFonts w:ascii="Times New Roman" w:hAnsi="Times New Roman"/>
          <w:b w:val="0"/>
          <w:sz w:val="22"/>
          <w:szCs w:val="22"/>
          <w:lang w:val="sr-Latn-ME"/>
        </w:rPr>
        <w:t>Graftor</w:t>
      </w:r>
      <w:r w:rsidRPr="00B131CE">
        <w:rPr>
          <w:rFonts w:ascii="Times New Roman" w:hAnsi="Times New Roman"/>
          <w:b w:val="0"/>
          <w:sz w:val="22"/>
          <w:szCs w:val="22"/>
          <w:vertAlign w:val="superscript"/>
          <w:lang w:val="sr-Latn-ME"/>
        </w:rPr>
        <w:t>®</w:t>
      </w:r>
      <w:r w:rsidRPr="00B131CE">
        <w:rPr>
          <w:rFonts w:ascii="Times New Roman" w:hAnsi="Times New Roman"/>
          <w:b w:val="0"/>
          <w:sz w:val="22"/>
          <w:szCs w:val="22"/>
          <w:lang w:val="sr-Latn-ME"/>
        </w:rPr>
        <w:t>,</w:t>
      </w:r>
      <w:r w:rsidRPr="00B131CE">
        <w:rPr>
          <w:rFonts w:ascii="Times New Roman" w:hAnsi="Times New Roman"/>
          <w:b w:val="0"/>
          <w:sz w:val="22"/>
          <w:szCs w:val="22"/>
          <w:vertAlign w:val="superscript"/>
          <w:lang w:val="sr-Latn-ME"/>
        </w:rPr>
        <w:t xml:space="preserve"> </w:t>
      </w:r>
      <w:r w:rsidRPr="00B131CE">
        <w:rPr>
          <w:rFonts w:ascii="Times New Roman" w:hAnsi="Times New Roman"/>
          <w:b w:val="0"/>
          <w:sz w:val="22"/>
          <w:szCs w:val="22"/>
          <w:lang w:val="sr-Latn-ME"/>
        </w:rPr>
        <w:t>koncentrat za rastvor za injekciju/infuziju,</w:t>
      </w:r>
      <w:r w:rsidRPr="00B131CE">
        <w:rPr>
          <w:rFonts w:ascii="Times New Roman" w:hAnsi="Times New Roman"/>
          <w:b w:val="0"/>
          <w:sz w:val="22"/>
          <w:szCs w:val="22"/>
          <w:vertAlign w:val="superscript"/>
          <w:lang w:val="sr-Latn-ME"/>
        </w:rPr>
        <w:t xml:space="preserve"> </w:t>
      </w:r>
      <w:r>
        <w:rPr>
          <w:rFonts w:ascii="Times New Roman" w:hAnsi="Times New Roman"/>
          <w:b w:val="0"/>
          <w:sz w:val="22"/>
          <w:szCs w:val="22"/>
          <w:lang w:val="sr-Latn-ME"/>
        </w:rPr>
        <w:t>3mg/3</w:t>
      </w:r>
      <w:r w:rsidRPr="00B131CE">
        <w:rPr>
          <w:rFonts w:ascii="Times New Roman" w:hAnsi="Times New Roman"/>
          <w:b w:val="0"/>
          <w:sz w:val="22"/>
          <w:szCs w:val="22"/>
          <w:lang w:val="sr-Latn-ME"/>
        </w:rPr>
        <w:t>ml, bočica staklena, 5x3ml</w:t>
      </w:r>
      <w:r>
        <w:rPr>
          <w:rFonts w:ascii="Times New Roman" w:hAnsi="Times New Roman"/>
          <w:b w:val="0"/>
          <w:sz w:val="22"/>
          <w:szCs w:val="22"/>
          <w:lang w:val="sr-Latn-ME"/>
        </w:rPr>
        <w:t>:</w:t>
      </w:r>
      <w:r w:rsidR="00554F8E">
        <w:rPr>
          <w:rFonts w:ascii="Times New Roman" w:hAnsi="Times New Roman"/>
          <w:b w:val="0"/>
          <w:sz w:val="22"/>
          <w:szCs w:val="22"/>
          <w:lang w:val="sr-Latn-ME"/>
        </w:rPr>
        <w:t xml:space="preserve"> </w:t>
      </w:r>
      <w:r w:rsidR="00554F8E" w:rsidRPr="00554F8E">
        <w:rPr>
          <w:rFonts w:ascii="Times New Roman" w:hAnsi="Times New Roman"/>
          <w:b w:val="0"/>
          <w:sz w:val="22"/>
          <w:szCs w:val="22"/>
          <w:lang w:val="sr-Latn-ME"/>
        </w:rPr>
        <w:t>16.01.2017. godine</w:t>
      </w:r>
    </w:p>
    <w:p w:rsidR="00962A9A" w:rsidRDefault="00962A9A" w:rsidP="00663E76">
      <w:pPr>
        <w:jc w:val="both"/>
        <w:rPr>
          <w:rFonts w:ascii="Times New Roman" w:hAnsi="Times New Roman"/>
          <w:sz w:val="22"/>
          <w:szCs w:val="22"/>
          <w:lang w:val="sr-Latn-ME"/>
        </w:rPr>
      </w:pPr>
    </w:p>
    <w:p w:rsidR="00962A9A" w:rsidRPr="00F63BD6" w:rsidRDefault="00962A9A" w:rsidP="00663E76">
      <w:pPr>
        <w:jc w:val="both"/>
        <w:rPr>
          <w:rFonts w:ascii="Times New Roman" w:hAnsi="Times New Roman"/>
          <w:sz w:val="22"/>
          <w:szCs w:val="22"/>
          <w:lang w:val="sr-Latn-ME"/>
        </w:rPr>
      </w:pPr>
    </w:p>
    <w:p w:rsidR="001D15A5" w:rsidRPr="00F63BD6" w:rsidRDefault="00E17569" w:rsidP="00663E76">
      <w:pPr>
        <w:tabs>
          <w:tab w:val="left" w:pos="540"/>
          <w:tab w:val="left" w:pos="569"/>
        </w:tabs>
        <w:ind w:left="540" w:hanging="540"/>
        <w:jc w:val="both"/>
        <w:rPr>
          <w:rFonts w:ascii="Times New Roman" w:hAnsi="Times New Roman"/>
          <w:b/>
          <w:bCs/>
          <w:sz w:val="22"/>
          <w:szCs w:val="22"/>
          <w:lang w:val="sr-Latn-ME"/>
        </w:rPr>
      </w:pPr>
      <w:r w:rsidRPr="00F63BD6">
        <w:rPr>
          <w:rFonts w:ascii="Times New Roman" w:hAnsi="Times New Roman"/>
          <w:b/>
          <w:caps/>
          <w:sz w:val="22"/>
          <w:szCs w:val="22"/>
          <w:lang w:val="sr-Latn-ME"/>
        </w:rPr>
        <w:t>10.</w:t>
      </w:r>
      <w:r w:rsidR="00962A9A">
        <w:rPr>
          <w:rFonts w:ascii="Times New Roman" w:hAnsi="Times New Roman"/>
          <w:b/>
          <w:caps/>
          <w:sz w:val="22"/>
          <w:szCs w:val="22"/>
          <w:lang w:val="sr-Latn-ME"/>
        </w:rPr>
        <w:t xml:space="preserve"> </w:t>
      </w:r>
      <w:r w:rsidR="001D15A5" w:rsidRPr="00F63BD6">
        <w:rPr>
          <w:rFonts w:ascii="Times New Roman" w:hAnsi="Times New Roman"/>
          <w:b/>
          <w:bCs/>
          <w:sz w:val="22"/>
          <w:szCs w:val="22"/>
          <w:lang w:val="sr-Latn-ME"/>
        </w:rPr>
        <w:t>DATUM POSLEDNJE REVIZIJE TEKSTA SAŽETKA OSNOVNIH KARAKTERISTIKA LIJEKA</w:t>
      </w:r>
    </w:p>
    <w:p w:rsidR="00A162E1" w:rsidRDefault="00A162E1" w:rsidP="00663E76">
      <w:pPr>
        <w:jc w:val="both"/>
        <w:rPr>
          <w:rFonts w:ascii="Times New Roman" w:hAnsi="Times New Roman"/>
          <w:b/>
          <w:caps/>
          <w:sz w:val="22"/>
          <w:szCs w:val="22"/>
          <w:lang w:val="sr-Latn-ME"/>
        </w:rPr>
      </w:pPr>
    </w:p>
    <w:p w:rsidR="00962A9A" w:rsidRPr="00E42CBD" w:rsidRDefault="00E42CBD" w:rsidP="00663E76">
      <w:pPr>
        <w:jc w:val="both"/>
        <w:rPr>
          <w:rFonts w:ascii="Times New Roman" w:hAnsi="Times New Roman"/>
          <w:caps/>
          <w:sz w:val="22"/>
          <w:szCs w:val="22"/>
          <w:lang w:val="sr-Latn-ME"/>
        </w:rPr>
      </w:pPr>
      <w:r>
        <w:rPr>
          <w:rFonts w:ascii="Times New Roman" w:hAnsi="Times New Roman"/>
          <w:sz w:val="22"/>
          <w:szCs w:val="22"/>
          <w:lang w:val="sr-Latn-ME"/>
        </w:rPr>
        <w:t>Januar, 2017. godine</w:t>
      </w:r>
    </w:p>
    <w:sectPr w:rsidR="00962A9A" w:rsidRPr="00E42CBD" w:rsidSect="00F63BD6">
      <w:headerReference w:type="default" r:id="rId10"/>
      <w:footerReference w:type="default" r:id="rId11"/>
      <w:pgSz w:w="11900" w:h="16840" w:code="9"/>
      <w:pgMar w:top="1701" w:right="1134" w:bottom="1418"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AFB" w:rsidRDefault="00D07AFB">
      <w:r>
        <w:separator/>
      </w:r>
    </w:p>
  </w:endnote>
  <w:endnote w:type="continuationSeparator" w:id="0">
    <w:p w:rsidR="00D07AFB" w:rsidRDefault="00D0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C9" w:rsidRPr="007E4EC9" w:rsidRDefault="007E4EC9" w:rsidP="007E4EC9">
    <w:pPr>
      <w:pBdr>
        <w:top w:val="thinThickSmallGap" w:sz="24" w:space="1" w:color="auto"/>
      </w:pBdr>
      <w:tabs>
        <w:tab w:val="center" w:pos="4320"/>
        <w:tab w:val="right" w:pos="8640"/>
      </w:tabs>
      <w:jc w:val="center"/>
      <w:rPr>
        <w:rFonts w:ascii="Times New Roman" w:hAnsi="Times New Roman"/>
        <w:sz w:val="20"/>
        <w:lang w:val="sr-Latn-ME"/>
      </w:rPr>
    </w:pPr>
  </w:p>
  <w:p w:rsidR="007E4EC9" w:rsidRPr="007E4EC9" w:rsidRDefault="007E4EC9" w:rsidP="007E4EC9">
    <w:pPr>
      <w:tabs>
        <w:tab w:val="center" w:pos="4320"/>
        <w:tab w:val="right" w:pos="8640"/>
      </w:tabs>
      <w:jc w:val="center"/>
      <w:rPr>
        <w:rFonts w:ascii="Times New Roman" w:hAnsi="Times New Roman"/>
        <w:color w:val="E65900"/>
        <w:sz w:val="16"/>
        <w:szCs w:val="18"/>
        <w:lang w:val="sr-Latn-ME"/>
      </w:rPr>
    </w:pPr>
    <w:r w:rsidRPr="007E4EC9">
      <w:rPr>
        <w:rFonts w:ascii="Times New Roman" w:hAnsi="Times New Roman"/>
        <w:color w:val="FA0000"/>
        <w:sz w:val="16"/>
        <w:szCs w:val="18"/>
        <w:lang w:val="sr-Latn-ME"/>
      </w:rPr>
      <w:t>Agencija za ljekove i medicinska sredstva Crne Gore,</w:t>
    </w:r>
    <w:r w:rsidRPr="007E4EC9">
      <w:rPr>
        <w:rFonts w:ascii="Times New Roman" w:hAnsi="Times New Roman"/>
        <w:sz w:val="16"/>
        <w:szCs w:val="18"/>
        <w:lang w:val="sr-Latn-ME"/>
      </w:rPr>
      <w:t xml:space="preserve"> </w:t>
    </w:r>
    <w:r w:rsidRPr="007E4EC9">
      <w:rPr>
        <w:rFonts w:ascii="Times New Roman" w:hAnsi="Times New Roman"/>
        <w:color w:val="E65900"/>
        <w:sz w:val="16"/>
        <w:szCs w:val="18"/>
        <w:lang w:val="sr-Latn-ME"/>
      </w:rPr>
      <w:t>81000 Podgorica, Bul. Ivana Crnojevića 64a</w:t>
    </w:r>
  </w:p>
  <w:p w:rsidR="007E4EC9" w:rsidRPr="007E4EC9" w:rsidRDefault="007E4EC9" w:rsidP="007E4EC9">
    <w:pPr>
      <w:tabs>
        <w:tab w:val="center" w:pos="4320"/>
        <w:tab w:val="right" w:pos="8640"/>
      </w:tabs>
      <w:jc w:val="center"/>
      <w:rPr>
        <w:rFonts w:ascii="Times New Roman" w:hAnsi="Times New Roman"/>
        <w:color w:val="FA0000"/>
        <w:sz w:val="16"/>
        <w:szCs w:val="18"/>
        <w:lang w:val="sr-Latn-ME"/>
      </w:rPr>
    </w:pPr>
    <w:r w:rsidRPr="007E4EC9">
      <w:rPr>
        <w:rFonts w:ascii="Times New Roman" w:hAnsi="Times New Roman"/>
        <w:color w:val="E65900"/>
        <w:sz w:val="16"/>
        <w:szCs w:val="18"/>
        <w:lang w:val="sr-Latn-ME"/>
      </w:rPr>
      <w:t xml:space="preserve">tel: +382 (0) 20 310 280  </w:t>
    </w:r>
    <w:r w:rsidRPr="007E4EC9">
      <w:rPr>
        <w:rFonts w:ascii="Times New Roman" w:hAnsi="Times New Roman"/>
        <w:color w:val="FA0000"/>
        <w:sz w:val="16"/>
        <w:szCs w:val="18"/>
        <w:lang w:val="sr-Latn-ME"/>
      </w:rPr>
      <w:t>fax: +382 (0) 20 310 581,</w:t>
    </w:r>
    <w:r w:rsidRPr="007E4EC9">
      <w:rPr>
        <w:rFonts w:ascii="Times New Roman" w:hAnsi="Times New Roman"/>
        <w:sz w:val="16"/>
        <w:szCs w:val="18"/>
        <w:lang w:val="sr-Latn-ME"/>
      </w:rPr>
      <w:t xml:space="preserve"> </w:t>
    </w:r>
    <w:r w:rsidRPr="007E4EC9">
      <w:rPr>
        <w:rFonts w:ascii="Times New Roman" w:hAnsi="Times New Roman"/>
        <w:color w:val="E65900"/>
        <w:sz w:val="16"/>
        <w:szCs w:val="18"/>
        <w:lang w:val="sr-Latn-ME"/>
      </w:rPr>
      <w:t>e-mail: info@calims.me,</w:t>
    </w:r>
    <w:r w:rsidRPr="007E4EC9">
      <w:rPr>
        <w:rFonts w:ascii="Times New Roman" w:hAnsi="Times New Roman"/>
        <w:sz w:val="16"/>
        <w:szCs w:val="18"/>
        <w:lang w:val="sr-Latn-ME"/>
      </w:rPr>
      <w:t xml:space="preserve"> </w:t>
    </w:r>
    <w:r w:rsidRPr="007E4EC9">
      <w:rPr>
        <w:rFonts w:ascii="Times New Roman" w:hAnsi="Times New Roman"/>
        <w:color w:val="FA0000"/>
        <w:sz w:val="16"/>
        <w:szCs w:val="18"/>
        <w:lang w:val="sr-Latn-ME"/>
      </w:rPr>
      <w:t>www.calims.me</w:t>
    </w:r>
    <w:r w:rsidRPr="007E4EC9">
      <w:rPr>
        <w:rFonts w:ascii="Times New Roman" w:hAnsi="Times New Roman"/>
        <w:sz w:val="16"/>
        <w:szCs w:val="18"/>
        <w:lang w:val="sr-Latn-ME"/>
      </w:rPr>
      <w:t xml:space="preserve">, </w:t>
    </w:r>
    <w:r w:rsidRPr="007E4EC9">
      <w:rPr>
        <w:rFonts w:ascii="Times New Roman" w:hAnsi="Times New Roman"/>
        <w:color w:val="E65900"/>
        <w:sz w:val="16"/>
        <w:szCs w:val="18"/>
        <w:lang w:val="sr-Latn-ME"/>
      </w:rPr>
      <w:t>PIB: 02739658,</w:t>
    </w:r>
    <w:r w:rsidRPr="007E4EC9">
      <w:rPr>
        <w:rFonts w:ascii="Times New Roman" w:hAnsi="Times New Roman"/>
        <w:sz w:val="16"/>
        <w:szCs w:val="18"/>
        <w:lang w:val="sr-Latn-ME"/>
      </w:rPr>
      <w:t xml:space="preserve"> </w:t>
    </w:r>
    <w:r w:rsidRPr="007E4EC9">
      <w:rPr>
        <w:rFonts w:ascii="Times New Roman" w:hAnsi="Times New Roman"/>
        <w:color w:val="FA0000"/>
        <w:sz w:val="16"/>
        <w:szCs w:val="18"/>
        <w:lang w:val="sr-Latn-ME"/>
      </w:rPr>
      <w:t>žiro račun: 520-3603-33</w:t>
    </w:r>
  </w:p>
  <w:p w:rsidR="007E4EC9" w:rsidRPr="007E4EC9" w:rsidRDefault="007E4EC9" w:rsidP="007E4EC9">
    <w:pPr>
      <w:tabs>
        <w:tab w:val="center" w:pos="4320"/>
        <w:tab w:val="right" w:pos="8640"/>
      </w:tabs>
      <w:jc w:val="center"/>
      <w:rPr>
        <w:rFonts w:ascii="Times New Roman" w:hAnsi="Times New Roman"/>
        <w:sz w:val="16"/>
        <w:szCs w:val="18"/>
        <w:lang w:val="sr-Latn-ME"/>
      </w:rPr>
    </w:pPr>
  </w:p>
  <w:p w:rsidR="007E4EC9" w:rsidRPr="007E4EC9" w:rsidRDefault="007E4EC9" w:rsidP="007E4EC9">
    <w:pPr>
      <w:tabs>
        <w:tab w:val="center" w:pos="4320"/>
        <w:tab w:val="right" w:pos="8640"/>
      </w:tabs>
      <w:rPr>
        <w:rFonts w:ascii="Times New Roman" w:hAnsi="Times New Roman"/>
        <w:sz w:val="20"/>
        <w:lang w:val="sr-Latn-ME"/>
      </w:rPr>
    </w:pPr>
  </w:p>
  <w:p w:rsidR="007E4EC9" w:rsidRPr="007E4EC9" w:rsidRDefault="007E4EC9" w:rsidP="007E4EC9">
    <w:pPr>
      <w:tabs>
        <w:tab w:val="center" w:pos="4320"/>
        <w:tab w:val="right" w:pos="8640"/>
      </w:tabs>
      <w:jc w:val="center"/>
      <w:rPr>
        <w:rFonts w:ascii="Times New Roman" w:hAnsi="Times New Roman"/>
        <w:sz w:val="22"/>
        <w:szCs w:val="22"/>
        <w:lang w:val="sr-Latn-ME"/>
      </w:rPr>
    </w:pPr>
    <w:r w:rsidRPr="007E4EC9">
      <w:rPr>
        <w:rFonts w:ascii="Times New Roman" w:hAnsi="Times New Roman"/>
        <w:sz w:val="20"/>
        <w:lang w:val="sr-Latn-ME"/>
      </w:rPr>
      <w:fldChar w:fldCharType="begin"/>
    </w:r>
    <w:r w:rsidRPr="007E4EC9">
      <w:rPr>
        <w:rFonts w:ascii="Times New Roman" w:hAnsi="Times New Roman"/>
        <w:sz w:val="20"/>
        <w:lang w:val="sr-Latn-ME"/>
      </w:rPr>
      <w:instrText xml:space="preserve"> PAGE </w:instrText>
    </w:r>
    <w:r w:rsidRPr="007E4EC9">
      <w:rPr>
        <w:rFonts w:ascii="Times New Roman" w:hAnsi="Times New Roman"/>
        <w:sz w:val="20"/>
        <w:lang w:val="sr-Latn-ME"/>
      </w:rPr>
      <w:fldChar w:fldCharType="separate"/>
    </w:r>
    <w:r w:rsidR="00736453">
      <w:rPr>
        <w:rFonts w:ascii="Times New Roman" w:hAnsi="Times New Roman"/>
        <w:noProof/>
        <w:sz w:val="20"/>
        <w:lang w:val="sr-Latn-ME"/>
      </w:rPr>
      <w:t>2</w:t>
    </w:r>
    <w:r w:rsidRPr="007E4EC9">
      <w:rPr>
        <w:rFonts w:ascii="Times New Roman" w:hAnsi="Times New Roman"/>
        <w:sz w:val="20"/>
        <w:lang w:val="sr-Latn-ME"/>
      </w:rPr>
      <w:fldChar w:fldCharType="end"/>
    </w:r>
    <w:r w:rsidRPr="007E4EC9">
      <w:rPr>
        <w:rFonts w:ascii="Times New Roman" w:hAnsi="Times New Roman"/>
        <w:sz w:val="20"/>
        <w:lang w:val="sr-Latn-ME"/>
      </w:rPr>
      <w:t xml:space="preserve"> / </w:t>
    </w:r>
    <w:r w:rsidRPr="007E4EC9">
      <w:rPr>
        <w:rFonts w:ascii="Times New Roman" w:hAnsi="Times New Roman"/>
        <w:sz w:val="20"/>
        <w:lang w:val="sr-Latn-ME"/>
      </w:rPr>
      <w:fldChar w:fldCharType="begin"/>
    </w:r>
    <w:r w:rsidRPr="007E4EC9">
      <w:rPr>
        <w:rFonts w:ascii="Times New Roman" w:hAnsi="Times New Roman"/>
        <w:sz w:val="20"/>
        <w:lang w:val="sr-Latn-ME"/>
      </w:rPr>
      <w:instrText xml:space="preserve"> NUMPAGES </w:instrText>
    </w:r>
    <w:r w:rsidRPr="007E4EC9">
      <w:rPr>
        <w:rFonts w:ascii="Times New Roman" w:hAnsi="Times New Roman"/>
        <w:sz w:val="20"/>
        <w:lang w:val="sr-Latn-ME"/>
      </w:rPr>
      <w:fldChar w:fldCharType="separate"/>
    </w:r>
    <w:r w:rsidR="00736453">
      <w:rPr>
        <w:rFonts w:ascii="Times New Roman" w:hAnsi="Times New Roman"/>
        <w:noProof/>
        <w:sz w:val="20"/>
        <w:lang w:val="sr-Latn-ME"/>
      </w:rPr>
      <w:t>12</w:t>
    </w:r>
    <w:r w:rsidRPr="007E4EC9">
      <w:rPr>
        <w:rFonts w:ascii="Times New Roman" w:hAnsi="Times New Roman"/>
        <w:sz w:val="20"/>
        <w:lang w:val="sr-Latn-ME"/>
      </w:rPr>
      <w:fldChar w:fldCharType="end"/>
    </w:r>
  </w:p>
  <w:p w:rsidR="00AD71A9" w:rsidRPr="00545340" w:rsidRDefault="00AD71A9" w:rsidP="007E4EC9">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AFB" w:rsidRDefault="00D07AFB">
      <w:r>
        <w:separator/>
      </w:r>
    </w:p>
  </w:footnote>
  <w:footnote w:type="continuationSeparator" w:id="0">
    <w:p w:rsidR="00D07AFB" w:rsidRDefault="00D07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EC9" w:rsidRPr="007E4EC9" w:rsidRDefault="007E4EC9" w:rsidP="007E4EC9">
    <w:pPr>
      <w:tabs>
        <w:tab w:val="center" w:pos="4320"/>
        <w:tab w:val="right" w:pos="8640"/>
      </w:tabs>
      <w:rPr>
        <w:rFonts w:ascii="Times New Roman" w:hAnsi="Times New Roman"/>
        <w:sz w:val="16"/>
        <w:szCs w:val="16"/>
        <w:lang w:val="sr-Latn-ME"/>
      </w:rPr>
    </w:pPr>
  </w:p>
  <w:p w:rsidR="007E4EC9" w:rsidRPr="007E4EC9" w:rsidRDefault="007E4EC9" w:rsidP="007E4EC9">
    <w:pPr>
      <w:pBdr>
        <w:top w:val="thinThickSmallGap" w:sz="24" w:space="2" w:color="auto"/>
      </w:pBdr>
      <w:tabs>
        <w:tab w:val="left" w:pos="2775"/>
      </w:tabs>
      <w:rPr>
        <w:rFonts w:ascii="Times New Roman" w:hAnsi="Times New Roman"/>
        <w:sz w:val="16"/>
        <w:szCs w:val="16"/>
        <w:lang w:val="sr-Latn-ME"/>
      </w:rPr>
    </w:pPr>
    <w:r w:rsidRPr="007E4EC9">
      <w:rPr>
        <w:rFonts w:ascii="Times New Roman" w:hAnsi="Times New Roman"/>
        <w:noProof/>
        <w:sz w:val="16"/>
        <w:szCs w:val="16"/>
      </w:rPr>
      <w:drawing>
        <wp:inline distT="0" distB="0" distL="0" distR="0" wp14:anchorId="6003954B" wp14:editId="048354DD">
          <wp:extent cx="1419225" cy="971550"/>
          <wp:effectExtent l="0" t="0" r="9525"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7E4EC9">
      <w:rPr>
        <w:rFonts w:ascii="Times New Roman" w:hAnsi="Times New Roman"/>
        <w:sz w:val="16"/>
        <w:szCs w:val="16"/>
        <w:lang w:val="sr-Latn-ME"/>
      </w:rPr>
      <w:tab/>
    </w:r>
  </w:p>
  <w:p w:rsidR="00AD71A9" w:rsidRPr="007E4EC9" w:rsidRDefault="00AD71A9" w:rsidP="007E4EC9">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1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72577"/>
    <w:multiLevelType w:val="hybridMultilevel"/>
    <w:tmpl w:val="761EE1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824B5"/>
    <w:multiLevelType w:val="hybridMultilevel"/>
    <w:tmpl w:val="E6B0B490"/>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717F1C"/>
    <w:multiLevelType w:val="hybridMultilevel"/>
    <w:tmpl w:val="9E2EBD0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55819"/>
    <w:multiLevelType w:val="hybridMultilevel"/>
    <w:tmpl w:val="24DEDC1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64DC9"/>
    <w:multiLevelType w:val="hybridMultilevel"/>
    <w:tmpl w:val="A5424766"/>
    <w:lvl w:ilvl="0" w:tplc="83245C9A">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735FC"/>
    <w:multiLevelType w:val="singleLevel"/>
    <w:tmpl w:val="6C2C553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280954"/>
    <w:multiLevelType w:val="singleLevel"/>
    <w:tmpl w:val="6C2C553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717827"/>
    <w:multiLevelType w:val="singleLevel"/>
    <w:tmpl w:val="6C2C553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156D4D"/>
    <w:multiLevelType w:val="multilevel"/>
    <w:tmpl w:val="DDCC9DCE"/>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A16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F8433B"/>
    <w:multiLevelType w:val="hybridMultilevel"/>
    <w:tmpl w:val="E31AEE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E3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671930"/>
    <w:multiLevelType w:val="hybridMultilevel"/>
    <w:tmpl w:val="115A231E"/>
    <w:lvl w:ilvl="0" w:tplc="83245C9A">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720"/>
        </w:tabs>
        <w:ind w:left="720" w:hanging="360"/>
      </w:pPr>
      <w:rPr>
        <w:rFonts w:ascii="Courier New" w:hAnsi="Courier New" w:cs="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480243A3"/>
    <w:multiLevelType w:val="hybridMultilevel"/>
    <w:tmpl w:val="248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62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EA7E91"/>
    <w:multiLevelType w:val="hybridMultilevel"/>
    <w:tmpl w:val="BDB4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213A7"/>
    <w:multiLevelType w:val="singleLevel"/>
    <w:tmpl w:val="6C2C553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EC46F1C"/>
    <w:multiLevelType w:val="hybridMultilevel"/>
    <w:tmpl w:val="9CEEBE10"/>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C53688"/>
    <w:multiLevelType w:val="hybridMultilevel"/>
    <w:tmpl w:val="8B780460"/>
    <w:lvl w:ilvl="0" w:tplc="83245C9A">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6527B"/>
    <w:multiLevelType w:val="hybridMultilevel"/>
    <w:tmpl w:val="E24AD9E0"/>
    <w:lvl w:ilvl="0" w:tplc="83245C9A">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4527411"/>
    <w:multiLevelType w:val="hybridMultilevel"/>
    <w:tmpl w:val="1C8C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B66485"/>
    <w:multiLevelType w:val="hybridMultilevel"/>
    <w:tmpl w:val="2378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F7B67"/>
    <w:multiLevelType w:val="singleLevel"/>
    <w:tmpl w:val="6C2C553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1668AE"/>
    <w:multiLevelType w:val="hybridMultilevel"/>
    <w:tmpl w:val="1B2481E4"/>
    <w:lvl w:ilvl="0" w:tplc="83245C9A">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320B0D"/>
    <w:multiLevelType w:val="singleLevel"/>
    <w:tmpl w:val="6C2C5532"/>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3"/>
  </w:num>
  <w:num w:numId="3">
    <w:abstractNumId w:val="12"/>
  </w:num>
  <w:num w:numId="4">
    <w:abstractNumId w:val="0"/>
  </w:num>
  <w:num w:numId="5">
    <w:abstractNumId w:val="10"/>
  </w:num>
  <w:num w:numId="6">
    <w:abstractNumId w:val="25"/>
  </w:num>
  <w:num w:numId="7">
    <w:abstractNumId w:val="7"/>
  </w:num>
  <w:num w:numId="8">
    <w:abstractNumId w:val="8"/>
  </w:num>
  <w:num w:numId="9">
    <w:abstractNumId w:val="17"/>
  </w:num>
  <w:num w:numId="10">
    <w:abstractNumId w:val="6"/>
  </w:num>
  <w:num w:numId="11">
    <w:abstractNumId w:val="11"/>
  </w:num>
  <w:num w:numId="12">
    <w:abstractNumId w:val="9"/>
  </w:num>
  <w:num w:numId="13">
    <w:abstractNumId w:val="1"/>
  </w:num>
  <w:num w:numId="14">
    <w:abstractNumId w:val="24"/>
  </w:num>
  <w:num w:numId="15">
    <w:abstractNumId w:val="13"/>
  </w:num>
  <w:num w:numId="16">
    <w:abstractNumId w:val="4"/>
  </w:num>
  <w:num w:numId="17">
    <w:abstractNumId w:val="3"/>
  </w:num>
  <w:num w:numId="18">
    <w:abstractNumId w:val="19"/>
  </w:num>
  <w:num w:numId="19">
    <w:abstractNumId w:val="5"/>
  </w:num>
  <w:num w:numId="20">
    <w:abstractNumId w:val="20"/>
  </w:num>
  <w:num w:numId="21">
    <w:abstractNumId w:val="18"/>
  </w:num>
  <w:num w:numId="22">
    <w:abstractNumId w:val="2"/>
  </w:num>
  <w:num w:numId="23">
    <w:abstractNumId w:val="16"/>
  </w:num>
  <w:num w:numId="24">
    <w:abstractNumId w:val="22"/>
  </w:num>
  <w:num w:numId="25">
    <w:abstractNumId w:val="2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D0"/>
    <w:rsid w:val="00002901"/>
    <w:rsid w:val="00005BBE"/>
    <w:rsid w:val="000067CA"/>
    <w:rsid w:val="000158CA"/>
    <w:rsid w:val="00017BCA"/>
    <w:rsid w:val="000204D2"/>
    <w:rsid w:val="00020F25"/>
    <w:rsid w:val="000212A4"/>
    <w:rsid w:val="000214AA"/>
    <w:rsid w:val="000257BE"/>
    <w:rsid w:val="00030B5E"/>
    <w:rsid w:val="00030EC8"/>
    <w:rsid w:val="000328EB"/>
    <w:rsid w:val="00033508"/>
    <w:rsid w:val="0003705D"/>
    <w:rsid w:val="0004449C"/>
    <w:rsid w:val="000577E0"/>
    <w:rsid w:val="00060903"/>
    <w:rsid w:val="000635E7"/>
    <w:rsid w:val="00064955"/>
    <w:rsid w:val="00067997"/>
    <w:rsid w:val="00070CEE"/>
    <w:rsid w:val="000747B3"/>
    <w:rsid w:val="00075222"/>
    <w:rsid w:val="000818F4"/>
    <w:rsid w:val="00087896"/>
    <w:rsid w:val="00092F3C"/>
    <w:rsid w:val="000934FC"/>
    <w:rsid w:val="00093E86"/>
    <w:rsid w:val="00094EA8"/>
    <w:rsid w:val="000A4D30"/>
    <w:rsid w:val="000A529E"/>
    <w:rsid w:val="000B322C"/>
    <w:rsid w:val="000B543E"/>
    <w:rsid w:val="000C18F8"/>
    <w:rsid w:val="000C3806"/>
    <w:rsid w:val="000D06F0"/>
    <w:rsid w:val="000D2225"/>
    <w:rsid w:val="000D56B1"/>
    <w:rsid w:val="000D7DBC"/>
    <w:rsid w:val="000E0D7F"/>
    <w:rsid w:val="000E35AB"/>
    <w:rsid w:val="000E6A9B"/>
    <w:rsid w:val="000F2E18"/>
    <w:rsid w:val="000F6BE5"/>
    <w:rsid w:val="001036C9"/>
    <w:rsid w:val="001063C9"/>
    <w:rsid w:val="00111428"/>
    <w:rsid w:val="00113E91"/>
    <w:rsid w:val="001201A3"/>
    <w:rsid w:val="001201F6"/>
    <w:rsid w:val="0012277A"/>
    <w:rsid w:val="00125172"/>
    <w:rsid w:val="001262B2"/>
    <w:rsid w:val="00126C3E"/>
    <w:rsid w:val="001271EA"/>
    <w:rsid w:val="00136F1A"/>
    <w:rsid w:val="001443B7"/>
    <w:rsid w:val="001500BB"/>
    <w:rsid w:val="001564E0"/>
    <w:rsid w:val="00156876"/>
    <w:rsid w:val="00160432"/>
    <w:rsid w:val="00163A83"/>
    <w:rsid w:val="00164005"/>
    <w:rsid w:val="001643C4"/>
    <w:rsid w:val="00164F83"/>
    <w:rsid w:val="00166574"/>
    <w:rsid w:val="00167E98"/>
    <w:rsid w:val="00174535"/>
    <w:rsid w:val="001756EC"/>
    <w:rsid w:val="00180726"/>
    <w:rsid w:val="00180B38"/>
    <w:rsid w:val="0018696D"/>
    <w:rsid w:val="001875CD"/>
    <w:rsid w:val="001943C7"/>
    <w:rsid w:val="001A13F6"/>
    <w:rsid w:val="001A3757"/>
    <w:rsid w:val="001B06DE"/>
    <w:rsid w:val="001B4D34"/>
    <w:rsid w:val="001C2C66"/>
    <w:rsid w:val="001C3DA9"/>
    <w:rsid w:val="001D0C0E"/>
    <w:rsid w:val="001D15A5"/>
    <w:rsid w:val="001D79EF"/>
    <w:rsid w:val="001E2421"/>
    <w:rsid w:val="001E5535"/>
    <w:rsid w:val="001E5A25"/>
    <w:rsid w:val="001F16EE"/>
    <w:rsid w:val="001F477D"/>
    <w:rsid w:val="00203BF7"/>
    <w:rsid w:val="00204031"/>
    <w:rsid w:val="00206035"/>
    <w:rsid w:val="0021219A"/>
    <w:rsid w:val="0021519B"/>
    <w:rsid w:val="00215288"/>
    <w:rsid w:val="00215731"/>
    <w:rsid w:val="00226D10"/>
    <w:rsid w:val="00226FBC"/>
    <w:rsid w:val="00227758"/>
    <w:rsid w:val="00231A72"/>
    <w:rsid w:val="00231F88"/>
    <w:rsid w:val="00234505"/>
    <w:rsid w:val="00234550"/>
    <w:rsid w:val="00236CE1"/>
    <w:rsid w:val="00240014"/>
    <w:rsid w:val="00243108"/>
    <w:rsid w:val="002509DC"/>
    <w:rsid w:val="00254B2C"/>
    <w:rsid w:val="00263625"/>
    <w:rsid w:val="00264584"/>
    <w:rsid w:val="0026591D"/>
    <w:rsid w:val="00270784"/>
    <w:rsid w:val="00270CF4"/>
    <w:rsid w:val="002807CE"/>
    <w:rsid w:val="0028600B"/>
    <w:rsid w:val="002971F3"/>
    <w:rsid w:val="002A238C"/>
    <w:rsid w:val="002B1DEE"/>
    <w:rsid w:val="002B1EB2"/>
    <w:rsid w:val="002B2FE5"/>
    <w:rsid w:val="002B5B0A"/>
    <w:rsid w:val="002B7720"/>
    <w:rsid w:val="002C3EDC"/>
    <w:rsid w:val="002D052C"/>
    <w:rsid w:val="002D4D50"/>
    <w:rsid w:val="002D7853"/>
    <w:rsid w:val="002E013E"/>
    <w:rsid w:val="002E3B8D"/>
    <w:rsid w:val="002E4F4F"/>
    <w:rsid w:val="002F1B22"/>
    <w:rsid w:val="002F7499"/>
    <w:rsid w:val="00305CCA"/>
    <w:rsid w:val="0030663A"/>
    <w:rsid w:val="0031122A"/>
    <w:rsid w:val="0031343A"/>
    <w:rsid w:val="003157E7"/>
    <w:rsid w:val="003225DF"/>
    <w:rsid w:val="003227F3"/>
    <w:rsid w:val="00324C94"/>
    <w:rsid w:val="00324D0F"/>
    <w:rsid w:val="003317F3"/>
    <w:rsid w:val="00331AAE"/>
    <w:rsid w:val="003361A4"/>
    <w:rsid w:val="003415C3"/>
    <w:rsid w:val="00342CB0"/>
    <w:rsid w:val="00343325"/>
    <w:rsid w:val="00353C8C"/>
    <w:rsid w:val="00354958"/>
    <w:rsid w:val="00354CB4"/>
    <w:rsid w:val="0035693D"/>
    <w:rsid w:val="003603A5"/>
    <w:rsid w:val="003618B5"/>
    <w:rsid w:val="003633C4"/>
    <w:rsid w:val="00365200"/>
    <w:rsid w:val="0036576D"/>
    <w:rsid w:val="003659A5"/>
    <w:rsid w:val="00366253"/>
    <w:rsid w:val="00366468"/>
    <w:rsid w:val="00367832"/>
    <w:rsid w:val="00371DED"/>
    <w:rsid w:val="00372C04"/>
    <w:rsid w:val="003732FD"/>
    <w:rsid w:val="003742BA"/>
    <w:rsid w:val="00374BF0"/>
    <w:rsid w:val="003751C3"/>
    <w:rsid w:val="003769AE"/>
    <w:rsid w:val="00382241"/>
    <w:rsid w:val="0038467B"/>
    <w:rsid w:val="00384743"/>
    <w:rsid w:val="00384D7A"/>
    <w:rsid w:val="0038530F"/>
    <w:rsid w:val="0038600A"/>
    <w:rsid w:val="0039722E"/>
    <w:rsid w:val="00397C59"/>
    <w:rsid w:val="003A05C8"/>
    <w:rsid w:val="003A2734"/>
    <w:rsid w:val="003A2B78"/>
    <w:rsid w:val="003A5554"/>
    <w:rsid w:val="003B2F96"/>
    <w:rsid w:val="003B45FF"/>
    <w:rsid w:val="003B505D"/>
    <w:rsid w:val="003C1741"/>
    <w:rsid w:val="003C3F97"/>
    <w:rsid w:val="003C4983"/>
    <w:rsid w:val="003C6874"/>
    <w:rsid w:val="003C6A88"/>
    <w:rsid w:val="003D063A"/>
    <w:rsid w:val="003D32F7"/>
    <w:rsid w:val="003D64D5"/>
    <w:rsid w:val="003E18A1"/>
    <w:rsid w:val="003E1A11"/>
    <w:rsid w:val="003E6469"/>
    <w:rsid w:val="003F2F0D"/>
    <w:rsid w:val="00402635"/>
    <w:rsid w:val="00402E51"/>
    <w:rsid w:val="0040335A"/>
    <w:rsid w:val="00404F8D"/>
    <w:rsid w:val="00405123"/>
    <w:rsid w:val="00405257"/>
    <w:rsid w:val="004113EF"/>
    <w:rsid w:val="00413A98"/>
    <w:rsid w:val="004160FB"/>
    <w:rsid w:val="004208BD"/>
    <w:rsid w:val="004221CD"/>
    <w:rsid w:val="00422A9A"/>
    <w:rsid w:val="00425FE5"/>
    <w:rsid w:val="004309A6"/>
    <w:rsid w:val="00431457"/>
    <w:rsid w:val="00435A84"/>
    <w:rsid w:val="004373E6"/>
    <w:rsid w:val="00442C99"/>
    <w:rsid w:val="0044508C"/>
    <w:rsid w:val="00447CB6"/>
    <w:rsid w:val="00457138"/>
    <w:rsid w:val="00460D67"/>
    <w:rsid w:val="00463202"/>
    <w:rsid w:val="00463539"/>
    <w:rsid w:val="00470C1C"/>
    <w:rsid w:val="00480B91"/>
    <w:rsid w:val="00480E41"/>
    <w:rsid w:val="00486E4A"/>
    <w:rsid w:val="0049120A"/>
    <w:rsid w:val="004912B7"/>
    <w:rsid w:val="00492672"/>
    <w:rsid w:val="0049470C"/>
    <w:rsid w:val="0049770C"/>
    <w:rsid w:val="00497D78"/>
    <w:rsid w:val="004A101C"/>
    <w:rsid w:val="004A4056"/>
    <w:rsid w:val="004A4293"/>
    <w:rsid w:val="004A4A21"/>
    <w:rsid w:val="004A586C"/>
    <w:rsid w:val="004A5940"/>
    <w:rsid w:val="004A7884"/>
    <w:rsid w:val="004B4BA6"/>
    <w:rsid w:val="004C499B"/>
    <w:rsid w:val="004C56F8"/>
    <w:rsid w:val="004E30A7"/>
    <w:rsid w:val="004E30DC"/>
    <w:rsid w:val="004E5771"/>
    <w:rsid w:val="004E5F74"/>
    <w:rsid w:val="004E6357"/>
    <w:rsid w:val="004F002B"/>
    <w:rsid w:val="004F1536"/>
    <w:rsid w:val="004F3762"/>
    <w:rsid w:val="004F62DA"/>
    <w:rsid w:val="004F7F63"/>
    <w:rsid w:val="005023F6"/>
    <w:rsid w:val="0051017F"/>
    <w:rsid w:val="00512A1A"/>
    <w:rsid w:val="005143B3"/>
    <w:rsid w:val="00515B24"/>
    <w:rsid w:val="00516D28"/>
    <w:rsid w:val="0052146A"/>
    <w:rsid w:val="00523A3F"/>
    <w:rsid w:val="005315B1"/>
    <w:rsid w:val="00532BE5"/>
    <w:rsid w:val="0053737B"/>
    <w:rsid w:val="00537BCB"/>
    <w:rsid w:val="00545340"/>
    <w:rsid w:val="00545BF4"/>
    <w:rsid w:val="00545C88"/>
    <w:rsid w:val="0054670A"/>
    <w:rsid w:val="005544D3"/>
    <w:rsid w:val="00554F8E"/>
    <w:rsid w:val="0056168D"/>
    <w:rsid w:val="0056675A"/>
    <w:rsid w:val="00570344"/>
    <w:rsid w:val="005717B2"/>
    <w:rsid w:val="0057281E"/>
    <w:rsid w:val="005813C7"/>
    <w:rsid w:val="00583631"/>
    <w:rsid w:val="00584239"/>
    <w:rsid w:val="00586A03"/>
    <w:rsid w:val="00590BA8"/>
    <w:rsid w:val="0059101D"/>
    <w:rsid w:val="00591B0E"/>
    <w:rsid w:val="0059217E"/>
    <w:rsid w:val="005929B2"/>
    <w:rsid w:val="0059799E"/>
    <w:rsid w:val="005A0722"/>
    <w:rsid w:val="005A1191"/>
    <w:rsid w:val="005A2B95"/>
    <w:rsid w:val="005A4C97"/>
    <w:rsid w:val="005A4F93"/>
    <w:rsid w:val="005A5526"/>
    <w:rsid w:val="005A6A3E"/>
    <w:rsid w:val="005A6CDB"/>
    <w:rsid w:val="005B0176"/>
    <w:rsid w:val="005B4604"/>
    <w:rsid w:val="005B4FB3"/>
    <w:rsid w:val="005B5564"/>
    <w:rsid w:val="005B5B75"/>
    <w:rsid w:val="005B7C22"/>
    <w:rsid w:val="005C4801"/>
    <w:rsid w:val="005C6814"/>
    <w:rsid w:val="005D4025"/>
    <w:rsid w:val="005E6E5A"/>
    <w:rsid w:val="005F228B"/>
    <w:rsid w:val="005F2804"/>
    <w:rsid w:val="00600A3C"/>
    <w:rsid w:val="00601882"/>
    <w:rsid w:val="00611BE8"/>
    <w:rsid w:val="00615837"/>
    <w:rsid w:val="006248F4"/>
    <w:rsid w:val="00626480"/>
    <w:rsid w:val="006266A4"/>
    <w:rsid w:val="006305C4"/>
    <w:rsid w:val="00630658"/>
    <w:rsid w:val="00633091"/>
    <w:rsid w:val="00641E9F"/>
    <w:rsid w:val="00642D2C"/>
    <w:rsid w:val="006474CD"/>
    <w:rsid w:val="00654C50"/>
    <w:rsid w:val="0065770A"/>
    <w:rsid w:val="00663E76"/>
    <w:rsid w:val="00667B3C"/>
    <w:rsid w:val="00671A84"/>
    <w:rsid w:val="00672189"/>
    <w:rsid w:val="0067516A"/>
    <w:rsid w:val="00681320"/>
    <w:rsid w:val="006827C1"/>
    <w:rsid w:val="00682E4C"/>
    <w:rsid w:val="006846D9"/>
    <w:rsid w:val="00686068"/>
    <w:rsid w:val="00686BCA"/>
    <w:rsid w:val="00691B80"/>
    <w:rsid w:val="00692262"/>
    <w:rsid w:val="00694138"/>
    <w:rsid w:val="00695AA7"/>
    <w:rsid w:val="00697201"/>
    <w:rsid w:val="006A220C"/>
    <w:rsid w:val="006A7A2C"/>
    <w:rsid w:val="006B0257"/>
    <w:rsid w:val="006B130D"/>
    <w:rsid w:val="006B2BAA"/>
    <w:rsid w:val="006B3B76"/>
    <w:rsid w:val="006B6A8E"/>
    <w:rsid w:val="006C6F64"/>
    <w:rsid w:val="006C7397"/>
    <w:rsid w:val="006C7F5D"/>
    <w:rsid w:val="006D6619"/>
    <w:rsid w:val="006E1462"/>
    <w:rsid w:val="006E2848"/>
    <w:rsid w:val="006F0814"/>
    <w:rsid w:val="006F2214"/>
    <w:rsid w:val="006F28F2"/>
    <w:rsid w:val="006F3836"/>
    <w:rsid w:val="006F45B5"/>
    <w:rsid w:val="006F5DEA"/>
    <w:rsid w:val="006F75B1"/>
    <w:rsid w:val="00700095"/>
    <w:rsid w:val="0070027F"/>
    <w:rsid w:val="007046A8"/>
    <w:rsid w:val="00704AB8"/>
    <w:rsid w:val="0070641F"/>
    <w:rsid w:val="00716F02"/>
    <w:rsid w:val="00717B44"/>
    <w:rsid w:val="00725E0A"/>
    <w:rsid w:val="007309EA"/>
    <w:rsid w:val="007325BC"/>
    <w:rsid w:val="0073371F"/>
    <w:rsid w:val="00736453"/>
    <w:rsid w:val="00737F2D"/>
    <w:rsid w:val="00741C7E"/>
    <w:rsid w:val="00753138"/>
    <w:rsid w:val="007539A0"/>
    <w:rsid w:val="00754BEE"/>
    <w:rsid w:val="007556D3"/>
    <w:rsid w:val="007636FE"/>
    <w:rsid w:val="00767922"/>
    <w:rsid w:val="007748E5"/>
    <w:rsid w:val="00775C78"/>
    <w:rsid w:val="00780AC2"/>
    <w:rsid w:val="00794EAA"/>
    <w:rsid w:val="007968BE"/>
    <w:rsid w:val="007A1054"/>
    <w:rsid w:val="007A4B7C"/>
    <w:rsid w:val="007B653C"/>
    <w:rsid w:val="007C07D8"/>
    <w:rsid w:val="007D56DC"/>
    <w:rsid w:val="007E0791"/>
    <w:rsid w:val="007E4EC9"/>
    <w:rsid w:val="007E500B"/>
    <w:rsid w:val="007E5B5B"/>
    <w:rsid w:val="007F064B"/>
    <w:rsid w:val="007F1A1A"/>
    <w:rsid w:val="007F3489"/>
    <w:rsid w:val="007F5A81"/>
    <w:rsid w:val="008001F6"/>
    <w:rsid w:val="00800AF6"/>
    <w:rsid w:val="008016ED"/>
    <w:rsid w:val="00805734"/>
    <w:rsid w:val="0080609B"/>
    <w:rsid w:val="00807B3C"/>
    <w:rsid w:val="00813A6D"/>
    <w:rsid w:val="00822D33"/>
    <w:rsid w:val="00822F3D"/>
    <w:rsid w:val="00837C5A"/>
    <w:rsid w:val="008406FC"/>
    <w:rsid w:val="00844616"/>
    <w:rsid w:val="0085186A"/>
    <w:rsid w:val="008570D4"/>
    <w:rsid w:val="00865EF5"/>
    <w:rsid w:val="00873064"/>
    <w:rsid w:val="0087423F"/>
    <w:rsid w:val="00874921"/>
    <w:rsid w:val="008774E7"/>
    <w:rsid w:val="008841E4"/>
    <w:rsid w:val="0088507F"/>
    <w:rsid w:val="00885DCB"/>
    <w:rsid w:val="00887E3F"/>
    <w:rsid w:val="00891844"/>
    <w:rsid w:val="00892A6F"/>
    <w:rsid w:val="008A1041"/>
    <w:rsid w:val="008A1914"/>
    <w:rsid w:val="008A418C"/>
    <w:rsid w:val="008A5177"/>
    <w:rsid w:val="008B2346"/>
    <w:rsid w:val="008C0C63"/>
    <w:rsid w:val="008C67E7"/>
    <w:rsid w:val="008D1790"/>
    <w:rsid w:val="008D74ED"/>
    <w:rsid w:val="008D7837"/>
    <w:rsid w:val="008E2B45"/>
    <w:rsid w:val="008E3BB5"/>
    <w:rsid w:val="008E6A64"/>
    <w:rsid w:val="008F57E0"/>
    <w:rsid w:val="00901DDF"/>
    <w:rsid w:val="0090519E"/>
    <w:rsid w:val="009064EB"/>
    <w:rsid w:val="00912BC2"/>
    <w:rsid w:val="00915F31"/>
    <w:rsid w:val="00921308"/>
    <w:rsid w:val="00921CAF"/>
    <w:rsid w:val="00921EF8"/>
    <w:rsid w:val="00925A84"/>
    <w:rsid w:val="00930A45"/>
    <w:rsid w:val="009355DE"/>
    <w:rsid w:val="0094202D"/>
    <w:rsid w:val="00942C6C"/>
    <w:rsid w:val="00943620"/>
    <w:rsid w:val="009457EE"/>
    <w:rsid w:val="00955F00"/>
    <w:rsid w:val="00962A9A"/>
    <w:rsid w:val="00963263"/>
    <w:rsid w:val="00964CDA"/>
    <w:rsid w:val="009668BA"/>
    <w:rsid w:val="00967458"/>
    <w:rsid w:val="00971A79"/>
    <w:rsid w:val="00971EC3"/>
    <w:rsid w:val="009767EB"/>
    <w:rsid w:val="00977F7B"/>
    <w:rsid w:val="00985BB7"/>
    <w:rsid w:val="009875A3"/>
    <w:rsid w:val="00990913"/>
    <w:rsid w:val="00994B0C"/>
    <w:rsid w:val="009A2830"/>
    <w:rsid w:val="009B1870"/>
    <w:rsid w:val="009B3747"/>
    <w:rsid w:val="009D1056"/>
    <w:rsid w:val="009D2668"/>
    <w:rsid w:val="009D299D"/>
    <w:rsid w:val="009D462D"/>
    <w:rsid w:val="009D4A6D"/>
    <w:rsid w:val="009D5E85"/>
    <w:rsid w:val="009D5E93"/>
    <w:rsid w:val="009D6CE3"/>
    <w:rsid w:val="009D71D3"/>
    <w:rsid w:val="009D7B25"/>
    <w:rsid w:val="009E2616"/>
    <w:rsid w:val="009E69DC"/>
    <w:rsid w:val="009E7B4D"/>
    <w:rsid w:val="009F21EC"/>
    <w:rsid w:val="00A00007"/>
    <w:rsid w:val="00A0265A"/>
    <w:rsid w:val="00A059A7"/>
    <w:rsid w:val="00A06377"/>
    <w:rsid w:val="00A10424"/>
    <w:rsid w:val="00A11910"/>
    <w:rsid w:val="00A1313D"/>
    <w:rsid w:val="00A15C68"/>
    <w:rsid w:val="00A162E1"/>
    <w:rsid w:val="00A3107E"/>
    <w:rsid w:val="00A340C3"/>
    <w:rsid w:val="00A35A14"/>
    <w:rsid w:val="00A3688B"/>
    <w:rsid w:val="00A37FB7"/>
    <w:rsid w:val="00A502FE"/>
    <w:rsid w:val="00A5533C"/>
    <w:rsid w:val="00A577AB"/>
    <w:rsid w:val="00A603A3"/>
    <w:rsid w:val="00A62912"/>
    <w:rsid w:val="00A64E80"/>
    <w:rsid w:val="00A751F7"/>
    <w:rsid w:val="00A821A8"/>
    <w:rsid w:val="00A824F4"/>
    <w:rsid w:val="00A829C1"/>
    <w:rsid w:val="00A85256"/>
    <w:rsid w:val="00A87FD0"/>
    <w:rsid w:val="00A93235"/>
    <w:rsid w:val="00A93A8C"/>
    <w:rsid w:val="00A941BF"/>
    <w:rsid w:val="00A94CB7"/>
    <w:rsid w:val="00AA0AE7"/>
    <w:rsid w:val="00AA3510"/>
    <w:rsid w:val="00AA3C2B"/>
    <w:rsid w:val="00AA3D6C"/>
    <w:rsid w:val="00AA4380"/>
    <w:rsid w:val="00AA6A7B"/>
    <w:rsid w:val="00AB4CB8"/>
    <w:rsid w:val="00AB781C"/>
    <w:rsid w:val="00AB7F69"/>
    <w:rsid w:val="00AC0E2B"/>
    <w:rsid w:val="00AC28AA"/>
    <w:rsid w:val="00AC7B48"/>
    <w:rsid w:val="00AD063B"/>
    <w:rsid w:val="00AD1FA0"/>
    <w:rsid w:val="00AD24F5"/>
    <w:rsid w:val="00AD2C0E"/>
    <w:rsid w:val="00AD64A9"/>
    <w:rsid w:val="00AD71A9"/>
    <w:rsid w:val="00AE5020"/>
    <w:rsid w:val="00AF0B67"/>
    <w:rsid w:val="00AF1217"/>
    <w:rsid w:val="00AF4421"/>
    <w:rsid w:val="00AF5614"/>
    <w:rsid w:val="00B01430"/>
    <w:rsid w:val="00B03FF4"/>
    <w:rsid w:val="00B0459B"/>
    <w:rsid w:val="00B0557B"/>
    <w:rsid w:val="00B06EB5"/>
    <w:rsid w:val="00B131CE"/>
    <w:rsid w:val="00B2114D"/>
    <w:rsid w:val="00B21B76"/>
    <w:rsid w:val="00B24308"/>
    <w:rsid w:val="00B26E10"/>
    <w:rsid w:val="00B27B0D"/>
    <w:rsid w:val="00B340D5"/>
    <w:rsid w:val="00B364DE"/>
    <w:rsid w:val="00B41729"/>
    <w:rsid w:val="00B41808"/>
    <w:rsid w:val="00B47D3E"/>
    <w:rsid w:val="00B517C7"/>
    <w:rsid w:val="00B5774E"/>
    <w:rsid w:val="00B57DF0"/>
    <w:rsid w:val="00B62C97"/>
    <w:rsid w:val="00B673EF"/>
    <w:rsid w:val="00B753F1"/>
    <w:rsid w:val="00B80665"/>
    <w:rsid w:val="00B83077"/>
    <w:rsid w:val="00B945C0"/>
    <w:rsid w:val="00B963B1"/>
    <w:rsid w:val="00BA29F8"/>
    <w:rsid w:val="00BA2A1E"/>
    <w:rsid w:val="00BA32D0"/>
    <w:rsid w:val="00BA3954"/>
    <w:rsid w:val="00BA4556"/>
    <w:rsid w:val="00BA56E4"/>
    <w:rsid w:val="00BA5AE2"/>
    <w:rsid w:val="00BA770F"/>
    <w:rsid w:val="00BB07A2"/>
    <w:rsid w:val="00BB3D8A"/>
    <w:rsid w:val="00BC24F5"/>
    <w:rsid w:val="00BC71E9"/>
    <w:rsid w:val="00BD1705"/>
    <w:rsid w:val="00BD2BD3"/>
    <w:rsid w:val="00BE0F4A"/>
    <w:rsid w:val="00BE6473"/>
    <w:rsid w:val="00BF03FF"/>
    <w:rsid w:val="00BF18DA"/>
    <w:rsid w:val="00BF435F"/>
    <w:rsid w:val="00BF4B78"/>
    <w:rsid w:val="00BF7101"/>
    <w:rsid w:val="00C04080"/>
    <w:rsid w:val="00C108B5"/>
    <w:rsid w:val="00C12AD2"/>
    <w:rsid w:val="00C16D25"/>
    <w:rsid w:val="00C24344"/>
    <w:rsid w:val="00C246C0"/>
    <w:rsid w:val="00C26B34"/>
    <w:rsid w:val="00C35A0F"/>
    <w:rsid w:val="00C41574"/>
    <w:rsid w:val="00C41CD2"/>
    <w:rsid w:val="00C45B9F"/>
    <w:rsid w:val="00C47F23"/>
    <w:rsid w:val="00C5063B"/>
    <w:rsid w:val="00C50A9D"/>
    <w:rsid w:val="00C50FE4"/>
    <w:rsid w:val="00C62399"/>
    <w:rsid w:val="00C62E27"/>
    <w:rsid w:val="00C67077"/>
    <w:rsid w:val="00C754C6"/>
    <w:rsid w:val="00C77E08"/>
    <w:rsid w:val="00C77E35"/>
    <w:rsid w:val="00C84DCE"/>
    <w:rsid w:val="00C85510"/>
    <w:rsid w:val="00C86266"/>
    <w:rsid w:val="00C904CF"/>
    <w:rsid w:val="00C90A64"/>
    <w:rsid w:val="00C916A7"/>
    <w:rsid w:val="00C917B5"/>
    <w:rsid w:val="00C92FFB"/>
    <w:rsid w:val="00C9700D"/>
    <w:rsid w:val="00C970B4"/>
    <w:rsid w:val="00C973B0"/>
    <w:rsid w:val="00CA415F"/>
    <w:rsid w:val="00CA74A9"/>
    <w:rsid w:val="00CB1776"/>
    <w:rsid w:val="00CB2798"/>
    <w:rsid w:val="00CB3846"/>
    <w:rsid w:val="00CB3C93"/>
    <w:rsid w:val="00CC0898"/>
    <w:rsid w:val="00CC1B3D"/>
    <w:rsid w:val="00CC457D"/>
    <w:rsid w:val="00CD30FE"/>
    <w:rsid w:val="00CD4071"/>
    <w:rsid w:val="00CD52EF"/>
    <w:rsid w:val="00CE025D"/>
    <w:rsid w:val="00CE49CA"/>
    <w:rsid w:val="00CE714C"/>
    <w:rsid w:val="00D001F5"/>
    <w:rsid w:val="00D06E45"/>
    <w:rsid w:val="00D07AFB"/>
    <w:rsid w:val="00D2034A"/>
    <w:rsid w:val="00D22290"/>
    <w:rsid w:val="00D2680B"/>
    <w:rsid w:val="00D26863"/>
    <w:rsid w:val="00D27D1B"/>
    <w:rsid w:val="00D31928"/>
    <w:rsid w:val="00D355F4"/>
    <w:rsid w:val="00D3643A"/>
    <w:rsid w:val="00D37D30"/>
    <w:rsid w:val="00D401E3"/>
    <w:rsid w:val="00D41AEB"/>
    <w:rsid w:val="00D41ECE"/>
    <w:rsid w:val="00D42697"/>
    <w:rsid w:val="00D441DD"/>
    <w:rsid w:val="00D50A37"/>
    <w:rsid w:val="00D52930"/>
    <w:rsid w:val="00D540EB"/>
    <w:rsid w:val="00D5691D"/>
    <w:rsid w:val="00D65A0B"/>
    <w:rsid w:val="00D67275"/>
    <w:rsid w:val="00D6787C"/>
    <w:rsid w:val="00D73815"/>
    <w:rsid w:val="00D744BC"/>
    <w:rsid w:val="00D75FD2"/>
    <w:rsid w:val="00D80D6F"/>
    <w:rsid w:val="00D80FD0"/>
    <w:rsid w:val="00D859B8"/>
    <w:rsid w:val="00D92DF0"/>
    <w:rsid w:val="00D92E18"/>
    <w:rsid w:val="00D95423"/>
    <w:rsid w:val="00D97373"/>
    <w:rsid w:val="00DA090A"/>
    <w:rsid w:val="00DA29F7"/>
    <w:rsid w:val="00DA2B84"/>
    <w:rsid w:val="00DB3B21"/>
    <w:rsid w:val="00DB4990"/>
    <w:rsid w:val="00DC2072"/>
    <w:rsid w:val="00DC40CA"/>
    <w:rsid w:val="00DD3F27"/>
    <w:rsid w:val="00DD44B2"/>
    <w:rsid w:val="00DD563B"/>
    <w:rsid w:val="00DE2149"/>
    <w:rsid w:val="00DE3325"/>
    <w:rsid w:val="00DF092E"/>
    <w:rsid w:val="00DF1D38"/>
    <w:rsid w:val="00DF200C"/>
    <w:rsid w:val="00DF4F27"/>
    <w:rsid w:val="00DF7A70"/>
    <w:rsid w:val="00E0025F"/>
    <w:rsid w:val="00E00E13"/>
    <w:rsid w:val="00E01A58"/>
    <w:rsid w:val="00E02CEA"/>
    <w:rsid w:val="00E04E6C"/>
    <w:rsid w:val="00E07355"/>
    <w:rsid w:val="00E16ED8"/>
    <w:rsid w:val="00E17569"/>
    <w:rsid w:val="00E241F5"/>
    <w:rsid w:val="00E24B56"/>
    <w:rsid w:val="00E26CD2"/>
    <w:rsid w:val="00E27EB3"/>
    <w:rsid w:val="00E319C3"/>
    <w:rsid w:val="00E3212B"/>
    <w:rsid w:val="00E3212D"/>
    <w:rsid w:val="00E400C1"/>
    <w:rsid w:val="00E405CF"/>
    <w:rsid w:val="00E42CBD"/>
    <w:rsid w:val="00E50D7D"/>
    <w:rsid w:val="00E5526D"/>
    <w:rsid w:val="00E574C2"/>
    <w:rsid w:val="00E57C3B"/>
    <w:rsid w:val="00E60578"/>
    <w:rsid w:val="00E62871"/>
    <w:rsid w:val="00E628F6"/>
    <w:rsid w:val="00E64BB3"/>
    <w:rsid w:val="00E64DE1"/>
    <w:rsid w:val="00E656E7"/>
    <w:rsid w:val="00E6586A"/>
    <w:rsid w:val="00E700CE"/>
    <w:rsid w:val="00E71E5C"/>
    <w:rsid w:val="00E75216"/>
    <w:rsid w:val="00E75B5E"/>
    <w:rsid w:val="00E76073"/>
    <w:rsid w:val="00E82852"/>
    <w:rsid w:val="00E83856"/>
    <w:rsid w:val="00E92834"/>
    <w:rsid w:val="00E94663"/>
    <w:rsid w:val="00EA15AB"/>
    <w:rsid w:val="00EA40D4"/>
    <w:rsid w:val="00EA43E3"/>
    <w:rsid w:val="00EB2FDD"/>
    <w:rsid w:val="00EB49FE"/>
    <w:rsid w:val="00EB6F27"/>
    <w:rsid w:val="00EC30C5"/>
    <w:rsid w:val="00EC3D96"/>
    <w:rsid w:val="00EC459B"/>
    <w:rsid w:val="00EC4AE3"/>
    <w:rsid w:val="00EC55DF"/>
    <w:rsid w:val="00EC6E0C"/>
    <w:rsid w:val="00ED20AF"/>
    <w:rsid w:val="00ED2118"/>
    <w:rsid w:val="00ED2FCE"/>
    <w:rsid w:val="00EE2092"/>
    <w:rsid w:val="00EE3144"/>
    <w:rsid w:val="00EF1465"/>
    <w:rsid w:val="00EF3AA6"/>
    <w:rsid w:val="00EF7506"/>
    <w:rsid w:val="00F023B3"/>
    <w:rsid w:val="00F03FE0"/>
    <w:rsid w:val="00F04F60"/>
    <w:rsid w:val="00F0778A"/>
    <w:rsid w:val="00F152E9"/>
    <w:rsid w:val="00F234D6"/>
    <w:rsid w:val="00F27232"/>
    <w:rsid w:val="00F3478D"/>
    <w:rsid w:val="00F41352"/>
    <w:rsid w:val="00F41AE0"/>
    <w:rsid w:val="00F46DD9"/>
    <w:rsid w:val="00F62C5F"/>
    <w:rsid w:val="00F63BD6"/>
    <w:rsid w:val="00F64CB9"/>
    <w:rsid w:val="00F651AB"/>
    <w:rsid w:val="00F726A8"/>
    <w:rsid w:val="00F80370"/>
    <w:rsid w:val="00F83388"/>
    <w:rsid w:val="00F872A1"/>
    <w:rsid w:val="00F945AD"/>
    <w:rsid w:val="00F97F3C"/>
    <w:rsid w:val="00FA261A"/>
    <w:rsid w:val="00FB0591"/>
    <w:rsid w:val="00FB1CEF"/>
    <w:rsid w:val="00FB5451"/>
    <w:rsid w:val="00FC7C2D"/>
    <w:rsid w:val="00FD013A"/>
    <w:rsid w:val="00FE0BE5"/>
    <w:rsid w:val="00FE44DB"/>
    <w:rsid w:val="00FE7A99"/>
    <w:rsid w:val="00FE7F22"/>
    <w:rsid w:val="00FF00A5"/>
    <w:rsid w:val="00FF3529"/>
    <w:rsid w:val="00FF7C35"/>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37D05F-6FA0-4CA9-A0B7-BC48664A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B44"/>
    <w:rPr>
      <w:sz w:val="24"/>
    </w:rPr>
  </w:style>
  <w:style w:type="paragraph" w:styleId="Heading1">
    <w:name w:val="heading 1"/>
    <w:basedOn w:val="Normal"/>
    <w:next w:val="Normal"/>
    <w:qFormat/>
    <w:rsid w:val="00FF7EEF"/>
    <w:pPr>
      <w:keepNext/>
      <w:spacing w:before="240" w:after="60" w:line="360" w:lineRule="auto"/>
      <w:jc w:val="center"/>
      <w:outlineLvl w:val="0"/>
    </w:pPr>
    <w:rPr>
      <w:rFonts w:ascii="Arial" w:hAnsi="Arial"/>
      <w:b/>
      <w:kern w:val="28"/>
      <w:sz w:val="32"/>
      <w:lang w:val="en-GB"/>
    </w:rPr>
  </w:style>
  <w:style w:type="paragraph" w:styleId="Heading2">
    <w:name w:val="heading 2"/>
    <w:basedOn w:val="Normal"/>
    <w:next w:val="Normal"/>
    <w:qFormat/>
    <w:rsid w:val="00FF7EEF"/>
    <w:pPr>
      <w:keepNext/>
      <w:tabs>
        <w:tab w:val="left" w:pos="1134"/>
      </w:tabs>
      <w:spacing w:before="240" w:after="60" w:line="360" w:lineRule="auto"/>
      <w:ind w:left="1134" w:hanging="1134"/>
      <w:jc w:val="both"/>
      <w:outlineLvl w:val="1"/>
    </w:pPr>
    <w:rPr>
      <w:rFonts w:ascii="Arial" w:hAnsi="Arial"/>
      <w:b/>
      <w:sz w:val="26"/>
      <w:lang w:val="en-GB"/>
    </w:rPr>
  </w:style>
  <w:style w:type="paragraph" w:styleId="Heading3">
    <w:name w:val="heading 3"/>
    <w:basedOn w:val="Normal"/>
    <w:next w:val="Normal"/>
    <w:qFormat/>
    <w:rsid w:val="00FF7EEF"/>
    <w:pPr>
      <w:keepNext/>
      <w:tabs>
        <w:tab w:val="left" w:pos="1134"/>
      </w:tabs>
      <w:spacing w:before="240" w:after="60" w:line="360" w:lineRule="auto"/>
      <w:ind w:left="1134" w:hanging="1134"/>
      <w:jc w:val="both"/>
      <w:outlineLvl w:val="2"/>
    </w:pPr>
    <w:rPr>
      <w:rFonts w:ascii="Arial" w:hAnsi="Arial"/>
      <w:b/>
      <w:lang w:val="en-GB"/>
    </w:rPr>
  </w:style>
  <w:style w:type="paragraph" w:styleId="Heading4">
    <w:name w:val="heading 4"/>
    <w:basedOn w:val="Normal"/>
    <w:next w:val="Normal"/>
    <w:qFormat/>
    <w:rsid w:val="00FF7EEF"/>
    <w:pPr>
      <w:keepNext/>
      <w:tabs>
        <w:tab w:val="left" w:pos="1134"/>
      </w:tabs>
      <w:spacing w:before="240" w:after="60" w:line="360" w:lineRule="auto"/>
      <w:ind w:left="1134" w:hanging="1134"/>
      <w:jc w:val="both"/>
      <w:outlineLvl w:val="3"/>
    </w:pPr>
    <w:rPr>
      <w:rFonts w:ascii="Arial" w:hAnsi="Arial"/>
      <w:lang w:val="en-GB"/>
    </w:rPr>
  </w:style>
  <w:style w:type="paragraph" w:styleId="Heading5">
    <w:name w:val="heading 5"/>
    <w:basedOn w:val="Normal"/>
    <w:next w:val="Normal"/>
    <w:qFormat/>
    <w:rsid w:val="00FF7EEF"/>
    <w:pPr>
      <w:spacing w:before="240" w:after="60" w:line="360" w:lineRule="auto"/>
      <w:jc w:val="both"/>
      <w:outlineLvl w:val="4"/>
    </w:pPr>
    <w:rPr>
      <w:rFonts w:ascii="Arial" w:hAnsi="Arial"/>
      <w:lang w:val="en-GB"/>
    </w:rPr>
  </w:style>
  <w:style w:type="paragraph" w:styleId="Heading6">
    <w:name w:val="heading 6"/>
    <w:basedOn w:val="Normal"/>
    <w:next w:val="Normal"/>
    <w:qFormat/>
    <w:rsid w:val="00FF7EEF"/>
    <w:pPr>
      <w:keepNext/>
      <w:tabs>
        <w:tab w:val="left" w:pos="-3119"/>
        <w:tab w:val="left" w:pos="-2977"/>
        <w:tab w:val="left" w:pos="567"/>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exact"/>
      <w:ind w:left="709"/>
      <w:outlineLvl w:val="5"/>
    </w:pPr>
    <w:rPr>
      <w:rFonts w:ascii="Times New Roman" w:hAnsi="Times New Roman"/>
      <w: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PCheading">
    <w:name w:val="SmPC heading"/>
    <w:basedOn w:val="Normal"/>
    <w:rsid w:val="00FF7EEF"/>
    <w:pPr>
      <w:spacing w:before="240" w:after="120" w:line="360" w:lineRule="atLeast"/>
    </w:pPr>
    <w:rPr>
      <w:rFonts w:ascii="Arial" w:hAnsi="Arial"/>
      <w:b/>
      <w:lang w:val="en-GB"/>
    </w:rPr>
  </w:style>
  <w:style w:type="paragraph" w:customStyle="1" w:styleId="SmPCstart">
    <w:name w:val="SmPC start"/>
    <w:basedOn w:val="Normal"/>
    <w:rsid w:val="00FF7EEF"/>
    <w:pPr>
      <w:spacing w:before="120" w:after="120" w:line="360" w:lineRule="atLeast"/>
      <w:jc w:val="center"/>
    </w:pPr>
    <w:rPr>
      <w:rFonts w:ascii="Arial" w:hAnsi="Arial"/>
      <w:b/>
      <w:sz w:val="28"/>
    </w:rPr>
  </w:style>
  <w:style w:type="paragraph" w:customStyle="1" w:styleId="SmPCtext">
    <w:name w:val="SmPC text"/>
    <w:basedOn w:val="Normal"/>
    <w:rsid w:val="00FF7EEF"/>
    <w:pPr>
      <w:spacing w:after="120" w:line="360" w:lineRule="atLeast"/>
      <w:jc w:val="both"/>
    </w:pPr>
    <w:rPr>
      <w:rFonts w:ascii="Arial" w:hAnsi="Arial"/>
    </w:rPr>
  </w:style>
  <w:style w:type="character" w:styleId="PageNumber">
    <w:name w:val="page number"/>
    <w:basedOn w:val="DefaultParagraphFont"/>
    <w:rsid w:val="00FF7EEF"/>
  </w:style>
  <w:style w:type="paragraph" w:styleId="Header">
    <w:name w:val="header"/>
    <w:basedOn w:val="Normal"/>
    <w:link w:val="HeaderChar"/>
    <w:uiPriority w:val="99"/>
    <w:rsid w:val="00FF7EEF"/>
    <w:pPr>
      <w:tabs>
        <w:tab w:val="center" w:pos="4320"/>
        <w:tab w:val="right" w:pos="8640"/>
      </w:tabs>
    </w:pPr>
  </w:style>
  <w:style w:type="paragraph" w:styleId="Footer">
    <w:name w:val="footer"/>
    <w:basedOn w:val="Normal"/>
    <w:rsid w:val="00FF7EEF"/>
    <w:pPr>
      <w:tabs>
        <w:tab w:val="center" w:pos="4320"/>
        <w:tab w:val="right" w:pos="8640"/>
      </w:tabs>
    </w:pPr>
  </w:style>
  <w:style w:type="paragraph" w:styleId="BodyTextIndent2">
    <w:name w:val="Body Text Indent 2"/>
    <w:basedOn w:val="Normal"/>
    <w:rsid w:val="00FF7EEF"/>
    <w:pPr>
      <w:tabs>
        <w:tab w:val="left" w:pos="-3119"/>
        <w:tab w:val="left" w:pos="-2977"/>
        <w:tab w:val="left" w:pos="567"/>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exact"/>
      <w:ind w:left="567"/>
    </w:pPr>
    <w:rPr>
      <w:rFonts w:ascii="Arial" w:hAnsi="Arial"/>
      <w:sz w:val="20"/>
      <w:lang w:val="en-GB"/>
    </w:rPr>
  </w:style>
  <w:style w:type="paragraph" w:styleId="BodyTextIndent3">
    <w:name w:val="Body Text Indent 3"/>
    <w:basedOn w:val="Normal"/>
    <w:rsid w:val="00FF7EEF"/>
    <w:pPr>
      <w:tabs>
        <w:tab w:val="left" w:pos="-3119"/>
        <w:tab w:val="left" w:pos="-2977"/>
        <w:tab w:val="left" w:pos="567"/>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exact"/>
      <w:ind w:left="567" w:hanging="567"/>
    </w:pPr>
    <w:rPr>
      <w:rFonts w:ascii="Arial" w:hAnsi="Arial"/>
      <w:sz w:val="20"/>
      <w:lang w:val="en-GB"/>
    </w:rPr>
  </w:style>
  <w:style w:type="paragraph" w:styleId="BodyTextIndent">
    <w:name w:val="Body Text Indent"/>
    <w:basedOn w:val="Normal"/>
    <w:rsid w:val="00FF7EEF"/>
    <w:pPr>
      <w:ind w:left="720"/>
    </w:pPr>
    <w:rPr>
      <w:rFonts w:ascii="Geneva" w:hAnsi="Geneva"/>
      <w:sz w:val="20"/>
      <w:lang w:val="en-GB"/>
    </w:rPr>
  </w:style>
  <w:style w:type="paragraph" w:customStyle="1" w:styleId="Style2">
    <w:name w:val="Style2"/>
    <w:basedOn w:val="Normal"/>
    <w:rsid w:val="00D41AEB"/>
    <w:pPr>
      <w:spacing w:line="360" w:lineRule="atLeast"/>
      <w:ind w:left="567"/>
      <w:jc w:val="both"/>
    </w:pPr>
    <w:rPr>
      <w:rFonts w:ascii="Arial" w:hAnsi="Arial"/>
      <w:lang w:val="en-GB" w:eastAsia="hr-HR"/>
    </w:rPr>
  </w:style>
  <w:style w:type="paragraph" w:customStyle="1" w:styleId="tekstSmPC-a">
    <w:name w:val="tekst SmPC-a"/>
    <w:basedOn w:val="Normal"/>
    <w:rsid w:val="002D4D50"/>
    <w:pPr>
      <w:widowControl w:val="0"/>
      <w:spacing w:after="120" w:line="360" w:lineRule="atLeast"/>
      <w:jc w:val="both"/>
    </w:pPr>
    <w:rPr>
      <w:rFonts w:ascii="Helvetica" w:hAnsi="Helvetica"/>
    </w:rPr>
  </w:style>
  <w:style w:type="paragraph" w:customStyle="1" w:styleId="naslovSmPC-a">
    <w:name w:val="naslov SmPC-a"/>
    <w:basedOn w:val="Normal"/>
    <w:rsid w:val="002D4D50"/>
    <w:pPr>
      <w:widowControl w:val="0"/>
      <w:spacing w:before="240" w:after="120" w:line="360" w:lineRule="atLeast"/>
    </w:pPr>
    <w:rPr>
      <w:rFonts w:ascii="Helvetica" w:hAnsi="Helvetica"/>
      <w:b/>
      <w:lang w:val="hr-HR"/>
    </w:rPr>
  </w:style>
  <w:style w:type="paragraph" w:styleId="BalloonText">
    <w:name w:val="Balloon Text"/>
    <w:basedOn w:val="Normal"/>
    <w:semiHidden/>
    <w:rsid w:val="0094202D"/>
    <w:rPr>
      <w:rFonts w:ascii="Tahoma" w:hAnsi="Tahoma" w:cs="Tahoma"/>
      <w:sz w:val="16"/>
      <w:szCs w:val="16"/>
    </w:rPr>
  </w:style>
  <w:style w:type="paragraph" w:customStyle="1" w:styleId="Default">
    <w:name w:val="Default"/>
    <w:rsid w:val="00E64BB3"/>
    <w:pPr>
      <w:autoSpaceDE w:val="0"/>
      <w:autoSpaceDN w:val="0"/>
      <w:adjustRightInd w:val="0"/>
    </w:pPr>
    <w:rPr>
      <w:rFonts w:ascii="Times New Roman" w:hAnsi="Times New Roman"/>
      <w:color w:val="000000"/>
      <w:sz w:val="24"/>
      <w:szCs w:val="24"/>
      <w:lang w:val="fr-FR" w:eastAsia="fr-FR"/>
    </w:rPr>
  </w:style>
  <w:style w:type="paragraph" w:customStyle="1" w:styleId="1">
    <w:name w:val="1"/>
    <w:basedOn w:val="Normal"/>
    <w:rsid w:val="00E17569"/>
    <w:pPr>
      <w:tabs>
        <w:tab w:val="left" w:pos="640"/>
        <w:tab w:val="right" w:pos="8560"/>
      </w:tabs>
      <w:overflowPunct w:val="0"/>
      <w:autoSpaceDE w:val="0"/>
      <w:autoSpaceDN w:val="0"/>
      <w:adjustRightInd w:val="0"/>
      <w:spacing w:before="240"/>
      <w:ind w:right="60"/>
      <w:textAlignment w:val="baseline"/>
    </w:pPr>
    <w:rPr>
      <w:lang w:val="en-GB" w:eastAsia="hr-HR"/>
    </w:rPr>
  </w:style>
  <w:style w:type="character" w:customStyle="1" w:styleId="HeaderChar">
    <w:name w:val="Header Char"/>
    <w:basedOn w:val="DefaultParagraphFont"/>
    <w:link w:val="Header"/>
    <w:uiPriority w:val="99"/>
    <w:rsid w:val="00234550"/>
    <w:rPr>
      <w:sz w:val="24"/>
    </w:rPr>
  </w:style>
  <w:style w:type="table" w:styleId="TableGrid">
    <w:name w:val="Table Grid"/>
    <w:basedOn w:val="TableNormal"/>
    <w:rsid w:val="00B4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0344"/>
    <w:rPr>
      <w:color w:val="0000FF" w:themeColor="hyperlink"/>
      <w:u w:val="single"/>
    </w:rPr>
  </w:style>
  <w:style w:type="paragraph" w:styleId="ListParagraph">
    <w:name w:val="List Paragraph"/>
    <w:basedOn w:val="Normal"/>
    <w:uiPriority w:val="34"/>
    <w:qFormat/>
    <w:rsid w:val="005B4FB3"/>
    <w:pPr>
      <w:ind w:left="720"/>
      <w:contextualSpacing/>
    </w:pPr>
  </w:style>
  <w:style w:type="paragraph" w:styleId="Revision">
    <w:name w:val="Revision"/>
    <w:hidden/>
    <w:uiPriority w:val="99"/>
    <w:semiHidden/>
    <w:rsid w:val="001A37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2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120E7-F0B7-4008-A51E-E6E3D133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Crna Gora</vt:lpstr>
    </vt:vector>
  </TitlesOfParts>
  <Company>Pliva d.d.</Company>
  <LinksUpToDate>false</LinksUpToDate>
  <CharactersWithSpaces>24390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Crna Gora</dc:title>
  <dc:subject/>
  <dc:creator>ksladojevic</dc:creator>
  <cp:keywords/>
  <cp:lastModifiedBy>Tatjana Bankovic</cp:lastModifiedBy>
  <cp:revision>24</cp:revision>
  <cp:lastPrinted>2010-06-01T11:58:00Z</cp:lastPrinted>
  <dcterms:created xsi:type="dcterms:W3CDTF">2017-02-15T11:25:00Z</dcterms:created>
  <dcterms:modified xsi:type="dcterms:W3CDTF">2017-02-17T08:13:00Z</dcterms:modified>
</cp:coreProperties>
</file>