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F6B" w:rsidRPr="00AB41EE" w:rsidRDefault="00755F6B" w:rsidP="00755F6B">
      <w:pPr>
        <w:suppressAutoHyphens/>
        <w:jc w:val="both"/>
        <w:rPr>
          <w:sz w:val="22"/>
          <w:szCs w:val="22"/>
          <w:lang w:val="sr-Latn-ME" w:eastAsia="ar-SA"/>
        </w:rPr>
      </w:pPr>
    </w:p>
    <w:p w:rsidR="00755F6B" w:rsidRPr="00AB41EE" w:rsidRDefault="00755F6B" w:rsidP="00755F6B">
      <w:pPr>
        <w:suppressAutoHyphens/>
        <w:rPr>
          <w:sz w:val="22"/>
          <w:szCs w:val="22"/>
          <w:lang w:val="sr-Latn-ME" w:eastAsia="ar-SA"/>
        </w:rPr>
      </w:pPr>
    </w:p>
    <w:p w:rsidR="00755F6B" w:rsidRPr="00AB41EE" w:rsidRDefault="00755F6B" w:rsidP="00755F6B">
      <w:pPr>
        <w:suppressAutoHyphens/>
        <w:rPr>
          <w:sz w:val="22"/>
          <w:szCs w:val="22"/>
          <w:lang w:val="sr-Latn-ME" w:eastAsia="ar-SA"/>
        </w:rPr>
        <w:sectPr w:rsidR="00755F6B" w:rsidRPr="00AB41EE" w:rsidSect="00C82EEF">
          <w:headerReference w:type="default" r:id="rId8"/>
          <w:footerReference w:type="default" r:id="rId9"/>
          <w:type w:val="continuous"/>
          <w:pgSz w:w="11905" w:h="16837"/>
          <w:pgMar w:top="1150" w:right="1132" w:bottom="1134" w:left="1134" w:header="709" w:footer="0" w:gutter="0"/>
          <w:cols w:space="720"/>
          <w:docGrid w:linePitch="360"/>
        </w:sectPr>
      </w:pPr>
    </w:p>
    <w:p w:rsidR="00755F6B" w:rsidRPr="00AB41EE" w:rsidRDefault="00755F6B" w:rsidP="00755F6B">
      <w:pPr>
        <w:suppressAutoHyphens/>
        <w:rPr>
          <w:sz w:val="22"/>
          <w:szCs w:val="22"/>
          <w:lang w:val="sr-Latn-ME" w:eastAsia="ar-SA"/>
        </w:rPr>
      </w:pPr>
    </w:p>
    <w:p w:rsidR="00755F6B" w:rsidRPr="00AB41EE" w:rsidRDefault="00755F6B" w:rsidP="00755F6B">
      <w:pPr>
        <w:spacing w:before="1000"/>
        <w:rPr>
          <w:sz w:val="22"/>
          <w:szCs w:val="22"/>
          <w:lang w:val="sr-Latn-ME" w:eastAsia="en-US"/>
        </w:rPr>
      </w:pPr>
    </w:p>
    <w:tbl>
      <w:tblPr>
        <w:tblW w:w="9360" w:type="dxa"/>
        <w:jc w:val="center"/>
        <w:tblLook w:val="0000" w:firstRow="0" w:lastRow="0" w:firstColumn="0" w:lastColumn="0" w:noHBand="0" w:noVBand="0"/>
      </w:tblPr>
      <w:tblGrid>
        <w:gridCol w:w="2160"/>
        <w:gridCol w:w="7200"/>
      </w:tblGrid>
      <w:tr w:rsidR="00755F6B" w:rsidRPr="00AB41EE" w:rsidTr="006E1FE0">
        <w:trPr>
          <w:trHeight w:val="530"/>
          <w:jc w:val="center"/>
        </w:trPr>
        <w:tc>
          <w:tcPr>
            <w:tcW w:w="9360" w:type="dxa"/>
            <w:gridSpan w:val="2"/>
            <w:vAlign w:val="center"/>
          </w:tcPr>
          <w:p w:rsidR="00755F6B" w:rsidRPr="00AB41EE" w:rsidRDefault="00755F6B" w:rsidP="006E1FE0">
            <w:pPr>
              <w:jc w:val="center"/>
              <w:rPr>
                <w:b/>
                <w:bCs/>
                <w:i/>
                <w:iCs/>
                <w:sz w:val="22"/>
                <w:szCs w:val="22"/>
                <w:u w:val="single"/>
                <w:lang w:val="sr-Latn-ME" w:eastAsia="en-US"/>
              </w:rPr>
            </w:pPr>
            <w:r w:rsidRPr="00AB41EE">
              <w:rPr>
                <w:b/>
                <w:bCs/>
                <w:i/>
                <w:iCs/>
                <w:sz w:val="22"/>
                <w:szCs w:val="22"/>
                <w:u w:val="single"/>
                <w:lang w:val="sr-Latn-ME" w:eastAsia="en-US"/>
              </w:rPr>
              <w:t>SAŽETAK KARAKTERISTIKA LIJEKA</w:t>
            </w:r>
          </w:p>
        </w:tc>
      </w:tr>
      <w:tr w:rsidR="00755F6B" w:rsidRPr="00AB41EE" w:rsidTr="006E1FE0">
        <w:trPr>
          <w:trHeight w:val="1969"/>
          <w:jc w:val="center"/>
        </w:trPr>
        <w:tc>
          <w:tcPr>
            <w:tcW w:w="9360" w:type="dxa"/>
            <w:gridSpan w:val="2"/>
            <w:vAlign w:val="bottom"/>
          </w:tcPr>
          <w:p w:rsidR="00755F6B" w:rsidRPr="00AB41EE" w:rsidRDefault="00755F6B" w:rsidP="006E1FE0">
            <w:pPr>
              <w:tabs>
                <w:tab w:val="left" w:pos="-720"/>
              </w:tabs>
              <w:suppressAutoHyphens/>
              <w:spacing w:line="288" w:lineRule="auto"/>
              <w:jc w:val="center"/>
              <w:rPr>
                <w:b/>
                <w:sz w:val="22"/>
                <w:szCs w:val="22"/>
                <w:lang w:val="sr-Latn-ME" w:eastAsia="en-US"/>
              </w:rPr>
            </w:pPr>
            <w:r w:rsidRPr="00AB41EE">
              <w:rPr>
                <w:b/>
                <w:sz w:val="22"/>
                <w:szCs w:val="22"/>
                <w:lang w:val="sr-Latn-ME" w:eastAsia="en-US"/>
              </w:rPr>
              <w:t>Sulfasalazin Krka EN, gastrorezistentna tableta, 500 mg,</w:t>
            </w:r>
          </w:p>
          <w:p w:rsidR="00755F6B" w:rsidRPr="00AB41EE" w:rsidRDefault="00755F6B" w:rsidP="006E1FE0">
            <w:pPr>
              <w:tabs>
                <w:tab w:val="left" w:pos="-720"/>
              </w:tabs>
              <w:suppressAutoHyphens/>
              <w:spacing w:line="288" w:lineRule="auto"/>
              <w:jc w:val="center"/>
              <w:rPr>
                <w:b/>
                <w:sz w:val="22"/>
                <w:szCs w:val="22"/>
                <w:lang w:val="sr-Latn-ME" w:eastAsia="en-US"/>
              </w:rPr>
            </w:pPr>
            <w:r w:rsidRPr="00AB41EE">
              <w:rPr>
                <w:b/>
                <w:sz w:val="22"/>
                <w:szCs w:val="22"/>
                <w:lang w:val="sr-Latn-ME" w:eastAsia="en-US"/>
              </w:rPr>
              <w:t>blister, 5x10 tableta</w:t>
            </w:r>
          </w:p>
          <w:p w:rsidR="00755F6B" w:rsidRPr="00AB41EE" w:rsidRDefault="00755F6B" w:rsidP="006E1FE0">
            <w:pPr>
              <w:spacing w:after="40"/>
              <w:jc w:val="center"/>
              <w:rPr>
                <w:b/>
                <w:bCs/>
                <w:sz w:val="22"/>
                <w:szCs w:val="22"/>
                <w:u w:val="single"/>
                <w:lang w:val="sr-Latn-ME" w:eastAsia="en-US"/>
              </w:rPr>
            </w:pPr>
            <w:r w:rsidRPr="00AB41EE">
              <w:rPr>
                <w:b/>
                <w:bCs/>
                <w:sz w:val="22"/>
                <w:szCs w:val="22"/>
                <w:u w:val="single"/>
                <w:lang w:val="sr-Latn-ME" w:eastAsia="en-US"/>
              </w:rPr>
              <w:t xml:space="preserve"> </w:t>
            </w:r>
          </w:p>
        </w:tc>
      </w:tr>
      <w:tr w:rsidR="00755F6B" w:rsidRPr="00AB41EE" w:rsidTr="006E1FE0">
        <w:trPr>
          <w:trHeight w:val="1225"/>
          <w:jc w:val="center"/>
        </w:trPr>
        <w:tc>
          <w:tcPr>
            <w:tcW w:w="9360" w:type="dxa"/>
            <w:gridSpan w:val="2"/>
          </w:tcPr>
          <w:p w:rsidR="00755F6B" w:rsidRPr="00AB41EE" w:rsidRDefault="00755F6B" w:rsidP="006E1FE0">
            <w:pPr>
              <w:keepNext/>
              <w:spacing w:before="240" w:after="60"/>
              <w:outlineLvl w:val="1"/>
              <w:rPr>
                <w:b/>
                <w:bCs/>
                <w:i/>
                <w:iCs/>
                <w:sz w:val="22"/>
                <w:szCs w:val="22"/>
                <w:lang w:val="sr-Latn-ME" w:eastAsia="en-US"/>
              </w:rPr>
            </w:pPr>
          </w:p>
        </w:tc>
      </w:tr>
      <w:tr w:rsidR="00755F6B" w:rsidRPr="00AB41EE" w:rsidTr="006E1FE0">
        <w:trPr>
          <w:jc w:val="center"/>
        </w:trPr>
        <w:tc>
          <w:tcPr>
            <w:tcW w:w="2160" w:type="dxa"/>
            <w:vAlign w:val="bottom"/>
          </w:tcPr>
          <w:p w:rsidR="00755F6B" w:rsidRPr="00AB41EE" w:rsidRDefault="00755F6B" w:rsidP="006E1FE0">
            <w:pPr>
              <w:spacing w:before="200"/>
              <w:jc w:val="right"/>
              <w:rPr>
                <w:sz w:val="22"/>
                <w:szCs w:val="22"/>
                <w:lang w:val="sr-Latn-ME" w:eastAsia="en-US"/>
              </w:rPr>
            </w:pPr>
            <w:r w:rsidRPr="00AB41EE">
              <w:rPr>
                <w:sz w:val="22"/>
                <w:szCs w:val="22"/>
                <w:lang w:val="sr-Latn-ME" w:eastAsia="en-US"/>
              </w:rPr>
              <w:t>Proizvođač:</w:t>
            </w:r>
          </w:p>
        </w:tc>
        <w:tc>
          <w:tcPr>
            <w:tcW w:w="7200" w:type="dxa"/>
            <w:vAlign w:val="bottom"/>
          </w:tcPr>
          <w:p w:rsidR="00755F6B" w:rsidRPr="00AB41EE" w:rsidRDefault="00755F6B" w:rsidP="006E1FE0">
            <w:pPr>
              <w:spacing w:before="200"/>
              <w:ind w:left="72" w:hanging="72"/>
              <w:rPr>
                <w:b/>
                <w:bCs/>
                <w:sz w:val="22"/>
                <w:szCs w:val="22"/>
                <w:lang w:val="sr-Latn-ME" w:eastAsia="en-US"/>
              </w:rPr>
            </w:pPr>
            <w:r w:rsidRPr="00AB41EE">
              <w:rPr>
                <w:b/>
                <w:bCs/>
                <w:sz w:val="22"/>
                <w:szCs w:val="22"/>
                <w:lang w:val="sr-Latn-ME" w:eastAsia="en-US"/>
              </w:rPr>
              <w:t>Krka d.d.</w:t>
            </w:r>
          </w:p>
        </w:tc>
      </w:tr>
      <w:tr w:rsidR="00755F6B" w:rsidRPr="00AB41EE" w:rsidTr="006E1FE0">
        <w:trPr>
          <w:jc w:val="center"/>
        </w:trPr>
        <w:tc>
          <w:tcPr>
            <w:tcW w:w="2160" w:type="dxa"/>
            <w:vAlign w:val="bottom"/>
          </w:tcPr>
          <w:p w:rsidR="00755F6B" w:rsidRPr="00AB41EE" w:rsidRDefault="00755F6B" w:rsidP="006E1FE0">
            <w:pPr>
              <w:spacing w:before="200"/>
              <w:jc w:val="right"/>
              <w:rPr>
                <w:sz w:val="22"/>
                <w:szCs w:val="22"/>
                <w:lang w:val="sr-Latn-ME" w:eastAsia="en-US"/>
              </w:rPr>
            </w:pPr>
            <w:r w:rsidRPr="00AB41EE">
              <w:rPr>
                <w:sz w:val="22"/>
                <w:szCs w:val="22"/>
                <w:lang w:val="sr-Latn-ME" w:eastAsia="en-US"/>
              </w:rPr>
              <w:t>Adresa:</w:t>
            </w:r>
          </w:p>
        </w:tc>
        <w:tc>
          <w:tcPr>
            <w:tcW w:w="7200" w:type="dxa"/>
            <w:vAlign w:val="bottom"/>
          </w:tcPr>
          <w:p w:rsidR="00755F6B" w:rsidRPr="00AB41EE" w:rsidRDefault="00755F6B" w:rsidP="00BA4327">
            <w:pPr>
              <w:tabs>
                <w:tab w:val="left" w:pos="720"/>
              </w:tabs>
              <w:spacing w:before="200"/>
              <w:rPr>
                <w:b/>
                <w:bCs/>
                <w:sz w:val="22"/>
                <w:szCs w:val="22"/>
                <w:lang w:val="sr-Latn-ME" w:eastAsia="en-US"/>
              </w:rPr>
            </w:pPr>
            <w:r w:rsidRPr="00AB41EE">
              <w:rPr>
                <w:b/>
                <w:bCs/>
                <w:sz w:val="22"/>
                <w:szCs w:val="22"/>
                <w:lang w:val="sr-Latn-ME" w:eastAsia="en-US"/>
              </w:rPr>
              <w:t>Šma</w:t>
            </w:r>
            <w:r w:rsidR="00BA4327">
              <w:rPr>
                <w:b/>
                <w:bCs/>
                <w:sz w:val="22"/>
                <w:szCs w:val="22"/>
                <w:lang w:val="sr-Latn-ME" w:eastAsia="en-US"/>
              </w:rPr>
              <w:t>r</w:t>
            </w:r>
            <w:r w:rsidRPr="00AB41EE">
              <w:rPr>
                <w:b/>
                <w:bCs/>
                <w:sz w:val="22"/>
                <w:szCs w:val="22"/>
                <w:lang w:val="sr-Latn-ME" w:eastAsia="en-US"/>
              </w:rPr>
              <w:t>je</w:t>
            </w:r>
            <w:r w:rsidR="00BA4327">
              <w:rPr>
                <w:b/>
                <w:bCs/>
                <w:sz w:val="22"/>
                <w:szCs w:val="22"/>
                <w:lang w:val="sr-Latn-ME" w:eastAsia="en-US"/>
              </w:rPr>
              <w:t>š</w:t>
            </w:r>
            <w:r w:rsidRPr="00AB41EE">
              <w:rPr>
                <w:b/>
                <w:bCs/>
                <w:sz w:val="22"/>
                <w:szCs w:val="22"/>
                <w:lang w:val="sr-Latn-ME" w:eastAsia="en-US"/>
              </w:rPr>
              <w:t>ka cesta 6, 8501 Novo mesto, Slovenija</w:t>
            </w:r>
          </w:p>
        </w:tc>
      </w:tr>
      <w:tr w:rsidR="00A549BA" w:rsidRPr="00AB41EE" w:rsidTr="003F6ECC">
        <w:trPr>
          <w:jc w:val="center"/>
        </w:trPr>
        <w:tc>
          <w:tcPr>
            <w:tcW w:w="2160" w:type="dxa"/>
            <w:vAlign w:val="bottom"/>
          </w:tcPr>
          <w:p w:rsidR="00A549BA" w:rsidRPr="00AB41EE" w:rsidRDefault="00A549BA" w:rsidP="00A549BA">
            <w:pPr>
              <w:spacing w:before="200"/>
              <w:jc w:val="right"/>
              <w:rPr>
                <w:sz w:val="22"/>
                <w:szCs w:val="22"/>
                <w:lang w:val="sr-Latn-ME" w:eastAsia="en-US"/>
              </w:rPr>
            </w:pPr>
            <w:r w:rsidRPr="00AB41EE">
              <w:rPr>
                <w:sz w:val="22"/>
                <w:szCs w:val="22"/>
                <w:lang w:val="sr-Latn-ME" w:eastAsia="en-US"/>
              </w:rPr>
              <w:t>Podnosilac zahtjeva:</w:t>
            </w:r>
          </w:p>
        </w:tc>
        <w:tc>
          <w:tcPr>
            <w:tcW w:w="7200" w:type="dxa"/>
            <w:vAlign w:val="bottom"/>
          </w:tcPr>
          <w:p w:rsidR="00A549BA" w:rsidRPr="00AB41EE" w:rsidRDefault="00A549BA" w:rsidP="00A549BA">
            <w:pPr>
              <w:spacing w:before="200"/>
              <w:ind w:left="72" w:hanging="72"/>
              <w:rPr>
                <w:b/>
                <w:bCs/>
                <w:sz w:val="22"/>
                <w:szCs w:val="22"/>
                <w:lang w:val="sr-Latn-ME" w:eastAsia="en-US"/>
              </w:rPr>
            </w:pPr>
            <w:r w:rsidRPr="00DE71E5">
              <w:rPr>
                <w:b/>
                <w:bCs/>
                <w:sz w:val="22"/>
                <w:szCs w:val="22"/>
                <w:lang w:val="hr-HR" w:eastAsia="en-US"/>
              </w:rPr>
              <w:t>DSD „KRKA, d.d., Novo mesto“ - predstavništvo Podgorica</w:t>
            </w:r>
          </w:p>
        </w:tc>
      </w:tr>
      <w:tr w:rsidR="00A549BA" w:rsidRPr="00AB41EE" w:rsidTr="003F6ECC">
        <w:trPr>
          <w:jc w:val="center"/>
        </w:trPr>
        <w:tc>
          <w:tcPr>
            <w:tcW w:w="2160" w:type="dxa"/>
            <w:vAlign w:val="bottom"/>
          </w:tcPr>
          <w:p w:rsidR="00A549BA" w:rsidRPr="00AB41EE" w:rsidRDefault="00A549BA" w:rsidP="00A549BA">
            <w:pPr>
              <w:spacing w:before="200"/>
              <w:jc w:val="right"/>
              <w:rPr>
                <w:sz w:val="22"/>
                <w:szCs w:val="22"/>
                <w:lang w:val="sr-Latn-ME" w:eastAsia="en-US"/>
              </w:rPr>
            </w:pPr>
            <w:r w:rsidRPr="00AB41EE">
              <w:rPr>
                <w:sz w:val="22"/>
                <w:szCs w:val="22"/>
                <w:lang w:val="sr-Latn-ME" w:eastAsia="en-US"/>
              </w:rPr>
              <w:t>Adresa:</w:t>
            </w:r>
          </w:p>
        </w:tc>
        <w:tc>
          <w:tcPr>
            <w:tcW w:w="7200" w:type="dxa"/>
            <w:vAlign w:val="bottom"/>
          </w:tcPr>
          <w:p w:rsidR="00A549BA" w:rsidRPr="00AB41EE" w:rsidRDefault="00A549BA" w:rsidP="00A549BA">
            <w:pPr>
              <w:spacing w:before="200"/>
              <w:ind w:left="72" w:hanging="72"/>
              <w:rPr>
                <w:b/>
                <w:bCs/>
                <w:sz w:val="22"/>
                <w:szCs w:val="22"/>
                <w:lang w:val="sr-Latn-ME" w:eastAsia="en-US"/>
              </w:rPr>
            </w:pPr>
            <w:r w:rsidRPr="00DE71E5">
              <w:rPr>
                <w:b/>
                <w:bCs/>
                <w:sz w:val="22"/>
                <w:szCs w:val="22"/>
                <w:lang w:eastAsia="en-US"/>
              </w:rPr>
              <w:t>Svetlane Kane Radević br. 3, 81000 Podgorica, Crna Gora</w:t>
            </w:r>
          </w:p>
        </w:tc>
      </w:tr>
    </w:tbl>
    <w:p w:rsidR="00755F6B" w:rsidRPr="00AB41EE" w:rsidRDefault="00755F6B" w:rsidP="00755F6B">
      <w:pPr>
        <w:tabs>
          <w:tab w:val="left" w:pos="284"/>
          <w:tab w:val="center" w:pos="4320"/>
          <w:tab w:val="right" w:pos="8640"/>
        </w:tabs>
        <w:spacing w:before="400"/>
        <w:rPr>
          <w:b/>
          <w:bCs/>
          <w:sz w:val="22"/>
          <w:szCs w:val="22"/>
          <w:lang w:val="sr-Latn-ME" w:eastAsia="en-US"/>
        </w:rPr>
      </w:pPr>
      <w:r w:rsidRPr="00AB41EE">
        <w:rPr>
          <w:sz w:val="22"/>
          <w:szCs w:val="22"/>
          <w:lang w:val="sr-Latn-ME" w:eastAsia="en-US"/>
        </w:rPr>
        <w:br w:type="page"/>
      </w:r>
    </w:p>
    <w:tbl>
      <w:tblPr>
        <w:tblW w:w="10260" w:type="dxa"/>
        <w:tblInd w:w="-72" w:type="dxa"/>
        <w:tblLayout w:type="fixed"/>
        <w:tblLook w:val="0000" w:firstRow="0" w:lastRow="0" w:firstColumn="0" w:lastColumn="0" w:noHBand="0" w:noVBand="0"/>
      </w:tblPr>
      <w:tblGrid>
        <w:gridCol w:w="900"/>
        <w:gridCol w:w="9360"/>
      </w:tblGrid>
      <w:tr w:rsidR="00755F6B" w:rsidRPr="00AB41EE" w:rsidTr="006E1FE0">
        <w:trPr>
          <w:cantSplit/>
          <w:trHeight w:val="284"/>
        </w:trPr>
        <w:tc>
          <w:tcPr>
            <w:tcW w:w="10260" w:type="dxa"/>
            <w:gridSpan w:val="2"/>
            <w:shd w:val="clear" w:color="auto" w:fill="E0E0E0"/>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lastRenderedPageBreak/>
              <w:t>1. NAZIV LIJEKA</w:t>
            </w:r>
          </w:p>
        </w:tc>
      </w:tr>
      <w:tr w:rsidR="00755F6B" w:rsidRPr="00AB41EE" w:rsidTr="006E1FE0">
        <w:trPr>
          <w:cantSplit/>
          <w:trHeight w:val="525"/>
        </w:trPr>
        <w:tc>
          <w:tcPr>
            <w:tcW w:w="10260" w:type="dxa"/>
            <w:gridSpan w:val="2"/>
            <w:vAlign w:val="center"/>
          </w:tcPr>
          <w:p w:rsidR="00755F6B" w:rsidRPr="00AB41EE" w:rsidRDefault="00755F6B" w:rsidP="006E1FE0">
            <w:pPr>
              <w:tabs>
                <w:tab w:val="left" w:pos="284"/>
                <w:tab w:val="center" w:pos="4320"/>
                <w:tab w:val="right" w:pos="8640"/>
              </w:tabs>
              <w:rPr>
                <w:sz w:val="22"/>
                <w:szCs w:val="22"/>
                <w:lang w:val="sr-Latn-ME" w:eastAsia="en-US"/>
              </w:rPr>
            </w:pPr>
            <w:r w:rsidRPr="00AB41EE">
              <w:rPr>
                <w:sz w:val="22"/>
                <w:szCs w:val="22"/>
                <w:lang w:val="sr-Latn-ME" w:eastAsia="en-US"/>
              </w:rPr>
              <w:t>Sulfasalazin Krka EN 500 mg gastrorezistentna tableta</w:t>
            </w:r>
          </w:p>
        </w:tc>
      </w:tr>
      <w:tr w:rsidR="00755F6B" w:rsidRPr="00AB41EE" w:rsidTr="006E1FE0">
        <w:tc>
          <w:tcPr>
            <w:tcW w:w="900" w:type="dxa"/>
          </w:tcPr>
          <w:p w:rsidR="00755F6B" w:rsidRPr="00AB41EE" w:rsidRDefault="00755F6B" w:rsidP="006E1FE0">
            <w:pPr>
              <w:tabs>
                <w:tab w:val="left" w:pos="284"/>
                <w:tab w:val="center" w:pos="4320"/>
                <w:tab w:val="right" w:pos="8640"/>
              </w:tabs>
              <w:rPr>
                <w:sz w:val="22"/>
                <w:szCs w:val="22"/>
                <w:lang w:val="sr-Latn-ME" w:eastAsia="en-US"/>
              </w:rPr>
            </w:pPr>
            <w:r w:rsidRPr="00AB41EE">
              <w:rPr>
                <w:sz w:val="22"/>
                <w:szCs w:val="22"/>
                <w:lang w:val="sr-Latn-ME" w:eastAsia="en-US"/>
              </w:rPr>
              <w:t>INN:</w:t>
            </w:r>
          </w:p>
        </w:tc>
        <w:tc>
          <w:tcPr>
            <w:tcW w:w="9360" w:type="dxa"/>
            <w:vAlign w:val="center"/>
          </w:tcPr>
          <w:p w:rsidR="00755F6B" w:rsidRPr="00AB41EE" w:rsidRDefault="00755F6B" w:rsidP="006E1FE0">
            <w:pPr>
              <w:tabs>
                <w:tab w:val="left" w:pos="284"/>
                <w:tab w:val="center" w:pos="4320"/>
                <w:tab w:val="right" w:pos="8640"/>
              </w:tabs>
              <w:rPr>
                <w:sz w:val="22"/>
                <w:szCs w:val="22"/>
                <w:lang w:val="sr-Latn-ME" w:eastAsia="en-US"/>
              </w:rPr>
            </w:pPr>
            <w:r w:rsidRPr="00AB41EE">
              <w:rPr>
                <w:sz w:val="22"/>
                <w:szCs w:val="22"/>
                <w:lang w:val="sr-Latn-ME" w:eastAsia="en-US"/>
              </w:rPr>
              <w:t>sulfasalazin</w:t>
            </w:r>
          </w:p>
        </w:tc>
      </w:tr>
      <w:tr w:rsidR="00755F6B" w:rsidRPr="00AB41EE" w:rsidTr="006E1FE0">
        <w:trPr>
          <w:cantSplit/>
        </w:trPr>
        <w:tc>
          <w:tcPr>
            <w:tcW w:w="10260" w:type="dxa"/>
            <w:gridSpan w:val="2"/>
          </w:tcPr>
          <w:p w:rsidR="00755F6B" w:rsidRPr="00AB41EE" w:rsidRDefault="00755F6B" w:rsidP="006E1FE0">
            <w:pPr>
              <w:tabs>
                <w:tab w:val="left" w:pos="284"/>
                <w:tab w:val="center" w:pos="4320"/>
                <w:tab w:val="right" w:pos="8640"/>
              </w:tabs>
              <w:rPr>
                <w:sz w:val="22"/>
                <w:szCs w:val="22"/>
                <w:lang w:val="sr-Latn-ME" w:eastAsia="en-US"/>
              </w:rPr>
            </w:pPr>
          </w:p>
        </w:tc>
      </w:tr>
      <w:tr w:rsidR="00755F6B" w:rsidRPr="00AB41EE" w:rsidTr="006E1FE0">
        <w:trPr>
          <w:cantSplit/>
        </w:trPr>
        <w:tc>
          <w:tcPr>
            <w:tcW w:w="10260" w:type="dxa"/>
            <w:gridSpan w:val="2"/>
            <w:shd w:val="clear" w:color="auto" w:fill="E0E0E0"/>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2. KVALITATIVNI I KVANTITATIVNI SASTAV</w:t>
            </w:r>
          </w:p>
        </w:tc>
      </w:tr>
      <w:tr w:rsidR="00755F6B" w:rsidRPr="00AB41EE" w:rsidTr="006E1FE0">
        <w:trPr>
          <w:cantSplit/>
          <w:trHeight w:val="1145"/>
        </w:trPr>
        <w:tc>
          <w:tcPr>
            <w:tcW w:w="10260" w:type="dxa"/>
            <w:gridSpan w:val="2"/>
            <w:vAlign w:val="center"/>
          </w:tcPr>
          <w:p w:rsidR="00755F6B" w:rsidRPr="00AB41EE" w:rsidRDefault="00755F6B" w:rsidP="006E1FE0">
            <w:pPr>
              <w:tabs>
                <w:tab w:val="left" w:pos="-720"/>
              </w:tabs>
              <w:rPr>
                <w:sz w:val="22"/>
                <w:szCs w:val="22"/>
                <w:lang w:val="sr-Latn-ME" w:eastAsia="en-US"/>
              </w:rPr>
            </w:pPr>
          </w:p>
          <w:p w:rsidR="00755F6B" w:rsidRPr="00AB41EE" w:rsidRDefault="00755F6B" w:rsidP="006E1FE0">
            <w:pPr>
              <w:tabs>
                <w:tab w:val="left" w:pos="-720"/>
              </w:tabs>
              <w:rPr>
                <w:sz w:val="22"/>
                <w:szCs w:val="22"/>
                <w:lang w:val="sr-Latn-ME" w:eastAsia="en-US"/>
              </w:rPr>
            </w:pPr>
            <w:r w:rsidRPr="00AB41EE">
              <w:rPr>
                <w:sz w:val="22"/>
                <w:szCs w:val="22"/>
                <w:lang w:val="sr-Latn-ME" w:eastAsia="en-US"/>
              </w:rPr>
              <w:t>Sadržaj aktivnih supstanci:</w:t>
            </w:r>
          </w:p>
          <w:p w:rsidR="00755F6B" w:rsidRPr="00AB41EE" w:rsidRDefault="00755F6B" w:rsidP="006E1FE0">
            <w:pPr>
              <w:tabs>
                <w:tab w:val="left" w:pos="-720"/>
              </w:tabs>
              <w:rPr>
                <w:sz w:val="22"/>
                <w:szCs w:val="22"/>
                <w:lang w:val="sr-Latn-ME" w:eastAsia="en-US"/>
              </w:rPr>
            </w:pPr>
            <w:r w:rsidRPr="00AB41EE">
              <w:rPr>
                <w:sz w:val="22"/>
                <w:szCs w:val="22"/>
                <w:lang w:val="sr-Latn-ME" w:eastAsia="en-US"/>
              </w:rPr>
              <w:t>Jedna gastrorezistentna tableta sadrži 500 mg sulfasalazina.</w:t>
            </w:r>
          </w:p>
          <w:p w:rsidR="00755F6B" w:rsidRPr="00AB41EE" w:rsidRDefault="00755F6B" w:rsidP="006E1FE0">
            <w:pPr>
              <w:widowControl w:val="0"/>
              <w:tabs>
                <w:tab w:val="left" w:pos="-720"/>
              </w:tabs>
              <w:suppressAutoHyphens/>
              <w:spacing w:line="288" w:lineRule="auto"/>
              <w:jc w:val="both"/>
              <w:rPr>
                <w:b/>
                <w:bCs/>
                <w:sz w:val="22"/>
                <w:szCs w:val="22"/>
                <w:lang w:val="sr-Latn-ME" w:eastAsia="en-US"/>
              </w:rPr>
            </w:pPr>
          </w:p>
          <w:p w:rsidR="00755F6B" w:rsidRPr="00AB41EE" w:rsidRDefault="00755F6B" w:rsidP="006E1FE0">
            <w:pPr>
              <w:widowControl w:val="0"/>
              <w:autoSpaceDE w:val="0"/>
              <w:autoSpaceDN w:val="0"/>
              <w:rPr>
                <w:sz w:val="22"/>
                <w:szCs w:val="22"/>
                <w:lang w:val="sr-Latn-ME" w:eastAsia="en-US"/>
              </w:rPr>
            </w:pPr>
            <w:r w:rsidRPr="00AB41EE">
              <w:rPr>
                <w:sz w:val="22"/>
                <w:szCs w:val="22"/>
                <w:lang w:val="sr-Latn-ME" w:eastAsia="en-US"/>
              </w:rPr>
              <w:t xml:space="preserve">Za kompletan spisak svih pomoćnih supstanci, vidjeti odjeljak 6.1. </w:t>
            </w:r>
          </w:p>
          <w:p w:rsidR="00755F6B" w:rsidRPr="00AB41EE" w:rsidRDefault="00755F6B" w:rsidP="006E1FE0">
            <w:pPr>
              <w:widowControl w:val="0"/>
              <w:tabs>
                <w:tab w:val="left" w:pos="-720"/>
              </w:tabs>
              <w:suppressAutoHyphens/>
              <w:spacing w:line="288" w:lineRule="auto"/>
              <w:jc w:val="both"/>
              <w:rPr>
                <w:b/>
                <w:bCs/>
                <w:sz w:val="22"/>
                <w:szCs w:val="22"/>
                <w:lang w:val="sr-Latn-ME" w:eastAsia="en-US"/>
              </w:rPr>
            </w:pPr>
          </w:p>
        </w:tc>
      </w:tr>
      <w:tr w:rsidR="00755F6B" w:rsidRPr="00AB41EE" w:rsidTr="006E1FE0">
        <w:trPr>
          <w:cantSplit/>
        </w:trPr>
        <w:tc>
          <w:tcPr>
            <w:tcW w:w="10260" w:type="dxa"/>
            <w:gridSpan w:val="2"/>
            <w:shd w:val="clear" w:color="auto" w:fill="E0E0E0"/>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3. FARMACEUTSKI OBLIK</w:t>
            </w:r>
          </w:p>
        </w:tc>
      </w:tr>
      <w:tr w:rsidR="00755F6B" w:rsidRPr="00AB41EE" w:rsidTr="006E1FE0">
        <w:trPr>
          <w:cantSplit/>
          <w:trHeight w:val="1145"/>
        </w:trPr>
        <w:tc>
          <w:tcPr>
            <w:tcW w:w="10260" w:type="dxa"/>
            <w:gridSpan w:val="2"/>
            <w:vAlign w:val="center"/>
          </w:tcPr>
          <w:p w:rsidR="00755F6B" w:rsidRPr="00AB41EE" w:rsidRDefault="00755F6B" w:rsidP="006E1FE0">
            <w:pPr>
              <w:tabs>
                <w:tab w:val="left" w:pos="-720"/>
              </w:tabs>
              <w:spacing w:after="120" w:line="288" w:lineRule="auto"/>
              <w:rPr>
                <w:sz w:val="22"/>
                <w:szCs w:val="22"/>
                <w:lang w:val="sr-Latn-ME" w:eastAsia="en-US"/>
              </w:rPr>
            </w:pPr>
            <w:r w:rsidRPr="00AB41EE">
              <w:rPr>
                <w:sz w:val="22"/>
                <w:szCs w:val="22"/>
                <w:lang w:val="sr-Latn-ME" w:eastAsia="en-US"/>
              </w:rPr>
              <w:t xml:space="preserve">Gastrorezistentna tableta </w:t>
            </w:r>
          </w:p>
          <w:p w:rsidR="00755F6B" w:rsidRPr="00AB41EE" w:rsidRDefault="00755F6B" w:rsidP="006E1FE0">
            <w:pPr>
              <w:tabs>
                <w:tab w:val="left" w:pos="284"/>
                <w:tab w:val="center" w:pos="4320"/>
                <w:tab w:val="right" w:pos="8640"/>
              </w:tabs>
              <w:rPr>
                <w:sz w:val="22"/>
                <w:szCs w:val="22"/>
                <w:lang w:val="sr-Latn-ME" w:eastAsia="en-US"/>
              </w:rPr>
            </w:pPr>
            <w:r w:rsidRPr="00AB41EE">
              <w:rPr>
                <w:sz w:val="22"/>
                <w:szCs w:val="22"/>
                <w:lang w:val="sr-Latn-ME" w:eastAsia="en-US"/>
              </w:rPr>
              <w:t>Okrugle, žute do žuto - smeđe boje, blago bikonveksne filmom obložene tablete.</w:t>
            </w:r>
          </w:p>
        </w:tc>
      </w:tr>
      <w:tr w:rsidR="00755F6B" w:rsidRPr="00AB41EE" w:rsidTr="006E1FE0">
        <w:trPr>
          <w:cantSplit/>
        </w:trPr>
        <w:tc>
          <w:tcPr>
            <w:tcW w:w="10260" w:type="dxa"/>
            <w:gridSpan w:val="2"/>
            <w:shd w:val="clear" w:color="auto" w:fill="E0E0E0"/>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4. KLINIČKI PODACI</w:t>
            </w:r>
          </w:p>
        </w:tc>
      </w:tr>
      <w:tr w:rsidR="00755F6B" w:rsidRPr="00AB41EE" w:rsidTr="006E1FE0">
        <w:trPr>
          <w:cantSplit/>
        </w:trPr>
        <w:tc>
          <w:tcPr>
            <w:tcW w:w="10260" w:type="dxa"/>
            <w:gridSpan w:val="2"/>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4.1. Terapijske indikacije</w:t>
            </w:r>
          </w:p>
        </w:tc>
      </w:tr>
      <w:tr w:rsidR="00755F6B" w:rsidRPr="00AB41EE" w:rsidTr="006E1FE0">
        <w:trPr>
          <w:cantSplit/>
          <w:trHeight w:val="1145"/>
        </w:trPr>
        <w:tc>
          <w:tcPr>
            <w:tcW w:w="10260" w:type="dxa"/>
            <w:gridSpan w:val="2"/>
            <w:vAlign w:val="center"/>
          </w:tcPr>
          <w:p w:rsidR="00755F6B" w:rsidRPr="00AB41EE" w:rsidRDefault="00755F6B" w:rsidP="006E1FE0">
            <w:pPr>
              <w:tabs>
                <w:tab w:val="left" w:pos="-720"/>
              </w:tabs>
              <w:rPr>
                <w:spacing w:val="-3"/>
                <w:sz w:val="22"/>
                <w:szCs w:val="22"/>
                <w:lang w:val="sr-Latn-ME" w:eastAsia="en-US"/>
              </w:rPr>
            </w:pPr>
          </w:p>
          <w:p w:rsidR="00755F6B" w:rsidRPr="00AB41EE" w:rsidRDefault="00755F6B" w:rsidP="006E1FE0">
            <w:pPr>
              <w:tabs>
                <w:tab w:val="left" w:pos="-720"/>
              </w:tabs>
              <w:jc w:val="both"/>
              <w:rPr>
                <w:spacing w:val="-3"/>
                <w:sz w:val="22"/>
                <w:szCs w:val="22"/>
                <w:lang w:val="sr-Latn-ME" w:eastAsia="en-US"/>
              </w:rPr>
            </w:pPr>
            <w:r w:rsidRPr="00AB41EE">
              <w:rPr>
                <w:spacing w:val="-3"/>
                <w:sz w:val="22"/>
                <w:szCs w:val="22"/>
                <w:lang w:val="sr-Latn-ME" w:eastAsia="en-US"/>
              </w:rPr>
              <w:t>Indukcija i održavanje remisije ulceroznog kolitisa; terapija aktivne Crohn-ove bolesti.</w:t>
            </w:r>
          </w:p>
          <w:p w:rsidR="00755F6B" w:rsidRPr="00AB41EE" w:rsidRDefault="00755F6B" w:rsidP="006E1FE0">
            <w:pPr>
              <w:tabs>
                <w:tab w:val="left" w:pos="-720"/>
              </w:tabs>
              <w:jc w:val="both"/>
              <w:rPr>
                <w:spacing w:val="-3"/>
                <w:sz w:val="22"/>
                <w:szCs w:val="22"/>
                <w:lang w:val="sr-Latn-ME" w:eastAsia="en-US"/>
              </w:rPr>
            </w:pPr>
          </w:p>
          <w:p w:rsidR="00755F6B" w:rsidRPr="00AB41EE" w:rsidRDefault="00755F6B" w:rsidP="006E1FE0">
            <w:pPr>
              <w:tabs>
                <w:tab w:val="left" w:pos="-720"/>
              </w:tabs>
              <w:jc w:val="both"/>
              <w:rPr>
                <w:spacing w:val="-3"/>
                <w:sz w:val="22"/>
                <w:szCs w:val="22"/>
                <w:lang w:val="sr-Latn-ME" w:eastAsia="en-US"/>
              </w:rPr>
            </w:pPr>
            <w:r w:rsidRPr="00AB41EE">
              <w:rPr>
                <w:spacing w:val="-3"/>
                <w:sz w:val="22"/>
                <w:szCs w:val="22"/>
                <w:lang w:val="sr-Latn-ME" w:eastAsia="en-US"/>
              </w:rPr>
              <w:t>Terapija reumatoidnog artritisa koji se ne može kontrolisati nesteroidnim antiinflamatornim ljekovima (NSAIL).</w:t>
            </w:r>
          </w:p>
          <w:p w:rsidR="00755F6B" w:rsidRPr="00AB41EE" w:rsidRDefault="00755F6B" w:rsidP="006E1FE0">
            <w:pPr>
              <w:tabs>
                <w:tab w:val="left" w:pos="284"/>
                <w:tab w:val="center" w:pos="4320"/>
                <w:tab w:val="right" w:pos="8640"/>
              </w:tabs>
              <w:rPr>
                <w:sz w:val="22"/>
                <w:szCs w:val="22"/>
                <w:lang w:val="sr-Latn-ME" w:eastAsia="en-US"/>
              </w:rPr>
            </w:pPr>
          </w:p>
        </w:tc>
      </w:tr>
      <w:tr w:rsidR="00755F6B" w:rsidRPr="00AB41EE" w:rsidTr="006E1FE0">
        <w:trPr>
          <w:cantSplit/>
        </w:trPr>
        <w:tc>
          <w:tcPr>
            <w:tcW w:w="10260" w:type="dxa"/>
            <w:gridSpan w:val="2"/>
            <w:vAlign w:val="center"/>
          </w:tcPr>
          <w:p w:rsidR="00755F6B" w:rsidRPr="00AB41EE" w:rsidRDefault="00755F6B" w:rsidP="006E1FE0">
            <w:pPr>
              <w:tabs>
                <w:tab w:val="left" w:pos="284"/>
                <w:tab w:val="center" w:pos="4320"/>
                <w:tab w:val="right" w:pos="8640"/>
              </w:tabs>
              <w:spacing w:before="80" w:after="80"/>
              <w:jc w:val="both"/>
              <w:rPr>
                <w:b/>
                <w:bCs/>
                <w:sz w:val="22"/>
                <w:szCs w:val="22"/>
                <w:lang w:val="sr-Latn-ME" w:eastAsia="en-US"/>
              </w:rPr>
            </w:pPr>
            <w:r w:rsidRPr="00AB41EE">
              <w:rPr>
                <w:b/>
                <w:bCs/>
                <w:sz w:val="22"/>
                <w:szCs w:val="22"/>
                <w:lang w:val="sr-Latn-ME" w:eastAsia="en-US"/>
              </w:rPr>
              <w:t>4.2. Doziranje i način primjene</w:t>
            </w:r>
          </w:p>
          <w:p w:rsidR="00755F6B" w:rsidRPr="00AB41EE" w:rsidRDefault="00755F6B" w:rsidP="006E1FE0">
            <w:pPr>
              <w:tabs>
                <w:tab w:val="left" w:pos="284"/>
                <w:tab w:val="center" w:pos="4320"/>
                <w:tab w:val="right" w:pos="8640"/>
              </w:tabs>
              <w:spacing w:before="80" w:after="80"/>
              <w:jc w:val="both"/>
              <w:rPr>
                <w:b/>
                <w:bCs/>
                <w:sz w:val="22"/>
                <w:szCs w:val="22"/>
                <w:lang w:val="sr-Latn-ME" w:eastAsia="en-US"/>
              </w:rPr>
            </w:pPr>
          </w:p>
          <w:p w:rsidR="00755F6B" w:rsidRPr="00AB41EE" w:rsidRDefault="00755F6B" w:rsidP="006E1FE0">
            <w:pPr>
              <w:tabs>
                <w:tab w:val="left" w:pos="284"/>
                <w:tab w:val="center" w:pos="4320"/>
                <w:tab w:val="right" w:pos="8640"/>
              </w:tabs>
              <w:spacing w:before="80" w:after="80"/>
              <w:jc w:val="both"/>
              <w:rPr>
                <w:spacing w:val="-3"/>
                <w:sz w:val="22"/>
                <w:szCs w:val="22"/>
                <w:lang w:val="sr-Latn-ME" w:eastAsia="en-US"/>
              </w:rPr>
            </w:pPr>
            <w:r w:rsidRPr="00AB41EE">
              <w:rPr>
                <w:spacing w:val="-3"/>
                <w:sz w:val="22"/>
                <w:szCs w:val="22"/>
                <w:lang w:val="sr-Latn-ME" w:eastAsia="en-US"/>
              </w:rPr>
              <w:t>Sulfazalazin Krka EN gastrorezistentna tableta namijenjena je pacijentima kod kojih su se ispoljila gastrointestinalna neželjena dejstva tokom uzimanja ovog lijeka u obliku običnih tableta. Gastrorezistentne tablete se moraju progutati cijele, ne smiju se mrviti, ni lomiti.</w:t>
            </w:r>
          </w:p>
          <w:p w:rsidR="00787486" w:rsidRPr="00AB41EE" w:rsidRDefault="00787486" w:rsidP="006E1FE0">
            <w:pPr>
              <w:tabs>
                <w:tab w:val="left" w:pos="284"/>
                <w:tab w:val="center" w:pos="4320"/>
                <w:tab w:val="right" w:pos="8640"/>
              </w:tabs>
              <w:spacing w:before="80" w:after="80"/>
              <w:jc w:val="both"/>
              <w:rPr>
                <w:spacing w:val="-3"/>
                <w:sz w:val="22"/>
                <w:szCs w:val="22"/>
                <w:lang w:val="sr-Latn-ME" w:eastAsia="en-US"/>
              </w:rPr>
            </w:pPr>
          </w:p>
          <w:p w:rsidR="00787486" w:rsidRPr="00AB41EE" w:rsidRDefault="00787486" w:rsidP="00787486">
            <w:pPr>
              <w:tabs>
                <w:tab w:val="left" w:pos="-720"/>
              </w:tabs>
              <w:jc w:val="both"/>
              <w:rPr>
                <w:spacing w:val="-3"/>
                <w:sz w:val="22"/>
                <w:szCs w:val="22"/>
                <w:lang w:val="sr-Latn-ME" w:eastAsia="en-US"/>
              </w:rPr>
            </w:pPr>
            <w:r w:rsidRPr="00AB41EE">
              <w:rPr>
                <w:spacing w:val="-3"/>
                <w:sz w:val="22"/>
                <w:szCs w:val="22"/>
                <w:lang w:val="sr-Latn-ME" w:eastAsia="en-US"/>
              </w:rPr>
              <w:t xml:space="preserve">Doziranje treba prilagoditi težini oboljenja i podnošljivosti lijeka od strane pacijenta, kako je opisano u nastavku. </w:t>
            </w:r>
          </w:p>
          <w:p w:rsidR="00787486" w:rsidRPr="00AB41EE" w:rsidRDefault="00787486" w:rsidP="00787486">
            <w:pPr>
              <w:jc w:val="both"/>
              <w:rPr>
                <w:sz w:val="22"/>
                <w:szCs w:val="22"/>
                <w:lang w:val="sr-Latn-ME" w:eastAsia="en-US"/>
              </w:rPr>
            </w:pPr>
          </w:p>
          <w:p w:rsidR="00787486" w:rsidRPr="00AB41EE" w:rsidRDefault="00787486" w:rsidP="00787486">
            <w:pPr>
              <w:pStyle w:val="ListParagraph"/>
              <w:numPr>
                <w:ilvl w:val="0"/>
                <w:numId w:val="15"/>
              </w:numPr>
              <w:ind w:left="214" w:hanging="214"/>
              <w:jc w:val="both"/>
              <w:rPr>
                <w:sz w:val="22"/>
                <w:szCs w:val="22"/>
                <w:u w:val="single"/>
                <w:lang w:val="sr-Latn-ME" w:eastAsia="en-US"/>
              </w:rPr>
            </w:pPr>
            <w:r w:rsidRPr="00AB41EE">
              <w:rPr>
                <w:sz w:val="22"/>
                <w:szCs w:val="22"/>
                <w:u w:val="single"/>
                <w:lang w:val="sr-Latn-ME" w:eastAsia="en-US"/>
              </w:rPr>
              <w:t>Ulcerozni kolitis</w:t>
            </w:r>
          </w:p>
          <w:p w:rsidR="00787486" w:rsidRPr="00AB41EE" w:rsidRDefault="00787486" w:rsidP="00787486">
            <w:pPr>
              <w:jc w:val="both"/>
              <w:rPr>
                <w:b/>
                <w:sz w:val="22"/>
                <w:szCs w:val="22"/>
                <w:u w:val="single"/>
                <w:lang w:val="sr-Latn-ME" w:eastAsia="en-US"/>
              </w:rPr>
            </w:pPr>
          </w:p>
          <w:p w:rsidR="00787486" w:rsidRPr="00AB41EE" w:rsidRDefault="00787486" w:rsidP="00787486">
            <w:pPr>
              <w:jc w:val="both"/>
              <w:rPr>
                <w:b/>
                <w:sz w:val="22"/>
                <w:szCs w:val="22"/>
                <w:u w:val="single"/>
                <w:lang w:val="sr-Latn-ME" w:eastAsia="en-US"/>
              </w:rPr>
            </w:pPr>
            <w:r w:rsidRPr="00AB41EE">
              <w:rPr>
                <w:b/>
                <w:sz w:val="22"/>
                <w:szCs w:val="22"/>
                <w:u w:val="single"/>
                <w:lang w:val="sr-Latn-ME" w:eastAsia="en-US"/>
              </w:rPr>
              <w:t>Odrasli i stariji</w:t>
            </w:r>
          </w:p>
          <w:p w:rsidR="00787486" w:rsidRPr="00AB41EE" w:rsidRDefault="00787486" w:rsidP="00787486">
            <w:pPr>
              <w:jc w:val="both"/>
              <w:rPr>
                <w:b/>
                <w:sz w:val="22"/>
                <w:szCs w:val="22"/>
                <w:u w:val="single"/>
                <w:lang w:val="sr-Latn-ME" w:eastAsia="en-US"/>
              </w:rPr>
            </w:pPr>
          </w:p>
          <w:p w:rsidR="00787486" w:rsidRPr="00AB41EE" w:rsidRDefault="00787486" w:rsidP="00787486">
            <w:pPr>
              <w:jc w:val="both"/>
              <w:rPr>
                <w:sz w:val="22"/>
                <w:szCs w:val="22"/>
                <w:lang w:val="sr-Latn-ME" w:eastAsia="en-US"/>
              </w:rPr>
            </w:pPr>
            <w:r w:rsidRPr="00AB41EE">
              <w:rPr>
                <w:i/>
                <w:sz w:val="22"/>
                <w:szCs w:val="22"/>
                <w:lang w:val="sr-Latn-ME" w:eastAsia="en-US"/>
              </w:rPr>
              <w:t>Teški napadi:</w:t>
            </w:r>
            <w:r w:rsidRPr="00AB41EE">
              <w:rPr>
                <w:sz w:val="22"/>
                <w:szCs w:val="22"/>
                <w:lang w:val="sr-Latn-ME" w:eastAsia="en-US"/>
              </w:rPr>
              <w:t xml:space="preserve"> 2-4 tablete, 4 puta dnevno, mogu se primijeniti zajedno sa kortikosteroidima, kao dio intenzivne terapije. Brzi prolazak tableta kroz gastrointestinalni sistem može smanjiti djelovanje lijeka. </w:t>
            </w:r>
          </w:p>
          <w:p w:rsidR="00787486" w:rsidRPr="00AB41EE" w:rsidRDefault="00787486" w:rsidP="00787486">
            <w:pPr>
              <w:jc w:val="both"/>
              <w:rPr>
                <w:sz w:val="22"/>
                <w:szCs w:val="22"/>
                <w:lang w:val="sr-Latn-ME" w:eastAsia="en-US"/>
              </w:rPr>
            </w:pPr>
            <w:r w:rsidRPr="00AB41EE">
              <w:rPr>
                <w:sz w:val="22"/>
                <w:szCs w:val="22"/>
                <w:lang w:val="sr-Latn-ME" w:eastAsia="en-US"/>
              </w:rPr>
              <w:t>Dozni interval tokom noći ne smije biti duži od 8 sati.</w:t>
            </w:r>
          </w:p>
          <w:p w:rsidR="00787486" w:rsidRPr="00AB41EE" w:rsidRDefault="00787486" w:rsidP="00787486">
            <w:pPr>
              <w:jc w:val="both"/>
              <w:rPr>
                <w:i/>
                <w:sz w:val="22"/>
                <w:szCs w:val="22"/>
                <w:lang w:val="sr-Latn-ME" w:eastAsia="en-US"/>
              </w:rPr>
            </w:pPr>
          </w:p>
          <w:p w:rsidR="00787486" w:rsidRPr="00AB41EE" w:rsidRDefault="00787486" w:rsidP="00787486">
            <w:pPr>
              <w:jc w:val="both"/>
              <w:rPr>
                <w:sz w:val="22"/>
                <w:szCs w:val="22"/>
                <w:lang w:val="sr-Latn-ME" w:eastAsia="en-US"/>
              </w:rPr>
            </w:pPr>
            <w:r w:rsidRPr="00AB41EE">
              <w:rPr>
                <w:i/>
                <w:sz w:val="22"/>
                <w:szCs w:val="22"/>
                <w:lang w:val="sr-Latn-ME" w:eastAsia="en-US"/>
              </w:rPr>
              <w:t>Umjereni napadi:</w:t>
            </w:r>
            <w:r w:rsidRPr="00AB41EE">
              <w:rPr>
                <w:sz w:val="22"/>
                <w:szCs w:val="22"/>
                <w:lang w:val="sr-Latn-ME" w:eastAsia="en-US"/>
              </w:rPr>
              <w:t xml:space="preserve"> 2-4 tablete 4 puta dnevno, mogu se primijeniti zajedno sa kortikosteroidima.</w:t>
            </w:r>
          </w:p>
          <w:p w:rsidR="00787486" w:rsidRPr="00AB41EE" w:rsidRDefault="00787486" w:rsidP="00787486">
            <w:pPr>
              <w:jc w:val="both"/>
              <w:rPr>
                <w:sz w:val="22"/>
                <w:szCs w:val="22"/>
                <w:lang w:val="sr-Latn-ME" w:eastAsia="en-US"/>
              </w:rPr>
            </w:pPr>
          </w:p>
          <w:p w:rsidR="00787486" w:rsidRPr="00AB41EE" w:rsidRDefault="00787486" w:rsidP="00787486">
            <w:pPr>
              <w:jc w:val="both"/>
              <w:rPr>
                <w:b/>
                <w:bCs/>
                <w:sz w:val="22"/>
                <w:szCs w:val="22"/>
                <w:lang w:val="sr-Latn-ME" w:eastAsia="en-US"/>
              </w:rPr>
            </w:pPr>
            <w:r w:rsidRPr="00AB41EE">
              <w:rPr>
                <w:i/>
                <w:sz w:val="22"/>
                <w:szCs w:val="22"/>
                <w:lang w:val="sr-Latn-ME" w:eastAsia="en-US"/>
              </w:rPr>
              <w:t>Blagi napadi:</w:t>
            </w:r>
            <w:r w:rsidRPr="00AB41EE">
              <w:rPr>
                <w:sz w:val="22"/>
                <w:szCs w:val="22"/>
                <w:lang w:val="sr-Latn-ME" w:eastAsia="en-US"/>
              </w:rPr>
              <w:t xml:space="preserve"> 2 tablete 4 puta dnevno sa ili bez kortikosteroida. </w:t>
            </w:r>
          </w:p>
        </w:tc>
      </w:tr>
      <w:tr w:rsidR="00755F6B" w:rsidRPr="00AB41EE" w:rsidTr="00787486">
        <w:trPr>
          <w:cantSplit/>
          <w:trHeight w:val="1186"/>
        </w:trPr>
        <w:tc>
          <w:tcPr>
            <w:tcW w:w="10260" w:type="dxa"/>
            <w:gridSpan w:val="2"/>
            <w:vAlign w:val="center"/>
          </w:tcPr>
          <w:p w:rsidR="00755F6B" w:rsidRPr="00AB41EE" w:rsidRDefault="00755F6B" w:rsidP="006E1FE0">
            <w:pPr>
              <w:jc w:val="both"/>
              <w:rPr>
                <w:sz w:val="22"/>
                <w:szCs w:val="22"/>
                <w:lang w:val="sr-Latn-ME" w:eastAsia="en-US"/>
              </w:rPr>
            </w:pPr>
            <w:r w:rsidRPr="00AB41EE">
              <w:rPr>
                <w:i/>
                <w:sz w:val="22"/>
                <w:szCs w:val="22"/>
                <w:lang w:val="sr-Latn-ME" w:eastAsia="en-US"/>
              </w:rPr>
              <w:lastRenderedPageBreak/>
              <w:t>Terapija održavanja:</w:t>
            </w:r>
            <w:r w:rsidRPr="00AB41EE">
              <w:rPr>
                <w:sz w:val="22"/>
                <w:szCs w:val="22"/>
                <w:lang w:val="sr-Latn-ME" w:eastAsia="en-US"/>
              </w:rPr>
              <w:t xml:space="preserve"> Nakon uvođenja u remisiju, treba postepeno smanjivati dozu do 4 tablete dnevno. Navedenu dozu treba nastaviti primjenjivati neodređeno vrijeme, jer je prekid terapije čak i nekoliko godina nakon akutnog napada povezan s četiri puta većim rizikom od relapsa bolesti. </w:t>
            </w:r>
          </w:p>
          <w:p w:rsidR="00755F6B" w:rsidRPr="00AB41EE" w:rsidRDefault="00755F6B" w:rsidP="006E1FE0">
            <w:pPr>
              <w:jc w:val="both"/>
              <w:rPr>
                <w:sz w:val="22"/>
                <w:szCs w:val="22"/>
                <w:lang w:val="sr-Latn-ME" w:eastAsia="en-US"/>
              </w:rPr>
            </w:pPr>
          </w:p>
        </w:tc>
      </w:tr>
      <w:tr w:rsidR="00755F6B" w:rsidRPr="00AB41EE" w:rsidTr="006E1FE0">
        <w:trPr>
          <w:cantSplit/>
          <w:trHeight w:val="1644"/>
        </w:trPr>
        <w:tc>
          <w:tcPr>
            <w:tcW w:w="10260" w:type="dxa"/>
            <w:gridSpan w:val="2"/>
            <w:vAlign w:val="center"/>
          </w:tcPr>
          <w:p w:rsidR="00755F6B" w:rsidRPr="00AB41EE" w:rsidRDefault="00755F6B" w:rsidP="006E1FE0">
            <w:pPr>
              <w:jc w:val="both"/>
              <w:rPr>
                <w:b/>
                <w:sz w:val="22"/>
                <w:szCs w:val="22"/>
                <w:u w:val="single"/>
                <w:lang w:val="sr-Latn-ME" w:eastAsia="en-US"/>
              </w:rPr>
            </w:pPr>
            <w:r w:rsidRPr="00AB41EE">
              <w:rPr>
                <w:b/>
                <w:sz w:val="22"/>
                <w:szCs w:val="22"/>
                <w:u w:val="single"/>
                <w:lang w:val="sr-Latn-ME" w:eastAsia="en-US"/>
              </w:rPr>
              <w:t>Pedijatrijska populacija</w:t>
            </w:r>
          </w:p>
          <w:p w:rsidR="00755F6B" w:rsidRPr="00AB41EE" w:rsidRDefault="00755F6B" w:rsidP="006E1FE0">
            <w:pPr>
              <w:jc w:val="both"/>
              <w:rPr>
                <w:b/>
                <w:sz w:val="22"/>
                <w:szCs w:val="22"/>
                <w:u w:val="single"/>
                <w:lang w:val="sr-Latn-ME" w:eastAsia="en-US"/>
              </w:rPr>
            </w:pPr>
          </w:p>
          <w:p w:rsidR="00755F6B" w:rsidRPr="00AB41EE" w:rsidRDefault="00755F6B" w:rsidP="006E1FE0">
            <w:pPr>
              <w:jc w:val="both"/>
              <w:rPr>
                <w:sz w:val="22"/>
                <w:szCs w:val="22"/>
                <w:lang w:val="sr-Latn-ME" w:eastAsia="en-US"/>
              </w:rPr>
            </w:pPr>
            <w:r w:rsidRPr="00AB41EE">
              <w:rPr>
                <w:sz w:val="22"/>
                <w:szCs w:val="22"/>
                <w:lang w:val="sr-Latn-ME" w:eastAsia="en-US"/>
              </w:rPr>
              <w:t xml:space="preserve">Doza se određuje na osnovu tjelesne mase. </w:t>
            </w:r>
          </w:p>
          <w:p w:rsidR="00755F6B" w:rsidRPr="00AB41EE" w:rsidRDefault="00755F6B" w:rsidP="006E1FE0">
            <w:pPr>
              <w:jc w:val="both"/>
              <w:rPr>
                <w:sz w:val="22"/>
                <w:szCs w:val="22"/>
                <w:lang w:val="sr-Latn-ME" w:eastAsia="en-US"/>
              </w:rPr>
            </w:pPr>
          </w:p>
          <w:p w:rsidR="00755F6B" w:rsidRPr="00AB41EE" w:rsidRDefault="00755F6B" w:rsidP="006E1FE0">
            <w:pPr>
              <w:jc w:val="both"/>
              <w:rPr>
                <w:sz w:val="22"/>
                <w:szCs w:val="22"/>
                <w:lang w:val="sr-Latn-ME" w:eastAsia="en-US"/>
              </w:rPr>
            </w:pPr>
            <w:r w:rsidRPr="00AB41EE">
              <w:rPr>
                <w:i/>
                <w:sz w:val="22"/>
                <w:szCs w:val="22"/>
                <w:lang w:val="sr-Latn-ME" w:eastAsia="en-US"/>
              </w:rPr>
              <w:t>Akutni napad ili relaps:</w:t>
            </w:r>
            <w:r w:rsidRPr="00AB41EE">
              <w:rPr>
                <w:sz w:val="22"/>
                <w:szCs w:val="22"/>
                <w:lang w:val="sr-Latn-ME" w:eastAsia="en-US"/>
              </w:rPr>
              <w:t xml:space="preserve"> 40-60 mg/kg na dan </w:t>
            </w:r>
          </w:p>
          <w:p w:rsidR="00755F6B" w:rsidRPr="00AB41EE" w:rsidRDefault="00755F6B" w:rsidP="006E1FE0">
            <w:pPr>
              <w:jc w:val="both"/>
              <w:rPr>
                <w:sz w:val="22"/>
                <w:szCs w:val="22"/>
                <w:lang w:val="sr-Latn-ME" w:eastAsia="en-US"/>
              </w:rPr>
            </w:pPr>
          </w:p>
          <w:p w:rsidR="00755F6B" w:rsidRPr="00AB41EE" w:rsidRDefault="00755F6B" w:rsidP="006E1FE0">
            <w:pPr>
              <w:jc w:val="both"/>
              <w:rPr>
                <w:sz w:val="22"/>
                <w:szCs w:val="22"/>
                <w:lang w:val="sr-Latn-ME" w:eastAsia="en-US"/>
              </w:rPr>
            </w:pPr>
            <w:r w:rsidRPr="00AB41EE">
              <w:rPr>
                <w:i/>
                <w:sz w:val="22"/>
                <w:szCs w:val="22"/>
                <w:lang w:val="sr-Latn-ME" w:eastAsia="en-US"/>
              </w:rPr>
              <w:t>Terapija održavanja:</w:t>
            </w:r>
            <w:r w:rsidRPr="00AB41EE">
              <w:rPr>
                <w:sz w:val="22"/>
                <w:szCs w:val="22"/>
                <w:lang w:val="sr-Latn-ME" w:eastAsia="en-US"/>
              </w:rPr>
              <w:t xml:space="preserve"> 20-30 mg/kg na dan.</w:t>
            </w:r>
          </w:p>
          <w:p w:rsidR="00755F6B" w:rsidRPr="00AB41EE" w:rsidRDefault="00755F6B" w:rsidP="006E1FE0">
            <w:pPr>
              <w:jc w:val="both"/>
              <w:rPr>
                <w:spacing w:val="-3"/>
                <w:sz w:val="22"/>
                <w:szCs w:val="22"/>
                <w:lang w:val="sr-Latn-ME" w:eastAsia="en-US"/>
              </w:rPr>
            </w:pPr>
          </w:p>
        </w:tc>
      </w:tr>
      <w:tr w:rsidR="00755F6B" w:rsidRPr="00AB41EE" w:rsidTr="006E1FE0">
        <w:trPr>
          <w:cantSplit/>
          <w:trHeight w:val="1145"/>
        </w:trPr>
        <w:tc>
          <w:tcPr>
            <w:tcW w:w="10260" w:type="dxa"/>
            <w:gridSpan w:val="2"/>
            <w:vAlign w:val="center"/>
          </w:tcPr>
          <w:p w:rsidR="00755F6B" w:rsidRPr="00AB41EE" w:rsidRDefault="00755F6B" w:rsidP="006E1FE0">
            <w:pPr>
              <w:jc w:val="both"/>
              <w:rPr>
                <w:snapToGrid w:val="0"/>
                <w:sz w:val="22"/>
                <w:szCs w:val="22"/>
                <w:lang w:val="sr-Latn-ME" w:eastAsia="en-US"/>
              </w:rPr>
            </w:pPr>
            <w:r w:rsidRPr="00AB41EE">
              <w:rPr>
                <w:snapToGrid w:val="0"/>
                <w:sz w:val="22"/>
                <w:szCs w:val="22"/>
                <w:lang w:val="sr-Latn-ME" w:eastAsia="en-US"/>
              </w:rPr>
              <w:t xml:space="preserve">b) </w:t>
            </w:r>
            <w:r w:rsidRPr="00AB41EE">
              <w:rPr>
                <w:snapToGrid w:val="0"/>
                <w:sz w:val="22"/>
                <w:szCs w:val="22"/>
                <w:u w:val="single"/>
                <w:lang w:val="sr-Latn-ME" w:eastAsia="en-US"/>
              </w:rPr>
              <w:t>Chron-ova bolest</w:t>
            </w:r>
            <w:r w:rsidRPr="00AB41EE">
              <w:rPr>
                <w:snapToGrid w:val="0"/>
                <w:sz w:val="22"/>
                <w:szCs w:val="22"/>
                <w:lang w:val="sr-Latn-ME" w:eastAsia="en-US"/>
              </w:rPr>
              <w:t xml:space="preserve"> </w:t>
            </w:r>
          </w:p>
          <w:p w:rsidR="00755F6B" w:rsidRPr="00AB41EE" w:rsidRDefault="00755F6B" w:rsidP="006E1FE0">
            <w:pPr>
              <w:jc w:val="both"/>
              <w:rPr>
                <w:snapToGrid w:val="0"/>
                <w:sz w:val="22"/>
                <w:szCs w:val="22"/>
                <w:lang w:val="sr-Latn-ME" w:eastAsia="en-US"/>
              </w:rPr>
            </w:pPr>
            <w:r w:rsidRPr="00AB41EE">
              <w:rPr>
                <w:snapToGrid w:val="0"/>
                <w:sz w:val="22"/>
                <w:szCs w:val="22"/>
                <w:lang w:val="sr-Latn-ME" w:eastAsia="en-US"/>
              </w:rPr>
              <w:t xml:space="preserve">Kod aktivne Chron-ove bolesti, Sulfazalazin Krka EN tablete treba primjenjivati kao i kod napada ulceroznog kolitisa (vidjeti gore). </w:t>
            </w:r>
          </w:p>
          <w:p w:rsidR="00755F6B" w:rsidRPr="00AB41EE" w:rsidRDefault="00755F6B" w:rsidP="006E1FE0">
            <w:pPr>
              <w:jc w:val="both"/>
              <w:rPr>
                <w:snapToGrid w:val="0"/>
                <w:sz w:val="22"/>
                <w:szCs w:val="22"/>
                <w:lang w:val="sr-Latn-ME" w:eastAsia="en-US"/>
              </w:rPr>
            </w:pPr>
          </w:p>
          <w:p w:rsidR="00755F6B" w:rsidRPr="00AB41EE" w:rsidRDefault="00755F6B" w:rsidP="006E1FE0">
            <w:pPr>
              <w:jc w:val="both"/>
              <w:rPr>
                <w:snapToGrid w:val="0"/>
                <w:sz w:val="22"/>
                <w:szCs w:val="22"/>
                <w:lang w:val="sr-Latn-ME" w:eastAsia="en-US"/>
              </w:rPr>
            </w:pPr>
            <w:r w:rsidRPr="00AB41EE">
              <w:rPr>
                <w:snapToGrid w:val="0"/>
                <w:sz w:val="22"/>
                <w:szCs w:val="22"/>
                <w:lang w:val="sr-Latn-ME" w:eastAsia="en-US"/>
              </w:rPr>
              <w:t xml:space="preserve">c) </w:t>
            </w:r>
            <w:r w:rsidRPr="00AB41EE">
              <w:rPr>
                <w:snapToGrid w:val="0"/>
                <w:sz w:val="22"/>
                <w:szCs w:val="22"/>
                <w:u w:val="single"/>
                <w:lang w:val="sr-Latn-ME" w:eastAsia="en-US"/>
              </w:rPr>
              <w:t>Reumatoidni artritis</w:t>
            </w:r>
            <w:r w:rsidRPr="00AB41EE">
              <w:rPr>
                <w:snapToGrid w:val="0"/>
                <w:sz w:val="22"/>
                <w:szCs w:val="22"/>
                <w:lang w:val="sr-Latn-ME" w:eastAsia="en-US"/>
              </w:rPr>
              <w:t xml:space="preserve"> </w:t>
            </w:r>
          </w:p>
          <w:p w:rsidR="00755F6B" w:rsidRPr="00AB41EE" w:rsidRDefault="00755F6B" w:rsidP="006E1FE0">
            <w:pPr>
              <w:jc w:val="both"/>
              <w:rPr>
                <w:snapToGrid w:val="0"/>
                <w:sz w:val="22"/>
                <w:szCs w:val="22"/>
                <w:lang w:val="sr-Latn-ME" w:eastAsia="en-US"/>
              </w:rPr>
            </w:pPr>
            <w:r w:rsidRPr="00AB41EE">
              <w:rPr>
                <w:sz w:val="22"/>
                <w:szCs w:val="22"/>
                <w:lang w:val="sr-Latn-ME" w:eastAsia="en-US"/>
              </w:rPr>
              <w:t>Sulfazalazin Krka EN tablete se posebno preporučuju za terapiju reumatoidnog artritisa, jer ovi pacijenti mogu imati osjetljiv želudac, posebno oni koji su prethodno duže liječeni sa NSAIL.</w:t>
            </w:r>
          </w:p>
          <w:p w:rsidR="00755F6B" w:rsidRPr="00AB41EE" w:rsidRDefault="00755F6B" w:rsidP="006E1FE0">
            <w:pPr>
              <w:jc w:val="both"/>
              <w:rPr>
                <w:snapToGrid w:val="0"/>
                <w:sz w:val="22"/>
                <w:szCs w:val="22"/>
                <w:lang w:val="sr-Latn-ME" w:eastAsia="en-US"/>
              </w:rPr>
            </w:pPr>
          </w:p>
          <w:p w:rsidR="00755F6B" w:rsidRPr="00AB41EE" w:rsidRDefault="00755F6B" w:rsidP="006E1FE0">
            <w:pPr>
              <w:jc w:val="both"/>
              <w:rPr>
                <w:snapToGrid w:val="0"/>
                <w:sz w:val="22"/>
                <w:szCs w:val="22"/>
                <w:lang w:val="sr-Latn-ME" w:eastAsia="en-US"/>
              </w:rPr>
            </w:pPr>
            <w:r w:rsidRPr="00AB41EE">
              <w:rPr>
                <w:snapToGrid w:val="0"/>
                <w:sz w:val="22"/>
                <w:szCs w:val="22"/>
                <w:lang w:val="sr-Latn-ME" w:eastAsia="en-US"/>
              </w:rPr>
              <w:t xml:space="preserve">Pacijenti započinju terapiju jednom tabletom dnevno, povećavajući dozu za jednu tabletu na dan svake nedjelje  dok se ne dođe do 1 tablete četiri puta na dan ili 2 tablete tri puta na dan, u zavisnosti od podnošljivosti lijeka i kliničkog odgovora. Smanjenje brzine sedimentacije eritrocita i C-reaktivnog proteina treba da prati poboljšanje mobilnosti zglobova. NSAIL se mogu uzimati zajedno sa lijekom Salazopyrin EN. </w:t>
            </w:r>
          </w:p>
          <w:p w:rsidR="00755F6B" w:rsidRPr="00AB41EE" w:rsidRDefault="00755F6B" w:rsidP="006E1FE0">
            <w:pPr>
              <w:jc w:val="both"/>
              <w:rPr>
                <w:spacing w:val="-3"/>
                <w:sz w:val="22"/>
                <w:szCs w:val="22"/>
                <w:lang w:val="sr-Latn-ME" w:eastAsia="en-US"/>
              </w:rPr>
            </w:pPr>
          </w:p>
        </w:tc>
      </w:tr>
      <w:tr w:rsidR="00755F6B" w:rsidRPr="00AB41EE" w:rsidTr="006E1FE0">
        <w:trPr>
          <w:cantSplit/>
          <w:trHeight w:val="446"/>
        </w:trPr>
        <w:tc>
          <w:tcPr>
            <w:tcW w:w="10260" w:type="dxa"/>
            <w:gridSpan w:val="2"/>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4.3. Kontraindikacije</w:t>
            </w:r>
          </w:p>
        </w:tc>
      </w:tr>
      <w:tr w:rsidR="00755F6B" w:rsidRPr="00AB41EE" w:rsidTr="006E1FE0">
        <w:trPr>
          <w:cantSplit/>
          <w:trHeight w:val="1145"/>
        </w:trPr>
        <w:tc>
          <w:tcPr>
            <w:tcW w:w="10260" w:type="dxa"/>
            <w:gridSpan w:val="2"/>
            <w:vAlign w:val="center"/>
          </w:tcPr>
          <w:p w:rsidR="00755F6B" w:rsidRPr="00AB41EE" w:rsidRDefault="00755F6B" w:rsidP="006E1FE0">
            <w:pPr>
              <w:tabs>
                <w:tab w:val="left" w:pos="284"/>
              </w:tabs>
              <w:spacing w:before="120" w:after="120"/>
              <w:jc w:val="both"/>
              <w:rPr>
                <w:sz w:val="22"/>
                <w:szCs w:val="22"/>
                <w:lang w:val="sr-Latn-ME" w:eastAsia="en-US"/>
              </w:rPr>
            </w:pPr>
            <w:r w:rsidRPr="00AB41EE">
              <w:rPr>
                <w:sz w:val="22"/>
                <w:szCs w:val="22"/>
                <w:lang w:val="sr-Latn-ME" w:eastAsia="en-US"/>
              </w:rPr>
              <w:t>Djeca mlađa od 2 godine.</w:t>
            </w:r>
          </w:p>
          <w:p w:rsidR="00755F6B" w:rsidRPr="00AB41EE" w:rsidRDefault="00755F6B" w:rsidP="006E1FE0">
            <w:pPr>
              <w:tabs>
                <w:tab w:val="left" w:pos="284"/>
              </w:tabs>
              <w:spacing w:after="120"/>
              <w:jc w:val="both"/>
              <w:rPr>
                <w:sz w:val="22"/>
                <w:szCs w:val="22"/>
                <w:lang w:val="sr-Latn-ME" w:eastAsia="en-US"/>
              </w:rPr>
            </w:pPr>
            <w:r w:rsidRPr="00AB41EE">
              <w:rPr>
                <w:sz w:val="22"/>
                <w:szCs w:val="22"/>
                <w:lang w:val="sr-Latn-ME" w:eastAsia="en-US"/>
              </w:rPr>
              <w:t xml:space="preserve">Preosjetljivost na na sulfasalazin, njegove metabolite ili na bilo koju pomoćnu supstancu, sulfonamide ili salicilate. </w:t>
            </w:r>
          </w:p>
          <w:p w:rsidR="00755F6B" w:rsidRPr="00AB41EE" w:rsidRDefault="00755F6B" w:rsidP="00787486">
            <w:pPr>
              <w:tabs>
                <w:tab w:val="left" w:pos="284"/>
              </w:tabs>
              <w:spacing w:after="120"/>
              <w:jc w:val="both"/>
              <w:rPr>
                <w:sz w:val="22"/>
                <w:szCs w:val="22"/>
                <w:lang w:val="sr-Latn-ME" w:eastAsia="en-US"/>
              </w:rPr>
            </w:pPr>
            <w:r w:rsidRPr="00AB41EE">
              <w:rPr>
                <w:sz w:val="22"/>
                <w:szCs w:val="22"/>
                <w:lang w:val="sr-Latn-ME" w:eastAsia="en-US"/>
              </w:rPr>
              <w:t>Pacijenti sa žuticom ili porfirijom.</w:t>
            </w:r>
          </w:p>
        </w:tc>
      </w:tr>
      <w:tr w:rsidR="00755F6B" w:rsidRPr="00AB41EE" w:rsidTr="006E1FE0">
        <w:trPr>
          <w:cantSplit/>
        </w:trPr>
        <w:tc>
          <w:tcPr>
            <w:tcW w:w="10260" w:type="dxa"/>
            <w:gridSpan w:val="2"/>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4.4. Posebna upozorenja i mjere opreza pri upotrebi lijeka</w:t>
            </w:r>
          </w:p>
          <w:p w:rsidR="00787486" w:rsidRPr="00AB41EE" w:rsidRDefault="00787486" w:rsidP="00787486">
            <w:pPr>
              <w:spacing w:before="120"/>
              <w:jc w:val="both"/>
              <w:rPr>
                <w:sz w:val="22"/>
                <w:szCs w:val="22"/>
                <w:lang w:val="sr-Latn-ME" w:eastAsia="en-US"/>
              </w:rPr>
            </w:pPr>
            <w:r w:rsidRPr="00AB41EE">
              <w:rPr>
                <w:sz w:val="22"/>
                <w:szCs w:val="22"/>
                <w:lang w:val="sr-Latn-ME" w:eastAsia="en-US"/>
              </w:rPr>
              <w:t>Ozbiljne infekcije povezane sa mijelosupresijom, uključujući sepsu i pneumoniju prijavljeni su tokom upotrebe sulfasalazina. Potrebno je pažljivo pratiti pacijente koji razvijaju novu infekciju dok su na terapiji sulfasalazinom. Primjenu sulfasalazina treba prekinuti ukoliko pacijent razvije ozbiljnu infekciju. S oprezom razmotriti upotrebu sulfasalazina kod pacijenata sa ponavljanim ili hroničnim infekcijama u anamnezi ili u prisustvu drugih stanja koja mogu predisponirati pacijente za razvoj infekcije.</w:t>
            </w:r>
          </w:p>
          <w:p w:rsidR="00787486" w:rsidRPr="00AB41EE" w:rsidRDefault="00787486" w:rsidP="00787486">
            <w:pPr>
              <w:tabs>
                <w:tab w:val="left" w:pos="284"/>
                <w:tab w:val="center" w:pos="4320"/>
                <w:tab w:val="right" w:pos="8640"/>
              </w:tabs>
              <w:spacing w:before="80" w:after="80"/>
              <w:jc w:val="both"/>
              <w:rPr>
                <w:b/>
                <w:bCs/>
                <w:sz w:val="22"/>
                <w:szCs w:val="22"/>
                <w:lang w:val="sr-Latn-ME" w:eastAsia="en-US"/>
              </w:rPr>
            </w:pPr>
            <w:r w:rsidRPr="00AB41EE">
              <w:rPr>
                <w:sz w:val="22"/>
                <w:szCs w:val="22"/>
                <w:lang w:val="sr-Latn-ME" w:eastAsia="en-US"/>
              </w:rPr>
              <w:t>Prije započinjanja terapije sulfasalazinom potrebno je uraditi kompletnu krvnu sliku, uključujući leukocitarnu formulu, broj eritrocita i trombocita, kao i provjeriti parametre funkcije jetre. Ove testove ponavljati svake dvije nedjelje u toku prva tri mjeseca terapije. Tokom naredna tri mjeseca testove raditi jednom mjesečno, a nadalje jednom u tri mjeseca, ukoliko se pokaže da je to klinički indikovano. Takođe, periodično provjeravati funkciju bubrega i vršiti analizu urina kod svih bolesnika prije započinjanja terapije sulfasalazinom i najmanje jednom mjesečno tokom prva tri mjeseca terapije. Nadalje, analize raditi kada je klinički indikovano.</w:t>
            </w:r>
          </w:p>
        </w:tc>
      </w:tr>
      <w:tr w:rsidR="00755F6B" w:rsidRPr="00AB41EE" w:rsidTr="00787486">
        <w:trPr>
          <w:cantSplit/>
          <w:trHeight w:val="3313"/>
        </w:trPr>
        <w:tc>
          <w:tcPr>
            <w:tcW w:w="10260" w:type="dxa"/>
            <w:gridSpan w:val="2"/>
            <w:vAlign w:val="center"/>
          </w:tcPr>
          <w:p w:rsidR="00755F6B" w:rsidRPr="00AB41EE" w:rsidRDefault="00755F6B" w:rsidP="006E1FE0">
            <w:pPr>
              <w:spacing w:before="120"/>
              <w:jc w:val="both"/>
              <w:rPr>
                <w:sz w:val="22"/>
                <w:szCs w:val="22"/>
                <w:lang w:val="sr-Latn-ME" w:eastAsia="en-US"/>
              </w:rPr>
            </w:pPr>
            <w:r w:rsidRPr="00AB41EE">
              <w:rPr>
                <w:sz w:val="22"/>
                <w:szCs w:val="22"/>
                <w:lang w:val="sr-Latn-ME" w:eastAsia="en-US"/>
              </w:rPr>
              <w:lastRenderedPageBreak/>
              <w:t>Savjetovati pacijente da prijave prisustvo kliničkih znakova kao što su upaljeno grlo, groznica, povišena temperatura, malaksalost, purpura, žutica ili ili bilo koja neočekivana nespecifičnu bolest za vrijeme terapije sulfasalazinom, jer to može ukazati na pojavu mijelosupresije, hemolize ili hepatotoksičnosti. Treba odmah prekinuti primjenu sulfasalazina dok se ne dobiju rezultati laboratorijskih analiza krvi.</w:t>
            </w:r>
          </w:p>
          <w:p w:rsidR="00755F6B" w:rsidRPr="00AB41EE" w:rsidRDefault="00755F6B" w:rsidP="006E1FE0">
            <w:pPr>
              <w:spacing w:before="120"/>
              <w:jc w:val="both"/>
              <w:rPr>
                <w:sz w:val="22"/>
                <w:szCs w:val="22"/>
                <w:lang w:val="sr-Latn-ME" w:eastAsia="en-US"/>
              </w:rPr>
            </w:pPr>
            <w:r w:rsidRPr="00AB41EE">
              <w:rPr>
                <w:sz w:val="22"/>
                <w:szCs w:val="22"/>
                <w:lang w:val="sr-Latn-ME" w:eastAsia="en-US"/>
              </w:rPr>
              <w:t>Sulfasalazin se ne smije davati pacijentima sa poremećenom funkcijom jetre ili bubrega ili diskrazijom krvi, osim ako potencijalna korist ne prevazilazi rizike.</w:t>
            </w:r>
          </w:p>
          <w:p w:rsidR="00755F6B" w:rsidRPr="00AB41EE" w:rsidRDefault="00755F6B" w:rsidP="006E1FE0">
            <w:pPr>
              <w:tabs>
                <w:tab w:val="left" w:pos="-720"/>
              </w:tabs>
              <w:spacing w:before="120" w:after="120" w:line="264" w:lineRule="auto"/>
              <w:jc w:val="both"/>
              <w:rPr>
                <w:sz w:val="22"/>
                <w:szCs w:val="22"/>
                <w:lang w:val="sr-Latn-ME" w:eastAsia="en-US"/>
              </w:rPr>
            </w:pPr>
            <w:r w:rsidRPr="00AB41EE">
              <w:rPr>
                <w:sz w:val="22"/>
                <w:szCs w:val="22"/>
                <w:lang w:val="sr-Latn-ME" w:eastAsia="en-US"/>
              </w:rPr>
              <w:t>Sulfasalazin treba davati oprezno kod pacijenata sa teškom alergijom ili bronhijalnom astmom.</w:t>
            </w:r>
          </w:p>
          <w:p w:rsidR="00755F6B" w:rsidRPr="00AB41EE" w:rsidRDefault="00755F6B" w:rsidP="006E1FE0">
            <w:pPr>
              <w:tabs>
                <w:tab w:val="left" w:pos="-720"/>
              </w:tabs>
              <w:spacing w:before="120" w:after="120" w:line="264" w:lineRule="auto"/>
              <w:jc w:val="both"/>
              <w:rPr>
                <w:sz w:val="22"/>
                <w:szCs w:val="22"/>
                <w:lang w:val="sr-Latn-ME" w:eastAsia="en-US"/>
              </w:rPr>
            </w:pPr>
            <w:r w:rsidRPr="00AB41EE">
              <w:rPr>
                <w:sz w:val="22"/>
                <w:szCs w:val="22"/>
                <w:lang w:val="sr-Latn-ME" w:eastAsia="en-US"/>
              </w:rPr>
              <w:t>Teške reakcije preosjetljivosti mogu zahvatiti i unutrašnje organe i izazvati hepatitis, nefritis, miokarditis, sindrom sličan mononukleozi (pseudomononukleoza), hematološke abnormalnosti (uključujući hematofagičnu histiocitozu)  i/ili pneumonitis uključujući eozinofilne infiltracije.</w:t>
            </w:r>
          </w:p>
          <w:p w:rsidR="00787486" w:rsidRPr="00AB41EE" w:rsidRDefault="00787486" w:rsidP="00787486">
            <w:pPr>
              <w:tabs>
                <w:tab w:val="left" w:pos="-720"/>
              </w:tabs>
              <w:spacing w:before="120" w:after="120" w:line="264" w:lineRule="auto"/>
              <w:jc w:val="both"/>
              <w:rPr>
                <w:sz w:val="22"/>
                <w:szCs w:val="22"/>
                <w:lang w:val="sr-Latn-ME" w:eastAsia="en-US"/>
              </w:rPr>
            </w:pPr>
            <w:r w:rsidRPr="00AB41EE">
              <w:rPr>
                <w:sz w:val="22"/>
                <w:szCs w:val="22"/>
                <w:lang w:val="sr-Latn-ME" w:eastAsia="en-US"/>
              </w:rPr>
              <w:t xml:space="preserve">Lijek se ne preporučuje kod sistemskog oblika dječijeg reumatoidnog artritisa jer često uzrokuje  neželjene reakcije, između ostalog i stanje  slično serumskoj bolesti. </w:t>
            </w:r>
          </w:p>
          <w:p w:rsidR="00787486" w:rsidRPr="00AB41EE" w:rsidRDefault="00787486" w:rsidP="00787486">
            <w:pPr>
              <w:tabs>
                <w:tab w:val="left" w:pos="-720"/>
              </w:tabs>
              <w:spacing w:before="120" w:after="120" w:line="264" w:lineRule="auto"/>
              <w:jc w:val="both"/>
              <w:rPr>
                <w:sz w:val="22"/>
                <w:szCs w:val="22"/>
                <w:lang w:val="sr-Latn-ME" w:eastAsia="en-US"/>
              </w:rPr>
            </w:pPr>
            <w:r w:rsidRPr="00AB41EE">
              <w:rPr>
                <w:sz w:val="22"/>
                <w:szCs w:val="22"/>
                <w:lang w:val="sr-Latn-ME" w:eastAsia="en-US"/>
              </w:rPr>
              <w:t xml:space="preserve">Oralna primjena sulfasalazina inhibira resorpciju i metabolizam folne kiseline i može izazvati nedostatak folata (vidjeti odjeljak 4.6), što može dovesti do ozbiljnih poremećaja na nivou krvi (npr. makrocitoza i pancitopenija). </w:t>
            </w:r>
          </w:p>
          <w:p w:rsidR="00787486" w:rsidRPr="00AB41EE" w:rsidRDefault="00787486" w:rsidP="00787486">
            <w:pPr>
              <w:tabs>
                <w:tab w:val="left" w:pos="-720"/>
              </w:tabs>
              <w:spacing w:before="120" w:after="120" w:line="264" w:lineRule="auto"/>
              <w:jc w:val="both"/>
              <w:rPr>
                <w:sz w:val="22"/>
                <w:szCs w:val="22"/>
                <w:lang w:val="sr-Latn-ME" w:eastAsia="en-US"/>
              </w:rPr>
            </w:pPr>
            <w:r w:rsidRPr="00AB41EE">
              <w:rPr>
                <w:sz w:val="22"/>
                <w:szCs w:val="22"/>
                <w:lang w:val="sr-Latn-ME" w:eastAsia="en-US"/>
              </w:rPr>
              <w:t>Nedostatak folata se može nadoknaditi primjenom folatne kiseline ili folinske kiseline (leukovorin).</w:t>
            </w:r>
          </w:p>
          <w:p w:rsidR="00787486" w:rsidRPr="00AB41EE" w:rsidRDefault="00787486" w:rsidP="00787486">
            <w:pPr>
              <w:tabs>
                <w:tab w:val="left" w:pos="-720"/>
              </w:tabs>
              <w:spacing w:after="120" w:line="263" w:lineRule="auto"/>
              <w:jc w:val="both"/>
              <w:rPr>
                <w:i/>
                <w:sz w:val="22"/>
                <w:szCs w:val="22"/>
                <w:lang w:val="sr-Latn-ME" w:eastAsia="en-US"/>
              </w:rPr>
            </w:pPr>
            <w:r w:rsidRPr="00AB41EE">
              <w:rPr>
                <w:i/>
                <w:sz w:val="22"/>
                <w:szCs w:val="22"/>
                <w:lang w:val="sr-Latn-ME" w:eastAsia="en-US"/>
              </w:rPr>
              <w:t>Osip izazvan lijekom sa eozinofilijom i sistemskim simptomima (DRESS sindrom)</w:t>
            </w:r>
          </w:p>
          <w:p w:rsidR="00787486" w:rsidRPr="00AB41EE" w:rsidRDefault="00787486" w:rsidP="00787486">
            <w:pPr>
              <w:tabs>
                <w:tab w:val="left" w:pos="-720"/>
              </w:tabs>
              <w:spacing w:after="120" w:line="263" w:lineRule="auto"/>
              <w:jc w:val="both"/>
              <w:rPr>
                <w:sz w:val="22"/>
                <w:szCs w:val="22"/>
                <w:lang w:val="sr-Latn-ME" w:eastAsia="en-US"/>
              </w:rPr>
            </w:pPr>
            <w:r w:rsidRPr="00AB41EE">
              <w:rPr>
                <w:sz w:val="22"/>
                <w:szCs w:val="22"/>
                <w:lang w:val="sr-Latn-ME" w:eastAsia="en-US"/>
              </w:rPr>
              <w:t>Teške, po život opasne, sistemske reakcije preosjetljivosti, kao što je osip sa eozinofilijom i sistemskim simptoma (DRESS) prijavljeni su kod pacijenata koji uzimaju razne ljekove, uključujući sulfasalazin (vidjeti odjeljak 4.8).</w:t>
            </w:r>
          </w:p>
          <w:p w:rsidR="00787486" w:rsidRPr="00AB41EE" w:rsidRDefault="00787486" w:rsidP="00787486">
            <w:pPr>
              <w:tabs>
                <w:tab w:val="left" w:pos="-720"/>
              </w:tabs>
              <w:spacing w:after="120" w:line="263" w:lineRule="auto"/>
              <w:jc w:val="both"/>
              <w:rPr>
                <w:sz w:val="22"/>
                <w:szCs w:val="22"/>
                <w:lang w:val="sr-Latn-ME" w:eastAsia="en-US"/>
              </w:rPr>
            </w:pPr>
            <w:r w:rsidRPr="00AB41EE">
              <w:rPr>
                <w:sz w:val="22"/>
                <w:szCs w:val="22"/>
                <w:lang w:val="sr-Latn-ME" w:eastAsia="en-US"/>
              </w:rPr>
              <w:t>Važno je napomenuti da rane manifestacije preosjetljivosti, kao što su povišena temperatura ili limfadenopatija, mogu biti prisutne iako osip nije evidentan. Ukoliko su prisutni takvi znaci ili simptomi, pacijenta treba odmah kontrolisati i prekinuti upotrebu sulfasalazina ukoliko se ne može utvrditi alternativna etiologija za navedene znakove ili simptome.</w:t>
            </w:r>
          </w:p>
          <w:p w:rsidR="00787486" w:rsidRPr="00AB41EE" w:rsidRDefault="00787486" w:rsidP="00787486">
            <w:pPr>
              <w:tabs>
                <w:tab w:val="left" w:pos="-720"/>
              </w:tabs>
              <w:spacing w:after="120" w:line="263" w:lineRule="auto"/>
              <w:jc w:val="both"/>
              <w:rPr>
                <w:sz w:val="22"/>
                <w:szCs w:val="22"/>
                <w:lang w:val="sr-Latn-ME" w:eastAsia="en-US"/>
              </w:rPr>
            </w:pPr>
            <w:r w:rsidRPr="00AB41EE">
              <w:rPr>
                <w:sz w:val="22"/>
                <w:szCs w:val="22"/>
                <w:lang w:val="sr-Latn-ME" w:eastAsia="en-US"/>
              </w:rPr>
              <w:t>Ozbiljne kožne reakcije, od kojih su neke fatalne, uključujući eksfolijativni dermatitis, Stevens-Johnson-ov sindrom i toksičnu epidermalnu nekrolizu, prijavljeni su veoma rijetko tokom upotrebe sulfasalazina. Izgleda da pacijenti imaju najveći rizik za nastanak ovih neželjenih dejstava u početku terapije; u većini slučajeva njihov početak dešava se u toku prvog mjeseca od početka terapije. Sulfasalazin treba prekinuti čim se pojave osip na koži, lezije na sluznicama ili bilo koji drugi znak preosjetljivosti.</w:t>
            </w:r>
          </w:p>
          <w:p w:rsidR="00787486" w:rsidRPr="00AB41EE" w:rsidRDefault="00787486" w:rsidP="00787486">
            <w:pPr>
              <w:spacing w:after="120" w:line="263" w:lineRule="auto"/>
              <w:jc w:val="both"/>
              <w:rPr>
                <w:sz w:val="22"/>
                <w:szCs w:val="22"/>
                <w:lang w:val="sr-Latn-ME" w:eastAsia="en-US"/>
              </w:rPr>
            </w:pPr>
            <w:r w:rsidRPr="00AB41EE">
              <w:rPr>
                <w:sz w:val="22"/>
                <w:szCs w:val="22"/>
                <w:lang w:val="sr-Latn-ME" w:eastAsia="en-US"/>
              </w:rPr>
              <w:t>Budući da sulfasalazin može dovesti do pojave hemolitičke anemije, potreban je oprez kod pacijenata koji imaju deficit glukoza-6-fosfat dehidrogenaze (G-6-PD).</w:t>
            </w:r>
          </w:p>
          <w:p w:rsidR="00787486" w:rsidRPr="00AB41EE" w:rsidRDefault="00787486" w:rsidP="00787486">
            <w:pPr>
              <w:tabs>
                <w:tab w:val="left" w:pos="-720"/>
              </w:tabs>
              <w:spacing w:after="120" w:line="263" w:lineRule="auto"/>
              <w:jc w:val="both"/>
              <w:rPr>
                <w:sz w:val="22"/>
                <w:szCs w:val="22"/>
                <w:lang w:val="sr-Latn-ME" w:eastAsia="en-US"/>
              </w:rPr>
            </w:pPr>
            <w:r w:rsidRPr="00AB41EE">
              <w:rPr>
                <w:sz w:val="22"/>
                <w:szCs w:val="22"/>
                <w:lang w:val="sr-Latn-ME" w:eastAsia="en-US"/>
              </w:rPr>
              <w:t>Sulfasalazin može izazvati kristaluriju i stvaranje kamenaca u bubregu, pa je odgovarajući unos tečnosti neophodan.</w:t>
            </w:r>
          </w:p>
          <w:p w:rsidR="00787486" w:rsidRPr="00AB41EE" w:rsidRDefault="00787486" w:rsidP="00787486">
            <w:pPr>
              <w:tabs>
                <w:tab w:val="left" w:pos="-720"/>
              </w:tabs>
              <w:spacing w:after="120" w:line="263" w:lineRule="auto"/>
              <w:jc w:val="both"/>
              <w:rPr>
                <w:sz w:val="22"/>
                <w:szCs w:val="22"/>
                <w:lang w:val="sr-Latn-ME" w:eastAsia="en-US"/>
              </w:rPr>
            </w:pPr>
            <w:r w:rsidRPr="00AB41EE">
              <w:rPr>
                <w:sz w:val="22"/>
                <w:szCs w:val="22"/>
                <w:lang w:val="sr-Latn-ME" w:eastAsia="en-US"/>
              </w:rPr>
              <w:t>Kod muškaraca koji primjenjuju sulfasalazin mogu se javiti oligospermija i neplodnost, koji nestaju 2-3 mjeseca nakon prekida terapije.</w:t>
            </w:r>
          </w:p>
          <w:p w:rsidR="00787486" w:rsidRPr="00AB41EE" w:rsidRDefault="00787486" w:rsidP="00787486">
            <w:pPr>
              <w:tabs>
                <w:tab w:val="left" w:pos="-720"/>
              </w:tabs>
              <w:spacing w:after="120" w:line="263" w:lineRule="auto"/>
              <w:jc w:val="both"/>
              <w:rPr>
                <w:sz w:val="22"/>
                <w:szCs w:val="22"/>
                <w:lang w:val="sr-Latn-ME" w:eastAsia="en-US"/>
              </w:rPr>
            </w:pPr>
            <w:r w:rsidRPr="00AB41EE">
              <w:rPr>
                <w:sz w:val="22"/>
                <w:szCs w:val="22"/>
                <w:lang w:val="sr-Latn-ME" w:eastAsia="en-US"/>
              </w:rPr>
              <w:t>Nakon dužeg nošenja određenih tipova mekih kontaktnih sočiva za produženo nošenje, može doći do njihove trajne prebojenosti.</w:t>
            </w:r>
          </w:p>
          <w:p w:rsidR="00755F6B" w:rsidRPr="00AB41EE" w:rsidRDefault="00755F6B" w:rsidP="006E1FE0">
            <w:pPr>
              <w:tabs>
                <w:tab w:val="left" w:pos="-720"/>
              </w:tabs>
              <w:spacing w:before="120" w:after="120" w:line="264" w:lineRule="auto"/>
              <w:rPr>
                <w:sz w:val="22"/>
                <w:szCs w:val="22"/>
                <w:lang w:val="sr-Latn-ME" w:eastAsia="en-US"/>
              </w:rPr>
            </w:pPr>
          </w:p>
        </w:tc>
      </w:tr>
      <w:tr w:rsidR="00755F6B" w:rsidRPr="00AB41EE" w:rsidTr="00787486">
        <w:trPr>
          <w:cantSplit/>
          <w:trHeight w:val="1045"/>
        </w:trPr>
        <w:tc>
          <w:tcPr>
            <w:tcW w:w="10260" w:type="dxa"/>
            <w:gridSpan w:val="2"/>
            <w:vAlign w:val="center"/>
          </w:tcPr>
          <w:p w:rsidR="00755F6B" w:rsidRPr="00AB41EE" w:rsidRDefault="00755F6B" w:rsidP="006E1FE0">
            <w:pPr>
              <w:tabs>
                <w:tab w:val="left" w:pos="284"/>
                <w:tab w:val="center" w:pos="4320"/>
                <w:tab w:val="right" w:pos="8640"/>
              </w:tabs>
              <w:spacing w:before="80" w:after="80"/>
              <w:jc w:val="both"/>
              <w:rPr>
                <w:b/>
                <w:bCs/>
                <w:sz w:val="22"/>
                <w:szCs w:val="22"/>
                <w:lang w:val="sr-Latn-ME" w:eastAsia="en-US"/>
              </w:rPr>
            </w:pPr>
            <w:r w:rsidRPr="00AB41EE">
              <w:rPr>
                <w:b/>
                <w:bCs/>
                <w:sz w:val="22"/>
                <w:szCs w:val="22"/>
                <w:lang w:val="sr-Latn-ME" w:eastAsia="en-US"/>
              </w:rPr>
              <w:lastRenderedPageBreak/>
              <w:t>4.5. Interakcije sa drugim ljekovima i druge vrste interakcija</w:t>
            </w:r>
          </w:p>
          <w:p w:rsidR="00755F6B" w:rsidRPr="00AB41EE" w:rsidRDefault="00755F6B" w:rsidP="00787486">
            <w:pPr>
              <w:tabs>
                <w:tab w:val="left" w:pos="284"/>
                <w:tab w:val="center" w:pos="4320"/>
                <w:tab w:val="right" w:pos="8640"/>
              </w:tabs>
              <w:spacing w:before="80" w:after="80"/>
              <w:jc w:val="both"/>
              <w:rPr>
                <w:spacing w:val="-3"/>
                <w:sz w:val="22"/>
                <w:szCs w:val="22"/>
                <w:lang w:val="sr-Latn-ME" w:eastAsia="en-US"/>
              </w:rPr>
            </w:pPr>
            <w:r w:rsidRPr="00AB41EE">
              <w:rPr>
                <w:spacing w:val="-3"/>
                <w:sz w:val="22"/>
                <w:szCs w:val="22"/>
                <w:lang w:val="sr-Latn-ME" w:eastAsia="en-US"/>
              </w:rPr>
              <w:t>Upotreba sulfonamida sa antagonistima folne kiseline ili hipoglikemicima može povećati efekte ovih agenasa.</w:t>
            </w:r>
          </w:p>
          <w:p w:rsidR="00787486" w:rsidRPr="00AB41EE" w:rsidRDefault="00787486" w:rsidP="00787486">
            <w:pPr>
              <w:tabs>
                <w:tab w:val="left" w:pos="-720"/>
              </w:tabs>
              <w:spacing w:before="120" w:line="264" w:lineRule="auto"/>
              <w:jc w:val="both"/>
              <w:rPr>
                <w:spacing w:val="-3"/>
                <w:sz w:val="22"/>
                <w:szCs w:val="22"/>
                <w:lang w:val="sr-Latn-ME" w:eastAsia="en-US"/>
              </w:rPr>
            </w:pPr>
            <w:r w:rsidRPr="00AB41EE">
              <w:rPr>
                <w:spacing w:val="-3"/>
                <w:sz w:val="22"/>
                <w:szCs w:val="22"/>
                <w:lang w:val="sr-Latn-ME" w:eastAsia="en-US"/>
              </w:rPr>
              <w:t xml:space="preserve">Registrovana je smanjena resorpcija digoksina, sa posljedičnim neterapijskim nivoma digoksina u serumu, tokom njegove istovremene primjene sa sulfasalazinom. </w:t>
            </w:r>
            <w:r w:rsidRPr="00AB41EE">
              <w:rPr>
                <w:vanish/>
                <w:sz w:val="22"/>
                <w:szCs w:val="22"/>
                <w:lang w:val="sr-Latn-ME" w:eastAsia="en-US"/>
              </w:rPr>
              <w:t>Bottom of Form</w:t>
            </w:r>
          </w:p>
          <w:p w:rsidR="00787486" w:rsidRPr="00AB41EE" w:rsidRDefault="00787486" w:rsidP="00787486">
            <w:pPr>
              <w:tabs>
                <w:tab w:val="left" w:pos="-720"/>
              </w:tabs>
              <w:spacing w:line="263" w:lineRule="auto"/>
              <w:jc w:val="both"/>
              <w:rPr>
                <w:spacing w:val="-3"/>
                <w:sz w:val="22"/>
                <w:szCs w:val="22"/>
                <w:lang w:val="sr-Latn-ME" w:eastAsia="en-US"/>
              </w:rPr>
            </w:pPr>
            <w:r w:rsidRPr="00AB41EE">
              <w:rPr>
                <w:spacing w:val="-3"/>
                <w:sz w:val="22"/>
                <w:szCs w:val="22"/>
                <w:lang w:val="sr-Latn-ME" w:eastAsia="en-US"/>
              </w:rPr>
              <w:t>Pri istovremenoj primjeni tiopurin 6-merkaptopurina ili njegovog prolijeka, azatioprina, sa sulfasalazinom  može doći do supresije kostne srži i leukopenije, jer sulfasalazin može inhibirati tiopurin- metiltransferazu (TPMT).</w:t>
            </w:r>
          </w:p>
          <w:p w:rsidR="00787486" w:rsidRPr="00AB41EE" w:rsidRDefault="00787486" w:rsidP="00787486">
            <w:pPr>
              <w:tabs>
                <w:tab w:val="left" w:pos="-720"/>
              </w:tabs>
              <w:spacing w:line="263" w:lineRule="auto"/>
              <w:jc w:val="both"/>
              <w:rPr>
                <w:spacing w:val="-3"/>
                <w:sz w:val="22"/>
                <w:szCs w:val="22"/>
                <w:lang w:val="sr-Latn-ME" w:eastAsia="en-US"/>
              </w:rPr>
            </w:pPr>
            <w:r w:rsidRPr="00AB41EE">
              <w:rPr>
                <w:spacing w:val="-3"/>
                <w:sz w:val="22"/>
                <w:szCs w:val="22"/>
                <w:lang w:val="sr-Latn-ME" w:eastAsia="en-US"/>
              </w:rPr>
              <w:t xml:space="preserve">Istovremena primjena oralnog sulfasalazina i metotreksata kod pacijenata sa reumatoidnim artritisom nije promijenila farmakokinetička svojstva lijeka. Međutim, zabilježena je povećana incidencija gastrointestinalnh neželjenih dejstava, naročito mučnine. </w:t>
            </w:r>
          </w:p>
          <w:p w:rsidR="00755F6B" w:rsidRPr="00AB41EE" w:rsidRDefault="00787486" w:rsidP="00787486">
            <w:pPr>
              <w:tabs>
                <w:tab w:val="left" w:pos="-720"/>
              </w:tabs>
              <w:spacing w:before="120" w:line="264" w:lineRule="auto"/>
              <w:jc w:val="both"/>
              <w:rPr>
                <w:spacing w:val="-3"/>
                <w:sz w:val="22"/>
                <w:szCs w:val="22"/>
                <w:lang w:val="sr-Latn-ME" w:eastAsia="en-US"/>
              </w:rPr>
            </w:pPr>
            <w:r w:rsidRPr="00AB41EE">
              <w:rPr>
                <w:spacing w:val="-3"/>
                <w:sz w:val="22"/>
                <w:szCs w:val="22"/>
                <w:lang w:val="sr-Latn-ME" w:eastAsia="en-US"/>
              </w:rPr>
              <w:t>Bilo je nekoliko izvještaja o lažno pozitivnom rezultatu testa urinarnog normetanefrina određivanog tečnom hromatografijom kod pacijenata izloženih sulfasalazinu ili njegovom metabolitu mezalaminu/ mesalazinu.</w:t>
            </w:r>
          </w:p>
        </w:tc>
      </w:tr>
      <w:tr w:rsidR="00755F6B" w:rsidRPr="00AB41EE" w:rsidTr="006E1FE0">
        <w:trPr>
          <w:cantSplit/>
        </w:trPr>
        <w:tc>
          <w:tcPr>
            <w:tcW w:w="10260" w:type="dxa"/>
            <w:gridSpan w:val="2"/>
            <w:vAlign w:val="center"/>
          </w:tcPr>
          <w:p w:rsidR="00787486" w:rsidRPr="00AB41EE" w:rsidRDefault="00787486" w:rsidP="006E1FE0">
            <w:pPr>
              <w:tabs>
                <w:tab w:val="left" w:pos="284"/>
                <w:tab w:val="center" w:pos="4320"/>
                <w:tab w:val="right" w:pos="8640"/>
              </w:tabs>
              <w:spacing w:before="80" w:after="80"/>
              <w:rPr>
                <w:b/>
                <w:bCs/>
                <w:sz w:val="22"/>
                <w:szCs w:val="22"/>
                <w:lang w:val="sr-Latn-ME" w:eastAsia="en-US"/>
              </w:rPr>
            </w:pPr>
          </w:p>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4.6. Primjena u periodu trudnoće i dojenja</w:t>
            </w:r>
          </w:p>
        </w:tc>
      </w:tr>
      <w:tr w:rsidR="00755F6B" w:rsidRPr="00AB41EE" w:rsidTr="006E1FE0">
        <w:trPr>
          <w:cantSplit/>
          <w:trHeight w:val="1145"/>
        </w:trPr>
        <w:tc>
          <w:tcPr>
            <w:tcW w:w="10260" w:type="dxa"/>
            <w:gridSpan w:val="2"/>
            <w:vAlign w:val="center"/>
          </w:tcPr>
          <w:p w:rsidR="00755F6B" w:rsidRPr="00AB41EE" w:rsidRDefault="00755F6B" w:rsidP="006E1FE0">
            <w:pPr>
              <w:tabs>
                <w:tab w:val="left" w:pos="-720"/>
              </w:tabs>
              <w:suppressAutoHyphens/>
              <w:spacing w:before="120"/>
              <w:jc w:val="both"/>
              <w:rPr>
                <w:sz w:val="22"/>
                <w:szCs w:val="22"/>
                <w:u w:val="single"/>
                <w:lang w:val="sr-Latn-ME" w:eastAsia="en-US"/>
              </w:rPr>
            </w:pPr>
            <w:r w:rsidRPr="00AB41EE">
              <w:rPr>
                <w:sz w:val="22"/>
                <w:szCs w:val="22"/>
                <w:u w:val="single"/>
                <w:lang w:val="sr-Latn-ME" w:eastAsia="en-US"/>
              </w:rPr>
              <w:t xml:space="preserve">Trudnoća: </w:t>
            </w:r>
          </w:p>
          <w:p w:rsidR="00787486" w:rsidRPr="00AB41EE" w:rsidRDefault="00787486" w:rsidP="006E1FE0">
            <w:pPr>
              <w:tabs>
                <w:tab w:val="left" w:pos="-720"/>
              </w:tabs>
              <w:spacing w:line="263" w:lineRule="auto"/>
              <w:jc w:val="both"/>
              <w:rPr>
                <w:sz w:val="22"/>
                <w:szCs w:val="22"/>
                <w:lang w:val="sr-Latn-ME" w:eastAsia="en-US"/>
              </w:rPr>
            </w:pPr>
          </w:p>
          <w:p w:rsidR="00755F6B" w:rsidRPr="00AB41EE" w:rsidRDefault="00755F6B" w:rsidP="006E1FE0">
            <w:pPr>
              <w:tabs>
                <w:tab w:val="left" w:pos="-720"/>
              </w:tabs>
              <w:spacing w:line="263" w:lineRule="auto"/>
              <w:jc w:val="both"/>
              <w:rPr>
                <w:spacing w:val="-3"/>
                <w:sz w:val="22"/>
                <w:szCs w:val="22"/>
                <w:lang w:val="sr-Latn-ME" w:eastAsia="en-US"/>
              </w:rPr>
            </w:pPr>
            <w:r w:rsidRPr="00AB41EE">
              <w:rPr>
                <w:sz w:val="22"/>
                <w:szCs w:val="22"/>
                <w:lang w:val="sr-Latn-ME" w:eastAsia="en-US"/>
              </w:rPr>
              <w:t xml:space="preserve">Reproduktivne studije rađene u pacova i kunića ne ukazuju da postoji rizik po fetus poslije primjene lijeka u trudnoći. </w:t>
            </w:r>
            <w:r w:rsidRPr="00AB41EE">
              <w:rPr>
                <w:spacing w:val="-3"/>
                <w:sz w:val="22"/>
                <w:szCs w:val="22"/>
                <w:lang w:val="sr-Latn-ME" w:eastAsia="en-US"/>
              </w:rPr>
              <w:t>Kada se sulfasalazin daje oralno, resorpcija i metabolizam folne kiseline su smanjeni, što može dovesti do sniženja koncentracije folne kiseline (vidjeti odjeljak 4.4).</w:t>
            </w:r>
          </w:p>
          <w:p w:rsidR="00755F6B" w:rsidRPr="00AB41EE" w:rsidRDefault="00755F6B" w:rsidP="006E1FE0">
            <w:pPr>
              <w:tabs>
                <w:tab w:val="left" w:pos="-720"/>
              </w:tabs>
              <w:spacing w:line="263" w:lineRule="auto"/>
              <w:jc w:val="both"/>
              <w:rPr>
                <w:spacing w:val="-3"/>
                <w:sz w:val="22"/>
                <w:szCs w:val="22"/>
                <w:lang w:val="sr-Latn-ME" w:eastAsia="en-US"/>
              </w:rPr>
            </w:pPr>
            <w:r w:rsidRPr="00AB41EE">
              <w:rPr>
                <w:spacing w:val="-3"/>
                <w:sz w:val="22"/>
                <w:szCs w:val="22"/>
                <w:lang w:val="sr-Latn-ME" w:eastAsia="en-US"/>
              </w:rPr>
              <w:t xml:space="preserve">Bilo je izveštaja o defektima neuralne cijevi kod beba čije su majke bile izložene sulfasalazinu tokom trudnoće, iako uloga sulfasalazina kod ovih defekata nije dokazana. </w:t>
            </w:r>
          </w:p>
          <w:p w:rsidR="00755F6B" w:rsidRPr="00AB41EE" w:rsidRDefault="00755F6B" w:rsidP="006E1FE0">
            <w:pPr>
              <w:tabs>
                <w:tab w:val="left" w:pos="-720"/>
              </w:tabs>
              <w:spacing w:line="263" w:lineRule="auto"/>
              <w:jc w:val="both"/>
              <w:rPr>
                <w:spacing w:val="-3"/>
                <w:sz w:val="22"/>
                <w:szCs w:val="22"/>
                <w:lang w:val="sr-Latn-ME" w:eastAsia="en-US"/>
              </w:rPr>
            </w:pPr>
            <w:r w:rsidRPr="00AB41EE">
              <w:rPr>
                <w:spacing w:val="-3"/>
                <w:sz w:val="22"/>
                <w:szCs w:val="22"/>
                <w:lang w:val="sr-Latn-ME" w:eastAsia="en-US"/>
              </w:rPr>
              <w:t xml:space="preserve">Budući da se rizik tokom primjene ovog lijeka u trudnoći ne može u potpunosti isključiti, terapiju u tom periodu treba primjeniti samo u slučaju kada je to neophodno. </w:t>
            </w:r>
          </w:p>
          <w:p w:rsidR="00755F6B" w:rsidRPr="00AB41EE" w:rsidRDefault="00755F6B" w:rsidP="006E1FE0">
            <w:pPr>
              <w:tabs>
                <w:tab w:val="left" w:pos="-720"/>
              </w:tabs>
              <w:spacing w:line="263" w:lineRule="auto"/>
              <w:jc w:val="both"/>
              <w:rPr>
                <w:spacing w:val="-3"/>
                <w:sz w:val="22"/>
                <w:szCs w:val="22"/>
                <w:lang w:val="sr-Latn-ME" w:eastAsia="en-US"/>
              </w:rPr>
            </w:pPr>
          </w:p>
          <w:p w:rsidR="00755F6B" w:rsidRPr="00AB41EE" w:rsidRDefault="00755F6B" w:rsidP="006E1FE0">
            <w:pPr>
              <w:tabs>
                <w:tab w:val="left" w:pos="-720"/>
              </w:tabs>
              <w:spacing w:line="263" w:lineRule="auto"/>
              <w:jc w:val="both"/>
              <w:rPr>
                <w:sz w:val="22"/>
                <w:szCs w:val="22"/>
                <w:u w:val="single"/>
                <w:lang w:val="sr-Latn-ME" w:eastAsia="en-US"/>
              </w:rPr>
            </w:pPr>
            <w:r w:rsidRPr="00AB41EE">
              <w:rPr>
                <w:sz w:val="22"/>
                <w:szCs w:val="22"/>
                <w:u w:val="single"/>
                <w:lang w:val="sr-Latn-ME" w:eastAsia="en-US"/>
              </w:rPr>
              <w:t xml:space="preserve">Dojenje: </w:t>
            </w:r>
          </w:p>
          <w:p w:rsidR="00787486" w:rsidRPr="00AB41EE" w:rsidRDefault="00787486" w:rsidP="006E1FE0">
            <w:pPr>
              <w:tabs>
                <w:tab w:val="left" w:pos="-720"/>
              </w:tabs>
              <w:spacing w:line="263" w:lineRule="auto"/>
              <w:jc w:val="both"/>
              <w:rPr>
                <w:sz w:val="22"/>
                <w:szCs w:val="22"/>
                <w:lang w:val="sr-Latn-ME" w:eastAsia="en-US"/>
              </w:rPr>
            </w:pPr>
          </w:p>
          <w:p w:rsidR="00755F6B" w:rsidRPr="00AB41EE" w:rsidRDefault="00755F6B" w:rsidP="006E1FE0">
            <w:pPr>
              <w:tabs>
                <w:tab w:val="left" w:pos="-720"/>
              </w:tabs>
              <w:spacing w:line="263" w:lineRule="auto"/>
              <w:jc w:val="both"/>
              <w:rPr>
                <w:spacing w:val="-3"/>
                <w:sz w:val="22"/>
                <w:szCs w:val="22"/>
                <w:lang w:val="sr-Latn-ME" w:eastAsia="en-US"/>
              </w:rPr>
            </w:pPr>
            <w:r w:rsidRPr="00AB41EE">
              <w:rPr>
                <w:sz w:val="22"/>
                <w:szCs w:val="22"/>
                <w:lang w:val="sr-Latn-ME" w:eastAsia="en-US"/>
              </w:rPr>
              <w:t>Sulfasalazin i sulfapiridin su nađeni u majčinom mlijeku u niskim koncentracijama. Oprez je potreban naročito kod dojenja prijevremeno rođene djece ili djece sa deficitom  glukoza-6-fosfat dehidrogenaze. Postoje izvještaji o pojavi krvave stolice ili dijareje kod odojčadi čije su majke liječene sulfasalazinom. Kod ove djece krvava stolica ili dijareja su se povlačile nakon što je majka prekinula sa uzimanjem suifasalazin.</w:t>
            </w:r>
          </w:p>
          <w:p w:rsidR="00755F6B" w:rsidRPr="00AB41EE" w:rsidRDefault="00755F6B" w:rsidP="006E1FE0">
            <w:pPr>
              <w:tabs>
                <w:tab w:val="left" w:pos="284"/>
                <w:tab w:val="center" w:pos="4320"/>
                <w:tab w:val="right" w:pos="8640"/>
              </w:tabs>
              <w:rPr>
                <w:sz w:val="22"/>
                <w:szCs w:val="22"/>
                <w:lang w:val="sr-Latn-ME" w:eastAsia="en-US"/>
              </w:rPr>
            </w:pPr>
          </w:p>
        </w:tc>
      </w:tr>
      <w:tr w:rsidR="00755F6B" w:rsidRPr="00AB41EE" w:rsidTr="006E1FE0">
        <w:trPr>
          <w:cantSplit/>
        </w:trPr>
        <w:tc>
          <w:tcPr>
            <w:tcW w:w="10260" w:type="dxa"/>
            <w:gridSpan w:val="2"/>
            <w:vAlign w:val="center"/>
          </w:tcPr>
          <w:p w:rsidR="00755F6B" w:rsidRPr="00AB41EE" w:rsidRDefault="00755F6B" w:rsidP="006E1FE0">
            <w:pPr>
              <w:tabs>
                <w:tab w:val="left" w:pos="284"/>
                <w:tab w:val="center" w:pos="4320"/>
                <w:tab w:val="right" w:pos="8640"/>
              </w:tabs>
              <w:spacing w:before="80" w:after="80"/>
              <w:rPr>
                <w:b/>
                <w:bCs/>
                <w:spacing w:val="-8"/>
                <w:sz w:val="22"/>
                <w:szCs w:val="22"/>
                <w:lang w:val="sr-Latn-ME" w:eastAsia="en-US"/>
              </w:rPr>
            </w:pPr>
            <w:r w:rsidRPr="00AB41EE">
              <w:rPr>
                <w:b/>
                <w:bCs/>
                <w:spacing w:val="-8"/>
                <w:sz w:val="22"/>
                <w:szCs w:val="22"/>
                <w:lang w:val="sr-Latn-ME" w:eastAsia="en-US"/>
              </w:rPr>
              <w:t>4.7. Uticaj na psihofizičke sposobnosti prilikom upravljanja motornim vozilom i rukovanja mašinama</w:t>
            </w:r>
          </w:p>
          <w:p w:rsidR="00755F6B" w:rsidRPr="00AB41EE" w:rsidRDefault="00755F6B" w:rsidP="006E1FE0">
            <w:pPr>
              <w:tabs>
                <w:tab w:val="left" w:pos="284"/>
                <w:tab w:val="center" w:pos="4320"/>
                <w:tab w:val="right" w:pos="8640"/>
              </w:tabs>
              <w:spacing w:before="80" w:after="80"/>
              <w:rPr>
                <w:b/>
                <w:bCs/>
                <w:spacing w:val="-8"/>
                <w:sz w:val="22"/>
                <w:szCs w:val="22"/>
                <w:lang w:val="sr-Latn-ME" w:eastAsia="en-US"/>
              </w:rPr>
            </w:pPr>
          </w:p>
        </w:tc>
      </w:tr>
      <w:tr w:rsidR="00755F6B" w:rsidRPr="00AB41EE" w:rsidTr="006E1FE0">
        <w:trPr>
          <w:cantSplit/>
          <w:trHeight w:val="581"/>
        </w:trPr>
        <w:tc>
          <w:tcPr>
            <w:tcW w:w="10260" w:type="dxa"/>
            <w:gridSpan w:val="2"/>
            <w:vAlign w:val="center"/>
          </w:tcPr>
          <w:p w:rsidR="00755F6B" w:rsidRPr="00AB41EE" w:rsidRDefault="00755F6B" w:rsidP="006E1FE0">
            <w:pPr>
              <w:tabs>
                <w:tab w:val="left" w:pos="-720"/>
              </w:tabs>
              <w:suppressAutoHyphens/>
              <w:spacing w:line="288" w:lineRule="auto"/>
              <w:jc w:val="both"/>
              <w:rPr>
                <w:sz w:val="22"/>
                <w:szCs w:val="22"/>
                <w:lang w:val="sr-Latn-ME" w:eastAsia="en-US"/>
              </w:rPr>
            </w:pPr>
            <w:r w:rsidRPr="00AB41EE">
              <w:rPr>
                <w:sz w:val="22"/>
                <w:szCs w:val="22"/>
                <w:lang w:val="sr-Latn-ME" w:eastAsia="en-US"/>
              </w:rPr>
              <w:t xml:space="preserve">Nije ispitivan uticaj sulfasalazina na sposobnost upravljanja vozilima i rukovanja mašinama. </w:t>
            </w:r>
          </w:p>
          <w:p w:rsidR="00755F6B" w:rsidRPr="00AB41EE" w:rsidRDefault="00755F6B" w:rsidP="006E1FE0">
            <w:pPr>
              <w:tabs>
                <w:tab w:val="left" w:pos="-720"/>
              </w:tabs>
              <w:suppressAutoHyphens/>
              <w:spacing w:line="288" w:lineRule="auto"/>
              <w:rPr>
                <w:spacing w:val="-3"/>
                <w:sz w:val="22"/>
                <w:szCs w:val="22"/>
                <w:lang w:val="sr-Latn-ME" w:eastAsia="en-US"/>
              </w:rPr>
            </w:pPr>
          </w:p>
        </w:tc>
      </w:tr>
      <w:tr w:rsidR="00755F6B" w:rsidRPr="00AB41EE" w:rsidTr="006E1FE0">
        <w:trPr>
          <w:cantSplit/>
          <w:trHeight w:val="374"/>
        </w:trPr>
        <w:tc>
          <w:tcPr>
            <w:tcW w:w="10260" w:type="dxa"/>
            <w:gridSpan w:val="2"/>
            <w:vAlign w:val="center"/>
          </w:tcPr>
          <w:p w:rsidR="00755F6B" w:rsidRPr="00AB41EE" w:rsidRDefault="00755F6B" w:rsidP="006E1FE0">
            <w:pPr>
              <w:tabs>
                <w:tab w:val="left" w:pos="284"/>
                <w:tab w:val="center" w:pos="4320"/>
                <w:tab w:val="right" w:pos="8640"/>
              </w:tabs>
              <w:spacing w:before="80" w:after="80"/>
              <w:rPr>
                <w:b/>
                <w:sz w:val="22"/>
                <w:szCs w:val="22"/>
                <w:lang w:val="sr-Latn-ME" w:eastAsia="en-US"/>
              </w:rPr>
            </w:pPr>
            <w:r w:rsidRPr="00AB41EE">
              <w:rPr>
                <w:b/>
                <w:sz w:val="22"/>
                <w:szCs w:val="22"/>
                <w:lang w:val="sr-Latn-ME" w:eastAsia="en-US"/>
              </w:rPr>
              <w:t>4.8. Neželjena dejstva</w:t>
            </w:r>
          </w:p>
        </w:tc>
      </w:tr>
      <w:tr w:rsidR="00755F6B" w:rsidRPr="00AB41EE" w:rsidTr="006E1FE0">
        <w:trPr>
          <w:cantSplit/>
        </w:trPr>
        <w:tc>
          <w:tcPr>
            <w:tcW w:w="10260" w:type="dxa"/>
            <w:gridSpan w:val="2"/>
            <w:vAlign w:val="center"/>
          </w:tcPr>
          <w:p w:rsidR="00755F6B" w:rsidRPr="00AB41EE" w:rsidRDefault="00755F6B" w:rsidP="006E1FE0">
            <w:pPr>
              <w:rPr>
                <w:sz w:val="22"/>
                <w:szCs w:val="22"/>
                <w:lang w:val="sr-Latn-ME" w:eastAsia="en-US"/>
              </w:rPr>
            </w:pPr>
          </w:p>
          <w:p w:rsidR="00755F6B" w:rsidRPr="00AB41EE" w:rsidRDefault="00755F6B" w:rsidP="006E1FE0">
            <w:pPr>
              <w:spacing w:after="120"/>
              <w:rPr>
                <w:sz w:val="22"/>
                <w:szCs w:val="22"/>
                <w:lang w:val="sr-Latn-ME" w:eastAsia="en-US"/>
              </w:rPr>
            </w:pPr>
            <w:r w:rsidRPr="00AB41EE">
              <w:rPr>
                <w:spacing w:val="-3"/>
                <w:sz w:val="22"/>
                <w:szCs w:val="22"/>
                <w:lang w:val="sr-Latn-ME" w:eastAsia="en-US"/>
              </w:rPr>
              <w:t>Sljedeći neželjeni događaji prijavljeni su tokom upotrebe sulfasalazina:</w:t>
            </w:r>
          </w:p>
          <w:p w:rsidR="00755F6B" w:rsidRPr="00AB41EE" w:rsidRDefault="00755F6B" w:rsidP="006E1FE0">
            <w:pPr>
              <w:spacing w:after="120"/>
              <w:rPr>
                <w:sz w:val="22"/>
                <w:szCs w:val="22"/>
                <w:lang w:val="sr-Latn-ME" w:eastAsia="en-US"/>
              </w:rPr>
            </w:pPr>
          </w:p>
        </w:tc>
      </w:tr>
    </w:tbl>
    <w:p w:rsidR="00755F6B" w:rsidRPr="00AB41EE" w:rsidRDefault="00755F6B" w:rsidP="00755F6B">
      <w:pPr>
        <w:rPr>
          <w:sz w:val="22"/>
          <w:szCs w:val="22"/>
          <w:lang w:val="sr-Latn-ME" w:eastAsia="en-US"/>
        </w:rPr>
      </w:pPr>
    </w:p>
    <w:tbl>
      <w:tblPr>
        <w:tblW w:w="10260" w:type="dxa"/>
        <w:tblInd w:w="-110" w:type="dxa"/>
        <w:tblCellMar>
          <w:left w:w="70" w:type="dxa"/>
          <w:right w:w="70" w:type="dxa"/>
        </w:tblCellMar>
        <w:tblLook w:val="04A0" w:firstRow="1" w:lastRow="0" w:firstColumn="1" w:lastColumn="0" w:noHBand="0" w:noVBand="1"/>
      </w:tblPr>
      <w:tblGrid>
        <w:gridCol w:w="165"/>
        <w:gridCol w:w="4180"/>
        <w:gridCol w:w="1780"/>
        <w:gridCol w:w="3903"/>
        <w:gridCol w:w="232"/>
      </w:tblGrid>
      <w:tr w:rsidR="00755F6B" w:rsidRPr="00AB41EE" w:rsidTr="00CE5807">
        <w:trPr>
          <w:gridBefore w:val="1"/>
          <w:gridAfter w:val="1"/>
          <w:wBefore w:w="165" w:type="dxa"/>
          <w:wAfter w:w="232" w:type="dxa"/>
          <w:trHeight w:val="570"/>
        </w:trPr>
        <w:tc>
          <w:tcPr>
            <w:tcW w:w="4180" w:type="dxa"/>
            <w:tcBorders>
              <w:top w:val="single" w:sz="4" w:space="0" w:color="auto"/>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lastRenderedPageBreak/>
              <w:t>MeDRA klasifikacija po</w:t>
            </w:r>
            <w:r w:rsidR="0081289B" w:rsidRPr="00AB41EE">
              <w:rPr>
                <w:sz w:val="22"/>
                <w:szCs w:val="22"/>
                <w:lang w:val="sr-Latn-ME" w:eastAsia="sr-Latn-CS"/>
              </w:rPr>
              <w:t xml:space="preserve"> sistemima</w:t>
            </w:r>
            <w:r w:rsidRPr="00AB41EE">
              <w:rPr>
                <w:sz w:val="22"/>
                <w:szCs w:val="22"/>
                <w:lang w:val="sr-Latn-ME" w:eastAsia="sr-Latn-CS"/>
              </w:rPr>
              <w:t xml:space="preserve"> organa</w:t>
            </w:r>
          </w:p>
        </w:tc>
        <w:tc>
          <w:tcPr>
            <w:tcW w:w="1780" w:type="dxa"/>
            <w:tcBorders>
              <w:top w:val="single" w:sz="4" w:space="0" w:color="auto"/>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Učestalost</w:t>
            </w:r>
          </w:p>
        </w:tc>
        <w:tc>
          <w:tcPr>
            <w:tcW w:w="3903" w:type="dxa"/>
            <w:tcBorders>
              <w:top w:val="single" w:sz="4" w:space="0" w:color="auto"/>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Neželjeno dejstvo</w:t>
            </w:r>
          </w:p>
        </w:tc>
      </w:tr>
      <w:tr w:rsidR="00755F6B" w:rsidRPr="00AB41EE" w:rsidTr="00CE5807">
        <w:trPr>
          <w:gridBefore w:val="1"/>
          <w:gridAfter w:val="1"/>
          <w:wBefore w:w="165" w:type="dxa"/>
          <w:wAfter w:w="232" w:type="dxa"/>
          <w:trHeight w:val="570"/>
        </w:trPr>
        <w:tc>
          <w:tcPr>
            <w:tcW w:w="4180" w:type="dxa"/>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Infekcije i infestacije</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Aseptički meningitis, pseudomembranozni kolitis, parotitis</w:t>
            </w:r>
          </w:p>
        </w:tc>
      </w:tr>
      <w:tr w:rsidR="00755F6B" w:rsidRPr="00AB41EE" w:rsidTr="00CE5807">
        <w:trPr>
          <w:gridBefore w:val="1"/>
          <w:gridAfter w:val="1"/>
          <w:wBefore w:w="165" w:type="dxa"/>
          <w:wAfter w:w="232" w:type="dxa"/>
          <w:trHeight w:val="285"/>
        </w:trPr>
        <w:tc>
          <w:tcPr>
            <w:tcW w:w="4180" w:type="dxa"/>
            <w:vMerge w:val="restart"/>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Poremećaji na nivou krvi i limfnog sistema</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Česta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Leukopenija</w:t>
            </w:r>
          </w:p>
        </w:tc>
      </w:tr>
      <w:tr w:rsidR="00755F6B" w:rsidRPr="00AB41EE" w:rsidTr="00CE5807">
        <w:trPr>
          <w:gridBefore w:val="1"/>
          <w:gridAfter w:val="1"/>
          <w:wBefore w:w="165" w:type="dxa"/>
          <w:wAfter w:w="232" w:type="dxa"/>
          <w:trHeight w:val="285"/>
        </w:trPr>
        <w:tc>
          <w:tcPr>
            <w:tcW w:w="4180" w:type="dxa"/>
            <w:vMerge/>
            <w:tcBorders>
              <w:top w:val="nil"/>
              <w:left w:val="single" w:sz="4" w:space="0" w:color="auto"/>
              <w:bottom w:val="single" w:sz="4" w:space="0" w:color="auto"/>
              <w:right w:val="single" w:sz="4" w:space="0" w:color="auto"/>
            </w:tcBorders>
            <w:vAlign w:val="center"/>
            <w:hideMark/>
          </w:tcPr>
          <w:p w:rsidR="00755F6B" w:rsidRPr="00AB41EE" w:rsidRDefault="00755F6B" w:rsidP="006E1FE0">
            <w:pPr>
              <w:rPr>
                <w:sz w:val="22"/>
                <w:szCs w:val="22"/>
                <w:lang w:val="sr-Latn-ME" w:eastAsia="sr-Latn-CS"/>
              </w:rPr>
            </w:pP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Povremena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81289B">
            <w:pPr>
              <w:rPr>
                <w:sz w:val="22"/>
                <w:szCs w:val="22"/>
                <w:lang w:val="sr-Latn-ME" w:eastAsia="sr-Latn-CS"/>
              </w:rPr>
            </w:pPr>
            <w:r w:rsidRPr="00AB41EE">
              <w:rPr>
                <w:sz w:val="22"/>
                <w:szCs w:val="22"/>
                <w:lang w:val="sr-Latn-ME" w:eastAsia="sr-Latn-CS"/>
              </w:rPr>
              <w:t>Trombocitopenija</w:t>
            </w:r>
            <w:r w:rsidR="0081289B" w:rsidRPr="00AB41EE">
              <w:rPr>
                <w:sz w:val="22"/>
                <w:szCs w:val="22"/>
                <w:vertAlign w:val="superscript"/>
                <w:lang w:val="sr-Latn-ME"/>
              </w:rPr>
              <w:t>†</w:t>
            </w:r>
            <w:r w:rsidRPr="00AB41EE">
              <w:rPr>
                <w:sz w:val="22"/>
                <w:szCs w:val="22"/>
                <w:lang w:val="sr-Latn-ME" w:eastAsia="sr-Latn-CS"/>
              </w:rPr>
              <w:t xml:space="preserve"> </w:t>
            </w:r>
          </w:p>
        </w:tc>
      </w:tr>
      <w:tr w:rsidR="00755F6B" w:rsidRPr="00AB41EE" w:rsidTr="00CE5807">
        <w:trPr>
          <w:gridBefore w:val="1"/>
          <w:gridAfter w:val="1"/>
          <w:wBefore w:w="165" w:type="dxa"/>
          <w:wAfter w:w="232" w:type="dxa"/>
          <w:trHeight w:val="1710"/>
        </w:trPr>
        <w:tc>
          <w:tcPr>
            <w:tcW w:w="4180" w:type="dxa"/>
            <w:vMerge/>
            <w:tcBorders>
              <w:top w:val="nil"/>
              <w:left w:val="single" w:sz="4" w:space="0" w:color="auto"/>
              <w:bottom w:val="single" w:sz="4" w:space="0" w:color="auto"/>
              <w:right w:val="single" w:sz="4" w:space="0" w:color="auto"/>
            </w:tcBorders>
            <w:vAlign w:val="center"/>
            <w:hideMark/>
          </w:tcPr>
          <w:p w:rsidR="00755F6B" w:rsidRPr="00AB41EE" w:rsidRDefault="00755F6B" w:rsidP="006E1FE0">
            <w:pPr>
              <w:rPr>
                <w:sz w:val="22"/>
                <w:szCs w:val="22"/>
                <w:lang w:val="sr-Latn-ME" w:eastAsia="sr-Latn-CS"/>
              </w:rPr>
            </w:pP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Pancitopenija, agranulocitoza, aplastična anemija, pseudomononukleoza</w:t>
            </w:r>
            <w:r w:rsidR="0081289B" w:rsidRPr="00AB41EE">
              <w:rPr>
                <w:sz w:val="22"/>
                <w:szCs w:val="22"/>
                <w:lang w:val="sr-Latn-ME"/>
              </w:rPr>
              <w:t>*</w:t>
            </w:r>
            <w:r w:rsidR="0081289B" w:rsidRPr="00AB41EE">
              <w:rPr>
                <w:sz w:val="22"/>
                <w:szCs w:val="22"/>
                <w:vertAlign w:val="superscript"/>
                <w:lang w:val="sr-Latn-ME"/>
              </w:rPr>
              <w:t>†</w:t>
            </w:r>
            <w:r w:rsidRPr="00AB41EE">
              <w:rPr>
                <w:sz w:val="22"/>
                <w:szCs w:val="22"/>
                <w:lang w:val="sr-Latn-ME" w:eastAsia="sr-Latn-CS"/>
              </w:rPr>
              <w:t xml:space="preserve"> </w:t>
            </w:r>
            <w:r w:rsidR="0081289B" w:rsidRPr="00AB41EE">
              <w:rPr>
                <w:sz w:val="22"/>
                <w:szCs w:val="22"/>
                <w:lang w:val="sr-Latn-ME" w:eastAsia="sr-Latn-CS"/>
              </w:rPr>
              <w:t xml:space="preserve">, </w:t>
            </w:r>
            <w:r w:rsidRPr="00AB41EE">
              <w:rPr>
                <w:sz w:val="22"/>
                <w:szCs w:val="22"/>
                <w:lang w:val="sr-Latn-ME" w:eastAsia="sr-Latn-CS"/>
              </w:rPr>
              <w:t>hemolitička anemija, makrocitoza, megaloblastična anemija, anemija Heinz-ovih tjelašaca, hipoprotrombinemija,</w:t>
            </w:r>
            <w:r w:rsidR="0081289B" w:rsidRPr="00AB41EE">
              <w:rPr>
                <w:sz w:val="22"/>
                <w:szCs w:val="22"/>
                <w:lang w:val="sr-Latn-ME" w:eastAsia="sr-Latn-CS"/>
              </w:rPr>
              <w:t xml:space="preserve"> </w:t>
            </w:r>
            <w:r w:rsidRPr="00AB41EE">
              <w:rPr>
                <w:sz w:val="22"/>
                <w:szCs w:val="22"/>
                <w:lang w:val="sr-Latn-ME" w:eastAsia="sr-Latn-CS"/>
              </w:rPr>
              <w:t>limfadenopatija, methemoglobinemija, neutropenija</w:t>
            </w:r>
          </w:p>
        </w:tc>
      </w:tr>
      <w:tr w:rsidR="00755F6B" w:rsidRPr="00AB41EE" w:rsidTr="00CE5807">
        <w:trPr>
          <w:gridBefore w:val="1"/>
          <w:gridAfter w:val="1"/>
          <w:wBefore w:w="165" w:type="dxa"/>
          <w:wAfter w:w="232" w:type="dxa"/>
          <w:trHeight w:val="285"/>
        </w:trPr>
        <w:tc>
          <w:tcPr>
            <w:tcW w:w="4180" w:type="dxa"/>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Imunološki poremećaji</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Anafilaksa *, serumska bolest, poliarteritis nodosa</w:t>
            </w:r>
          </w:p>
        </w:tc>
      </w:tr>
      <w:tr w:rsidR="00755F6B" w:rsidRPr="00AB41EE" w:rsidTr="00CE5807">
        <w:trPr>
          <w:gridBefore w:val="1"/>
          <w:gridAfter w:val="1"/>
          <w:wBefore w:w="165" w:type="dxa"/>
          <w:wAfter w:w="232" w:type="dxa"/>
          <w:trHeight w:val="285"/>
        </w:trPr>
        <w:tc>
          <w:tcPr>
            <w:tcW w:w="4180" w:type="dxa"/>
            <w:vMerge w:val="restart"/>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Poremećaji metabolizma i ishrane</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Česta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Gubitak apetita</w:t>
            </w:r>
          </w:p>
        </w:tc>
      </w:tr>
      <w:tr w:rsidR="00755F6B" w:rsidRPr="00AB41EE" w:rsidTr="00CE5807">
        <w:trPr>
          <w:gridBefore w:val="1"/>
          <w:gridAfter w:val="1"/>
          <w:wBefore w:w="165" w:type="dxa"/>
          <w:wAfter w:w="232" w:type="dxa"/>
          <w:trHeight w:val="285"/>
        </w:trPr>
        <w:tc>
          <w:tcPr>
            <w:tcW w:w="4180" w:type="dxa"/>
            <w:vMerge/>
            <w:tcBorders>
              <w:top w:val="nil"/>
              <w:left w:val="single" w:sz="4" w:space="0" w:color="auto"/>
              <w:bottom w:val="single" w:sz="4" w:space="0" w:color="auto"/>
              <w:right w:val="single" w:sz="4" w:space="0" w:color="auto"/>
            </w:tcBorders>
            <w:vAlign w:val="center"/>
            <w:hideMark/>
          </w:tcPr>
          <w:p w:rsidR="00755F6B" w:rsidRPr="00AB41EE" w:rsidRDefault="00755F6B" w:rsidP="006E1FE0">
            <w:pPr>
              <w:rPr>
                <w:sz w:val="22"/>
                <w:szCs w:val="22"/>
                <w:lang w:val="sr-Latn-ME" w:eastAsia="sr-Latn-CS"/>
              </w:rPr>
            </w:pP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81289B">
            <w:pPr>
              <w:rPr>
                <w:sz w:val="22"/>
                <w:szCs w:val="22"/>
                <w:lang w:val="sr-Latn-ME" w:eastAsia="sr-Latn-CS"/>
              </w:rPr>
            </w:pPr>
            <w:r w:rsidRPr="00AB41EE">
              <w:rPr>
                <w:sz w:val="22"/>
                <w:szCs w:val="22"/>
                <w:lang w:val="sr-Latn-ME" w:eastAsia="sr-Latn-CS"/>
              </w:rPr>
              <w:t>Nedostatak folata*</w:t>
            </w:r>
            <w:r w:rsidR="0081289B" w:rsidRPr="00AB41EE">
              <w:rPr>
                <w:sz w:val="22"/>
                <w:szCs w:val="22"/>
                <w:vertAlign w:val="superscript"/>
                <w:lang w:val="sr-Latn-ME"/>
              </w:rPr>
              <w:t>†</w:t>
            </w:r>
          </w:p>
        </w:tc>
      </w:tr>
      <w:tr w:rsidR="00755F6B" w:rsidRPr="00AB41EE" w:rsidTr="00CE5807">
        <w:trPr>
          <w:gridBefore w:val="1"/>
          <w:gridAfter w:val="1"/>
          <w:wBefore w:w="165" w:type="dxa"/>
          <w:wAfter w:w="232" w:type="dxa"/>
          <w:trHeight w:val="285"/>
        </w:trPr>
        <w:tc>
          <w:tcPr>
            <w:tcW w:w="4180" w:type="dxa"/>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Psihijatrijski poremećaji</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Povremena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Depresija, halucinacije, insomnia</w:t>
            </w:r>
          </w:p>
        </w:tc>
      </w:tr>
      <w:tr w:rsidR="00755F6B" w:rsidRPr="00AB41EE" w:rsidTr="00CE5807">
        <w:trPr>
          <w:gridBefore w:val="1"/>
          <w:gridAfter w:val="1"/>
          <w:wBefore w:w="165" w:type="dxa"/>
          <w:wAfter w:w="232" w:type="dxa"/>
          <w:trHeight w:val="285"/>
        </w:trPr>
        <w:tc>
          <w:tcPr>
            <w:tcW w:w="4180" w:type="dxa"/>
            <w:vMerge w:val="restart"/>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Poremećaji nervnog sistema</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Česta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Vrtoglavica, glavobolja, poremećaj ukusa</w:t>
            </w:r>
          </w:p>
        </w:tc>
      </w:tr>
      <w:tr w:rsidR="00755F6B" w:rsidRPr="00AB41EE" w:rsidTr="00CE5807">
        <w:trPr>
          <w:gridBefore w:val="1"/>
          <w:gridAfter w:val="1"/>
          <w:wBefore w:w="165" w:type="dxa"/>
          <w:wAfter w:w="232" w:type="dxa"/>
          <w:trHeight w:val="570"/>
        </w:trPr>
        <w:tc>
          <w:tcPr>
            <w:tcW w:w="4180" w:type="dxa"/>
            <w:vMerge/>
            <w:tcBorders>
              <w:top w:val="nil"/>
              <w:left w:val="single" w:sz="4" w:space="0" w:color="auto"/>
              <w:bottom w:val="single" w:sz="4" w:space="0" w:color="auto"/>
              <w:right w:val="single" w:sz="4" w:space="0" w:color="auto"/>
            </w:tcBorders>
            <w:vAlign w:val="center"/>
            <w:hideMark/>
          </w:tcPr>
          <w:p w:rsidR="00755F6B" w:rsidRPr="00AB41EE" w:rsidRDefault="00755F6B" w:rsidP="006E1FE0">
            <w:pPr>
              <w:rPr>
                <w:sz w:val="22"/>
                <w:szCs w:val="22"/>
                <w:lang w:val="sr-Latn-ME" w:eastAsia="sr-Latn-CS"/>
              </w:rPr>
            </w:pP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Encefalopatija, periferna neuropatija, poremećaj čula mirisa, ataksija, konvulzije</w:t>
            </w:r>
          </w:p>
        </w:tc>
      </w:tr>
      <w:tr w:rsidR="00755F6B" w:rsidRPr="00AB41EE" w:rsidTr="00CE5807">
        <w:trPr>
          <w:gridBefore w:val="1"/>
          <w:gridAfter w:val="1"/>
          <w:wBefore w:w="165" w:type="dxa"/>
          <w:wAfter w:w="232" w:type="dxa"/>
          <w:trHeight w:val="285"/>
        </w:trPr>
        <w:tc>
          <w:tcPr>
            <w:tcW w:w="4180" w:type="dxa"/>
            <w:vMerge w:val="restart"/>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Poremećaji na nivou uha i labirinta</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Česta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Tinitus</w:t>
            </w:r>
          </w:p>
        </w:tc>
      </w:tr>
      <w:tr w:rsidR="00755F6B" w:rsidRPr="00AB41EE" w:rsidTr="00CE5807">
        <w:trPr>
          <w:gridBefore w:val="1"/>
          <w:gridAfter w:val="1"/>
          <w:wBefore w:w="165" w:type="dxa"/>
          <w:wAfter w:w="232" w:type="dxa"/>
          <w:trHeight w:val="285"/>
        </w:trPr>
        <w:tc>
          <w:tcPr>
            <w:tcW w:w="4180" w:type="dxa"/>
            <w:vMerge/>
            <w:tcBorders>
              <w:top w:val="nil"/>
              <w:left w:val="single" w:sz="4" w:space="0" w:color="auto"/>
              <w:bottom w:val="single" w:sz="4" w:space="0" w:color="auto"/>
              <w:right w:val="single" w:sz="4" w:space="0" w:color="auto"/>
            </w:tcBorders>
            <w:vAlign w:val="center"/>
            <w:hideMark/>
          </w:tcPr>
          <w:p w:rsidR="00755F6B" w:rsidRPr="00AB41EE" w:rsidRDefault="00755F6B" w:rsidP="006E1FE0">
            <w:pPr>
              <w:rPr>
                <w:sz w:val="22"/>
                <w:szCs w:val="22"/>
                <w:lang w:val="sr-Latn-ME" w:eastAsia="sr-Latn-CS"/>
              </w:rPr>
            </w:pP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Vertigo</w:t>
            </w:r>
          </w:p>
        </w:tc>
      </w:tr>
      <w:tr w:rsidR="00755F6B" w:rsidRPr="00AB41EE" w:rsidTr="00CE5807">
        <w:trPr>
          <w:gridBefore w:val="1"/>
          <w:gridAfter w:val="1"/>
          <w:wBefore w:w="165" w:type="dxa"/>
          <w:wAfter w:w="232" w:type="dxa"/>
          <w:trHeight w:val="285"/>
        </w:trPr>
        <w:tc>
          <w:tcPr>
            <w:tcW w:w="4180" w:type="dxa"/>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Poremećaji na nivou oka</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Konjunktivalna i skleralna infekcija</w:t>
            </w:r>
          </w:p>
        </w:tc>
      </w:tr>
      <w:tr w:rsidR="00755F6B" w:rsidRPr="00AB41EE" w:rsidTr="00CE5807">
        <w:trPr>
          <w:gridBefore w:val="1"/>
          <w:gridAfter w:val="1"/>
          <w:wBefore w:w="165" w:type="dxa"/>
          <w:wAfter w:w="232" w:type="dxa"/>
          <w:trHeight w:val="285"/>
        </w:trPr>
        <w:tc>
          <w:tcPr>
            <w:tcW w:w="4180" w:type="dxa"/>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Kardiološki poremećaji</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81289B">
            <w:pPr>
              <w:rPr>
                <w:sz w:val="22"/>
                <w:szCs w:val="22"/>
                <w:lang w:val="sr-Latn-ME" w:eastAsia="sr-Latn-CS"/>
              </w:rPr>
            </w:pPr>
            <w:r w:rsidRPr="00AB41EE">
              <w:rPr>
                <w:sz w:val="22"/>
                <w:szCs w:val="22"/>
                <w:lang w:val="sr-Latn-ME" w:eastAsia="sr-Latn-CS"/>
              </w:rPr>
              <w:t>Alergijski miokarditis*</w:t>
            </w:r>
            <w:r w:rsidR="0081289B" w:rsidRPr="00AB41EE">
              <w:rPr>
                <w:sz w:val="22"/>
                <w:szCs w:val="22"/>
                <w:vertAlign w:val="superscript"/>
                <w:lang w:val="sr-Latn-ME"/>
              </w:rPr>
              <w:t>†</w:t>
            </w:r>
            <w:r w:rsidRPr="00AB41EE">
              <w:rPr>
                <w:sz w:val="22"/>
                <w:szCs w:val="22"/>
                <w:lang w:val="sr-Latn-ME" w:eastAsia="sr-Latn-CS"/>
              </w:rPr>
              <w:t xml:space="preserve"> perikarditis, cijanoza</w:t>
            </w:r>
          </w:p>
        </w:tc>
      </w:tr>
      <w:tr w:rsidR="00755F6B" w:rsidRPr="00AB41EE" w:rsidTr="00CE5807">
        <w:trPr>
          <w:gridBefore w:val="1"/>
          <w:gridAfter w:val="1"/>
          <w:wBefore w:w="165" w:type="dxa"/>
          <w:wAfter w:w="232" w:type="dxa"/>
          <w:trHeight w:val="285"/>
        </w:trPr>
        <w:tc>
          <w:tcPr>
            <w:tcW w:w="4180" w:type="dxa"/>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Vaskularni poremećaji</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81289B">
            <w:pPr>
              <w:rPr>
                <w:sz w:val="22"/>
                <w:szCs w:val="22"/>
                <w:lang w:val="sr-Latn-ME" w:eastAsia="sr-Latn-CS"/>
              </w:rPr>
            </w:pPr>
            <w:r w:rsidRPr="00AB41EE">
              <w:rPr>
                <w:sz w:val="22"/>
                <w:szCs w:val="22"/>
                <w:lang w:val="sr-Latn-ME" w:eastAsia="sr-Latn-CS"/>
              </w:rPr>
              <w:t>Bljedilo*</w:t>
            </w:r>
            <w:r w:rsidR="0081289B" w:rsidRPr="00AB41EE">
              <w:rPr>
                <w:sz w:val="22"/>
                <w:szCs w:val="22"/>
                <w:vertAlign w:val="superscript"/>
                <w:lang w:val="sr-Latn-ME"/>
              </w:rPr>
              <w:t>†</w:t>
            </w:r>
            <w:r w:rsidRPr="00AB41EE">
              <w:rPr>
                <w:sz w:val="22"/>
                <w:szCs w:val="22"/>
                <w:lang w:val="sr-Latn-ME" w:eastAsia="sr-Latn-CS"/>
              </w:rPr>
              <w:t>, vaskulitis</w:t>
            </w:r>
          </w:p>
        </w:tc>
      </w:tr>
      <w:tr w:rsidR="00755F6B" w:rsidRPr="00AB41EE" w:rsidTr="00CE5807">
        <w:trPr>
          <w:gridBefore w:val="1"/>
          <w:gridAfter w:val="1"/>
          <w:wBefore w:w="165" w:type="dxa"/>
          <w:wAfter w:w="232" w:type="dxa"/>
          <w:trHeight w:val="570"/>
        </w:trPr>
        <w:tc>
          <w:tcPr>
            <w:tcW w:w="4180" w:type="dxa"/>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Urođeni, porodični i genetski poremećaji</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Kod pacijenata sa porfirijom, može biti isprovociran akutni napad</w:t>
            </w:r>
          </w:p>
        </w:tc>
      </w:tr>
      <w:tr w:rsidR="00755F6B" w:rsidRPr="00AB41EE" w:rsidTr="00CE5807">
        <w:trPr>
          <w:gridBefore w:val="1"/>
          <w:gridAfter w:val="1"/>
          <w:wBefore w:w="165" w:type="dxa"/>
          <w:wAfter w:w="232" w:type="dxa"/>
          <w:trHeight w:val="285"/>
        </w:trPr>
        <w:tc>
          <w:tcPr>
            <w:tcW w:w="4180" w:type="dxa"/>
            <w:vMerge w:val="restart"/>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Respiratorni, torakalni i medijastinalni poremećaji</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Česta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Kašalj</w:t>
            </w:r>
          </w:p>
        </w:tc>
      </w:tr>
      <w:tr w:rsidR="00755F6B" w:rsidRPr="00AB41EE" w:rsidTr="00CE5807">
        <w:trPr>
          <w:gridBefore w:val="1"/>
          <w:gridAfter w:val="1"/>
          <w:wBefore w:w="165" w:type="dxa"/>
          <w:wAfter w:w="232" w:type="dxa"/>
          <w:trHeight w:val="285"/>
        </w:trPr>
        <w:tc>
          <w:tcPr>
            <w:tcW w:w="4180" w:type="dxa"/>
            <w:vMerge/>
            <w:tcBorders>
              <w:top w:val="nil"/>
              <w:left w:val="single" w:sz="4" w:space="0" w:color="auto"/>
              <w:bottom w:val="single" w:sz="4" w:space="0" w:color="auto"/>
              <w:right w:val="single" w:sz="4" w:space="0" w:color="auto"/>
            </w:tcBorders>
            <w:vAlign w:val="center"/>
            <w:hideMark/>
          </w:tcPr>
          <w:p w:rsidR="00755F6B" w:rsidRPr="00AB41EE" w:rsidRDefault="00755F6B" w:rsidP="006E1FE0">
            <w:pPr>
              <w:rPr>
                <w:sz w:val="22"/>
                <w:szCs w:val="22"/>
                <w:lang w:val="sr-Latn-ME" w:eastAsia="sr-Latn-CS"/>
              </w:rPr>
            </w:pP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Povremena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Dispnea</w:t>
            </w:r>
          </w:p>
        </w:tc>
      </w:tr>
      <w:tr w:rsidR="00755F6B" w:rsidRPr="00AB41EE" w:rsidTr="00CE5807">
        <w:trPr>
          <w:gridBefore w:val="1"/>
          <w:gridAfter w:val="1"/>
          <w:wBefore w:w="165" w:type="dxa"/>
          <w:wAfter w:w="232" w:type="dxa"/>
          <w:trHeight w:val="570"/>
        </w:trPr>
        <w:tc>
          <w:tcPr>
            <w:tcW w:w="4180" w:type="dxa"/>
            <w:vMerge/>
            <w:tcBorders>
              <w:top w:val="nil"/>
              <w:left w:val="single" w:sz="4" w:space="0" w:color="auto"/>
              <w:bottom w:val="single" w:sz="4" w:space="0" w:color="auto"/>
              <w:right w:val="single" w:sz="4" w:space="0" w:color="auto"/>
            </w:tcBorders>
            <w:vAlign w:val="center"/>
            <w:hideMark/>
          </w:tcPr>
          <w:p w:rsidR="00755F6B" w:rsidRPr="00AB41EE" w:rsidRDefault="00755F6B" w:rsidP="006E1FE0">
            <w:pPr>
              <w:rPr>
                <w:sz w:val="22"/>
                <w:szCs w:val="22"/>
                <w:lang w:val="sr-Latn-ME" w:eastAsia="sr-Latn-CS"/>
              </w:rPr>
            </w:pP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81289B">
            <w:pPr>
              <w:rPr>
                <w:sz w:val="22"/>
                <w:szCs w:val="22"/>
                <w:lang w:val="sr-Latn-ME" w:eastAsia="sr-Latn-CS"/>
              </w:rPr>
            </w:pPr>
            <w:r w:rsidRPr="00AB41EE">
              <w:rPr>
                <w:sz w:val="22"/>
                <w:szCs w:val="22"/>
                <w:lang w:val="sr-Latn-ME" w:eastAsia="sr-Latn-CS"/>
              </w:rPr>
              <w:t>Fibrozni alveolitis, intersticijalna bolest pluća*, infiltracija eozinofilima, orofaringealni bol*</w:t>
            </w:r>
            <w:r w:rsidR="0081289B" w:rsidRPr="00AB41EE">
              <w:rPr>
                <w:sz w:val="22"/>
                <w:szCs w:val="22"/>
                <w:vertAlign w:val="superscript"/>
                <w:lang w:val="sr-Latn-ME"/>
              </w:rPr>
              <w:t>†</w:t>
            </w:r>
          </w:p>
        </w:tc>
      </w:tr>
      <w:tr w:rsidR="00755F6B" w:rsidRPr="00AB41EE" w:rsidTr="00CE5807">
        <w:trPr>
          <w:gridBefore w:val="1"/>
          <w:gridAfter w:val="1"/>
          <w:wBefore w:w="165" w:type="dxa"/>
          <w:wAfter w:w="232" w:type="dxa"/>
          <w:trHeight w:val="285"/>
        </w:trPr>
        <w:tc>
          <w:tcPr>
            <w:tcW w:w="4180" w:type="dxa"/>
            <w:vMerge w:val="restart"/>
            <w:tcBorders>
              <w:top w:val="nil"/>
              <w:left w:val="single" w:sz="4" w:space="0" w:color="auto"/>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Gastrointestinalni poremećaji</w:t>
            </w: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Veoma česta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Dispepsija, mučnina</w:t>
            </w:r>
          </w:p>
        </w:tc>
      </w:tr>
      <w:tr w:rsidR="00755F6B" w:rsidRPr="00AB41EE" w:rsidTr="00CE5807">
        <w:trPr>
          <w:gridBefore w:val="1"/>
          <w:gridAfter w:val="1"/>
          <w:wBefore w:w="165" w:type="dxa"/>
          <w:wAfter w:w="232" w:type="dxa"/>
          <w:trHeight w:val="285"/>
        </w:trPr>
        <w:tc>
          <w:tcPr>
            <w:tcW w:w="4180" w:type="dxa"/>
            <w:vMerge/>
            <w:tcBorders>
              <w:top w:val="nil"/>
              <w:left w:val="single" w:sz="4" w:space="0" w:color="auto"/>
              <w:bottom w:val="single" w:sz="4" w:space="0" w:color="auto"/>
              <w:right w:val="single" w:sz="4" w:space="0" w:color="auto"/>
            </w:tcBorders>
            <w:vAlign w:val="center"/>
            <w:hideMark/>
          </w:tcPr>
          <w:p w:rsidR="00755F6B" w:rsidRPr="00AB41EE" w:rsidRDefault="00755F6B" w:rsidP="006E1FE0">
            <w:pPr>
              <w:rPr>
                <w:sz w:val="22"/>
                <w:szCs w:val="22"/>
                <w:lang w:val="sr-Latn-ME" w:eastAsia="sr-Latn-CS"/>
              </w:rPr>
            </w:pP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Česta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Abdominalni bol, dijareja*, povraćanje*</w:t>
            </w:r>
          </w:p>
        </w:tc>
      </w:tr>
      <w:tr w:rsidR="00755F6B" w:rsidRPr="00AB41EE" w:rsidTr="00CE5807">
        <w:trPr>
          <w:gridBefore w:val="1"/>
          <w:gridAfter w:val="1"/>
          <w:wBefore w:w="165" w:type="dxa"/>
          <w:wAfter w:w="232" w:type="dxa"/>
          <w:trHeight w:val="570"/>
        </w:trPr>
        <w:tc>
          <w:tcPr>
            <w:tcW w:w="4180" w:type="dxa"/>
            <w:vMerge/>
            <w:tcBorders>
              <w:top w:val="nil"/>
              <w:left w:val="single" w:sz="4" w:space="0" w:color="auto"/>
              <w:bottom w:val="single" w:sz="4" w:space="0" w:color="auto"/>
              <w:right w:val="single" w:sz="4" w:space="0" w:color="auto"/>
            </w:tcBorders>
            <w:vAlign w:val="center"/>
            <w:hideMark/>
          </w:tcPr>
          <w:p w:rsidR="00755F6B" w:rsidRPr="00AB41EE" w:rsidRDefault="00755F6B" w:rsidP="006E1FE0">
            <w:pPr>
              <w:rPr>
                <w:sz w:val="22"/>
                <w:szCs w:val="22"/>
                <w:lang w:val="sr-Latn-ME" w:eastAsia="sr-Latn-CS"/>
              </w:rPr>
            </w:pPr>
          </w:p>
        </w:tc>
        <w:tc>
          <w:tcPr>
            <w:tcW w:w="1780"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Nepoznata</w:t>
            </w:r>
          </w:p>
        </w:tc>
        <w:tc>
          <w:tcPr>
            <w:tcW w:w="3903" w:type="dxa"/>
            <w:tcBorders>
              <w:top w:val="nil"/>
              <w:left w:val="nil"/>
              <w:bottom w:val="single" w:sz="4" w:space="0" w:color="auto"/>
              <w:right w:val="single" w:sz="4" w:space="0" w:color="auto"/>
            </w:tcBorders>
            <w:shd w:val="clear" w:color="auto" w:fill="auto"/>
            <w:hideMark/>
          </w:tcPr>
          <w:p w:rsidR="00755F6B" w:rsidRPr="00AB41EE" w:rsidRDefault="00755F6B" w:rsidP="006E1FE0">
            <w:pPr>
              <w:rPr>
                <w:sz w:val="22"/>
                <w:szCs w:val="22"/>
                <w:lang w:val="sr-Latn-ME" w:eastAsia="sr-Latn-CS"/>
              </w:rPr>
            </w:pPr>
            <w:r w:rsidRPr="00AB41EE">
              <w:rPr>
                <w:sz w:val="22"/>
                <w:szCs w:val="22"/>
                <w:lang w:val="sr-Latn-ME" w:eastAsia="sr-Latn-CS"/>
              </w:rPr>
              <w:t>Pogoršanje ulceroznog kolitisa*, pankreatitis, stomatitis</w:t>
            </w:r>
          </w:p>
        </w:tc>
      </w:tr>
      <w:tr w:rsidR="00CE5807" w:rsidRPr="00AB41EE" w:rsidTr="00CE5807">
        <w:trPr>
          <w:gridBefore w:val="1"/>
          <w:gridAfter w:val="1"/>
          <w:wBefore w:w="165" w:type="dxa"/>
          <w:wAfter w:w="232" w:type="dxa"/>
          <w:trHeight w:val="570"/>
        </w:trPr>
        <w:tc>
          <w:tcPr>
            <w:tcW w:w="4180" w:type="dxa"/>
            <w:tcBorders>
              <w:top w:val="single" w:sz="4" w:space="0" w:color="auto"/>
              <w:left w:val="single" w:sz="4" w:space="0" w:color="auto"/>
              <w:bottom w:val="nil"/>
              <w:right w:val="single" w:sz="4" w:space="0" w:color="auto"/>
            </w:tcBorders>
            <w:vAlign w:val="center"/>
          </w:tcPr>
          <w:p w:rsidR="00CE5807" w:rsidRPr="00AB41EE" w:rsidRDefault="00CE5807" w:rsidP="006E1FE0">
            <w:pPr>
              <w:rPr>
                <w:sz w:val="22"/>
                <w:szCs w:val="22"/>
                <w:lang w:val="sr-Latn-ME" w:eastAsia="sr-Latn-CS"/>
              </w:rPr>
            </w:pPr>
            <w:r w:rsidRPr="00AB41EE">
              <w:rPr>
                <w:sz w:val="22"/>
                <w:szCs w:val="22"/>
                <w:lang w:val="sr-Latn-ME" w:eastAsia="en-US"/>
              </w:rPr>
              <w:t>Hepatobilijarni poremećaji</w:t>
            </w:r>
          </w:p>
        </w:tc>
        <w:tc>
          <w:tcPr>
            <w:tcW w:w="1780" w:type="dxa"/>
            <w:tcBorders>
              <w:top w:val="single" w:sz="4" w:space="0" w:color="auto"/>
              <w:left w:val="nil"/>
              <w:bottom w:val="nil"/>
              <w:right w:val="single" w:sz="4" w:space="0" w:color="auto"/>
            </w:tcBorders>
            <w:shd w:val="clear" w:color="auto" w:fill="auto"/>
          </w:tcPr>
          <w:p w:rsidR="00CE5807" w:rsidRPr="00AB41EE" w:rsidRDefault="00CE5807" w:rsidP="006E1FE0">
            <w:pPr>
              <w:rPr>
                <w:sz w:val="22"/>
                <w:szCs w:val="22"/>
                <w:lang w:val="sr-Latn-ME" w:eastAsia="en-US"/>
              </w:rPr>
            </w:pPr>
          </w:p>
          <w:p w:rsidR="00CE5807" w:rsidRPr="00AB41EE" w:rsidRDefault="00CE5807" w:rsidP="006E1FE0">
            <w:pPr>
              <w:rPr>
                <w:sz w:val="22"/>
                <w:szCs w:val="22"/>
                <w:lang w:val="sr-Latn-ME" w:eastAsia="sr-Latn-CS"/>
              </w:rPr>
            </w:pPr>
            <w:r w:rsidRPr="00AB41EE">
              <w:rPr>
                <w:sz w:val="22"/>
                <w:szCs w:val="22"/>
                <w:lang w:val="sr-Latn-ME" w:eastAsia="en-US"/>
              </w:rPr>
              <w:t>Povremena</w:t>
            </w:r>
          </w:p>
        </w:tc>
        <w:tc>
          <w:tcPr>
            <w:tcW w:w="3903" w:type="dxa"/>
            <w:tcBorders>
              <w:top w:val="single" w:sz="4" w:space="0" w:color="auto"/>
              <w:left w:val="nil"/>
              <w:bottom w:val="nil"/>
              <w:right w:val="single" w:sz="4" w:space="0" w:color="auto"/>
            </w:tcBorders>
            <w:shd w:val="clear" w:color="auto" w:fill="auto"/>
          </w:tcPr>
          <w:p w:rsidR="00CE5807" w:rsidRPr="00AB41EE" w:rsidRDefault="00CE5807" w:rsidP="006E1FE0">
            <w:pPr>
              <w:rPr>
                <w:sz w:val="22"/>
                <w:szCs w:val="22"/>
                <w:lang w:val="sr-Latn-ME" w:eastAsia="sr-Latn-CS"/>
              </w:rPr>
            </w:pPr>
          </w:p>
          <w:p w:rsidR="00CE5807" w:rsidRPr="00AB41EE" w:rsidRDefault="00CE5807" w:rsidP="006E1FE0">
            <w:pPr>
              <w:rPr>
                <w:sz w:val="22"/>
                <w:szCs w:val="22"/>
                <w:lang w:val="sr-Latn-ME" w:eastAsia="sr-Latn-CS"/>
              </w:rPr>
            </w:pPr>
            <w:r w:rsidRPr="00AB41EE">
              <w:rPr>
                <w:sz w:val="22"/>
                <w:szCs w:val="22"/>
                <w:lang w:val="sr-Latn-ME" w:eastAsia="en-US"/>
              </w:rPr>
              <w:t>Žutica *</w:t>
            </w:r>
            <w:r w:rsidRPr="00AB41EE">
              <w:rPr>
                <w:sz w:val="22"/>
                <w:szCs w:val="22"/>
                <w:vertAlign w:val="superscript"/>
                <w:lang w:val="sr-Latn-ME" w:eastAsia="en-US"/>
              </w:rPr>
              <w:t>†</w:t>
            </w:r>
          </w:p>
        </w:tc>
      </w:tr>
      <w:tr w:rsidR="00CE5807" w:rsidRPr="00AB41EE" w:rsidTr="00CE5807">
        <w:trPr>
          <w:gridBefore w:val="1"/>
          <w:gridAfter w:val="1"/>
          <w:wBefore w:w="165" w:type="dxa"/>
          <w:wAfter w:w="232" w:type="dxa"/>
          <w:trHeight w:val="570"/>
        </w:trPr>
        <w:tc>
          <w:tcPr>
            <w:tcW w:w="4180" w:type="dxa"/>
            <w:tcBorders>
              <w:top w:val="nil"/>
              <w:left w:val="single" w:sz="4" w:space="0" w:color="auto"/>
              <w:bottom w:val="single" w:sz="4" w:space="0" w:color="auto"/>
              <w:right w:val="single" w:sz="4" w:space="0" w:color="auto"/>
            </w:tcBorders>
            <w:vAlign w:val="center"/>
          </w:tcPr>
          <w:p w:rsidR="00CE5807" w:rsidRPr="00AB41EE" w:rsidRDefault="00CE5807" w:rsidP="006E1FE0">
            <w:pPr>
              <w:rPr>
                <w:sz w:val="22"/>
                <w:szCs w:val="22"/>
                <w:lang w:val="sr-Latn-ME" w:eastAsia="sr-Latn-CS"/>
              </w:rPr>
            </w:pPr>
          </w:p>
        </w:tc>
        <w:tc>
          <w:tcPr>
            <w:tcW w:w="1780" w:type="dxa"/>
            <w:tcBorders>
              <w:top w:val="nil"/>
              <w:left w:val="nil"/>
              <w:bottom w:val="single" w:sz="4" w:space="0" w:color="auto"/>
              <w:right w:val="single" w:sz="4" w:space="0" w:color="auto"/>
            </w:tcBorders>
            <w:shd w:val="clear" w:color="auto" w:fill="auto"/>
          </w:tcPr>
          <w:p w:rsidR="00CE5807" w:rsidRPr="00AB41EE" w:rsidRDefault="00CE5807" w:rsidP="006E1FE0">
            <w:pPr>
              <w:rPr>
                <w:sz w:val="22"/>
                <w:szCs w:val="22"/>
                <w:lang w:val="sr-Latn-ME" w:eastAsia="sr-Latn-CS"/>
              </w:rPr>
            </w:pPr>
          </w:p>
        </w:tc>
        <w:tc>
          <w:tcPr>
            <w:tcW w:w="3903" w:type="dxa"/>
            <w:tcBorders>
              <w:top w:val="nil"/>
              <w:left w:val="nil"/>
              <w:bottom w:val="single" w:sz="4" w:space="0" w:color="auto"/>
              <w:right w:val="single" w:sz="4" w:space="0" w:color="auto"/>
            </w:tcBorders>
            <w:shd w:val="clear" w:color="auto" w:fill="auto"/>
          </w:tcPr>
          <w:p w:rsidR="00CE5807" w:rsidRPr="00AB41EE" w:rsidRDefault="00CE5807" w:rsidP="006E1FE0">
            <w:pPr>
              <w:rPr>
                <w:sz w:val="22"/>
                <w:szCs w:val="22"/>
                <w:lang w:val="sr-Latn-ME" w:eastAsia="sr-Latn-CS"/>
              </w:rPr>
            </w:pPr>
          </w:p>
        </w:tc>
      </w:tr>
      <w:tr w:rsidR="00755F6B" w:rsidRPr="00AB41EE" w:rsidTr="00CE5807">
        <w:tblPrEx>
          <w:tblCellMar>
            <w:left w:w="108" w:type="dxa"/>
            <w:right w:w="108" w:type="dxa"/>
          </w:tblCellMar>
          <w:tblLook w:val="0000" w:firstRow="0" w:lastRow="0" w:firstColumn="0" w:lastColumn="0" w:noHBand="0" w:noVBand="0"/>
        </w:tblPrEx>
        <w:trPr>
          <w:cantSplit/>
          <w:trHeight w:val="1436"/>
        </w:trPr>
        <w:tc>
          <w:tcPr>
            <w:tcW w:w="10260" w:type="dxa"/>
            <w:gridSpan w:val="5"/>
          </w:tcPr>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1843"/>
              <w:gridCol w:w="3846"/>
            </w:tblGrid>
            <w:tr w:rsidR="00755F6B" w:rsidRPr="00AB41EE" w:rsidTr="00AB41EE">
              <w:trPr>
                <w:trHeight w:val="643"/>
              </w:trPr>
              <w:tc>
                <w:tcPr>
                  <w:tcW w:w="4178" w:type="dxa"/>
                </w:tcPr>
                <w:p w:rsidR="00755F6B" w:rsidRPr="00AB41EE" w:rsidRDefault="00755F6B" w:rsidP="006E1FE0">
                  <w:pPr>
                    <w:spacing w:after="120"/>
                    <w:rPr>
                      <w:sz w:val="22"/>
                      <w:szCs w:val="22"/>
                      <w:lang w:val="sr-Latn-ME" w:eastAsia="en-US"/>
                    </w:rPr>
                  </w:pP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Nepoznata</w:t>
                  </w:r>
                </w:p>
              </w:tc>
              <w:tc>
                <w:tcPr>
                  <w:tcW w:w="3846" w:type="dxa"/>
                </w:tcPr>
                <w:p w:rsidR="00755F6B" w:rsidRPr="00AB41EE" w:rsidRDefault="00755F6B" w:rsidP="006E1FE0">
                  <w:pPr>
                    <w:spacing w:after="120"/>
                    <w:rPr>
                      <w:sz w:val="22"/>
                      <w:szCs w:val="22"/>
                      <w:vertAlign w:val="superscript"/>
                      <w:lang w:val="sr-Latn-ME" w:eastAsia="en-US"/>
                    </w:rPr>
                  </w:pPr>
                  <w:r w:rsidRPr="00AB41EE">
                    <w:rPr>
                      <w:sz w:val="22"/>
                      <w:szCs w:val="22"/>
                      <w:lang w:val="sr-Latn-ME" w:eastAsia="en-US"/>
                    </w:rPr>
                    <w:t>Insuficijencija jetre*, fulminantni hepatitis*,  hepatitis</w:t>
                  </w:r>
                  <w:r w:rsidRPr="00AB41EE">
                    <w:rPr>
                      <w:sz w:val="22"/>
                      <w:szCs w:val="22"/>
                      <w:vertAlign w:val="superscript"/>
                      <w:lang w:val="sr-Latn-ME" w:eastAsia="en-US"/>
                    </w:rPr>
                    <w:t>†</w:t>
                  </w:r>
                  <w:r w:rsidRPr="00AB41EE">
                    <w:rPr>
                      <w:sz w:val="22"/>
                      <w:szCs w:val="22"/>
                      <w:lang w:val="sr-Latn-ME" w:eastAsia="en-US"/>
                    </w:rPr>
                    <w:t>, holestatski hepatitis*, holestaza*</w:t>
                  </w:r>
                </w:p>
              </w:tc>
            </w:tr>
            <w:tr w:rsidR="00755F6B" w:rsidRPr="00AB41EE" w:rsidTr="00AB41EE">
              <w:trPr>
                <w:trHeight w:val="371"/>
              </w:trPr>
              <w:tc>
                <w:tcPr>
                  <w:tcW w:w="4178" w:type="dxa"/>
                  <w:vMerge w:val="restart"/>
                </w:tcPr>
                <w:p w:rsidR="00755F6B" w:rsidRPr="00AB41EE" w:rsidRDefault="00755F6B" w:rsidP="006E1FE0">
                  <w:pPr>
                    <w:spacing w:after="120"/>
                    <w:rPr>
                      <w:sz w:val="22"/>
                      <w:szCs w:val="22"/>
                      <w:lang w:val="sr-Latn-ME" w:eastAsia="en-US"/>
                    </w:rPr>
                  </w:pPr>
                  <w:r w:rsidRPr="00AB41EE">
                    <w:rPr>
                      <w:sz w:val="22"/>
                      <w:szCs w:val="22"/>
                      <w:lang w:val="sr-Latn-ME" w:eastAsia="en-US"/>
                    </w:rPr>
                    <w:t>Poremećaji na nivou kože i potkožnog tkiva</w:t>
                  </w: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Česta</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Purpura*</w:t>
                  </w:r>
                  <w:r w:rsidRPr="00AB41EE">
                    <w:rPr>
                      <w:sz w:val="22"/>
                      <w:szCs w:val="22"/>
                      <w:vertAlign w:val="superscript"/>
                      <w:lang w:val="sr-Latn-ME" w:eastAsia="en-US"/>
                    </w:rPr>
                    <w:t>†</w:t>
                  </w:r>
                  <w:r w:rsidRPr="00AB41EE">
                    <w:rPr>
                      <w:sz w:val="22"/>
                      <w:szCs w:val="22"/>
                      <w:lang w:val="sr-Latn-ME" w:eastAsia="en-US"/>
                    </w:rPr>
                    <w:t>, pruritus</w:t>
                  </w:r>
                </w:p>
              </w:tc>
            </w:tr>
            <w:tr w:rsidR="00755F6B" w:rsidRPr="00AB41EE" w:rsidTr="00AB41EE">
              <w:trPr>
                <w:trHeight w:val="137"/>
              </w:trPr>
              <w:tc>
                <w:tcPr>
                  <w:tcW w:w="4178" w:type="dxa"/>
                  <w:vMerge/>
                </w:tcPr>
                <w:p w:rsidR="00755F6B" w:rsidRPr="00AB41EE" w:rsidRDefault="00755F6B" w:rsidP="006E1FE0">
                  <w:pPr>
                    <w:spacing w:after="120"/>
                    <w:rPr>
                      <w:sz w:val="22"/>
                      <w:szCs w:val="22"/>
                      <w:lang w:val="sr-Latn-ME" w:eastAsia="en-US"/>
                    </w:rPr>
                  </w:pP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Povremena</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Alopecija, urtikarija</w:t>
                  </w:r>
                </w:p>
              </w:tc>
            </w:tr>
            <w:tr w:rsidR="00755F6B" w:rsidRPr="00AB41EE" w:rsidTr="00AB41EE">
              <w:trPr>
                <w:trHeight w:val="137"/>
              </w:trPr>
              <w:tc>
                <w:tcPr>
                  <w:tcW w:w="4178" w:type="dxa"/>
                  <w:vMerge/>
                </w:tcPr>
                <w:p w:rsidR="00755F6B" w:rsidRPr="00AB41EE" w:rsidRDefault="00755F6B" w:rsidP="006E1FE0">
                  <w:pPr>
                    <w:spacing w:after="120"/>
                    <w:rPr>
                      <w:sz w:val="22"/>
                      <w:szCs w:val="22"/>
                      <w:lang w:val="sr-Latn-ME" w:eastAsia="en-US"/>
                    </w:rPr>
                  </w:pP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 xml:space="preserve">Veoma rijetka </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Toksična epidermalna nekroliza</w:t>
                  </w:r>
                </w:p>
              </w:tc>
            </w:tr>
            <w:tr w:rsidR="00755F6B" w:rsidRPr="00AB41EE" w:rsidTr="00AB41EE">
              <w:trPr>
                <w:trHeight w:val="137"/>
              </w:trPr>
              <w:tc>
                <w:tcPr>
                  <w:tcW w:w="4178" w:type="dxa"/>
                  <w:vMerge/>
                </w:tcPr>
                <w:p w:rsidR="00755F6B" w:rsidRPr="00AB41EE" w:rsidRDefault="00755F6B" w:rsidP="006E1FE0">
                  <w:pPr>
                    <w:spacing w:after="120"/>
                    <w:rPr>
                      <w:sz w:val="22"/>
                      <w:szCs w:val="22"/>
                      <w:lang w:val="sr-Latn-ME" w:eastAsia="en-US"/>
                    </w:rPr>
                  </w:pP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Nepoznata</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Ospa izazvana lijekom sa eozinofilijom i sistemskim simptomima (DRESS)*</w:t>
                  </w:r>
                  <w:r w:rsidRPr="00AB41EE">
                    <w:rPr>
                      <w:sz w:val="22"/>
                      <w:szCs w:val="22"/>
                      <w:vertAlign w:val="superscript"/>
                      <w:lang w:val="sr-Latn-ME" w:eastAsia="en-US"/>
                    </w:rPr>
                    <w:t xml:space="preserve">†, </w:t>
                  </w:r>
                  <w:r w:rsidRPr="00AB41EE">
                    <w:rPr>
                      <w:sz w:val="22"/>
                      <w:szCs w:val="22"/>
                      <w:lang w:val="sr-Latn-ME" w:eastAsia="en-US"/>
                    </w:rPr>
                    <w:t>epidermalna nekroliza (Lyell-ov sindrom)†, Stevens-Johnson</w:t>
                  </w:r>
                  <w:r w:rsidRPr="00AB41EE">
                    <w:rPr>
                      <w:i/>
                      <w:sz w:val="22"/>
                      <w:szCs w:val="22"/>
                      <w:lang w:val="sr-Latn-ME" w:eastAsia="en-US"/>
                    </w:rPr>
                    <w:t>-</w:t>
                  </w:r>
                  <w:r w:rsidRPr="00AB41EE">
                    <w:rPr>
                      <w:sz w:val="22"/>
                      <w:szCs w:val="22"/>
                      <w:lang w:val="sr-Latn-ME" w:eastAsia="en-US"/>
                    </w:rPr>
                    <w:t>ov sindrom†, egzantem, eksfolijativni dermatitis†, angioedem</w:t>
                  </w:r>
                  <w:r w:rsidRPr="00AB41EE">
                    <w:rPr>
                      <w:sz w:val="22"/>
                      <w:szCs w:val="22"/>
                      <w:vertAlign w:val="superscript"/>
                      <w:lang w:val="sr-Latn-ME" w:eastAsia="en-US"/>
                    </w:rPr>
                    <w:t>*</w:t>
                  </w:r>
                  <w:r w:rsidRPr="00AB41EE">
                    <w:rPr>
                      <w:sz w:val="22"/>
                      <w:szCs w:val="22"/>
                      <w:lang w:val="sr-Latn-ME" w:eastAsia="en-US"/>
                    </w:rPr>
                    <w:t xml:space="preserve">, toksična pustuloderma, lihen planus, fotosenzitivnost, eritem, periorbitalni edem </w:t>
                  </w:r>
                </w:p>
              </w:tc>
            </w:tr>
            <w:tr w:rsidR="00755F6B" w:rsidRPr="00AB41EE" w:rsidTr="00AB41EE">
              <w:trPr>
                <w:trHeight w:val="371"/>
              </w:trPr>
              <w:tc>
                <w:tcPr>
                  <w:tcW w:w="4178" w:type="dxa"/>
                  <w:vMerge w:val="restart"/>
                </w:tcPr>
                <w:p w:rsidR="00755F6B" w:rsidRPr="00AB41EE" w:rsidRDefault="00755F6B" w:rsidP="006E1FE0">
                  <w:pPr>
                    <w:spacing w:after="120"/>
                    <w:rPr>
                      <w:sz w:val="22"/>
                      <w:szCs w:val="22"/>
                      <w:lang w:val="sr-Latn-ME" w:eastAsia="en-US"/>
                    </w:rPr>
                  </w:pPr>
                  <w:r w:rsidRPr="00AB41EE">
                    <w:rPr>
                      <w:sz w:val="22"/>
                      <w:szCs w:val="22"/>
                      <w:lang w:val="sr-Latn-ME" w:eastAsia="en-US"/>
                    </w:rPr>
                    <w:t xml:space="preserve">Poremećaji mišićno-koštanog i vezivnog tkiva </w:t>
                  </w: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Česta</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Artralgija</w:t>
                  </w:r>
                </w:p>
              </w:tc>
            </w:tr>
            <w:tr w:rsidR="00755F6B" w:rsidRPr="00AB41EE" w:rsidTr="00AB41EE">
              <w:trPr>
                <w:trHeight w:val="137"/>
              </w:trPr>
              <w:tc>
                <w:tcPr>
                  <w:tcW w:w="4178" w:type="dxa"/>
                  <w:vMerge/>
                </w:tcPr>
                <w:p w:rsidR="00755F6B" w:rsidRPr="00AB41EE" w:rsidRDefault="00755F6B" w:rsidP="006E1FE0">
                  <w:pPr>
                    <w:spacing w:after="120"/>
                    <w:rPr>
                      <w:sz w:val="22"/>
                      <w:szCs w:val="22"/>
                      <w:lang w:val="sr-Latn-ME" w:eastAsia="en-US"/>
                    </w:rPr>
                  </w:pP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Nepoznata</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 xml:space="preserve">Sistemski lupus eritematozus, </w:t>
                  </w:r>
                  <w:r w:rsidRPr="00AB41EE">
                    <w:rPr>
                      <w:i/>
                      <w:sz w:val="22"/>
                      <w:szCs w:val="22"/>
                      <w:lang w:val="sr-Latn-ME" w:eastAsia="en-US"/>
                    </w:rPr>
                    <w:t>Sjogren-</w:t>
                  </w:r>
                  <w:r w:rsidRPr="00AB41EE">
                    <w:rPr>
                      <w:sz w:val="22"/>
                      <w:szCs w:val="22"/>
                      <w:lang w:val="sr-Latn-ME" w:eastAsia="en-US"/>
                    </w:rPr>
                    <w:t>ov sindrom</w:t>
                  </w:r>
                </w:p>
              </w:tc>
            </w:tr>
            <w:tr w:rsidR="00755F6B" w:rsidRPr="00AB41EE" w:rsidTr="00AB41EE">
              <w:trPr>
                <w:trHeight w:val="371"/>
              </w:trPr>
              <w:tc>
                <w:tcPr>
                  <w:tcW w:w="4178" w:type="dxa"/>
                  <w:vMerge w:val="restart"/>
                </w:tcPr>
                <w:p w:rsidR="00755F6B" w:rsidRPr="00AB41EE" w:rsidRDefault="00755F6B" w:rsidP="006E1FE0">
                  <w:pPr>
                    <w:tabs>
                      <w:tab w:val="center" w:pos="4320"/>
                      <w:tab w:val="right" w:pos="8640"/>
                    </w:tabs>
                    <w:rPr>
                      <w:sz w:val="22"/>
                      <w:szCs w:val="22"/>
                      <w:lang w:val="sr-Latn-ME" w:eastAsia="en-US"/>
                    </w:rPr>
                  </w:pPr>
                  <w:r w:rsidRPr="00AB41EE">
                    <w:rPr>
                      <w:sz w:val="22"/>
                      <w:szCs w:val="22"/>
                      <w:lang w:val="sr-Latn-ME" w:eastAsia="en-US"/>
                    </w:rPr>
                    <w:t>Poremećaji na nivou bubrega i urinarnog sistema</w:t>
                  </w:r>
                </w:p>
                <w:p w:rsidR="00755F6B" w:rsidRPr="00AB41EE" w:rsidRDefault="00755F6B" w:rsidP="006E1FE0">
                  <w:pPr>
                    <w:spacing w:after="120"/>
                    <w:rPr>
                      <w:sz w:val="22"/>
                      <w:szCs w:val="22"/>
                      <w:lang w:val="sr-Latn-ME" w:eastAsia="en-US"/>
                    </w:rPr>
                  </w:pP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 xml:space="preserve">Česta </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Proteinurija</w:t>
                  </w:r>
                </w:p>
              </w:tc>
            </w:tr>
            <w:tr w:rsidR="00755F6B" w:rsidRPr="00AB41EE" w:rsidTr="00AB41EE">
              <w:trPr>
                <w:trHeight w:val="137"/>
              </w:trPr>
              <w:tc>
                <w:tcPr>
                  <w:tcW w:w="4178" w:type="dxa"/>
                  <w:vMerge/>
                </w:tcPr>
                <w:p w:rsidR="00755F6B" w:rsidRPr="00AB41EE" w:rsidRDefault="00755F6B" w:rsidP="006E1FE0">
                  <w:pPr>
                    <w:spacing w:after="120"/>
                    <w:rPr>
                      <w:sz w:val="22"/>
                      <w:szCs w:val="22"/>
                      <w:lang w:val="sr-Latn-ME" w:eastAsia="en-US"/>
                    </w:rPr>
                  </w:pP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Nepoznata</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Nefrotski sindrom, intersticijalni nefritis, nefrolitijaza*, kristalurija†, hematurija</w:t>
                  </w:r>
                </w:p>
              </w:tc>
            </w:tr>
            <w:tr w:rsidR="00755F6B" w:rsidRPr="00AB41EE" w:rsidTr="00AB41EE">
              <w:trPr>
                <w:trHeight w:val="629"/>
              </w:trPr>
              <w:tc>
                <w:tcPr>
                  <w:tcW w:w="4178" w:type="dxa"/>
                </w:tcPr>
                <w:p w:rsidR="00755F6B" w:rsidRPr="00AB41EE" w:rsidRDefault="00755F6B" w:rsidP="006E1FE0">
                  <w:pPr>
                    <w:spacing w:after="120"/>
                    <w:rPr>
                      <w:sz w:val="22"/>
                      <w:szCs w:val="22"/>
                      <w:lang w:val="sr-Latn-ME" w:eastAsia="en-US"/>
                    </w:rPr>
                  </w:pPr>
                  <w:r w:rsidRPr="00AB41EE">
                    <w:rPr>
                      <w:sz w:val="22"/>
                      <w:szCs w:val="22"/>
                      <w:lang w:val="sr-Latn-ME" w:eastAsia="en-US"/>
                    </w:rPr>
                    <w:t>Poremećaji reproduktivnog sistema i dojki</w:t>
                  </w: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Nepoznata</w:t>
                  </w:r>
                </w:p>
              </w:tc>
              <w:tc>
                <w:tcPr>
                  <w:tcW w:w="3846" w:type="dxa"/>
                </w:tcPr>
                <w:p w:rsidR="00755F6B" w:rsidRPr="00AB41EE" w:rsidRDefault="00755F6B" w:rsidP="006E1FE0">
                  <w:pPr>
                    <w:spacing w:after="120"/>
                    <w:rPr>
                      <w:sz w:val="22"/>
                      <w:szCs w:val="22"/>
                      <w:vertAlign w:val="superscript"/>
                      <w:lang w:val="sr-Latn-ME" w:eastAsia="en-US"/>
                    </w:rPr>
                  </w:pPr>
                  <w:r w:rsidRPr="00AB41EE">
                    <w:rPr>
                      <w:sz w:val="22"/>
                      <w:szCs w:val="22"/>
                      <w:lang w:val="sr-Latn-ME" w:eastAsia="en-US"/>
                    </w:rPr>
                    <w:t>Reverzibilna oligospermija†</w:t>
                  </w:r>
                </w:p>
              </w:tc>
            </w:tr>
            <w:tr w:rsidR="00755F6B" w:rsidRPr="00AB41EE" w:rsidTr="00AB41EE">
              <w:trPr>
                <w:trHeight w:val="371"/>
              </w:trPr>
              <w:tc>
                <w:tcPr>
                  <w:tcW w:w="4178" w:type="dxa"/>
                  <w:vMerge w:val="restart"/>
                </w:tcPr>
                <w:p w:rsidR="00755F6B" w:rsidRPr="00AB41EE" w:rsidRDefault="00755F6B" w:rsidP="006E1FE0">
                  <w:pPr>
                    <w:spacing w:after="120"/>
                    <w:rPr>
                      <w:sz w:val="22"/>
                      <w:szCs w:val="22"/>
                      <w:lang w:val="sr-Latn-ME" w:eastAsia="en-US"/>
                    </w:rPr>
                  </w:pPr>
                  <w:r w:rsidRPr="00AB41EE">
                    <w:rPr>
                      <w:sz w:val="22"/>
                      <w:szCs w:val="22"/>
                      <w:lang w:val="sr-Latn-ME" w:eastAsia="en-US"/>
                    </w:rPr>
                    <w:t>Opšti poremećaji i reakcije na mjestu primjene</w:t>
                  </w: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Česta</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Groznica†</w:t>
                  </w:r>
                </w:p>
              </w:tc>
            </w:tr>
            <w:tr w:rsidR="00755F6B" w:rsidRPr="00AB41EE" w:rsidTr="00AB41EE">
              <w:trPr>
                <w:trHeight w:val="137"/>
              </w:trPr>
              <w:tc>
                <w:tcPr>
                  <w:tcW w:w="4178" w:type="dxa"/>
                  <w:vMerge/>
                </w:tcPr>
                <w:p w:rsidR="00755F6B" w:rsidRPr="00AB41EE" w:rsidRDefault="00755F6B" w:rsidP="006E1FE0">
                  <w:pPr>
                    <w:spacing w:after="120"/>
                    <w:rPr>
                      <w:sz w:val="22"/>
                      <w:szCs w:val="22"/>
                      <w:lang w:val="sr-Latn-ME" w:eastAsia="en-US"/>
                    </w:rPr>
                  </w:pP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Povremena</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Edem lica</w:t>
                  </w:r>
                </w:p>
              </w:tc>
            </w:tr>
            <w:tr w:rsidR="00755F6B" w:rsidRPr="00AB41EE" w:rsidTr="00AB41EE">
              <w:trPr>
                <w:trHeight w:val="137"/>
              </w:trPr>
              <w:tc>
                <w:tcPr>
                  <w:tcW w:w="4178" w:type="dxa"/>
                  <w:vMerge/>
                </w:tcPr>
                <w:p w:rsidR="00755F6B" w:rsidRPr="00AB41EE" w:rsidRDefault="00755F6B" w:rsidP="006E1FE0">
                  <w:pPr>
                    <w:spacing w:after="120"/>
                    <w:rPr>
                      <w:sz w:val="22"/>
                      <w:szCs w:val="22"/>
                      <w:lang w:val="sr-Latn-ME" w:eastAsia="en-US"/>
                    </w:rPr>
                  </w:pP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 xml:space="preserve">Nepoznata </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Žuta prebojenost kože i tjelesnih tečnosti*, groznica, generalizovane erupcije po koži</w:t>
                  </w:r>
                </w:p>
              </w:tc>
            </w:tr>
            <w:tr w:rsidR="00755F6B" w:rsidRPr="00AB41EE" w:rsidTr="00AB41EE">
              <w:trPr>
                <w:trHeight w:val="137"/>
              </w:trPr>
              <w:tc>
                <w:tcPr>
                  <w:tcW w:w="4178" w:type="dxa"/>
                  <w:vMerge w:val="restart"/>
                </w:tcPr>
                <w:p w:rsidR="00755F6B" w:rsidRPr="00AB41EE" w:rsidRDefault="00755F6B" w:rsidP="006E1FE0">
                  <w:pPr>
                    <w:spacing w:after="120"/>
                    <w:rPr>
                      <w:sz w:val="22"/>
                      <w:szCs w:val="22"/>
                      <w:lang w:val="sr-Latn-ME" w:eastAsia="en-US"/>
                    </w:rPr>
                  </w:pPr>
                  <w:r w:rsidRPr="00AB41EE">
                    <w:rPr>
                      <w:sz w:val="22"/>
                      <w:szCs w:val="22"/>
                      <w:lang w:val="sr-Latn-ME" w:eastAsia="en-US"/>
                    </w:rPr>
                    <w:t xml:space="preserve">Ispitivanja </w:t>
                  </w: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Povremena</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Povećane vrijednosti enzima jetre</w:t>
                  </w:r>
                </w:p>
              </w:tc>
            </w:tr>
            <w:tr w:rsidR="00755F6B" w:rsidRPr="00AB41EE" w:rsidTr="00AB41EE">
              <w:trPr>
                <w:trHeight w:val="137"/>
              </w:trPr>
              <w:tc>
                <w:tcPr>
                  <w:tcW w:w="4178" w:type="dxa"/>
                  <w:vMerge/>
                </w:tcPr>
                <w:p w:rsidR="00755F6B" w:rsidRPr="00AB41EE" w:rsidRDefault="00755F6B" w:rsidP="006E1FE0">
                  <w:pPr>
                    <w:spacing w:after="120"/>
                    <w:rPr>
                      <w:sz w:val="22"/>
                      <w:szCs w:val="22"/>
                      <w:lang w:val="sr-Latn-ME" w:eastAsia="en-US"/>
                    </w:rPr>
                  </w:pPr>
                </w:p>
              </w:tc>
              <w:tc>
                <w:tcPr>
                  <w:tcW w:w="1843" w:type="dxa"/>
                </w:tcPr>
                <w:p w:rsidR="00755F6B" w:rsidRPr="00AB41EE" w:rsidRDefault="00755F6B" w:rsidP="006E1FE0">
                  <w:pPr>
                    <w:spacing w:after="120"/>
                    <w:rPr>
                      <w:sz w:val="22"/>
                      <w:szCs w:val="22"/>
                      <w:lang w:val="sr-Latn-ME" w:eastAsia="en-US"/>
                    </w:rPr>
                  </w:pPr>
                  <w:r w:rsidRPr="00AB41EE">
                    <w:rPr>
                      <w:sz w:val="22"/>
                      <w:szCs w:val="22"/>
                      <w:lang w:val="sr-Latn-ME" w:eastAsia="en-US"/>
                    </w:rPr>
                    <w:t>Nepoznata</w:t>
                  </w:r>
                </w:p>
              </w:tc>
              <w:tc>
                <w:tcPr>
                  <w:tcW w:w="3846" w:type="dxa"/>
                </w:tcPr>
                <w:p w:rsidR="00755F6B" w:rsidRPr="00AB41EE" w:rsidRDefault="00755F6B" w:rsidP="006E1FE0">
                  <w:pPr>
                    <w:spacing w:after="120"/>
                    <w:rPr>
                      <w:sz w:val="22"/>
                      <w:szCs w:val="22"/>
                      <w:lang w:val="sr-Latn-ME" w:eastAsia="en-US"/>
                    </w:rPr>
                  </w:pPr>
                  <w:r w:rsidRPr="00AB41EE">
                    <w:rPr>
                      <w:sz w:val="22"/>
                      <w:szCs w:val="22"/>
                      <w:lang w:val="sr-Latn-ME" w:eastAsia="en-US"/>
                    </w:rPr>
                    <w:t>Indukcija autoantitijela</w:t>
                  </w:r>
                </w:p>
              </w:tc>
            </w:tr>
            <w:tr w:rsidR="00755F6B" w:rsidRPr="00AB41EE" w:rsidTr="00787486">
              <w:trPr>
                <w:trHeight w:val="1400"/>
              </w:trPr>
              <w:tc>
                <w:tcPr>
                  <w:tcW w:w="9867" w:type="dxa"/>
                  <w:gridSpan w:val="3"/>
                </w:tcPr>
                <w:p w:rsidR="00755F6B" w:rsidRPr="00AB41EE" w:rsidRDefault="00755F6B" w:rsidP="006E1FE0">
                  <w:pPr>
                    <w:tabs>
                      <w:tab w:val="left" w:pos="540"/>
                      <w:tab w:val="left" w:pos="569"/>
                    </w:tabs>
                    <w:rPr>
                      <w:sz w:val="22"/>
                      <w:szCs w:val="22"/>
                      <w:lang w:val="sr-Latn-ME" w:eastAsia="en-US"/>
                    </w:rPr>
                  </w:pPr>
                  <w:r w:rsidRPr="00AB41EE">
                    <w:rPr>
                      <w:sz w:val="22"/>
                      <w:szCs w:val="22"/>
                      <w:lang w:val="sr-Latn-ME" w:eastAsia="en-US"/>
                    </w:rPr>
                    <w:t xml:space="preserve">Učestalost je definisana kao: veoma česta (≥ 1/10); česta (≥ 1/100 do &lt; 1/10); povremena (≥ 1/1 000 do &lt; 1/100); rijetka (≥ 1/10 000 do &lt; 1/1 000); veoma rijetka (&lt; 1/10 000), nepoznata (ne može se procijeniti iz dostupnih podataka). </w:t>
                  </w:r>
                </w:p>
                <w:p w:rsidR="00755F6B" w:rsidRPr="00AB41EE" w:rsidRDefault="00755F6B" w:rsidP="006E1FE0">
                  <w:pPr>
                    <w:tabs>
                      <w:tab w:val="left" w:pos="284"/>
                      <w:tab w:val="center" w:pos="4320"/>
                      <w:tab w:val="right" w:pos="8640"/>
                    </w:tabs>
                    <w:spacing w:before="80" w:after="80"/>
                    <w:rPr>
                      <w:sz w:val="22"/>
                      <w:szCs w:val="22"/>
                      <w:lang w:val="sr-Latn-ME" w:eastAsia="en-US"/>
                    </w:rPr>
                  </w:pPr>
                  <w:r w:rsidRPr="00AB41EE">
                    <w:rPr>
                      <w:sz w:val="22"/>
                      <w:szCs w:val="22"/>
                      <w:lang w:val="sr-Latn-ME" w:eastAsia="en-US"/>
                    </w:rPr>
                    <w:t>*Neželjena dejstva prijavljena u postmarketinškom periodu</w:t>
                  </w:r>
                </w:p>
                <w:p w:rsidR="00755F6B" w:rsidRPr="00AB41EE" w:rsidRDefault="00755F6B" w:rsidP="006E1FE0">
                  <w:pPr>
                    <w:spacing w:after="120"/>
                    <w:rPr>
                      <w:sz w:val="22"/>
                      <w:szCs w:val="22"/>
                      <w:lang w:val="sr-Latn-ME" w:eastAsia="en-US"/>
                    </w:rPr>
                  </w:pPr>
                  <w:r w:rsidRPr="00AB41EE">
                    <w:rPr>
                      <w:sz w:val="22"/>
                      <w:szCs w:val="22"/>
                      <w:lang w:val="sr-Latn-ME" w:eastAsia="en-US"/>
                    </w:rPr>
                    <w:t>†Vidjeti odjeljak 4.4 Posebna upozorenja i mjere opreza pri upotrebi lijeka</w:t>
                  </w:r>
                </w:p>
              </w:tc>
            </w:tr>
          </w:tbl>
          <w:p w:rsidR="00755F6B" w:rsidRPr="00AB41EE" w:rsidRDefault="00755F6B" w:rsidP="006E1FE0">
            <w:pPr>
              <w:tabs>
                <w:tab w:val="left" w:pos="284"/>
                <w:tab w:val="center" w:pos="4320"/>
                <w:tab w:val="right" w:pos="8640"/>
              </w:tabs>
              <w:spacing w:before="80" w:after="80"/>
              <w:rPr>
                <w:b/>
                <w:bCs/>
                <w:sz w:val="22"/>
                <w:szCs w:val="22"/>
                <w:lang w:val="sr-Latn-ME" w:eastAsia="en-US"/>
              </w:rPr>
            </w:pPr>
          </w:p>
          <w:p w:rsidR="00755F6B" w:rsidRPr="00AB41EE" w:rsidRDefault="00755F6B" w:rsidP="006E1FE0">
            <w:pPr>
              <w:tabs>
                <w:tab w:val="left" w:pos="284"/>
                <w:tab w:val="center" w:pos="4320"/>
                <w:tab w:val="right" w:pos="8640"/>
              </w:tabs>
              <w:spacing w:before="80" w:after="80"/>
              <w:rPr>
                <w:b/>
                <w:bCs/>
                <w:sz w:val="22"/>
                <w:szCs w:val="22"/>
                <w:lang w:val="sr-Latn-ME" w:eastAsia="en-US"/>
              </w:rPr>
            </w:pPr>
          </w:p>
        </w:tc>
      </w:tr>
    </w:tbl>
    <w:p w:rsidR="00755F6B" w:rsidRPr="00AB41EE" w:rsidRDefault="00755F6B" w:rsidP="00755F6B">
      <w:pPr>
        <w:spacing w:before="60"/>
        <w:rPr>
          <w:sz w:val="22"/>
          <w:szCs w:val="22"/>
          <w:u w:val="single"/>
          <w:lang w:val="sr-Latn-ME" w:eastAsia="en-US"/>
        </w:rPr>
      </w:pPr>
      <w:r w:rsidRPr="00AB41EE">
        <w:rPr>
          <w:sz w:val="22"/>
          <w:szCs w:val="22"/>
          <w:u w:val="single"/>
          <w:lang w:val="sr-Latn-ME" w:eastAsia="en-US"/>
        </w:rPr>
        <w:lastRenderedPageBreak/>
        <w:t>Prijavljivanje sumnji na neželjena dejstva</w:t>
      </w:r>
    </w:p>
    <w:p w:rsidR="00755F6B" w:rsidRPr="00AB41EE" w:rsidRDefault="00755F6B" w:rsidP="00755F6B">
      <w:pPr>
        <w:spacing w:before="60"/>
        <w:jc w:val="both"/>
        <w:rPr>
          <w:sz w:val="22"/>
          <w:szCs w:val="22"/>
          <w:lang w:val="sr-Latn-ME" w:eastAsia="en-US"/>
        </w:rPr>
      </w:pPr>
      <w:r w:rsidRPr="00AB41EE">
        <w:rPr>
          <w:sz w:val="22"/>
          <w:szCs w:val="22"/>
          <w:lang w:val="sr-Latn-ME" w:eastAsia="en-US"/>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755F6B" w:rsidRPr="00AB41EE" w:rsidRDefault="00755F6B" w:rsidP="00755F6B">
      <w:pPr>
        <w:spacing w:before="60" w:after="120"/>
        <w:rPr>
          <w:sz w:val="22"/>
          <w:szCs w:val="22"/>
          <w:lang w:val="sr-Latn-ME" w:eastAsia="en-US"/>
        </w:rPr>
      </w:pPr>
      <w:r w:rsidRPr="00AB41EE">
        <w:rPr>
          <w:sz w:val="22"/>
          <w:szCs w:val="22"/>
          <w:lang w:val="sr-Latn-ME" w:eastAsia="en-US"/>
        </w:rPr>
        <w:t>Agencija za ljekove i medicinska sredstva Crne Gore</w:t>
      </w:r>
    </w:p>
    <w:p w:rsidR="00755F6B" w:rsidRPr="00AB41EE" w:rsidRDefault="00755F6B" w:rsidP="00755F6B">
      <w:pPr>
        <w:spacing w:before="60" w:after="120"/>
        <w:rPr>
          <w:sz w:val="22"/>
          <w:szCs w:val="22"/>
          <w:lang w:val="sr-Latn-ME" w:eastAsia="en-US"/>
        </w:rPr>
      </w:pPr>
      <w:r w:rsidRPr="00AB41EE">
        <w:rPr>
          <w:sz w:val="22"/>
          <w:szCs w:val="22"/>
          <w:lang w:val="sr-Latn-ME" w:eastAsia="en-US"/>
        </w:rPr>
        <w:t>Odjeljenje za farmakovigilancu</w:t>
      </w:r>
    </w:p>
    <w:p w:rsidR="00755F6B" w:rsidRPr="00AB41EE" w:rsidRDefault="00755F6B" w:rsidP="00755F6B">
      <w:pPr>
        <w:spacing w:before="60" w:after="120"/>
        <w:rPr>
          <w:sz w:val="22"/>
          <w:szCs w:val="22"/>
          <w:lang w:val="sr-Latn-ME" w:eastAsia="en-US"/>
        </w:rPr>
      </w:pPr>
      <w:r w:rsidRPr="00AB41EE">
        <w:rPr>
          <w:sz w:val="22"/>
          <w:szCs w:val="22"/>
          <w:lang w:val="sr-Latn-ME" w:eastAsia="en-US"/>
        </w:rPr>
        <w:t>Bulevar Ivana Crnojevića 64a, 81000 Podgorica</w:t>
      </w:r>
    </w:p>
    <w:p w:rsidR="00755F6B" w:rsidRPr="00AB41EE" w:rsidRDefault="00755F6B" w:rsidP="00755F6B">
      <w:pPr>
        <w:spacing w:before="60" w:after="120"/>
        <w:rPr>
          <w:sz w:val="22"/>
          <w:szCs w:val="22"/>
          <w:lang w:val="sr-Latn-ME" w:eastAsia="en-US"/>
        </w:rPr>
      </w:pPr>
      <w:r w:rsidRPr="00AB41EE">
        <w:rPr>
          <w:sz w:val="22"/>
          <w:szCs w:val="22"/>
          <w:lang w:val="sr-Latn-ME" w:eastAsia="en-US"/>
        </w:rPr>
        <w:t>tel: +382 (0) 20 310 280</w:t>
      </w:r>
    </w:p>
    <w:p w:rsidR="00755F6B" w:rsidRPr="00AB41EE" w:rsidRDefault="00755F6B" w:rsidP="00755F6B">
      <w:pPr>
        <w:spacing w:before="60" w:after="120"/>
        <w:rPr>
          <w:sz w:val="22"/>
          <w:szCs w:val="22"/>
          <w:lang w:val="sr-Latn-ME" w:eastAsia="en-US"/>
        </w:rPr>
      </w:pPr>
      <w:r w:rsidRPr="00AB41EE">
        <w:rPr>
          <w:sz w:val="22"/>
          <w:szCs w:val="22"/>
          <w:lang w:val="sr-Latn-ME" w:eastAsia="en-US"/>
        </w:rPr>
        <w:t>fax:+382 (0) 20 310 581</w:t>
      </w:r>
    </w:p>
    <w:p w:rsidR="00755F6B" w:rsidRPr="00AB41EE" w:rsidRDefault="004F6EB4" w:rsidP="00755F6B">
      <w:pPr>
        <w:spacing w:before="60" w:after="120"/>
        <w:rPr>
          <w:sz w:val="22"/>
          <w:szCs w:val="22"/>
          <w:lang w:val="sr-Latn-ME" w:eastAsia="en-US"/>
        </w:rPr>
      </w:pPr>
      <w:hyperlink r:id="rId10" w:history="1">
        <w:r w:rsidR="00755F6B" w:rsidRPr="00AB41EE">
          <w:rPr>
            <w:sz w:val="22"/>
            <w:szCs w:val="22"/>
            <w:lang w:val="sr-Latn-ME" w:eastAsia="en-US"/>
          </w:rPr>
          <w:t>www.calims.me</w:t>
        </w:r>
      </w:hyperlink>
    </w:p>
    <w:p w:rsidR="00755F6B" w:rsidRPr="00AB41EE" w:rsidRDefault="004F6EB4" w:rsidP="00755F6B">
      <w:pPr>
        <w:spacing w:before="60" w:after="120"/>
        <w:rPr>
          <w:sz w:val="22"/>
          <w:szCs w:val="22"/>
          <w:lang w:val="sr-Latn-ME" w:eastAsia="en-US"/>
        </w:rPr>
      </w:pPr>
      <w:hyperlink r:id="rId11" w:history="1">
        <w:r w:rsidR="00755F6B" w:rsidRPr="00AB41EE">
          <w:rPr>
            <w:sz w:val="22"/>
            <w:szCs w:val="22"/>
            <w:lang w:val="sr-Latn-ME" w:eastAsia="en-US"/>
          </w:rPr>
          <w:t>nezeljenadejstva@calims.me</w:t>
        </w:r>
      </w:hyperlink>
    </w:p>
    <w:p w:rsidR="00755F6B" w:rsidRPr="00AB41EE" w:rsidRDefault="00755F6B" w:rsidP="00755F6B">
      <w:pPr>
        <w:rPr>
          <w:sz w:val="22"/>
          <w:szCs w:val="22"/>
          <w:lang w:val="sr-Latn-ME" w:eastAsia="en-US"/>
        </w:rPr>
      </w:pPr>
      <w:r w:rsidRPr="00AB41EE">
        <w:rPr>
          <w:sz w:val="22"/>
          <w:szCs w:val="22"/>
          <w:lang w:val="sr-Latn-ME" w:eastAsia="en-US"/>
        </w:rPr>
        <w:t>putem IS zdravstvene zaštite</w:t>
      </w:r>
    </w:p>
    <w:p w:rsidR="00755F6B" w:rsidRPr="00AB41EE" w:rsidRDefault="00755F6B" w:rsidP="00755F6B">
      <w:pPr>
        <w:rPr>
          <w:sz w:val="22"/>
          <w:szCs w:val="22"/>
          <w:lang w:val="sr-Latn-ME" w:eastAsia="en-US"/>
        </w:rPr>
      </w:pPr>
    </w:p>
    <w:tbl>
      <w:tblPr>
        <w:tblW w:w="10260" w:type="dxa"/>
        <w:tblInd w:w="-72" w:type="dxa"/>
        <w:tblLayout w:type="fixed"/>
        <w:tblLook w:val="0000" w:firstRow="0" w:lastRow="0" w:firstColumn="0" w:lastColumn="0" w:noHBand="0" w:noVBand="0"/>
      </w:tblPr>
      <w:tblGrid>
        <w:gridCol w:w="1260"/>
        <w:gridCol w:w="1620"/>
        <w:gridCol w:w="7380"/>
      </w:tblGrid>
      <w:tr w:rsidR="00755F6B" w:rsidRPr="00AB41EE" w:rsidTr="006E1FE0">
        <w:trPr>
          <w:cantSplit/>
          <w:trHeight w:val="446"/>
        </w:trPr>
        <w:tc>
          <w:tcPr>
            <w:tcW w:w="10260" w:type="dxa"/>
            <w:gridSpan w:val="3"/>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4.9. Predoziranje i mjere koje je potrebno preduzeti</w:t>
            </w:r>
          </w:p>
          <w:p w:rsidR="00755F6B" w:rsidRPr="00AB41EE" w:rsidRDefault="00755F6B" w:rsidP="006E1FE0">
            <w:pPr>
              <w:tabs>
                <w:tab w:val="left" w:pos="284"/>
                <w:tab w:val="center" w:pos="4320"/>
                <w:tab w:val="right" w:pos="8640"/>
              </w:tabs>
              <w:rPr>
                <w:b/>
                <w:bCs/>
                <w:sz w:val="22"/>
                <w:szCs w:val="22"/>
                <w:lang w:val="sr-Latn-ME" w:eastAsia="en-US"/>
              </w:rPr>
            </w:pPr>
          </w:p>
          <w:p w:rsidR="00755F6B" w:rsidRPr="00AB41EE" w:rsidRDefault="00755F6B" w:rsidP="006E1FE0">
            <w:pPr>
              <w:tabs>
                <w:tab w:val="left" w:pos="284"/>
                <w:tab w:val="center" w:pos="4320"/>
                <w:tab w:val="right" w:pos="8640"/>
              </w:tabs>
              <w:jc w:val="both"/>
              <w:rPr>
                <w:sz w:val="22"/>
                <w:szCs w:val="22"/>
                <w:lang w:val="sr-Latn-ME" w:eastAsia="en-US"/>
              </w:rPr>
            </w:pPr>
            <w:r w:rsidRPr="00AB41EE">
              <w:rPr>
                <w:sz w:val="22"/>
                <w:szCs w:val="22"/>
                <w:lang w:val="sr-Latn-ME" w:eastAsia="en-US"/>
              </w:rPr>
              <w:t xml:space="preserve">Najčešći simptomi predoziranja, slično drugim sulfonamidima, su mučnina i povraćanje. Pacijenti sa poremećenom funkcijom bubrega su u povećanom riziku od ozbiljne toksičnosti. Liječenje je simptomatsko i terapija treba da bude suportivna, uključujući alkalinizaciju urina. Pacijente treba pratiti zbog mogućnosti razvoja methemoglobinemije ili sulfahemoglobinemije. Ako do toga dođe, liječiti kako je predviđeno za ove bolesti.  </w:t>
            </w:r>
          </w:p>
        </w:tc>
      </w:tr>
      <w:tr w:rsidR="00755F6B" w:rsidRPr="00AB41EE" w:rsidTr="006E1FE0">
        <w:trPr>
          <w:cantSplit/>
          <w:trHeight w:val="505"/>
        </w:trPr>
        <w:tc>
          <w:tcPr>
            <w:tcW w:w="10260" w:type="dxa"/>
            <w:gridSpan w:val="3"/>
            <w:vAlign w:val="center"/>
          </w:tcPr>
          <w:p w:rsidR="00755F6B" w:rsidRPr="00AB41EE" w:rsidRDefault="00755F6B" w:rsidP="006E1FE0">
            <w:pPr>
              <w:tabs>
                <w:tab w:val="left" w:pos="284"/>
                <w:tab w:val="center" w:pos="4320"/>
                <w:tab w:val="right" w:pos="8640"/>
              </w:tabs>
              <w:rPr>
                <w:b/>
                <w:sz w:val="22"/>
                <w:szCs w:val="22"/>
                <w:lang w:val="sr-Latn-ME" w:eastAsia="en-US"/>
              </w:rPr>
            </w:pPr>
          </w:p>
        </w:tc>
      </w:tr>
      <w:tr w:rsidR="00755F6B" w:rsidRPr="00AB41EE" w:rsidTr="006E1FE0">
        <w:trPr>
          <w:cantSplit/>
        </w:trPr>
        <w:tc>
          <w:tcPr>
            <w:tcW w:w="10260" w:type="dxa"/>
            <w:gridSpan w:val="3"/>
            <w:shd w:val="clear" w:color="auto" w:fill="E0E0E0"/>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5. FARMAKOLOŠKI PODACI</w:t>
            </w:r>
          </w:p>
        </w:tc>
      </w:tr>
      <w:tr w:rsidR="00755F6B" w:rsidRPr="00AB41EE" w:rsidTr="006E1FE0">
        <w:trPr>
          <w:cantSplit/>
        </w:trPr>
        <w:tc>
          <w:tcPr>
            <w:tcW w:w="10260" w:type="dxa"/>
            <w:gridSpan w:val="3"/>
            <w:vAlign w:val="center"/>
          </w:tcPr>
          <w:p w:rsidR="00AB41EE" w:rsidRDefault="00AB41EE" w:rsidP="006E1FE0">
            <w:pPr>
              <w:tabs>
                <w:tab w:val="left" w:pos="284"/>
                <w:tab w:val="center" w:pos="4320"/>
                <w:tab w:val="right" w:pos="8640"/>
              </w:tabs>
              <w:spacing w:before="80" w:after="80"/>
              <w:rPr>
                <w:b/>
                <w:bCs/>
                <w:sz w:val="22"/>
                <w:szCs w:val="22"/>
                <w:lang w:val="sr-Latn-ME" w:eastAsia="en-US"/>
              </w:rPr>
            </w:pPr>
          </w:p>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5.1. Farmakodinamski podaci</w:t>
            </w:r>
          </w:p>
        </w:tc>
      </w:tr>
      <w:tr w:rsidR="00755F6B" w:rsidRPr="00AB41EE" w:rsidTr="006E1FE0">
        <w:trPr>
          <w:cantSplit/>
          <w:trHeight w:val="576"/>
        </w:trPr>
        <w:tc>
          <w:tcPr>
            <w:tcW w:w="2880" w:type="dxa"/>
            <w:gridSpan w:val="2"/>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Farmakoterapijska grupa:</w:t>
            </w:r>
          </w:p>
        </w:tc>
        <w:tc>
          <w:tcPr>
            <w:tcW w:w="7380" w:type="dxa"/>
            <w:vAlign w:val="center"/>
          </w:tcPr>
          <w:p w:rsidR="00755F6B" w:rsidRPr="00AB41EE" w:rsidRDefault="00755F6B" w:rsidP="006E1FE0">
            <w:pPr>
              <w:tabs>
                <w:tab w:val="left" w:pos="284"/>
                <w:tab w:val="center" w:pos="4320"/>
                <w:tab w:val="right" w:pos="8640"/>
              </w:tabs>
              <w:rPr>
                <w:sz w:val="22"/>
                <w:szCs w:val="22"/>
                <w:lang w:val="sr-Latn-ME" w:eastAsia="en-US"/>
              </w:rPr>
            </w:pPr>
            <w:r w:rsidRPr="00AB41EE">
              <w:rPr>
                <w:spacing w:val="-3"/>
                <w:sz w:val="22"/>
                <w:szCs w:val="22"/>
                <w:lang w:val="sr-Latn-ME" w:eastAsia="en-US"/>
              </w:rPr>
              <w:t>Aminosalicilna kiselina i derivati</w:t>
            </w:r>
          </w:p>
        </w:tc>
      </w:tr>
      <w:tr w:rsidR="00755F6B" w:rsidRPr="00AB41EE" w:rsidTr="006E1FE0">
        <w:trPr>
          <w:cantSplit/>
          <w:trHeight w:val="542"/>
        </w:trPr>
        <w:tc>
          <w:tcPr>
            <w:tcW w:w="1260" w:type="dxa"/>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 xml:space="preserve">ATC kod: </w:t>
            </w:r>
          </w:p>
        </w:tc>
        <w:tc>
          <w:tcPr>
            <w:tcW w:w="9000" w:type="dxa"/>
            <w:gridSpan w:val="2"/>
            <w:vAlign w:val="center"/>
          </w:tcPr>
          <w:p w:rsidR="00755F6B" w:rsidRPr="00AB41EE" w:rsidRDefault="00755F6B" w:rsidP="006E1FE0">
            <w:pPr>
              <w:tabs>
                <w:tab w:val="left" w:pos="284"/>
                <w:tab w:val="center" w:pos="4320"/>
                <w:tab w:val="right" w:pos="8640"/>
              </w:tabs>
              <w:rPr>
                <w:spacing w:val="-3"/>
                <w:sz w:val="22"/>
                <w:szCs w:val="22"/>
                <w:lang w:val="sr-Latn-ME" w:eastAsia="en-US"/>
              </w:rPr>
            </w:pPr>
            <w:r w:rsidRPr="00AB41EE">
              <w:rPr>
                <w:spacing w:val="-3"/>
                <w:sz w:val="22"/>
                <w:szCs w:val="22"/>
                <w:lang w:val="sr-Latn-ME" w:eastAsia="en-US"/>
              </w:rPr>
              <w:t>A07E C01</w:t>
            </w:r>
          </w:p>
          <w:p w:rsidR="00755F6B" w:rsidRPr="00AB41EE" w:rsidRDefault="00755F6B" w:rsidP="006E1FE0">
            <w:pPr>
              <w:tabs>
                <w:tab w:val="left" w:pos="284"/>
                <w:tab w:val="center" w:pos="4320"/>
                <w:tab w:val="right" w:pos="8640"/>
              </w:tabs>
              <w:rPr>
                <w:spacing w:val="-3"/>
                <w:sz w:val="22"/>
                <w:szCs w:val="22"/>
                <w:lang w:val="sr-Latn-ME" w:eastAsia="en-US"/>
              </w:rPr>
            </w:pPr>
          </w:p>
          <w:p w:rsidR="00755F6B" w:rsidRPr="00AB41EE" w:rsidRDefault="00755F6B" w:rsidP="006E1FE0">
            <w:pPr>
              <w:tabs>
                <w:tab w:val="left" w:pos="284"/>
                <w:tab w:val="center" w:pos="4320"/>
                <w:tab w:val="right" w:pos="8640"/>
              </w:tabs>
              <w:rPr>
                <w:sz w:val="22"/>
                <w:szCs w:val="22"/>
                <w:lang w:val="sr-Latn-ME" w:eastAsia="en-US"/>
              </w:rPr>
            </w:pPr>
          </w:p>
        </w:tc>
      </w:tr>
      <w:tr w:rsidR="00755F6B" w:rsidRPr="00AB41EE" w:rsidTr="006E1FE0">
        <w:trPr>
          <w:cantSplit/>
          <w:trHeight w:val="1145"/>
        </w:trPr>
        <w:tc>
          <w:tcPr>
            <w:tcW w:w="10260" w:type="dxa"/>
            <w:gridSpan w:val="3"/>
            <w:vAlign w:val="center"/>
          </w:tcPr>
          <w:p w:rsidR="00755F6B" w:rsidRPr="00AB41EE" w:rsidRDefault="00755F6B" w:rsidP="006E1FE0">
            <w:pPr>
              <w:jc w:val="both"/>
              <w:rPr>
                <w:sz w:val="22"/>
                <w:szCs w:val="22"/>
                <w:lang w:val="sr-Latn-ME" w:eastAsia="en-US"/>
              </w:rPr>
            </w:pPr>
            <w:r w:rsidRPr="00AB41EE">
              <w:rPr>
                <w:sz w:val="22"/>
                <w:szCs w:val="22"/>
                <w:lang w:val="sr-Latn-ME" w:eastAsia="en-US"/>
              </w:rPr>
              <w:t>Bakterije cijepaju sulfasalazin na sulfapiridin i mesalazin. Sve tri komponente ispoljavaju farmakološke efekte, prvenstveno imunomodulatorno, antibakterijsko djelovanje i djelovanje na kaskadu arahidonske kiseline i promjenu aktivnosti određenih enzima. Krajnji rezultat je smanjenje aktivnosti zapaljenskih bolesti kao što su ulcerozni kolitis, Chron-ova bolest i reumatoidni artritis. U reumatoidnom artritisu lijek modifikuje bolest, djelovanje je vidljivo nakon 1-3 mjeseca. Smatra se da  mesalazin ne doprinosi ovom djelovanju. Vrijednosti brzine sedimentacije eritrocita i CRP, kao i progresija bolesti (Larsen ili Sharp indeks) su pokazali značajno smanjenje kod pacijenata u ranom stadijumu bolesti koji su dobijali sulfasalazin u poređenju sa pacijentima koji su dobijali placebo ili hidroksihlorokin tokom dvije godine. Korist ostaje i nakon prekida primjene lijeka.</w:t>
            </w:r>
          </w:p>
          <w:p w:rsidR="00755F6B" w:rsidRPr="00AB41EE" w:rsidRDefault="00755F6B" w:rsidP="006E1FE0">
            <w:pPr>
              <w:tabs>
                <w:tab w:val="left" w:pos="-720"/>
              </w:tabs>
              <w:suppressAutoHyphens/>
              <w:spacing w:line="288" w:lineRule="auto"/>
              <w:rPr>
                <w:sz w:val="22"/>
                <w:szCs w:val="22"/>
                <w:lang w:val="sr-Latn-ME" w:eastAsia="en-US"/>
              </w:rPr>
            </w:pPr>
          </w:p>
        </w:tc>
      </w:tr>
      <w:tr w:rsidR="00755F6B" w:rsidRPr="00AB41EE" w:rsidTr="006E1FE0">
        <w:trPr>
          <w:cantSplit/>
        </w:trPr>
        <w:tc>
          <w:tcPr>
            <w:tcW w:w="10260" w:type="dxa"/>
            <w:gridSpan w:val="3"/>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lastRenderedPageBreak/>
              <w:t>5.2. Farmakokinetički podaci</w:t>
            </w:r>
          </w:p>
          <w:p w:rsidR="00755F6B" w:rsidRPr="00AB41EE" w:rsidRDefault="00755F6B" w:rsidP="006E1FE0">
            <w:pPr>
              <w:rPr>
                <w:sz w:val="22"/>
                <w:szCs w:val="22"/>
                <w:lang w:val="sr-Latn-ME" w:eastAsia="en-US"/>
              </w:rPr>
            </w:pPr>
          </w:p>
          <w:p w:rsidR="00755F6B" w:rsidRPr="00AB41EE" w:rsidRDefault="00755F6B" w:rsidP="006E1FE0">
            <w:pPr>
              <w:autoSpaceDE w:val="0"/>
              <w:autoSpaceDN w:val="0"/>
              <w:adjustRightInd w:val="0"/>
              <w:jc w:val="both"/>
              <w:rPr>
                <w:sz w:val="22"/>
                <w:szCs w:val="22"/>
                <w:lang w:val="sr-Latn-ME" w:eastAsia="en-US"/>
              </w:rPr>
            </w:pPr>
            <w:r w:rsidRPr="00AB41EE">
              <w:rPr>
                <w:sz w:val="22"/>
                <w:szCs w:val="22"/>
                <w:lang w:val="sr-Latn-ME" w:eastAsia="en-US"/>
              </w:rPr>
              <w:t>Oko 30% uzetog sulfasalazina resorbuje se iz tankog crijeva: preostalih 70% se pomoću crijevnih bakterija u debelom crijevu razgrađuje na sulfapiridin i 5-aminosalicilnu kiselinu. Najveće serumske koncentracije sulfasalazina i njegovih metabolita se značajno razlikuju između pojedinaca; kod sporih acetilatora bitno su veće i povezane s češćim neželjenim dejstvima. Sulfasalazin postiže najvišu  koncentraciju 3 do 12 sati nakon uzimanja gastrorezistentnih tableta. Snažno se veže za bjelančevine u plazmi  i vezivno tkivo. Veliki dio resorbovane količine sulfasalazina vraća se putem žuči u crijevo; mali dio se  izlučuje nepromijenjen mokraćom. Poluvrijeme eliminacije sulfasalazina iznosi 5 do 10 sati.</w:t>
            </w:r>
          </w:p>
          <w:p w:rsidR="00755F6B" w:rsidRPr="00AB41EE" w:rsidRDefault="00755F6B" w:rsidP="006E1FE0">
            <w:pPr>
              <w:autoSpaceDE w:val="0"/>
              <w:autoSpaceDN w:val="0"/>
              <w:adjustRightInd w:val="0"/>
              <w:jc w:val="both"/>
              <w:rPr>
                <w:sz w:val="22"/>
                <w:szCs w:val="22"/>
                <w:lang w:val="sr-Latn-ME" w:eastAsia="en-US"/>
              </w:rPr>
            </w:pPr>
            <w:r w:rsidRPr="00AB41EE">
              <w:rPr>
                <w:sz w:val="22"/>
                <w:szCs w:val="22"/>
                <w:lang w:val="sr-Latn-ME" w:eastAsia="en-US"/>
              </w:rPr>
              <w:t>Većina oslobođenog sulfapiridina resorbuje se i dostiže najveću serumsku koncentraciju 12 do 24 sata nakon uzimanja lijeka. Metaboliše se u jetri (acetilacija, hidroksilacija i konjugacija sa glukuronskom kiselinom), te izlučuje preko bubrega. Poluvrijeme eliminacije iznosi 6 do 14 sati, zavisno od brzine acetilacije.</w:t>
            </w:r>
          </w:p>
          <w:p w:rsidR="00755F6B" w:rsidRPr="00AB41EE" w:rsidRDefault="00755F6B" w:rsidP="006E1FE0">
            <w:pPr>
              <w:autoSpaceDE w:val="0"/>
              <w:autoSpaceDN w:val="0"/>
              <w:adjustRightInd w:val="0"/>
              <w:jc w:val="both"/>
              <w:rPr>
                <w:sz w:val="22"/>
                <w:szCs w:val="22"/>
                <w:lang w:val="sr-Latn-ME" w:eastAsia="en-US"/>
              </w:rPr>
            </w:pPr>
            <w:r w:rsidRPr="00AB41EE">
              <w:rPr>
                <w:sz w:val="22"/>
                <w:szCs w:val="22"/>
                <w:lang w:val="sr-Latn-ME" w:eastAsia="en-US"/>
              </w:rPr>
              <w:t>Samo se oko 30% 5-aminosalicilne kiseline resorbuje i acetiluje u jetri, te izlučuje preko bubrega.</w:t>
            </w:r>
          </w:p>
          <w:p w:rsidR="00755F6B" w:rsidRPr="00AB41EE" w:rsidRDefault="00755F6B" w:rsidP="006E1FE0">
            <w:pPr>
              <w:jc w:val="both"/>
              <w:rPr>
                <w:sz w:val="22"/>
                <w:szCs w:val="22"/>
                <w:lang w:val="sr-Latn-ME" w:eastAsia="en-US"/>
              </w:rPr>
            </w:pPr>
            <w:r w:rsidRPr="00AB41EE">
              <w:rPr>
                <w:sz w:val="22"/>
                <w:szCs w:val="22"/>
                <w:lang w:val="sr-Latn-ME" w:eastAsia="en-US"/>
              </w:rPr>
              <w:t>Preostali dio se zadržava u kolonu pa zatim izlučuje urinom u nepromijenjenom obliku.</w:t>
            </w:r>
          </w:p>
          <w:p w:rsidR="00755F6B" w:rsidRPr="00AB41EE" w:rsidRDefault="00755F6B" w:rsidP="006E1FE0">
            <w:pPr>
              <w:rPr>
                <w:sz w:val="22"/>
                <w:szCs w:val="22"/>
                <w:lang w:val="sr-Latn-ME" w:eastAsia="en-US"/>
              </w:rPr>
            </w:pPr>
          </w:p>
        </w:tc>
      </w:tr>
      <w:tr w:rsidR="00755F6B" w:rsidRPr="00AB41EE" w:rsidTr="006E1FE0">
        <w:trPr>
          <w:cantSplit/>
        </w:trPr>
        <w:tc>
          <w:tcPr>
            <w:tcW w:w="10260" w:type="dxa"/>
            <w:gridSpan w:val="3"/>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5.3. Pretklinički podaci o bezbjednosti lijeka</w:t>
            </w:r>
          </w:p>
        </w:tc>
      </w:tr>
      <w:tr w:rsidR="00755F6B" w:rsidRPr="00AB41EE" w:rsidTr="006E1FE0">
        <w:trPr>
          <w:cantSplit/>
          <w:trHeight w:val="1145"/>
        </w:trPr>
        <w:tc>
          <w:tcPr>
            <w:tcW w:w="10260" w:type="dxa"/>
            <w:gridSpan w:val="3"/>
            <w:vAlign w:val="center"/>
          </w:tcPr>
          <w:p w:rsidR="00755F6B" w:rsidRPr="00AB41EE" w:rsidRDefault="00755F6B" w:rsidP="006E1FE0">
            <w:pPr>
              <w:autoSpaceDE w:val="0"/>
              <w:autoSpaceDN w:val="0"/>
              <w:adjustRightInd w:val="0"/>
              <w:jc w:val="both"/>
              <w:rPr>
                <w:sz w:val="22"/>
                <w:szCs w:val="22"/>
                <w:lang w:val="sr-Latn-ME" w:eastAsia="en-US"/>
              </w:rPr>
            </w:pPr>
            <w:r w:rsidRPr="00AB41EE">
              <w:rPr>
                <w:sz w:val="22"/>
                <w:szCs w:val="22"/>
                <w:lang w:val="sr-Latn-ME" w:eastAsia="en-US"/>
              </w:rPr>
              <w:t>Istraživanja akutne toksičnosti pokazala su da sulfasalazin gotovo da i nije toksičan za pacove i miševe. Nakon oralne primjene LD50 za pacove bila je 12.500 mg/kg.</w:t>
            </w:r>
          </w:p>
          <w:p w:rsidR="00755F6B" w:rsidRPr="00AB41EE" w:rsidRDefault="00755F6B" w:rsidP="006E1FE0">
            <w:pPr>
              <w:autoSpaceDE w:val="0"/>
              <w:autoSpaceDN w:val="0"/>
              <w:adjustRightInd w:val="0"/>
              <w:jc w:val="both"/>
              <w:rPr>
                <w:sz w:val="22"/>
                <w:szCs w:val="22"/>
                <w:lang w:val="sr-Latn-ME" w:eastAsia="en-US"/>
              </w:rPr>
            </w:pPr>
            <w:r w:rsidRPr="00AB41EE">
              <w:rPr>
                <w:sz w:val="22"/>
                <w:szCs w:val="22"/>
                <w:lang w:val="sr-Latn-ME" w:eastAsia="en-US"/>
              </w:rPr>
              <w:t>Primjena 6 puta većih doza sulfasalazina od uobičajene doze kod ljudi prouzrokovalo  je smanjenje plodnosti</w:t>
            </w:r>
          </w:p>
          <w:p w:rsidR="00755F6B" w:rsidRPr="00AB41EE" w:rsidRDefault="00755F6B" w:rsidP="006E1FE0">
            <w:pPr>
              <w:autoSpaceDE w:val="0"/>
              <w:autoSpaceDN w:val="0"/>
              <w:adjustRightInd w:val="0"/>
              <w:jc w:val="both"/>
              <w:rPr>
                <w:sz w:val="22"/>
                <w:szCs w:val="22"/>
                <w:lang w:val="sr-Latn-ME" w:eastAsia="en-US"/>
              </w:rPr>
            </w:pPr>
            <w:r w:rsidRPr="00AB41EE">
              <w:rPr>
                <w:sz w:val="22"/>
                <w:szCs w:val="22"/>
                <w:lang w:val="sr-Latn-ME" w:eastAsia="en-US"/>
              </w:rPr>
              <w:t>mužjaka pacova i kunića; davanje istih doza skotnim ženkama nije štetilo zamecima.</w:t>
            </w:r>
          </w:p>
          <w:p w:rsidR="00755F6B" w:rsidRPr="00AB41EE" w:rsidRDefault="00755F6B" w:rsidP="006E1FE0">
            <w:pPr>
              <w:autoSpaceDE w:val="0"/>
              <w:autoSpaceDN w:val="0"/>
              <w:adjustRightInd w:val="0"/>
              <w:jc w:val="both"/>
              <w:rPr>
                <w:sz w:val="22"/>
                <w:szCs w:val="22"/>
                <w:lang w:val="sr-Latn-ME" w:eastAsia="en-US"/>
              </w:rPr>
            </w:pPr>
            <w:r w:rsidRPr="00AB41EE">
              <w:rPr>
                <w:sz w:val="22"/>
                <w:szCs w:val="22"/>
                <w:lang w:val="sr-Latn-ME" w:eastAsia="en-US"/>
              </w:rPr>
              <w:t xml:space="preserve">Testovima </w:t>
            </w:r>
            <w:r w:rsidRPr="00AB41EE">
              <w:rPr>
                <w:i/>
                <w:iCs/>
                <w:sz w:val="22"/>
                <w:szCs w:val="22"/>
                <w:lang w:val="sr-Latn-ME" w:eastAsia="en-US"/>
              </w:rPr>
              <w:t xml:space="preserve">in vitro </w:t>
            </w:r>
            <w:r w:rsidRPr="00AB41EE">
              <w:rPr>
                <w:sz w:val="22"/>
                <w:szCs w:val="22"/>
                <w:lang w:val="sr-Latn-ME" w:eastAsia="en-US"/>
              </w:rPr>
              <w:t xml:space="preserve">ustanovljeno je da sulfasalazin može oštetiti hromozome u humanim limfocitima. Oštećenje hromozoma vjerojatno nastaje u ranoj fazi G1 mitoze. </w:t>
            </w:r>
          </w:p>
          <w:p w:rsidR="00755F6B" w:rsidRPr="00AB41EE" w:rsidRDefault="00755F6B" w:rsidP="006E1FE0">
            <w:pPr>
              <w:autoSpaceDE w:val="0"/>
              <w:autoSpaceDN w:val="0"/>
              <w:adjustRightInd w:val="0"/>
              <w:jc w:val="both"/>
              <w:rPr>
                <w:sz w:val="22"/>
                <w:szCs w:val="22"/>
                <w:lang w:val="sr-Latn-ME" w:eastAsia="en-US"/>
              </w:rPr>
            </w:pPr>
            <w:r w:rsidRPr="00AB41EE">
              <w:rPr>
                <w:sz w:val="22"/>
                <w:szCs w:val="22"/>
                <w:lang w:val="sr-Latn-ME" w:eastAsia="en-US"/>
              </w:rPr>
              <w:t>Kod pacova su nakon dugotrajnog uzimanja sulfonamida ustanovljeni maligniteti štitaste žlijezde. Kancerogeni potencijal sulfonamide ustanovljen je i kod miševa.</w:t>
            </w:r>
          </w:p>
          <w:p w:rsidR="00AB41EE" w:rsidRPr="00AB41EE" w:rsidRDefault="00AB41EE" w:rsidP="006E1FE0">
            <w:pPr>
              <w:tabs>
                <w:tab w:val="left" w:pos="0"/>
                <w:tab w:val="left" w:pos="284"/>
              </w:tabs>
              <w:spacing w:after="120" w:line="264" w:lineRule="atLeast"/>
              <w:jc w:val="both"/>
              <w:rPr>
                <w:spacing w:val="-4"/>
                <w:sz w:val="22"/>
                <w:szCs w:val="22"/>
                <w:lang w:val="sr-Latn-ME" w:eastAsia="en-US"/>
              </w:rPr>
            </w:pPr>
          </w:p>
        </w:tc>
      </w:tr>
      <w:tr w:rsidR="00755F6B" w:rsidRPr="00AB41EE" w:rsidTr="006E1FE0">
        <w:trPr>
          <w:cantSplit/>
        </w:trPr>
        <w:tc>
          <w:tcPr>
            <w:tcW w:w="10260" w:type="dxa"/>
            <w:gridSpan w:val="3"/>
            <w:shd w:val="clear" w:color="auto" w:fill="E0E0E0"/>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6. FARMACEUTSKI PODACI</w:t>
            </w:r>
          </w:p>
        </w:tc>
      </w:tr>
      <w:tr w:rsidR="00755F6B" w:rsidRPr="00AB41EE" w:rsidTr="00AB41EE">
        <w:trPr>
          <w:cantSplit/>
          <w:trHeight w:val="4021"/>
        </w:trPr>
        <w:tc>
          <w:tcPr>
            <w:tcW w:w="10260" w:type="dxa"/>
            <w:gridSpan w:val="3"/>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6.1. Lista pomoćnih supstanci</w:t>
            </w:r>
          </w:p>
          <w:p w:rsidR="00755F6B" w:rsidRPr="00AB41EE" w:rsidRDefault="00755F6B" w:rsidP="006E1FE0">
            <w:pPr>
              <w:tabs>
                <w:tab w:val="left" w:pos="284"/>
                <w:tab w:val="center" w:pos="4320"/>
                <w:tab w:val="right" w:pos="8640"/>
              </w:tabs>
              <w:spacing w:before="80" w:after="80"/>
              <w:rPr>
                <w:bCs/>
                <w:i/>
                <w:sz w:val="22"/>
                <w:szCs w:val="22"/>
                <w:lang w:val="sr-Latn-ME" w:eastAsia="en-US"/>
              </w:rPr>
            </w:pPr>
            <w:r w:rsidRPr="00AB41EE">
              <w:rPr>
                <w:bCs/>
                <w:i/>
                <w:sz w:val="22"/>
                <w:szCs w:val="22"/>
                <w:lang w:val="sr-Latn-ME" w:eastAsia="en-US"/>
              </w:rPr>
              <w:t>Jezgra tablete:</w:t>
            </w:r>
          </w:p>
          <w:p w:rsidR="00755F6B" w:rsidRPr="00AB41EE" w:rsidRDefault="00755F6B" w:rsidP="006E1FE0">
            <w:pPr>
              <w:tabs>
                <w:tab w:val="left" w:pos="-720"/>
              </w:tabs>
              <w:suppressAutoHyphens/>
              <w:spacing w:line="288" w:lineRule="auto"/>
              <w:rPr>
                <w:sz w:val="22"/>
                <w:szCs w:val="22"/>
                <w:lang w:val="sr-Latn-ME" w:eastAsia="en-US"/>
              </w:rPr>
            </w:pPr>
            <w:r w:rsidRPr="00AB41EE">
              <w:rPr>
                <w:sz w:val="22"/>
                <w:szCs w:val="22"/>
                <w:lang w:val="sr-Latn-ME" w:eastAsia="en-US"/>
              </w:rPr>
              <w:t>Povidon</w:t>
            </w:r>
          </w:p>
          <w:p w:rsidR="00755F6B" w:rsidRPr="00AB41EE" w:rsidRDefault="00755F6B" w:rsidP="006E1FE0">
            <w:pPr>
              <w:tabs>
                <w:tab w:val="left" w:pos="-720"/>
              </w:tabs>
              <w:suppressAutoHyphens/>
              <w:spacing w:line="288" w:lineRule="auto"/>
              <w:rPr>
                <w:sz w:val="22"/>
                <w:szCs w:val="22"/>
                <w:lang w:val="sr-Latn-ME" w:eastAsia="en-US"/>
              </w:rPr>
            </w:pPr>
            <w:r w:rsidRPr="00AB41EE">
              <w:rPr>
                <w:sz w:val="22"/>
                <w:szCs w:val="22"/>
                <w:lang w:val="sr-Latn-ME" w:eastAsia="en-US"/>
              </w:rPr>
              <w:t>skrob, preželatinizirani</w:t>
            </w:r>
          </w:p>
          <w:p w:rsidR="00755F6B" w:rsidRPr="00AB41EE" w:rsidRDefault="00755F6B" w:rsidP="006E1FE0">
            <w:pPr>
              <w:widowControl w:val="0"/>
              <w:tabs>
                <w:tab w:val="left" w:pos="-720"/>
              </w:tabs>
              <w:suppressAutoHyphens/>
              <w:spacing w:line="288" w:lineRule="auto"/>
              <w:jc w:val="both"/>
              <w:rPr>
                <w:snapToGrid w:val="0"/>
                <w:sz w:val="22"/>
                <w:szCs w:val="22"/>
                <w:lang w:val="sr-Latn-ME" w:eastAsia="en-US"/>
              </w:rPr>
            </w:pPr>
            <w:r w:rsidRPr="00AB41EE">
              <w:rPr>
                <w:snapToGrid w:val="0"/>
                <w:sz w:val="22"/>
                <w:szCs w:val="22"/>
                <w:lang w:val="sr-Latn-ME" w:eastAsia="en-US"/>
              </w:rPr>
              <w:t>Magnezijum stearat</w:t>
            </w:r>
          </w:p>
          <w:p w:rsidR="00755F6B" w:rsidRPr="00AB41EE" w:rsidRDefault="00755F6B" w:rsidP="006E1FE0">
            <w:pPr>
              <w:tabs>
                <w:tab w:val="left" w:pos="-720"/>
              </w:tabs>
              <w:suppressAutoHyphens/>
              <w:spacing w:line="288" w:lineRule="auto"/>
              <w:rPr>
                <w:sz w:val="22"/>
                <w:szCs w:val="22"/>
                <w:lang w:val="sr-Latn-ME" w:eastAsia="en-US"/>
              </w:rPr>
            </w:pPr>
            <w:r w:rsidRPr="00AB41EE">
              <w:rPr>
                <w:sz w:val="22"/>
                <w:szCs w:val="22"/>
                <w:lang w:val="sr-Latn-ME" w:eastAsia="en-US"/>
              </w:rPr>
              <w:t>Silicijum dioksid, koloidni, bezvodni</w:t>
            </w:r>
          </w:p>
          <w:p w:rsidR="00755F6B" w:rsidRPr="00AB41EE" w:rsidRDefault="00755F6B" w:rsidP="006E1FE0">
            <w:pPr>
              <w:suppressAutoHyphens/>
              <w:jc w:val="both"/>
              <w:rPr>
                <w:snapToGrid w:val="0"/>
                <w:color w:val="FF0000"/>
                <w:sz w:val="22"/>
                <w:szCs w:val="22"/>
                <w:lang w:val="sr-Latn-ME" w:eastAsia="en-US"/>
              </w:rPr>
            </w:pPr>
          </w:p>
          <w:p w:rsidR="00755F6B" w:rsidRPr="00AB41EE" w:rsidRDefault="00755F6B" w:rsidP="006E1FE0">
            <w:pPr>
              <w:suppressAutoHyphens/>
              <w:jc w:val="both"/>
              <w:rPr>
                <w:i/>
                <w:iCs/>
                <w:sz w:val="22"/>
                <w:szCs w:val="22"/>
                <w:lang w:val="sr-Latn-ME" w:eastAsia="ar-SA"/>
              </w:rPr>
            </w:pPr>
            <w:r w:rsidRPr="00AB41EE">
              <w:rPr>
                <w:i/>
                <w:snapToGrid w:val="0"/>
                <w:sz w:val="22"/>
                <w:szCs w:val="22"/>
                <w:lang w:val="sr-Latn-ME" w:eastAsia="en-US"/>
              </w:rPr>
              <w:t>Film</w:t>
            </w:r>
            <w:r w:rsidRPr="00AB41EE">
              <w:rPr>
                <w:snapToGrid w:val="0"/>
                <w:color w:val="FF0000"/>
                <w:sz w:val="22"/>
                <w:szCs w:val="22"/>
                <w:lang w:val="sr-Latn-ME" w:eastAsia="en-US"/>
              </w:rPr>
              <w:t xml:space="preserve"> </w:t>
            </w:r>
            <w:r w:rsidRPr="00AB41EE">
              <w:rPr>
                <w:i/>
                <w:iCs/>
                <w:sz w:val="22"/>
                <w:szCs w:val="22"/>
                <w:lang w:val="sr-Latn-ME" w:eastAsia="ar-SA"/>
              </w:rPr>
              <w:t>ovojnica:</w:t>
            </w:r>
          </w:p>
          <w:p w:rsidR="00755F6B" w:rsidRPr="00AB41EE" w:rsidRDefault="00755F6B" w:rsidP="006E1FE0">
            <w:pPr>
              <w:suppressAutoHyphens/>
              <w:jc w:val="both"/>
              <w:rPr>
                <w:sz w:val="22"/>
                <w:szCs w:val="22"/>
                <w:lang w:val="sr-Latn-ME" w:eastAsia="ar-SA"/>
              </w:rPr>
            </w:pPr>
            <w:r w:rsidRPr="00AB41EE">
              <w:rPr>
                <w:sz w:val="22"/>
                <w:szCs w:val="22"/>
                <w:lang w:val="sr-Latn-ME" w:eastAsia="ar-SA"/>
              </w:rPr>
              <w:t>Metakrilna kiselina/etilakrilat kopolimer 1:1</w:t>
            </w:r>
          </w:p>
          <w:p w:rsidR="00755F6B" w:rsidRPr="00AB41EE" w:rsidRDefault="00755F6B" w:rsidP="006E1FE0">
            <w:pPr>
              <w:suppressAutoHyphens/>
              <w:jc w:val="both"/>
              <w:rPr>
                <w:sz w:val="22"/>
                <w:szCs w:val="22"/>
                <w:lang w:val="sr-Latn-ME" w:eastAsia="ar-SA"/>
              </w:rPr>
            </w:pPr>
            <w:r w:rsidRPr="00AB41EE">
              <w:rPr>
                <w:sz w:val="22"/>
                <w:szCs w:val="22"/>
                <w:lang w:val="sr-Latn-ME" w:eastAsia="ar-SA"/>
              </w:rPr>
              <w:t xml:space="preserve">talk </w:t>
            </w:r>
          </w:p>
          <w:p w:rsidR="00755F6B" w:rsidRPr="00AB41EE" w:rsidRDefault="00755F6B" w:rsidP="006E1FE0">
            <w:pPr>
              <w:suppressAutoHyphens/>
              <w:jc w:val="both"/>
              <w:rPr>
                <w:sz w:val="22"/>
                <w:szCs w:val="22"/>
                <w:lang w:val="sr-Latn-ME" w:eastAsia="ar-SA"/>
              </w:rPr>
            </w:pPr>
            <w:r w:rsidRPr="00AB41EE">
              <w:rPr>
                <w:sz w:val="22"/>
                <w:szCs w:val="22"/>
                <w:lang w:val="sr-Latn-ME" w:eastAsia="ar-SA"/>
              </w:rPr>
              <w:t>titan dioksid (E171)</w:t>
            </w:r>
          </w:p>
          <w:p w:rsidR="00755F6B" w:rsidRPr="00AB41EE" w:rsidRDefault="00755F6B" w:rsidP="006E1FE0">
            <w:pPr>
              <w:suppressAutoHyphens/>
              <w:jc w:val="both"/>
              <w:rPr>
                <w:sz w:val="22"/>
                <w:szCs w:val="22"/>
                <w:lang w:val="sr-Latn-ME" w:eastAsia="ar-SA"/>
              </w:rPr>
            </w:pPr>
            <w:r w:rsidRPr="00AB41EE">
              <w:rPr>
                <w:sz w:val="22"/>
                <w:szCs w:val="22"/>
                <w:lang w:val="sr-Latn-ME" w:eastAsia="ar-SA"/>
              </w:rPr>
              <w:t>žuti gvožđe oksid (E172)</w:t>
            </w:r>
          </w:p>
          <w:p w:rsidR="00755F6B" w:rsidRPr="00AB41EE" w:rsidRDefault="00755F6B" w:rsidP="006E1FE0">
            <w:pPr>
              <w:suppressAutoHyphens/>
              <w:jc w:val="both"/>
              <w:rPr>
                <w:sz w:val="22"/>
                <w:szCs w:val="22"/>
                <w:lang w:val="sr-Latn-ME" w:eastAsia="ar-SA"/>
              </w:rPr>
            </w:pPr>
            <w:r w:rsidRPr="00AB41EE">
              <w:rPr>
                <w:sz w:val="22"/>
                <w:szCs w:val="22"/>
                <w:lang w:val="sr-Latn-ME" w:eastAsia="ar-SA"/>
              </w:rPr>
              <w:t xml:space="preserve">trietil citrat </w:t>
            </w:r>
          </w:p>
          <w:p w:rsidR="00755F6B" w:rsidRPr="00AB41EE" w:rsidRDefault="00755F6B" w:rsidP="006E1FE0">
            <w:pPr>
              <w:suppressAutoHyphens/>
              <w:jc w:val="both"/>
              <w:rPr>
                <w:sz w:val="22"/>
                <w:szCs w:val="22"/>
                <w:lang w:val="sr-Latn-ME" w:eastAsia="ar-SA"/>
              </w:rPr>
            </w:pPr>
            <w:r w:rsidRPr="00AB41EE">
              <w:rPr>
                <w:sz w:val="22"/>
                <w:szCs w:val="22"/>
                <w:lang w:val="sr-Latn-ME" w:eastAsia="ar-SA"/>
              </w:rPr>
              <w:t>karmeloza natrijum (E466)</w:t>
            </w:r>
          </w:p>
          <w:p w:rsidR="00755F6B" w:rsidRPr="00AB41EE" w:rsidRDefault="00755F6B" w:rsidP="006E1FE0">
            <w:pPr>
              <w:suppressAutoHyphens/>
              <w:jc w:val="both"/>
              <w:rPr>
                <w:sz w:val="22"/>
                <w:szCs w:val="22"/>
                <w:lang w:val="sr-Latn-ME" w:eastAsia="ar-SA"/>
              </w:rPr>
            </w:pPr>
            <w:r w:rsidRPr="00AB41EE">
              <w:rPr>
                <w:sz w:val="22"/>
                <w:szCs w:val="22"/>
                <w:lang w:val="sr-Latn-ME" w:eastAsia="ar-SA"/>
              </w:rPr>
              <w:t>makrogol 6000</w:t>
            </w:r>
          </w:p>
          <w:p w:rsidR="00755F6B" w:rsidRPr="00AB41EE" w:rsidRDefault="00755F6B" w:rsidP="006E1FE0">
            <w:pPr>
              <w:tabs>
                <w:tab w:val="left" w:pos="284"/>
                <w:tab w:val="center" w:pos="4320"/>
                <w:tab w:val="right" w:pos="8640"/>
              </w:tabs>
              <w:rPr>
                <w:snapToGrid w:val="0"/>
                <w:color w:val="FF0000"/>
                <w:sz w:val="22"/>
                <w:szCs w:val="22"/>
                <w:lang w:val="sr-Latn-ME" w:eastAsia="en-US"/>
              </w:rPr>
            </w:pPr>
          </w:p>
          <w:p w:rsidR="00755F6B" w:rsidRPr="00AB41EE" w:rsidRDefault="00755F6B" w:rsidP="006E1FE0">
            <w:pPr>
              <w:suppressAutoHyphens/>
              <w:ind w:left="360"/>
              <w:jc w:val="both"/>
              <w:rPr>
                <w:sz w:val="22"/>
                <w:szCs w:val="22"/>
                <w:lang w:val="sr-Latn-ME" w:eastAsia="en-US"/>
              </w:rPr>
            </w:pPr>
          </w:p>
        </w:tc>
      </w:tr>
      <w:tr w:rsidR="00755F6B" w:rsidRPr="00AB41EE" w:rsidTr="006E1FE0">
        <w:trPr>
          <w:cantSplit/>
        </w:trPr>
        <w:tc>
          <w:tcPr>
            <w:tcW w:w="10260" w:type="dxa"/>
            <w:gridSpan w:val="3"/>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lastRenderedPageBreak/>
              <w:t>6.2. Inkompatibilnosti</w:t>
            </w:r>
          </w:p>
        </w:tc>
      </w:tr>
      <w:tr w:rsidR="00755F6B" w:rsidRPr="00AB41EE" w:rsidTr="006E1FE0">
        <w:trPr>
          <w:cantSplit/>
          <w:trHeight w:val="131"/>
        </w:trPr>
        <w:tc>
          <w:tcPr>
            <w:tcW w:w="10260" w:type="dxa"/>
            <w:gridSpan w:val="3"/>
            <w:vAlign w:val="center"/>
          </w:tcPr>
          <w:p w:rsidR="00755F6B" w:rsidRPr="00AB41EE" w:rsidRDefault="00755F6B" w:rsidP="006E1FE0">
            <w:pPr>
              <w:spacing w:before="120"/>
              <w:rPr>
                <w:sz w:val="22"/>
                <w:szCs w:val="22"/>
                <w:lang w:val="sr-Latn-ME" w:eastAsia="en-US"/>
              </w:rPr>
            </w:pPr>
            <w:r w:rsidRPr="00AB41EE">
              <w:rPr>
                <w:sz w:val="22"/>
                <w:szCs w:val="22"/>
                <w:lang w:val="sr-Latn-ME" w:eastAsia="en-US"/>
              </w:rPr>
              <w:t>Nije primjenjivo.</w:t>
            </w:r>
          </w:p>
          <w:p w:rsidR="00755F6B" w:rsidRPr="00AB41EE" w:rsidRDefault="00755F6B" w:rsidP="006E1FE0">
            <w:pPr>
              <w:tabs>
                <w:tab w:val="left" w:pos="284"/>
                <w:tab w:val="center" w:pos="4320"/>
                <w:tab w:val="right" w:pos="8640"/>
              </w:tabs>
              <w:rPr>
                <w:sz w:val="22"/>
                <w:szCs w:val="22"/>
                <w:lang w:val="sr-Latn-ME" w:eastAsia="en-US"/>
              </w:rPr>
            </w:pPr>
          </w:p>
        </w:tc>
      </w:tr>
      <w:tr w:rsidR="00755F6B" w:rsidRPr="00AB41EE" w:rsidTr="006E1FE0">
        <w:trPr>
          <w:cantSplit/>
        </w:trPr>
        <w:tc>
          <w:tcPr>
            <w:tcW w:w="10260" w:type="dxa"/>
            <w:gridSpan w:val="3"/>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6.3. Rok upotrebe</w:t>
            </w:r>
          </w:p>
        </w:tc>
      </w:tr>
      <w:tr w:rsidR="00755F6B" w:rsidRPr="00AB41EE" w:rsidTr="006E1FE0">
        <w:trPr>
          <w:cantSplit/>
          <w:trHeight w:val="716"/>
        </w:trPr>
        <w:tc>
          <w:tcPr>
            <w:tcW w:w="10260" w:type="dxa"/>
            <w:gridSpan w:val="3"/>
            <w:vAlign w:val="center"/>
          </w:tcPr>
          <w:p w:rsidR="00755F6B" w:rsidRPr="00AB41EE" w:rsidRDefault="00755F6B" w:rsidP="006E1FE0">
            <w:pPr>
              <w:tabs>
                <w:tab w:val="left" w:pos="284"/>
                <w:tab w:val="center" w:pos="4320"/>
                <w:tab w:val="right" w:pos="8640"/>
              </w:tabs>
              <w:rPr>
                <w:sz w:val="22"/>
                <w:szCs w:val="22"/>
                <w:lang w:val="sr-Latn-ME" w:eastAsia="en-US"/>
              </w:rPr>
            </w:pPr>
            <w:r w:rsidRPr="00AB41EE">
              <w:rPr>
                <w:spacing w:val="-3"/>
                <w:sz w:val="22"/>
                <w:szCs w:val="22"/>
                <w:lang w:val="sr-Latn-ME" w:eastAsia="en-US"/>
              </w:rPr>
              <w:t xml:space="preserve">5 godina. </w:t>
            </w:r>
          </w:p>
        </w:tc>
      </w:tr>
      <w:tr w:rsidR="00755F6B" w:rsidRPr="00AB41EE" w:rsidTr="006E1FE0">
        <w:trPr>
          <w:cantSplit/>
        </w:trPr>
        <w:tc>
          <w:tcPr>
            <w:tcW w:w="10260" w:type="dxa"/>
            <w:gridSpan w:val="3"/>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6.4. Posebne mjere upozorenja pri čuvanju lijeka</w:t>
            </w:r>
          </w:p>
        </w:tc>
      </w:tr>
      <w:tr w:rsidR="00755F6B" w:rsidRPr="00AB41EE" w:rsidTr="006E1FE0">
        <w:trPr>
          <w:cantSplit/>
          <w:trHeight w:val="491"/>
        </w:trPr>
        <w:tc>
          <w:tcPr>
            <w:tcW w:w="10260" w:type="dxa"/>
            <w:gridSpan w:val="3"/>
            <w:vAlign w:val="center"/>
          </w:tcPr>
          <w:p w:rsidR="00755F6B" w:rsidRPr="00AB41EE" w:rsidRDefault="00755F6B" w:rsidP="006E1FE0">
            <w:pPr>
              <w:tabs>
                <w:tab w:val="left" w:pos="284"/>
                <w:tab w:val="center" w:pos="4320"/>
                <w:tab w:val="right" w:pos="8640"/>
              </w:tabs>
              <w:rPr>
                <w:sz w:val="22"/>
                <w:szCs w:val="22"/>
                <w:lang w:val="sr-Latn-ME" w:eastAsia="en-US"/>
              </w:rPr>
            </w:pPr>
            <w:r w:rsidRPr="00AB41EE">
              <w:rPr>
                <w:bCs/>
                <w:sz w:val="22"/>
                <w:szCs w:val="22"/>
                <w:lang w:val="sr-Latn-ME" w:eastAsia="en-US"/>
              </w:rPr>
              <w:t>Čuvati  u originalnom pakovanju na temperaturi do 25 °C. Čuvati van domašaja djece.</w:t>
            </w:r>
          </w:p>
        </w:tc>
      </w:tr>
      <w:tr w:rsidR="00755F6B" w:rsidRPr="00AB41EE" w:rsidTr="006E1FE0">
        <w:trPr>
          <w:cantSplit/>
        </w:trPr>
        <w:tc>
          <w:tcPr>
            <w:tcW w:w="10260" w:type="dxa"/>
            <w:gridSpan w:val="3"/>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6.5. Vrsta i sadržaj pakovanja</w:t>
            </w:r>
          </w:p>
        </w:tc>
      </w:tr>
      <w:tr w:rsidR="00755F6B" w:rsidRPr="00AB41EE" w:rsidTr="006E1FE0">
        <w:trPr>
          <w:cantSplit/>
          <w:trHeight w:val="671"/>
        </w:trPr>
        <w:tc>
          <w:tcPr>
            <w:tcW w:w="10260" w:type="dxa"/>
            <w:gridSpan w:val="3"/>
            <w:vAlign w:val="center"/>
          </w:tcPr>
          <w:p w:rsidR="00755F6B" w:rsidRPr="00AB41EE" w:rsidRDefault="00755F6B" w:rsidP="006E1FE0">
            <w:pPr>
              <w:tabs>
                <w:tab w:val="left" w:pos="284"/>
                <w:tab w:val="center" w:pos="4320"/>
                <w:tab w:val="right" w:pos="8640"/>
              </w:tabs>
              <w:rPr>
                <w:sz w:val="22"/>
                <w:szCs w:val="22"/>
                <w:lang w:val="sr-Latn-ME" w:eastAsia="en-US"/>
              </w:rPr>
            </w:pPr>
            <w:r w:rsidRPr="00AB41EE">
              <w:rPr>
                <w:spacing w:val="-3"/>
                <w:sz w:val="22"/>
                <w:szCs w:val="22"/>
                <w:lang w:val="sr-Latn-ME" w:eastAsia="en-US"/>
              </w:rPr>
              <w:t>Blister (PVC/Al): 50 gastrorezistentnih tableta (5 blistera po 10 gastrorezistentnih tableta), u kutiji.</w:t>
            </w:r>
          </w:p>
        </w:tc>
      </w:tr>
      <w:tr w:rsidR="00755F6B" w:rsidRPr="00AB41EE" w:rsidTr="006E1FE0">
        <w:trPr>
          <w:cantSplit/>
        </w:trPr>
        <w:tc>
          <w:tcPr>
            <w:tcW w:w="10260" w:type="dxa"/>
            <w:gridSpan w:val="3"/>
            <w:vAlign w:val="center"/>
          </w:tcPr>
          <w:p w:rsidR="00755F6B" w:rsidRPr="00AB41EE" w:rsidRDefault="00755F6B" w:rsidP="006E1FE0">
            <w:pPr>
              <w:tabs>
                <w:tab w:val="left" w:pos="284"/>
                <w:tab w:val="center" w:pos="4320"/>
                <w:tab w:val="right" w:pos="8640"/>
              </w:tabs>
              <w:spacing w:before="80" w:after="80"/>
              <w:rPr>
                <w:b/>
                <w:bCs/>
                <w:sz w:val="22"/>
                <w:szCs w:val="22"/>
                <w:lang w:val="sr-Latn-ME" w:eastAsia="en-US"/>
              </w:rPr>
            </w:pPr>
            <w:r w:rsidRPr="00AB41EE">
              <w:rPr>
                <w:b/>
                <w:bCs/>
                <w:sz w:val="22"/>
                <w:szCs w:val="22"/>
                <w:lang w:val="sr-Latn-ME" w:eastAsia="en-US"/>
              </w:rPr>
              <w:t xml:space="preserve">6.6. Posebne mere opreza pri odlaganju materijala koji treba odbaciti nakon primjene lijeka </w:t>
            </w:r>
          </w:p>
        </w:tc>
      </w:tr>
      <w:tr w:rsidR="00755F6B" w:rsidRPr="00AB41EE" w:rsidTr="006E1FE0">
        <w:trPr>
          <w:cantSplit/>
          <w:trHeight w:val="473"/>
        </w:trPr>
        <w:tc>
          <w:tcPr>
            <w:tcW w:w="10260" w:type="dxa"/>
            <w:gridSpan w:val="3"/>
            <w:vAlign w:val="center"/>
          </w:tcPr>
          <w:p w:rsidR="0091241D" w:rsidRDefault="0091241D" w:rsidP="006E1FE0">
            <w:pPr>
              <w:tabs>
                <w:tab w:val="left" w:pos="284"/>
                <w:tab w:val="center" w:pos="4320"/>
                <w:tab w:val="right" w:pos="8640"/>
              </w:tabs>
              <w:rPr>
                <w:sz w:val="22"/>
                <w:szCs w:val="22"/>
                <w:lang w:val="sr-Latn-ME" w:eastAsia="en-US"/>
              </w:rPr>
            </w:pPr>
          </w:p>
          <w:p w:rsidR="00755F6B" w:rsidRPr="00AB41EE" w:rsidRDefault="00755F6B" w:rsidP="006E1FE0">
            <w:pPr>
              <w:tabs>
                <w:tab w:val="left" w:pos="284"/>
                <w:tab w:val="center" w:pos="4320"/>
                <w:tab w:val="right" w:pos="8640"/>
              </w:tabs>
              <w:rPr>
                <w:sz w:val="22"/>
                <w:szCs w:val="22"/>
                <w:lang w:val="sr-Latn-ME" w:eastAsia="en-US"/>
              </w:rPr>
            </w:pPr>
            <w:r w:rsidRPr="00AB41EE">
              <w:rPr>
                <w:sz w:val="22"/>
                <w:szCs w:val="22"/>
                <w:lang w:val="sr-Latn-ME" w:eastAsia="en-US"/>
              </w:rPr>
              <w:t>Neupotrijebljeni lijek se uništava u skladu sa važećim propisima.</w:t>
            </w:r>
          </w:p>
          <w:p w:rsidR="00755F6B" w:rsidRPr="00AB41EE" w:rsidRDefault="00755F6B" w:rsidP="006E1FE0">
            <w:pPr>
              <w:tabs>
                <w:tab w:val="left" w:pos="284"/>
                <w:tab w:val="center" w:pos="4320"/>
                <w:tab w:val="right" w:pos="8640"/>
              </w:tabs>
              <w:rPr>
                <w:sz w:val="22"/>
                <w:szCs w:val="22"/>
                <w:lang w:val="sr-Latn-ME" w:eastAsia="en-US"/>
              </w:rPr>
            </w:pPr>
          </w:p>
          <w:p w:rsidR="00755F6B" w:rsidRPr="00AB41EE" w:rsidRDefault="00755F6B" w:rsidP="006E1FE0">
            <w:pPr>
              <w:tabs>
                <w:tab w:val="center" w:pos="4320"/>
                <w:tab w:val="right" w:pos="8640"/>
              </w:tabs>
              <w:rPr>
                <w:b/>
                <w:bCs/>
                <w:sz w:val="22"/>
                <w:szCs w:val="22"/>
                <w:lang w:val="sr-Latn-ME" w:eastAsia="en-US"/>
              </w:rPr>
            </w:pPr>
            <w:r w:rsidRPr="00AB41EE">
              <w:rPr>
                <w:b/>
                <w:bCs/>
                <w:sz w:val="22"/>
                <w:szCs w:val="22"/>
                <w:lang w:val="sr-Latn-ME" w:eastAsia="en-US"/>
              </w:rPr>
              <w:t>6.7. Režim izdavanja lijeka</w:t>
            </w:r>
          </w:p>
          <w:p w:rsidR="0091241D" w:rsidRDefault="0091241D" w:rsidP="006E1FE0">
            <w:pPr>
              <w:tabs>
                <w:tab w:val="left" w:pos="284"/>
                <w:tab w:val="center" w:pos="4320"/>
                <w:tab w:val="right" w:pos="8640"/>
              </w:tabs>
              <w:rPr>
                <w:bCs/>
                <w:sz w:val="22"/>
                <w:szCs w:val="22"/>
                <w:lang w:val="sr-Latn-ME" w:eastAsia="en-US"/>
              </w:rPr>
            </w:pPr>
          </w:p>
          <w:p w:rsidR="00755F6B" w:rsidRPr="00AB41EE" w:rsidRDefault="00755F6B" w:rsidP="006E1FE0">
            <w:pPr>
              <w:tabs>
                <w:tab w:val="left" w:pos="284"/>
                <w:tab w:val="center" w:pos="4320"/>
                <w:tab w:val="right" w:pos="8640"/>
              </w:tabs>
              <w:rPr>
                <w:bCs/>
                <w:sz w:val="22"/>
                <w:szCs w:val="22"/>
                <w:lang w:val="sr-Latn-ME" w:eastAsia="en-US"/>
              </w:rPr>
            </w:pPr>
            <w:r w:rsidRPr="00AB41EE">
              <w:rPr>
                <w:bCs/>
                <w:sz w:val="22"/>
                <w:szCs w:val="22"/>
                <w:lang w:val="sr-Latn-ME" w:eastAsia="en-US"/>
              </w:rPr>
              <w:t>Lijek se može izdavati samo na ljekarski recept.</w:t>
            </w:r>
          </w:p>
          <w:p w:rsidR="00755F6B" w:rsidRPr="00AB41EE" w:rsidRDefault="00755F6B" w:rsidP="006E1FE0">
            <w:pPr>
              <w:tabs>
                <w:tab w:val="left" w:pos="284"/>
                <w:tab w:val="center" w:pos="4320"/>
                <w:tab w:val="right" w:pos="8640"/>
              </w:tabs>
              <w:rPr>
                <w:sz w:val="22"/>
                <w:szCs w:val="22"/>
                <w:lang w:val="sr-Latn-ME" w:eastAsia="en-US"/>
              </w:rPr>
            </w:pPr>
          </w:p>
        </w:tc>
      </w:tr>
      <w:tr w:rsidR="00755F6B" w:rsidRPr="00AB41EE" w:rsidTr="006E1FE0">
        <w:trPr>
          <w:cantSplit/>
        </w:trPr>
        <w:tc>
          <w:tcPr>
            <w:tcW w:w="10260" w:type="dxa"/>
            <w:gridSpan w:val="3"/>
            <w:shd w:val="clear" w:color="auto" w:fill="E0E0E0"/>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 xml:space="preserve">7. NOSILAC DOZVOLE </w:t>
            </w:r>
          </w:p>
        </w:tc>
      </w:tr>
      <w:tr w:rsidR="00755F6B" w:rsidRPr="00AB41EE" w:rsidTr="006E1FE0">
        <w:trPr>
          <w:cantSplit/>
          <w:trHeight w:val="653"/>
        </w:trPr>
        <w:tc>
          <w:tcPr>
            <w:tcW w:w="10260" w:type="dxa"/>
            <w:gridSpan w:val="3"/>
            <w:vAlign w:val="center"/>
          </w:tcPr>
          <w:p w:rsidR="00755F6B" w:rsidRPr="00A549BA" w:rsidRDefault="00A549BA" w:rsidP="006E1FE0">
            <w:pPr>
              <w:tabs>
                <w:tab w:val="left" w:pos="284"/>
                <w:tab w:val="center" w:pos="4320"/>
                <w:tab w:val="right" w:pos="8640"/>
              </w:tabs>
              <w:rPr>
                <w:sz w:val="22"/>
                <w:szCs w:val="22"/>
                <w:lang w:eastAsia="en-US"/>
              </w:rPr>
            </w:pPr>
            <w:r w:rsidRPr="00DE71E5">
              <w:rPr>
                <w:sz w:val="22"/>
                <w:szCs w:val="22"/>
                <w:lang w:val="hr-HR" w:eastAsia="en-US"/>
              </w:rPr>
              <w:t>DSD „KRKA, d.d., Novo mesto“ - predstavništvo Podgorica</w:t>
            </w:r>
            <w:r>
              <w:rPr>
                <w:sz w:val="22"/>
                <w:szCs w:val="22"/>
                <w:lang w:val="hr-HR" w:eastAsia="en-US"/>
              </w:rPr>
              <w:t xml:space="preserve">, </w:t>
            </w:r>
            <w:r w:rsidRPr="00DE71E5">
              <w:rPr>
                <w:sz w:val="22"/>
                <w:szCs w:val="22"/>
                <w:lang w:eastAsia="en-US"/>
              </w:rPr>
              <w:t>Svetlane Kane Radević br. 3, 81000 Podgorica, Crna Gora</w:t>
            </w:r>
            <w:bookmarkStart w:id="1" w:name="_GoBack"/>
            <w:bookmarkEnd w:id="1"/>
          </w:p>
        </w:tc>
      </w:tr>
      <w:tr w:rsidR="00755F6B" w:rsidRPr="00AB41EE" w:rsidTr="006E1FE0">
        <w:trPr>
          <w:cantSplit/>
        </w:trPr>
        <w:tc>
          <w:tcPr>
            <w:tcW w:w="10260" w:type="dxa"/>
            <w:gridSpan w:val="3"/>
            <w:shd w:val="clear" w:color="auto" w:fill="E0E0E0"/>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8. BROJ PRVE DOZVOLE / OBNOVE DOZVOLE</w:t>
            </w:r>
          </w:p>
        </w:tc>
      </w:tr>
      <w:tr w:rsidR="00755F6B" w:rsidRPr="00AB41EE" w:rsidTr="006E1FE0">
        <w:trPr>
          <w:cantSplit/>
          <w:trHeight w:val="824"/>
        </w:trPr>
        <w:tc>
          <w:tcPr>
            <w:tcW w:w="10260" w:type="dxa"/>
            <w:gridSpan w:val="3"/>
            <w:vAlign w:val="center"/>
          </w:tcPr>
          <w:p w:rsidR="00755F6B" w:rsidRPr="00AB41EE" w:rsidRDefault="0026618F" w:rsidP="0026618F">
            <w:pPr>
              <w:rPr>
                <w:sz w:val="22"/>
                <w:szCs w:val="22"/>
                <w:lang w:val="sr-Latn-ME" w:eastAsia="en-US"/>
              </w:rPr>
            </w:pPr>
            <w:r w:rsidRPr="009C361E">
              <w:rPr>
                <w:sz w:val="22"/>
                <w:szCs w:val="22"/>
                <w:lang w:val="sr-Latn-ME"/>
              </w:rPr>
              <w:t>Sulfasalazin Krka EN, gastrorezistentna tableta, 500 mg,</w:t>
            </w:r>
            <w:r>
              <w:rPr>
                <w:sz w:val="22"/>
                <w:szCs w:val="22"/>
                <w:lang w:val="sr-Latn-ME"/>
              </w:rPr>
              <w:t xml:space="preserve"> </w:t>
            </w:r>
            <w:r w:rsidRPr="009C361E">
              <w:rPr>
                <w:sz w:val="22"/>
                <w:szCs w:val="22"/>
                <w:lang w:val="sr-Latn-ME"/>
              </w:rPr>
              <w:t>blister, 5x10 tableta</w:t>
            </w:r>
            <w:r>
              <w:rPr>
                <w:sz w:val="22"/>
                <w:szCs w:val="22"/>
                <w:lang w:val="sr-Latn-ME"/>
              </w:rPr>
              <w:t xml:space="preserve">: </w:t>
            </w:r>
            <w:r w:rsidRPr="00E70507">
              <w:rPr>
                <w:sz w:val="22"/>
                <w:szCs w:val="22"/>
                <w:lang w:val="sr-Latn-ME"/>
              </w:rPr>
              <w:t xml:space="preserve">2030/15/322 </w:t>
            </w:r>
            <w:r>
              <w:rPr>
                <w:sz w:val="22"/>
                <w:szCs w:val="22"/>
                <w:lang w:val="sr-Latn-ME"/>
              </w:rPr>
              <w:t>–</w:t>
            </w:r>
            <w:r w:rsidRPr="00E70507">
              <w:rPr>
                <w:sz w:val="22"/>
                <w:szCs w:val="22"/>
                <w:lang w:val="sr-Latn-ME"/>
              </w:rPr>
              <w:t xml:space="preserve"> 1874</w:t>
            </w:r>
          </w:p>
        </w:tc>
      </w:tr>
      <w:tr w:rsidR="00755F6B" w:rsidRPr="00AB41EE" w:rsidTr="006E1FE0">
        <w:trPr>
          <w:cantSplit/>
        </w:trPr>
        <w:tc>
          <w:tcPr>
            <w:tcW w:w="10260" w:type="dxa"/>
            <w:gridSpan w:val="3"/>
            <w:shd w:val="clear" w:color="auto" w:fill="E0E0E0"/>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9. DATUM PRVE DOZVOLE / DATUM OBNOVE DOZVOLE</w:t>
            </w:r>
          </w:p>
        </w:tc>
      </w:tr>
      <w:tr w:rsidR="00755F6B" w:rsidRPr="00AB41EE" w:rsidTr="006E1FE0">
        <w:trPr>
          <w:cantSplit/>
          <w:trHeight w:val="824"/>
        </w:trPr>
        <w:tc>
          <w:tcPr>
            <w:tcW w:w="10260" w:type="dxa"/>
            <w:gridSpan w:val="3"/>
            <w:vAlign w:val="center"/>
          </w:tcPr>
          <w:p w:rsidR="00755F6B" w:rsidRPr="00AB41EE" w:rsidRDefault="0026618F" w:rsidP="0026618F">
            <w:pPr>
              <w:rPr>
                <w:sz w:val="22"/>
                <w:szCs w:val="22"/>
                <w:lang w:val="sr-Latn-ME" w:eastAsia="en-US"/>
              </w:rPr>
            </w:pPr>
            <w:r w:rsidRPr="009C361E">
              <w:rPr>
                <w:sz w:val="22"/>
                <w:szCs w:val="22"/>
                <w:lang w:val="sr-Latn-ME"/>
              </w:rPr>
              <w:t>Sulfasalazin Krka EN, gastrorezistentna tableta, 500 mg,</w:t>
            </w:r>
            <w:r>
              <w:rPr>
                <w:sz w:val="22"/>
                <w:szCs w:val="22"/>
                <w:lang w:val="sr-Latn-ME"/>
              </w:rPr>
              <w:t xml:space="preserve"> </w:t>
            </w:r>
            <w:r w:rsidRPr="009C361E">
              <w:rPr>
                <w:sz w:val="22"/>
                <w:szCs w:val="22"/>
                <w:lang w:val="sr-Latn-ME"/>
              </w:rPr>
              <w:t>blister, 5x10 tableta</w:t>
            </w:r>
            <w:r>
              <w:rPr>
                <w:sz w:val="22"/>
                <w:szCs w:val="22"/>
                <w:lang w:val="sr-Latn-ME"/>
              </w:rPr>
              <w:t xml:space="preserve">: </w:t>
            </w:r>
            <w:r w:rsidRPr="00E70507">
              <w:rPr>
                <w:sz w:val="22"/>
                <w:szCs w:val="22"/>
                <w:lang w:val="sr-Latn-ME"/>
              </w:rPr>
              <w:t>15.07.2015. godine</w:t>
            </w:r>
          </w:p>
        </w:tc>
      </w:tr>
      <w:tr w:rsidR="00755F6B" w:rsidRPr="00AB41EE" w:rsidTr="006E1FE0">
        <w:trPr>
          <w:cantSplit/>
        </w:trPr>
        <w:tc>
          <w:tcPr>
            <w:tcW w:w="10260" w:type="dxa"/>
            <w:gridSpan w:val="3"/>
            <w:shd w:val="clear" w:color="auto" w:fill="E0E0E0"/>
            <w:vAlign w:val="center"/>
          </w:tcPr>
          <w:p w:rsidR="00755F6B" w:rsidRPr="00AB41EE" w:rsidRDefault="00755F6B" w:rsidP="006E1FE0">
            <w:pPr>
              <w:tabs>
                <w:tab w:val="left" w:pos="284"/>
                <w:tab w:val="center" w:pos="4320"/>
                <w:tab w:val="right" w:pos="8640"/>
              </w:tabs>
              <w:rPr>
                <w:b/>
                <w:bCs/>
                <w:sz w:val="22"/>
                <w:szCs w:val="22"/>
                <w:lang w:val="sr-Latn-ME" w:eastAsia="en-US"/>
              </w:rPr>
            </w:pPr>
            <w:r w:rsidRPr="00AB41EE">
              <w:rPr>
                <w:b/>
                <w:bCs/>
                <w:sz w:val="22"/>
                <w:szCs w:val="22"/>
                <w:lang w:val="sr-Latn-ME" w:eastAsia="en-US"/>
              </w:rPr>
              <w:t>10. DATUM REVIZIJE TEKSTA</w:t>
            </w:r>
          </w:p>
        </w:tc>
      </w:tr>
      <w:tr w:rsidR="00755F6B" w:rsidRPr="00AB41EE" w:rsidTr="006E1FE0">
        <w:trPr>
          <w:cantSplit/>
          <w:trHeight w:val="1145"/>
        </w:trPr>
        <w:tc>
          <w:tcPr>
            <w:tcW w:w="10260" w:type="dxa"/>
            <w:gridSpan w:val="3"/>
            <w:vAlign w:val="center"/>
          </w:tcPr>
          <w:p w:rsidR="00755F6B" w:rsidRPr="00AB41EE" w:rsidRDefault="0026618F" w:rsidP="006E1FE0">
            <w:pPr>
              <w:tabs>
                <w:tab w:val="left" w:pos="-720"/>
              </w:tabs>
              <w:suppressAutoHyphens/>
              <w:spacing w:line="288" w:lineRule="auto"/>
              <w:ind w:left="14"/>
              <w:rPr>
                <w:sz w:val="22"/>
                <w:szCs w:val="22"/>
                <w:lang w:val="sr-Latn-ME" w:eastAsia="en-US"/>
              </w:rPr>
            </w:pPr>
            <w:r>
              <w:rPr>
                <w:bCs/>
                <w:sz w:val="22"/>
                <w:szCs w:val="22"/>
                <w:lang w:val="sr-Latn-ME"/>
              </w:rPr>
              <w:t>Jul, 2015.</w:t>
            </w:r>
          </w:p>
        </w:tc>
      </w:tr>
    </w:tbl>
    <w:p w:rsidR="00755F6B" w:rsidRPr="00AB41EE" w:rsidRDefault="00755F6B" w:rsidP="00755F6B">
      <w:pPr>
        <w:tabs>
          <w:tab w:val="left" w:pos="284"/>
          <w:tab w:val="center" w:pos="4320"/>
          <w:tab w:val="right" w:pos="8640"/>
        </w:tabs>
        <w:rPr>
          <w:sz w:val="22"/>
          <w:szCs w:val="22"/>
          <w:lang w:val="sr-Latn-ME" w:eastAsia="en-US"/>
        </w:rPr>
      </w:pPr>
    </w:p>
    <w:p w:rsidR="00755F6B" w:rsidRPr="00AB41EE" w:rsidRDefault="00755F6B" w:rsidP="00755F6B">
      <w:pPr>
        <w:rPr>
          <w:sz w:val="22"/>
          <w:szCs w:val="22"/>
          <w:lang w:val="sr-Latn-ME"/>
        </w:rPr>
      </w:pPr>
    </w:p>
    <w:p w:rsidR="00CF089C" w:rsidRPr="00AB41EE" w:rsidRDefault="00CF089C" w:rsidP="00755F6B">
      <w:pPr>
        <w:rPr>
          <w:sz w:val="22"/>
          <w:szCs w:val="22"/>
          <w:lang w:val="sr-Latn-ME"/>
        </w:rPr>
      </w:pPr>
    </w:p>
    <w:sectPr w:rsidR="00CF089C" w:rsidRPr="00AB41EE" w:rsidSect="00C82EEF">
      <w:headerReference w:type="even" r:id="rId12"/>
      <w:headerReference w:type="default" r:id="rId13"/>
      <w:footerReference w:type="even" r:id="rId14"/>
      <w:footerReference w:type="default" r:id="rId15"/>
      <w:headerReference w:type="first" r:id="rId16"/>
      <w:footerReference w:type="first" r:id="rId17"/>
      <w:type w:val="continuous"/>
      <w:pgSz w:w="11905" w:h="16837"/>
      <w:pgMar w:top="938" w:right="1132" w:bottom="1134" w:left="1134"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EB4" w:rsidRDefault="004F6EB4">
      <w:r>
        <w:separator/>
      </w:r>
    </w:p>
  </w:endnote>
  <w:endnote w:type="continuationSeparator" w:id="0">
    <w:p w:rsidR="004F6EB4" w:rsidRDefault="004F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charset w:val="00"/>
    <w:family w:val="auto"/>
    <w:pitch w:val="variable"/>
    <w:sig w:usb0="00000003"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EEF" w:rsidRPr="00E77849" w:rsidRDefault="00C82EEF" w:rsidP="00C82EEF">
    <w:pPr>
      <w:framePr w:wrap="around" w:vAnchor="text" w:hAnchor="margin" w:xAlign="right" w:y="1"/>
      <w:tabs>
        <w:tab w:val="center" w:pos="4320"/>
        <w:tab w:val="right" w:pos="8640"/>
      </w:tabs>
      <w:rPr>
        <w:sz w:val="20"/>
        <w:lang w:val="sr-Latn-ME" w:eastAsia="en-US"/>
      </w:rPr>
    </w:pPr>
  </w:p>
  <w:p w:rsidR="00C82EEF" w:rsidRPr="00E77849" w:rsidRDefault="00C82EEF" w:rsidP="00C82EEF">
    <w:pPr>
      <w:pBdr>
        <w:top w:val="thinThickSmallGap" w:sz="24" w:space="1" w:color="auto"/>
      </w:pBdr>
      <w:tabs>
        <w:tab w:val="center" w:pos="4320"/>
        <w:tab w:val="right" w:pos="8640"/>
      </w:tabs>
      <w:jc w:val="center"/>
      <w:rPr>
        <w:sz w:val="20"/>
        <w:lang w:val="sr-Latn-ME" w:eastAsia="en-US"/>
      </w:rPr>
    </w:pPr>
  </w:p>
  <w:p w:rsidR="00C82EEF" w:rsidRPr="00E77849" w:rsidRDefault="00C82EEF" w:rsidP="00C82EEF">
    <w:pPr>
      <w:tabs>
        <w:tab w:val="center" w:pos="4320"/>
        <w:tab w:val="right" w:pos="8640"/>
      </w:tabs>
      <w:jc w:val="center"/>
      <w:rPr>
        <w:color w:val="E65900"/>
        <w:sz w:val="16"/>
        <w:szCs w:val="18"/>
        <w:lang w:val="sr-Latn-ME" w:eastAsia="en-US"/>
      </w:rPr>
    </w:pPr>
    <w:r w:rsidRPr="00E77849">
      <w:rPr>
        <w:color w:val="FA0000"/>
        <w:sz w:val="16"/>
        <w:szCs w:val="18"/>
        <w:lang w:val="sr-Latn-ME" w:eastAsia="en-US"/>
      </w:rPr>
      <w:t>Agencija za ljekove i medicinska sredstva Crne Gore,</w:t>
    </w:r>
    <w:r w:rsidRPr="00E77849">
      <w:rPr>
        <w:sz w:val="16"/>
        <w:szCs w:val="18"/>
        <w:lang w:val="sr-Latn-ME" w:eastAsia="en-US"/>
      </w:rPr>
      <w:t xml:space="preserve"> </w:t>
    </w:r>
    <w:r w:rsidRPr="00E77849">
      <w:rPr>
        <w:color w:val="E65900"/>
        <w:sz w:val="16"/>
        <w:szCs w:val="18"/>
        <w:lang w:val="sr-Latn-ME" w:eastAsia="en-US"/>
      </w:rPr>
      <w:t>81000 Podgorica, Bul. Ivana Crnojevića 64a</w:t>
    </w:r>
  </w:p>
  <w:p w:rsidR="00C82EEF" w:rsidRPr="00E77849" w:rsidRDefault="00C82EEF" w:rsidP="00C82EEF">
    <w:pPr>
      <w:tabs>
        <w:tab w:val="center" w:pos="4320"/>
        <w:tab w:val="right" w:pos="8640"/>
      </w:tabs>
      <w:jc w:val="center"/>
      <w:rPr>
        <w:color w:val="FA0000"/>
        <w:sz w:val="16"/>
        <w:szCs w:val="18"/>
        <w:lang w:val="sr-Latn-ME" w:eastAsia="en-US"/>
      </w:rPr>
    </w:pPr>
    <w:r w:rsidRPr="00E77849">
      <w:rPr>
        <w:color w:val="E65900"/>
        <w:sz w:val="16"/>
        <w:szCs w:val="18"/>
        <w:lang w:val="sr-Latn-ME" w:eastAsia="en-US"/>
      </w:rPr>
      <w:t xml:space="preserve">tel: +382 (0) 20 310 280  </w:t>
    </w:r>
    <w:r w:rsidRPr="00E77849">
      <w:rPr>
        <w:color w:val="FA0000"/>
        <w:sz w:val="16"/>
        <w:szCs w:val="18"/>
        <w:lang w:val="sr-Latn-ME" w:eastAsia="en-US"/>
      </w:rPr>
      <w:t>fax: +382 (0) 20 310 581,</w:t>
    </w:r>
    <w:r w:rsidRPr="00E77849">
      <w:rPr>
        <w:sz w:val="16"/>
        <w:szCs w:val="18"/>
        <w:lang w:val="sr-Latn-ME" w:eastAsia="en-US"/>
      </w:rPr>
      <w:t xml:space="preserve"> </w:t>
    </w:r>
    <w:r w:rsidRPr="00E77849">
      <w:rPr>
        <w:color w:val="E65900"/>
        <w:sz w:val="16"/>
        <w:szCs w:val="18"/>
        <w:lang w:val="sr-Latn-ME" w:eastAsia="en-US"/>
      </w:rPr>
      <w:t>e-mail: info@calims.me,</w:t>
    </w:r>
    <w:r w:rsidRPr="00E77849">
      <w:rPr>
        <w:sz w:val="16"/>
        <w:szCs w:val="18"/>
        <w:lang w:val="sr-Latn-ME" w:eastAsia="en-US"/>
      </w:rPr>
      <w:t xml:space="preserve"> </w:t>
    </w:r>
    <w:r w:rsidRPr="00E77849">
      <w:rPr>
        <w:color w:val="FA0000"/>
        <w:sz w:val="16"/>
        <w:szCs w:val="18"/>
        <w:lang w:val="sr-Latn-ME" w:eastAsia="en-US"/>
      </w:rPr>
      <w:t>www.calims.me</w:t>
    </w:r>
    <w:r w:rsidRPr="00E77849">
      <w:rPr>
        <w:sz w:val="16"/>
        <w:szCs w:val="18"/>
        <w:lang w:val="sr-Latn-ME" w:eastAsia="en-US"/>
      </w:rPr>
      <w:t xml:space="preserve">, </w:t>
    </w:r>
    <w:r w:rsidRPr="00E77849">
      <w:rPr>
        <w:color w:val="E65900"/>
        <w:sz w:val="16"/>
        <w:szCs w:val="18"/>
        <w:lang w:val="sr-Latn-ME" w:eastAsia="en-US"/>
      </w:rPr>
      <w:t>PIB: 02739658,</w:t>
    </w:r>
    <w:r w:rsidRPr="00E77849">
      <w:rPr>
        <w:sz w:val="16"/>
        <w:szCs w:val="18"/>
        <w:lang w:val="sr-Latn-ME" w:eastAsia="en-US"/>
      </w:rPr>
      <w:t xml:space="preserve"> </w:t>
    </w:r>
    <w:r w:rsidRPr="00E77849">
      <w:rPr>
        <w:color w:val="FA0000"/>
        <w:sz w:val="16"/>
        <w:szCs w:val="18"/>
        <w:lang w:val="sr-Latn-ME" w:eastAsia="en-US"/>
      </w:rPr>
      <w:t>žiro račun: 520-3603-33</w:t>
    </w:r>
  </w:p>
  <w:p w:rsidR="00C82EEF" w:rsidRPr="00E77849" w:rsidRDefault="00C82EEF" w:rsidP="00C82EEF">
    <w:pPr>
      <w:tabs>
        <w:tab w:val="center" w:pos="4320"/>
        <w:tab w:val="right" w:pos="8640"/>
      </w:tabs>
      <w:jc w:val="center"/>
      <w:rPr>
        <w:sz w:val="16"/>
        <w:szCs w:val="18"/>
        <w:lang w:val="sr-Latn-ME" w:eastAsia="en-US"/>
      </w:rPr>
    </w:pPr>
  </w:p>
  <w:p w:rsidR="00C82EEF" w:rsidRPr="00E77849" w:rsidRDefault="00C82EEF" w:rsidP="00C82EEF">
    <w:pPr>
      <w:tabs>
        <w:tab w:val="center" w:pos="4320"/>
        <w:tab w:val="right" w:pos="8640"/>
      </w:tabs>
      <w:rPr>
        <w:sz w:val="20"/>
        <w:lang w:val="sr-Latn-ME" w:eastAsia="en-US"/>
      </w:rPr>
    </w:pPr>
  </w:p>
  <w:p w:rsidR="00C82EEF" w:rsidRPr="00E77849" w:rsidRDefault="00C82EEF" w:rsidP="00C82EEF">
    <w:pPr>
      <w:tabs>
        <w:tab w:val="left" w:pos="1995"/>
        <w:tab w:val="center" w:pos="4320"/>
        <w:tab w:val="center" w:pos="4819"/>
        <w:tab w:val="right" w:pos="8640"/>
      </w:tabs>
      <w:rPr>
        <w:sz w:val="22"/>
        <w:szCs w:val="22"/>
        <w:lang w:val="sr-Latn-ME" w:eastAsia="en-US"/>
      </w:rPr>
    </w:pPr>
    <w:r>
      <w:rPr>
        <w:sz w:val="20"/>
        <w:lang w:val="sr-Latn-ME" w:eastAsia="en-US"/>
      </w:rPr>
      <w:tab/>
    </w:r>
    <w:r>
      <w:rPr>
        <w:sz w:val="20"/>
        <w:lang w:val="sr-Latn-ME" w:eastAsia="en-US"/>
      </w:rPr>
      <w:tab/>
    </w:r>
    <w:r>
      <w:rPr>
        <w:sz w:val="20"/>
        <w:lang w:val="sr-Latn-ME" w:eastAsia="en-US"/>
      </w:rPr>
      <w:tab/>
    </w:r>
    <w:r w:rsidRPr="00E77849">
      <w:rPr>
        <w:sz w:val="20"/>
        <w:lang w:val="sr-Latn-ME" w:eastAsia="en-US"/>
      </w:rPr>
      <w:fldChar w:fldCharType="begin"/>
    </w:r>
    <w:r w:rsidRPr="00E77849">
      <w:rPr>
        <w:sz w:val="20"/>
        <w:lang w:val="sr-Latn-ME" w:eastAsia="en-US"/>
      </w:rPr>
      <w:instrText xml:space="preserve"> PAGE </w:instrText>
    </w:r>
    <w:r w:rsidRPr="00E77849">
      <w:rPr>
        <w:sz w:val="20"/>
        <w:lang w:val="sr-Latn-ME" w:eastAsia="en-US"/>
      </w:rPr>
      <w:fldChar w:fldCharType="separate"/>
    </w:r>
    <w:r w:rsidR="00A549BA">
      <w:rPr>
        <w:noProof/>
        <w:sz w:val="20"/>
        <w:lang w:val="sr-Latn-ME" w:eastAsia="en-US"/>
      </w:rPr>
      <w:t>1</w:t>
    </w:r>
    <w:r w:rsidRPr="00E77849">
      <w:rPr>
        <w:sz w:val="20"/>
        <w:lang w:val="sr-Latn-ME" w:eastAsia="en-US"/>
      </w:rPr>
      <w:fldChar w:fldCharType="end"/>
    </w:r>
    <w:r w:rsidRPr="00E77849">
      <w:rPr>
        <w:sz w:val="20"/>
        <w:lang w:val="sr-Latn-ME" w:eastAsia="en-US"/>
      </w:rPr>
      <w:t xml:space="preserve"> / </w:t>
    </w:r>
    <w:r w:rsidRPr="00E77849">
      <w:rPr>
        <w:sz w:val="20"/>
        <w:lang w:val="sr-Latn-ME" w:eastAsia="en-US"/>
      </w:rPr>
      <w:fldChar w:fldCharType="begin"/>
    </w:r>
    <w:r w:rsidRPr="00E77849">
      <w:rPr>
        <w:sz w:val="20"/>
        <w:lang w:val="sr-Latn-ME" w:eastAsia="en-US"/>
      </w:rPr>
      <w:instrText xml:space="preserve"> NUMPAGES </w:instrText>
    </w:r>
    <w:r w:rsidRPr="00E77849">
      <w:rPr>
        <w:sz w:val="20"/>
        <w:lang w:val="sr-Latn-ME" w:eastAsia="en-US"/>
      </w:rPr>
      <w:fldChar w:fldCharType="separate"/>
    </w:r>
    <w:r w:rsidR="00A549BA">
      <w:rPr>
        <w:noProof/>
        <w:sz w:val="20"/>
        <w:lang w:val="sr-Latn-ME" w:eastAsia="en-US"/>
      </w:rPr>
      <w:t>10</w:t>
    </w:r>
    <w:r w:rsidRPr="00E77849">
      <w:rPr>
        <w:sz w:val="20"/>
        <w:lang w:val="sr-Latn-ME" w:eastAsia="en-US"/>
      </w:rPr>
      <w:fldChar w:fldCharType="end"/>
    </w:r>
  </w:p>
  <w:p w:rsidR="00C82EEF" w:rsidRPr="00E77849" w:rsidRDefault="00C82EEF" w:rsidP="00C82EEF">
    <w:pPr>
      <w:tabs>
        <w:tab w:val="left" w:pos="3300"/>
      </w:tabs>
      <w:rPr>
        <w:sz w:val="20"/>
        <w:lang w:val="sr-Latn-ME" w:eastAsia="en-US"/>
      </w:rPr>
    </w:pPr>
    <w:r>
      <w:rPr>
        <w:sz w:val="20"/>
        <w:lang w:val="sr-Latn-ME" w:eastAsia="en-US"/>
      </w:rPr>
      <w:tab/>
    </w:r>
  </w:p>
  <w:p w:rsidR="00C82EEF" w:rsidRPr="00E77849" w:rsidRDefault="00C82EEF" w:rsidP="00C82EEF">
    <w:pPr>
      <w:pStyle w:val="Footer"/>
    </w:pPr>
  </w:p>
  <w:p w:rsidR="00755F6B" w:rsidRPr="00C82EEF" w:rsidRDefault="00755F6B" w:rsidP="00C82E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C3E" w:rsidRDefault="006D2C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EEF" w:rsidRPr="00E77849" w:rsidRDefault="00C82EEF" w:rsidP="00C82EEF">
    <w:pPr>
      <w:framePr w:wrap="around" w:vAnchor="text" w:hAnchor="margin" w:xAlign="right" w:y="1"/>
      <w:tabs>
        <w:tab w:val="center" w:pos="4320"/>
        <w:tab w:val="right" w:pos="8640"/>
      </w:tabs>
      <w:rPr>
        <w:sz w:val="20"/>
        <w:lang w:val="sr-Latn-ME" w:eastAsia="en-US"/>
      </w:rPr>
    </w:pPr>
  </w:p>
  <w:p w:rsidR="00C82EEF" w:rsidRPr="00E77849" w:rsidRDefault="00C82EEF" w:rsidP="00C82EEF">
    <w:pPr>
      <w:pBdr>
        <w:top w:val="thinThickSmallGap" w:sz="24" w:space="1" w:color="auto"/>
      </w:pBdr>
      <w:tabs>
        <w:tab w:val="center" w:pos="4320"/>
        <w:tab w:val="right" w:pos="8640"/>
      </w:tabs>
      <w:jc w:val="center"/>
      <w:rPr>
        <w:sz w:val="20"/>
        <w:lang w:val="sr-Latn-ME" w:eastAsia="en-US"/>
      </w:rPr>
    </w:pPr>
  </w:p>
  <w:p w:rsidR="00C82EEF" w:rsidRPr="00E77849" w:rsidRDefault="00C82EEF" w:rsidP="00C82EEF">
    <w:pPr>
      <w:tabs>
        <w:tab w:val="center" w:pos="4320"/>
        <w:tab w:val="right" w:pos="8640"/>
      </w:tabs>
      <w:jc w:val="center"/>
      <w:rPr>
        <w:color w:val="E65900"/>
        <w:sz w:val="16"/>
        <w:szCs w:val="18"/>
        <w:lang w:val="sr-Latn-ME" w:eastAsia="en-US"/>
      </w:rPr>
    </w:pPr>
    <w:r w:rsidRPr="00E77849">
      <w:rPr>
        <w:color w:val="FA0000"/>
        <w:sz w:val="16"/>
        <w:szCs w:val="18"/>
        <w:lang w:val="sr-Latn-ME" w:eastAsia="en-US"/>
      </w:rPr>
      <w:t>Agencija za ljekove i medicinska sredstva Crne Gore,</w:t>
    </w:r>
    <w:r w:rsidRPr="00E77849">
      <w:rPr>
        <w:sz w:val="16"/>
        <w:szCs w:val="18"/>
        <w:lang w:val="sr-Latn-ME" w:eastAsia="en-US"/>
      </w:rPr>
      <w:t xml:space="preserve"> </w:t>
    </w:r>
    <w:r w:rsidRPr="00E77849">
      <w:rPr>
        <w:color w:val="E65900"/>
        <w:sz w:val="16"/>
        <w:szCs w:val="18"/>
        <w:lang w:val="sr-Latn-ME" w:eastAsia="en-US"/>
      </w:rPr>
      <w:t>81000 Podgorica, Bul. Ivana Crnojevića 64a</w:t>
    </w:r>
  </w:p>
  <w:p w:rsidR="00C82EEF" w:rsidRPr="00E77849" w:rsidRDefault="00C82EEF" w:rsidP="00C82EEF">
    <w:pPr>
      <w:tabs>
        <w:tab w:val="center" w:pos="4320"/>
        <w:tab w:val="right" w:pos="8640"/>
      </w:tabs>
      <w:jc w:val="center"/>
      <w:rPr>
        <w:color w:val="FA0000"/>
        <w:sz w:val="16"/>
        <w:szCs w:val="18"/>
        <w:lang w:val="sr-Latn-ME" w:eastAsia="en-US"/>
      </w:rPr>
    </w:pPr>
    <w:r w:rsidRPr="00E77849">
      <w:rPr>
        <w:color w:val="E65900"/>
        <w:sz w:val="16"/>
        <w:szCs w:val="18"/>
        <w:lang w:val="sr-Latn-ME" w:eastAsia="en-US"/>
      </w:rPr>
      <w:t xml:space="preserve">tel: +382 (0) 20 310 280  </w:t>
    </w:r>
    <w:r w:rsidRPr="00E77849">
      <w:rPr>
        <w:color w:val="FA0000"/>
        <w:sz w:val="16"/>
        <w:szCs w:val="18"/>
        <w:lang w:val="sr-Latn-ME" w:eastAsia="en-US"/>
      </w:rPr>
      <w:t>fax: +382 (0) 20 310 581,</w:t>
    </w:r>
    <w:r w:rsidRPr="00E77849">
      <w:rPr>
        <w:sz w:val="16"/>
        <w:szCs w:val="18"/>
        <w:lang w:val="sr-Latn-ME" w:eastAsia="en-US"/>
      </w:rPr>
      <w:t xml:space="preserve"> </w:t>
    </w:r>
    <w:r w:rsidRPr="00E77849">
      <w:rPr>
        <w:color w:val="E65900"/>
        <w:sz w:val="16"/>
        <w:szCs w:val="18"/>
        <w:lang w:val="sr-Latn-ME" w:eastAsia="en-US"/>
      </w:rPr>
      <w:t>e-mail: info@calims.me,</w:t>
    </w:r>
    <w:r w:rsidRPr="00E77849">
      <w:rPr>
        <w:sz w:val="16"/>
        <w:szCs w:val="18"/>
        <w:lang w:val="sr-Latn-ME" w:eastAsia="en-US"/>
      </w:rPr>
      <w:t xml:space="preserve"> </w:t>
    </w:r>
    <w:r w:rsidRPr="00E77849">
      <w:rPr>
        <w:color w:val="FA0000"/>
        <w:sz w:val="16"/>
        <w:szCs w:val="18"/>
        <w:lang w:val="sr-Latn-ME" w:eastAsia="en-US"/>
      </w:rPr>
      <w:t>www.calims.me</w:t>
    </w:r>
    <w:r w:rsidRPr="00E77849">
      <w:rPr>
        <w:sz w:val="16"/>
        <w:szCs w:val="18"/>
        <w:lang w:val="sr-Latn-ME" w:eastAsia="en-US"/>
      </w:rPr>
      <w:t xml:space="preserve">, </w:t>
    </w:r>
    <w:r w:rsidRPr="00E77849">
      <w:rPr>
        <w:color w:val="E65900"/>
        <w:sz w:val="16"/>
        <w:szCs w:val="18"/>
        <w:lang w:val="sr-Latn-ME" w:eastAsia="en-US"/>
      </w:rPr>
      <w:t>PIB: 02739658,</w:t>
    </w:r>
    <w:r w:rsidRPr="00E77849">
      <w:rPr>
        <w:sz w:val="16"/>
        <w:szCs w:val="18"/>
        <w:lang w:val="sr-Latn-ME" w:eastAsia="en-US"/>
      </w:rPr>
      <w:t xml:space="preserve"> </w:t>
    </w:r>
    <w:r w:rsidRPr="00E77849">
      <w:rPr>
        <w:color w:val="FA0000"/>
        <w:sz w:val="16"/>
        <w:szCs w:val="18"/>
        <w:lang w:val="sr-Latn-ME" w:eastAsia="en-US"/>
      </w:rPr>
      <w:t>žiro račun: 520-3603-33</w:t>
    </w:r>
  </w:p>
  <w:p w:rsidR="00C82EEF" w:rsidRPr="00E77849" w:rsidRDefault="00C82EEF" w:rsidP="00C82EEF">
    <w:pPr>
      <w:tabs>
        <w:tab w:val="center" w:pos="4320"/>
        <w:tab w:val="right" w:pos="8640"/>
      </w:tabs>
      <w:jc w:val="center"/>
      <w:rPr>
        <w:sz w:val="16"/>
        <w:szCs w:val="18"/>
        <w:lang w:val="sr-Latn-ME" w:eastAsia="en-US"/>
      </w:rPr>
    </w:pPr>
  </w:p>
  <w:p w:rsidR="00C82EEF" w:rsidRPr="00E77849" w:rsidRDefault="00C82EEF" w:rsidP="00C82EEF">
    <w:pPr>
      <w:tabs>
        <w:tab w:val="center" w:pos="4320"/>
        <w:tab w:val="right" w:pos="8640"/>
      </w:tabs>
      <w:rPr>
        <w:sz w:val="20"/>
        <w:lang w:val="sr-Latn-ME" w:eastAsia="en-US"/>
      </w:rPr>
    </w:pPr>
  </w:p>
  <w:p w:rsidR="00C82EEF" w:rsidRPr="00E77849" w:rsidRDefault="00C82EEF" w:rsidP="00C82EEF">
    <w:pPr>
      <w:tabs>
        <w:tab w:val="left" w:pos="1995"/>
        <w:tab w:val="center" w:pos="4320"/>
        <w:tab w:val="center" w:pos="4819"/>
        <w:tab w:val="right" w:pos="8640"/>
      </w:tabs>
      <w:rPr>
        <w:sz w:val="22"/>
        <w:szCs w:val="22"/>
        <w:lang w:val="sr-Latn-ME" w:eastAsia="en-US"/>
      </w:rPr>
    </w:pPr>
    <w:r>
      <w:rPr>
        <w:sz w:val="20"/>
        <w:lang w:val="sr-Latn-ME" w:eastAsia="en-US"/>
      </w:rPr>
      <w:tab/>
    </w:r>
    <w:r>
      <w:rPr>
        <w:sz w:val="20"/>
        <w:lang w:val="sr-Latn-ME" w:eastAsia="en-US"/>
      </w:rPr>
      <w:tab/>
    </w:r>
    <w:r>
      <w:rPr>
        <w:sz w:val="20"/>
        <w:lang w:val="sr-Latn-ME" w:eastAsia="en-US"/>
      </w:rPr>
      <w:tab/>
    </w:r>
    <w:r w:rsidRPr="00E77849">
      <w:rPr>
        <w:sz w:val="20"/>
        <w:lang w:val="sr-Latn-ME" w:eastAsia="en-US"/>
      </w:rPr>
      <w:fldChar w:fldCharType="begin"/>
    </w:r>
    <w:r w:rsidRPr="00E77849">
      <w:rPr>
        <w:sz w:val="20"/>
        <w:lang w:val="sr-Latn-ME" w:eastAsia="en-US"/>
      </w:rPr>
      <w:instrText xml:space="preserve"> PAGE </w:instrText>
    </w:r>
    <w:r w:rsidRPr="00E77849">
      <w:rPr>
        <w:sz w:val="20"/>
        <w:lang w:val="sr-Latn-ME" w:eastAsia="en-US"/>
      </w:rPr>
      <w:fldChar w:fldCharType="separate"/>
    </w:r>
    <w:r w:rsidR="00A549BA">
      <w:rPr>
        <w:noProof/>
        <w:sz w:val="20"/>
        <w:lang w:val="sr-Latn-ME" w:eastAsia="en-US"/>
      </w:rPr>
      <w:t>10</w:t>
    </w:r>
    <w:r w:rsidRPr="00E77849">
      <w:rPr>
        <w:sz w:val="20"/>
        <w:lang w:val="sr-Latn-ME" w:eastAsia="en-US"/>
      </w:rPr>
      <w:fldChar w:fldCharType="end"/>
    </w:r>
    <w:r w:rsidRPr="00E77849">
      <w:rPr>
        <w:sz w:val="20"/>
        <w:lang w:val="sr-Latn-ME" w:eastAsia="en-US"/>
      </w:rPr>
      <w:t xml:space="preserve"> / </w:t>
    </w:r>
    <w:r w:rsidRPr="00E77849">
      <w:rPr>
        <w:sz w:val="20"/>
        <w:lang w:val="sr-Latn-ME" w:eastAsia="en-US"/>
      </w:rPr>
      <w:fldChar w:fldCharType="begin"/>
    </w:r>
    <w:r w:rsidRPr="00E77849">
      <w:rPr>
        <w:sz w:val="20"/>
        <w:lang w:val="sr-Latn-ME" w:eastAsia="en-US"/>
      </w:rPr>
      <w:instrText xml:space="preserve"> NUMPAGES </w:instrText>
    </w:r>
    <w:r w:rsidRPr="00E77849">
      <w:rPr>
        <w:sz w:val="20"/>
        <w:lang w:val="sr-Latn-ME" w:eastAsia="en-US"/>
      </w:rPr>
      <w:fldChar w:fldCharType="separate"/>
    </w:r>
    <w:r w:rsidR="00A549BA">
      <w:rPr>
        <w:noProof/>
        <w:sz w:val="20"/>
        <w:lang w:val="sr-Latn-ME" w:eastAsia="en-US"/>
      </w:rPr>
      <w:t>10</w:t>
    </w:r>
    <w:r w:rsidRPr="00E77849">
      <w:rPr>
        <w:sz w:val="20"/>
        <w:lang w:val="sr-Latn-ME" w:eastAsia="en-US"/>
      </w:rPr>
      <w:fldChar w:fldCharType="end"/>
    </w:r>
  </w:p>
  <w:p w:rsidR="00C82EEF" w:rsidRPr="00E77849" w:rsidRDefault="00C82EEF" w:rsidP="00C82EEF">
    <w:pPr>
      <w:rPr>
        <w:sz w:val="20"/>
        <w:lang w:val="sr-Latn-ME" w:eastAsia="en-US"/>
      </w:rPr>
    </w:pPr>
  </w:p>
  <w:p w:rsidR="00C82EEF" w:rsidRPr="00E77849" w:rsidRDefault="00C82EEF" w:rsidP="00C82EEF">
    <w:pPr>
      <w:pStyle w:val="Footer"/>
    </w:pPr>
  </w:p>
  <w:p w:rsidR="006D2C3E" w:rsidRPr="00C82EEF" w:rsidRDefault="006D2C3E" w:rsidP="00C82E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C3E" w:rsidRDefault="006D2C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EB4" w:rsidRDefault="004F6EB4">
      <w:r>
        <w:separator/>
      </w:r>
    </w:p>
  </w:footnote>
  <w:footnote w:type="continuationSeparator" w:id="0">
    <w:p w:rsidR="004F6EB4" w:rsidRDefault="004F6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EEF" w:rsidRDefault="00C82EEF" w:rsidP="00C82EEF">
    <w:pPr>
      <w:pStyle w:val="Header"/>
      <w:rPr>
        <w:sz w:val="16"/>
        <w:szCs w:val="16"/>
      </w:rPr>
    </w:pPr>
    <w:bookmarkStart w:id="0" w:name="TableTag1"/>
    <w:bookmarkEnd w:id="0"/>
  </w:p>
  <w:p w:rsidR="00C82EEF" w:rsidRDefault="00C82EEF" w:rsidP="00C82EEF">
    <w:pPr>
      <w:pStyle w:val="Header"/>
      <w:pBdr>
        <w:top w:val="thinThickSmallGap" w:sz="24" w:space="2" w:color="auto"/>
      </w:pBdr>
      <w:tabs>
        <w:tab w:val="clear" w:pos="8640"/>
        <w:tab w:val="left" w:pos="4320"/>
      </w:tabs>
      <w:rPr>
        <w:noProof/>
        <w:sz w:val="16"/>
        <w:szCs w:val="16"/>
        <w:lang w:val="sr-Latn-ME" w:eastAsia="sr-Latn-ME"/>
      </w:rPr>
    </w:pPr>
    <w:r>
      <w:rPr>
        <w:noProof/>
        <w:sz w:val="16"/>
        <w:szCs w:val="16"/>
        <w:lang w:val="en-US" w:eastAsia="en-US"/>
      </w:rPr>
      <w:drawing>
        <wp:inline distT="0" distB="0" distL="0" distR="0" wp14:anchorId="6D901DAB" wp14:editId="4CCF12FF">
          <wp:extent cx="1419225" cy="971550"/>
          <wp:effectExtent l="0" t="0" r="9525" b="0"/>
          <wp:docPr id="3"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755F6B" w:rsidRPr="00C82EEF" w:rsidRDefault="00C82EEF" w:rsidP="00C82EEF">
    <w:pPr>
      <w:pStyle w:val="Header"/>
      <w:pBdr>
        <w:top w:val="thinThickSmallGap" w:sz="24" w:space="2" w:color="auto"/>
      </w:pBdr>
      <w:tabs>
        <w:tab w:val="clear" w:pos="8640"/>
        <w:tab w:val="left" w:pos="4320"/>
      </w:tabs>
    </w:pPr>
    <w:r>
      <w:rPr>
        <w:noProof/>
        <w:sz w:val="16"/>
        <w:szCs w:val="16"/>
        <w:lang w:val="sr-Latn-ME" w:eastAsia="sr-Latn-M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C3E" w:rsidRDefault="006D2C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EEF" w:rsidRDefault="00C82EEF" w:rsidP="00C82EEF">
    <w:pPr>
      <w:pStyle w:val="Header"/>
      <w:rPr>
        <w:sz w:val="16"/>
        <w:szCs w:val="16"/>
      </w:rPr>
    </w:pPr>
  </w:p>
  <w:p w:rsidR="00C82EEF" w:rsidRDefault="00C82EEF" w:rsidP="00C82EEF">
    <w:pPr>
      <w:pStyle w:val="Header"/>
      <w:pBdr>
        <w:top w:val="thinThickSmallGap" w:sz="24" w:space="2" w:color="auto"/>
      </w:pBdr>
      <w:tabs>
        <w:tab w:val="clear" w:pos="8640"/>
        <w:tab w:val="left" w:pos="4320"/>
      </w:tabs>
      <w:rPr>
        <w:noProof/>
        <w:sz w:val="16"/>
        <w:szCs w:val="16"/>
        <w:lang w:val="sr-Latn-ME" w:eastAsia="sr-Latn-ME"/>
      </w:rPr>
    </w:pPr>
    <w:r>
      <w:rPr>
        <w:noProof/>
        <w:sz w:val="16"/>
        <w:szCs w:val="16"/>
        <w:lang w:val="en-US" w:eastAsia="en-US"/>
      </w:rPr>
      <w:drawing>
        <wp:inline distT="0" distB="0" distL="0" distR="0" wp14:anchorId="2480C573" wp14:editId="7B238CB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noProof/>
        <w:sz w:val="16"/>
        <w:szCs w:val="16"/>
        <w:lang w:val="sr-Latn-ME" w:eastAsia="sr-Latn-ME"/>
      </w:rPr>
      <w:tab/>
    </w:r>
  </w:p>
  <w:p w:rsidR="006D2C3E" w:rsidRPr="00C82EEF" w:rsidRDefault="006D2C3E" w:rsidP="00C82EEF">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C3E" w:rsidRDefault="006D2C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8"/>
    <w:lvl w:ilvl="0">
      <w:start w:val="1"/>
      <w:numFmt w:val="bullet"/>
      <w:lvlText w:val="-"/>
      <w:lvlJc w:val="left"/>
      <w:pPr>
        <w:tabs>
          <w:tab w:val="num" w:pos="567"/>
        </w:tabs>
        <w:ind w:left="567" w:hanging="567"/>
      </w:pPr>
      <w:rPr>
        <w:rFonts w:ascii="OpenSymbol" w:hAnsi="OpenSymbol"/>
      </w:rPr>
    </w:lvl>
  </w:abstractNum>
  <w:abstractNum w:abstractNumId="2" w15:restartNumberingAfterBreak="0">
    <w:nsid w:val="04596880"/>
    <w:multiLevelType w:val="hybridMultilevel"/>
    <w:tmpl w:val="AFD29EB4"/>
    <w:lvl w:ilvl="0" w:tplc="49C0B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D3B56"/>
    <w:multiLevelType w:val="multilevel"/>
    <w:tmpl w:val="2F0C26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226243F"/>
    <w:multiLevelType w:val="hybridMultilevel"/>
    <w:tmpl w:val="D6C252B2"/>
    <w:lvl w:ilvl="0" w:tplc="2C1A0017">
      <w:start w:val="1"/>
      <w:numFmt w:val="lowerLetter"/>
      <w:lvlText w:val="%1)"/>
      <w:lvlJc w:val="left"/>
      <w:pPr>
        <w:ind w:left="1920" w:hanging="360"/>
      </w:pPr>
      <w:rPr>
        <w:rFonts w:hint="default"/>
      </w:rPr>
    </w:lvl>
    <w:lvl w:ilvl="1" w:tplc="2C1A0019" w:tentative="1">
      <w:start w:val="1"/>
      <w:numFmt w:val="lowerLetter"/>
      <w:lvlText w:val="%2."/>
      <w:lvlJc w:val="left"/>
      <w:pPr>
        <w:ind w:left="2640" w:hanging="360"/>
      </w:pPr>
    </w:lvl>
    <w:lvl w:ilvl="2" w:tplc="2C1A001B" w:tentative="1">
      <w:start w:val="1"/>
      <w:numFmt w:val="lowerRoman"/>
      <w:lvlText w:val="%3."/>
      <w:lvlJc w:val="right"/>
      <w:pPr>
        <w:ind w:left="3360" w:hanging="180"/>
      </w:pPr>
    </w:lvl>
    <w:lvl w:ilvl="3" w:tplc="2C1A000F" w:tentative="1">
      <w:start w:val="1"/>
      <w:numFmt w:val="decimal"/>
      <w:lvlText w:val="%4."/>
      <w:lvlJc w:val="left"/>
      <w:pPr>
        <w:ind w:left="4080" w:hanging="360"/>
      </w:pPr>
    </w:lvl>
    <w:lvl w:ilvl="4" w:tplc="2C1A0019" w:tentative="1">
      <w:start w:val="1"/>
      <w:numFmt w:val="lowerLetter"/>
      <w:lvlText w:val="%5."/>
      <w:lvlJc w:val="left"/>
      <w:pPr>
        <w:ind w:left="4800" w:hanging="360"/>
      </w:pPr>
    </w:lvl>
    <w:lvl w:ilvl="5" w:tplc="2C1A001B" w:tentative="1">
      <w:start w:val="1"/>
      <w:numFmt w:val="lowerRoman"/>
      <w:lvlText w:val="%6."/>
      <w:lvlJc w:val="right"/>
      <w:pPr>
        <w:ind w:left="5520" w:hanging="180"/>
      </w:pPr>
    </w:lvl>
    <w:lvl w:ilvl="6" w:tplc="2C1A000F" w:tentative="1">
      <w:start w:val="1"/>
      <w:numFmt w:val="decimal"/>
      <w:lvlText w:val="%7."/>
      <w:lvlJc w:val="left"/>
      <w:pPr>
        <w:ind w:left="6240" w:hanging="360"/>
      </w:pPr>
    </w:lvl>
    <w:lvl w:ilvl="7" w:tplc="2C1A0019" w:tentative="1">
      <w:start w:val="1"/>
      <w:numFmt w:val="lowerLetter"/>
      <w:lvlText w:val="%8."/>
      <w:lvlJc w:val="left"/>
      <w:pPr>
        <w:ind w:left="6960" w:hanging="360"/>
      </w:pPr>
    </w:lvl>
    <w:lvl w:ilvl="8" w:tplc="2C1A001B" w:tentative="1">
      <w:start w:val="1"/>
      <w:numFmt w:val="lowerRoman"/>
      <w:lvlText w:val="%9."/>
      <w:lvlJc w:val="right"/>
      <w:pPr>
        <w:ind w:left="7680" w:hanging="180"/>
      </w:p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EC77621"/>
    <w:multiLevelType w:val="hybridMultilevel"/>
    <w:tmpl w:val="9C923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0"/>
    <w:lvlOverride w:ilvl="0">
      <w:lvl w:ilvl="0">
        <w:start w:val="1"/>
        <w:numFmt w:val="bullet"/>
        <w:lvlText w:val="-"/>
        <w:legacy w:legacy="1" w:legacySpace="0" w:legacyIndent="360"/>
        <w:lvlJc w:val="left"/>
        <w:pPr>
          <w:ind w:left="360" w:hanging="360"/>
        </w:pPr>
      </w:lvl>
    </w:lvlOverride>
  </w:num>
  <w:num w:numId="5">
    <w:abstractNumId w:val="12"/>
  </w:num>
  <w:num w:numId="6">
    <w:abstractNumId w:val="13"/>
  </w:num>
  <w:num w:numId="7">
    <w:abstractNumId w:val="7"/>
  </w:num>
  <w:num w:numId="8">
    <w:abstractNumId w:val="10"/>
  </w:num>
  <w:num w:numId="9">
    <w:abstractNumId w:val="6"/>
  </w:num>
  <w:num w:numId="10">
    <w:abstractNumId w:val="8"/>
  </w:num>
  <w:num w:numId="11">
    <w:abstractNumId w:val="1"/>
  </w:num>
  <w:num w:numId="12">
    <w:abstractNumId w:val="3"/>
  </w:num>
  <w:num w:numId="13">
    <w:abstractNumId w:val="14"/>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2B"/>
    <w:rsid w:val="00003050"/>
    <w:rsid w:val="000065B2"/>
    <w:rsid w:val="00030B4C"/>
    <w:rsid w:val="000433F2"/>
    <w:rsid w:val="00064D45"/>
    <w:rsid w:val="00073CBA"/>
    <w:rsid w:val="00076644"/>
    <w:rsid w:val="00082F94"/>
    <w:rsid w:val="000B09CA"/>
    <w:rsid w:val="000B3484"/>
    <w:rsid w:val="001003D9"/>
    <w:rsid w:val="00105480"/>
    <w:rsid w:val="00123891"/>
    <w:rsid w:val="001575C1"/>
    <w:rsid w:val="00170CB5"/>
    <w:rsid w:val="00173E2B"/>
    <w:rsid w:val="001840B2"/>
    <w:rsid w:val="00197347"/>
    <w:rsid w:val="001B38B4"/>
    <w:rsid w:val="001B5073"/>
    <w:rsid w:val="001C7614"/>
    <w:rsid w:val="001C79DF"/>
    <w:rsid w:val="001D7818"/>
    <w:rsid w:val="001F2D60"/>
    <w:rsid w:val="001F35A8"/>
    <w:rsid w:val="002031D1"/>
    <w:rsid w:val="00211E4A"/>
    <w:rsid w:val="00240FE0"/>
    <w:rsid w:val="002503B8"/>
    <w:rsid w:val="002504A7"/>
    <w:rsid w:val="00257ABE"/>
    <w:rsid w:val="00260F76"/>
    <w:rsid w:val="0026149B"/>
    <w:rsid w:val="00263160"/>
    <w:rsid w:val="0026618F"/>
    <w:rsid w:val="00272057"/>
    <w:rsid w:val="00273E33"/>
    <w:rsid w:val="002830B7"/>
    <w:rsid w:val="00291EF3"/>
    <w:rsid w:val="002943DD"/>
    <w:rsid w:val="002960D8"/>
    <w:rsid w:val="002B208E"/>
    <w:rsid w:val="002B2308"/>
    <w:rsid w:val="002C1127"/>
    <w:rsid w:val="002C2548"/>
    <w:rsid w:val="002E402E"/>
    <w:rsid w:val="002E6597"/>
    <w:rsid w:val="002F60DC"/>
    <w:rsid w:val="00304273"/>
    <w:rsid w:val="0030615E"/>
    <w:rsid w:val="0031349C"/>
    <w:rsid w:val="00325207"/>
    <w:rsid w:val="00330D36"/>
    <w:rsid w:val="00365FAE"/>
    <w:rsid w:val="00366567"/>
    <w:rsid w:val="003753C3"/>
    <w:rsid w:val="003940DB"/>
    <w:rsid w:val="003A4A45"/>
    <w:rsid w:val="003D0748"/>
    <w:rsid w:val="003D3DDA"/>
    <w:rsid w:val="003E1BD2"/>
    <w:rsid w:val="003E3DCF"/>
    <w:rsid w:val="003F3AEC"/>
    <w:rsid w:val="00407000"/>
    <w:rsid w:val="0041262D"/>
    <w:rsid w:val="00413C23"/>
    <w:rsid w:val="0041487B"/>
    <w:rsid w:val="00416F48"/>
    <w:rsid w:val="0042359B"/>
    <w:rsid w:val="004236E3"/>
    <w:rsid w:val="00431E79"/>
    <w:rsid w:val="00435513"/>
    <w:rsid w:val="004479A6"/>
    <w:rsid w:val="0048317C"/>
    <w:rsid w:val="004837CC"/>
    <w:rsid w:val="00493236"/>
    <w:rsid w:val="004B5407"/>
    <w:rsid w:val="004D2479"/>
    <w:rsid w:val="004D2FF4"/>
    <w:rsid w:val="004E2538"/>
    <w:rsid w:val="004E5B9C"/>
    <w:rsid w:val="004F6EB4"/>
    <w:rsid w:val="00505E1F"/>
    <w:rsid w:val="00520307"/>
    <w:rsid w:val="00526D57"/>
    <w:rsid w:val="00530F31"/>
    <w:rsid w:val="00547C4E"/>
    <w:rsid w:val="005562DE"/>
    <w:rsid w:val="00576EC6"/>
    <w:rsid w:val="00580C69"/>
    <w:rsid w:val="00584E06"/>
    <w:rsid w:val="005A53E3"/>
    <w:rsid w:val="005B609D"/>
    <w:rsid w:val="005F2656"/>
    <w:rsid w:val="00604D01"/>
    <w:rsid w:val="00607523"/>
    <w:rsid w:val="00643730"/>
    <w:rsid w:val="00660B27"/>
    <w:rsid w:val="00662E49"/>
    <w:rsid w:val="00670A0E"/>
    <w:rsid w:val="00691D8C"/>
    <w:rsid w:val="006B1ECA"/>
    <w:rsid w:val="006B5CA9"/>
    <w:rsid w:val="006B6C2C"/>
    <w:rsid w:val="006D1BCB"/>
    <w:rsid w:val="006D2C3E"/>
    <w:rsid w:val="006E1FE0"/>
    <w:rsid w:val="006E7784"/>
    <w:rsid w:val="006F0B35"/>
    <w:rsid w:val="00700CE3"/>
    <w:rsid w:val="007500DE"/>
    <w:rsid w:val="00755F6B"/>
    <w:rsid w:val="00771E64"/>
    <w:rsid w:val="00774447"/>
    <w:rsid w:val="00776B2C"/>
    <w:rsid w:val="00787486"/>
    <w:rsid w:val="007A5809"/>
    <w:rsid w:val="007A75FE"/>
    <w:rsid w:val="007D57EF"/>
    <w:rsid w:val="007E1FF6"/>
    <w:rsid w:val="0081093E"/>
    <w:rsid w:val="0081289B"/>
    <w:rsid w:val="0081705B"/>
    <w:rsid w:val="008321E6"/>
    <w:rsid w:val="0084123A"/>
    <w:rsid w:val="00854A6F"/>
    <w:rsid w:val="00861D75"/>
    <w:rsid w:val="00866D2B"/>
    <w:rsid w:val="00873C86"/>
    <w:rsid w:val="0091241D"/>
    <w:rsid w:val="00917BA0"/>
    <w:rsid w:val="00932A58"/>
    <w:rsid w:val="0093776A"/>
    <w:rsid w:val="00943815"/>
    <w:rsid w:val="009462B4"/>
    <w:rsid w:val="00953BFC"/>
    <w:rsid w:val="009561F6"/>
    <w:rsid w:val="00960280"/>
    <w:rsid w:val="0097163E"/>
    <w:rsid w:val="009732AC"/>
    <w:rsid w:val="0097582E"/>
    <w:rsid w:val="009767A1"/>
    <w:rsid w:val="009905A1"/>
    <w:rsid w:val="009A5259"/>
    <w:rsid w:val="009A6823"/>
    <w:rsid w:val="009B38C4"/>
    <w:rsid w:val="009D0A2D"/>
    <w:rsid w:val="009D2377"/>
    <w:rsid w:val="009E4D57"/>
    <w:rsid w:val="009F2E45"/>
    <w:rsid w:val="009F692D"/>
    <w:rsid w:val="00A2172F"/>
    <w:rsid w:val="00A33B91"/>
    <w:rsid w:val="00A5221C"/>
    <w:rsid w:val="00A549BA"/>
    <w:rsid w:val="00A63901"/>
    <w:rsid w:val="00A941B0"/>
    <w:rsid w:val="00AA1538"/>
    <w:rsid w:val="00AA333F"/>
    <w:rsid w:val="00AA592A"/>
    <w:rsid w:val="00AA7407"/>
    <w:rsid w:val="00AA76BD"/>
    <w:rsid w:val="00AB41EE"/>
    <w:rsid w:val="00AB6AB8"/>
    <w:rsid w:val="00AB6ECE"/>
    <w:rsid w:val="00AC0C1D"/>
    <w:rsid w:val="00AD4CFC"/>
    <w:rsid w:val="00AD5EFC"/>
    <w:rsid w:val="00AE0E4F"/>
    <w:rsid w:val="00AE4202"/>
    <w:rsid w:val="00B1269B"/>
    <w:rsid w:val="00B243EC"/>
    <w:rsid w:val="00B3767F"/>
    <w:rsid w:val="00B57DDB"/>
    <w:rsid w:val="00B64AA7"/>
    <w:rsid w:val="00B964A6"/>
    <w:rsid w:val="00BA4327"/>
    <w:rsid w:val="00BB7B3A"/>
    <w:rsid w:val="00BC744B"/>
    <w:rsid w:val="00BD765B"/>
    <w:rsid w:val="00BD7E85"/>
    <w:rsid w:val="00BF6C2F"/>
    <w:rsid w:val="00C05838"/>
    <w:rsid w:val="00C108B8"/>
    <w:rsid w:val="00C1548D"/>
    <w:rsid w:val="00C47DAF"/>
    <w:rsid w:val="00C745BF"/>
    <w:rsid w:val="00C7794F"/>
    <w:rsid w:val="00C81C87"/>
    <w:rsid w:val="00C82EEF"/>
    <w:rsid w:val="00C9775A"/>
    <w:rsid w:val="00CA1874"/>
    <w:rsid w:val="00CB2A40"/>
    <w:rsid w:val="00CB580B"/>
    <w:rsid w:val="00CC1B22"/>
    <w:rsid w:val="00CC6D90"/>
    <w:rsid w:val="00CC6EEF"/>
    <w:rsid w:val="00CE4907"/>
    <w:rsid w:val="00CE5807"/>
    <w:rsid w:val="00CE7393"/>
    <w:rsid w:val="00CF089C"/>
    <w:rsid w:val="00CF57AD"/>
    <w:rsid w:val="00CF71C6"/>
    <w:rsid w:val="00D31162"/>
    <w:rsid w:val="00D76B47"/>
    <w:rsid w:val="00DA56EB"/>
    <w:rsid w:val="00DC1A14"/>
    <w:rsid w:val="00DD10C0"/>
    <w:rsid w:val="00DD4807"/>
    <w:rsid w:val="00DE3280"/>
    <w:rsid w:val="00DE5874"/>
    <w:rsid w:val="00E0414A"/>
    <w:rsid w:val="00E13A32"/>
    <w:rsid w:val="00E32A86"/>
    <w:rsid w:val="00E73DCA"/>
    <w:rsid w:val="00E76214"/>
    <w:rsid w:val="00EB0C7B"/>
    <w:rsid w:val="00EC5FAE"/>
    <w:rsid w:val="00EF7B76"/>
    <w:rsid w:val="00F238C4"/>
    <w:rsid w:val="00F26C2B"/>
    <w:rsid w:val="00F82F64"/>
    <w:rsid w:val="00F83C4B"/>
    <w:rsid w:val="00F914B8"/>
    <w:rsid w:val="00FD577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FFE4EC-CA30-49B9-A2EF-D30A2BE4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2D"/>
    <w:rPr>
      <w:sz w:val="24"/>
      <w:lang w:val="sl-SI" w:eastAsia="sl-SI"/>
    </w:rPr>
  </w:style>
  <w:style w:type="paragraph" w:styleId="Heading1">
    <w:name w:val="heading 1"/>
    <w:basedOn w:val="Normal"/>
    <w:next w:val="Normal"/>
    <w:qFormat/>
    <w:rsid w:val="0032520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562DE"/>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qFormat/>
    <w:rsid w:val="005562DE"/>
    <w:pPr>
      <w:keepNext/>
      <w:tabs>
        <w:tab w:val="decimal" w:pos="6760"/>
      </w:tabs>
      <w:spacing w:line="480" w:lineRule="atLeast"/>
      <w:outlineLvl w:val="2"/>
    </w:pPr>
    <w:rPr>
      <w:b/>
      <w:lang w:val="en-US"/>
    </w:rPr>
  </w:style>
  <w:style w:type="paragraph" w:styleId="Heading4">
    <w:name w:val="heading 4"/>
    <w:basedOn w:val="Normal"/>
    <w:next w:val="Normal"/>
    <w:qFormat/>
    <w:rsid w:val="00526D57"/>
    <w:pPr>
      <w:keepNext/>
      <w:spacing w:before="240" w:after="60"/>
      <w:outlineLvl w:val="3"/>
    </w:pPr>
    <w:rPr>
      <w:b/>
      <w:bCs/>
      <w:sz w:val="28"/>
      <w:szCs w:val="28"/>
    </w:rPr>
  </w:style>
  <w:style w:type="paragraph" w:styleId="Heading6">
    <w:name w:val="heading 6"/>
    <w:basedOn w:val="Normal"/>
    <w:next w:val="Normal"/>
    <w:qFormat/>
    <w:rsid w:val="005562DE"/>
    <w:pPr>
      <w:keepNext/>
      <w:keepLines/>
      <w:tabs>
        <w:tab w:val="right" w:pos="4536"/>
        <w:tab w:val="left" w:pos="5180"/>
        <w:tab w:val="left" w:pos="5380"/>
        <w:tab w:val="left" w:pos="8222"/>
      </w:tabs>
      <w:outlineLvl w:val="5"/>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w:basedOn w:val="Normal"/>
    <w:link w:val="HeaderChar"/>
    <w:rsid w:val="00173E2B"/>
    <w:pPr>
      <w:tabs>
        <w:tab w:val="center" w:pos="4320"/>
        <w:tab w:val="right" w:pos="8640"/>
      </w:tabs>
    </w:pPr>
  </w:style>
  <w:style w:type="paragraph" w:styleId="Footer">
    <w:name w:val="footer"/>
    <w:basedOn w:val="Normal"/>
    <w:rsid w:val="00173E2B"/>
    <w:pPr>
      <w:tabs>
        <w:tab w:val="center" w:pos="4320"/>
        <w:tab w:val="right" w:pos="8640"/>
      </w:tabs>
    </w:pPr>
  </w:style>
  <w:style w:type="table" w:styleId="TableGrid">
    <w:name w:val="Table Grid"/>
    <w:basedOn w:val="TableNorma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E4202"/>
  </w:style>
  <w:style w:type="character" w:styleId="Hyperlink">
    <w:name w:val="Hyperlink"/>
    <w:rsid w:val="00C745BF"/>
    <w:rPr>
      <w:rFonts w:ascii="Times New Roman" w:hAnsi="Times New Roman"/>
      <w:color w:val="auto"/>
      <w:sz w:val="24"/>
      <w:szCs w:val="24"/>
      <w:u w:val="single"/>
      <w:lang w:val="en-US"/>
    </w:rPr>
  </w:style>
  <w:style w:type="character" w:styleId="FollowedHyperlink">
    <w:name w:val="FollowedHyperlink"/>
    <w:rsid w:val="00C745BF"/>
    <w:rPr>
      <w:color w:val="800080"/>
      <w:u w:val="single"/>
    </w:rPr>
  </w:style>
  <w:style w:type="paragraph" w:styleId="PlainText">
    <w:name w:val="Plain Text"/>
    <w:basedOn w:val="Normal"/>
    <w:rsid w:val="00660B27"/>
    <w:rPr>
      <w:rFonts w:ascii="Courier New" w:hAnsi="Courier New"/>
      <w:sz w:val="20"/>
      <w:lang w:val="en-GB"/>
    </w:rPr>
  </w:style>
  <w:style w:type="paragraph" w:styleId="Caption">
    <w:name w:val="caption"/>
    <w:basedOn w:val="Normal"/>
    <w:next w:val="Normal"/>
    <w:qFormat/>
    <w:rsid w:val="00660B27"/>
    <w:pPr>
      <w:jc w:val="both"/>
    </w:pPr>
    <w:rPr>
      <w:lang w:val="en-GB"/>
    </w:rPr>
  </w:style>
  <w:style w:type="paragraph" w:customStyle="1" w:styleId="Naslov1">
    <w:name w:val="Naslov1"/>
    <w:basedOn w:val="Heading1"/>
    <w:rsid w:val="00325207"/>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576EC6"/>
    <w:pPr>
      <w:spacing w:before="120"/>
    </w:pPr>
    <w:rPr>
      <w:b/>
      <w:bCs/>
      <w:i/>
      <w:iCs/>
      <w:szCs w:val="28"/>
    </w:rPr>
  </w:style>
  <w:style w:type="paragraph" w:styleId="BodyText">
    <w:name w:val="Body Text"/>
    <w:basedOn w:val="Normal"/>
    <w:rsid w:val="00526D57"/>
    <w:pPr>
      <w:numPr>
        <w:ilvl w:val="12"/>
      </w:numPr>
      <w:tabs>
        <w:tab w:val="left" w:pos="8505"/>
      </w:tabs>
      <w:ind w:right="-2"/>
    </w:pPr>
    <w:rPr>
      <w:sz w:val="22"/>
    </w:rPr>
  </w:style>
  <w:style w:type="paragraph" w:styleId="BodyText2">
    <w:name w:val="Body Text 2"/>
    <w:basedOn w:val="Normal"/>
    <w:rsid w:val="00AA1538"/>
    <w:pPr>
      <w:spacing w:after="120" w:line="480" w:lineRule="auto"/>
    </w:pPr>
  </w:style>
  <w:style w:type="paragraph" w:customStyle="1" w:styleId="EMEAEnBodyText">
    <w:name w:val="EMEA En Body Text"/>
    <w:basedOn w:val="Normal"/>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BodyTextIndent">
    <w:name w:val="Body Text Indent"/>
    <w:basedOn w:val="Normal"/>
    <w:link w:val="BodyTextIndentChar"/>
    <w:rsid w:val="002960D8"/>
    <w:pPr>
      <w:spacing w:after="120"/>
      <w:ind w:left="283"/>
    </w:pPr>
  </w:style>
  <w:style w:type="character" w:customStyle="1" w:styleId="BodyTextIndentChar">
    <w:name w:val="Body Text Indent Char"/>
    <w:link w:val="BodyTextIndent"/>
    <w:rsid w:val="002960D8"/>
    <w:rPr>
      <w:sz w:val="24"/>
    </w:rPr>
  </w:style>
  <w:style w:type="paragraph" w:styleId="BodyText3">
    <w:name w:val="Body Text 3"/>
    <w:basedOn w:val="Normal"/>
    <w:link w:val="BodyText3Char"/>
    <w:rsid w:val="002960D8"/>
    <w:pPr>
      <w:spacing w:after="120"/>
    </w:pPr>
    <w:rPr>
      <w:sz w:val="16"/>
      <w:szCs w:val="16"/>
    </w:rPr>
  </w:style>
  <w:style w:type="character" w:customStyle="1" w:styleId="BodyText3Char">
    <w:name w:val="Body Text 3 Char"/>
    <w:link w:val="BodyText3"/>
    <w:rsid w:val="002960D8"/>
    <w:rPr>
      <w:sz w:val="16"/>
      <w:szCs w:val="16"/>
    </w:rPr>
  </w:style>
  <w:style w:type="paragraph" w:styleId="BalloonText">
    <w:name w:val="Balloon Text"/>
    <w:basedOn w:val="Normal"/>
    <w:link w:val="BalloonTextChar"/>
    <w:rsid w:val="0081289B"/>
    <w:rPr>
      <w:rFonts w:ascii="Tahoma" w:hAnsi="Tahoma" w:cs="Tahoma"/>
      <w:sz w:val="16"/>
      <w:szCs w:val="16"/>
    </w:rPr>
  </w:style>
  <w:style w:type="character" w:customStyle="1" w:styleId="BalloonTextChar">
    <w:name w:val="Balloon Text Char"/>
    <w:link w:val="BalloonText"/>
    <w:rsid w:val="0081289B"/>
    <w:rPr>
      <w:rFonts w:ascii="Tahoma" w:hAnsi="Tahoma" w:cs="Tahoma"/>
      <w:sz w:val="16"/>
      <w:szCs w:val="16"/>
      <w:lang w:val="sl-SI" w:eastAsia="sl-SI"/>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C82EEF"/>
    <w:rPr>
      <w:sz w:val="24"/>
      <w:lang w:val="sl-SI" w:eastAsia="sl-SI"/>
    </w:rPr>
  </w:style>
  <w:style w:type="paragraph" w:styleId="ListParagraph">
    <w:name w:val="List Paragraph"/>
    <w:basedOn w:val="Normal"/>
    <w:uiPriority w:val="34"/>
    <w:qFormat/>
    <w:rsid w:val="00787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alims.m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alims.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8B11C-9D4B-4B41-A651-716640FC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2853</Words>
  <Characters>16264</Characters>
  <Application>Microsoft Office Word</Application>
  <DocSecurity>0</DocSecurity>
  <Lines>135</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19079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Miloš Krivokapić</cp:lastModifiedBy>
  <cp:revision>2</cp:revision>
  <dcterms:created xsi:type="dcterms:W3CDTF">2017-02-17T13:03:00Z</dcterms:created>
  <dcterms:modified xsi:type="dcterms:W3CDTF">2017-02-17T13:03:00Z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Sulfasalazine</vt:lpwstr>
  </property>
  <property fmtid="{D5CDD505-2E9C-101B-9397-08002B2CF9AE}" pid="4" name="ph_pharm_form">
    <vt:lpwstr>gastro-resistant tablets</vt:lpwstr>
  </property>
  <property fmtid="{D5CDD505-2E9C-101B-9397-08002B2CF9AE}" pid="5" name="ph_unit_measure">
    <vt:lpwstr>mg</vt:lpwstr>
  </property>
  <property fmtid="{D5CDD505-2E9C-101B-9397-08002B2CF9AE}" pid="6" name="mp_first_effective_date">
    <vt:lpwstr>08.03.2011</vt:lpwstr>
  </property>
  <property fmtid="{D5CDD505-2E9C-101B-9397-08002B2CF9AE}" pid="7" name="mp_updated_effective_date">
    <vt:lpwstr>14.10.2015</vt:lpwstr>
  </property>
  <property fmtid="{D5CDD505-2E9C-101B-9397-08002B2CF9AE}" pid="8" name="object_name">
    <vt:lpwstr>SmPCPIL018048_5</vt:lpwstr>
  </property>
  <property fmtid="{D5CDD505-2E9C-101B-9397-08002B2CF9AE}" pid="9" name="ph_strength_custom">
    <vt:lpwstr>500</vt:lpwstr>
  </property>
  <property fmtid="{D5CDD505-2E9C-101B-9397-08002B2CF9AE}" pid="10" name="mp_document_code">
    <vt:lpwstr>1.3.1</vt:lpwstr>
  </property>
  <property fmtid="{D5CDD505-2E9C-101B-9397-08002B2CF9AE}" pid="11" name="drz1">
    <vt:lpwstr>--</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ME</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