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6B9" w:rsidRPr="00AD3B49" w:rsidRDefault="00E246B9" w:rsidP="001A5518">
      <w:pPr>
        <w:tabs>
          <w:tab w:val="left" w:pos="360"/>
        </w:tabs>
        <w:rPr>
          <w:b/>
          <w:bCs/>
          <w:i/>
          <w:iCs/>
          <w:sz w:val="22"/>
          <w:szCs w:val="22"/>
          <w:u w:val="single"/>
          <w:lang w:val="sr-Latn-ME"/>
        </w:rPr>
      </w:pPr>
    </w:p>
    <w:p w:rsidR="00E246B9" w:rsidRPr="00AD3B49" w:rsidRDefault="00E246B9" w:rsidP="001A5518">
      <w:pPr>
        <w:rPr>
          <w:b/>
          <w:bCs/>
          <w:i/>
          <w:iCs/>
          <w:sz w:val="22"/>
          <w:szCs w:val="22"/>
          <w:u w:val="single"/>
          <w:lang w:val="sr-Latn-ME"/>
        </w:rPr>
      </w:pPr>
    </w:p>
    <w:p w:rsidR="00E246B9" w:rsidRPr="00AD3B49" w:rsidRDefault="00E246B9" w:rsidP="001A5518">
      <w:pPr>
        <w:rPr>
          <w:b/>
          <w:bCs/>
          <w:i/>
          <w:iCs/>
          <w:sz w:val="22"/>
          <w:szCs w:val="22"/>
          <w:u w:val="single"/>
          <w:lang w:val="sr-Latn-ME"/>
        </w:rPr>
      </w:pPr>
    </w:p>
    <w:p w:rsidR="00E246B9" w:rsidRPr="00AD3B49" w:rsidRDefault="00E246B9" w:rsidP="001A5518">
      <w:pPr>
        <w:rPr>
          <w:b/>
          <w:bCs/>
          <w:i/>
          <w:iCs/>
          <w:sz w:val="22"/>
          <w:szCs w:val="22"/>
          <w:u w:val="single"/>
          <w:lang w:val="sr-Latn-ME"/>
        </w:rPr>
      </w:pPr>
    </w:p>
    <w:p w:rsidR="00E246B9" w:rsidRPr="00AD3B49" w:rsidRDefault="00E246B9" w:rsidP="001A5518">
      <w:pPr>
        <w:rPr>
          <w:b/>
          <w:bCs/>
          <w:i/>
          <w:iCs/>
          <w:sz w:val="22"/>
          <w:szCs w:val="22"/>
          <w:u w:val="single"/>
          <w:lang w:val="sr-Latn-ME"/>
        </w:rPr>
      </w:pPr>
    </w:p>
    <w:p w:rsidR="00E246B9" w:rsidRPr="00AD3B49" w:rsidRDefault="00E246B9" w:rsidP="001A5518">
      <w:pPr>
        <w:rPr>
          <w:b/>
          <w:bCs/>
          <w:i/>
          <w:iCs/>
          <w:sz w:val="22"/>
          <w:szCs w:val="22"/>
          <w:u w:val="single"/>
          <w:lang w:val="sr-Latn-ME"/>
        </w:rPr>
      </w:pPr>
    </w:p>
    <w:p w:rsidR="00E246B9" w:rsidRPr="00AD3B49" w:rsidRDefault="00E246B9" w:rsidP="001A5518">
      <w:pPr>
        <w:rPr>
          <w:b/>
          <w:bCs/>
          <w:i/>
          <w:iCs/>
          <w:sz w:val="22"/>
          <w:szCs w:val="22"/>
          <w:u w:val="single"/>
          <w:lang w:val="sr-Latn-ME"/>
        </w:rPr>
      </w:pPr>
    </w:p>
    <w:p w:rsidR="00E246B9" w:rsidRPr="00AD3B49" w:rsidRDefault="00E246B9" w:rsidP="001A5518">
      <w:pPr>
        <w:rPr>
          <w:b/>
          <w:bCs/>
          <w:i/>
          <w:iCs/>
          <w:sz w:val="22"/>
          <w:szCs w:val="22"/>
          <w:u w:val="single"/>
          <w:lang w:val="sr-Latn-ME"/>
        </w:rPr>
      </w:pPr>
    </w:p>
    <w:p w:rsidR="001A5518" w:rsidRPr="00AD3B49" w:rsidRDefault="001A5518" w:rsidP="001A5518">
      <w:pPr>
        <w:rPr>
          <w:b/>
          <w:bCs/>
          <w:i/>
          <w:iCs/>
          <w:sz w:val="22"/>
          <w:szCs w:val="22"/>
          <w:u w:val="single"/>
          <w:lang w:val="sr-Latn-ME"/>
        </w:rPr>
      </w:pPr>
    </w:p>
    <w:p w:rsidR="001A5518" w:rsidRPr="00AD3B49" w:rsidRDefault="001A5518" w:rsidP="001A5518">
      <w:pPr>
        <w:rPr>
          <w:b/>
          <w:bCs/>
          <w:i/>
          <w:iCs/>
          <w:sz w:val="22"/>
          <w:szCs w:val="22"/>
          <w:u w:val="single"/>
          <w:lang w:val="sr-Latn-ME"/>
        </w:rPr>
      </w:pPr>
    </w:p>
    <w:p w:rsidR="001A5518" w:rsidRPr="00AD3B49" w:rsidRDefault="001A5518" w:rsidP="001A5518">
      <w:pPr>
        <w:rPr>
          <w:b/>
          <w:bCs/>
          <w:i/>
          <w:iCs/>
          <w:sz w:val="22"/>
          <w:szCs w:val="22"/>
          <w:u w:val="single"/>
          <w:lang w:val="sr-Latn-ME"/>
        </w:rPr>
      </w:pPr>
    </w:p>
    <w:tbl>
      <w:tblPr>
        <w:tblW w:w="9360" w:type="dxa"/>
        <w:jc w:val="center"/>
        <w:tblLayout w:type="fixed"/>
        <w:tblLook w:val="0000" w:firstRow="0" w:lastRow="0" w:firstColumn="0" w:lastColumn="0" w:noHBand="0" w:noVBand="0"/>
      </w:tblPr>
      <w:tblGrid>
        <w:gridCol w:w="2160"/>
        <w:gridCol w:w="7200"/>
      </w:tblGrid>
      <w:tr w:rsidR="005A0B2E" w:rsidRPr="00AD3B49">
        <w:trPr>
          <w:trHeight w:val="530"/>
          <w:jc w:val="center"/>
        </w:trPr>
        <w:tc>
          <w:tcPr>
            <w:tcW w:w="9360" w:type="dxa"/>
            <w:gridSpan w:val="2"/>
            <w:vAlign w:val="center"/>
          </w:tcPr>
          <w:p w:rsidR="005A0B2E" w:rsidRPr="00AD3B49" w:rsidRDefault="005A0B2E" w:rsidP="00FF5F82">
            <w:pPr>
              <w:jc w:val="center"/>
              <w:rPr>
                <w:b/>
                <w:bCs/>
                <w:iCs/>
                <w:sz w:val="22"/>
                <w:szCs w:val="22"/>
                <w:u w:val="single"/>
                <w:lang w:val="sr-Latn-ME"/>
              </w:rPr>
            </w:pPr>
            <w:r w:rsidRPr="00AD3B49">
              <w:rPr>
                <w:b/>
                <w:bCs/>
                <w:iCs/>
                <w:sz w:val="22"/>
                <w:szCs w:val="22"/>
                <w:u w:val="single"/>
                <w:lang w:val="sr-Latn-ME"/>
              </w:rPr>
              <w:t>SAŽETAK KARAKTERISTIKA LIJEKA</w:t>
            </w:r>
          </w:p>
        </w:tc>
      </w:tr>
      <w:tr w:rsidR="005A0B2E" w:rsidRPr="00AD3B49">
        <w:trPr>
          <w:trHeight w:val="1969"/>
          <w:jc w:val="center"/>
        </w:trPr>
        <w:tc>
          <w:tcPr>
            <w:tcW w:w="9360" w:type="dxa"/>
            <w:gridSpan w:val="2"/>
            <w:vAlign w:val="bottom"/>
          </w:tcPr>
          <w:p w:rsidR="006304BF" w:rsidRPr="00AD3B49" w:rsidRDefault="006304BF" w:rsidP="006304BF">
            <w:pPr>
              <w:jc w:val="center"/>
              <w:rPr>
                <w:b/>
                <w:bCs/>
                <w:sz w:val="22"/>
                <w:szCs w:val="22"/>
                <w:lang w:val="sr-Latn-ME"/>
              </w:rPr>
            </w:pPr>
            <w:r w:rsidRPr="00AD3B49">
              <w:rPr>
                <w:b/>
                <w:bCs/>
                <w:sz w:val="22"/>
                <w:szCs w:val="22"/>
                <w:lang w:val="sr-Latn-ME"/>
              </w:rPr>
              <w:t>Humira, rastvor za injekciju</w:t>
            </w:r>
            <w:r w:rsidR="002E5A76" w:rsidRPr="00AD3B49">
              <w:rPr>
                <w:b/>
                <w:bCs/>
                <w:sz w:val="22"/>
                <w:szCs w:val="22"/>
                <w:lang w:val="sr-Latn-ME"/>
              </w:rPr>
              <w:t xml:space="preserve"> u napunjenom injekcionom špricu</w:t>
            </w:r>
            <w:r w:rsidRPr="00AD3B49">
              <w:rPr>
                <w:b/>
                <w:bCs/>
                <w:sz w:val="22"/>
                <w:szCs w:val="22"/>
                <w:lang w:val="sr-Latn-ME"/>
              </w:rPr>
              <w:t xml:space="preserve">, 40 mg/0,8 ml, </w:t>
            </w:r>
          </w:p>
          <w:p w:rsidR="005A0B2E" w:rsidRPr="00AD3B49" w:rsidRDefault="002E5A76" w:rsidP="006304BF">
            <w:pPr>
              <w:spacing w:after="40"/>
              <w:jc w:val="center"/>
              <w:rPr>
                <w:b/>
                <w:bCs/>
                <w:sz w:val="22"/>
                <w:szCs w:val="22"/>
                <w:u w:val="single"/>
                <w:lang w:val="sr-Latn-ME"/>
              </w:rPr>
            </w:pPr>
            <w:r w:rsidRPr="00AD3B49">
              <w:rPr>
                <w:b/>
                <w:bCs/>
                <w:sz w:val="22"/>
                <w:szCs w:val="22"/>
                <w:lang w:val="sr-Latn-ME"/>
              </w:rPr>
              <w:t>napunjeni injekcioni špric, 2x 0.8 ml</w:t>
            </w:r>
          </w:p>
        </w:tc>
      </w:tr>
      <w:tr w:rsidR="005A0B2E" w:rsidRPr="00AD3B49">
        <w:trPr>
          <w:trHeight w:val="1225"/>
          <w:jc w:val="center"/>
        </w:trPr>
        <w:tc>
          <w:tcPr>
            <w:tcW w:w="9360" w:type="dxa"/>
            <w:gridSpan w:val="2"/>
          </w:tcPr>
          <w:p w:rsidR="005A0B2E" w:rsidRPr="00AD3B49" w:rsidRDefault="005A0B2E" w:rsidP="00FF5F82">
            <w:pPr>
              <w:pStyle w:val="Heading2"/>
              <w:rPr>
                <w:rFonts w:ascii="Times New Roman" w:hAnsi="Times New Roman" w:cs="Times New Roman"/>
                <w:color w:val="808080"/>
                <w:sz w:val="22"/>
                <w:szCs w:val="22"/>
                <w:lang w:val="sr-Latn-ME"/>
              </w:rPr>
            </w:pPr>
          </w:p>
        </w:tc>
      </w:tr>
      <w:tr w:rsidR="006304BF" w:rsidRPr="00AD3B49">
        <w:trPr>
          <w:jc w:val="center"/>
        </w:trPr>
        <w:tc>
          <w:tcPr>
            <w:tcW w:w="2160" w:type="dxa"/>
            <w:vAlign w:val="bottom"/>
          </w:tcPr>
          <w:p w:rsidR="006304BF" w:rsidRPr="00AD3B49" w:rsidRDefault="006304BF" w:rsidP="006304BF">
            <w:pPr>
              <w:spacing w:line="360" w:lineRule="auto"/>
              <w:jc w:val="right"/>
              <w:rPr>
                <w:sz w:val="22"/>
                <w:szCs w:val="22"/>
                <w:lang w:val="sr-Latn-ME"/>
              </w:rPr>
            </w:pPr>
            <w:r w:rsidRPr="00AD3B49">
              <w:rPr>
                <w:sz w:val="22"/>
                <w:szCs w:val="22"/>
                <w:lang w:val="sr-Latn-ME"/>
              </w:rPr>
              <w:t>Proizvođač:</w:t>
            </w:r>
          </w:p>
        </w:tc>
        <w:tc>
          <w:tcPr>
            <w:tcW w:w="7200" w:type="dxa"/>
            <w:vAlign w:val="bottom"/>
          </w:tcPr>
          <w:p w:rsidR="006304BF" w:rsidRPr="00AD3B49" w:rsidRDefault="006304BF" w:rsidP="009E3AA8">
            <w:pPr>
              <w:spacing w:line="360" w:lineRule="auto"/>
              <w:ind w:left="72" w:hanging="72"/>
              <w:rPr>
                <w:b/>
                <w:bCs/>
                <w:sz w:val="22"/>
                <w:szCs w:val="22"/>
                <w:lang w:val="sr-Latn-ME"/>
              </w:rPr>
            </w:pPr>
            <w:r w:rsidRPr="00AD3B49">
              <w:rPr>
                <w:b/>
                <w:bCs/>
                <w:sz w:val="22"/>
                <w:szCs w:val="22"/>
                <w:lang w:val="sr-Latn-ME"/>
              </w:rPr>
              <w:t>AbbVie Biote</w:t>
            </w:r>
            <w:r w:rsidR="009E3AA8" w:rsidRPr="00AD3B49">
              <w:rPr>
                <w:b/>
                <w:bCs/>
                <w:sz w:val="22"/>
                <w:szCs w:val="22"/>
                <w:lang w:val="sr-Latn-ME"/>
              </w:rPr>
              <w:t>c</w:t>
            </w:r>
            <w:r w:rsidRPr="00AD3B49">
              <w:rPr>
                <w:b/>
                <w:bCs/>
                <w:sz w:val="22"/>
                <w:szCs w:val="22"/>
                <w:lang w:val="sr-Latn-ME"/>
              </w:rPr>
              <w:t xml:space="preserve">hnology GmbH   </w:t>
            </w:r>
          </w:p>
        </w:tc>
      </w:tr>
      <w:tr w:rsidR="006304BF" w:rsidRPr="00AD3B49" w:rsidTr="006304BF">
        <w:trPr>
          <w:trHeight w:val="154"/>
          <w:jc w:val="center"/>
        </w:trPr>
        <w:tc>
          <w:tcPr>
            <w:tcW w:w="2160" w:type="dxa"/>
            <w:vAlign w:val="bottom"/>
          </w:tcPr>
          <w:p w:rsidR="006304BF" w:rsidRPr="00AD3B49" w:rsidRDefault="006304BF" w:rsidP="006304BF">
            <w:pPr>
              <w:spacing w:line="360" w:lineRule="auto"/>
              <w:jc w:val="right"/>
              <w:rPr>
                <w:sz w:val="22"/>
                <w:szCs w:val="22"/>
                <w:lang w:val="sr-Latn-ME"/>
              </w:rPr>
            </w:pPr>
            <w:r w:rsidRPr="00AD3B49">
              <w:rPr>
                <w:sz w:val="22"/>
                <w:szCs w:val="22"/>
                <w:lang w:val="sr-Latn-ME"/>
              </w:rPr>
              <w:t>Adresa:</w:t>
            </w:r>
          </w:p>
        </w:tc>
        <w:tc>
          <w:tcPr>
            <w:tcW w:w="7200" w:type="dxa"/>
            <w:shd w:val="clear" w:color="auto" w:fill="auto"/>
            <w:vAlign w:val="bottom"/>
          </w:tcPr>
          <w:p w:rsidR="006304BF" w:rsidRPr="00AD3B49" w:rsidRDefault="006304BF" w:rsidP="006304BF">
            <w:pPr>
              <w:spacing w:line="360" w:lineRule="auto"/>
              <w:ind w:left="72" w:hanging="72"/>
              <w:rPr>
                <w:b/>
                <w:bCs/>
                <w:sz w:val="22"/>
                <w:szCs w:val="22"/>
                <w:lang w:val="sr-Latn-ME"/>
              </w:rPr>
            </w:pPr>
            <w:r w:rsidRPr="00AD3B49">
              <w:rPr>
                <w:b/>
                <w:bCs/>
                <w:sz w:val="22"/>
                <w:szCs w:val="22"/>
                <w:lang w:val="sr-Latn-ME"/>
              </w:rPr>
              <w:t xml:space="preserve">Max-Planck-Ring 2, </w:t>
            </w:r>
            <w:r w:rsidR="00B10DDA" w:rsidRPr="00AD3B49">
              <w:rPr>
                <w:b/>
                <w:bCs/>
                <w:sz w:val="22"/>
                <w:szCs w:val="22"/>
                <w:lang w:val="sr-Latn-ME"/>
              </w:rPr>
              <w:t>D-65205 Wiesbaden</w:t>
            </w:r>
            <w:r w:rsidRPr="00AD3B49">
              <w:rPr>
                <w:b/>
                <w:bCs/>
                <w:sz w:val="22"/>
                <w:szCs w:val="22"/>
                <w:lang w:val="sr-Latn-ME"/>
              </w:rPr>
              <w:t>, Njemačka</w:t>
            </w:r>
          </w:p>
        </w:tc>
      </w:tr>
      <w:tr w:rsidR="00735B0C" w:rsidRPr="00AD3B49" w:rsidTr="006304BF">
        <w:trPr>
          <w:trHeight w:val="153"/>
          <w:jc w:val="center"/>
        </w:trPr>
        <w:tc>
          <w:tcPr>
            <w:tcW w:w="2160" w:type="dxa"/>
            <w:vAlign w:val="bottom"/>
          </w:tcPr>
          <w:p w:rsidR="00735B0C" w:rsidRPr="00AD3B49" w:rsidRDefault="00735B0C" w:rsidP="00735B0C">
            <w:pPr>
              <w:spacing w:line="360" w:lineRule="auto"/>
              <w:jc w:val="right"/>
              <w:rPr>
                <w:sz w:val="22"/>
                <w:szCs w:val="22"/>
                <w:lang w:val="sr-Latn-ME"/>
              </w:rPr>
            </w:pPr>
            <w:r w:rsidRPr="00AD3B49">
              <w:rPr>
                <w:sz w:val="22"/>
                <w:szCs w:val="22"/>
                <w:lang w:val="sr-Latn-ME"/>
              </w:rPr>
              <w:t>Podnosilac zahtjeva:</w:t>
            </w:r>
          </w:p>
        </w:tc>
        <w:tc>
          <w:tcPr>
            <w:tcW w:w="7200" w:type="dxa"/>
            <w:shd w:val="clear" w:color="auto" w:fill="auto"/>
            <w:vAlign w:val="bottom"/>
          </w:tcPr>
          <w:p w:rsidR="00735B0C" w:rsidRPr="00735B0C" w:rsidRDefault="00735B0C" w:rsidP="00735B0C">
            <w:pPr>
              <w:ind w:left="72" w:hanging="72"/>
              <w:rPr>
                <w:b/>
                <w:sz w:val="22"/>
                <w:szCs w:val="22"/>
              </w:rPr>
            </w:pPr>
            <w:r w:rsidRPr="00735B0C">
              <w:rPr>
                <w:b/>
                <w:sz w:val="22"/>
                <w:szCs w:val="22"/>
              </w:rPr>
              <w:t>Glosarij d.o.o.</w:t>
            </w:r>
          </w:p>
        </w:tc>
      </w:tr>
      <w:tr w:rsidR="00735B0C" w:rsidRPr="00AD3B49" w:rsidTr="006304BF">
        <w:trPr>
          <w:trHeight w:val="153"/>
          <w:jc w:val="center"/>
        </w:trPr>
        <w:tc>
          <w:tcPr>
            <w:tcW w:w="2160" w:type="dxa"/>
            <w:vAlign w:val="bottom"/>
          </w:tcPr>
          <w:p w:rsidR="00735B0C" w:rsidRPr="00AD3B49" w:rsidRDefault="00735B0C" w:rsidP="00735B0C">
            <w:pPr>
              <w:spacing w:line="360" w:lineRule="auto"/>
              <w:jc w:val="right"/>
              <w:rPr>
                <w:sz w:val="22"/>
                <w:szCs w:val="22"/>
                <w:lang w:val="sr-Latn-ME"/>
              </w:rPr>
            </w:pPr>
            <w:r w:rsidRPr="00AD3B49">
              <w:rPr>
                <w:sz w:val="22"/>
                <w:szCs w:val="22"/>
                <w:lang w:val="sr-Latn-ME"/>
              </w:rPr>
              <w:t>Adresa:</w:t>
            </w:r>
          </w:p>
        </w:tc>
        <w:tc>
          <w:tcPr>
            <w:tcW w:w="7200" w:type="dxa"/>
            <w:shd w:val="clear" w:color="auto" w:fill="auto"/>
            <w:vAlign w:val="bottom"/>
          </w:tcPr>
          <w:p w:rsidR="00735B0C" w:rsidRPr="00735B0C" w:rsidRDefault="00735B0C" w:rsidP="00735B0C">
            <w:pPr>
              <w:ind w:left="72" w:hanging="72"/>
              <w:rPr>
                <w:b/>
                <w:sz w:val="22"/>
                <w:szCs w:val="22"/>
              </w:rPr>
            </w:pPr>
            <w:r w:rsidRPr="00735B0C">
              <w:rPr>
                <w:b/>
                <w:sz w:val="22"/>
                <w:szCs w:val="22"/>
              </w:rPr>
              <w:t>Vojislavljevića 76, Podgorica, Crna Gora</w:t>
            </w:r>
          </w:p>
        </w:tc>
      </w:tr>
    </w:tbl>
    <w:p w:rsidR="00E74AEE" w:rsidRPr="00AD3B49" w:rsidRDefault="00E74AEE" w:rsidP="001A5518">
      <w:pPr>
        <w:rPr>
          <w:b/>
          <w:bCs/>
          <w:i/>
          <w:iCs/>
          <w:sz w:val="22"/>
          <w:szCs w:val="22"/>
          <w:u w:val="single"/>
          <w:lang w:val="sr-Latn-ME"/>
        </w:rPr>
      </w:pPr>
    </w:p>
    <w:p w:rsidR="00E74AEE" w:rsidRPr="00AD3B49" w:rsidRDefault="00E74AEE" w:rsidP="001A5518">
      <w:pPr>
        <w:rPr>
          <w:b/>
          <w:bCs/>
          <w:i/>
          <w:iCs/>
          <w:sz w:val="22"/>
          <w:szCs w:val="22"/>
          <w:u w:val="single"/>
          <w:lang w:val="sr-Latn-ME"/>
        </w:rPr>
      </w:pPr>
    </w:p>
    <w:p w:rsidR="00E74AEE" w:rsidRPr="00AD3B49" w:rsidRDefault="00E74AEE" w:rsidP="001A5518">
      <w:pPr>
        <w:rPr>
          <w:b/>
          <w:bCs/>
          <w:i/>
          <w:iCs/>
          <w:sz w:val="22"/>
          <w:szCs w:val="22"/>
          <w:u w:val="single"/>
          <w:lang w:val="sr-Latn-ME"/>
        </w:rPr>
      </w:pPr>
    </w:p>
    <w:p w:rsidR="00E74AEE" w:rsidRPr="00AD3B49" w:rsidRDefault="00E74AEE" w:rsidP="001A5518">
      <w:pPr>
        <w:rPr>
          <w:b/>
          <w:bCs/>
          <w:i/>
          <w:iCs/>
          <w:sz w:val="22"/>
          <w:szCs w:val="22"/>
          <w:u w:val="single"/>
          <w:lang w:val="sr-Latn-ME"/>
        </w:rPr>
      </w:pPr>
    </w:p>
    <w:p w:rsidR="00E74AEE" w:rsidRPr="00AD3B49" w:rsidRDefault="00E74AEE" w:rsidP="006304BF">
      <w:pPr>
        <w:tabs>
          <w:tab w:val="left" w:pos="3260"/>
        </w:tabs>
        <w:rPr>
          <w:b/>
          <w:bCs/>
          <w:i/>
          <w:iCs/>
          <w:sz w:val="22"/>
          <w:szCs w:val="22"/>
          <w:u w:val="single"/>
          <w:lang w:val="sr-Latn-ME"/>
        </w:rPr>
      </w:pPr>
    </w:p>
    <w:p w:rsidR="00E246B9" w:rsidRPr="00AD3B49" w:rsidRDefault="00E246B9" w:rsidP="001A5518">
      <w:pPr>
        <w:rPr>
          <w:color w:val="808080"/>
          <w:sz w:val="22"/>
          <w:szCs w:val="22"/>
          <w:lang w:val="sr-Latn-ME"/>
        </w:rPr>
      </w:pPr>
    </w:p>
    <w:p w:rsidR="00E74AEE" w:rsidRPr="00AD3B49" w:rsidRDefault="00E74AEE" w:rsidP="001A5518">
      <w:pPr>
        <w:rPr>
          <w:i/>
          <w:color w:val="808080"/>
          <w:sz w:val="22"/>
          <w:szCs w:val="22"/>
          <w:lang w:val="sr-Latn-ME"/>
        </w:rPr>
      </w:pPr>
    </w:p>
    <w:p w:rsidR="00E74AEE" w:rsidRPr="00AD3B49" w:rsidRDefault="00E74AEE" w:rsidP="001A5518">
      <w:pPr>
        <w:rPr>
          <w:i/>
          <w:color w:val="808080"/>
          <w:sz w:val="22"/>
          <w:szCs w:val="22"/>
          <w:lang w:val="sr-Latn-ME"/>
        </w:rPr>
      </w:pPr>
    </w:p>
    <w:p w:rsidR="00E74AEE" w:rsidRPr="00AD3B49" w:rsidRDefault="00E74AEE" w:rsidP="001A5518">
      <w:pPr>
        <w:rPr>
          <w:i/>
          <w:color w:val="808080"/>
          <w:sz w:val="22"/>
          <w:szCs w:val="22"/>
          <w:lang w:val="sr-Latn-ME"/>
        </w:rPr>
      </w:pPr>
    </w:p>
    <w:p w:rsidR="00E74AEE" w:rsidRPr="00AD3B49" w:rsidRDefault="00E74AEE" w:rsidP="001A5518">
      <w:pPr>
        <w:rPr>
          <w:i/>
          <w:color w:val="808080"/>
          <w:sz w:val="22"/>
          <w:szCs w:val="22"/>
          <w:lang w:val="sr-Latn-ME"/>
        </w:rPr>
      </w:pPr>
    </w:p>
    <w:p w:rsidR="00E74AEE" w:rsidRPr="00AD3B49" w:rsidRDefault="00E74AEE" w:rsidP="001A5518">
      <w:pPr>
        <w:rPr>
          <w:i/>
          <w:color w:val="808080"/>
          <w:sz w:val="22"/>
          <w:szCs w:val="22"/>
          <w:lang w:val="sr-Latn-ME"/>
        </w:rPr>
      </w:pPr>
    </w:p>
    <w:p w:rsidR="00E74AEE" w:rsidRPr="00AD3B49" w:rsidRDefault="00E74AEE" w:rsidP="001A5518">
      <w:pPr>
        <w:rPr>
          <w:i/>
          <w:color w:val="808080"/>
          <w:sz w:val="22"/>
          <w:szCs w:val="22"/>
          <w:lang w:val="sr-Latn-ME"/>
        </w:rPr>
      </w:pPr>
    </w:p>
    <w:p w:rsidR="00DA2ED6" w:rsidRPr="00AD3B49" w:rsidRDefault="00DA2ED6">
      <w:pPr>
        <w:rPr>
          <w:color w:val="808080"/>
          <w:sz w:val="22"/>
          <w:szCs w:val="22"/>
          <w:lang w:val="sr-Latn-ME"/>
        </w:rPr>
      </w:pPr>
    </w:p>
    <w:p w:rsidR="00DA2ED6" w:rsidRPr="00AD3B49" w:rsidRDefault="00DA2ED6">
      <w:pPr>
        <w:rPr>
          <w:color w:val="808080"/>
          <w:sz w:val="22"/>
          <w:szCs w:val="22"/>
          <w:lang w:val="sr-Latn-ME"/>
        </w:rPr>
      </w:pPr>
    </w:p>
    <w:p w:rsidR="00E246B9" w:rsidRPr="00AD3B49" w:rsidRDefault="00E246B9" w:rsidP="00E246B9">
      <w:pPr>
        <w:pStyle w:val="Header"/>
        <w:tabs>
          <w:tab w:val="left" w:pos="284"/>
        </w:tabs>
        <w:rPr>
          <w:sz w:val="22"/>
          <w:szCs w:val="22"/>
          <w:lang w:val="sr-Latn-ME"/>
        </w:rPr>
      </w:pPr>
    </w:p>
    <w:p w:rsidR="00DA2ED6" w:rsidRPr="00AD3B49" w:rsidRDefault="00DA2ED6">
      <w:pPr>
        <w:rPr>
          <w:lang w:val="sr-Latn-ME"/>
        </w:rPr>
      </w:pPr>
    </w:p>
    <w:p w:rsidR="00C237E2" w:rsidRDefault="00C237E2" w:rsidP="00F5167F">
      <w:pPr>
        <w:tabs>
          <w:tab w:val="left" w:pos="540"/>
          <w:tab w:val="left" w:pos="569"/>
        </w:tabs>
        <w:rPr>
          <w:b/>
          <w:bCs/>
          <w:sz w:val="22"/>
          <w:szCs w:val="22"/>
          <w:lang w:val="sr-Latn-ME"/>
        </w:rPr>
      </w:pPr>
    </w:p>
    <w:p w:rsidR="00C237E2" w:rsidRDefault="00C237E2" w:rsidP="00F5167F">
      <w:pPr>
        <w:tabs>
          <w:tab w:val="left" w:pos="540"/>
          <w:tab w:val="left" w:pos="569"/>
        </w:tabs>
        <w:rPr>
          <w:b/>
          <w:bCs/>
          <w:sz w:val="22"/>
          <w:szCs w:val="22"/>
          <w:lang w:val="sr-Latn-ME"/>
        </w:rPr>
      </w:pPr>
    </w:p>
    <w:p w:rsidR="00411B4B" w:rsidRPr="00AD3B49" w:rsidRDefault="00411B4B" w:rsidP="00F5167F">
      <w:pPr>
        <w:tabs>
          <w:tab w:val="left" w:pos="540"/>
          <w:tab w:val="left" w:pos="569"/>
        </w:tabs>
        <w:rPr>
          <w:b/>
          <w:bCs/>
          <w:sz w:val="22"/>
          <w:szCs w:val="22"/>
          <w:lang w:val="sr-Latn-ME"/>
        </w:rPr>
      </w:pPr>
      <w:r w:rsidRPr="00AD3B49">
        <w:rPr>
          <w:b/>
          <w:bCs/>
          <w:sz w:val="22"/>
          <w:szCs w:val="22"/>
          <w:lang w:val="sr-Latn-ME"/>
        </w:rPr>
        <w:t>1.</w:t>
      </w:r>
      <w:r w:rsidR="00F5167F" w:rsidRPr="00AD3B49">
        <w:rPr>
          <w:b/>
          <w:bCs/>
          <w:sz w:val="22"/>
          <w:szCs w:val="22"/>
          <w:lang w:val="sr-Latn-ME"/>
        </w:rPr>
        <w:tab/>
      </w:r>
      <w:r w:rsidR="002846DB" w:rsidRPr="00AD3B49">
        <w:rPr>
          <w:b/>
          <w:bCs/>
          <w:sz w:val="22"/>
          <w:szCs w:val="22"/>
          <w:lang w:val="sr-Latn-ME"/>
        </w:rPr>
        <w:t xml:space="preserve">NAZIV </w:t>
      </w:r>
      <w:r w:rsidRPr="00AD3B49">
        <w:rPr>
          <w:b/>
          <w:bCs/>
          <w:sz w:val="22"/>
          <w:szCs w:val="22"/>
          <w:lang w:val="sr-Latn-ME"/>
        </w:rPr>
        <w:t>LIJEKA</w:t>
      </w:r>
    </w:p>
    <w:p w:rsidR="00EC2532" w:rsidRPr="00AD3B49" w:rsidRDefault="00EC2532">
      <w:pPr>
        <w:rPr>
          <w:sz w:val="22"/>
          <w:szCs w:val="22"/>
          <w:lang w:val="sr-Latn-ME"/>
        </w:rPr>
      </w:pPr>
    </w:p>
    <w:p w:rsidR="00EA5B36" w:rsidRPr="00AD3B49" w:rsidRDefault="00EA5B36" w:rsidP="00EA5B36">
      <w:pPr>
        <w:pStyle w:val="Default"/>
        <w:rPr>
          <w:rFonts w:ascii="Times New Roman" w:hAnsi="Times New Roman" w:cs="Times New Roman"/>
          <w:sz w:val="22"/>
          <w:szCs w:val="22"/>
          <w:lang w:val="sr-Latn-ME"/>
        </w:rPr>
      </w:pPr>
      <w:r w:rsidRPr="00AD3B49">
        <w:rPr>
          <w:rFonts w:ascii="Times New Roman" w:hAnsi="Times New Roman" w:cs="Times New Roman"/>
          <w:sz w:val="22"/>
          <w:szCs w:val="22"/>
          <w:lang w:val="sr-Latn-ME"/>
        </w:rPr>
        <w:t>Humira</w:t>
      </w:r>
      <w:r w:rsidR="00EE754A" w:rsidRPr="00AD3B49">
        <w:rPr>
          <w:rFonts w:ascii="Times New Roman" w:hAnsi="Times New Roman" w:cs="Times New Roman"/>
          <w:sz w:val="22"/>
          <w:szCs w:val="22"/>
          <w:lang w:val="sr-Latn-ME"/>
        </w:rPr>
        <w:t>, 40mg/0,8 ml rastvor za injekciju u napunjenom injekcionom špricu</w:t>
      </w:r>
    </w:p>
    <w:p w:rsidR="00EA5B36" w:rsidRPr="00AD3B49" w:rsidRDefault="00EA5B36" w:rsidP="00EA5B36">
      <w:pPr>
        <w:pStyle w:val="Default"/>
        <w:rPr>
          <w:rFonts w:ascii="Times New Roman" w:hAnsi="Times New Roman" w:cs="Times New Roman"/>
          <w:color w:val="auto"/>
          <w:sz w:val="22"/>
          <w:szCs w:val="22"/>
          <w:lang w:val="sr-Latn-ME"/>
        </w:rPr>
      </w:pPr>
    </w:p>
    <w:p w:rsidR="00EA5B36" w:rsidRPr="00AD3B49" w:rsidRDefault="00411B4B" w:rsidP="00EA5B36">
      <w:pPr>
        <w:rPr>
          <w:sz w:val="22"/>
          <w:szCs w:val="22"/>
          <w:lang w:val="sr-Latn-ME"/>
        </w:rPr>
      </w:pPr>
      <w:r w:rsidRPr="00AD3B49">
        <w:rPr>
          <w:sz w:val="22"/>
          <w:szCs w:val="22"/>
          <w:lang w:val="sr-Latn-ME"/>
        </w:rPr>
        <w:t>INN</w:t>
      </w:r>
      <w:r w:rsidR="00EA5B36" w:rsidRPr="00AD3B49">
        <w:rPr>
          <w:sz w:val="22"/>
          <w:szCs w:val="22"/>
          <w:lang w:val="sr-Latn-ME"/>
        </w:rPr>
        <w:t>:</w:t>
      </w:r>
      <w:r w:rsidR="00EA5B36" w:rsidRPr="00AD3B49">
        <w:rPr>
          <w:i/>
          <w:sz w:val="22"/>
          <w:szCs w:val="22"/>
          <w:lang w:val="sr-Latn-ME"/>
        </w:rPr>
        <w:t xml:space="preserve"> adalimumab</w:t>
      </w:r>
    </w:p>
    <w:p w:rsidR="00530BD7" w:rsidRPr="00AD3B49" w:rsidRDefault="00EA5B36">
      <w:pPr>
        <w:rPr>
          <w:bCs/>
          <w:sz w:val="22"/>
          <w:szCs w:val="22"/>
          <w:lang w:val="sr-Latn-ME"/>
        </w:rPr>
      </w:pPr>
      <w:r w:rsidRPr="00AD3B49">
        <w:rPr>
          <w:bCs/>
          <w:sz w:val="22"/>
          <w:szCs w:val="22"/>
          <w:lang w:val="sr-Latn-ME"/>
        </w:rPr>
        <w:t xml:space="preserve"> </w:t>
      </w:r>
    </w:p>
    <w:p w:rsidR="00411B4B" w:rsidRPr="00AD3B49" w:rsidRDefault="00411B4B" w:rsidP="00F5167F">
      <w:pPr>
        <w:tabs>
          <w:tab w:val="left" w:pos="540"/>
          <w:tab w:val="left" w:pos="569"/>
        </w:tabs>
        <w:rPr>
          <w:b/>
          <w:bCs/>
          <w:sz w:val="22"/>
          <w:szCs w:val="22"/>
          <w:lang w:val="sr-Latn-ME"/>
        </w:rPr>
      </w:pPr>
      <w:r w:rsidRPr="00AD3B49">
        <w:rPr>
          <w:b/>
          <w:bCs/>
          <w:sz w:val="22"/>
          <w:szCs w:val="22"/>
          <w:lang w:val="sr-Latn-ME"/>
        </w:rPr>
        <w:t xml:space="preserve">2. </w:t>
      </w:r>
      <w:r w:rsidR="00F5167F" w:rsidRPr="00AD3B49">
        <w:rPr>
          <w:b/>
          <w:bCs/>
          <w:sz w:val="22"/>
          <w:szCs w:val="22"/>
          <w:lang w:val="sr-Latn-ME"/>
        </w:rPr>
        <w:tab/>
      </w:r>
      <w:r w:rsidRPr="00AD3B49">
        <w:rPr>
          <w:b/>
          <w:bCs/>
          <w:sz w:val="22"/>
          <w:szCs w:val="22"/>
          <w:lang w:val="sr-Latn-ME"/>
        </w:rPr>
        <w:t>KVALITATIVNI I KVANTITATIVNI SASTAV</w:t>
      </w:r>
    </w:p>
    <w:p w:rsidR="005A0B2E" w:rsidRPr="00AD3B49" w:rsidRDefault="005A0B2E">
      <w:pPr>
        <w:rPr>
          <w:sz w:val="22"/>
          <w:szCs w:val="22"/>
          <w:lang w:val="sr-Latn-ME"/>
        </w:rPr>
      </w:pPr>
    </w:p>
    <w:p w:rsidR="00EA5B36" w:rsidRPr="00AD3B49" w:rsidRDefault="00EA5B36" w:rsidP="00E955E5">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Svak</w:t>
      </w:r>
      <w:r w:rsidR="00EE754A" w:rsidRPr="00AD3B49">
        <w:rPr>
          <w:rFonts w:ascii="Times New Roman" w:hAnsi="Times New Roman" w:cs="Times New Roman"/>
          <w:color w:val="auto"/>
          <w:sz w:val="22"/>
          <w:szCs w:val="22"/>
          <w:lang w:val="sr-Latn-ME"/>
        </w:rPr>
        <w:t xml:space="preserve">i napunjeni injekcioni špric </w:t>
      </w:r>
      <w:r w:rsidRPr="00AD3B49">
        <w:rPr>
          <w:rFonts w:ascii="Times New Roman" w:hAnsi="Times New Roman" w:cs="Times New Roman"/>
          <w:color w:val="auto"/>
          <w:sz w:val="22"/>
          <w:szCs w:val="22"/>
          <w:lang w:val="sr-Latn-ME"/>
        </w:rPr>
        <w:t xml:space="preserve"> s jednokratnom dozom od 0,8 ml sadrži 40 mg adalimumaba. </w:t>
      </w:r>
    </w:p>
    <w:p w:rsidR="00EA5B36" w:rsidRPr="00AD3B49" w:rsidRDefault="00EA5B36" w:rsidP="00EF4462">
      <w:pPr>
        <w:pStyle w:val="Default"/>
        <w:ind w:left="567" w:hanging="567"/>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EA5B36" w:rsidRPr="00AD3B49" w:rsidRDefault="00EA5B36" w:rsidP="00EF4462">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Adalimumab je rekombinantno </w:t>
      </w:r>
      <w:r w:rsidR="00EE754A" w:rsidRPr="00AD3B49">
        <w:rPr>
          <w:rFonts w:ascii="Times New Roman" w:hAnsi="Times New Roman" w:cs="Times New Roman"/>
          <w:color w:val="auto"/>
          <w:sz w:val="22"/>
          <w:szCs w:val="22"/>
          <w:lang w:val="sr-Latn-ME"/>
        </w:rPr>
        <w:t xml:space="preserve">humano </w:t>
      </w:r>
      <w:r w:rsidRPr="00AD3B49">
        <w:rPr>
          <w:rFonts w:ascii="Times New Roman" w:hAnsi="Times New Roman" w:cs="Times New Roman"/>
          <w:color w:val="auto"/>
          <w:sz w:val="22"/>
          <w:szCs w:val="22"/>
          <w:lang w:val="sr-Latn-ME"/>
        </w:rPr>
        <w:t xml:space="preserve">monoklonsko antitijelo, dobijeno iz ćelija jajnika kineskog hrčka. </w:t>
      </w:r>
    </w:p>
    <w:p w:rsidR="00EA5B36" w:rsidRPr="00AD3B49" w:rsidRDefault="00EA5B36" w:rsidP="00EA5B36">
      <w:pPr>
        <w:pStyle w:val="Default"/>
        <w:ind w:left="567" w:hanging="567"/>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EA5B36" w:rsidRPr="00AD3B49" w:rsidRDefault="00EA5B36" w:rsidP="00EA5B36">
      <w:pPr>
        <w:pStyle w:val="Default"/>
        <w:ind w:left="567" w:hanging="567"/>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Za kompletnu listu pomoćnih supstanci, vidjeti </w:t>
      </w:r>
      <w:r w:rsidR="002D5061" w:rsidRPr="00AD3B49">
        <w:rPr>
          <w:rFonts w:ascii="Times New Roman" w:hAnsi="Times New Roman" w:cs="Times New Roman"/>
          <w:color w:val="auto"/>
          <w:sz w:val="22"/>
          <w:szCs w:val="22"/>
          <w:lang w:val="sr-Latn-ME"/>
        </w:rPr>
        <w:t>odjeljak</w:t>
      </w:r>
      <w:r w:rsidRPr="00AD3B49">
        <w:rPr>
          <w:rFonts w:ascii="Times New Roman" w:hAnsi="Times New Roman" w:cs="Times New Roman"/>
          <w:color w:val="auto"/>
          <w:sz w:val="22"/>
          <w:szCs w:val="22"/>
          <w:lang w:val="sr-Latn-ME"/>
        </w:rPr>
        <w:t xml:space="preserve"> 6.1. </w:t>
      </w:r>
    </w:p>
    <w:p w:rsidR="00E51C30" w:rsidRPr="00AD3B49" w:rsidRDefault="00E51C30">
      <w:pPr>
        <w:rPr>
          <w:sz w:val="22"/>
          <w:szCs w:val="22"/>
          <w:lang w:val="sr-Latn-ME"/>
        </w:rPr>
      </w:pPr>
    </w:p>
    <w:p w:rsidR="00411B4B" w:rsidRPr="00AD3B49" w:rsidRDefault="00411B4B" w:rsidP="00F5167F">
      <w:pPr>
        <w:tabs>
          <w:tab w:val="left" w:pos="540"/>
          <w:tab w:val="left" w:pos="569"/>
        </w:tabs>
        <w:rPr>
          <w:b/>
          <w:bCs/>
          <w:sz w:val="22"/>
          <w:szCs w:val="22"/>
          <w:lang w:val="sr-Latn-ME"/>
        </w:rPr>
      </w:pPr>
      <w:r w:rsidRPr="00AD3B49">
        <w:rPr>
          <w:b/>
          <w:bCs/>
          <w:sz w:val="22"/>
          <w:szCs w:val="22"/>
          <w:lang w:val="sr-Latn-ME"/>
        </w:rPr>
        <w:t xml:space="preserve">3. </w:t>
      </w:r>
      <w:r w:rsidR="00F5167F" w:rsidRPr="00AD3B49">
        <w:rPr>
          <w:b/>
          <w:bCs/>
          <w:sz w:val="22"/>
          <w:szCs w:val="22"/>
          <w:lang w:val="sr-Latn-ME"/>
        </w:rPr>
        <w:tab/>
      </w:r>
      <w:r w:rsidRPr="00AD3B49">
        <w:rPr>
          <w:b/>
          <w:bCs/>
          <w:sz w:val="22"/>
          <w:szCs w:val="22"/>
          <w:lang w:val="sr-Latn-ME"/>
        </w:rPr>
        <w:t>FARMACEUTSKI OBLIK</w:t>
      </w:r>
    </w:p>
    <w:p w:rsidR="00411B4B" w:rsidRPr="00AD3B49" w:rsidRDefault="00411B4B">
      <w:pPr>
        <w:rPr>
          <w:bCs/>
          <w:sz w:val="22"/>
          <w:szCs w:val="22"/>
          <w:lang w:val="sr-Latn-ME"/>
        </w:rPr>
      </w:pPr>
    </w:p>
    <w:p w:rsidR="00EA5B36" w:rsidRPr="00AD3B49" w:rsidRDefault="002E5A76">
      <w:pPr>
        <w:rPr>
          <w:bCs/>
          <w:sz w:val="22"/>
          <w:szCs w:val="22"/>
          <w:lang w:val="sr-Latn-ME"/>
        </w:rPr>
      </w:pPr>
      <w:r w:rsidRPr="00AD3B49">
        <w:rPr>
          <w:bCs/>
          <w:sz w:val="22"/>
          <w:szCs w:val="22"/>
          <w:lang w:val="sr-Latn-ME"/>
        </w:rPr>
        <w:t xml:space="preserve">Bistri rastvor za injekciju u napunjenom </w:t>
      </w:r>
      <w:r w:rsidR="009E3AA8" w:rsidRPr="00AD3B49">
        <w:rPr>
          <w:bCs/>
          <w:sz w:val="22"/>
          <w:szCs w:val="22"/>
          <w:lang w:val="sr-Latn-ME"/>
        </w:rPr>
        <w:t xml:space="preserve">injekcionom </w:t>
      </w:r>
      <w:r w:rsidRPr="00AD3B49">
        <w:rPr>
          <w:bCs/>
          <w:sz w:val="22"/>
          <w:szCs w:val="22"/>
          <w:lang w:val="sr-Latn-ME"/>
        </w:rPr>
        <w:t>špricu.</w:t>
      </w:r>
    </w:p>
    <w:p w:rsidR="00EC2532" w:rsidRPr="00AD3B49" w:rsidRDefault="00EC2532">
      <w:pPr>
        <w:rPr>
          <w:bCs/>
          <w:sz w:val="22"/>
          <w:szCs w:val="22"/>
          <w:lang w:val="sr-Latn-ME"/>
        </w:rPr>
      </w:pPr>
    </w:p>
    <w:p w:rsidR="00411B4B" w:rsidRPr="00AD3B49" w:rsidRDefault="00411B4B" w:rsidP="00F5167F">
      <w:pPr>
        <w:tabs>
          <w:tab w:val="left" w:pos="540"/>
          <w:tab w:val="left" w:pos="569"/>
        </w:tabs>
        <w:rPr>
          <w:b/>
          <w:bCs/>
          <w:sz w:val="22"/>
          <w:szCs w:val="22"/>
          <w:lang w:val="sr-Latn-ME"/>
        </w:rPr>
      </w:pPr>
      <w:r w:rsidRPr="00AD3B49">
        <w:rPr>
          <w:b/>
          <w:bCs/>
          <w:sz w:val="22"/>
          <w:szCs w:val="22"/>
          <w:lang w:val="sr-Latn-ME"/>
        </w:rPr>
        <w:t xml:space="preserve">4. </w:t>
      </w:r>
      <w:r w:rsidR="00480FB1" w:rsidRPr="00AD3B49">
        <w:rPr>
          <w:b/>
          <w:bCs/>
          <w:sz w:val="22"/>
          <w:szCs w:val="22"/>
          <w:lang w:val="sr-Latn-ME"/>
        </w:rPr>
        <w:tab/>
      </w:r>
      <w:r w:rsidRPr="00AD3B49">
        <w:rPr>
          <w:b/>
          <w:bCs/>
          <w:sz w:val="22"/>
          <w:szCs w:val="22"/>
          <w:lang w:val="sr-Latn-ME"/>
        </w:rPr>
        <w:t>KLINIČKI PODACI</w:t>
      </w:r>
    </w:p>
    <w:p w:rsidR="00CD6F02" w:rsidRPr="00AD3B49" w:rsidRDefault="00CD6F02" w:rsidP="00480FB1">
      <w:pPr>
        <w:tabs>
          <w:tab w:val="left" w:pos="540"/>
          <w:tab w:val="left" w:pos="569"/>
        </w:tabs>
        <w:rPr>
          <w:bCs/>
          <w:sz w:val="22"/>
          <w:szCs w:val="22"/>
          <w:lang w:val="sr-Latn-ME"/>
        </w:rPr>
      </w:pPr>
    </w:p>
    <w:p w:rsidR="000D772C" w:rsidRPr="00AD3B49" w:rsidRDefault="000D772C" w:rsidP="00480FB1">
      <w:pPr>
        <w:tabs>
          <w:tab w:val="left" w:pos="540"/>
          <w:tab w:val="left" w:pos="569"/>
        </w:tabs>
        <w:rPr>
          <w:bCs/>
          <w:sz w:val="22"/>
          <w:szCs w:val="22"/>
          <w:lang w:val="sr-Latn-ME"/>
        </w:rPr>
      </w:pPr>
    </w:p>
    <w:p w:rsidR="00411B4B" w:rsidRPr="00AD3B49" w:rsidRDefault="00411B4B" w:rsidP="00480FB1">
      <w:pPr>
        <w:tabs>
          <w:tab w:val="left" w:pos="540"/>
          <w:tab w:val="left" w:pos="569"/>
        </w:tabs>
        <w:rPr>
          <w:b/>
          <w:bCs/>
          <w:sz w:val="22"/>
          <w:szCs w:val="22"/>
          <w:lang w:val="sr-Latn-ME"/>
        </w:rPr>
      </w:pPr>
      <w:r w:rsidRPr="00AD3B49">
        <w:rPr>
          <w:b/>
          <w:bCs/>
          <w:sz w:val="22"/>
          <w:szCs w:val="22"/>
          <w:lang w:val="sr-Latn-ME"/>
        </w:rPr>
        <w:t xml:space="preserve">4.1. </w:t>
      </w:r>
      <w:r w:rsidR="00480FB1" w:rsidRPr="00AD3B49">
        <w:rPr>
          <w:b/>
          <w:bCs/>
          <w:sz w:val="22"/>
          <w:szCs w:val="22"/>
          <w:lang w:val="sr-Latn-ME"/>
        </w:rPr>
        <w:tab/>
      </w:r>
      <w:r w:rsidRPr="00AD3B49">
        <w:rPr>
          <w:b/>
          <w:bCs/>
          <w:sz w:val="22"/>
          <w:szCs w:val="22"/>
          <w:lang w:val="sr-Latn-ME"/>
        </w:rPr>
        <w:t>Terapijske indikacije</w:t>
      </w:r>
    </w:p>
    <w:p w:rsidR="002E5A76" w:rsidRPr="00AD3B49" w:rsidRDefault="002E5A76" w:rsidP="00480FB1">
      <w:pPr>
        <w:tabs>
          <w:tab w:val="left" w:pos="540"/>
          <w:tab w:val="left" w:pos="569"/>
        </w:tabs>
        <w:rPr>
          <w:b/>
          <w:bCs/>
          <w:sz w:val="22"/>
          <w:szCs w:val="22"/>
          <w:lang w:val="sr-Latn-ME"/>
        </w:rPr>
      </w:pPr>
    </w:p>
    <w:p w:rsidR="002E5A76" w:rsidRPr="00AD3B49" w:rsidRDefault="002E5A76" w:rsidP="002E5A76">
      <w:pPr>
        <w:pStyle w:val="Default"/>
        <w:ind w:left="567" w:hanging="567"/>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Reumatoidni artritis</w:t>
      </w:r>
    </w:p>
    <w:p w:rsidR="002E5A76" w:rsidRPr="00AD3B49" w:rsidRDefault="002E5A76" w:rsidP="002E5A76">
      <w:pPr>
        <w:pStyle w:val="Default"/>
        <w:ind w:left="567" w:hanging="567"/>
        <w:jc w:val="both"/>
        <w:rPr>
          <w:rFonts w:ascii="Times New Roman" w:hAnsi="Times New Roman" w:cs="Times New Roman"/>
          <w:color w:val="auto"/>
          <w:sz w:val="22"/>
          <w:szCs w:val="22"/>
          <w:u w:val="single"/>
          <w:lang w:val="sr-Latn-ME"/>
        </w:rPr>
      </w:pPr>
    </w:p>
    <w:p w:rsidR="002E5A76" w:rsidRPr="00AD3B49" w:rsidRDefault="00B90102" w:rsidP="002E5A76">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Lijek </w:t>
      </w:r>
      <w:r w:rsidR="002E5A76" w:rsidRPr="00AD3B49">
        <w:rPr>
          <w:rFonts w:ascii="Times New Roman" w:hAnsi="Times New Roman" w:cs="Times New Roman"/>
          <w:color w:val="auto"/>
          <w:sz w:val="22"/>
          <w:szCs w:val="22"/>
          <w:lang w:val="sr-Latn-ME"/>
        </w:rPr>
        <w:t>Humira je, u kombinaciji s metotreksatom, indikovan za:</w:t>
      </w:r>
    </w:p>
    <w:p w:rsidR="002E5A76" w:rsidRPr="00AD3B49" w:rsidRDefault="002E5A76" w:rsidP="002E5A76">
      <w:pPr>
        <w:pStyle w:val="Default"/>
        <w:ind w:left="567" w:hanging="567"/>
        <w:jc w:val="both"/>
        <w:rPr>
          <w:rFonts w:ascii="Times New Roman" w:hAnsi="Times New Roman" w:cs="Times New Roman"/>
          <w:color w:val="auto"/>
          <w:sz w:val="16"/>
          <w:szCs w:val="16"/>
          <w:u w:val="single"/>
          <w:lang w:val="sr-Latn-ME"/>
        </w:rPr>
      </w:pPr>
    </w:p>
    <w:p w:rsidR="002E5A76" w:rsidRPr="00AD3B49" w:rsidRDefault="002E5A76" w:rsidP="002E5A76">
      <w:pPr>
        <w:pStyle w:val="Default"/>
        <w:numPr>
          <w:ilvl w:val="0"/>
          <w:numId w:val="42"/>
        </w:numPr>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terapiju umjerenog do teškog, aktivnog reumatoidnog artritisa kod odraslih </w:t>
      </w:r>
      <w:r w:rsidR="003D3610" w:rsidRPr="00AD3B49">
        <w:rPr>
          <w:rFonts w:ascii="Times New Roman" w:hAnsi="Times New Roman" w:cs="Times New Roman"/>
          <w:color w:val="auto"/>
          <w:sz w:val="22"/>
          <w:szCs w:val="22"/>
          <w:lang w:val="sr-Latn-ME"/>
        </w:rPr>
        <w:t>pacijenata</w:t>
      </w:r>
      <w:r w:rsidRPr="00AD3B49">
        <w:rPr>
          <w:rFonts w:ascii="Times New Roman" w:hAnsi="Times New Roman" w:cs="Times New Roman"/>
          <w:color w:val="auto"/>
          <w:sz w:val="22"/>
          <w:szCs w:val="22"/>
          <w:lang w:val="sr-Latn-ME"/>
        </w:rPr>
        <w:t xml:space="preserve"> kod kojih prethodnim liječenjem </w:t>
      </w:r>
      <w:r w:rsidRPr="00AD3B49">
        <w:rPr>
          <w:rFonts w:ascii="Times New Roman" w:hAnsi="Times New Roman" w:cs="Times New Roman"/>
          <w:iCs/>
          <w:color w:val="auto"/>
          <w:sz w:val="22"/>
          <w:szCs w:val="22"/>
          <w:lang w:val="sr-Latn-ME"/>
        </w:rPr>
        <w:t xml:space="preserve">antireumaticima </w:t>
      </w:r>
      <w:r w:rsidRPr="00AD3B49">
        <w:rPr>
          <w:rFonts w:ascii="Times New Roman" w:hAnsi="Times New Roman" w:cs="Times New Roman"/>
          <w:color w:val="auto"/>
          <w:sz w:val="22"/>
          <w:szCs w:val="22"/>
          <w:lang w:val="sr-Latn-ME"/>
        </w:rPr>
        <w:t xml:space="preserve">koji modifikuju tok bolesti, uključujući i </w:t>
      </w:r>
      <w:r w:rsidRPr="00AD3B49">
        <w:rPr>
          <w:rFonts w:ascii="Times New Roman" w:hAnsi="Times New Roman" w:cs="Times New Roman"/>
          <w:iCs/>
          <w:color w:val="auto"/>
          <w:sz w:val="22"/>
          <w:szCs w:val="22"/>
          <w:lang w:val="sr-Latn-ME"/>
        </w:rPr>
        <w:t>metotreksat,</w:t>
      </w:r>
      <w:r w:rsidRPr="00AD3B49">
        <w:rPr>
          <w:rFonts w:ascii="Times New Roman" w:hAnsi="Times New Roman" w:cs="Times New Roman"/>
          <w:color w:val="auto"/>
          <w:sz w:val="22"/>
          <w:szCs w:val="22"/>
          <w:lang w:val="sr-Latn-ME"/>
        </w:rPr>
        <w:t xml:space="preserve"> nije postignut zadovoljavajući odgovor. </w:t>
      </w:r>
    </w:p>
    <w:p w:rsidR="002E5A76" w:rsidRPr="00AD3B49" w:rsidRDefault="002E5A76" w:rsidP="002E5A76">
      <w:pPr>
        <w:pStyle w:val="Default"/>
        <w:numPr>
          <w:ilvl w:val="0"/>
          <w:numId w:val="42"/>
        </w:numPr>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terapiju teškog, aktivnog i progresivnog reumatoidnog artritisa kod odraslih </w:t>
      </w:r>
      <w:r w:rsidR="003D3610" w:rsidRPr="00AD3B49">
        <w:rPr>
          <w:rFonts w:ascii="Times New Roman" w:hAnsi="Times New Roman" w:cs="Times New Roman"/>
          <w:color w:val="auto"/>
          <w:sz w:val="22"/>
          <w:szCs w:val="22"/>
          <w:lang w:val="sr-Latn-ME"/>
        </w:rPr>
        <w:t>pacijenata</w:t>
      </w:r>
      <w:r w:rsidRPr="00AD3B49">
        <w:rPr>
          <w:rFonts w:ascii="Times New Roman" w:hAnsi="Times New Roman" w:cs="Times New Roman"/>
          <w:color w:val="auto"/>
          <w:sz w:val="22"/>
          <w:szCs w:val="22"/>
          <w:lang w:val="sr-Latn-ME"/>
        </w:rPr>
        <w:t xml:space="preserve"> koji nisu prethodno liječeni </w:t>
      </w:r>
      <w:r w:rsidRPr="00AD3B49">
        <w:rPr>
          <w:rFonts w:ascii="Times New Roman" w:hAnsi="Times New Roman" w:cs="Times New Roman"/>
          <w:iCs/>
          <w:color w:val="auto"/>
          <w:sz w:val="22"/>
          <w:szCs w:val="22"/>
          <w:lang w:val="sr-Latn-ME"/>
        </w:rPr>
        <w:t xml:space="preserve">metotreksatom. </w:t>
      </w:r>
    </w:p>
    <w:p w:rsidR="002E5A76" w:rsidRPr="00AD3B49" w:rsidRDefault="002E5A76" w:rsidP="002E5A76">
      <w:pPr>
        <w:pStyle w:val="Default"/>
        <w:ind w:left="567" w:hanging="567"/>
        <w:jc w:val="both"/>
        <w:rPr>
          <w:rFonts w:ascii="Times New Roman" w:hAnsi="Times New Roman" w:cs="Times New Roman"/>
          <w:color w:val="auto"/>
          <w:sz w:val="16"/>
          <w:szCs w:val="16"/>
          <w:u w:val="single"/>
          <w:lang w:val="sr-Latn-ME"/>
        </w:rPr>
      </w:pPr>
    </w:p>
    <w:p w:rsidR="002E5A76" w:rsidRPr="00AD3B49" w:rsidRDefault="00B90102" w:rsidP="002E5A76">
      <w:pPr>
        <w:pStyle w:val="Default"/>
        <w:jc w:val="both"/>
        <w:rPr>
          <w:rFonts w:ascii="Times New Roman" w:hAnsi="Times New Roman" w:cs="Times New Roman"/>
          <w:iCs/>
          <w:color w:val="auto"/>
          <w:sz w:val="22"/>
          <w:szCs w:val="22"/>
          <w:lang w:val="sr-Latn-ME"/>
        </w:rPr>
      </w:pPr>
      <w:r w:rsidRPr="00AD3B49">
        <w:rPr>
          <w:rFonts w:ascii="Times New Roman" w:hAnsi="Times New Roman" w:cs="Times New Roman"/>
          <w:iCs/>
          <w:color w:val="auto"/>
          <w:sz w:val="22"/>
          <w:szCs w:val="22"/>
          <w:lang w:val="sr-Latn-ME"/>
        </w:rPr>
        <w:t xml:space="preserve">Lijek </w:t>
      </w:r>
      <w:r w:rsidR="002E5A76" w:rsidRPr="00AD3B49">
        <w:rPr>
          <w:rFonts w:ascii="Times New Roman" w:hAnsi="Times New Roman" w:cs="Times New Roman"/>
          <w:iCs/>
          <w:color w:val="auto"/>
          <w:sz w:val="22"/>
          <w:szCs w:val="22"/>
          <w:lang w:val="sr-Latn-ME"/>
        </w:rPr>
        <w:t xml:space="preserve">Humira se može dati kao monoterapija u slučajevima nepodnošenja metotreksata ili kada nastavak terapije metotreksatom nije prikladan. </w:t>
      </w:r>
    </w:p>
    <w:p w:rsidR="002E5A76" w:rsidRPr="00AD3B49" w:rsidRDefault="002E5A76" w:rsidP="002E5A76">
      <w:pPr>
        <w:pStyle w:val="Default"/>
        <w:jc w:val="both"/>
        <w:rPr>
          <w:rFonts w:ascii="Times New Roman" w:hAnsi="Times New Roman" w:cs="Times New Roman"/>
          <w:iCs/>
          <w:color w:val="auto"/>
          <w:sz w:val="22"/>
          <w:szCs w:val="22"/>
          <w:lang w:val="sr-Latn-ME"/>
        </w:rPr>
      </w:pPr>
    </w:p>
    <w:p w:rsidR="002E5A76" w:rsidRPr="00AD3B49" w:rsidRDefault="002E5A76" w:rsidP="002E5A76">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lang w:val="sr-Latn-ME"/>
        </w:rPr>
        <w:t xml:space="preserve">Pokazalo se da </w:t>
      </w:r>
      <w:r w:rsidR="00B90102" w:rsidRPr="00AD3B49">
        <w:rPr>
          <w:rFonts w:ascii="Times New Roman" w:hAnsi="Times New Roman" w:cs="Times New Roman"/>
          <w:color w:val="auto"/>
          <w:sz w:val="22"/>
          <w:szCs w:val="22"/>
          <w:lang w:val="sr-Latn-ME"/>
        </w:rPr>
        <w:t xml:space="preserve">lijek </w:t>
      </w:r>
      <w:r w:rsidRPr="00AD3B49">
        <w:rPr>
          <w:rFonts w:ascii="Times New Roman" w:hAnsi="Times New Roman" w:cs="Times New Roman"/>
          <w:color w:val="auto"/>
          <w:sz w:val="22"/>
          <w:szCs w:val="22"/>
          <w:lang w:val="sr-Latn-ME"/>
        </w:rPr>
        <w:t xml:space="preserve">Humira smanjuje stopu progresije oštećenja zglobova na osnovu rendgenskih nalaza, te da poboljšava fizičku funkciju, kada se daje u kombinaciji sa </w:t>
      </w:r>
      <w:r w:rsidRPr="00AD3B49">
        <w:rPr>
          <w:rFonts w:ascii="Times New Roman" w:hAnsi="Times New Roman" w:cs="Times New Roman"/>
          <w:iCs/>
          <w:color w:val="auto"/>
          <w:sz w:val="22"/>
          <w:szCs w:val="22"/>
          <w:lang w:val="sr-Latn-ME"/>
        </w:rPr>
        <w:t xml:space="preserve">metotreksatom. </w:t>
      </w:r>
    </w:p>
    <w:p w:rsidR="00411B4B" w:rsidRPr="00AD3B49" w:rsidRDefault="00093EF6" w:rsidP="00093EF6">
      <w:pPr>
        <w:tabs>
          <w:tab w:val="left" w:pos="1230"/>
        </w:tabs>
        <w:rPr>
          <w:bCs/>
          <w:sz w:val="22"/>
          <w:szCs w:val="22"/>
          <w:lang w:val="sr-Latn-ME"/>
        </w:rPr>
      </w:pPr>
      <w:r w:rsidRPr="00AD3B49">
        <w:rPr>
          <w:bCs/>
          <w:sz w:val="22"/>
          <w:szCs w:val="22"/>
          <w:lang w:val="sr-Latn-ME"/>
        </w:rPr>
        <w:tab/>
      </w:r>
    </w:p>
    <w:p w:rsidR="00093EF6" w:rsidRPr="00AD3B49" w:rsidRDefault="00093EF6" w:rsidP="00093EF6">
      <w:pPr>
        <w:pStyle w:val="Default"/>
        <w:ind w:left="567" w:hanging="567"/>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u w:val="single"/>
          <w:lang w:val="sr-Latn-ME"/>
        </w:rPr>
        <w:t>Poliartikularni juvenilni idiopatski artritis</w:t>
      </w:r>
    </w:p>
    <w:p w:rsidR="00093EF6" w:rsidRPr="00AD3B49" w:rsidRDefault="00093EF6" w:rsidP="00093EF6">
      <w:pPr>
        <w:pStyle w:val="Default"/>
        <w:jc w:val="both"/>
        <w:rPr>
          <w:rFonts w:ascii="Times New Roman" w:hAnsi="Times New Roman" w:cs="Times New Roman"/>
          <w:color w:val="auto"/>
          <w:sz w:val="22"/>
          <w:szCs w:val="22"/>
          <w:lang w:val="sr-Latn-ME"/>
        </w:rPr>
      </w:pPr>
    </w:p>
    <w:p w:rsidR="00093EF6" w:rsidRPr="00AD3B49" w:rsidRDefault="00B90102" w:rsidP="00093EF6">
      <w:pPr>
        <w:pStyle w:val="Default"/>
        <w:jc w:val="both"/>
        <w:rPr>
          <w:rFonts w:ascii="Times New Roman" w:hAnsi="Times New Roman" w:cs="Times New Roman"/>
          <w:iCs/>
          <w:color w:val="auto"/>
          <w:sz w:val="22"/>
          <w:szCs w:val="22"/>
          <w:lang w:val="sr-Latn-ME"/>
        </w:rPr>
      </w:pPr>
      <w:r w:rsidRPr="00AD3B49">
        <w:rPr>
          <w:rFonts w:ascii="Times New Roman" w:hAnsi="Times New Roman" w:cs="Times New Roman"/>
          <w:color w:val="auto"/>
          <w:sz w:val="22"/>
          <w:szCs w:val="22"/>
          <w:lang w:val="sr-Latn-ME"/>
        </w:rPr>
        <w:t xml:space="preserve">Lijek </w:t>
      </w:r>
      <w:r w:rsidR="00093EF6" w:rsidRPr="00AD3B49">
        <w:rPr>
          <w:rFonts w:ascii="Times New Roman" w:hAnsi="Times New Roman" w:cs="Times New Roman"/>
          <w:color w:val="auto"/>
          <w:sz w:val="22"/>
          <w:szCs w:val="22"/>
          <w:lang w:val="sr-Latn-ME"/>
        </w:rPr>
        <w:t>Humira je, u kombina</w:t>
      </w:r>
      <w:r w:rsidR="00A3115F" w:rsidRPr="00AD3B49">
        <w:rPr>
          <w:rFonts w:ascii="Times New Roman" w:hAnsi="Times New Roman" w:cs="Times New Roman"/>
          <w:color w:val="auto"/>
          <w:sz w:val="22"/>
          <w:szCs w:val="22"/>
          <w:lang w:val="sr-Latn-ME"/>
        </w:rPr>
        <w:t>ciji s metotreksatom, indikovana</w:t>
      </w:r>
      <w:r w:rsidR="00093EF6" w:rsidRPr="00AD3B49">
        <w:rPr>
          <w:rFonts w:ascii="Times New Roman" w:hAnsi="Times New Roman" w:cs="Times New Roman"/>
          <w:color w:val="auto"/>
          <w:sz w:val="22"/>
          <w:szCs w:val="22"/>
          <w:lang w:val="sr-Latn-ME"/>
        </w:rPr>
        <w:t xml:space="preserve"> za terapiju aktivnog poliartikularnog juvenilnog idiopatskog artritisa kod </w:t>
      </w:r>
      <w:r w:rsidR="00D75D97" w:rsidRPr="00AD3B49">
        <w:rPr>
          <w:rFonts w:ascii="Times New Roman" w:hAnsi="Times New Roman" w:cs="Times New Roman"/>
          <w:color w:val="auto"/>
          <w:sz w:val="22"/>
          <w:szCs w:val="22"/>
          <w:lang w:val="sr-Latn-ME"/>
        </w:rPr>
        <w:t xml:space="preserve">djece i adolescenata u dobi od </w:t>
      </w:r>
      <w:r w:rsidR="008F6524" w:rsidRPr="00AD3B49">
        <w:rPr>
          <w:rFonts w:ascii="Times New Roman" w:hAnsi="Times New Roman" w:cs="Times New Roman"/>
          <w:color w:val="auto"/>
          <w:sz w:val="22"/>
          <w:szCs w:val="22"/>
          <w:lang w:val="sr-Latn-ME"/>
        </w:rPr>
        <w:t>2</w:t>
      </w:r>
      <w:r w:rsidR="00093EF6" w:rsidRPr="00AD3B49">
        <w:rPr>
          <w:rFonts w:ascii="Times New Roman" w:hAnsi="Times New Roman" w:cs="Times New Roman"/>
          <w:color w:val="auto"/>
          <w:sz w:val="22"/>
          <w:szCs w:val="22"/>
          <w:lang w:val="sr-Latn-ME"/>
        </w:rPr>
        <w:t xml:space="preserve"> do 17 godina kod kojih prethodnim liječenjem </w:t>
      </w:r>
      <w:r w:rsidR="00093EF6" w:rsidRPr="00AD3B49">
        <w:rPr>
          <w:rFonts w:ascii="Times New Roman" w:hAnsi="Times New Roman" w:cs="Times New Roman"/>
          <w:iCs/>
          <w:color w:val="auto"/>
          <w:sz w:val="22"/>
          <w:szCs w:val="22"/>
          <w:lang w:val="sr-Latn-ME"/>
        </w:rPr>
        <w:t>jednim ili više antireumatika</w:t>
      </w:r>
      <w:r w:rsidR="00A3115F" w:rsidRPr="00AD3B49">
        <w:rPr>
          <w:rFonts w:ascii="Times New Roman" w:hAnsi="Times New Roman" w:cs="Times New Roman"/>
          <w:color w:val="auto"/>
          <w:sz w:val="22"/>
          <w:szCs w:val="22"/>
          <w:lang w:val="sr-Latn-ME"/>
        </w:rPr>
        <w:t xml:space="preserve"> koji modifikuju</w:t>
      </w:r>
      <w:r w:rsidR="00093EF6" w:rsidRPr="00AD3B49">
        <w:rPr>
          <w:rFonts w:ascii="Times New Roman" w:hAnsi="Times New Roman" w:cs="Times New Roman"/>
          <w:color w:val="auto"/>
          <w:sz w:val="22"/>
          <w:szCs w:val="22"/>
          <w:lang w:val="sr-Latn-ME"/>
        </w:rPr>
        <w:t xml:space="preserve"> tok bolesti (DMARD) nije postignut zadovoljavajući odgovor. </w:t>
      </w:r>
      <w:r w:rsidRPr="00AD3B49">
        <w:rPr>
          <w:rFonts w:ascii="Times New Roman" w:hAnsi="Times New Roman" w:cs="Times New Roman"/>
          <w:color w:val="auto"/>
          <w:sz w:val="22"/>
          <w:szCs w:val="22"/>
          <w:lang w:val="sr-Latn-ME"/>
        </w:rPr>
        <w:t xml:space="preserve">Lijek </w:t>
      </w:r>
      <w:r w:rsidR="00093EF6" w:rsidRPr="00AD3B49">
        <w:rPr>
          <w:rFonts w:ascii="Times New Roman" w:hAnsi="Times New Roman" w:cs="Times New Roman"/>
          <w:iCs/>
          <w:color w:val="auto"/>
          <w:sz w:val="22"/>
          <w:szCs w:val="22"/>
          <w:lang w:val="sr-Latn-ME"/>
        </w:rPr>
        <w:t>Humira se može dati kao monoterapija u slučajevima nepodnošenja metotreksata ili kada nastavak terapije metotreksatom nije prikladan (</w:t>
      </w:r>
      <w:r w:rsidR="001E4AB9" w:rsidRPr="00AD3B49">
        <w:rPr>
          <w:rFonts w:ascii="Times New Roman" w:hAnsi="Times New Roman" w:cs="Times New Roman"/>
          <w:iCs/>
          <w:color w:val="auto"/>
          <w:sz w:val="22"/>
          <w:szCs w:val="22"/>
          <w:lang w:val="sr-Latn-ME"/>
        </w:rPr>
        <w:t>za efikasnost</w:t>
      </w:r>
      <w:r w:rsidR="00093EF6" w:rsidRPr="00AD3B49">
        <w:rPr>
          <w:rFonts w:ascii="Times New Roman" w:hAnsi="Times New Roman" w:cs="Times New Roman"/>
          <w:iCs/>
          <w:color w:val="auto"/>
          <w:sz w:val="22"/>
          <w:szCs w:val="22"/>
          <w:lang w:val="sr-Latn-ME"/>
        </w:rPr>
        <w:t xml:space="preserve"> monoterapije, vidjeti </w:t>
      </w:r>
      <w:r w:rsidR="00A3115F" w:rsidRPr="00AD3B49">
        <w:rPr>
          <w:rFonts w:ascii="Times New Roman" w:hAnsi="Times New Roman" w:cs="Times New Roman"/>
          <w:iCs/>
          <w:color w:val="auto"/>
          <w:sz w:val="22"/>
          <w:szCs w:val="22"/>
          <w:lang w:val="sr-Latn-ME"/>
        </w:rPr>
        <w:t>odjeljak</w:t>
      </w:r>
      <w:r w:rsidR="00093EF6" w:rsidRPr="00AD3B49">
        <w:rPr>
          <w:rFonts w:ascii="Times New Roman" w:hAnsi="Times New Roman" w:cs="Times New Roman"/>
          <w:iCs/>
          <w:color w:val="auto"/>
          <w:sz w:val="22"/>
          <w:szCs w:val="22"/>
          <w:lang w:val="sr-Latn-ME"/>
        </w:rPr>
        <w:t xml:space="preserve"> 5.1). </w:t>
      </w:r>
      <w:r w:rsidRPr="00AD3B49">
        <w:rPr>
          <w:rFonts w:ascii="Times New Roman" w:hAnsi="Times New Roman" w:cs="Times New Roman"/>
          <w:iCs/>
          <w:color w:val="auto"/>
          <w:sz w:val="22"/>
          <w:szCs w:val="22"/>
          <w:lang w:val="sr-Latn-ME"/>
        </w:rPr>
        <w:t xml:space="preserve">Lijek </w:t>
      </w:r>
      <w:r w:rsidR="00093EF6" w:rsidRPr="00AD3B49">
        <w:rPr>
          <w:rFonts w:ascii="Times New Roman" w:hAnsi="Times New Roman" w:cs="Times New Roman"/>
          <w:iCs/>
          <w:color w:val="auto"/>
          <w:sz w:val="22"/>
          <w:szCs w:val="22"/>
          <w:lang w:val="sr-Latn-ME"/>
        </w:rPr>
        <w:t>Humira nije is</w:t>
      </w:r>
      <w:r w:rsidR="004B38A4" w:rsidRPr="00AD3B49">
        <w:rPr>
          <w:rFonts w:ascii="Times New Roman" w:hAnsi="Times New Roman" w:cs="Times New Roman"/>
          <w:iCs/>
          <w:color w:val="auto"/>
          <w:sz w:val="22"/>
          <w:szCs w:val="22"/>
          <w:lang w:val="sr-Latn-ME"/>
        </w:rPr>
        <w:t>pitivan kod</w:t>
      </w:r>
      <w:r w:rsidR="008F6524" w:rsidRPr="00AD3B49">
        <w:rPr>
          <w:rFonts w:ascii="Times New Roman" w:hAnsi="Times New Roman" w:cs="Times New Roman"/>
          <w:iCs/>
          <w:color w:val="auto"/>
          <w:sz w:val="22"/>
          <w:szCs w:val="22"/>
          <w:lang w:val="sr-Latn-ME"/>
        </w:rPr>
        <w:t xml:space="preserve"> djece mlađe od 2</w:t>
      </w:r>
      <w:r w:rsidR="00093EF6" w:rsidRPr="00AD3B49">
        <w:rPr>
          <w:rFonts w:ascii="Times New Roman" w:hAnsi="Times New Roman" w:cs="Times New Roman"/>
          <w:iCs/>
          <w:color w:val="auto"/>
          <w:sz w:val="22"/>
          <w:szCs w:val="22"/>
          <w:lang w:val="sr-Latn-ME"/>
        </w:rPr>
        <w:t xml:space="preserve"> godine. </w:t>
      </w:r>
    </w:p>
    <w:p w:rsidR="00D75D97" w:rsidRPr="00AD3B49" w:rsidRDefault="00D75D97" w:rsidP="00093EF6">
      <w:pPr>
        <w:pStyle w:val="Default"/>
        <w:jc w:val="both"/>
        <w:rPr>
          <w:rFonts w:ascii="Times New Roman" w:hAnsi="Times New Roman" w:cs="Times New Roman"/>
          <w:iCs/>
          <w:color w:val="auto"/>
          <w:sz w:val="22"/>
          <w:szCs w:val="22"/>
          <w:lang w:val="sr-Latn-ME"/>
        </w:rPr>
      </w:pPr>
    </w:p>
    <w:p w:rsidR="00D75D97" w:rsidRPr="00AD3B49" w:rsidRDefault="00D75D97" w:rsidP="00D75D97">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lastRenderedPageBreak/>
        <w:t xml:space="preserve">Aksijalni spondilitis </w:t>
      </w:r>
    </w:p>
    <w:p w:rsidR="00D75D97" w:rsidRPr="00AD3B49" w:rsidRDefault="00D75D97" w:rsidP="00D75D97">
      <w:pPr>
        <w:pStyle w:val="Default"/>
        <w:jc w:val="both"/>
        <w:rPr>
          <w:rFonts w:ascii="Times New Roman" w:hAnsi="Times New Roman" w:cs="Times New Roman"/>
          <w:color w:val="auto"/>
          <w:sz w:val="22"/>
          <w:szCs w:val="22"/>
          <w:u w:val="single"/>
          <w:lang w:val="sr-Latn-ME"/>
        </w:rPr>
      </w:pPr>
    </w:p>
    <w:p w:rsidR="00D75D97" w:rsidRPr="00AD3B49" w:rsidRDefault="0004490B" w:rsidP="00D75D97">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 xml:space="preserve">Ankilozirajući </w:t>
      </w:r>
      <w:r w:rsidR="00D75D97" w:rsidRPr="00AD3B49">
        <w:rPr>
          <w:rFonts w:ascii="Times New Roman" w:hAnsi="Times New Roman" w:cs="Times New Roman"/>
          <w:sz w:val="22"/>
          <w:szCs w:val="22"/>
          <w:u w:val="single"/>
          <w:lang w:val="sr-Latn-ME"/>
        </w:rPr>
        <w:t>spondilitis (AS)</w:t>
      </w:r>
    </w:p>
    <w:p w:rsidR="00D75D97" w:rsidRPr="00AD3B49" w:rsidRDefault="00B90102" w:rsidP="00D75D97">
      <w:pPr>
        <w:pStyle w:val="Default"/>
        <w:jc w:val="both"/>
        <w:rPr>
          <w:rFonts w:ascii="Times New Roman" w:hAnsi="Times New Roman" w:cs="Times New Roman"/>
          <w:sz w:val="22"/>
          <w:szCs w:val="22"/>
          <w:lang w:val="sr-Latn-ME"/>
        </w:rPr>
      </w:pPr>
      <w:r w:rsidRPr="00AD3B49">
        <w:rPr>
          <w:rFonts w:ascii="Times New Roman" w:hAnsi="Times New Roman" w:cs="Times New Roman"/>
          <w:color w:val="auto"/>
          <w:sz w:val="22"/>
          <w:szCs w:val="22"/>
          <w:lang w:val="sr-Latn-ME"/>
        </w:rPr>
        <w:t xml:space="preserve">Lijek </w:t>
      </w:r>
      <w:r w:rsidR="00D75D97" w:rsidRPr="00AD3B49">
        <w:rPr>
          <w:rFonts w:ascii="Times New Roman" w:hAnsi="Times New Roman" w:cs="Times New Roman"/>
          <w:color w:val="auto"/>
          <w:sz w:val="22"/>
          <w:szCs w:val="22"/>
          <w:lang w:val="sr-Latn-ME"/>
        </w:rPr>
        <w:t xml:space="preserve">Humira je indikovan za terapiju teškog aktivnog </w:t>
      </w:r>
      <w:r w:rsidR="0004490B" w:rsidRPr="00AD3B49">
        <w:rPr>
          <w:rFonts w:ascii="Times New Roman" w:hAnsi="Times New Roman" w:cs="Times New Roman"/>
          <w:sz w:val="22"/>
          <w:szCs w:val="22"/>
          <w:lang w:val="sr-Latn-ME"/>
        </w:rPr>
        <w:t xml:space="preserve">ankilozirajućeg </w:t>
      </w:r>
      <w:r w:rsidR="00D75D97" w:rsidRPr="00AD3B49">
        <w:rPr>
          <w:rFonts w:ascii="Times New Roman" w:hAnsi="Times New Roman" w:cs="Times New Roman"/>
          <w:sz w:val="22"/>
          <w:szCs w:val="22"/>
          <w:lang w:val="sr-Latn-ME"/>
        </w:rPr>
        <w:t xml:space="preserve">spondilitisa kod odraslih kod kojih konvencionalnim načinom liječenja nije postignut zadovoljavajući odgovor. </w:t>
      </w:r>
    </w:p>
    <w:p w:rsidR="00D75D97" w:rsidRPr="00AD3B49" w:rsidRDefault="00D75D97" w:rsidP="00D75D97">
      <w:pPr>
        <w:pStyle w:val="Default"/>
        <w:jc w:val="both"/>
        <w:rPr>
          <w:rFonts w:ascii="Times New Roman" w:hAnsi="Times New Roman" w:cs="Times New Roman"/>
          <w:sz w:val="22"/>
          <w:szCs w:val="22"/>
          <w:lang w:val="sr-Latn-ME"/>
        </w:rPr>
      </w:pPr>
    </w:p>
    <w:p w:rsidR="00D75D97" w:rsidRPr="00AD3B49" w:rsidRDefault="00D75D97" w:rsidP="00D75D97">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 xml:space="preserve">Aksijalni spondiloartritis bez radiološkog nalaza AS-a </w:t>
      </w:r>
    </w:p>
    <w:p w:rsidR="00D75D97" w:rsidRPr="00AD3B49" w:rsidRDefault="00B90102" w:rsidP="00D75D97">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Lijek </w:t>
      </w:r>
      <w:r w:rsidR="00D75D97" w:rsidRPr="00AD3B49">
        <w:rPr>
          <w:rFonts w:ascii="Times New Roman" w:hAnsi="Times New Roman" w:cs="Times New Roman"/>
          <w:sz w:val="22"/>
          <w:szCs w:val="22"/>
          <w:lang w:val="sr-Latn-ME"/>
        </w:rPr>
        <w:t xml:space="preserve">Humira </w:t>
      </w:r>
      <w:r w:rsidR="00D75D97" w:rsidRPr="00AD3B49">
        <w:rPr>
          <w:rFonts w:ascii="Times New Roman" w:hAnsi="Times New Roman" w:cs="Times New Roman"/>
          <w:color w:val="auto"/>
          <w:sz w:val="22"/>
          <w:szCs w:val="22"/>
          <w:lang w:val="sr-Latn-ME"/>
        </w:rPr>
        <w:t xml:space="preserve">je indikovan za terapiju teškog aksijalnog spondiloartritisa kod odraslih bez radiološkog nalaza </w:t>
      </w:r>
      <w:r w:rsidR="00D75D97" w:rsidRPr="00AD3B49">
        <w:rPr>
          <w:rFonts w:ascii="Times New Roman" w:hAnsi="Times New Roman" w:cs="Times New Roman"/>
          <w:sz w:val="22"/>
          <w:szCs w:val="22"/>
          <w:lang w:val="sr-Latn-ME"/>
        </w:rPr>
        <w:t xml:space="preserve">AS-a, ali sa objektivnim znakovima upale na osnovu povećanog nivoa CRP i/ili MRI, kod kojih liječenjem nesteroidnim </w:t>
      </w:r>
      <w:r w:rsidR="00082E1C" w:rsidRPr="00AD3B49">
        <w:rPr>
          <w:rFonts w:ascii="Times New Roman" w:hAnsi="Times New Roman" w:cs="Times New Roman"/>
          <w:sz w:val="22"/>
          <w:szCs w:val="22"/>
          <w:lang w:val="sr-Latn-ME"/>
        </w:rPr>
        <w:t xml:space="preserve">antiinflamatornim </w:t>
      </w:r>
      <w:r w:rsidR="00D75D97" w:rsidRPr="00AD3B49">
        <w:rPr>
          <w:rFonts w:ascii="Times New Roman" w:hAnsi="Times New Roman" w:cs="Times New Roman"/>
          <w:sz w:val="22"/>
          <w:szCs w:val="22"/>
          <w:lang w:val="sr-Latn-ME"/>
        </w:rPr>
        <w:t xml:space="preserve">ljekovima nije postignut zadovoljavajući odgovor, odnosno koji ne podnose te ljekove. </w:t>
      </w:r>
    </w:p>
    <w:p w:rsidR="00D75D97" w:rsidRPr="00AD3B49" w:rsidRDefault="00D75D97" w:rsidP="00D75D97">
      <w:pPr>
        <w:pStyle w:val="Default"/>
        <w:jc w:val="both"/>
        <w:rPr>
          <w:rFonts w:ascii="Times New Roman" w:hAnsi="Times New Roman" w:cs="Times New Roman"/>
          <w:sz w:val="22"/>
          <w:szCs w:val="22"/>
          <w:lang w:val="sr-Latn-ME"/>
        </w:rPr>
      </w:pPr>
    </w:p>
    <w:p w:rsidR="00D75D97" w:rsidRPr="00AD3B49" w:rsidRDefault="00D75D97" w:rsidP="00D75D97">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Psorijatični artritis</w:t>
      </w:r>
    </w:p>
    <w:p w:rsidR="00D75D97" w:rsidRPr="00AD3B49" w:rsidRDefault="00B90102" w:rsidP="00D75D97">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sz w:val="22"/>
          <w:szCs w:val="22"/>
          <w:lang w:val="sr-Latn-ME"/>
        </w:rPr>
        <w:t xml:space="preserve">Lijek </w:t>
      </w:r>
      <w:r w:rsidR="00D75D97" w:rsidRPr="00AD3B49">
        <w:rPr>
          <w:rFonts w:ascii="Times New Roman" w:hAnsi="Times New Roman" w:cs="Times New Roman"/>
          <w:sz w:val="22"/>
          <w:szCs w:val="22"/>
          <w:lang w:val="sr-Latn-ME"/>
        </w:rPr>
        <w:t xml:space="preserve">Humira </w:t>
      </w:r>
      <w:r w:rsidR="00D75D97" w:rsidRPr="00AD3B49">
        <w:rPr>
          <w:rFonts w:ascii="Times New Roman" w:hAnsi="Times New Roman" w:cs="Times New Roman"/>
          <w:color w:val="auto"/>
          <w:sz w:val="22"/>
          <w:szCs w:val="22"/>
          <w:lang w:val="sr-Latn-ME"/>
        </w:rPr>
        <w:t xml:space="preserve">je indikovan za terapiju aktivnog i progresivnog </w:t>
      </w:r>
      <w:r w:rsidR="00D75D97" w:rsidRPr="00AD3B49">
        <w:rPr>
          <w:rFonts w:ascii="Times New Roman" w:hAnsi="Times New Roman" w:cs="Times New Roman"/>
          <w:sz w:val="22"/>
          <w:szCs w:val="22"/>
          <w:lang w:val="sr-Latn-ME"/>
        </w:rPr>
        <w:t xml:space="preserve">psorijatičnog artritisa </w:t>
      </w:r>
      <w:r w:rsidR="00D75D97" w:rsidRPr="00AD3B49">
        <w:rPr>
          <w:rFonts w:ascii="Times New Roman" w:hAnsi="Times New Roman" w:cs="Times New Roman"/>
          <w:color w:val="auto"/>
          <w:sz w:val="22"/>
          <w:szCs w:val="22"/>
          <w:lang w:val="sr-Latn-ME"/>
        </w:rPr>
        <w:t xml:space="preserve">kod odraslih </w:t>
      </w:r>
      <w:r w:rsidR="003D3610" w:rsidRPr="00AD3B49">
        <w:rPr>
          <w:rFonts w:ascii="Times New Roman" w:hAnsi="Times New Roman" w:cs="Times New Roman"/>
          <w:color w:val="auto"/>
          <w:sz w:val="22"/>
          <w:szCs w:val="22"/>
          <w:lang w:val="sr-Latn-ME"/>
        </w:rPr>
        <w:t>pacijenata</w:t>
      </w:r>
      <w:r w:rsidR="00D75D97" w:rsidRPr="00AD3B49">
        <w:rPr>
          <w:rFonts w:ascii="Times New Roman" w:hAnsi="Times New Roman" w:cs="Times New Roman"/>
          <w:color w:val="auto"/>
          <w:sz w:val="22"/>
          <w:szCs w:val="22"/>
          <w:lang w:val="sr-Latn-ME"/>
        </w:rPr>
        <w:t xml:space="preserve"> kod kojih prethodnim liječenjem </w:t>
      </w:r>
      <w:r w:rsidR="00D75D97" w:rsidRPr="00AD3B49">
        <w:rPr>
          <w:rFonts w:ascii="Times New Roman" w:hAnsi="Times New Roman" w:cs="Times New Roman"/>
          <w:iCs/>
          <w:color w:val="auto"/>
          <w:sz w:val="22"/>
          <w:szCs w:val="22"/>
          <w:lang w:val="sr-Latn-ME"/>
        </w:rPr>
        <w:t xml:space="preserve">antireumaticima </w:t>
      </w:r>
      <w:r w:rsidR="00D75D97" w:rsidRPr="00AD3B49">
        <w:rPr>
          <w:rFonts w:ascii="Times New Roman" w:hAnsi="Times New Roman" w:cs="Times New Roman"/>
          <w:color w:val="auto"/>
          <w:sz w:val="22"/>
          <w:szCs w:val="22"/>
          <w:lang w:val="sr-Latn-ME"/>
        </w:rPr>
        <w:t xml:space="preserve">koji modifikuju tok bolesti nije postignut zadovoljavajući odgovor. Pokazalo se da </w:t>
      </w:r>
      <w:r w:rsidRPr="00AD3B49">
        <w:rPr>
          <w:rFonts w:ascii="Times New Roman" w:hAnsi="Times New Roman" w:cs="Times New Roman"/>
          <w:color w:val="auto"/>
          <w:sz w:val="22"/>
          <w:szCs w:val="22"/>
          <w:lang w:val="sr-Latn-ME"/>
        </w:rPr>
        <w:t xml:space="preserve">lijek </w:t>
      </w:r>
      <w:r w:rsidR="00D75D97" w:rsidRPr="00AD3B49">
        <w:rPr>
          <w:rFonts w:ascii="Times New Roman" w:hAnsi="Times New Roman" w:cs="Times New Roman"/>
          <w:color w:val="auto"/>
          <w:sz w:val="22"/>
          <w:szCs w:val="22"/>
          <w:lang w:val="sr-Latn-ME"/>
        </w:rPr>
        <w:t xml:space="preserve">Humira smanjuje stopu progresije oštećenja perifernih zglobova na osnovu rendgenskih nalaza kod </w:t>
      </w:r>
      <w:r w:rsidR="003D3610" w:rsidRPr="00AD3B49">
        <w:rPr>
          <w:rFonts w:ascii="Times New Roman" w:hAnsi="Times New Roman" w:cs="Times New Roman"/>
          <w:color w:val="auto"/>
          <w:sz w:val="22"/>
          <w:szCs w:val="22"/>
          <w:lang w:val="sr-Latn-ME"/>
        </w:rPr>
        <w:t>pacijenata</w:t>
      </w:r>
      <w:r w:rsidR="00D75D97" w:rsidRPr="00AD3B49">
        <w:rPr>
          <w:rFonts w:ascii="Times New Roman" w:hAnsi="Times New Roman" w:cs="Times New Roman"/>
          <w:color w:val="auto"/>
          <w:sz w:val="22"/>
          <w:szCs w:val="22"/>
          <w:lang w:val="sr-Latn-ME"/>
        </w:rPr>
        <w:t xml:space="preserve"> sa poliartikularnim simetričnim podtipovima bolesti (vidjeti dio 5.1), te da poboljšava fizičku funkciju. </w:t>
      </w:r>
    </w:p>
    <w:p w:rsidR="00D75D97" w:rsidRPr="00AD3B49" w:rsidRDefault="00D75D97" w:rsidP="00D75D97">
      <w:pPr>
        <w:pStyle w:val="Default"/>
        <w:jc w:val="both"/>
        <w:rPr>
          <w:rFonts w:ascii="Times New Roman" w:hAnsi="Times New Roman" w:cs="Times New Roman"/>
          <w:color w:val="auto"/>
          <w:sz w:val="22"/>
          <w:szCs w:val="22"/>
          <w:lang w:val="sr-Latn-ME"/>
        </w:rPr>
      </w:pPr>
    </w:p>
    <w:p w:rsidR="00D75D97" w:rsidRPr="00AD3B49" w:rsidRDefault="00D75D97" w:rsidP="00D75D97">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Psorijaza</w:t>
      </w:r>
    </w:p>
    <w:p w:rsidR="00D75D97" w:rsidRPr="00AD3B49" w:rsidRDefault="00B90102" w:rsidP="00D75D97">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sz w:val="22"/>
          <w:szCs w:val="22"/>
          <w:lang w:val="sr-Latn-ME"/>
        </w:rPr>
        <w:t xml:space="preserve">Lijek </w:t>
      </w:r>
      <w:r w:rsidR="00D75D97" w:rsidRPr="00AD3B49">
        <w:rPr>
          <w:rFonts w:ascii="Times New Roman" w:hAnsi="Times New Roman" w:cs="Times New Roman"/>
          <w:sz w:val="22"/>
          <w:szCs w:val="22"/>
          <w:lang w:val="sr-Latn-ME"/>
        </w:rPr>
        <w:t xml:space="preserve">Humira </w:t>
      </w:r>
      <w:r w:rsidR="00D75D97" w:rsidRPr="00AD3B49">
        <w:rPr>
          <w:rFonts w:ascii="Times New Roman" w:hAnsi="Times New Roman" w:cs="Times New Roman"/>
          <w:color w:val="auto"/>
          <w:sz w:val="22"/>
          <w:szCs w:val="22"/>
          <w:lang w:val="sr-Latn-ME"/>
        </w:rPr>
        <w:t xml:space="preserve">je indikovan za terapiju umjerene do teške hronične plak psorijaze kod odraslih </w:t>
      </w:r>
      <w:r w:rsidR="003D3610" w:rsidRPr="00AD3B49">
        <w:rPr>
          <w:rFonts w:ascii="Times New Roman" w:hAnsi="Times New Roman" w:cs="Times New Roman"/>
          <w:color w:val="auto"/>
          <w:sz w:val="22"/>
          <w:szCs w:val="22"/>
          <w:lang w:val="sr-Latn-ME"/>
        </w:rPr>
        <w:t>pacijenata</w:t>
      </w:r>
      <w:r w:rsidR="00D75D97" w:rsidRPr="00AD3B49">
        <w:rPr>
          <w:rFonts w:ascii="Times New Roman" w:hAnsi="Times New Roman" w:cs="Times New Roman"/>
          <w:color w:val="auto"/>
          <w:sz w:val="22"/>
          <w:szCs w:val="22"/>
          <w:lang w:val="sr-Latn-ME"/>
        </w:rPr>
        <w:t xml:space="preserve"> kod kojih liječenjem drugim sistemskim terapijama, uključujući ciklosporin, </w:t>
      </w:r>
      <w:r w:rsidR="00D75D97" w:rsidRPr="00AD3B49">
        <w:rPr>
          <w:rFonts w:ascii="Times New Roman" w:hAnsi="Times New Roman" w:cs="Times New Roman"/>
          <w:sz w:val="22"/>
          <w:szCs w:val="22"/>
          <w:lang w:val="sr-Latn-ME"/>
        </w:rPr>
        <w:t>metotreksat</w:t>
      </w:r>
      <w:r w:rsidR="00D75D97" w:rsidRPr="00AD3B49">
        <w:rPr>
          <w:rFonts w:ascii="Times New Roman" w:hAnsi="Times New Roman" w:cs="Times New Roman"/>
          <w:color w:val="auto"/>
          <w:sz w:val="22"/>
          <w:szCs w:val="22"/>
          <w:lang w:val="sr-Latn-ME"/>
        </w:rPr>
        <w:t xml:space="preserve"> ili PUVA nije postignut zadovoljavajući odgovor ili kod kojih postoje kontraindikacije, odnosno u slučajevima nepodnošenja prethodno navedenih terapija. </w:t>
      </w:r>
    </w:p>
    <w:p w:rsidR="00D75D97" w:rsidRPr="00AD3B49" w:rsidRDefault="00D75D97" w:rsidP="00D75D97">
      <w:pPr>
        <w:pStyle w:val="Default"/>
        <w:jc w:val="both"/>
        <w:rPr>
          <w:rFonts w:ascii="Times New Roman" w:hAnsi="Times New Roman" w:cs="Times New Roman"/>
          <w:color w:val="auto"/>
          <w:sz w:val="22"/>
          <w:szCs w:val="22"/>
          <w:lang w:val="sr-Latn-ME"/>
        </w:rPr>
      </w:pPr>
    </w:p>
    <w:p w:rsidR="00D75D97" w:rsidRPr="00AD3B49" w:rsidRDefault="00D75D97" w:rsidP="00D75D97">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Crohnova bolest</w:t>
      </w:r>
    </w:p>
    <w:p w:rsidR="00D75D97" w:rsidRPr="00AD3B49" w:rsidRDefault="00B90102" w:rsidP="00D75D97">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sz w:val="22"/>
          <w:szCs w:val="22"/>
          <w:lang w:val="sr-Latn-ME"/>
        </w:rPr>
        <w:t xml:space="preserve">Lijek </w:t>
      </w:r>
      <w:r w:rsidR="00D75D97" w:rsidRPr="00AD3B49">
        <w:rPr>
          <w:rFonts w:ascii="Times New Roman" w:hAnsi="Times New Roman" w:cs="Times New Roman"/>
          <w:sz w:val="22"/>
          <w:szCs w:val="22"/>
          <w:lang w:val="sr-Latn-ME"/>
        </w:rPr>
        <w:t xml:space="preserve">Humira </w:t>
      </w:r>
      <w:r w:rsidR="00D75D97" w:rsidRPr="00AD3B49">
        <w:rPr>
          <w:rFonts w:ascii="Times New Roman" w:hAnsi="Times New Roman" w:cs="Times New Roman"/>
          <w:color w:val="auto"/>
          <w:sz w:val="22"/>
          <w:szCs w:val="22"/>
          <w:lang w:val="sr-Latn-ME"/>
        </w:rPr>
        <w:t xml:space="preserve">je indikovan za terapiju umjerene do teške aktivne </w:t>
      </w:r>
      <w:r w:rsidR="00D75D97" w:rsidRPr="00AD3B49">
        <w:rPr>
          <w:rFonts w:ascii="Times New Roman" w:hAnsi="Times New Roman" w:cs="Times New Roman"/>
          <w:sz w:val="22"/>
          <w:szCs w:val="22"/>
          <w:lang w:val="sr-Latn-ME"/>
        </w:rPr>
        <w:t xml:space="preserve">Crohnove bolesti </w:t>
      </w:r>
      <w:r w:rsidR="00D75D97" w:rsidRPr="00AD3B49">
        <w:rPr>
          <w:rFonts w:ascii="Times New Roman" w:hAnsi="Times New Roman" w:cs="Times New Roman"/>
          <w:color w:val="auto"/>
          <w:sz w:val="22"/>
          <w:szCs w:val="22"/>
          <w:lang w:val="sr-Latn-ME"/>
        </w:rPr>
        <w:t xml:space="preserve">kod odraslih </w:t>
      </w:r>
      <w:r w:rsidR="003D3610" w:rsidRPr="00AD3B49">
        <w:rPr>
          <w:rFonts w:ascii="Times New Roman" w:hAnsi="Times New Roman" w:cs="Times New Roman"/>
          <w:color w:val="auto"/>
          <w:sz w:val="22"/>
          <w:szCs w:val="22"/>
          <w:lang w:val="sr-Latn-ME"/>
        </w:rPr>
        <w:t>pacijenata</w:t>
      </w:r>
      <w:r w:rsidR="00D75D97" w:rsidRPr="00AD3B49">
        <w:rPr>
          <w:rFonts w:ascii="Times New Roman" w:hAnsi="Times New Roman" w:cs="Times New Roman"/>
          <w:color w:val="auto"/>
          <w:sz w:val="22"/>
          <w:szCs w:val="22"/>
          <w:lang w:val="sr-Latn-ME"/>
        </w:rPr>
        <w:t xml:space="preserve"> kod kojih nije postignut zadovoljavajući odgovor uprkos potpunom i adekvatnom toku terapije kortikosteroidima i/ili </w:t>
      </w:r>
      <w:r w:rsidR="00D75D97" w:rsidRPr="00AD3B49">
        <w:rPr>
          <w:rFonts w:ascii="Times New Roman" w:hAnsi="Times New Roman" w:cs="Times New Roman"/>
          <w:sz w:val="22"/>
          <w:szCs w:val="22"/>
          <w:lang w:val="sr-Latn-ME"/>
        </w:rPr>
        <w:t xml:space="preserve">imunosupresivnim ljekovima, odnosno </w:t>
      </w:r>
      <w:r w:rsidR="00D75D97" w:rsidRPr="00AD3B49">
        <w:rPr>
          <w:rFonts w:ascii="Times New Roman" w:hAnsi="Times New Roman" w:cs="Times New Roman"/>
          <w:color w:val="auto"/>
          <w:sz w:val="22"/>
          <w:szCs w:val="22"/>
          <w:lang w:val="sr-Latn-ME"/>
        </w:rPr>
        <w:t xml:space="preserve">kod kojih postoje kontraindikacije, ili u slučajevima nepodnošenja prethodno navedenih terapija. </w:t>
      </w:r>
    </w:p>
    <w:p w:rsidR="00BD025F" w:rsidRPr="00AD3B49" w:rsidRDefault="00BD025F" w:rsidP="00093EF6">
      <w:pPr>
        <w:pStyle w:val="Default"/>
        <w:jc w:val="both"/>
        <w:rPr>
          <w:rFonts w:ascii="Times New Roman" w:hAnsi="Times New Roman" w:cs="Times New Roman"/>
          <w:iCs/>
          <w:color w:val="auto"/>
          <w:sz w:val="22"/>
          <w:szCs w:val="22"/>
          <w:lang w:val="sr-Latn-ME"/>
        </w:rPr>
      </w:pPr>
    </w:p>
    <w:p w:rsidR="00093EF6" w:rsidRPr="00AD3B49" w:rsidRDefault="00A3115F" w:rsidP="00093EF6">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Crohnova bolest kod</w:t>
      </w:r>
      <w:r w:rsidR="004131F9" w:rsidRPr="00AD3B49">
        <w:rPr>
          <w:rFonts w:ascii="Times New Roman" w:hAnsi="Times New Roman" w:cs="Times New Roman"/>
          <w:color w:val="auto"/>
          <w:sz w:val="22"/>
          <w:szCs w:val="22"/>
          <w:u w:val="single"/>
          <w:lang w:val="sr-Latn-ME"/>
        </w:rPr>
        <w:t xml:space="preserve"> pedijatrijskih pacijenata</w:t>
      </w:r>
    </w:p>
    <w:p w:rsidR="00093EF6" w:rsidRPr="00AD3B49" w:rsidRDefault="00B90102" w:rsidP="00093EF6">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sz w:val="22"/>
          <w:szCs w:val="22"/>
          <w:lang w:val="sr-Latn-ME"/>
        </w:rPr>
        <w:t xml:space="preserve">Lijek </w:t>
      </w:r>
      <w:r w:rsidR="00093EF6" w:rsidRPr="00AD3B49">
        <w:rPr>
          <w:rFonts w:ascii="Times New Roman" w:hAnsi="Times New Roman" w:cs="Times New Roman"/>
          <w:color w:val="auto"/>
          <w:sz w:val="22"/>
          <w:szCs w:val="22"/>
          <w:lang w:val="sr-Latn-ME"/>
        </w:rPr>
        <w:t>Humira je ind</w:t>
      </w:r>
      <w:r w:rsidR="00A3115F" w:rsidRPr="00AD3B49">
        <w:rPr>
          <w:rFonts w:ascii="Times New Roman" w:hAnsi="Times New Roman" w:cs="Times New Roman"/>
          <w:color w:val="auto"/>
          <w:sz w:val="22"/>
          <w:szCs w:val="22"/>
          <w:lang w:val="sr-Latn-ME"/>
        </w:rPr>
        <w:t>ikovan</w:t>
      </w:r>
      <w:r w:rsidR="00093EF6" w:rsidRPr="00AD3B49">
        <w:rPr>
          <w:rFonts w:ascii="Times New Roman" w:hAnsi="Times New Roman" w:cs="Times New Roman"/>
          <w:color w:val="auto"/>
          <w:sz w:val="22"/>
          <w:szCs w:val="22"/>
          <w:lang w:val="sr-Latn-ME"/>
        </w:rPr>
        <w:t xml:space="preserve"> za terapiju teške aktivne Crohnove bolesti kod pedijatrijskih pacijenata  (u dobi od 6 do 17 godina) kod kojih nije postignut zadovoljavajući odgovor na konvencionalnu terapiju</w:t>
      </w:r>
      <w:r w:rsidR="00345C8F" w:rsidRPr="00AD3B49">
        <w:rPr>
          <w:rFonts w:ascii="Times New Roman" w:hAnsi="Times New Roman" w:cs="Times New Roman"/>
          <w:color w:val="auto"/>
          <w:sz w:val="22"/>
          <w:szCs w:val="22"/>
          <w:lang w:val="sr-Latn-ME"/>
        </w:rPr>
        <w:t>,</w:t>
      </w:r>
      <w:r w:rsidR="00093EF6" w:rsidRPr="00AD3B49">
        <w:rPr>
          <w:rFonts w:ascii="Times New Roman" w:hAnsi="Times New Roman" w:cs="Times New Roman"/>
          <w:color w:val="auto"/>
          <w:sz w:val="22"/>
          <w:szCs w:val="22"/>
          <w:lang w:val="sr-Latn-ME"/>
        </w:rPr>
        <w:t xml:space="preserve"> uključujući primarnu nutritivnu terapiju,</w:t>
      </w:r>
      <w:r w:rsidR="00093EF6" w:rsidRPr="00AD3B49">
        <w:rPr>
          <w:sz w:val="22"/>
          <w:szCs w:val="22"/>
          <w:lang w:val="sr-Latn-ME"/>
        </w:rPr>
        <w:t xml:space="preserve"> </w:t>
      </w:r>
      <w:r w:rsidR="00093EF6" w:rsidRPr="00AD3B49">
        <w:rPr>
          <w:rFonts w:ascii="Times New Roman" w:hAnsi="Times New Roman" w:cs="Times New Roman"/>
          <w:color w:val="auto"/>
          <w:sz w:val="22"/>
          <w:szCs w:val="22"/>
          <w:lang w:val="sr-Latn-ME"/>
        </w:rPr>
        <w:t xml:space="preserve">kortikosteroide i imunomodulatore, ili u slučajevima nepodnošenja ili kod kojih postoje kontraindikacije </w:t>
      </w:r>
      <w:r w:rsidR="00345C8F" w:rsidRPr="00AD3B49">
        <w:rPr>
          <w:rFonts w:ascii="Times New Roman" w:hAnsi="Times New Roman" w:cs="Times New Roman"/>
          <w:color w:val="auto"/>
          <w:sz w:val="22"/>
          <w:szCs w:val="22"/>
          <w:lang w:val="sr-Latn-ME"/>
        </w:rPr>
        <w:t xml:space="preserve">za </w:t>
      </w:r>
      <w:r w:rsidR="00093EF6" w:rsidRPr="00AD3B49">
        <w:rPr>
          <w:rFonts w:ascii="Times New Roman" w:hAnsi="Times New Roman" w:cs="Times New Roman"/>
          <w:color w:val="auto"/>
          <w:sz w:val="22"/>
          <w:szCs w:val="22"/>
          <w:lang w:val="sr-Latn-ME"/>
        </w:rPr>
        <w:t>prethodno naveden</w:t>
      </w:r>
      <w:r w:rsidR="00345C8F" w:rsidRPr="00AD3B49">
        <w:rPr>
          <w:rFonts w:ascii="Times New Roman" w:hAnsi="Times New Roman" w:cs="Times New Roman"/>
          <w:color w:val="auto"/>
          <w:sz w:val="22"/>
          <w:szCs w:val="22"/>
          <w:lang w:val="sr-Latn-ME"/>
        </w:rPr>
        <w:t>e</w:t>
      </w:r>
      <w:r w:rsidR="00093EF6" w:rsidRPr="00AD3B49">
        <w:rPr>
          <w:rFonts w:ascii="Times New Roman" w:hAnsi="Times New Roman" w:cs="Times New Roman"/>
          <w:color w:val="auto"/>
          <w:sz w:val="22"/>
          <w:szCs w:val="22"/>
          <w:lang w:val="sr-Latn-ME"/>
        </w:rPr>
        <w:t xml:space="preserve"> terapij</w:t>
      </w:r>
      <w:r w:rsidR="00345C8F" w:rsidRPr="00AD3B49">
        <w:rPr>
          <w:rFonts w:ascii="Times New Roman" w:hAnsi="Times New Roman" w:cs="Times New Roman"/>
          <w:color w:val="auto"/>
          <w:sz w:val="22"/>
          <w:szCs w:val="22"/>
          <w:lang w:val="sr-Latn-ME"/>
        </w:rPr>
        <w:t>e</w:t>
      </w:r>
      <w:r w:rsidR="00093EF6" w:rsidRPr="00AD3B49">
        <w:rPr>
          <w:rFonts w:ascii="Times New Roman" w:hAnsi="Times New Roman" w:cs="Times New Roman"/>
          <w:color w:val="auto"/>
          <w:sz w:val="22"/>
          <w:szCs w:val="22"/>
          <w:lang w:val="sr-Latn-ME"/>
        </w:rPr>
        <w:t>.</w:t>
      </w:r>
    </w:p>
    <w:p w:rsidR="00093EF6" w:rsidRPr="00AD3B49" w:rsidRDefault="00093EF6" w:rsidP="00093EF6">
      <w:pPr>
        <w:tabs>
          <w:tab w:val="left" w:pos="1230"/>
        </w:tabs>
        <w:rPr>
          <w:bCs/>
          <w:sz w:val="22"/>
          <w:szCs w:val="22"/>
          <w:lang w:val="sr-Latn-ME"/>
        </w:rPr>
      </w:pPr>
    </w:p>
    <w:p w:rsidR="00D75D97" w:rsidRPr="00AD3B49" w:rsidRDefault="00D75D97" w:rsidP="00D75D97">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Ulcerozni kolitis</w:t>
      </w:r>
    </w:p>
    <w:p w:rsidR="00D75D97" w:rsidRPr="00AD3B49" w:rsidRDefault="00B90102" w:rsidP="00D75D97">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sz w:val="22"/>
          <w:szCs w:val="22"/>
          <w:lang w:val="sr-Latn-ME"/>
        </w:rPr>
        <w:t xml:space="preserve">Lijek </w:t>
      </w:r>
      <w:r w:rsidR="00D75D97" w:rsidRPr="00AD3B49">
        <w:rPr>
          <w:rFonts w:ascii="Times New Roman" w:hAnsi="Times New Roman" w:cs="Times New Roman"/>
          <w:sz w:val="22"/>
          <w:szCs w:val="22"/>
          <w:lang w:val="sr-Latn-ME"/>
        </w:rPr>
        <w:t xml:space="preserve">Humira </w:t>
      </w:r>
      <w:r w:rsidR="00D75D97" w:rsidRPr="00AD3B49">
        <w:rPr>
          <w:rFonts w:ascii="Times New Roman" w:hAnsi="Times New Roman" w:cs="Times New Roman"/>
          <w:color w:val="auto"/>
          <w:sz w:val="22"/>
          <w:szCs w:val="22"/>
          <w:lang w:val="sr-Latn-ME"/>
        </w:rPr>
        <w:t xml:space="preserve">je indikovan za terapiju umjerenog do teškog aktivnog ulceroznog kolitisa </w:t>
      </w:r>
      <w:r w:rsidR="00D75D97" w:rsidRPr="00AD3B49">
        <w:rPr>
          <w:rFonts w:ascii="Times New Roman" w:hAnsi="Times New Roman" w:cs="Times New Roman"/>
          <w:sz w:val="22"/>
          <w:szCs w:val="22"/>
          <w:lang w:val="sr-Latn-ME"/>
        </w:rPr>
        <w:t xml:space="preserve">kod odraslih kod kojih konvencionalnim načinom liječenja nije postignut zadovoljavajući odgovor, uključujući kortikosteroide i 6-merkaptopurin (6-MP) ili azatioprin ili </w:t>
      </w:r>
      <w:r w:rsidR="00D75D97" w:rsidRPr="00AD3B49">
        <w:rPr>
          <w:rFonts w:ascii="Times New Roman" w:hAnsi="Times New Roman" w:cs="Times New Roman"/>
          <w:color w:val="auto"/>
          <w:sz w:val="22"/>
          <w:szCs w:val="22"/>
          <w:lang w:val="sr-Latn-ME"/>
        </w:rPr>
        <w:t xml:space="preserve">u slučajevima nepodnošenja, odnosno kod </w:t>
      </w:r>
      <w:r w:rsidR="003D3610" w:rsidRPr="00AD3B49">
        <w:rPr>
          <w:rFonts w:ascii="Times New Roman" w:hAnsi="Times New Roman" w:cs="Times New Roman"/>
          <w:color w:val="auto"/>
          <w:sz w:val="22"/>
          <w:szCs w:val="22"/>
          <w:lang w:val="sr-Latn-ME"/>
        </w:rPr>
        <w:t>pacijenata</w:t>
      </w:r>
      <w:r w:rsidR="00D75D97" w:rsidRPr="00AD3B49">
        <w:rPr>
          <w:rFonts w:ascii="Times New Roman" w:hAnsi="Times New Roman" w:cs="Times New Roman"/>
          <w:color w:val="auto"/>
          <w:sz w:val="22"/>
          <w:szCs w:val="22"/>
          <w:lang w:val="sr-Latn-ME"/>
        </w:rPr>
        <w:t xml:space="preserve"> </w:t>
      </w:r>
      <w:r w:rsidRPr="00AD3B49">
        <w:rPr>
          <w:rFonts w:ascii="Times New Roman" w:hAnsi="Times New Roman" w:cs="Times New Roman"/>
          <w:color w:val="auto"/>
          <w:sz w:val="22"/>
          <w:szCs w:val="22"/>
          <w:lang w:val="sr-Latn-ME"/>
        </w:rPr>
        <w:t xml:space="preserve">kod </w:t>
      </w:r>
      <w:r w:rsidR="00D75D97" w:rsidRPr="00AD3B49">
        <w:rPr>
          <w:rFonts w:ascii="Times New Roman" w:hAnsi="Times New Roman" w:cs="Times New Roman"/>
          <w:color w:val="auto"/>
          <w:sz w:val="22"/>
          <w:szCs w:val="22"/>
          <w:lang w:val="sr-Latn-ME"/>
        </w:rPr>
        <w:t>kojih su postoje kontraindikacije prilikom primjene navedenih terapija.</w:t>
      </w:r>
    </w:p>
    <w:p w:rsidR="000A33B3" w:rsidRPr="00AD3B49" w:rsidRDefault="000A33B3" w:rsidP="00480FB1">
      <w:pPr>
        <w:tabs>
          <w:tab w:val="left" w:pos="540"/>
          <w:tab w:val="left" w:pos="569"/>
        </w:tabs>
        <w:rPr>
          <w:b/>
          <w:bCs/>
          <w:sz w:val="22"/>
          <w:szCs w:val="22"/>
          <w:lang w:val="sr-Latn-ME"/>
        </w:rPr>
      </w:pPr>
    </w:p>
    <w:p w:rsidR="00411B4B" w:rsidRPr="00AD3B49" w:rsidRDefault="00411B4B" w:rsidP="00480FB1">
      <w:pPr>
        <w:tabs>
          <w:tab w:val="left" w:pos="540"/>
          <w:tab w:val="left" w:pos="569"/>
        </w:tabs>
        <w:rPr>
          <w:b/>
          <w:bCs/>
          <w:sz w:val="22"/>
          <w:szCs w:val="22"/>
          <w:lang w:val="sr-Latn-ME"/>
        </w:rPr>
      </w:pPr>
      <w:r w:rsidRPr="00AD3B49">
        <w:rPr>
          <w:b/>
          <w:bCs/>
          <w:sz w:val="22"/>
          <w:szCs w:val="22"/>
          <w:lang w:val="sr-Latn-ME"/>
        </w:rPr>
        <w:t xml:space="preserve">4.2. </w:t>
      </w:r>
      <w:r w:rsidR="00480FB1" w:rsidRPr="00AD3B49">
        <w:rPr>
          <w:b/>
          <w:bCs/>
          <w:sz w:val="22"/>
          <w:szCs w:val="22"/>
          <w:lang w:val="sr-Latn-ME"/>
        </w:rPr>
        <w:tab/>
      </w:r>
      <w:r w:rsidRPr="00AD3B49">
        <w:rPr>
          <w:b/>
          <w:bCs/>
          <w:sz w:val="22"/>
          <w:szCs w:val="22"/>
          <w:lang w:val="sr-Latn-ME"/>
        </w:rPr>
        <w:t>Doziranje i način primjene</w:t>
      </w:r>
    </w:p>
    <w:p w:rsidR="0072020E" w:rsidRPr="00AD3B49" w:rsidRDefault="00A3115F" w:rsidP="00A3115F">
      <w:pPr>
        <w:tabs>
          <w:tab w:val="left" w:pos="2388"/>
        </w:tabs>
        <w:rPr>
          <w:bCs/>
          <w:sz w:val="22"/>
          <w:szCs w:val="22"/>
          <w:lang w:val="sr-Latn-ME"/>
        </w:rPr>
      </w:pPr>
      <w:r w:rsidRPr="00AD3B49">
        <w:rPr>
          <w:bCs/>
          <w:sz w:val="22"/>
          <w:szCs w:val="22"/>
          <w:lang w:val="sr-Latn-ME"/>
        </w:rPr>
        <w:tab/>
      </w:r>
    </w:p>
    <w:p w:rsidR="00A3115F" w:rsidRPr="00AD3B49" w:rsidRDefault="00A3115F" w:rsidP="00A3115F">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Liječenje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884C2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trebaju </w:t>
      </w:r>
      <w:r w:rsidR="004B38A4" w:rsidRPr="00AD3B49">
        <w:rPr>
          <w:rFonts w:ascii="Times New Roman" w:hAnsi="Times New Roman" w:cs="Times New Roman"/>
          <w:color w:val="auto"/>
          <w:sz w:val="22"/>
          <w:szCs w:val="22"/>
          <w:lang w:val="sr-Latn-ME"/>
        </w:rPr>
        <w:t xml:space="preserve"> </w:t>
      </w:r>
      <w:r w:rsidRPr="00AD3B49">
        <w:rPr>
          <w:rFonts w:ascii="Times New Roman" w:hAnsi="Times New Roman" w:cs="Times New Roman"/>
          <w:color w:val="auto"/>
          <w:sz w:val="22"/>
          <w:szCs w:val="22"/>
          <w:lang w:val="sr-Latn-ME"/>
        </w:rPr>
        <w:t xml:space="preserve">započeti i nadzirati ljekari specijalisti s iskustvom u dijagnostici i liječenju </w:t>
      </w:r>
      <w:r w:rsidR="00082E1C" w:rsidRPr="00AD3B49">
        <w:rPr>
          <w:rFonts w:ascii="Times New Roman" w:hAnsi="Times New Roman" w:cs="Times New Roman"/>
          <w:iCs/>
          <w:color w:val="auto"/>
          <w:sz w:val="22"/>
          <w:szCs w:val="22"/>
          <w:lang w:val="sr-Latn-ME"/>
        </w:rPr>
        <w:t>oboljenja za koja je ovaj lijek indikovan</w:t>
      </w:r>
      <w:r w:rsidR="001F0303" w:rsidRPr="00AD3B49">
        <w:rPr>
          <w:rFonts w:ascii="Times New Roman" w:hAnsi="Times New Roman" w:cs="Times New Roman"/>
          <w:color w:val="auto"/>
          <w:sz w:val="22"/>
          <w:szCs w:val="22"/>
          <w:lang w:val="sr-Latn-ME"/>
        </w:rPr>
        <w:t>. Pacijentima</w:t>
      </w:r>
      <w:r w:rsidRPr="00AD3B49">
        <w:rPr>
          <w:rFonts w:ascii="Times New Roman" w:hAnsi="Times New Roman" w:cs="Times New Roman"/>
          <w:color w:val="auto"/>
          <w:sz w:val="22"/>
          <w:szCs w:val="22"/>
          <w:lang w:val="sr-Latn-ME"/>
        </w:rPr>
        <w:t xml:space="preserve"> koji se liječe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884C20" w:rsidRPr="00AD3B49">
        <w:rPr>
          <w:rFonts w:ascii="Times New Roman" w:hAnsi="Times New Roman" w:cs="Times New Roman"/>
          <w:color w:val="auto"/>
          <w:sz w:val="22"/>
          <w:szCs w:val="22"/>
          <w:lang w:val="sr-Latn-ME"/>
        </w:rPr>
        <w:t>a</w:t>
      </w:r>
      <w:r w:rsidR="001F0303" w:rsidRPr="00AD3B49">
        <w:rPr>
          <w:rFonts w:ascii="Times New Roman" w:hAnsi="Times New Roman" w:cs="Times New Roman"/>
          <w:color w:val="auto"/>
          <w:sz w:val="22"/>
          <w:szCs w:val="22"/>
          <w:lang w:val="sr-Latn-ME"/>
        </w:rPr>
        <w:t xml:space="preserve"> treba dati posebnu</w:t>
      </w:r>
      <w:r w:rsidRPr="00AD3B49">
        <w:rPr>
          <w:rFonts w:ascii="Times New Roman" w:hAnsi="Times New Roman" w:cs="Times New Roman"/>
          <w:color w:val="auto"/>
          <w:sz w:val="22"/>
          <w:szCs w:val="22"/>
          <w:lang w:val="sr-Latn-ME"/>
        </w:rPr>
        <w:t xml:space="preserve"> knjižicu </w:t>
      </w:r>
      <w:r w:rsidR="001F0303" w:rsidRPr="00AD3B49">
        <w:rPr>
          <w:rFonts w:ascii="Times New Roman" w:hAnsi="Times New Roman" w:cs="Times New Roman"/>
          <w:color w:val="auto"/>
          <w:sz w:val="22"/>
          <w:szCs w:val="22"/>
          <w:lang w:val="sr-Latn-ME"/>
        </w:rPr>
        <w:t xml:space="preserve">za pacijente </w:t>
      </w:r>
      <w:r w:rsidRPr="00AD3B49">
        <w:rPr>
          <w:rFonts w:ascii="Times New Roman" w:hAnsi="Times New Roman" w:cs="Times New Roman"/>
          <w:color w:val="auto"/>
          <w:sz w:val="22"/>
          <w:szCs w:val="22"/>
          <w:lang w:val="sr-Latn-ME"/>
        </w:rPr>
        <w:t>sa upozorenjima.</w:t>
      </w:r>
    </w:p>
    <w:p w:rsidR="00D75D97" w:rsidRPr="00AD3B49" w:rsidRDefault="00A3115F" w:rsidP="00A3115F">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Nakon odgovarajuće obuke o tehnici u</w:t>
      </w:r>
      <w:r w:rsidR="001F0303" w:rsidRPr="00AD3B49">
        <w:rPr>
          <w:rFonts w:ascii="Times New Roman" w:hAnsi="Times New Roman" w:cs="Times New Roman"/>
          <w:color w:val="auto"/>
          <w:sz w:val="22"/>
          <w:szCs w:val="22"/>
          <w:lang w:val="sr-Latn-ME"/>
        </w:rPr>
        <w:t>brizgavanja injekcija, pacijenti</w:t>
      </w:r>
      <w:r w:rsidRPr="00AD3B49">
        <w:rPr>
          <w:rFonts w:ascii="Times New Roman" w:hAnsi="Times New Roman" w:cs="Times New Roman"/>
          <w:color w:val="auto"/>
          <w:sz w:val="22"/>
          <w:szCs w:val="22"/>
          <w:lang w:val="sr-Latn-ME"/>
        </w:rPr>
        <w:t xml:space="preserve"> mogu sami sebi davati injekcije </w:t>
      </w:r>
      <w:r w:rsidR="0082613A" w:rsidRPr="00AD3B49">
        <w:rPr>
          <w:rFonts w:ascii="Times New Roman" w:hAnsi="Times New Roman" w:cs="Times New Roman"/>
          <w:color w:val="auto"/>
          <w:sz w:val="22"/>
          <w:szCs w:val="22"/>
          <w:lang w:val="sr-Latn-ME"/>
        </w:rPr>
        <w:lastRenderedPageBreak/>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ako njihov ljekar procijeni da je to moguće </w:t>
      </w:r>
      <w:r w:rsidR="00082E1C" w:rsidRPr="00AD3B49">
        <w:rPr>
          <w:rFonts w:ascii="Times New Roman" w:hAnsi="Times New Roman" w:cs="Times New Roman"/>
          <w:color w:val="auto"/>
          <w:sz w:val="22"/>
          <w:szCs w:val="22"/>
          <w:lang w:val="sr-Latn-ME"/>
        </w:rPr>
        <w:t>s</w:t>
      </w:r>
      <w:r w:rsidRPr="00AD3B49">
        <w:rPr>
          <w:rFonts w:ascii="Times New Roman" w:hAnsi="Times New Roman" w:cs="Times New Roman"/>
          <w:color w:val="auto"/>
          <w:sz w:val="22"/>
          <w:szCs w:val="22"/>
          <w:lang w:val="sr-Latn-ME"/>
        </w:rPr>
        <w:t>provesti uz medicinsko praćenje po potrebi.</w:t>
      </w:r>
    </w:p>
    <w:p w:rsidR="00082E1C" w:rsidRPr="00AD3B49" w:rsidRDefault="00082E1C" w:rsidP="00A3115F">
      <w:pPr>
        <w:pStyle w:val="Default"/>
        <w:jc w:val="both"/>
        <w:rPr>
          <w:rFonts w:ascii="Times New Roman" w:hAnsi="Times New Roman" w:cs="Times New Roman"/>
          <w:color w:val="auto"/>
          <w:sz w:val="22"/>
          <w:szCs w:val="22"/>
          <w:lang w:val="sr-Latn-ME"/>
        </w:rPr>
      </w:pPr>
    </w:p>
    <w:p w:rsidR="00D75D97" w:rsidRPr="00AD3B49" w:rsidRDefault="00D75D97" w:rsidP="00D75D97">
      <w:pPr>
        <w:pStyle w:val="Default"/>
        <w:jc w:val="both"/>
        <w:rPr>
          <w:rFonts w:ascii="Times New Roman" w:hAnsi="Times New Roman" w:cs="Times New Roman"/>
          <w:sz w:val="22"/>
          <w:szCs w:val="22"/>
          <w:lang w:val="sr-Latn-ME"/>
        </w:rPr>
      </w:pPr>
      <w:r w:rsidRPr="00AD3B49">
        <w:rPr>
          <w:rFonts w:ascii="Times New Roman" w:hAnsi="Times New Roman" w:cs="Times New Roman"/>
          <w:color w:val="auto"/>
          <w:sz w:val="22"/>
          <w:szCs w:val="22"/>
          <w:lang w:val="sr-Latn-ME"/>
        </w:rPr>
        <w:t xml:space="preserve">Tokom liječenja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884C2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potrebno je optimizovati druge prateće terapije (npr. terapije kortikosteroidima i/ili </w:t>
      </w:r>
      <w:r w:rsidRPr="00AD3B49">
        <w:rPr>
          <w:rFonts w:ascii="Times New Roman" w:hAnsi="Times New Roman" w:cs="Times New Roman"/>
          <w:sz w:val="22"/>
          <w:szCs w:val="22"/>
          <w:lang w:val="sr-Latn-ME"/>
        </w:rPr>
        <w:t xml:space="preserve">imunosupresivnim ljekovima). </w:t>
      </w:r>
    </w:p>
    <w:p w:rsidR="00D75D97" w:rsidRPr="00AD3B49" w:rsidRDefault="00D75D97" w:rsidP="00A3115F">
      <w:pPr>
        <w:pStyle w:val="Default"/>
        <w:jc w:val="both"/>
        <w:rPr>
          <w:rFonts w:ascii="Times New Roman" w:hAnsi="Times New Roman" w:cs="Times New Roman"/>
          <w:color w:val="auto"/>
          <w:sz w:val="22"/>
          <w:szCs w:val="22"/>
          <w:lang w:val="sr-Latn-ME"/>
        </w:rPr>
      </w:pPr>
    </w:p>
    <w:p w:rsidR="00D75D97" w:rsidRPr="00AD3B49" w:rsidRDefault="00D75D97" w:rsidP="00D75D97">
      <w:pPr>
        <w:pStyle w:val="Default"/>
        <w:jc w:val="both"/>
        <w:rPr>
          <w:rFonts w:ascii="Times New Roman" w:hAnsi="Times New Roman" w:cs="Times New Roman"/>
          <w:b/>
          <w:color w:val="auto"/>
          <w:sz w:val="22"/>
          <w:szCs w:val="22"/>
          <w:u w:val="single"/>
          <w:lang w:val="sr-Latn-ME"/>
        </w:rPr>
      </w:pPr>
      <w:r w:rsidRPr="00AD3B49">
        <w:rPr>
          <w:rFonts w:ascii="Times New Roman" w:hAnsi="Times New Roman" w:cs="Times New Roman"/>
          <w:b/>
          <w:sz w:val="22"/>
          <w:szCs w:val="22"/>
          <w:u w:val="single"/>
          <w:lang w:val="sr-Latn-ME"/>
        </w:rPr>
        <w:t>Odrasli</w:t>
      </w:r>
    </w:p>
    <w:p w:rsidR="00D75D97" w:rsidRPr="00AD3B49" w:rsidRDefault="00D75D97" w:rsidP="00D75D97">
      <w:pPr>
        <w:pStyle w:val="Default"/>
        <w:jc w:val="both"/>
        <w:rPr>
          <w:rFonts w:ascii="Times New Roman" w:hAnsi="Times New Roman" w:cs="Times New Roman"/>
          <w:color w:val="auto"/>
          <w:sz w:val="22"/>
          <w:szCs w:val="22"/>
          <w:lang w:val="sr-Latn-ME"/>
        </w:rPr>
      </w:pPr>
    </w:p>
    <w:p w:rsidR="00D75D97" w:rsidRPr="00AD3B49" w:rsidRDefault="00D75D97" w:rsidP="00D75D97">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 xml:space="preserve">Reumatoidni artritis </w:t>
      </w:r>
    </w:p>
    <w:p w:rsidR="00D75D97" w:rsidRPr="00AD3B49" w:rsidRDefault="00D75D97" w:rsidP="00D75D97">
      <w:pPr>
        <w:pStyle w:val="Default"/>
        <w:jc w:val="both"/>
        <w:rPr>
          <w:rFonts w:ascii="Times New Roman" w:hAnsi="Times New Roman" w:cs="Times New Roman"/>
          <w:sz w:val="22"/>
          <w:szCs w:val="22"/>
          <w:lang w:val="sr-Latn-ME"/>
        </w:rPr>
      </w:pPr>
      <w:r w:rsidRPr="00AD3B49">
        <w:rPr>
          <w:rFonts w:ascii="Times New Roman" w:hAnsi="Times New Roman" w:cs="Times New Roman"/>
          <w:color w:val="auto"/>
          <w:sz w:val="22"/>
          <w:szCs w:val="22"/>
          <w:lang w:val="sr-Latn-ME"/>
        </w:rPr>
        <w:t xml:space="preserve">Preporučena doza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kod odraslih </w:t>
      </w:r>
      <w:r w:rsidR="002A5A4A" w:rsidRPr="00AD3B49">
        <w:rPr>
          <w:rFonts w:ascii="Times New Roman" w:hAnsi="Times New Roman" w:cs="Times New Roman"/>
          <w:color w:val="auto"/>
          <w:sz w:val="22"/>
          <w:szCs w:val="22"/>
          <w:lang w:val="sr-Latn-ME"/>
        </w:rPr>
        <w:t>pacijenata</w:t>
      </w:r>
      <w:r w:rsidRPr="00AD3B49">
        <w:rPr>
          <w:rFonts w:ascii="Times New Roman" w:hAnsi="Times New Roman" w:cs="Times New Roman"/>
          <w:color w:val="auto"/>
          <w:sz w:val="22"/>
          <w:szCs w:val="22"/>
          <w:lang w:val="sr-Latn-ME"/>
        </w:rPr>
        <w:t xml:space="preserve"> s reumatoidnim artritisom je 40 mg adalimumaba svake druge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u vidu pojedinačne doze supkutanom injekcijom. Potrebno je nastaviti terapiju </w:t>
      </w:r>
      <w:r w:rsidRPr="00AD3B49">
        <w:rPr>
          <w:rFonts w:ascii="Times New Roman" w:hAnsi="Times New Roman" w:cs="Times New Roman"/>
          <w:sz w:val="22"/>
          <w:szCs w:val="22"/>
          <w:lang w:val="sr-Latn-ME"/>
        </w:rPr>
        <w:t xml:space="preserve">metotreksatom tokom liječenja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w:t>
      </w:r>
    </w:p>
    <w:p w:rsidR="00D75D97" w:rsidRPr="00AD3B49" w:rsidRDefault="00D75D97" w:rsidP="00D75D97">
      <w:pPr>
        <w:pStyle w:val="Default"/>
        <w:jc w:val="both"/>
        <w:rPr>
          <w:rFonts w:ascii="Times New Roman" w:hAnsi="Times New Roman" w:cs="Times New Roman"/>
          <w:sz w:val="22"/>
          <w:szCs w:val="22"/>
          <w:lang w:val="sr-Latn-ME"/>
        </w:rPr>
      </w:pPr>
    </w:p>
    <w:p w:rsidR="00D75D97" w:rsidRPr="00AD3B49" w:rsidRDefault="00D75D97" w:rsidP="00D75D97">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Terapija glukokortikoidima, salicilatima, nesteroidnim </w:t>
      </w:r>
      <w:r w:rsidR="00082E1C" w:rsidRPr="00AD3B49">
        <w:rPr>
          <w:rFonts w:ascii="Times New Roman" w:hAnsi="Times New Roman" w:cs="Times New Roman"/>
          <w:sz w:val="22"/>
          <w:szCs w:val="22"/>
          <w:lang w:val="sr-Latn-ME"/>
        </w:rPr>
        <w:t xml:space="preserve">antiinflamatornim </w:t>
      </w:r>
      <w:r w:rsidRPr="00AD3B49">
        <w:rPr>
          <w:rFonts w:ascii="Times New Roman" w:hAnsi="Times New Roman" w:cs="Times New Roman"/>
          <w:sz w:val="22"/>
          <w:szCs w:val="22"/>
          <w:lang w:val="sr-Latn-ME"/>
        </w:rPr>
        <w:t xml:space="preserve">ljekovima ili analgeticima se može nastaviti tokom liječenja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Za dodatne informacije o kombin</w:t>
      </w:r>
      <w:r w:rsidR="00723334" w:rsidRPr="00AD3B49">
        <w:rPr>
          <w:rFonts w:ascii="Times New Roman" w:hAnsi="Times New Roman" w:cs="Times New Roman"/>
          <w:sz w:val="22"/>
          <w:szCs w:val="22"/>
          <w:lang w:val="sr-Latn-ME"/>
        </w:rPr>
        <w:t>ov</w:t>
      </w:r>
      <w:r w:rsidRPr="00AD3B49">
        <w:rPr>
          <w:rFonts w:ascii="Times New Roman" w:hAnsi="Times New Roman" w:cs="Times New Roman"/>
          <w:sz w:val="22"/>
          <w:szCs w:val="22"/>
          <w:lang w:val="sr-Latn-ME"/>
        </w:rPr>
        <w:t xml:space="preserve">anju sa </w:t>
      </w:r>
      <w:r w:rsidRPr="00AD3B49">
        <w:rPr>
          <w:rFonts w:ascii="Times New Roman" w:hAnsi="Times New Roman" w:cs="Times New Roman"/>
          <w:color w:val="auto"/>
          <w:sz w:val="22"/>
          <w:szCs w:val="22"/>
          <w:lang w:val="sr-Latn-ME"/>
        </w:rPr>
        <w:t xml:space="preserve">antireumatskim ljekovima koji modifikuju tok bolesti, osim </w:t>
      </w:r>
      <w:r w:rsidRPr="00AD3B49">
        <w:rPr>
          <w:rFonts w:ascii="Times New Roman" w:hAnsi="Times New Roman" w:cs="Times New Roman"/>
          <w:sz w:val="22"/>
          <w:szCs w:val="22"/>
          <w:lang w:val="sr-Latn-ME"/>
        </w:rPr>
        <w:t xml:space="preserve">metotreksata, vidjeti odjeljke 4.4 i 5.1. </w:t>
      </w:r>
    </w:p>
    <w:p w:rsidR="00D75D97" w:rsidRPr="00AD3B49" w:rsidRDefault="00D75D97" w:rsidP="00D75D97">
      <w:pPr>
        <w:pStyle w:val="Default"/>
        <w:jc w:val="both"/>
        <w:rPr>
          <w:rFonts w:ascii="Times New Roman" w:hAnsi="Times New Roman" w:cs="Times New Roman"/>
          <w:sz w:val="22"/>
          <w:szCs w:val="22"/>
          <w:lang w:val="sr-Latn-ME"/>
        </w:rPr>
      </w:pPr>
    </w:p>
    <w:p w:rsidR="00D75D97" w:rsidRPr="00AD3B49" w:rsidRDefault="00D75D97" w:rsidP="00D75D97">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Pri monoterapiji, za neke pacijent</w:t>
      </w:r>
      <w:r w:rsidR="00723334" w:rsidRPr="00AD3B49">
        <w:rPr>
          <w:rFonts w:ascii="Times New Roman" w:hAnsi="Times New Roman" w:cs="Times New Roman"/>
          <w:color w:val="auto"/>
          <w:sz w:val="22"/>
          <w:szCs w:val="22"/>
          <w:lang w:val="sr-Latn-ME"/>
        </w:rPr>
        <w:t>e</w:t>
      </w:r>
      <w:r w:rsidRPr="00AD3B49">
        <w:rPr>
          <w:rFonts w:ascii="Times New Roman" w:hAnsi="Times New Roman" w:cs="Times New Roman"/>
          <w:color w:val="auto"/>
          <w:sz w:val="22"/>
          <w:szCs w:val="22"/>
          <w:lang w:val="sr-Latn-ME"/>
        </w:rPr>
        <w:t xml:space="preserve"> kod kojih dođe do pada nivoa odgovora može biti korisno povećanje učestalosti doziranja na 40 mg adalimumaba svake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w:t>
      </w:r>
    </w:p>
    <w:p w:rsidR="00D75D97" w:rsidRPr="00AD3B49" w:rsidRDefault="00D75D97" w:rsidP="00D75D97">
      <w:pPr>
        <w:pStyle w:val="Default"/>
        <w:jc w:val="both"/>
        <w:rPr>
          <w:rFonts w:ascii="Times New Roman" w:hAnsi="Times New Roman" w:cs="Times New Roman"/>
          <w:color w:val="auto"/>
          <w:sz w:val="22"/>
          <w:szCs w:val="22"/>
          <w:lang w:val="sr-Latn-ME"/>
        </w:rPr>
      </w:pPr>
    </w:p>
    <w:p w:rsidR="00D75D97" w:rsidRPr="00AD3B49" w:rsidRDefault="00D75D97" w:rsidP="00D75D97">
      <w:pPr>
        <w:pStyle w:val="Default"/>
        <w:jc w:val="both"/>
        <w:rPr>
          <w:rFonts w:ascii="Times New Roman" w:hAnsi="Times New Roman" w:cs="Times New Roman"/>
          <w:i/>
          <w:color w:val="auto"/>
          <w:sz w:val="22"/>
          <w:szCs w:val="22"/>
          <w:lang w:val="sr-Latn-ME"/>
        </w:rPr>
      </w:pPr>
      <w:r w:rsidRPr="00AD3B49">
        <w:rPr>
          <w:rFonts w:ascii="Times New Roman" w:hAnsi="Times New Roman" w:cs="Times New Roman"/>
          <w:i/>
          <w:color w:val="auto"/>
          <w:sz w:val="22"/>
          <w:szCs w:val="22"/>
          <w:lang w:val="sr-Latn-ME"/>
        </w:rPr>
        <w:t xml:space="preserve">Prekid terapije </w:t>
      </w:r>
    </w:p>
    <w:p w:rsidR="00D75D97" w:rsidRPr="00AD3B49" w:rsidRDefault="00D75D97" w:rsidP="00D75D97">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Može se javiti potreba za prekidom terapije, na primjer prije hirurškog zahvata ili ukoliko dođe do pojave ozbiljne infekcije. </w:t>
      </w:r>
    </w:p>
    <w:p w:rsidR="00D75D97" w:rsidRPr="00AD3B49" w:rsidRDefault="00D75D97" w:rsidP="00D75D97">
      <w:pPr>
        <w:pStyle w:val="Default"/>
        <w:jc w:val="both"/>
        <w:rPr>
          <w:rFonts w:ascii="Times New Roman" w:hAnsi="Times New Roman" w:cs="Times New Roman"/>
          <w:color w:val="auto"/>
          <w:sz w:val="22"/>
          <w:szCs w:val="22"/>
          <w:lang w:val="sr-Latn-ME"/>
        </w:rPr>
      </w:pPr>
    </w:p>
    <w:p w:rsidR="00D75D97" w:rsidRPr="00AD3B49" w:rsidRDefault="00D75D97" w:rsidP="00D75D97">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Postojeći podaci ukazuju na to da je ponovno uvođenje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nakon prekida u trajanju od 70 dana ili duže </w:t>
      </w:r>
      <w:r w:rsidR="00723334" w:rsidRPr="00AD3B49">
        <w:rPr>
          <w:rFonts w:ascii="Times New Roman" w:hAnsi="Times New Roman" w:cs="Times New Roman"/>
          <w:color w:val="auto"/>
          <w:sz w:val="22"/>
          <w:szCs w:val="22"/>
          <w:lang w:val="sr-Latn-ME"/>
        </w:rPr>
        <w:t xml:space="preserve">rezultovalo </w:t>
      </w:r>
      <w:r w:rsidRPr="00AD3B49">
        <w:rPr>
          <w:rFonts w:ascii="Times New Roman" w:hAnsi="Times New Roman" w:cs="Times New Roman"/>
          <w:color w:val="auto"/>
          <w:sz w:val="22"/>
          <w:szCs w:val="22"/>
          <w:lang w:val="sr-Latn-ME"/>
        </w:rPr>
        <w:t>istim kliničkim odgovorom i sličnim sigurnosnim profilom kao prije prekida terapije.</w:t>
      </w:r>
    </w:p>
    <w:p w:rsidR="00D75D97" w:rsidRPr="00AD3B49" w:rsidRDefault="00D75D97" w:rsidP="00D75D97">
      <w:pPr>
        <w:pStyle w:val="Default"/>
        <w:jc w:val="both"/>
        <w:rPr>
          <w:rFonts w:ascii="Times New Roman" w:hAnsi="Times New Roman" w:cs="Times New Roman"/>
          <w:color w:val="auto"/>
          <w:sz w:val="22"/>
          <w:szCs w:val="22"/>
          <w:lang w:val="sr-Latn-ME"/>
        </w:rPr>
      </w:pPr>
    </w:p>
    <w:p w:rsidR="00D75D97" w:rsidRPr="00AD3B49" w:rsidRDefault="0004490B" w:rsidP="00D75D97">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 xml:space="preserve">Ankilozirajući </w:t>
      </w:r>
      <w:r w:rsidR="00D75D97" w:rsidRPr="00AD3B49">
        <w:rPr>
          <w:rFonts w:ascii="Times New Roman" w:hAnsi="Times New Roman" w:cs="Times New Roman"/>
          <w:sz w:val="22"/>
          <w:szCs w:val="22"/>
          <w:u w:val="single"/>
          <w:lang w:val="sr-Latn-ME"/>
        </w:rPr>
        <w:t>spondilitis, aksijalni spo</w:t>
      </w:r>
      <w:r w:rsidR="00D67D4D" w:rsidRPr="00AD3B49">
        <w:rPr>
          <w:rFonts w:ascii="Times New Roman" w:hAnsi="Times New Roman" w:cs="Times New Roman"/>
          <w:sz w:val="22"/>
          <w:szCs w:val="22"/>
          <w:u w:val="single"/>
          <w:lang w:val="sr-Latn-ME"/>
        </w:rPr>
        <w:t>n</w:t>
      </w:r>
      <w:r w:rsidR="00D75D97" w:rsidRPr="00AD3B49">
        <w:rPr>
          <w:rFonts w:ascii="Times New Roman" w:hAnsi="Times New Roman" w:cs="Times New Roman"/>
          <w:sz w:val="22"/>
          <w:szCs w:val="22"/>
          <w:u w:val="single"/>
          <w:lang w:val="sr-Latn-ME"/>
        </w:rPr>
        <w:t>diloartritis bez radiološkog nalaza AS-a i psorijatični artritis</w:t>
      </w:r>
    </w:p>
    <w:p w:rsidR="00D75D97" w:rsidRPr="00AD3B49" w:rsidRDefault="002A5A4A" w:rsidP="00D75D97">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Preporučena doza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ko</w:t>
      </w:r>
      <w:r w:rsidR="00E97E4D" w:rsidRPr="00AD3B49">
        <w:rPr>
          <w:rFonts w:ascii="Times New Roman" w:hAnsi="Times New Roman" w:cs="Times New Roman"/>
          <w:color w:val="auto"/>
          <w:sz w:val="22"/>
          <w:szCs w:val="22"/>
          <w:lang w:val="sr-Latn-ME"/>
        </w:rPr>
        <w:t>d</w:t>
      </w:r>
      <w:r w:rsidRPr="00AD3B49">
        <w:rPr>
          <w:rFonts w:ascii="Times New Roman" w:hAnsi="Times New Roman" w:cs="Times New Roman"/>
          <w:color w:val="auto"/>
          <w:sz w:val="22"/>
          <w:szCs w:val="22"/>
          <w:lang w:val="sr-Latn-ME"/>
        </w:rPr>
        <w:t xml:space="preserve"> pacijenata </w:t>
      </w:r>
      <w:r w:rsidR="00D75D97" w:rsidRPr="00AD3B49">
        <w:rPr>
          <w:rFonts w:ascii="Times New Roman" w:hAnsi="Times New Roman" w:cs="Times New Roman"/>
          <w:color w:val="auto"/>
          <w:sz w:val="22"/>
          <w:szCs w:val="22"/>
          <w:lang w:val="sr-Latn-ME"/>
        </w:rPr>
        <w:t xml:space="preserve">s </w:t>
      </w:r>
      <w:r w:rsidR="0004490B" w:rsidRPr="00AD3B49">
        <w:rPr>
          <w:rFonts w:ascii="Times New Roman" w:hAnsi="Times New Roman" w:cs="Times New Roman"/>
          <w:sz w:val="22"/>
          <w:szCs w:val="22"/>
          <w:lang w:val="sr-Latn-ME"/>
        </w:rPr>
        <w:t xml:space="preserve">ankilozirajućim </w:t>
      </w:r>
      <w:r w:rsidR="00D75D97" w:rsidRPr="00AD3B49">
        <w:rPr>
          <w:rFonts w:ascii="Times New Roman" w:hAnsi="Times New Roman" w:cs="Times New Roman"/>
          <w:sz w:val="22"/>
          <w:szCs w:val="22"/>
          <w:lang w:val="sr-Latn-ME"/>
        </w:rPr>
        <w:t>spondilitisom, aksijalnim spo</w:t>
      </w:r>
      <w:r w:rsidR="00D67D4D" w:rsidRPr="00AD3B49">
        <w:rPr>
          <w:rFonts w:ascii="Times New Roman" w:hAnsi="Times New Roman" w:cs="Times New Roman"/>
          <w:sz w:val="22"/>
          <w:szCs w:val="22"/>
          <w:lang w:val="sr-Latn-ME"/>
        </w:rPr>
        <w:t>n</w:t>
      </w:r>
      <w:r w:rsidR="00D75D97" w:rsidRPr="00AD3B49">
        <w:rPr>
          <w:rFonts w:ascii="Times New Roman" w:hAnsi="Times New Roman" w:cs="Times New Roman"/>
          <w:sz w:val="22"/>
          <w:szCs w:val="22"/>
          <w:lang w:val="sr-Latn-ME"/>
        </w:rPr>
        <w:t xml:space="preserve">diloartritisom bez radiološkog nalaza AS-a i </w:t>
      </w:r>
      <w:r w:rsidRPr="00AD3B49">
        <w:rPr>
          <w:rFonts w:ascii="Times New Roman" w:hAnsi="Times New Roman" w:cs="Times New Roman"/>
          <w:sz w:val="22"/>
          <w:szCs w:val="22"/>
          <w:lang w:val="sr-Latn-ME"/>
        </w:rPr>
        <w:t xml:space="preserve">kod pacijenata </w:t>
      </w:r>
      <w:r w:rsidR="00D75D97" w:rsidRPr="00AD3B49">
        <w:rPr>
          <w:rFonts w:ascii="Times New Roman" w:hAnsi="Times New Roman" w:cs="Times New Roman"/>
          <w:sz w:val="22"/>
          <w:szCs w:val="22"/>
          <w:lang w:val="sr-Latn-ME"/>
        </w:rPr>
        <w:t xml:space="preserve">s psorijatičnim artritisom </w:t>
      </w:r>
      <w:r w:rsidR="00D75D97" w:rsidRPr="00AD3B49">
        <w:rPr>
          <w:rFonts w:ascii="Times New Roman" w:hAnsi="Times New Roman" w:cs="Times New Roman"/>
          <w:color w:val="auto"/>
          <w:sz w:val="22"/>
          <w:szCs w:val="22"/>
          <w:lang w:val="sr-Latn-ME"/>
        </w:rPr>
        <w:t xml:space="preserve">je </w:t>
      </w:r>
      <w:r w:rsidR="00EF4462" w:rsidRPr="00AD3B49">
        <w:rPr>
          <w:rFonts w:ascii="Times New Roman" w:hAnsi="Times New Roman" w:cs="Times New Roman"/>
          <w:color w:val="auto"/>
          <w:sz w:val="22"/>
          <w:szCs w:val="22"/>
          <w:lang w:val="sr-Latn-ME"/>
        </w:rPr>
        <w:t xml:space="preserve">40 mg adalimumaba svake druge </w:t>
      </w:r>
      <w:r w:rsidR="000B016F" w:rsidRPr="00AD3B49">
        <w:rPr>
          <w:rFonts w:ascii="Times New Roman" w:hAnsi="Times New Roman" w:cs="Times New Roman"/>
          <w:color w:val="auto"/>
          <w:sz w:val="22"/>
          <w:szCs w:val="22"/>
          <w:lang w:val="sr-Latn-ME"/>
        </w:rPr>
        <w:t>nedjelje</w:t>
      </w:r>
      <w:r w:rsidR="00D75D97" w:rsidRPr="00AD3B49">
        <w:rPr>
          <w:rFonts w:ascii="Times New Roman" w:hAnsi="Times New Roman" w:cs="Times New Roman"/>
          <w:color w:val="auto"/>
          <w:sz w:val="22"/>
          <w:szCs w:val="22"/>
          <w:lang w:val="sr-Latn-ME"/>
        </w:rPr>
        <w:t xml:space="preserve"> u vidu pojedinačne doze supkutanom injekcijom. </w:t>
      </w:r>
    </w:p>
    <w:p w:rsidR="00D75D97" w:rsidRPr="00AD3B49" w:rsidRDefault="00D75D97" w:rsidP="00D75D97">
      <w:pPr>
        <w:pStyle w:val="Default"/>
        <w:jc w:val="both"/>
        <w:rPr>
          <w:rFonts w:ascii="Times New Roman" w:hAnsi="Times New Roman" w:cs="Times New Roman"/>
          <w:color w:val="auto"/>
          <w:sz w:val="22"/>
          <w:szCs w:val="22"/>
          <w:lang w:val="sr-Latn-ME"/>
        </w:rPr>
      </w:pPr>
    </w:p>
    <w:p w:rsidR="00D75D97" w:rsidRPr="00AD3B49" w:rsidRDefault="00D75D97" w:rsidP="00D75D97">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Za sve navedene indikacije, </w:t>
      </w:r>
      <w:r w:rsidRPr="00AD3B49">
        <w:rPr>
          <w:rFonts w:ascii="Times New Roman" w:hAnsi="Times New Roman" w:cs="Times New Roman"/>
          <w:sz w:val="22"/>
          <w:szCs w:val="22"/>
          <w:lang w:val="sr-Latn-ME"/>
        </w:rPr>
        <w:t xml:space="preserve">postojeći podaci pokazuju da se klinički odgovor obično postiže unutar 12 </w:t>
      </w:r>
      <w:r w:rsidR="000B016F" w:rsidRPr="00AD3B49">
        <w:rPr>
          <w:rFonts w:ascii="Times New Roman" w:hAnsi="Times New Roman" w:cs="Times New Roman"/>
          <w:sz w:val="22"/>
          <w:szCs w:val="22"/>
          <w:lang w:val="sr-Latn-ME"/>
        </w:rPr>
        <w:t>nedjelja</w:t>
      </w:r>
      <w:r w:rsidRPr="00AD3B49">
        <w:rPr>
          <w:rFonts w:ascii="Times New Roman" w:hAnsi="Times New Roman" w:cs="Times New Roman"/>
          <w:sz w:val="22"/>
          <w:szCs w:val="22"/>
          <w:lang w:val="sr-Latn-ME"/>
        </w:rPr>
        <w:t xml:space="preserve"> liječenja</w:t>
      </w:r>
      <w:r w:rsidRPr="00AD3B49">
        <w:rPr>
          <w:rFonts w:ascii="Times New Roman" w:hAnsi="Times New Roman" w:cs="Times New Roman"/>
          <w:color w:val="auto"/>
          <w:sz w:val="22"/>
          <w:szCs w:val="22"/>
          <w:lang w:val="sr-Latn-ME"/>
        </w:rPr>
        <w:t xml:space="preserve">. </w:t>
      </w:r>
      <w:r w:rsidRPr="00AD3B49">
        <w:rPr>
          <w:rFonts w:ascii="Times New Roman" w:hAnsi="Times New Roman" w:cs="Times New Roman"/>
          <w:sz w:val="22"/>
          <w:szCs w:val="22"/>
          <w:lang w:val="sr-Latn-ME"/>
        </w:rPr>
        <w:t xml:space="preserve">Ako se unutar tog razdoblja ne postigne terapijski odgovor, potrebno je </w:t>
      </w:r>
      <w:r w:rsidR="00D67D4D" w:rsidRPr="00AD3B49">
        <w:rPr>
          <w:rFonts w:ascii="Times New Roman" w:hAnsi="Times New Roman" w:cs="Times New Roman"/>
          <w:sz w:val="22"/>
          <w:szCs w:val="22"/>
          <w:lang w:val="sr-Latn-ME"/>
        </w:rPr>
        <w:t>pažljivo</w:t>
      </w:r>
      <w:r w:rsidRPr="00AD3B49">
        <w:rPr>
          <w:rFonts w:ascii="Times New Roman" w:hAnsi="Times New Roman" w:cs="Times New Roman"/>
          <w:sz w:val="22"/>
          <w:szCs w:val="22"/>
          <w:lang w:val="sr-Latn-ME"/>
        </w:rPr>
        <w:t xml:space="preserve"> razmotriti nastavak liječenja takvog </w:t>
      </w:r>
      <w:r w:rsidR="00EF4462" w:rsidRPr="00AD3B49">
        <w:rPr>
          <w:rFonts w:ascii="Times New Roman" w:hAnsi="Times New Roman" w:cs="Times New Roman"/>
          <w:sz w:val="22"/>
          <w:szCs w:val="22"/>
          <w:lang w:val="sr-Latn-ME"/>
        </w:rPr>
        <w:t>pacijenta</w:t>
      </w:r>
      <w:r w:rsidRPr="00AD3B49">
        <w:rPr>
          <w:rFonts w:ascii="Times New Roman" w:hAnsi="Times New Roman" w:cs="Times New Roman"/>
          <w:sz w:val="22"/>
          <w:szCs w:val="22"/>
          <w:lang w:val="sr-Latn-ME"/>
        </w:rPr>
        <w:t xml:space="preserve">. </w:t>
      </w:r>
    </w:p>
    <w:p w:rsidR="00D75D97" w:rsidRPr="00AD3B49" w:rsidRDefault="00D75D97" w:rsidP="00D75D97">
      <w:pPr>
        <w:pStyle w:val="Default"/>
        <w:jc w:val="both"/>
        <w:rPr>
          <w:rFonts w:ascii="Times New Roman" w:hAnsi="Times New Roman" w:cs="Times New Roman"/>
          <w:color w:val="auto"/>
          <w:sz w:val="22"/>
          <w:szCs w:val="22"/>
          <w:lang w:val="sr-Latn-ME"/>
        </w:rPr>
      </w:pPr>
    </w:p>
    <w:p w:rsidR="00D75D97" w:rsidRPr="00AD3B49" w:rsidRDefault="00D75D97" w:rsidP="00D75D97">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 xml:space="preserve">Psorijaza </w:t>
      </w:r>
    </w:p>
    <w:p w:rsidR="00D75D97" w:rsidRPr="00AD3B49" w:rsidRDefault="00D75D97" w:rsidP="00EF4462">
      <w:pPr>
        <w:jc w:val="both"/>
        <w:rPr>
          <w:sz w:val="22"/>
          <w:szCs w:val="22"/>
          <w:lang w:val="sr-Latn-ME"/>
        </w:rPr>
      </w:pPr>
      <w:r w:rsidRPr="00AD3B49">
        <w:rPr>
          <w:sz w:val="22"/>
          <w:szCs w:val="22"/>
          <w:lang w:val="sr-Latn-ME"/>
        </w:rPr>
        <w:t xml:space="preserve">Preporučena početna </w:t>
      </w:r>
      <w:r w:rsidR="00EF4462" w:rsidRPr="00AD3B49">
        <w:rPr>
          <w:sz w:val="22"/>
          <w:szCs w:val="22"/>
          <w:lang w:val="sr-Latn-ME"/>
        </w:rPr>
        <w:t xml:space="preserve">doza </w:t>
      </w:r>
      <w:r w:rsidR="0082613A" w:rsidRPr="00AD3B49">
        <w:rPr>
          <w:sz w:val="22"/>
          <w:szCs w:val="22"/>
          <w:lang w:val="sr-Latn-ME"/>
        </w:rPr>
        <w:t xml:space="preserve">lijeka </w:t>
      </w:r>
      <w:r w:rsidR="00EF4462" w:rsidRPr="00AD3B49">
        <w:rPr>
          <w:sz w:val="22"/>
          <w:szCs w:val="22"/>
          <w:lang w:val="sr-Latn-ME"/>
        </w:rPr>
        <w:t>Humir</w:t>
      </w:r>
      <w:r w:rsidR="0082613A" w:rsidRPr="00AD3B49">
        <w:rPr>
          <w:sz w:val="22"/>
          <w:szCs w:val="22"/>
          <w:lang w:val="sr-Latn-ME"/>
        </w:rPr>
        <w:t>a</w:t>
      </w:r>
      <w:r w:rsidR="00EF4462" w:rsidRPr="00AD3B49">
        <w:rPr>
          <w:sz w:val="22"/>
          <w:szCs w:val="22"/>
          <w:lang w:val="sr-Latn-ME"/>
        </w:rPr>
        <w:t xml:space="preserve"> kod</w:t>
      </w:r>
      <w:r w:rsidRPr="00AD3B49">
        <w:rPr>
          <w:sz w:val="22"/>
          <w:szCs w:val="22"/>
          <w:lang w:val="sr-Latn-ME"/>
        </w:rPr>
        <w:t xml:space="preserve"> odraslih</w:t>
      </w:r>
      <w:r w:rsidR="00EF4462" w:rsidRPr="00AD3B49">
        <w:rPr>
          <w:sz w:val="22"/>
          <w:szCs w:val="22"/>
          <w:lang w:val="sr-Latn-ME"/>
        </w:rPr>
        <w:t xml:space="preserve"> pacijenata</w:t>
      </w:r>
      <w:r w:rsidRPr="00AD3B49">
        <w:rPr>
          <w:sz w:val="22"/>
          <w:szCs w:val="22"/>
          <w:lang w:val="sr-Latn-ME"/>
        </w:rPr>
        <w:t xml:space="preserve"> je 80 mg supkutanom injekcijom, a nakon jedne </w:t>
      </w:r>
      <w:r w:rsidR="000B016F" w:rsidRPr="00AD3B49">
        <w:rPr>
          <w:sz w:val="22"/>
          <w:szCs w:val="22"/>
          <w:lang w:val="sr-Latn-ME"/>
        </w:rPr>
        <w:t>nedjelje</w:t>
      </w:r>
      <w:r w:rsidRPr="00AD3B49">
        <w:rPr>
          <w:sz w:val="22"/>
          <w:szCs w:val="22"/>
          <w:lang w:val="sr-Latn-ME"/>
        </w:rPr>
        <w:t xml:space="preserve"> od početne doze, počinje se sa primjenom doze od 40 mg svake druge </w:t>
      </w:r>
      <w:r w:rsidR="000B016F" w:rsidRPr="00AD3B49">
        <w:rPr>
          <w:sz w:val="22"/>
          <w:szCs w:val="22"/>
          <w:lang w:val="sr-Latn-ME"/>
        </w:rPr>
        <w:t>nedjelje</w:t>
      </w:r>
      <w:r w:rsidRPr="00AD3B49">
        <w:rPr>
          <w:sz w:val="22"/>
          <w:szCs w:val="22"/>
          <w:lang w:val="sr-Latn-ME"/>
        </w:rPr>
        <w:t xml:space="preserve"> supkutanom injekcijom. </w:t>
      </w:r>
    </w:p>
    <w:p w:rsidR="00D75D97" w:rsidRPr="00AD3B49" w:rsidRDefault="00D75D97" w:rsidP="00EF4462">
      <w:pPr>
        <w:jc w:val="both"/>
        <w:rPr>
          <w:lang w:val="sr-Latn-ME"/>
        </w:rPr>
      </w:pPr>
    </w:p>
    <w:p w:rsidR="00D75D97" w:rsidRPr="00AD3B49" w:rsidRDefault="00D75D97" w:rsidP="00EF4462">
      <w:pPr>
        <w:jc w:val="both"/>
        <w:rPr>
          <w:sz w:val="22"/>
          <w:szCs w:val="22"/>
          <w:lang w:val="sr-Latn-ME"/>
        </w:rPr>
      </w:pPr>
      <w:r w:rsidRPr="00AD3B49">
        <w:rPr>
          <w:sz w:val="22"/>
          <w:szCs w:val="22"/>
          <w:lang w:val="sr-Latn-ME"/>
        </w:rPr>
        <w:t xml:space="preserve">Ako se unutar razdoblja od 16 </w:t>
      </w:r>
      <w:r w:rsidR="000B016F" w:rsidRPr="00AD3B49">
        <w:rPr>
          <w:sz w:val="22"/>
          <w:szCs w:val="22"/>
          <w:lang w:val="sr-Latn-ME"/>
        </w:rPr>
        <w:t>nedjelja</w:t>
      </w:r>
      <w:r w:rsidRPr="00AD3B49">
        <w:rPr>
          <w:sz w:val="22"/>
          <w:szCs w:val="22"/>
          <w:lang w:val="sr-Latn-ME"/>
        </w:rPr>
        <w:t xml:space="preserve"> ne postigne terapijski odgovor, potrebno je </w:t>
      </w:r>
      <w:r w:rsidR="00D67D4D" w:rsidRPr="00AD3B49">
        <w:rPr>
          <w:sz w:val="22"/>
          <w:szCs w:val="22"/>
          <w:lang w:val="sr-Latn-ME"/>
        </w:rPr>
        <w:t>pažljivo</w:t>
      </w:r>
      <w:r w:rsidRPr="00AD3B49">
        <w:rPr>
          <w:sz w:val="22"/>
          <w:szCs w:val="22"/>
          <w:lang w:val="sr-Latn-ME"/>
        </w:rPr>
        <w:t xml:space="preserve"> razmotriti nastavak liječenja takvog </w:t>
      </w:r>
      <w:r w:rsidR="00EF4462" w:rsidRPr="00AD3B49">
        <w:rPr>
          <w:sz w:val="22"/>
          <w:szCs w:val="22"/>
          <w:lang w:val="sr-Latn-ME"/>
        </w:rPr>
        <w:t>pacijenta</w:t>
      </w:r>
      <w:r w:rsidRPr="00AD3B49">
        <w:rPr>
          <w:sz w:val="22"/>
          <w:szCs w:val="22"/>
          <w:lang w:val="sr-Latn-ME"/>
        </w:rPr>
        <w:t>.</w:t>
      </w:r>
    </w:p>
    <w:p w:rsidR="00D75D97" w:rsidRPr="00AD3B49" w:rsidRDefault="00D75D97" w:rsidP="00EF4462">
      <w:pPr>
        <w:jc w:val="both"/>
        <w:rPr>
          <w:sz w:val="22"/>
          <w:szCs w:val="22"/>
          <w:lang w:val="sr-Latn-ME"/>
        </w:rPr>
      </w:pPr>
    </w:p>
    <w:p w:rsidR="00D75D97" w:rsidRPr="00AD3B49" w:rsidRDefault="00D75D97" w:rsidP="00D75D97">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Crohnova bolest</w:t>
      </w:r>
    </w:p>
    <w:p w:rsidR="00D75D97" w:rsidRPr="00AD3B49" w:rsidRDefault="00D75D97" w:rsidP="00EF4462">
      <w:pPr>
        <w:autoSpaceDE w:val="0"/>
        <w:autoSpaceDN w:val="0"/>
        <w:adjustRightInd w:val="0"/>
        <w:jc w:val="both"/>
        <w:rPr>
          <w:sz w:val="22"/>
          <w:szCs w:val="22"/>
          <w:lang w:val="sr-Latn-ME"/>
        </w:rPr>
      </w:pPr>
      <w:r w:rsidRPr="00AD3B49">
        <w:rPr>
          <w:sz w:val="22"/>
          <w:szCs w:val="22"/>
          <w:lang w:val="sr-Latn-ME"/>
        </w:rPr>
        <w:t xml:space="preserve">Preporučeni indukcioni dozni režim za </w:t>
      </w:r>
      <w:r w:rsidR="00C10995" w:rsidRPr="00AD3B49">
        <w:rPr>
          <w:sz w:val="22"/>
          <w:szCs w:val="22"/>
          <w:lang w:val="sr-Latn-ME"/>
        </w:rPr>
        <w:t xml:space="preserve">lijek </w:t>
      </w:r>
      <w:r w:rsidRPr="00AD3B49">
        <w:rPr>
          <w:sz w:val="22"/>
          <w:szCs w:val="22"/>
          <w:lang w:val="sr-Latn-ME"/>
        </w:rPr>
        <w:t>Humir</w:t>
      </w:r>
      <w:r w:rsidR="00C10995" w:rsidRPr="00AD3B49">
        <w:rPr>
          <w:sz w:val="22"/>
          <w:szCs w:val="22"/>
          <w:lang w:val="sr-Latn-ME"/>
        </w:rPr>
        <w:t>a</w:t>
      </w:r>
      <w:r w:rsidRPr="00AD3B49">
        <w:rPr>
          <w:sz w:val="22"/>
          <w:szCs w:val="22"/>
          <w:lang w:val="sr-Latn-ME"/>
        </w:rPr>
        <w:t xml:space="preserve"> </w:t>
      </w:r>
      <w:r w:rsidR="00EF4462" w:rsidRPr="00AD3B49">
        <w:rPr>
          <w:sz w:val="22"/>
          <w:szCs w:val="22"/>
          <w:lang w:val="sr-Latn-ME"/>
        </w:rPr>
        <w:t>kod</w:t>
      </w:r>
      <w:r w:rsidRPr="00AD3B49">
        <w:rPr>
          <w:sz w:val="22"/>
          <w:szCs w:val="22"/>
          <w:lang w:val="sr-Latn-ME"/>
        </w:rPr>
        <w:t xml:space="preserve"> odraslih </w:t>
      </w:r>
      <w:r w:rsidR="00EF4462" w:rsidRPr="00AD3B49">
        <w:rPr>
          <w:sz w:val="22"/>
          <w:szCs w:val="22"/>
          <w:lang w:val="sr-Latn-ME"/>
        </w:rPr>
        <w:t>pacijenata</w:t>
      </w:r>
      <w:r w:rsidRPr="00AD3B49">
        <w:rPr>
          <w:sz w:val="22"/>
          <w:szCs w:val="22"/>
          <w:lang w:val="sr-Latn-ME"/>
        </w:rPr>
        <w:t xml:space="preserve"> s umjerenom do teškom aktivnom Crohnovom bolesti je 80 mg u nultoj </w:t>
      </w:r>
      <w:r w:rsidR="000B016F" w:rsidRPr="00AD3B49">
        <w:rPr>
          <w:sz w:val="22"/>
          <w:szCs w:val="22"/>
          <w:lang w:val="sr-Latn-ME"/>
        </w:rPr>
        <w:t>nedjelji</w:t>
      </w:r>
      <w:r w:rsidRPr="00AD3B49">
        <w:rPr>
          <w:sz w:val="22"/>
          <w:szCs w:val="22"/>
          <w:lang w:val="sr-Latn-ME"/>
        </w:rPr>
        <w:t xml:space="preserve">, nakon čega slijedi doza od 40 mg u drugoj </w:t>
      </w:r>
      <w:r w:rsidR="000B016F" w:rsidRPr="00AD3B49">
        <w:rPr>
          <w:sz w:val="22"/>
          <w:szCs w:val="22"/>
          <w:lang w:val="sr-Latn-ME"/>
        </w:rPr>
        <w:t>nedjelji</w:t>
      </w:r>
      <w:r w:rsidRPr="00AD3B49">
        <w:rPr>
          <w:sz w:val="22"/>
          <w:szCs w:val="22"/>
          <w:lang w:val="sr-Latn-ME"/>
        </w:rPr>
        <w:t xml:space="preserve">. U slučaju da postoji potreba za bržim odgovorom na terapiju, može se koristiti dozni režim od </w:t>
      </w:r>
      <w:r w:rsidRPr="00AD3B49">
        <w:rPr>
          <w:sz w:val="22"/>
          <w:szCs w:val="22"/>
          <w:lang w:val="sr-Latn-ME"/>
        </w:rPr>
        <w:lastRenderedPageBreak/>
        <w:t xml:space="preserve">160 mg u nultoj </w:t>
      </w:r>
      <w:r w:rsidR="000B016F" w:rsidRPr="00AD3B49">
        <w:rPr>
          <w:sz w:val="22"/>
          <w:szCs w:val="22"/>
          <w:lang w:val="sr-Latn-ME"/>
        </w:rPr>
        <w:t>nedjelji</w:t>
      </w:r>
      <w:r w:rsidRPr="00AD3B49">
        <w:rPr>
          <w:sz w:val="22"/>
          <w:szCs w:val="22"/>
          <w:lang w:val="sr-Latn-ME"/>
        </w:rPr>
        <w:t xml:space="preserve"> (doza se može primijeniti u vidu četiri injekcije u jednom danu ili po dvije injekcije dnevno tokom dva uzastopna dana) i 80 mg u drugoj </w:t>
      </w:r>
      <w:r w:rsidR="000B016F" w:rsidRPr="00AD3B49">
        <w:rPr>
          <w:sz w:val="22"/>
          <w:szCs w:val="22"/>
          <w:lang w:val="sr-Latn-ME"/>
        </w:rPr>
        <w:t>nedjelji</w:t>
      </w:r>
      <w:r w:rsidRPr="00AD3B49">
        <w:rPr>
          <w:sz w:val="22"/>
          <w:szCs w:val="22"/>
          <w:lang w:val="sr-Latn-ME"/>
        </w:rPr>
        <w:t xml:space="preserve">, pri čemu se mora imati na umu da je rizik od neželjenog djelovanja veći tokom indukcije. </w:t>
      </w:r>
    </w:p>
    <w:p w:rsidR="00D75D97" w:rsidRPr="00AD3B49" w:rsidRDefault="00D75D97" w:rsidP="00EF4462">
      <w:pPr>
        <w:autoSpaceDE w:val="0"/>
        <w:autoSpaceDN w:val="0"/>
        <w:adjustRightInd w:val="0"/>
        <w:jc w:val="both"/>
        <w:rPr>
          <w:sz w:val="16"/>
          <w:szCs w:val="16"/>
          <w:lang w:val="sr-Latn-ME"/>
        </w:rPr>
      </w:pPr>
    </w:p>
    <w:p w:rsidR="00D75D97" w:rsidRPr="00AD3B49" w:rsidRDefault="00D75D97" w:rsidP="00EF4462">
      <w:pPr>
        <w:autoSpaceDE w:val="0"/>
        <w:autoSpaceDN w:val="0"/>
        <w:adjustRightInd w:val="0"/>
        <w:jc w:val="both"/>
        <w:rPr>
          <w:sz w:val="22"/>
          <w:szCs w:val="22"/>
          <w:lang w:val="sr-Latn-ME"/>
        </w:rPr>
      </w:pPr>
      <w:r w:rsidRPr="00AD3B49">
        <w:rPr>
          <w:sz w:val="22"/>
          <w:szCs w:val="22"/>
          <w:lang w:val="sr-Latn-ME"/>
        </w:rPr>
        <w:t xml:space="preserve">Nakon indukcionog liječenja, preporučena doza je 40 mg svake druge </w:t>
      </w:r>
      <w:r w:rsidR="00D67D4D" w:rsidRPr="00AD3B49">
        <w:rPr>
          <w:sz w:val="22"/>
          <w:szCs w:val="22"/>
          <w:lang w:val="sr-Latn-ME"/>
        </w:rPr>
        <w:t>nedjelje</w:t>
      </w:r>
      <w:r w:rsidRPr="00AD3B49">
        <w:rPr>
          <w:sz w:val="22"/>
          <w:szCs w:val="22"/>
          <w:lang w:val="sr-Latn-ME"/>
        </w:rPr>
        <w:t xml:space="preserve"> supkutanom injekcijom. Alternativno, ukoliko je </w:t>
      </w:r>
      <w:r w:rsidR="00EF4462" w:rsidRPr="00AD3B49">
        <w:rPr>
          <w:sz w:val="22"/>
          <w:szCs w:val="22"/>
          <w:lang w:val="sr-Latn-ME"/>
        </w:rPr>
        <w:t>pacijent</w:t>
      </w:r>
      <w:r w:rsidRPr="00AD3B49">
        <w:rPr>
          <w:sz w:val="22"/>
          <w:szCs w:val="22"/>
          <w:lang w:val="sr-Latn-ME"/>
        </w:rPr>
        <w:t xml:space="preserve"> prestao primati </w:t>
      </w:r>
      <w:r w:rsidR="00C10995" w:rsidRPr="00AD3B49">
        <w:rPr>
          <w:sz w:val="22"/>
          <w:szCs w:val="22"/>
          <w:lang w:val="sr-Latn-ME"/>
        </w:rPr>
        <w:t xml:space="preserve">lijek </w:t>
      </w:r>
      <w:r w:rsidRPr="00AD3B49">
        <w:rPr>
          <w:sz w:val="22"/>
          <w:szCs w:val="22"/>
          <w:lang w:val="sr-Latn-ME"/>
        </w:rPr>
        <w:t>Humir</w:t>
      </w:r>
      <w:r w:rsidR="00C10995" w:rsidRPr="00AD3B49">
        <w:rPr>
          <w:sz w:val="22"/>
          <w:szCs w:val="22"/>
          <w:lang w:val="sr-Latn-ME"/>
        </w:rPr>
        <w:t>a</w:t>
      </w:r>
      <w:r w:rsidRPr="00AD3B49">
        <w:rPr>
          <w:sz w:val="22"/>
          <w:szCs w:val="22"/>
          <w:lang w:val="sr-Latn-ME"/>
        </w:rPr>
        <w:t xml:space="preserve">, a znakovi i simptomi bolesti se ponovo pojave, </w:t>
      </w:r>
      <w:r w:rsidR="00C10995" w:rsidRPr="00AD3B49">
        <w:rPr>
          <w:sz w:val="22"/>
          <w:szCs w:val="22"/>
          <w:lang w:val="sr-Latn-ME"/>
        </w:rPr>
        <w:t xml:space="preserve">lijek </w:t>
      </w:r>
      <w:r w:rsidRPr="00AD3B49">
        <w:rPr>
          <w:sz w:val="22"/>
          <w:szCs w:val="22"/>
          <w:lang w:val="sr-Latn-ME"/>
        </w:rPr>
        <w:t>Humir</w:t>
      </w:r>
      <w:r w:rsidR="00C10995" w:rsidRPr="00AD3B49">
        <w:rPr>
          <w:sz w:val="22"/>
          <w:szCs w:val="22"/>
          <w:lang w:val="sr-Latn-ME"/>
        </w:rPr>
        <w:t>a</w:t>
      </w:r>
      <w:r w:rsidRPr="00AD3B49">
        <w:rPr>
          <w:sz w:val="22"/>
          <w:szCs w:val="22"/>
          <w:lang w:val="sr-Latn-ME"/>
        </w:rPr>
        <w:t xml:space="preserve"> je moguće početi primjenjivati iznova. Iskustvo koje se odnosi na ponovnu primjenu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nakon više od 8 </w:t>
      </w:r>
      <w:r w:rsidR="000B016F" w:rsidRPr="00AD3B49">
        <w:rPr>
          <w:sz w:val="22"/>
          <w:szCs w:val="22"/>
          <w:lang w:val="sr-Latn-ME"/>
        </w:rPr>
        <w:t>nedjelja</w:t>
      </w:r>
      <w:r w:rsidRPr="00AD3B49">
        <w:rPr>
          <w:sz w:val="22"/>
          <w:szCs w:val="22"/>
          <w:lang w:val="sr-Latn-ME"/>
        </w:rPr>
        <w:t xml:space="preserve"> od posljednje doze je oskudno. </w:t>
      </w:r>
    </w:p>
    <w:p w:rsidR="00D75D97" w:rsidRPr="00AD3B49" w:rsidRDefault="00D75D97" w:rsidP="00D75D97">
      <w:pPr>
        <w:autoSpaceDE w:val="0"/>
        <w:autoSpaceDN w:val="0"/>
        <w:adjustRightInd w:val="0"/>
        <w:rPr>
          <w:sz w:val="16"/>
          <w:szCs w:val="16"/>
          <w:lang w:val="sr-Latn-ME"/>
        </w:rPr>
      </w:pPr>
    </w:p>
    <w:p w:rsidR="00D75D97" w:rsidRPr="00AD3B49" w:rsidRDefault="00D75D97" w:rsidP="008F6524">
      <w:pPr>
        <w:autoSpaceDE w:val="0"/>
        <w:autoSpaceDN w:val="0"/>
        <w:adjustRightInd w:val="0"/>
        <w:jc w:val="both"/>
        <w:rPr>
          <w:sz w:val="22"/>
          <w:szCs w:val="22"/>
          <w:lang w:val="sr-Latn-ME"/>
        </w:rPr>
      </w:pPr>
      <w:r w:rsidRPr="00AD3B49">
        <w:rPr>
          <w:sz w:val="22"/>
          <w:szCs w:val="22"/>
          <w:lang w:val="sr-Latn-ME"/>
        </w:rPr>
        <w:t xml:space="preserve">Tokom terapije održavanja, moguće je smanjiti dozu kortikosteroida u skladu sa smjernicama kliničke prakse. Za neke </w:t>
      </w:r>
      <w:r w:rsidR="00EF4462" w:rsidRPr="00AD3B49">
        <w:rPr>
          <w:sz w:val="22"/>
          <w:szCs w:val="22"/>
          <w:lang w:val="sr-Latn-ME"/>
        </w:rPr>
        <w:t>pacijente</w:t>
      </w:r>
      <w:r w:rsidRPr="00AD3B49">
        <w:rPr>
          <w:sz w:val="22"/>
          <w:szCs w:val="22"/>
          <w:lang w:val="sr-Latn-ME"/>
        </w:rPr>
        <w:t xml:space="preserve"> kod kojih dođe do pada nivoa odgovora može biti korisno povećanje učestalosti doziranja na 40 mg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svake </w:t>
      </w:r>
      <w:r w:rsidR="000B016F" w:rsidRPr="00AD3B49">
        <w:rPr>
          <w:sz w:val="22"/>
          <w:szCs w:val="22"/>
          <w:lang w:val="sr-Latn-ME"/>
        </w:rPr>
        <w:t>nedjelje</w:t>
      </w:r>
      <w:r w:rsidRPr="00AD3B49">
        <w:rPr>
          <w:sz w:val="22"/>
          <w:szCs w:val="22"/>
          <w:lang w:val="sr-Latn-ME"/>
        </w:rPr>
        <w:t xml:space="preserve">. </w:t>
      </w:r>
    </w:p>
    <w:p w:rsidR="00D75D97" w:rsidRPr="00AD3B49" w:rsidRDefault="00D75D97" w:rsidP="00EF4462">
      <w:pPr>
        <w:pStyle w:val="Default"/>
        <w:jc w:val="both"/>
        <w:rPr>
          <w:rFonts w:ascii="Times New Roman" w:hAnsi="Times New Roman" w:cs="Times New Roman"/>
          <w:color w:val="auto"/>
          <w:sz w:val="16"/>
          <w:szCs w:val="16"/>
          <w:lang w:val="sr-Latn-ME"/>
        </w:rPr>
      </w:pPr>
    </w:p>
    <w:p w:rsidR="00D75D97" w:rsidRPr="00AD3B49" w:rsidRDefault="00D75D97" w:rsidP="00EF4462">
      <w:pPr>
        <w:jc w:val="both"/>
        <w:rPr>
          <w:sz w:val="22"/>
          <w:szCs w:val="22"/>
          <w:lang w:val="sr-Latn-ME"/>
        </w:rPr>
      </w:pPr>
      <w:r w:rsidRPr="00AD3B49">
        <w:rPr>
          <w:sz w:val="22"/>
          <w:szCs w:val="22"/>
          <w:lang w:val="sr-Latn-ME"/>
        </w:rPr>
        <w:t>Za neke</w:t>
      </w:r>
      <w:r w:rsidR="00EF4462" w:rsidRPr="00AD3B49">
        <w:rPr>
          <w:sz w:val="22"/>
          <w:szCs w:val="22"/>
          <w:lang w:val="sr-Latn-ME"/>
        </w:rPr>
        <w:t xml:space="preserve"> pacijente</w:t>
      </w:r>
      <w:r w:rsidRPr="00AD3B49">
        <w:rPr>
          <w:sz w:val="22"/>
          <w:szCs w:val="22"/>
          <w:lang w:val="sr-Latn-ME"/>
        </w:rPr>
        <w:t xml:space="preserve"> kod kojih nije postignut odgovor do četvrte </w:t>
      </w:r>
      <w:r w:rsidR="000B016F" w:rsidRPr="00AD3B49">
        <w:rPr>
          <w:sz w:val="22"/>
          <w:szCs w:val="22"/>
          <w:lang w:val="sr-Latn-ME"/>
        </w:rPr>
        <w:t>nedjelje</w:t>
      </w:r>
      <w:r w:rsidRPr="00AD3B49">
        <w:rPr>
          <w:sz w:val="22"/>
          <w:szCs w:val="22"/>
          <w:lang w:val="sr-Latn-ME"/>
        </w:rPr>
        <w:t xml:space="preserve"> može biti korisno primijeniti terapi</w:t>
      </w:r>
      <w:r w:rsidR="00EF4462" w:rsidRPr="00AD3B49">
        <w:rPr>
          <w:sz w:val="22"/>
          <w:szCs w:val="22"/>
          <w:lang w:val="sr-Latn-ME"/>
        </w:rPr>
        <w:t xml:space="preserve">ju održavanja sve do dvanaeste </w:t>
      </w:r>
      <w:r w:rsidR="000B016F" w:rsidRPr="00AD3B49">
        <w:rPr>
          <w:sz w:val="22"/>
          <w:szCs w:val="22"/>
          <w:lang w:val="sr-Latn-ME"/>
        </w:rPr>
        <w:t>nedjelje</w:t>
      </w:r>
      <w:r w:rsidRPr="00AD3B49">
        <w:rPr>
          <w:sz w:val="22"/>
          <w:szCs w:val="22"/>
          <w:lang w:val="sr-Latn-ME"/>
        </w:rPr>
        <w:t xml:space="preserve">. Ako se unutar tog razdoblja ne postigne terapijski odgovor, potrebno je </w:t>
      </w:r>
      <w:r w:rsidR="00D67D4D" w:rsidRPr="00AD3B49">
        <w:rPr>
          <w:sz w:val="22"/>
          <w:szCs w:val="22"/>
          <w:lang w:val="sr-Latn-ME"/>
        </w:rPr>
        <w:t>pažljivo</w:t>
      </w:r>
      <w:r w:rsidRPr="00AD3B49">
        <w:rPr>
          <w:sz w:val="22"/>
          <w:szCs w:val="22"/>
          <w:lang w:val="sr-Latn-ME"/>
        </w:rPr>
        <w:t xml:space="preserve"> razmotriti nastavak liječenja takvog </w:t>
      </w:r>
      <w:r w:rsidR="00EF4462" w:rsidRPr="00AD3B49">
        <w:rPr>
          <w:sz w:val="22"/>
          <w:szCs w:val="22"/>
          <w:lang w:val="sr-Latn-ME"/>
        </w:rPr>
        <w:t>pacijenta</w:t>
      </w:r>
      <w:r w:rsidRPr="00AD3B49">
        <w:rPr>
          <w:sz w:val="22"/>
          <w:szCs w:val="22"/>
          <w:lang w:val="sr-Latn-ME"/>
        </w:rPr>
        <w:t xml:space="preserve">. </w:t>
      </w:r>
    </w:p>
    <w:p w:rsidR="00D75D97" w:rsidRPr="00AD3B49" w:rsidRDefault="00D75D97" w:rsidP="00D75D97">
      <w:pPr>
        <w:rPr>
          <w:sz w:val="22"/>
          <w:szCs w:val="22"/>
          <w:u w:val="single"/>
          <w:lang w:val="sr-Latn-ME"/>
        </w:rPr>
      </w:pPr>
    </w:p>
    <w:p w:rsidR="00D75D97" w:rsidRPr="00AD3B49" w:rsidRDefault="00D75D97" w:rsidP="00D75D97">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Ulcerozni kolitis</w:t>
      </w:r>
    </w:p>
    <w:p w:rsidR="00D75D97" w:rsidRPr="00AD3B49" w:rsidRDefault="00D75D97" w:rsidP="00EF4462">
      <w:pPr>
        <w:jc w:val="both"/>
        <w:rPr>
          <w:sz w:val="22"/>
          <w:szCs w:val="22"/>
          <w:lang w:val="sr-Latn-ME"/>
        </w:rPr>
      </w:pPr>
      <w:r w:rsidRPr="00AD3B49">
        <w:rPr>
          <w:sz w:val="22"/>
          <w:szCs w:val="22"/>
          <w:lang w:val="sr-Latn-ME"/>
        </w:rPr>
        <w:t xml:space="preserve">Preporučeni indukcioni dozni režim za </w:t>
      </w:r>
      <w:r w:rsidR="00C10995" w:rsidRPr="00AD3B49">
        <w:rPr>
          <w:sz w:val="22"/>
          <w:szCs w:val="22"/>
          <w:lang w:val="sr-Latn-ME"/>
        </w:rPr>
        <w:t xml:space="preserve">lijek </w:t>
      </w:r>
      <w:r w:rsidRPr="00AD3B49">
        <w:rPr>
          <w:sz w:val="22"/>
          <w:szCs w:val="22"/>
          <w:lang w:val="sr-Latn-ME"/>
        </w:rPr>
        <w:t>Humir</w:t>
      </w:r>
      <w:r w:rsidR="00C10995" w:rsidRPr="00AD3B49">
        <w:rPr>
          <w:sz w:val="22"/>
          <w:szCs w:val="22"/>
          <w:lang w:val="sr-Latn-ME"/>
        </w:rPr>
        <w:t>a</w:t>
      </w:r>
      <w:r w:rsidR="00EF4462" w:rsidRPr="00AD3B49">
        <w:rPr>
          <w:sz w:val="22"/>
          <w:szCs w:val="22"/>
          <w:lang w:val="sr-Latn-ME"/>
        </w:rPr>
        <w:t xml:space="preserve"> kod</w:t>
      </w:r>
      <w:r w:rsidRPr="00AD3B49">
        <w:rPr>
          <w:sz w:val="22"/>
          <w:szCs w:val="22"/>
          <w:lang w:val="sr-Latn-ME"/>
        </w:rPr>
        <w:t xml:space="preserve"> odraslih </w:t>
      </w:r>
      <w:r w:rsidR="00EF4462" w:rsidRPr="00AD3B49">
        <w:rPr>
          <w:sz w:val="22"/>
          <w:szCs w:val="22"/>
          <w:lang w:val="sr-Latn-ME"/>
        </w:rPr>
        <w:t>pacijenata</w:t>
      </w:r>
      <w:r w:rsidRPr="00AD3B49">
        <w:rPr>
          <w:sz w:val="22"/>
          <w:szCs w:val="22"/>
          <w:lang w:val="sr-Latn-ME"/>
        </w:rPr>
        <w:t xml:space="preserve"> s umjerenim do teškim ulceroznim kolitisom je 160 mg u nultoj </w:t>
      </w:r>
      <w:r w:rsidR="000B016F" w:rsidRPr="00AD3B49">
        <w:rPr>
          <w:sz w:val="22"/>
          <w:szCs w:val="22"/>
          <w:lang w:val="sr-Latn-ME"/>
        </w:rPr>
        <w:t>nedjelji</w:t>
      </w:r>
      <w:r w:rsidRPr="00AD3B49">
        <w:rPr>
          <w:sz w:val="22"/>
          <w:szCs w:val="22"/>
          <w:lang w:val="sr-Latn-ME"/>
        </w:rPr>
        <w:t xml:space="preserve"> (doza se može primijeniti u vidu četiri injekcije u jednom danu ili po dvije injekcije dnevno tokom dva uzastopna dana) i 80 mg u drugoj </w:t>
      </w:r>
      <w:r w:rsidR="000B016F" w:rsidRPr="00AD3B49">
        <w:rPr>
          <w:sz w:val="22"/>
          <w:szCs w:val="22"/>
          <w:lang w:val="sr-Latn-ME"/>
        </w:rPr>
        <w:t>nedjelji</w:t>
      </w:r>
      <w:r w:rsidRPr="00AD3B49">
        <w:rPr>
          <w:sz w:val="22"/>
          <w:szCs w:val="22"/>
          <w:lang w:val="sr-Latn-ME"/>
        </w:rPr>
        <w:t xml:space="preserve">. Nakon indukcionog liječenja, preporučena doza je 40 mg svake druge </w:t>
      </w:r>
      <w:r w:rsidR="000B016F" w:rsidRPr="00AD3B49">
        <w:rPr>
          <w:sz w:val="22"/>
          <w:szCs w:val="22"/>
          <w:lang w:val="sr-Latn-ME"/>
        </w:rPr>
        <w:t>nedjelje</w:t>
      </w:r>
      <w:r w:rsidRPr="00AD3B49">
        <w:rPr>
          <w:sz w:val="22"/>
          <w:szCs w:val="22"/>
          <w:lang w:val="sr-Latn-ME"/>
        </w:rPr>
        <w:t xml:space="preserve"> supkutanom injekcijom. </w:t>
      </w:r>
    </w:p>
    <w:p w:rsidR="00D75D97" w:rsidRPr="00AD3B49" w:rsidRDefault="00D75D97" w:rsidP="00EF4462">
      <w:pPr>
        <w:jc w:val="both"/>
        <w:rPr>
          <w:sz w:val="22"/>
          <w:szCs w:val="22"/>
          <w:lang w:val="sr-Latn-ME"/>
        </w:rPr>
      </w:pPr>
    </w:p>
    <w:p w:rsidR="00D75D97" w:rsidRPr="00AD3B49" w:rsidRDefault="00D75D97" w:rsidP="00EF4462">
      <w:pPr>
        <w:autoSpaceDE w:val="0"/>
        <w:autoSpaceDN w:val="0"/>
        <w:adjustRightInd w:val="0"/>
        <w:jc w:val="both"/>
        <w:rPr>
          <w:sz w:val="22"/>
          <w:szCs w:val="22"/>
          <w:lang w:val="sr-Latn-ME"/>
        </w:rPr>
      </w:pPr>
      <w:r w:rsidRPr="00AD3B49">
        <w:rPr>
          <w:sz w:val="22"/>
          <w:szCs w:val="22"/>
          <w:lang w:val="sr-Latn-ME"/>
        </w:rPr>
        <w:t xml:space="preserve">Tokom terapije održavanja, moguće je smanjiti dozu kortikosteroida u skladu sa smjernicama kliničke prakse. </w:t>
      </w:r>
    </w:p>
    <w:p w:rsidR="00D75D97" w:rsidRPr="00AD3B49" w:rsidRDefault="00D75D97" w:rsidP="00EF4462">
      <w:pPr>
        <w:autoSpaceDE w:val="0"/>
        <w:autoSpaceDN w:val="0"/>
        <w:adjustRightInd w:val="0"/>
        <w:jc w:val="both"/>
        <w:rPr>
          <w:sz w:val="22"/>
          <w:szCs w:val="22"/>
          <w:lang w:val="sr-Latn-ME"/>
        </w:rPr>
      </w:pPr>
    </w:p>
    <w:p w:rsidR="00D75D97" w:rsidRPr="00AD3B49" w:rsidRDefault="00D75D97" w:rsidP="00EF4462">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Za neke </w:t>
      </w:r>
      <w:r w:rsidR="00EF4462" w:rsidRPr="00AD3B49">
        <w:rPr>
          <w:rFonts w:ascii="Times New Roman" w:hAnsi="Times New Roman" w:cs="Times New Roman"/>
          <w:color w:val="auto"/>
          <w:sz w:val="22"/>
          <w:szCs w:val="22"/>
          <w:lang w:val="sr-Latn-ME"/>
        </w:rPr>
        <w:t>pacijente</w:t>
      </w:r>
      <w:r w:rsidRPr="00AD3B49">
        <w:rPr>
          <w:rFonts w:ascii="Times New Roman" w:hAnsi="Times New Roman" w:cs="Times New Roman"/>
          <w:color w:val="auto"/>
          <w:sz w:val="22"/>
          <w:szCs w:val="22"/>
          <w:lang w:val="sr-Latn-ME"/>
        </w:rPr>
        <w:t xml:space="preserve"> kod kojih dođe do pada nivoa odgovora može biti korisno povećanje učestalosti doziranja na 40 mg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svake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w:t>
      </w:r>
    </w:p>
    <w:p w:rsidR="00D75D97" w:rsidRPr="00AD3B49" w:rsidRDefault="00D75D97" w:rsidP="00EF4462">
      <w:pPr>
        <w:jc w:val="both"/>
        <w:rPr>
          <w:sz w:val="22"/>
          <w:szCs w:val="22"/>
          <w:lang w:val="sr-Latn-ME"/>
        </w:rPr>
      </w:pPr>
    </w:p>
    <w:p w:rsidR="00D75D97" w:rsidRPr="00AD3B49" w:rsidRDefault="00D75D97" w:rsidP="00EF4462">
      <w:pPr>
        <w:jc w:val="both"/>
        <w:rPr>
          <w:sz w:val="22"/>
          <w:szCs w:val="22"/>
          <w:lang w:val="sr-Latn-ME"/>
        </w:rPr>
      </w:pPr>
      <w:r w:rsidRPr="00AD3B49">
        <w:rPr>
          <w:sz w:val="22"/>
          <w:szCs w:val="22"/>
          <w:lang w:val="sr-Latn-ME"/>
        </w:rPr>
        <w:t xml:space="preserve">Postojeći podaci pokazuju da se klinički odgovor obično postiže od 2 do 8 </w:t>
      </w:r>
      <w:r w:rsidR="000B016F" w:rsidRPr="00AD3B49">
        <w:rPr>
          <w:sz w:val="22"/>
          <w:szCs w:val="22"/>
          <w:lang w:val="sr-Latn-ME"/>
        </w:rPr>
        <w:t>nedjelja</w:t>
      </w:r>
      <w:r w:rsidRPr="00AD3B49">
        <w:rPr>
          <w:sz w:val="22"/>
          <w:szCs w:val="22"/>
          <w:lang w:val="sr-Latn-ME"/>
        </w:rPr>
        <w:t xml:space="preserve"> liječenja. Terapija </w:t>
      </w:r>
      <w:r w:rsidR="00884C20" w:rsidRPr="00AD3B49">
        <w:rPr>
          <w:sz w:val="22"/>
          <w:szCs w:val="22"/>
          <w:lang w:val="sr-Latn-ME"/>
        </w:rPr>
        <w:t xml:space="preserve">lijekom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ne smije se nastaviti </w:t>
      </w:r>
      <w:r w:rsidR="00EF4462" w:rsidRPr="00AD3B49">
        <w:rPr>
          <w:sz w:val="22"/>
          <w:szCs w:val="22"/>
          <w:lang w:val="sr-Latn-ME"/>
        </w:rPr>
        <w:t>kod pacijenata</w:t>
      </w:r>
      <w:r w:rsidRPr="00AD3B49">
        <w:rPr>
          <w:sz w:val="22"/>
          <w:szCs w:val="22"/>
          <w:lang w:val="sr-Latn-ME"/>
        </w:rPr>
        <w:t xml:space="preserve"> kod kojih taj odgovor nije postignut u okviru navedenog vremenskog perioda. </w:t>
      </w:r>
    </w:p>
    <w:p w:rsidR="00D75D97" w:rsidRPr="00AD3B49" w:rsidRDefault="00D75D97" w:rsidP="00D75D97">
      <w:pPr>
        <w:rPr>
          <w:sz w:val="22"/>
          <w:szCs w:val="22"/>
          <w:lang w:val="sr-Latn-ME"/>
        </w:rPr>
      </w:pPr>
    </w:p>
    <w:p w:rsidR="00D75D97" w:rsidRPr="00AD3B49" w:rsidRDefault="00D75D97" w:rsidP="00D75D97">
      <w:pPr>
        <w:rPr>
          <w:sz w:val="22"/>
          <w:szCs w:val="22"/>
          <w:u w:val="single"/>
          <w:lang w:val="sr-Latn-ME"/>
        </w:rPr>
      </w:pPr>
      <w:r w:rsidRPr="00AD3B49">
        <w:rPr>
          <w:sz w:val="22"/>
          <w:szCs w:val="22"/>
          <w:u w:val="single"/>
          <w:lang w:val="sr-Latn-ME"/>
        </w:rPr>
        <w:t xml:space="preserve">Stariji </w:t>
      </w:r>
      <w:r w:rsidR="003D3610" w:rsidRPr="00AD3B49">
        <w:rPr>
          <w:sz w:val="22"/>
          <w:szCs w:val="22"/>
          <w:u w:val="single"/>
          <w:lang w:val="sr-Latn-ME"/>
        </w:rPr>
        <w:t>pacijenti</w:t>
      </w:r>
    </w:p>
    <w:p w:rsidR="00D75D97" w:rsidRPr="00AD3B49" w:rsidRDefault="00D75D97" w:rsidP="00D75D97">
      <w:pPr>
        <w:rPr>
          <w:sz w:val="22"/>
          <w:szCs w:val="22"/>
          <w:lang w:val="sr-Latn-ME"/>
        </w:rPr>
      </w:pPr>
      <w:r w:rsidRPr="00AD3B49">
        <w:rPr>
          <w:sz w:val="22"/>
          <w:szCs w:val="22"/>
          <w:lang w:val="sr-Latn-ME"/>
        </w:rPr>
        <w:t xml:space="preserve">Nije potrebno prilagođavanje doze. </w:t>
      </w:r>
    </w:p>
    <w:p w:rsidR="006A14EC" w:rsidRPr="00AD3B49" w:rsidRDefault="006A14EC" w:rsidP="00D75D97">
      <w:pPr>
        <w:rPr>
          <w:sz w:val="22"/>
          <w:szCs w:val="22"/>
          <w:lang w:val="sr-Latn-ME"/>
        </w:rPr>
      </w:pPr>
    </w:p>
    <w:p w:rsidR="006A14EC" w:rsidRPr="00AD3B49" w:rsidRDefault="006A14EC" w:rsidP="006A14EC">
      <w:pPr>
        <w:pStyle w:val="Default"/>
        <w:ind w:left="567" w:hanging="567"/>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Oštećenje funkcije bubrega i/ili jetre</w:t>
      </w:r>
    </w:p>
    <w:p w:rsidR="006A14EC" w:rsidRPr="00AD3B49" w:rsidRDefault="006A14EC" w:rsidP="006A14EC">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Nije ispitivano djelovanje </w:t>
      </w:r>
      <w:r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 xml:space="preserve">Humira u ovoj grupi pacijenata, te se ne mogu dati preporuke za doziranje. </w:t>
      </w:r>
    </w:p>
    <w:p w:rsidR="00A3115F" w:rsidRPr="00AD3B49" w:rsidRDefault="00A3115F" w:rsidP="00A3115F">
      <w:pPr>
        <w:pStyle w:val="Default"/>
        <w:jc w:val="both"/>
        <w:rPr>
          <w:rFonts w:ascii="Times New Roman" w:hAnsi="Times New Roman" w:cs="Times New Roman"/>
          <w:color w:val="auto"/>
          <w:sz w:val="22"/>
          <w:szCs w:val="22"/>
          <w:lang w:val="sr-Latn-ME"/>
        </w:rPr>
      </w:pPr>
    </w:p>
    <w:p w:rsidR="00A3115F" w:rsidRPr="00AD3B49" w:rsidRDefault="00A3115F" w:rsidP="00A3115F">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Pedijatrijska populacija</w:t>
      </w:r>
    </w:p>
    <w:p w:rsidR="00EF4462" w:rsidRPr="00AD3B49" w:rsidRDefault="00EF4462" w:rsidP="00A3115F">
      <w:pPr>
        <w:pStyle w:val="Default"/>
        <w:jc w:val="both"/>
        <w:rPr>
          <w:rFonts w:ascii="Times New Roman" w:hAnsi="Times New Roman" w:cs="Times New Roman"/>
          <w:sz w:val="22"/>
          <w:szCs w:val="22"/>
          <w:u w:val="single"/>
          <w:lang w:val="sr-Latn-ME"/>
        </w:rPr>
      </w:pPr>
    </w:p>
    <w:p w:rsidR="00EF4462" w:rsidRPr="00AD3B49" w:rsidRDefault="00EF4462" w:rsidP="00EF4462">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Poliartikularni juvenilni idiopatski artritis</w:t>
      </w:r>
    </w:p>
    <w:p w:rsidR="00A3115F" w:rsidRPr="00AD3B49" w:rsidRDefault="00A3115F" w:rsidP="00A3115F">
      <w:pPr>
        <w:pStyle w:val="Default"/>
        <w:jc w:val="both"/>
        <w:rPr>
          <w:rFonts w:ascii="Times New Roman" w:hAnsi="Times New Roman" w:cs="Times New Roman"/>
          <w:sz w:val="22"/>
          <w:szCs w:val="22"/>
          <w:u w:val="single"/>
          <w:lang w:val="sr-Latn-ME"/>
        </w:rPr>
      </w:pPr>
      <w:bookmarkStart w:id="0" w:name="OLE_LINK1"/>
      <w:bookmarkStart w:id="1" w:name="OLE_LINK2"/>
    </w:p>
    <w:bookmarkEnd w:id="0"/>
    <w:bookmarkEnd w:id="1"/>
    <w:p w:rsidR="00A3115F" w:rsidRPr="00AD3B49" w:rsidRDefault="00A3115F" w:rsidP="00A3115F">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u w:val="single"/>
          <w:lang w:val="sr-Latn-ME"/>
        </w:rPr>
        <w:t>Poliartikularni juvenilni idiopatski ar</w:t>
      </w:r>
      <w:r w:rsidR="00EF4462" w:rsidRPr="00AD3B49">
        <w:rPr>
          <w:rFonts w:ascii="Times New Roman" w:hAnsi="Times New Roman" w:cs="Times New Roman"/>
          <w:sz w:val="22"/>
          <w:szCs w:val="22"/>
          <w:u w:val="single"/>
          <w:lang w:val="sr-Latn-ME"/>
        </w:rPr>
        <w:t xml:space="preserve">tritis u dobi </w:t>
      </w:r>
      <w:r w:rsidR="007A7B4F" w:rsidRPr="00AD3B49">
        <w:rPr>
          <w:rFonts w:ascii="Times New Roman" w:hAnsi="Times New Roman" w:cs="Times New Roman"/>
          <w:color w:val="auto"/>
          <w:sz w:val="22"/>
          <w:szCs w:val="22"/>
          <w:u w:val="single"/>
          <w:lang w:val="sr-Latn-ME"/>
        </w:rPr>
        <w:t>2</w:t>
      </w:r>
      <w:r w:rsidRPr="00AD3B49">
        <w:rPr>
          <w:rFonts w:ascii="Times New Roman" w:hAnsi="Times New Roman" w:cs="Times New Roman"/>
          <w:sz w:val="22"/>
          <w:szCs w:val="22"/>
          <w:u w:val="single"/>
          <w:lang w:val="sr-Latn-ME"/>
        </w:rPr>
        <w:t xml:space="preserve"> do 12 godina:</w:t>
      </w:r>
    </w:p>
    <w:p w:rsidR="00A3115F" w:rsidRPr="00AD3B49" w:rsidRDefault="00A3115F" w:rsidP="00A3115F">
      <w:pPr>
        <w:pStyle w:val="Default"/>
        <w:jc w:val="both"/>
        <w:rPr>
          <w:rFonts w:ascii="Times New Roman" w:hAnsi="Times New Roman" w:cs="Times New Roman"/>
          <w:sz w:val="22"/>
          <w:szCs w:val="22"/>
          <w:lang w:val="sr-Latn-ME"/>
        </w:rPr>
      </w:pPr>
    </w:p>
    <w:p w:rsidR="009E4BFE" w:rsidRPr="00AD3B49" w:rsidRDefault="008F6524" w:rsidP="008F6524">
      <w:pPr>
        <w:jc w:val="both"/>
        <w:rPr>
          <w:sz w:val="22"/>
          <w:szCs w:val="22"/>
          <w:lang w:val="sr-Latn-ME"/>
        </w:rPr>
      </w:pPr>
      <w:r w:rsidRPr="00AD3B49">
        <w:rPr>
          <w:sz w:val="22"/>
          <w:szCs w:val="22"/>
          <w:lang w:val="sr-Latn-ME"/>
        </w:rPr>
        <w:t xml:space="preserve">Preporučena doza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za pacijente s poliartikularnim juvenilnim idiopatskim artritisom u dobi 2-12 godina je 24 mg/m² tjelesne površine do maksimalne pojedinačne doze od 20 mg adalimumaba (za pacijente u dobi od 2 - &lt; 4) </w:t>
      </w:r>
      <w:r w:rsidR="006A14EC" w:rsidRPr="00AD3B49">
        <w:rPr>
          <w:sz w:val="22"/>
          <w:szCs w:val="22"/>
          <w:lang w:val="sr-Latn-ME"/>
        </w:rPr>
        <w:t xml:space="preserve">i </w:t>
      </w:r>
      <w:r w:rsidRPr="00AD3B49">
        <w:rPr>
          <w:sz w:val="22"/>
          <w:szCs w:val="22"/>
          <w:lang w:val="sr-Latn-ME"/>
        </w:rPr>
        <w:t xml:space="preserve">do maksimalne pojedinačne doze od 40 mg adalimumaba (za pacijente u dobi od 4-12) svake druge </w:t>
      </w:r>
      <w:r w:rsidR="000B016F" w:rsidRPr="00AD3B49">
        <w:rPr>
          <w:sz w:val="22"/>
          <w:szCs w:val="22"/>
          <w:lang w:val="sr-Latn-ME"/>
        </w:rPr>
        <w:t>nedjelje</w:t>
      </w:r>
      <w:r w:rsidRPr="00AD3B49">
        <w:rPr>
          <w:sz w:val="22"/>
          <w:szCs w:val="22"/>
          <w:lang w:val="sr-Latn-ME"/>
        </w:rPr>
        <w:t xml:space="preserve"> </w:t>
      </w:r>
      <w:r w:rsidR="00AE66DE" w:rsidRPr="00AD3B49">
        <w:rPr>
          <w:sz w:val="22"/>
          <w:szCs w:val="22"/>
          <w:lang w:val="sr-Latn-ME"/>
        </w:rPr>
        <w:t>supkutan</w:t>
      </w:r>
      <w:r w:rsidRPr="00AD3B49">
        <w:rPr>
          <w:sz w:val="22"/>
          <w:szCs w:val="22"/>
          <w:lang w:val="sr-Latn-ME"/>
        </w:rPr>
        <w:t xml:space="preserve">om injekcijom. Zapremina za </w:t>
      </w:r>
      <w:r w:rsidRPr="00AD3B49">
        <w:rPr>
          <w:sz w:val="22"/>
          <w:szCs w:val="22"/>
          <w:lang w:val="sr-Latn-ME"/>
        </w:rPr>
        <w:lastRenderedPageBreak/>
        <w:t xml:space="preserve">injekciju se određuje na osnovu visine i težine pacijenata (Tabela 1).  </w:t>
      </w:r>
      <w:r w:rsidR="009E4BFE" w:rsidRPr="00AD3B49">
        <w:rPr>
          <w:sz w:val="22"/>
          <w:szCs w:val="22"/>
          <w:lang w:val="sr-Latn-ME"/>
        </w:rPr>
        <w:t>Dostupna je pedijatrijska bočica od 40 mg za pa</w:t>
      </w:r>
      <w:r w:rsidRPr="00AD3B49">
        <w:rPr>
          <w:sz w:val="22"/>
          <w:szCs w:val="22"/>
          <w:lang w:val="sr-Latn-ME"/>
        </w:rPr>
        <w:t xml:space="preserve">cijente koji trebaju primiti </w:t>
      </w:r>
      <w:r w:rsidR="009E4BFE" w:rsidRPr="00AD3B49">
        <w:rPr>
          <w:sz w:val="22"/>
          <w:szCs w:val="22"/>
          <w:lang w:val="sr-Latn-ME"/>
        </w:rPr>
        <w:t xml:space="preserve">manje od cijele doze od 40 mg. </w:t>
      </w:r>
    </w:p>
    <w:p w:rsidR="00A3115F" w:rsidRPr="00AD3B49" w:rsidRDefault="00A3115F" w:rsidP="00F91776">
      <w:pPr>
        <w:jc w:val="both"/>
        <w:rPr>
          <w:sz w:val="22"/>
          <w:szCs w:val="22"/>
          <w:lang w:val="sr-Latn-ME"/>
        </w:rPr>
      </w:pPr>
    </w:p>
    <w:p w:rsidR="00A3115F" w:rsidRPr="00AD3B49" w:rsidRDefault="00A3115F" w:rsidP="00A3115F">
      <w:pPr>
        <w:ind w:left="567" w:hanging="567"/>
        <w:jc w:val="both"/>
        <w:rPr>
          <w:b/>
          <w:sz w:val="22"/>
          <w:szCs w:val="22"/>
          <w:lang w:val="sr-Latn-ME"/>
        </w:rPr>
      </w:pPr>
      <w:r w:rsidRPr="00AD3B49">
        <w:rPr>
          <w:b/>
          <w:sz w:val="22"/>
          <w:szCs w:val="22"/>
          <w:lang w:val="sr-Latn-ME"/>
        </w:rPr>
        <w:t xml:space="preserve">Tabela1. Doza </w:t>
      </w:r>
      <w:r w:rsidR="0082613A" w:rsidRPr="00AD3B49">
        <w:rPr>
          <w:b/>
          <w:sz w:val="22"/>
          <w:szCs w:val="22"/>
          <w:lang w:val="sr-Latn-ME"/>
        </w:rPr>
        <w:t xml:space="preserve">lijeka </w:t>
      </w:r>
      <w:r w:rsidRPr="00AD3B49">
        <w:rPr>
          <w:b/>
          <w:sz w:val="22"/>
          <w:szCs w:val="22"/>
          <w:lang w:val="sr-Latn-ME"/>
        </w:rPr>
        <w:t>Humir</w:t>
      </w:r>
      <w:r w:rsidR="0082613A" w:rsidRPr="00AD3B49">
        <w:rPr>
          <w:b/>
          <w:sz w:val="22"/>
          <w:szCs w:val="22"/>
          <w:lang w:val="sr-Latn-ME"/>
        </w:rPr>
        <w:t>a</w:t>
      </w:r>
      <w:r w:rsidRPr="00AD3B49">
        <w:rPr>
          <w:b/>
          <w:sz w:val="22"/>
          <w:szCs w:val="22"/>
          <w:lang w:val="sr-Latn-ME"/>
        </w:rPr>
        <w:t xml:space="preserve"> u mililitrima (ml) prema visini i težini djeteta za poliartikularni </w:t>
      </w:r>
    </w:p>
    <w:p w:rsidR="00A3115F" w:rsidRPr="00AD3B49" w:rsidRDefault="00A3115F" w:rsidP="00A3115F">
      <w:pPr>
        <w:ind w:left="567" w:hanging="567"/>
        <w:jc w:val="both"/>
        <w:rPr>
          <w:b/>
          <w:sz w:val="22"/>
          <w:szCs w:val="22"/>
          <w:lang w:val="sr-Latn-ME"/>
        </w:rPr>
      </w:pPr>
      <w:r w:rsidRPr="00AD3B49">
        <w:rPr>
          <w:b/>
          <w:sz w:val="22"/>
          <w:szCs w:val="22"/>
          <w:lang w:val="sr-Latn-ME"/>
        </w:rPr>
        <w:t xml:space="preserve">juvenilni idiopatski artritis </w:t>
      </w:r>
    </w:p>
    <w:p w:rsidR="00A3115F" w:rsidRPr="00AD3B49" w:rsidRDefault="00A3115F" w:rsidP="00A3115F">
      <w:pPr>
        <w:ind w:left="567" w:hanging="567"/>
        <w:jc w:val="both"/>
        <w:rPr>
          <w:sz w:val="22"/>
          <w:szCs w:val="22"/>
          <w:lang w:val="sr-Latn-ME"/>
        </w:rPr>
      </w:pP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634"/>
        <w:gridCol w:w="633"/>
        <w:gridCol w:w="633"/>
        <w:gridCol w:w="632"/>
        <w:gridCol w:w="632"/>
        <w:gridCol w:w="632"/>
        <w:gridCol w:w="632"/>
        <w:gridCol w:w="666"/>
        <w:gridCol w:w="667"/>
        <w:gridCol w:w="667"/>
        <w:gridCol w:w="667"/>
        <w:gridCol w:w="667"/>
        <w:gridCol w:w="667"/>
      </w:tblGrid>
      <w:tr w:rsidR="00A3115F" w:rsidRPr="00AD3B49" w:rsidTr="005D003D">
        <w:trPr>
          <w:trHeight w:val="247"/>
        </w:trPr>
        <w:tc>
          <w:tcPr>
            <w:tcW w:w="849" w:type="dxa"/>
            <w:vMerge w:val="restart"/>
          </w:tcPr>
          <w:p w:rsidR="00A3115F" w:rsidRPr="00AD3B49" w:rsidRDefault="00A3115F" w:rsidP="005D003D">
            <w:pPr>
              <w:jc w:val="both"/>
              <w:rPr>
                <w:b/>
                <w:color w:val="000000"/>
                <w:sz w:val="22"/>
                <w:szCs w:val="22"/>
                <w:lang w:val="sr-Latn-ME"/>
              </w:rPr>
            </w:pPr>
            <w:r w:rsidRPr="00AD3B49">
              <w:rPr>
                <w:b/>
                <w:color w:val="000000"/>
                <w:sz w:val="22"/>
                <w:szCs w:val="22"/>
                <w:lang w:val="sr-Latn-ME"/>
              </w:rPr>
              <w:t>Visina (cm)</w:t>
            </w:r>
          </w:p>
        </w:tc>
        <w:tc>
          <w:tcPr>
            <w:tcW w:w="8428" w:type="dxa"/>
            <w:gridSpan w:val="13"/>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Ukupna tjelesna težina (kg)</w:t>
            </w:r>
          </w:p>
        </w:tc>
      </w:tr>
      <w:tr w:rsidR="00A3115F" w:rsidRPr="00AD3B49" w:rsidTr="005D003D">
        <w:trPr>
          <w:trHeight w:val="148"/>
        </w:trPr>
        <w:tc>
          <w:tcPr>
            <w:tcW w:w="849" w:type="dxa"/>
            <w:vMerge/>
          </w:tcPr>
          <w:p w:rsidR="00A3115F" w:rsidRPr="00AD3B49" w:rsidRDefault="00A3115F" w:rsidP="005D003D">
            <w:pPr>
              <w:ind w:left="567" w:hanging="567"/>
              <w:jc w:val="both"/>
              <w:rPr>
                <w:b/>
                <w:color w:val="000000"/>
                <w:sz w:val="22"/>
                <w:szCs w:val="22"/>
                <w:lang w:val="sr-Latn-ME"/>
              </w:rPr>
            </w:pPr>
          </w:p>
        </w:tc>
        <w:tc>
          <w:tcPr>
            <w:tcW w:w="634" w:type="dxa"/>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10</w:t>
            </w:r>
          </w:p>
        </w:tc>
        <w:tc>
          <w:tcPr>
            <w:tcW w:w="633" w:type="dxa"/>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15</w:t>
            </w:r>
          </w:p>
        </w:tc>
        <w:tc>
          <w:tcPr>
            <w:tcW w:w="633" w:type="dxa"/>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20</w:t>
            </w:r>
          </w:p>
        </w:tc>
        <w:tc>
          <w:tcPr>
            <w:tcW w:w="632" w:type="dxa"/>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25</w:t>
            </w:r>
          </w:p>
        </w:tc>
        <w:tc>
          <w:tcPr>
            <w:tcW w:w="632" w:type="dxa"/>
            <w:tcBorders>
              <w:bottom w:val="single" w:sz="4" w:space="0" w:color="auto"/>
            </w:tcBorders>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30</w:t>
            </w:r>
          </w:p>
        </w:tc>
        <w:tc>
          <w:tcPr>
            <w:tcW w:w="632" w:type="dxa"/>
            <w:tcBorders>
              <w:bottom w:val="single" w:sz="4" w:space="0" w:color="auto"/>
            </w:tcBorders>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35</w:t>
            </w:r>
          </w:p>
        </w:tc>
        <w:tc>
          <w:tcPr>
            <w:tcW w:w="632" w:type="dxa"/>
            <w:tcBorders>
              <w:bottom w:val="single" w:sz="4" w:space="0" w:color="auto"/>
            </w:tcBorders>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40</w:t>
            </w:r>
          </w:p>
        </w:tc>
        <w:tc>
          <w:tcPr>
            <w:tcW w:w="666" w:type="dxa"/>
            <w:tcBorders>
              <w:bottom w:val="single" w:sz="4" w:space="0" w:color="auto"/>
            </w:tcBorders>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45</w:t>
            </w:r>
          </w:p>
        </w:tc>
        <w:tc>
          <w:tcPr>
            <w:tcW w:w="667" w:type="dxa"/>
            <w:tcBorders>
              <w:bottom w:val="single" w:sz="4" w:space="0" w:color="auto"/>
            </w:tcBorders>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50</w:t>
            </w:r>
          </w:p>
        </w:tc>
        <w:tc>
          <w:tcPr>
            <w:tcW w:w="667" w:type="dxa"/>
            <w:tcBorders>
              <w:bottom w:val="single" w:sz="4" w:space="0" w:color="auto"/>
            </w:tcBorders>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55</w:t>
            </w:r>
          </w:p>
        </w:tc>
        <w:tc>
          <w:tcPr>
            <w:tcW w:w="667" w:type="dxa"/>
            <w:tcBorders>
              <w:bottom w:val="single" w:sz="4" w:space="0" w:color="auto"/>
            </w:tcBorders>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60</w:t>
            </w:r>
          </w:p>
        </w:tc>
        <w:tc>
          <w:tcPr>
            <w:tcW w:w="667" w:type="dxa"/>
            <w:tcBorders>
              <w:bottom w:val="single" w:sz="4" w:space="0" w:color="auto"/>
            </w:tcBorders>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65</w:t>
            </w:r>
          </w:p>
        </w:tc>
        <w:tc>
          <w:tcPr>
            <w:tcW w:w="667" w:type="dxa"/>
            <w:tcBorders>
              <w:bottom w:val="single" w:sz="4" w:space="0" w:color="auto"/>
            </w:tcBorders>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70</w:t>
            </w:r>
          </w:p>
        </w:tc>
      </w:tr>
      <w:tr w:rsidR="00A3115F" w:rsidRPr="00AD3B49" w:rsidTr="005D003D">
        <w:trPr>
          <w:trHeight w:val="247"/>
        </w:trPr>
        <w:tc>
          <w:tcPr>
            <w:tcW w:w="849" w:type="dxa"/>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80</w:t>
            </w:r>
          </w:p>
        </w:tc>
        <w:tc>
          <w:tcPr>
            <w:tcW w:w="634"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0,2</w:t>
            </w:r>
          </w:p>
        </w:tc>
        <w:tc>
          <w:tcPr>
            <w:tcW w:w="633"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0,3</w:t>
            </w:r>
          </w:p>
        </w:tc>
        <w:tc>
          <w:tcPr>
            <w:tcW w:w="633"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0,3</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0,3</w:t>
            </w:r>
          </w:p>
        </w:tc>
        <w:tc>
          <w:tcPr>
            <w:tcW w:w="632" w:type="dxa"/>
            <w:shd w:val="solid" w:color="auto" w:fill="auto"/>
          </w:tcPr>
          <w:p w:rsidR="00A3115F" w:rsidRPr="00AD3B49" w:rsidRDefault="00A3115F" w:rsidP="005D003D">
            <w:pPr>
              <w:ind w:left="567" w:hanging="567"/>
              <w:jc w:val="both"/>
              <w:rPr>
                <w:color w:val="000000"/>
                <w:sz w:val="22"/>
                <w:szCs w:val="22"/>
                <w:lang w:val="sr-Latn-ME"/>
              </w:rPr>
            </w:pPr>
          </w:p>
        </w:tc>
        <w:tc>
          <w:tcPr>
            <w:tcW w:w="632" w:type="dxa"/>
            <w:shd w:val="solid" w:color="auto" w:fill="auto"/>
          </w:tcPr>
          <w:p w:rsidR="00A3115F" w:rsidRPr="00AD3B49" w:rsidRDefault="00A3115F" w:rsidP="005D003D">
            <w:pPr>
              <w:ind w:left="567" w:hanging="567"/>
              <w:jc w:val="both"/>
              <w:rPr>
                <w:color w:val="000000"/>
                <w:sz w:val="22"/>
                <w:szCs w:val="22"/>
                <w:lang w:val="sr-Latn-ME"/>
              </w:rPr>
            </w:pPr>
          </w:p>
        </w:tc>
        <w:tc>
          <w:tcPr>
            <w:tcW w:w="632"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c>
          <w:tcPr>
            <w:tcW w:w="666"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c>
          <w:tcPr>
            <w:tcW w:w="667"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c>
          <w:tcPr>
            <w:tcW w:w="667"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c>
          <w:tcPr>
            <w:tcW w:w="667"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c>
          <w:tcPr>
            <w:tcW w:w="667"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c>
          <w:tcPr>
            <w:tcW w:w="667"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r>
      <w:tr w:rsidR="00A3115F" w:rsidRPr="00AD3B49" w:rsidTr="005D003D">
        <w:trPr>
          <w:trHeight w:val="263"/>
        </w:trPr>
        <w:tc>
          <w:tcPr>
            <w:tcW w:w="849" w:type="dxa"/>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90</w:t>
            </w:r>
          </w:p>
        </w:tc>
        <w:tc>
          <w:tcPr>
            <w:tcW w:w="634"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0,2</w:t>
            </w:r>
          </w:p>
        </w:tc>
        <w:tc>
          <w:tcPr>
            <w:tcW w:w="633"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0,3</w:t>
            </w:r>
          </w:p>
        </w:tc>
        <w:tc>
          <w:tcPr>
            <w:tcW w:w="633"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0,3</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2" w:type="dxa"/>
            <w:shd w:val="solid" w:color="auto" w:fill="auto"/>
          </w:tcPr>
          <w:p w:rsidR="00A3115F" w:rsidRPr="00AD3B49" w:rsidRDefault="00A3115F" w:rsidP="005D003D">
            <w:pPr>
              <w:ind w:left="567" w:hanging="567"/>
              <w:jc w:val="both"/>
              <w:rPr>
                <w:color w:val="000000"/>
                <w:sz w:val="22"/>
                <w:szCs w:val="22"/>
                <w:lang w:val="sr-Latn-ME"/>
              </w:rPr>
            </w:pPr>
          </w:p>
        </w:tc>
        <w:tc>
          <w:tcPr>
            <w:tcW w:w="666" w:type="dxa"/>
            <w:shd w:val="solid" w:color="auto" w:fill="auto"/>
          </w:tcPr>
          <w:p w:rsidR="00A3115F" w:rsidRPr="00AD3B49" w:rsidRDefault="00A3115F" w:rsidP="005D003D">
            <w:pPr>
              <w:ind w:left="567" w:hanging="567"/>
              <w:jc w:val="both"/>
              <w:rPr>
                <w:color w:val="000000"/>
                <w:sz w:val="22"/>
                <w:szCs w:val="22"/>
                <w:lang w:val="sr-Latn-ME"/>
              </w:rPr>
            </w:pPr>
          </w:p>
        </w:tc>
        <w:tc>
          <w:tcPr>
            <w:tcW w:w="667"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c>
          <w:tcPr>
            <w:tcW w:w="667"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c>
          <w:tcPr>
            <w:tcW w:w="667"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c>
          <w:tcPr>
            <w:tcW w:w="667"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c>
          <w:tcPr>
            <w:tcW w:w="667"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r>
      <w:tr w:rsidR="00A3115F" w:rsidRPr="00AD3B49" w:rsidTr="005D003D">
        <w:trPr>
          <w:trHeight w:val="263"/>
        </w:trPr>
        <w:tc>
          <w:tcPr>
            <w:tcW w:w="849" w:type="dxa"/>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100</w:t>
            </w:r>
          </w:p>
        </w:tc>
        <w:tc>
          <w:tcPr>
            <w:tcW w:w="634" w:type="dxa"/>
            <w:tcBorders>
              <w:bottom w:val="single" w:sz="4" w:space="0" w:color="auto"/>
            </w:tcBorders>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0,3</w:t>
            </w:r>
          </w:p>
        </w:tc>
        <w:tc>
          <w:tcPr>
            <w:tcW w:w="633"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0,3</w:t>
            </w:r>
          </w:p>
        </w:tc>
        <w:tc>
          <w:tcPr>
            <w:tcW w:w="633"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0,3</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66"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67" w:type="dxa"/>
            <w:shd w:val="solid" w:color="auto" w:fill="auto"/>
          </w:tcPr>
          <w:p w:rsidR="00A3115F" w:rsidRPr="00AD3B49" w:rsidRDefault="00A3115F" w:rsidP="005D003D">
            <w:pPr>
              <w:ind w:left="567" w:hanging="567"/>
              <w:jc w:val="both"/>
              <w:rPr>
                <w:color w:val="000000"/>
                <w:sz w:val="22"/>
                <w:szCs w:val="22"/>
                <w:lang w:val="sr-Latn-ME"/>
              </w:rPr>
            </w:pPr>
          </w:p>
        </w:tc>
        <w:tc>
          <w:tcPr>
            <w:tcW w:w="667" w:type="dxa"/>
            <w:shd w:val="solid" w:color="auto" w:fill="auto"/>
          </w:tcPr>
          <w:p w:rsidR="00A3115F" w:rsidRPr="00AD3B49" w:rsidRDefault="00A3115F" w:rsidP="005D003D">
            <w:pPr>
              <w:ind w:left="567" w:hanging="567"/>
              <w:jc w:val="both"/>
              <w:rPr>
                <w:color w:val="000000"/>
                <w:sz w:val="22"/>
                <w:szCs w:val="22"/>
                <w:lang w:val="sr-Latn-ME"/>
              </w:rPr>
            </w:pPr>
          </w:p>
        </w:tc>
        <w:tc>
          <w:tcPr>
            <w:tcW w:w="667" w:type="dxa"/>
            <w:shd w:val="solid" w:color="auto" w:fill="auto"/>
          </w:tcPr>
          <w:p w:rsidR="00A3115F" w:rsidRPr="00AD3B49" w:rsidRDefault="00A3115F" w:rsidP="005D003D">
            <w:pPr>
              <w:ind w:left="567" w:hanging="567"/>
              <w:jc w:val="both"/>
              <w:rPr>
                <w:color w:val="000000"/>
                <w:sz w:val="22"/>
                <w:szCs w:val="22"/>
                <w:lang w:val="sr-Latn-ME"/>
              </w:rPr>
            </w:pPr>
          </w:p>
        </w:tc>
        <w:tc>
          <w:tcPr>
            <w:tcW w:w="667"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c>
          <w:tcPr>
            <w:tcW w:w="667"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r>
      <w:tr w:rsidR="00A3115F" w:rsidRPr="00AD3B49" w:rsidTr="005D003D">
        <w:trPr>
          <w:trHeight w:val="247"/>
        </w:trPr>
        <w:tc>
          <w:tcPr>
            <w:tcW w:w="849" w:type="dxa"/>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110</w:t>
            </w:r>
          </w:p>
        </w:tc>
        <w:tc>
          <w:tcPr>
            <w:tcW w:w="634" w:type="dxa"/>
            <w:tcBorders>
              <w:bottom w:val="single" w:sz="4" w:space="0" w:color="auto"/>
            </w:tcBorders>
            <w:shd w:val="clear" w:color="auto" w:fill="auto"/>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0,3</w:t>
            </w:r>
          </w:p>
        </w:tc>
        <w:tc>
          <w:tcPr>
            <w:tcW w:w="633" w:type="dxa"/>
            <w:tcBorders>
              <w:bottom w:val="single" w:sz="4" w:space="0" w:color="auto"/>
            </w:tcBorders>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0,3</w:t>
            </w:r>
          </w:p>
        </w:tc>
        <w:tc>
          <w:tcPr>
            <w:tcW w:w="633"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66"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67" w:type="dxa"/>
            <w:shd w:val="solid" w:color="auto" w:fill="auto"/>
          </w:tcPr>
          <w:p w:rsidR="00A3115F" w:rsidRPr="00AD3B49" w:rsidRDefault="00A3115F" w:rsidP="005D003D">
            <w:pPr>
              <w:ind w:left="567" w:hanging="567"/>
              <w:jc w:val="both"/>
              <w:rPr>
                <w:color w:val="000000"/>
                <w:sz w:val="22"/>
                <w:szCs w:val="22"/>
                <w:lang w:val="sr-Latn-ME"/>
              </w:rPr>
            </w:pPr>
          </w:p>
        </w:tc>
        <w:tc>
          <w:tcPr>
            <w:tcW w:w="667" w:type="dxa"/>
            <w:shd w:val="solid" w:color="auto" w:fill="auto"/>
          </w:tcPr>
          <w:p w:rsidR="00A3115F" w:rsidRPr="00AD3B49" w:rsidRDefault="00A3115F" w:rsidP="005D003D">
            <w:pPr>
              <w:ind w:left="567" w:hanging="567"/>
              <w:jc w:val="both"/>
              <w:rPr>
                <w:color w:val="000000"/>
                <w:sz w:val="22"/>
                <w:szCs w:val="22"/>
                <w:lang w:val="sr-Latn-ME"/>
              </w:rPr>
            </w:pPr>
          </w:p>
        </w:tc>
      </w:tr>
      <w:tr w:rsidR="00A3115F" w:rsidRPr="00AD3B49" w:rsidTr="005D003D">
        <w:trPr>
          <w:trHeight w:val="263"/>
        </w:trPr>
        <w:tc>
          <w:tcPr>
            <w:tcW w:w="849" w:type="dxa"/>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120</w:t>
            </w:r>
          </w:p>
        </w:tc>
        <w:tc>
          <w:tcPr>
            <w:tcW w:w="634" w:type="dxa"/>
            <w:shd w:val="clear" w:color="auto" w:fill="auto"/>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0,3</w:t>
            </w:r>
          </w:p>
        </w:tc>
        <w:tc>
          <w:tcPr>
            <w:tcW w:w="633" w:type="dxa"/>
            <w:shd w:val="clear" w:color="auto" w:fill="auto"/>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3"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66"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r>
      <w:tr w:rsidR="00A3115F" w:rsidRPr="00AD3B49" w:rsidTr="005D003D">
        <w:trPr>
          <w:trHeight w:val="263"/>
        </w:trPr>
        <w:tc>
          <w:tcPr>
            <w:tcW w:w="849" w:type="dxa"/>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130</w:t>
            </w:r>
          </w:p>
        </w:tc>
        <w:tc>
          <w:tcPr>
            <w:tcW w:w="634"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c>
          <w:tcPr>
            <w:tcW w:w="633" w:type="dxa"/>
            <w:tcBorders>
              <w:bottom w:val="single" w:sz="4" w:space="0" w:color="auto"/>
            </w:tcBorders>
            <w:shd w:val="clear" w:color="auto" w:fill="auto"/>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3" w:type="dxa"/>
            <w:tcBorders>
              <w:bottom w:val="single" w:sz="4" w:space="0" w:color="auto"/>
            </w:tcBorders>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66"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r>
      <w:tr w:rsidR="00A3115F" w:rsidRPr="00AD3B49" w:rsidTr="005D003D">
        <w:trPr>
          <w:trHeight w:val="247"/>
        </w:trPr>
        <w:tc>
          <w:tcPr>
            <w:tcW w:w="849" w:type="dxa"/>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140</w:t>
            </w:r>
          </w:p>
        </w:tc>
        <w:tc>
          <w:tcPr>
            <w:tcW w:w="634" w:type="dxa"/>
            <w:shd w:val="solid" w:color="auto" w:fill="auto"/>
          </w:tcPr>
          <w:p w:rsidR="00A3115F" w:rsidRPr="00AD3B49" w:rsidRDefault="00A3115F" w:rsidP="005D003D">
            <w:pPr>
              <w:ind w:left="567" w:hanging="567"/>
              <w:jc w:val="both"/>
              <w:rPr>
                <w:color w:val="000000"/>
                <w:sz w:val="22"/>
                <w:szCs w:val="22"/>
                <w:lang w:val="sr-Latn-ME"/>
              </w:rPr>
            </w:pPr>
          </w:p>
        </w:tc>
        <w:tc>
          <w:tcPr>
            <w:tcW w:w="633" w:type="dxa"/>
            <w:shd w:val="clear" w:color="auto" w:fill="auto"/>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3" w:type="dxa"/>
            <w:shd w:val="clear" w:color="auto" w:fill="auto"/>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0,4</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66"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r>
      <w:tr w:rsidR="00A3115F" w:rsidRPr="00AD3B49" w:rsidTr="005D003D">
        <w:trPr>
          <w:trHeight w:val="263"/>
        </w:trPr>
        <w:tc>
          <w:tcPr>
            <w:tcW w:w="849" w:type="dxa"/>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150</w:t>
            </w:r>
          </w:p>
        </w:tc>
        <w:tc>
          <w:tcPr>
            <w:tcW w:w="634"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c>
          <w:tcPr>
            <w:tcW w:w="633" w:type="dxa"/>
            <w:tcBorders>
              <w:bottom w:val="single" w:sz="4" w:space="0" w:color="auto"/>
            </w:tcBorders>
            <w:shd w:val="solid" w:color="auto" w:fill="auto"/>
          </w:tcPr>
          <w:p w:rsidR="00A3115F" w:rsidRPr="00AD3B49" w:rsidRDefault="00A3115F" w:rsidP="005D003D">
            <w:pPr>
              <w:ind w:left="567" w:hanging="567"/>
              <w:jc w:val="both"/>
              <w:rPr>
                <w:color w:val="000000"/>
                <w:sz w:val="22"/>
                <w:szCs w:val="22"/>
                <w:lang w:val="sr-Latn-ME"/>
              </w:rPr>
            </w:pPr>
          </w:p>
        </w:tc>
        <w:tc>
          <w:tcPr>
            <w:tcW w:w="633" w:type="dxa"/>
            <w:tcBorders>
              <w:bottom w:val="single" w:sz="4" w:space="0" w:color="auto"/>
            </w:tcBorders>
            <w:shd w:val="clear" w:color="auto" w:fill="auto"/>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32" w:type="dxa"/>
            <w:tcBorders>
              <w:bottom w:val="single" w:sz="4" w:space="0" w:color="auto"/>
            </w:tcBorders>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66"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r>
      <w:tr w:rsidR="00A3115F" w:rsidRPr="00AD3B49" w:rsidTr="005D003D">
        <w:trPr>
          <w:trHeight w:val="263"/>
        </w:trPr>
        <w:tc>
          <w:tcPr>
            <w:tcW w:w="849" w:type="dxa"/>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160</w:t>
            </w:r>
          </w:p>
        </w:tc>
        <w:tc>
          <w:tcPr>
            <w:tcW w:w="634" w:type="dxa"/>
            <w:shd w:val="solid" w:color="auto" w:fill="auto"/>
          </w:tcPr>
          <w:p w:rsidR="00A3115F" w:rsidRPr="00AD3B49" w:rsidRDefault="00A3115F" w:rsidP="005D003D">
            <w:pPr>
              <w:ind w:left="567" w:hanging="567"/>
              <w:jc w:val="both"/>
              <w:rPr>
                <w:color w:val="000000"/>
                <w:sz w:val="22"/>
                <w:szCs w:val="22"/>
                <w:lang w:val="sr-Latn-ME"/>
              </w:rPr>
            </w:pPr>
          </w:p>
        </w:tc>
        <w:tc>
          <w:tcPr>
            <w:tcW w:w="633" w:type="dxa"/>
            <w:shd w:val="solid" w:color="auto" w:fill="auto"/>
          </w:tcPr>
          <w:p w:rsidR="00A3115F" w:rsidRPr="00AD3B49" w:rsidRDefault="00A3115F" w:rsidP="005D003D">
            <w:pPr>
              <w:ind w:left="567" w:hanging="567"/>
              <w:jc w:val="both"/>
              <w:rPr>
                <w:color w:val="000000"/>
                <w:sz w:val="22"/>
                <w:szCs w:val="22"/>
                <w:lang w:val="sr-Latn-ME"/>
              </w:rPr>
            </w:pPr>
          </w:p>
        </w:tc>
        <w:tc>
          <w:tcPr>
            <w:tcW w:w="633" w:type="dxa"/>
            <w:shd w:val="clear" w:color="auto" w:fill="auto"/>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32" w:type="dxa"/>
            <w:shd w:val="clear" w:color="auto" w:fill="auto"/>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0,5</w:t>
            </w:r>
          </w:p>
        </w:tc>
        <w:tc>
          <w:tcPr>
            <w:tcW w:w="632" w:type="dxa"/>
            <w:tcBorders>
              <w:bottom w:val="single" w:sz="4" w:space="0" w:color="auto"/>
            </w:tcBorders>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6"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r>
      <w:tr w:rsidR="00A3115F" w:rsidRPr="00AD3B49" w:rsidTr="005D003D">
        <w:trPr>
          <w:trHeight w:val="263"/>
        </w:trPr>
        <w:tc>
          <w:tcPr>
            <w:tcW w:w="849" w:type="dxa"/>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170</w:t>
            </w:r>
          </w:p>
        </w:tc>
        <w:tc>
          <w:tcPr>
            <w:tcW w:w="634" w:type="dxa"/>
            <w:shd w:val="solid" w:color="auto" w:fill="auto"/>
          </w:tcPr>
          <w:p w:rsidR="00A3115F" w:rsidRPr="00AD3B49" w:rsidRDefault="00A3115F" w:rsidP="005D003D">
            <w:pPr>
              <w:ind w:left="567" w:hanging="567"/>
              <w:jc w:val="both"/>
              <w:rPr>
                <w:color w:val="000000"/>
                <w:sz w:val="22"/>
                <w:szCs w:val="22"/>
                <w:lang w:val="sr-Latn-ME"/>
              </w:rPr>
            </w:pPr>
          </w:p>
        </w:tc>
        <w:tc>
          <w:tcPr>
            <w:tcW w:w="633" w:type="dxa"/>
            <w:shd w:val="solid" w:color="auto" w:fill="auto"/>
          </w:tcPr>
          <w:p w:rsidR="00A3115F" w:rsidRPr="00AD3B49" w:rsidRDefault="00A3115F" w:rsidP="005D003D">
            <w:pPr>
              <w:ind w:left="567" w:hanging="567"/>
              <w:jc w:val="both"/>
              <w:rPr>
                <w:color w:val="000000"/>
                <w:sz w:val="22"/>
                <w:szCs w:val="22"/>
                <w:lang w:val="sr-Latn-ME"/>
              </w:rPr>
            </w:pPr>
          </w:p>
        </w:tc>
        <w:tc>
          <w:tcPr>
            <w:tcW w:w="633" w:type="dxa"/>
            <w:shd w:val="solid" w:color="auto" w:fill="auto"/>
          </w:tcPr>
          <w:p w:rsidR="00A3115F" w:rsidRPr="00AD3B49" w:rsidRDefault="00A3115F" w:rsidP="005D003D">
            <w:pPr>
              <w:ind w:left="567" w:hanging="567"/>
              <w:jc w:val="both"/>
              <w:rPr>
                <w:color w:val="000000"/>
                <w:sz w:val="22"/>
                <w:szCs w:val="22"/>
                <w:lang w:val="sr-Latn-ME"/>
              </w:rPr>
            </w:pPr>
          </w:p>
        </w:tc>
        <w:tc>
          <w:tcPr>
            <w:tcW w:w="632" w:type="dxa"/>
            <w:shd w:val="clear" w:color="auto" w:fill="auto"/>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32" w:type="dxa"/>
            <w:tcBorders>
              <w:bottom w:val="single" w:sz="4" w:space="0" w:color="auto"/>
            </w:tcBorders>
            <w:shd w:val="clear" w:color="auto" w:fill="auto"/>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32" w:type="dxa"/>
            <w:tcBorders>
              <w:bottom w:val="single" w:sz="4" w:space="0" w:color="auto"/>
            </w:tcBorders>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6"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r>
      <w:tr w:rsidR="00A3115F" w:rsidRPr="00AD3B49" w:rsidTr="005D003D">
        <w:trPr>
          <w:trHeight w:val="263"/>
        </w:trPr>
        <w:tc>
          <w:tcPr>
            <w:tcW w:w="849" w:type="dxa"/>
          </w:tcPr>
          <w:p w:rsidR="00A3115F" w:rsidRPr="00AD3B49" w:rsidRDefault="00A3115F" w:rsidP="005D003D">
            <w:pPr>
              <w:ind w:left="567" w:hanging="567"/>
              <w:jc w:val="both"/>
              <w:rPr>
                <w:b/>
                <w:color w:val="000000"/>
                <w:sz w:val="22"/>
                <w:szCs w:val="22"/>
                <w:lang w:val="sr-Latn-ME"/>
              </w:rPr>
            </w:pPr>
            <w:r w:rsidRPr="00AD3B49">
              <w:rPr>
                <w:b/>
                <w:color w:val="000000"/>
                <w:sz w:val="22"/>
                <w:szCs w:val="22"/>
                <w:lang w:val="sr-Latn-ME"/>
              </w:rPr>
              <w:t>180</w:t>
            </w:r>
          </w:p>
        </w:tc>
        <w:tc>
          <w:tcPr>
            <w:tcW w:w="634" w:type="dxa"/>
            <w:shd w:val="solid" w:color="auto" w:fill="auto"/>
          </w:tcPr>
          <w:p w:rsidR="00A3115F" w:rsidRPr="00AD3B49" w:rsidRDefault="00A3115F" w:rsidP="005D003D">
            <w:pPr>
              <w:ind w:left="567" w:hanging="567"/>
              <w:jc w:val="both"/>
              <w:rPr>
                <w:color w:val="000000"/>
                <w:sz w:val="22"/>
                <w:szCs w:val="22"/>
                <w:lang w:val="sr-Latn-ME"/>
              </w:rPr>
            </w:pPr>
          </w:p>
        </w:tc>
        <w:tc>
          <w:tcPr>
            <w:tcW w:w="633" w:type="dxa"/>
            <w:shd w:val="solid" w:color="auto" w:fill="auto"/>
          </w:tcPr>
          <w:p w:rsidR="00A3115F" w:rsidRPr="00AD3B49" w:rsidRDefault="00A3115F" w:rsidP="005D003D">
            <w:pPr>
              <w:ind w:left="567" w:hanging="567"/>
              <w:jc w:val="both"/>
              <w:rPr>
                <w:color w:val="000000"/>
                <w:sz w:val="22"/>
                <w:szCs w:val="22"/>
                <w:lang w:val="sr-Latn-ME"/>
              </w:rPr>
            </w:pPr>
          </w:p>
        </w:tc>
        <w:tc>
          <w:tcPr>
            <w:tcW w:w="633" w:type="dxa"/>
            <w:shd w:val="solid" w:color="auto" w:fill="auto"/>
          </w:tcPr>
          <w:p w:rsidR="00A3115F" w:rsidRPr="00AD3B49" w:rsidRDefault="00A3115F" w:rsidP="005D003D">
            <w:pPr>
              <w:ind w:left="567" w:hanging="567"/>
              <w:jc w:val="both"/>
              <w:rPr>
                <w:color w:val="000000"/>
                <w:sz w:val="22"/>
                <w:szCs w:val="22"/>
                <w:lang w:val="sr-Latn-ME"/>
              </w:rPr>
            </w:pPr>
          </w:p>
        </w:tc>
        <w:tc>
          <w:tcPr>
            <w:tcW w:w="632" w:type="dxa"/>
            <w:shd w:val="solid" w:color="auto" w:fill="auto"/>
          </w:tcPr>
          <w:p w:rsidR="00A3115F" w:rsidRPr="00AD3B49" w:rsidRDefault="00A3115F" w:rsidP="005D003D">
            <w:pPr>
              <w:ind w:left="567" w:hanging="567"/>
              <w:jc w:val="both"/>
              <w:rPr>
                <w:color w:val="000000"/>
                <w:sz w:val="22"/>
                <w:szCs w:val="22"/>
                <w:lang w:val="sr-Latn-ME"/>
              </w:rPr>
            </w:pPr>
          </w:p>
        </w:tc>
        <w:tc>
          <w:tcPr>
            <w:tcW w:w="632" w:type="dxa"/>
            <w:shd w:val="clear" w:color="auto" w:fill="auto"/>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0,6</w:t>
            </w:r>
          </w:p>
        </w:tc>
        <w:tc>
          <w:tcPr>
            <w:tcW w:w="632" w:type="dxa"/>
            <w:shd w:val="clear" w:color="auto" w:fill="auto"/>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32"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0,7</w:t>
            </w:r>
          </w:p>
        </w:tc>
        <w:tc>
          <w:tcPr>
            <w:tcW w:w="666"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 xml:space="preserve"> 0,8*</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c>
          <w:tcPr>
            <w:tcW w:w="667" w:type="dxa"/>
          </w:tcPr>
          <w:p w:rsidR="00A3115F" w:rsidRPr="00AD3B49" w:rsidRDefault="00A3115F" w:rsidP="005D003D">
            <w:pPr>
              <w:ind w:left="567" w:hanging="567"/>
              <w:jc w:val="both"/>
              <w:rPr>
                <w:color w:val="000000"/>
                <w:sz w:val="22"/>
                <w:szCs w:val="22"/>
                <w:lang w:val="sr-Latn-ME"/>
              </w:rPr>
            </w:pPr>
            <w:r w:rsidRPr="00AD3B49">
              <w:rPr>
                <w:color w:val="000000"/>
                <w:sz w:val="22"/>
                <w:szCs w:val="22"/>
                <w:lang w:val="sr-Latn-ME"/>
              </w:rPr>
              <w:t>0,8*</w:t>
            </w:r>
          </w:p>
        </w:tc>
      </w:tr>
    </w:tbl>
    <w:p w:rsidR="00A3115F" w:rsidRPr="00AD3B49" w:rsidRDefault="00A3115F" w:rsidP="00A3115F">
      <w:pPr>
        <w:ind w:left="567" w:hanging="567"/>
        <w:jc w:val="both"/>
        <w:rPr>
          <w:sz w:val="22"/>
          <w:szCs w:val="22"/>
          <w:lang w:val="sr-Latn-ME"/>
        </w:rPr>
      </w:pPr>
      <w:r w:rsidRPr="00AD3B49">
        <w:rPr>
          <w:sz w:val="22"/>
          <w:szCs w:val="22"/>
          <w:lang w:val="sr-Latn-ME"/>
        </w:rPr>
        <w:t>*Maksimalna pojedinačna doza je 40 mg (0,8 ml)</w:t>
      </w:r>
    </w:p>
    <w:p w:rsidR="00A3115F" w:rsidRPr="00AD3B49" w:rsidRDefault="00A3115F" w:rsidP="00A3115F">
      <w:pPr>
        <w:ind w:left="567" w:hanging="567"/>
        <w:jc w:val="both"/>
        <w:rPr>
          <w:sz w:val="22"/>
          <w:szCs w:val="22"/>
          <w:lang w:val="sr-Latn-ME"/>
        </w:rPr>
      </w:pPr>
    </w:p>
    <w:p w:rsidR="00A3115F" w:rsidRPr="00AD3B49" w:rsidRDefault="00A3115F" w:rsidP="00A3115F">
      <w:pPr>
        <w:ind w:left="567" w:hanging="567"/>
        <w:jc w:val="both"/>
        <w:rPr>
          <w:sz w:val="22"/>
          <w:szCs w:val="22"/>
          <w:lang w:val="sr-Latn-ME"/>
        </w:rPr>
      </w:pPr>
      <w:r w:rsidRPr="00AD3B49">
        <w:rPr>
          <w:sz w:val="22"/>
          <w:szCs w:val="22"/>
          <w:u w:val="single"/>
          <w:lang w:val="sr-Latn-ME"/>
        </w:rPr>
        <w:t>Poliartikularni juvenilni idiopatski artritis u dobi od 13 do 17 godina:</w:t>
      </w:r>
    </w:p>
    <w:p w:rsidR="00A3115F" w:rsidRPr="00AD3B49" w:rsidRDefault="00A3115F" w:rsidP="00A3115F">
      <w:pPr>
        <w:jc w:val="both"/>
        <w:rPr>
          <w:sz w:val="22"/>
          <w:szCs w:val="22"/>
          <w:lang w:val="sr-Latn-ME"/>
        </w:rPr>
      </w:pPr>
      <w:r w:rsidRPr="00AD3B49">
        <w:rPr>
          <w:sz w:val="22"/>
          <w:szCs w:val="22"/>
          <w:lang w:val="sr-Latn-ME"/>
        </w:rPr>
        <w:t xml:space="preserve">Za adolescente u dobi 13-17 godina, doza od 40 mg se daje svake druge </w:t>
      </w:r>
      <w:r w:rsidR="000B016F" w:rsidRPr="00AD3B49">
        <w:rPr>
          <w:sz w:val="22"/>
          <w:szCs w:val="22"/>
          <w:lang w:val="sr-Latn-ME"/>
        </w:rPr>
        <w:t>nedjelje</w:t>
      </w:r>
      <w:r w:rsidRPr="00AD3B49">
        <w:rPr>
          <w:sz w:val="22"/>
          <w:szCs w:val="22"/>
          <w:lang w:val="sr-Latn-ME"/>
        </w:rPr>
        <w:t xml:space="preserve"> bez obzira na tjelesnu površinu. </w:t>
      </w:r>
    </w:p>
    <w:p w:rsidR="00A3115F" w:rsidRPr="00AD3B49" w:rsidRDefault="00A3115F" w:rsidP="00A3115F">
      <w:pPr>
        <w:pStyle w:val="Default"/>
        <w:jc w:val="both"/>
        <w:rPr>
          <w:rFonts w:ascii="Times New Roman" w:hAnsi="Times New Roman" w:cs="Times New Roman"/>
          <w:sz w:val="22"/>
          <w:szCs w:val="22"/>
          <w:lang w:val="sr-Latn-ME"/>
        </w:rPr>
      </w:pPr>
    </w:p>
    <w:p w:rsidR="00A3115F" w:rsidRPr="00AD3B49" w:rsidRDefault="00A3115F" w:rsidP="005B30A8">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Postojeći podaci pokazuju da se klinički odgovor obično postiže unutar 12 </w:t>
      </w:r>
      <w:r w:rsidR="000B016F" w:rsidRPr="00AD3B49">
        <w:rPr>
          <w:rFonts w:ascii="Times New Roman" w:hAnsi="Times New Roman" w:cs="Times New Roman"/>
          <w:sz w:val="22"/>
          <w:szCs w:val="22"/>
          <w:lang w:val="sr-Latn-ME"/>
        </w:rPr>
        <w:t>nedjelja</w:t>
      </w:r>
      <w:r w:rsidRPr="00AD3B49">
        <w:rPr>
          <w:rFonts w:ascii="Times New Roman" w:hAnsi="Times New Roman" w:cs="Times New Roman"/>
          <w:sz w:val="22"/>
          <w:szCs w:val="22"/>
          <w:lang w:val="sr-Latn-ME"/>
        </w:rPr>
        <w:t xml:space="preserve"> liječenja. Ako se unutar tog perioda ne postigne terapijski odgovor, potrebno je pažljivo razmotriti nas</w:t>
      </w:r>
      <w:r w:rsidR="001F0303" w:rsidRPr="00AD3B49">
        <w:rPr>
          <w:rFonts w:ascii="Times New Roman" w:hAnsi="Times New Roman" w:cs="Times New Roman"/>
          <w:sz w:val="22"/>
          <w:szCs w:val="22"/>
          <w:lang w:val="sr-Latn-ME"/>
        </w:rPr>
        <w:t>tavak liječenja takvog</w:t>
      </w:r>
      <w:r w:rsidR="008F6524" w:rsidRPr="00AD3B49">
        <w:rPr>
          <w:rFonts w:ascii="Times New Roman" w:hAnsi="Times New Roman" w:cs="Times New Roman"/>
          <w:sz w:val="22"/>
          <w:szCs w:val="22"/>
          <w:lang w:val="sr-Latn-ME"/>
        </w:rPr>
        <w:t xml:space="preserve"> </w:t>
      </w:r>
      <w:r w:rsidR="001F0303" w:rsidRPr="00AD3B49">
        <w:rPr>
          <w:rFonts w:ascii="Times New Roman" w:hAnsi="Times New Roman" w:cs="Times New Roman"/>
          <w:sz w:val="22"/>
          <w:szCs w:val="22"/>
          <w:lang w:val="sr-Latn-ME"/>
        </w:rPr>
        <w:t xml:space="preserve"> pacijenta</w:t>
      </w:r>
      <w:r w:rsidRPr="00AD3B49">
        <w:rPr>
          <w:rFonts w:ascii="Times New Roman" w:hAnsi="Times New Roman" w:cs="Times New Roman"/>
          <w:sz w:val="22"/>
          <w:szCs w:val="22"/>
          <w:lang w:val="sr-Latn-ME"/>
        </w:rPr>
        <w:t>.</w:t>
      </w:r>
    </w:p>
    <w:p w:rsidR="008F6524" w:rsidRPr="00AD3B49" w:rsidRDefault="008F6524" w:rsidP="008F6524">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Nije ispitivano djelovanje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kod djece mlađe od 2 godine u ovoj indikaciji. </w:t>
      </w:r>
    </w:p>
    <w:p w:rsidR="00A3115F" w:rsidRPr="00AD3B49" w:rsidRDefault="00A3115F" w:rsidP="00F91776">
      <w:pPr>
        <w:pStyle w:val="Default"/>
        <w:jc w:val="both"/>
        <w:rPr>
          <w:rFonts w:ascii="Times New Roman" w:hAnsi="Times New Roman" w:cs="Times New Roman"/>
          <w:sz w:val="22"/>
          <w:szCs w:val="22"/>
          <w:lang w:val="sr-Latn-ME"/>
        </w:rPr>
      </w:pPr>
    </w:p>
    <w:p w:rsidR="006A14EC" w:rsidRPr="00AD3B49" w:rsidRDefault="006A14EC" w:rsidP="00F91776">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Psorijaza kod pedijatrijskih pacijenata</w:t>
      </w:r>
    </w:p>
    <w:p w:rsidR="006A14EC" w:rsidRPr="00AD3B49" w:rsidRDefault="006A14EC" w:rsidP="00F91776">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Bezbjednost i efikasnost lijeka Humira kod djece i adolescenata uzrasta 4-17 godina nije utvrđena. Nema dostupnih podataka. Nije ispitivano djelovanje lij</w:t>
      </w:r>
      <w:r w:rsidR="005D44A4" w:rsidRPr="00AD3B49">
        <w:rPr>
          <w:rFonts w:ascii="Times New Roman" w:hAnsi="Times New Roman" w:cs="Times New Roman"/>
          <w:sz w:val="22"/>
          <w:szCs w:val="22"/>
          <w:lang w:val="sr-Latn-ME"/>
        </w:rPr>
        <w:t>eka Humira</w:t>
      </w:r>
      <w:r w:rsidRPr="00AD3B49">
        <w:rPr>
          <w:rFonts w:ascii="Times New Roman" w:hAnsi="Times New Roman" w:cs="Times New Roman"/>
          <w:sz w:val="22"/>
          <w:szCs w:val="22"/>
          <w:lang w:val="sr-Latn-ME"/>
        </w:rPr>
        <w:t xml:space="preserve"> kod djece mlađe od 4 godina u ovoj indikaciji.</w:t>
      </w:r>
    </w:p>
    <w:p w:rsidR="006A14EC" w:rsidRPr="00AD3B49" w:rsidRDefault="006A14EC" w:rsidP="00F91776">
      <w:pPr>
        <w:pStyle w:val="Default"/>
        <w:jc w:val="both"/>
        <w:rPr>
          <w:rFonts w:ascii="Times New Roman" w:hAnsi="Times New Roman" w:cs="Times New Roman"/>
          <w:sz w:val="22"/>
          <w:szCs w:val="22"/>
          <w:u w:val="single"/>
          <w:lang w:val="sr-Latn-ME"/>
        </w:rPr>
      </w:pPr>
    </w:p>
    <w:p w:rsidR="00A3115F" w:rsidRPr="00AD3B49" w:rsidRDefault="005B30A8" w:rsidP="005B30A8">
      <w:pPr>
        <w:pStyle w:val="Default"/>
        <w:ind w:left="567" w:hanging="567"/>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Crohnova bolest kod</w:t>
      </w:r>
      <w:r w:rsidR="004131F9" w:rsidRPr="00AD3B49">
        <w:rPr>
          <w:rFonts w:ascii="Times New Roman" w:hAnsi="Times New Roman" w:cs="Times New Roman"/>
          <w:sz w:val="22"/>
          <w:szCs w:val="22"/>
          <w:u w:val="single"/>
          <w:lang w:val="sr-Latn-ME"/>
        </w:rPr>
        <w:t xml:space="preserve"> pedijatrijskih </w:t>
      </w:r>
      <w:r w:rsidR="001F0303" w:rsidRPr="00AD3B49">
        <w:rPr>
          <w:rFonts w:ascii="Times New Roman" w:hAnsi="Times New Roman" w:cs="Times New Roman"/>
          <w:sz w:val="22"/>
          <w:szCs w:val="22"/>
          <w:u w:val="single"/>
          <w:lang w:val="sr-Latn-ME"/>
        </w:rPr>
        <w:t>pacijenata</w:t>
      </w:r>
    </w:p>
    <w:p w:rsidR="00F91776" w:rsidRPr="00AD3B49" w:rsidRDefault="00F91776" w:rsidP="00F91776">
      <w:pPr>
        <w:pStyle w:val="Default"/>
        <w:jc w:val="both"/>
        <w:rPr>
          <w:rFonts w:ascii="Times New Roman" w:hAnsi="Times New Roman" w:cs="Times New Roman"/>
          <w:i/>
          <w:color w:val="auto"/>
          <w:sz w:val="22"/>
          <w:szCs w:val="22"/>
          <w:lang w:val="sr-Latn-ME"/>
        </w:rPr>
      </w:pPr>
      <w:r w:rsidRPr="00AD3B49">
        <w:rPr>
          <w:rFonts w:ascii="Times New Roman" w:hAnsi="Times New Roman" w:cs="Times New Roman"/>
          <w:i/>
          <w:color w:val="auto"/>
          <w:sz w:val="22"/>
          <w:szCs w:val="22"/>
          <w:lang w:val="sr-Latn-ME"/>
        </w:rPr>
        <w:t xml:space="preserve">Pedijatrijski pacijenti </w:t>
      </w:r>
      <w:r w:rsidR="00674F6D" w:rsidRPr="00AD3B49">
        <w:rPr>
          <w:rFonts w:ascii="Times New Roman" w:hAnsi="Times New Roman" w:cs="Times New Roman"/>
          <w:i/>
          <w:color w:val="auto"/>
          <w:sz w:val="22"/>
          <w:szCs w:val="22"/>
          <w:lang w:val="sr-Latn-ME"/>
        </w:rPr>
        <w:t xml:space="preserve">tjelesne </w:t>
      </w:r>
      <w:r w:rsidRPr="00AD3B49">
        <w:rPr>
          <w:rFonts w:ascii="Times New Roman" w:hAnsi="Times New Roman" w:cs="Times New Roman"/>
          <w:i/>
          <w:color w:val="auto"/>
          <w:sz w:val="22"/>
          <w:szCs w:val="22"/>
          <w:lang w:val="sr-Latn-ME"/>
        </w:rPr>
        <w:t xml:space="preserve">težine </w:t>
      </w:r>
      <w:r w:rsidR="000B3312" w:rsidRPr="00AD3B49">
        <w:rPr>
          <w:rFonts w:ascii="Times New Roman" w:hAnsi="Times New Roman" w:cs="Times New Roman"/>
          <w:i/>
          <w:color w:val="auto"/>
          <w:sz w:val="22"/>
          <w:szCs w:val="22"/>
          <w:lang w:val="sr-Latn-ME"/>
        </w:rPr>
        <w:t xml:space="preserve">&lt; </w:t>
      </w:r>
      <w:r w:rsidRPr="00AD3B49">
        <w:rPr>
          <w:rFonts w:ascii="Times New Roman" w:hAnsi="Times New Roman" w:cs="Times New Roman"/>
          <w:i/>
          <w:color w:val="auto"/>
          <w:sz w:val="22"/>
          <w:szCs w:val="22"/>
          <w:lang w:val="sr-Latn-ME"/>
        </w:rPr>
        <w:t>40kg:</w:t>
      </w:r>
    </w:p>
    <w:p w:rsidR="00F91776" w:rsidRPr="00AD3B49" w:rsidRDefault="00F91776" w:rsidP="00F91776">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Preporučena doza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kod pacijenata sa teškim oblikom Crohnove bolesti je 40 mg  na početku liječenja (nedjelja 0), a zatim poslije dvije nedjelje doza 20 mg (nedjelja 2). U slučaju da postoji potreba za bržim terapijskim odgovorom, liječenje se može započeti dozom od 80 mg u nedjelji 0 (ova doza se može dati kao dvije injekcije u jednom danu), a zatim poslije 2 nedjelje (nedjelja 2) dati dozu od 40 mg, pri čemu treba imati u vidu veći rizik od pojave neželjenih </w:t>
      </w:r>
      <w:r w:rsidR="000B3312" w:rsidRPr="00AD3B49">
        <w:rPr>
          <w:rFonts w:ascii="Times New Roman" w:hAnsi="Times New Roman" w:cs="Times New Roman"/>
          <w:color w:val="auto"/>
          <w:sz w:val="22"/>
          <w:szCs w:val="22"/>
          <w:lang w:val="sr-Latn-ME"/>
        </w:rPr>
        <w:t xml:space="preserve">dejstava </w:t>
      </w:r>
      <w:r w:rsidRPr="00AD3B49">
        <w:rPr>
          <w:rFonts w:ascii="Times New Roman" w:hAnsi="Times New Roman" w:cs="Times New Roman"/>
          <w:color w:val="auto"/>
          <w:sz w:val="22"/>
          <w:szCs w:val="22"/>
          <w:lang w:val="sr-Latn-ME"/>
        </w:rPr>
        <w:t>u slučaju primjene veće doze u toku indukcionog liječenja.</w:t>
      </w:r>
    </w:p>
    <w:p w:rsidR="00F91776" w:rsidRPr="00AD3B49" w:rsidRDefault="00F91776" w:rsidP="00F91776">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Poslije indukcione terapije, preporučena doza za terapiju održavanja je 20 mg svake druge nedjelje kao supkutana injekcija. Za neke pacijente kod kojih je tokom primjene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dolazilo do slabljenja odgovora na </w:t>
      </w:r>
      <w:r w:rsidR="00C10995" w:rsidRPr="00AD3B49">
        <w:rPr>
          <w:rFonts w:ascii="Times New Roman" w:hAnsi="Times New Roman" w:cs="Times New Roman"/>
          <w:color w:val="auto"/>
          <w:sz w:val="22"/>
          <w:szCs w:val="22"/>
          <w:lang w:val="sr-Latn-ME"/>
        </w:rPr>
        <w:t xml:space="preserve">lijek </w:t>
      </w:r>
      <w:r w:rsidRPr="00AD3B49">
        <w:rPr>
          <w:rFonts w:ascii="Times New Roman" w:hAnsi="Times New Roman" w:cs="Times New Roman"/>
          <w:color w:val="auto"/>
          <w:sz w:val="22"/>
          <w:szCs w:val="22"/>
          <w:lang w:val="sr-Latn-ME"/>
        </w:rPr>
        <w:t>Humir</w:t>
      </w:r>
      <w:r w:rsidR="00C10995"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može biti korisno povećati intenzitet doze primjenom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20 mg jednom nedjeljno.</w:t>
      </w:r>
    </w:p>
    <w:p w:rsidR="00F91776" w:rsidRPr="00AD3B49" w:rsidRDefault="00F91776" w:rsidP="00F91776">
      <w:pPr>
        <w:pStyle w:val="Default"/>
        <w:jc w:val="both"/>
        <w:rPr>
          <w:rFonts w:ascii="Times New Roman" w:hAnsi="Times New Roman" w:cs="Times New Roman"/>
          <w:i/>
          <w:color w:val="auto"/>
          <w:sz w:val="22"/>
          <w:szCs w:val="22"/>
          <w:lang w:val="sr-Latn-ME"/>
        </w:rPr>
      </w:pPr>
    </w:p>
    <w:p w:rsidR="00F91776" w:rsidRPr="00AD3B49" w:rsidRDefault="00F91776" w:rsidP="00F91776">
      <w:pPr>
        <w:pStyle w:val="Default"/>
        <w:jc w:val="both"/>
        <w:rPr>
          <w:rFonts w:ascii="Times New Roman" w:hAnsi="Times New Roman" w:cs="Times New Roman"/>
          <w:i/>
          <w:color w:val="auto"/>
          <w:sz w:val="22"/>
          <w:szCs w:val="22"/>
          <w:lang w:val="sr-Latn-ME"/>
        </w:rPr>
      </w:pPr>
      <w:r w:rsidRPr="00AD3B49">
        <w:rPr>
          <w:rFonts w:ascii="Times New Roman" w:hAnsi="Times New Roman" w:cs="Times New Roman"/>
          <w:i/>
          <w:color w:val="auto"/>
          <w:sz w:val="22"/>
          <w:szCs w:val="22"/>
          <w:lang w:val="sr-Latn-ME"/>
        </w:rPr>
        <w:lastRenderedPageBreak/>
        <w:t xml:space="preserve">Pedijatrijski pacijenti </w:t>
      </w:r>
      <w:r w:rsidR="00674F6D" w:rsidRPr="00AD3B49">
        <w:rPr>
          <w:rFonts w:ascii="Times New Roman" w:hAnsi="Times New Roman" w:cs="Times New Roman"/>
          <w:i/>
          <w:color w:val="auto"/>
          <w:sz w:val="22"/>
          <w:szCs w:val="22"/>
          <w:lang w:val="sr-Latn-ME"/>
        </w:rPr>
        <w:t xml:space="preserve">tjelesne </w:t>
      </w:r>
      <w:r w:rsidRPr="00AD3B49">
        <w:rPr>
          <w:rFonts w:ascii="Times New Roman" w:hAnsi="Times New Roman" w:cs="Times New Roman"/>
          <w:i/>
          <w:color w:val="auto"/>
          <w:sz w:val="22"/>
          <w:szCs w:val="22"/>
          <w:lang w:val="sr-Latn-ME"/>
        </w:rPr>
        <w:t xml:space="preserve">težine </w:t>
      </w:r>
      <w:r w:rsidR="000B3312" w:rsidRPr="00AD3B49">
        <w:rPr>
          <w:rFonts w:ascii="Times New Roman" w:hAnsi="Times New Roman" w:cs="Times New Roman"/>
          <w:i/>
          <w:color w:val="auto"/>
          <w:sz w:val="22"/>
          <w:szCs w:val="22"/>
          <w:lang w:val="sr-Latn-ME"/>
        </w:rPr>
        <w:t xml:space="preserve">≥ </w:t>
      </w:r>
      <w:r w:rsidRPr="00AD3B49">
        <w:rPr>
          <w:rFonts w:ascii="Times New Roman" w:hAnsi="Times New Roman" w:cs="Times New Roman"/>
          <w:i/>
          <w:color w:val="auto"/>
          <w:sz w:val="22"/>
          <w:szCs w:val="22"/>
          <w:lang w:val="sr-Latn-ME"/>
        </w:rPr>
        <w:t>40kg:</w:t>
      </w:r>
    </w:p>
    <w:p w:rsidR="00F91776" w:rsidRPr="00AD3B49" w:rsidRDefault="00F91776" w:rsidP="00F91776">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Preporučena doza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kod pacijenata sa teškim oblikom Crohnove bolesti je 80 mg  na početku liječenja (nedjelja 0), a zatim posle dvije nedjelje doza 40 mg (nedjelja 2).</w:t>
      </w:r>
    </w:p>
    <w:p w:rsidR="00F91776" w:rsidRPr="00AD3B49" w:rsidRDefault="00F91776" w:rsidP="00F91776">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U slučaju da postoji potreba za bržim terapijskim odgovorom, liječenje se može započeti dozom od 160 mg u nedjelji 0 (ova doza se može dati kao </w:t>
      </w:r>
      <w:r w:rsidR="000B3312" w:rsidRPr="00AD3B49">
        <w:rPr>
          <w:rFonts w:ascii="Times New Roman" w:hAnsi="Times New Roman" w:cs="Times New Roman"/>
          <w:color w:val="auto"/>
          <w:sz w:val="22"/>
          <w:szCs w:val="22"/>
          <w:lang w:val="sr-Latn-ME"/>
        </w:rPr>
        <w:t xml:space="preserve">četiri </w:t>
      </w:r>
      <w:r w:rsidRPr="00AD3B49">
        <w:rPr>
          <w:rFonts w:ascii="Times New Roman" w:hAnsi="Times New Roman" w:cs="Times New Roman"/>
          <w:color w:val="auto"/>
          <w:sz w:val="22"/>
          <w:szCs w:val="22"/>
          <w:lang w:val="sr-Latn-ME"/>
        </w:rPr>
        <w:t xml:space="preserve">injekcije u jednom danu ili kao dvije injekcije dnevno tokom dva uzastopna dana), a zatim poslije 2 nedjelje (nedjelja 2) dati dozu od 80 mg, pri čemu treba imati u vidu veći rizik od pojave neželjenih </w:t>
      </w:r>
      <w:r w:rsidR="000B3312" w:rsidRPr="00AD3B49">
        <w:rPr>
          <w:rFonts w:ascii="Times New Roman" w:hAnsi="Times New Roman" w:cs="Times New Roman"/>
          <w:color w:val="auto"/>
          <w:sz w:val="22"/>
          <w:szCs w:val="22"/>
          <w:lang w:val="sr-Latn-ME"/>
        </w:rPr>
        <w:t xml:space="preserve">dejstava </w:t>
      </w:r>
      <w:r w:rsidRPr="00AD3B49">
        <w:rPr>
          <w:rFonts w:ascii="Times New Roman" w:hAnsi="Times New Roman" w:cs="Times New Roman"/>
          <w:color w:val="auto"/>
          <w:sz w:val="22"/>
          <w:szCs w:val="22"/>
          <w:lang w:val="sr-Latn-ME"/>
        </w:rPr>
        <w:t xml:space="preserve">u slučaju primjene veće doze u toku indukcionog liječenja. Poslije indukcione terapije, preporučena doza za terapiju održavanja je 40 mg svake druge nedjelje kao supkutana injekcija. Za neke pacijente kod kojih je tokom primjene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dolazilo do slabljenja odgovora na </w:t>
      </w:r>
      <w:r w:rsidR="00C10995" w:rsidRPr="00AD3B49">
        <w:rPr>
          <w:rFonts w:ascii="Times New Roman" w:hAnsi="Times New Roman" w:cs="Times New Roman"/>
          <w:color w:val="auto"/>
          <w:sz w:val="22"/>
          <w:szCs w:val="22"/>
          <w:lang w:val="sr-Latn-ME"/>
        </w:rPr>
        <w:t xml:space="preserve">lijek </w:t>
      </w:r>
      <w:r w:rsidRPr="00AD3B49">
        <w:rPr>
          <w:rFonts w:ascii="Times New Roman" w:hAnsi="Times New Roman" w:cs="Times New Roman"/>
          <w:color w:val="auto"/>
          <w:sz w:val="22"/>
          <w:szCs w:val="22"/>
          <w:lang w:val="sr-Latn-ME"/>
        </w:rPr>
        <w:t>Humir</w:t>
      </w:r>
      <w:r w:rsidR="00C10995"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može biti korisno povećati intenzitet doze primjenom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40 mg jednom nedjeljno.</w:t>
      </w:r>
    </w:p>
    <w:p w:rsidR="000B3312" w:rsidRPr="00AD3B49" w:rsidRDefault="000B3312" w:rsidP="00F91776">
      <w:pPr>
        <w:pStyle w:val="Default"/>
        <w:jc w:val="both"/>
        <w:rPr>
          <w:rFonts w:ascii="Times New Roman" w:hAnsi="Times New Roman" w:cs="Times New Roman"/>
          <w:color w:val="auto"/>
          <w:sz w:val="22"/>
          <w:szCs w:val="22"/>
          <w:lang w:val="sr-Latn-ME"/>
        </w:rPr>
      </w:pPr>
    </w:p>
    <w:p w:rsidR="00F91776" w:rsidRPr="00AD3B49" w:rsidRDefault="00F91776" w:rsidP="00F91776">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U slučaju da poslije 12 nedjelja nema kliničkog odgovora, korist daljeg produženja terapije treba pažljivo razmotriti.</w:t>
      </w:r>
    </w:p>
    <w:p w:rsidR="000B3312" w:rsidRPr="00AD3B49" w:rsidRDefault="000B3312" w:rsidP="00F91776">
      <w:pPr>
        <w:pStyle w:val="Default"/>
        <w:jc w:val="both"/>
        <w:rPr>
          <w:rFonts w:ascii="Times New Roman" w:hAnsi="Times New Roman" w:cs="Times New Roman"/>
          <w:color w:val="auto"/>
          <w:sz w:val="22"/>
          <w:szCs w:val="22"/>
          <w:lang w:val="sr-Latn-ME"/>
        </w:rPr>
      </w:pPr>
    </w:p>
    <w:p w:rsidR="000B3312" w:rsidRPr="00AD3B49" w:rsidRDefault="000B3312" w:rsidP="00F91776">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Nije ispitivano djelovanje </w:t>
      </w:r>
      <w:r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Humira kod djece mlađe od 6 godina u ovoj indikaciji.</w:t>
      </w:r>
    </w:p>
    <w:p w:rsidR="000B3312" w:rsidRPr="00AD3B49" w:rsidRDefault="000B3312" w:rsidP="00F91776">
      <w:pPr>
        <w:pStyle w:val="Default"/>
        <w:jc w:val="both"/>
        <w:rPr>
          <w:rFonts w:ascii="Times New Roman" w:hAnsi="Times New Roman" w:cs="Times New Roman"/>
          <w:sz w:val="22"/>
          <w:szCs w:val="22"/>
          <w:lang w:val="sr-Latn-ME"/>
        </w:rPr>
      </w:pPr>
    </w:p>
    <w:p w:rsidR="000B3312" w:rsidRPr="00AD3B49" w:rsidRDefault="000B3312" w:rsidP="00F91776">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Ulcerozni kolitis kod pedijatrijskih pacijenata</w:t>
      </w:r>
    </w:p>
    <w:p w:rsidR="000B3312" w:rsidRPr="00AD3B49" w:rsidRDefault="000B3312" w:rsidP="000B331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Bezbjednost i efikasnost lijeka Humira kod djece i adolescenata uzrasta 4-17 godina nije utvrđena. Nema dostupnih podataka. Nije ispitivano djelovanje lij</w:t>
      </w:r>
      <w:r w:rsidR="005D44A4" w:rsidRPr="00AD3B49">
        <w:rPr>
          <w:rFonts w:ascii="Times New Roman" w:hAnsi="Times New Roman" w:cs="Times New Roman"/>
          <w:sz w:val="22"/>
          <w:szCs w:val="22"/>
          <w:lang w:val="sr-Latn-ME"/>
        </w:rPr>
        <w:t>eka Humira</w:t>
      </w:r>
      <w:r w:rsidRPr="00AD3B49">
        <w:rPr>
          <w:rFonts w:ascii="Times New Roman" w:hAnsi="Times New Roman" w:cs="Times New Roman"/>
          <w:sz w:val="22"/>
          <w:szCs w:val="22"/>
          <w:lang w:val="sr-Latn-ME"/>
        </w:rPr>
        <w:t xml:space="preserve"> kod djece mlađe od 4 godina u ovoj indikaciji.</w:t>
      </w:r>
    </w:p>
    <w:p w:rsidR="000B3312" w:rsidRPr="00AD3B49" w:rsidRDefault="000B3312" w:rsidP="00F91776">
      <w:pPr>
        <w:pStyle w:val="Default"/>
        <w:jc w:val="both"/>
        <w:rPr>
          <w:rFonts w:ascii="Times New Roman" w:hAnsi="Times New Roman" w:cs="Times New Roman"/>
          <w:sz w:val="22"/>
          <w:szCs w:val="22"/>
          <w:u w:val="single"/>
          <w:lang w:val="sr-Latn-ME"/>
        </w:rPr>
      </w:pPr>
    </w:p>
    <w:p w:rsidR="000B3312" w:rsidRPr="00AD3B49" w:rsidRDefault="000B3312" w:rsidP="00F91776">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Psorijatični artritis i aksijalni spondiloartritis, uključujući ankilozirajući spondilitis</w:t>
      </w:r>
    </w:p>
    <w:p w:rsidR="000B3312" w:rsidRPr="00AD3B49" w:rsidRDefault="000B3312" w:rsidP="000B331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Nije ispitivano djelovanje lij</w:t>
      </w:r>
      <w:r w:rsidR="005D44A4" w:rsidRPr="00AD3B49">
        <w:rPr>
          <w:rFonts w:ascii="Times New Roman" w:hAnsi="Times New Roman" w:cs="Times New Roman"/>
          <w:sz w:val="22"/>
          <w:szCs w:val="22"/>
          <w:lang w:val="sr-Latn-ME"/>
        </w:rPr>
        <w:t>eka Humira</w:t>
      </w:r>
      <w:r w:rsidRPr="00AD3B49">
        <w:rPr>
          <w:rFonts w:ascii="Times New Roman" w:hAnsi="Times New Roman" w:cs="Times New Roman"/>
          <w:sz w:val="22"/>
          <w:szCs w:val="22"/>
          <w:lang w:val="sr-Latn-ME"/>
        </w:rPr>
        <w:t xml:space="preserve"> kod pedijatrijske populacije u ovim indikacijama.</w:t>
      </w:r>
    </w:p>
    <w:p w:rsidR="000B3312" w:rsidRPr="00AD3B49" w:rsidRDefault="000B3312" w:rsidP="000B3312">
      <w:pPr>
        <w:pStyle w:val="Default"/>
        <w:jc w:val="both"/>
        <w:rPr>
          <w:rFonts w:ascii="Times New Roman" w:hAnsi="Times New Roman" w:cs="Times New Roman"/>
          <w:sz w:val="22"/>
          <w:szCs w:val="22"/>
          <w:lang w:val="sr-Latn-ME"/>
        </w:rPr>
      </w:pPr>
    </w:p>
    <w:p w:rsidR="000B3312" w:rsidRPr="00AD3B49" w:rsidRDefault="000B3312" w:rsidP="000B3312">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Način primjene</w:t>
      </w:r>
    </w:p>
    <w:p w:rsidR="000B3312" w:rsidRPr="00AD3B49" w:rsidRDefault="000B3312" w:rsidP="000B331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Humira se primjenjuje supkutanom injekcijom. Sve informacije za upotrebu se nalaze u Uputstvu za pacijenta.</w:t>
      </w:r>
    </w:p>
    <w:p w:rsidR="000B3312" w:rsidRPr="00AD3B49" w:rsidRDefault="000B3312" w:rsidP="00F91776">
      <w:pPr>
        <w:pStyle w:val="Default"/>
        <w:jc w:val="both"/>
        <w:rPr>
          <w:rFonts w:ascii="Times New Roman" w:hAnsi="Times New Roman" w:cs="Times New Roman"/>
          <w:color w:val="auto"/>
          <w:sz w:val="22"/>
          <w:szCs w:val="22"/>
          <w:u w:val="single"/>
          <w:lang w:val="sr-Latn-ME"/>
        </w:rPr>
      </w:pPr>
    </w:p>
    <w:p w:rsidR="000B3312" w:rsidRPr="00AD3B49" w:rsidRDefault="000B3312" w:rsidP="000B3312">
      <w:pPr>
        <w:pStyle w:val="Default"/>
        <w:jc w:val="both"/>
        <w:rPr>
          <w:rFonts w:ascii="Times New Roman" w:hAnsi="Times New Roman" w:cs="Times New Roman"/>
          <w:sz w:val="22"/>
          <w:szCs w:val="22"/>
          <w:lang w:val="sr-Latn-ME"/>
        </w:rPr>
      </w:pPr>
      <w:r w:rsidRPr="00AD3B49">
        <w:rPr>
          <w:rFonts w:ascii="Times New Roman" w:hAnsi="Times New Roman" w:cs="Times New Roman"/>
          <w:color w:val="auto"/>
          <w:sz w:val="22"/>
          <w:szCs w:val="22"/>
          <w:lang w:val="sr-Latn-ME"/>
        </w:rPr>
        <w:t>Za pacijente kojima se primjenjuje manje od 40 mg dostupna je Humira</w:t>
      </w:r>
      <w:r w:rsidR="00D42556" w:rsidRPr="00AD3B49">
        <w:rPr>
          <w:rFonts w:ascii="Times New Roman" w:hAnsi="Times New Roman" w:cs="Times New Roman"/>
          <w:color w:val="auto"/>
          <w:sz w:val="22"/>
          <w:szCs w:val="22"/>
          <w:lang w:val="sr-Latn-ME"/>
        </w:rPr>
        <w:t>,</w:t>
      </w:r>
      <w:r w:rsidRPr="00AD3B49">
        <w:rPr>
          <w:rFonts w:ascii="Times New Roman" w:hAnsi="Times New Roman" w:cs="Times New Roman"/>
          <w:color w:val="auto"/>
          <w:sz w:val="22"/>
          <w:szCs w:val="22"/>
          <w:lang w:val="sr-Latn-ME"/>
        </w:rPr>
        <w:t xml:space="preserve"> </w:t>
      </w:r>
      <w:r w:rsidR="00D42556" w:rsidRPr="00AD3B49">
        <w:rPr>
          <w:rFonts w:ascii="Times New Roman" w:hAnsi="Times New Roman" w:cs="Times New Roman"/>
          <w:color w:val="auto"/>
          <w:sz w:val="22"/>
          <w:szCs w:val="22"/>
          <w:lang w:val="sr-Latn-ME"/>
        </w:rPr>
        <w:t xml:space="preserve">rastvor za injekciju, </w:t>
      </w:r>
      <w:r w:rsidRPr="00AD3B49">
        <w:rPr>
          <w:rFonts w:ascii="Times New Roman" w:hAnsi="Times New Roman" w:cs="Times New Roman"/>
          <w:color w:val="auto"/>
          <w:sz w:val="22"/>
          <w:szCs w:val="22"/>
          <w:lang w:val="sr-Latn-ME"/>
        </w:rPr>
        <w:t>40 mg</w:t>
      </w:r>
      <w:r w:rsidR="00D42556" w:rsidRPr="00AD3B49">
        <w:rPr>
          <w:rFonts w:ascii="Times New Roman" w:hAnsi="Times New Roman" w:cs="Times New Roman"/>
          <w:color w:val="auto"/>
          <w:sz w:val="22"/>
          <w:szCs w:val="22"/>
          <w:lang w:val="sr-Latn-ME"/>
        </w:rPr>
        <w:t>/0,8 ml</w:t>
      </w:r>
      <w:r w:rsidRPr="00AD3B49">
        <w:rPr>
          <w:rFonts w:ascii="Times New Roman" w:hAnsi="Times New Roman" w:cs="Times New Roman"/>
          <w:color w:val="auto"/>
          <w:sz w:val="22"/>
          <w:szCs w:val="22"/>
          <w:lang w:val="sr-Latn-ME"/>
        </w:rPr>
        <w:t xml:space="preserve">. </w:t>
      </w:r>
    </w:p>
    <w:p w:rsidR="003C0FC7" w:rsidRPr="00AD3B49" w:rsidRDefault="003C0FC7" w:rsidP="00A3115F">
      <w:pPr>
        <w:tabs>
          <w:tab w:val="left" w:pos="2388"/>
        </w:tabs>
        <w:rPr>
          <w:bCs/>
          <w:sz w:val="22"/>
          <w:szCs w:val="22"/>
          <w:lang w:val="sr-Latn-ME"/>
        </w:rPr>
      </w:pPr>
    </w:p>
    <w:p w:rsidR="00411B4B" w:rsidRPr="00AD3B49" w:rsidRDefault="00411B4B" w:rsidP="00480FB1">
      <w:pPr>
        <w:tabs>
          <w:tab w:val="left" w:pos="540"/>
          <w:tab w:val="left" w:pos="569"/>
        </w:tabs>
        <w:rPr>
          <w:b/>
          <w:bCs/>
          <w:sz w:val="22"/>
          <w:szCs w:val="22"/>
          <w:lang w:val="sr-Latn-ME"/>
        </w:rPr>
      </w:pPr>
      <w:r w:rsidRPr="00AD3B49">
        <w:rPr>
          <w:b/>
          <w:bCs/>
          <w:sz w:val="22"/>
          <w:szCs w:val="22"/>
          <w:lang w:val="sr-Latn-ME"/>
        </w:rPr>
        <w:t xml:space="preserve">4.3. </w:t>
      </w:r>
      <w:r w:rsidR="00480FB1" w:rsidRPr="00AD3B49">
        <w:rPr>
          <w:b/>
          <w:bCs/>
          <w:sz w:val="22"/>
          <w:szCs w:val="22"/>
          <w:lang w:val="sr-Latn-ME"/>
        </w:rPr>
        <w:tab/>
      </w:r>
      <w:r w:rsidRPr="00AD3B49">
        <w:rPr>
          <w:b/>
          <w:bCs/>
          <w:sz w:val="22"/>
          <w:szCs w:val="22"/>
          <w:lang w:val="sr-Latn-ME"/>
        </w:rPr>
        <w:t>Kontraindikacije</w:t>
      </w:r>
    </w:p>
    <w:p w:rsidR="0072020E" w:rsidRPr="00AD3B49" w:rsidRDefault="001F0303" w:rsidP="001F0303">
      <w:pPr>
        <w:tabs>
          <w:tab w:val="left" w:pos="1739"/>
        </w:tabs>
        <w:rPr>
          <w:bCs/>
          <w:sz w:val="22"/>
          <w:szCs w:val="22"/>
          <w:lang w:val="sr-Latn-ME"/>
        </w:rPr>
      </w:pPr>
      <w:r w:rsidRPr="00AD3B49">
        <w:rPr>
          <w:bCs/>
          <w:sz w:val="22"/>
          <w:szCs w:val="22"/>
          <w:lang w:val="sr-Latn-ME"/>
        </w:rPr>
        <w:tab/>
      </w:r>
    </w:p>
    <w:p w:rsidR="001F0303" w:rsidRPr="00AD3B49" w:rsidRDefault="001F0303" w:rsidP="00F91776">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Preosjetljivost na aktivnu supstancu ili neku od pomoćnih supstanci</w:t>
      </w:r>
      <w:r w:rsidR="00AE0687" w:rsidRPr="00AD3B49">
        <w:rPr>
          <w:rFonts w:ascii="Times New Roman" w:hAnsi="Times New Roman" w:cs="Times New Roman"/>
          <w:sz w:val="22"/>
          <w:szCs w:val="22"/>
          <w:lang w:val="sr-Latn-ME"/>
        </w:rPr>
        <w:t xml:space="preserve"> navedenih u odjeljku 6.1</w:t>
      </w:r>
      <w:r w:rsidRPr="00AD3B49">
        <w:rPr>
          <w:rFonts w:ascii="Times New Roman" w:hAnsi="Times New Roman" w:cs="Times New Roman"/>
          <w:sz w:val="22"/>
          <w:szCs w:val="22"/>
          <w:lang w:val="sr-Latn-ME"/>
        </w:rPr>
        <w:t>.</w:t>
      </w:r>
    </w:p>
    <w:p w:rsidR="001F0303" w:rsidRPr="00AD3B49" w:rsidRDefault="001F0303" w:rsidP="00F91776">
      <w:pPr>
        <w:pStyle w:val="Default"/>
        <w:ind w:left="567" w:hanging="567"/>
        <w:jc w:val="both"/>
        <w:rPr>
          <w:rFonts w:ascii="Times New Roman" w:hAnsi="Times New Roman" w:cs="Times New Roman"/>
          <w:sz w:val="22"/>
          <w:szCs w:val="22"/>
          <w:lang w:val="sr-Latn-ME"/>
        </w:rPr>
      </w:pPr>
    </w:p>
    <w:p w:rsidR="001F0303" w:rsidRPr="00AD3B49" w:rsidRDefault="001F0303" w:rsidP="00F91776">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Aktivna tuberkuloza ili druge teške infekcije, poput sepse, i oportunističke infekcije (vidjeti </w:t>
      </w:r>
    </w:p>
    <w:p w:rsidR="001F0303" w:rsidRPr="00AD3B49" w:rsidRDefault="001F0303" w:rsidP="00F91776">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odjeljak 4.4).</w:t>
      </w:r>
    </w:p>
    <w:p w:rsidR="001F0303" w:rsidRPr="00AD3B49" w:rsidRDefault="001F0303" w:rsidP="00F91776">
      <w:pPr>
        <w:pStyle w:val="Default"/>
        <w:ind w:left="567" w:hanging="567"/>
        <w:jc w:val="both"/>
        <w:rPr>
          <w:rFonts w:ascii="Times New Roman" w:hAnsi="Times New Roman" w:cs="Times New Roman"/>
          <w:sz w:val="22"/>
          <w:szCs w:val="22"/>
          <w:lang w:val="sr-Latn-ME"/>
        </w:rPr>
      </w:pPr>
    </w:p>
    <w:p w:rsidR="001F0303" w:rsidRPr="00AD3B49" w:rsidRDefault="001F0303" w:rsidP="00F91776">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Umjerena do teška srčana </w:t>
      </w:r>
      <w:r w:rsidR="001573B4" w:rsidRPr="00AD3B49">
        <w:rPr>
          <w:rFonts w:ascii="Times New Roman" w:hAnsi="Times New Roman" w:cs="Times New Roman"/>
          <w:sz w:val="22"/>
          <w:szCs w:val="22"/>
          <w:lang w:val="sr-Latn-ME"/>
        </w:rPr>
        <w:t>insuficijencija</w:t>
      </w:r>
      <w:r w:rsidRPr="00AD3B49">
        <w:rPr>
          <w:rFonts w:ascii="Times New Roman" w:hAnsi="Times New Roman" w:cs="Times New Roman"/>
          <w:sz w:val="22"/>
          <w:szCs w:val="22"/>
          <w:lang w:val="sr-Latn-ME"/>
        </w:rPr>
        <w:t xml:space="preserve"> (NYHA </w:t>
      </w:r>
      <w:r w:rsidR="00AE0687" w:rsidRPr="00AD3B49">
        <w:rPr>
          <w:rFonts w:ascii="Times New Roman" w:hAnsi="Times New Roman" w:cs="Times New Roman"/>
          <w:sz w:val="22"/>
          <w:szCs w:val="22"/>
          <w:lang w:val="sr-Latn-ME"/>
        </w:rPr>
        <w:t xml:space="preserve">stepen </w:t>
      </w:r>
      <w:r w:rsidRPr="00AD3B49">
        <w:rPr>
          <w:rFonts w:ascii="Times New Roman" w:hAnsi="Times New Roman" w:cs="Times New Roman"/>
          <w:sz w:val="22"/>
          <w:szCs w:val="22"/>
          <w:lang w:val="sr-Latn-ME"/>
        </w:rPr>
        <w:t>III/IV) (vidjeti odjeljak 4.4).</w:t>
      </w:r>
    </w:p>
    <w:p w:rsidR="001F0303" w:rsidRPr="00AD3B49" w:rsidRDefault="001F0303" w:rsidP="001F0303">
      <w:pPr>
        <w:tabs>
          <w:tab w:val="left" w:pos="1739"/>
        </w:tabs>
        <w:rPr>
          <w:bCs/>
          <w:sz w:val="22"/>
          <w:szCs w:val="22"/>
          <w:lang w:val="sr-Latn-ME"/>
        </w:rPr>
      </w:pPr>
    </w:p>
    <w:p w:rsidR="00411B4B" w:rsidRPr="00AD3B49" w:rsidRDefault="00411B4B" w:rsidP="00480FB1">
      <w:pPr>
        <w:tabs>
          <w:tab w:val="left" w:pos="540"/>
          <w:tab w:val="left" w:pos="569"/>
        </w:tabs>
        <w:rPr>
          <w:b/>
          <w:bCs/>
          <w:sz w:val="22"/>
          <w:szCs w:val="22"/>
          <w:lang w:val="sr-Latn-ME"/>
        </w:rPr>
      </w:pPr>
      <w:r w:rsidRPr="00AD3B49">
        <w:rPr>
          <w:b/>
          <w:bCs/>
          <w:sz w:val="22"/>
          <w:szCs w:val="22"/>
          <w:lang w:val="sr-Latn-ME"/>
        </w:rPr>
        <w:t xml:space="preserve">4.4. </w:t>
      </w:r>
      <w:r w:rsidR="00480FB1" w:rsidRPr="00AD3B49">
        <w:rPr>
          <w:b/>
          <w:bCs/>
          <w:sz w:val="22"/>
          <w:szCs w:val="22"/>
          <w:lang w:val="sr-Latn-ME"/>
        </w:rPr>
        <w:tab/>
      </w:r>
      <w:r w:rsidRPr="00AD3B49">
        <w:rPr>
          <w:b/>
          <w:bCs/>
          <w:sz w:val="22"/>
          <w:szCs w:val="22"/>
          <w:lang w:val="sr-Latn-ME"/>
        </w:rPr>
        <w:t>Posebna upozorenja i mjere opreza pri upotrebi lijeka</w:t>
      </w:r>
    </w:p>
    <w:p w:rsidR="0072020E" w:rsidRPr="00AD3B49" w:rsidRDefault="00030852" w:rsidP="00030852">
      <w:pPr>
        <w:tabs>
          <w:tab w:val="left" w:pos="1141"/>
        </w:tabs>
        <w:rPr>
          <w:bCs/>
          <w:sz w:val="22"/>
          <w:szCs w:val="22"/>
          <w:lang w:val="sr-Latn-ME"/>
        </w:rPr>
      </w:pPr>
      <w:r w:rsidRPr="00AD3B49">
        <w:rPr>
          <w:bCs/>
          <w:sz w:val="22"/>
          <w:szCs w:val="22"/>
          <w:lang w:val="sr-Latn-ME"/>
        </w:rPr>
        <w:tab/>
      </w:r>
    </w:p>
    <w:p w:rsidR="00030852" w:rsidRPr="00AD3B49" w:rsidRDefault="00030852" w:rsidP="00030852">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Infekcije</w:t>
      </w: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Pacijenti tokom terapije antagonistima TNF-a su podložniji ozbiljnim infekcijama. Smanjena funkcija pluća može povećati rizik za nastanak infekcija. Prije, za vrijeme i nakon završ</w:t>
      </w:r>
      <w:r w:rsidR="00635624" w:rsidRPr="00AD3B49">
        <w:rPr>
          <w:rFonts w:ascii="Times New Roman" w:hAnsi="Times New Roman" w:cs="Times New Roman"/>
          <w:sz w:val="22"/>
          <w:szCs w:val="22"/>
          <w:lang w:val="sr-Latn-ME"/>
        </w:rPr>
        <w:t xml:space="preserve">etka liječenja </w:t>
      </w:r>
      <w:r w:rsidR="00884C20" w:rsidRPr="00AD3B49">
        <w:rPr>
          <w:rFonts w:ascii="Times New Roman" w:hAnsi="Times New Roman" w:cs="Times New Roman"/>
          <w:color w:val="auto"/>
          <w:sz w:val="22"/>
          <w:szCs w:val="22"/>
          <w:lang w:val="sr-Latn-ME"/>
        </w:rPr>
        <w:t xml:space="preserve">lijekom </w:t>
      </w:r>
      <w:r w:rsidR="00635624"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00635624" w:rsidRPr="00AD3B49">
        <w:rPr>
          <w:rFonts w:ascii="Times New Roman" w:hAnsi="Times New Roman" w:cs="Times New Roman"/>
          <w:sz w:val="22"/>
          <w:szCs w:val="22"/>
          <w:lang w:val="sr-Latn-ME"/>
        </w:rPr>
        <w:t xml:space="preserve"> pacijente</w:t>
      </w:r>
      <w:r w:rsidRPr="00AD3B49">
        <w:rPr>
          <w:rFonts w:ascii="Times New Roman" w:hAnsi="Times New Roman" w:cs="Times New Roman"/>
          <w:sz w:val="22"/>
          <w:szCs w:val="22"/>
          <w:lang w:val="sr-Latn-ME"/>
        </w:rPr>
        <w:t xml:space="preserve"> treba pažljivo pratiti zbog moguće pojave infekcija, uključujući tuberkulozu. Budući da izlučivanje adalimumaba može trajati i do četiri mjeseca, praćenje pacijenata treba nastaviti za vrijeme cijelog tog perioda.</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Liječenje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ne smije se započeti kod pacijenata s aktivnim infekcijama, uključujući hronične ili lokaliz</w:t>
      </w:r>
      <w:r w:rsidR="000B016F" w:rsidRPr="00AD3B49">
        <w:rPr>
          <w:rFonts w:ascii="Times New Roman" w:hAnsi="Times New Roman" w:cs="Times New Roman"/>
          <w:sz w:val="22"/>
          <w:szCs w:val="22"/>
          <w:lang w:val="sr-Latn-ME"/>
        </w:rPr>
        <w:t>ovane</w:t>
      </w:r>
      <w:r w:rsidRPr="00AD3B49">
        <w:rPr>
          <w:rFonts w:ascii="Times New Roman" w:hAnsi="Times New Roman" w:cs="Times New Roman"/>
          <w:sz w:val="22"/>
          <w:szCs w:val="22"/>
          <w:lang w:val="sr-Latn-ME"/>
        </w:rPr>
        <w:t xml:space="preserve"> infekcije sve dok se te infekcije ne suzbiju. Kod pacijenata koji su bili izloženi tuberkulozi i pacijenata koji su putovali u područja visokog rizika od tuberkuloze ili endemskih mikoza, kao što su histoplazmoza, kokcidioidomikoza ili blastomikoza, rizike i prednosti liječenja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treba razmotriti prije započinjanja liječenja (vidjeti </w:t>
      </w:r>
      <w:r w:rsidRPr="00AD3B49">
        <w:rPr>
          <w:rFonts w:ascii="Times New Roman" w:hAnsi="Times New Roman" w:cs="Times New Roman"/>
          <w:i/>
          <w:sz w:val="22"/>
          <w:szCs w:val="22"/>
          <w:lang w:val="sr-Latn-ME"/>
        </w:rPr>
        <w:t>druge oportunističke infekcije</w:t>
      </w:r>
      <w:r w:rsidRPr="00AD3B49">
        <w:rPr>
          <w:rFonts w:ascii="Times New Roman" w:hAnsi="Times New Roman" w:cs="Times New Roman"/>
          <w:sz w:val="22"/>
          <w:szCs w:val="22"/>
          <w:lang w:val="sr-Latn-ME"/>
        </w:rPr>
        <w:t>).</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Pacijente kod kojih se za vrijeme liječenja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razviju nove infekcije treba pažljivo pratiti i podvrgnuti kompletnoj dijagnostičkoj procjeni. Primjenu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treba obustaviti ako pacijent dobije novu tešku infekciju ili sepsu, te treba započeti odgovarajuću antimikrobnu ili antifungalnu terapiju sve dok se infekcija ne suzbije. Ljekari trebaju oprezno razmotriti liječenje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kod pacijenata s čestim infekcijama u anamnezi ili osnovnim bolestima koje pogoduju razvoju infekcija, uključujući istovremenu upotrebu imunosupresivnih ljekova. </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i/>
          <w:iCs/>
          <w:sz w:val="22"/>
          <w:szCs w:val="22"/>
          <w:u w:val="single"/>
          <w:lang w:val="sr-Latn-ME"/>
        </w:rPr>
      </w:pPr>
      <w:r w:rsidRPr="00AD3B49">
        <w:rPr>
          <w:rFonts w:ascii="Times New Roman" w:hAnsi="Times New Roman" w:cs="Times New Roman"/>
          <w:i/>
          <w:iCs/>
          <w:sz w:val="22"/>
          <w:szCs w:val="22"/>
          <w:u w:val="single"/>
          <w:lang w:val="sr-Latn-ME"/>
        </w:rPr>
        <w:t>Ozbiljne infekcije:</w:t>
      </w:r>
    </w:p>
    <w:p w:rsidR="00030852" w:rsidRPr="00AD3B49" w:rsidRDefault="000961E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Kod pacijenata</w:t>
      </w:r>
      <w:r w:rsidR="00030852" w:rsidRPr="00AD3B49">
        <w:rPr>
          <w:rFonts w:ascii="Times New Roman" w:hAnsi="Times New Roman" w:cs="Times New Roman"/>
          <w:sz w:val="22"/>
          <w:szCs w:val="22"/>
          <w:lang w:val="sr-Latn-ME"/>
        </w:rPr>
        <w:t xml:space="preserve"> koji su primali </w:t>
      </w:r>
      <w:r w:rsidR="00C10995" w:rsidRPr="00AD3B49">
        <w:rPr>
          <w:rFonts w:ascii="Times New Roman" w:hAnsi="Times New Roman" w:cs="Times New Roman"/>
          <w:color w:val="auto"/>
          <w:sz w:val="22"/>
          <w:szCs w:val="22"/>
          <w:lang w:val="sr-Latn-ME"/>
        </w:rPr>
        <w:t xml:space="preserve">lijek </w:t>
      </w:r>
      <w:r w:rsidR="00030852" w:rsidRPr="00AD3B49">
        <w:rPr>
          <w:rFonts w:ascii="Times New Roman" w:hAnsi="Times New Roman" w:cs="Times New Roman"/>
          <w:sz w:val="22"/>
          <w:szCs w:val="22"/>
          <w:lang w:val="sr-Latn-ME"/>
        </w:rPr>
        <w:t>Humir</w:t>
      </w:r>
      <w:r w:rsidR="00C10995" w:rsidRPr="00AD3B49">
        <w:rPr>
          <w:rFonts w:ascii="Times New Roman" w:hAnsi="Times New Roman" w:cs="Times New Roman"/>
          <w:sz w:val="22"/>
          <w:szCs w:val="22"/>
          <w:lang w:val="sr-Latn-ME"/>
        </w:rPr>
        <w:t>a</w:t>
      </w:r>
      <w:r w:rsidR="00030852" w:rsidRPr="00AD3B49">
        <w:rPr>
          <w:rFonts w:ascii="Times New Roman" w:hAnsi="Times New Roman" w:cs="Times New Roman"/>
          <w:sz w:val="22"/>
          <w:szCs w:val="22"/>
          <w:lang w:val="sr-Latn-ME"/>
        </w:rPr>
        <w:t xml:space="preserve"> zabilježene su ozbiljne infekcije, uključujući sepsu, uzrokovane bakterijama, mikobakterijama, invazivnim gljivicama, parazitima, virusima, ili druge oportunističke infekcije poput listerioze, legioneloze i pneumocistisa.</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Ostale ozbiljne infekcije primijećene u kliničkim ispitivanjima uključuju pneumoniju, pijelonefritis, septički artritis i septikemiju. Prijavljene su hospitalizacije ili fatalni ishodi povezani s infekcijama.</w:t>
      </w:r>
      <w:r w:rsidRPr="00AD3B49" w:rsidDel="009B604E">
        <w:rPr>
          <w:rFonts w:ascii="Times New Roman" w:hAnsi="Times New Roman" w:cs="Times New Roman"/>
          <w:sz w:val="22"/>
          <w:szCs w:val="22"/>
          <w:lang w:val="sr-Latn-ME"/>
        </w:rPr>
        <w:t xml:space="preserve"> </w:t>
      </w:r>
    </w:p>
    <w:p w:rsidR="00030852" w:rsidRPr="00AD3B49" w:rsidRDefault="00030852" w:rsidP="00030852">
      <w:pPr>
        <w:pStyle w:val="Default"/>
        <w:jc w:val="both"/>
        <w:rPr>
          <w:rFonts w:ascii="Times New Roman" w:hAnsi="Times New Roman" w:cs="Times New Roman"/>
          <w:sz w:val="22"/>
          <w:szCs w:val="22"/>
          <w:u w:val="single"/>
          <w:lang w:val="sr-Latn-ME"/>
        </w:rPr>
      </w:pPr>
    </w:p>
    <w:p w:rsidR="00030852" w:rsidRPr="00AD3B49" w:rsidRDefault="00030852" w:rsidP="00030852">
      <w:pPr>
        <w:pStyle w:val="Default"/>
        <w:jc w:val="both"/>
        <w:rPr>
          <w:rFonts w:ascii="Times New Roman" w:hAnsi="Times New Roman" w:cs="Times New Roman"/>
          <w:i/>
          <w:iCs/>
          <w:sz w:val="22"/>
          <w:szCs w:val="22"/>
          <w:u w:val="single"/>
          <w:lang w:val="sr-Latn-ME"/>
        </w:rPr>
      </w:pPr>
      <w:r w:rsidRPr="00AD3B49">
        <w:rPr>
          <w:rFonts w:ascii="Times New Roman" w:hAnsi="Times New Roman" w:cs="Times New Roman"/>
          <w:i/>
          <w:iCs/>
          <w:sz w:val="22"/>
          <w:szCs w:val="22"/>
          <w:u w:val="single"/>
          <w:lang w:val="sr-Latn-ME"/>
        </w:rPr>
        <w:t>Tuberkuloza:</w:t>
      </w:r>
    </w:p>
    <w:p w:rsidR="00030852" w:rsidRPr="00AD3B49" w:rsidRDefault="008C19AE"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Kod pacijenata</w:t>
      </w:r>
      <w:r w:rsidR="00030852" w:rsidRPr="00AD3B49">
        <w:rPr>
          <w:rFonts w:ascii="Times New Roman" w:hAnsi="Times New Roman" w:cs="Times New Roman"/>
          <w:sz w:val="22"/>
          <w:szCs w:val="22"/>
          <w:lang w:val="sr-Latn-ME"/>
        </w:rPr>
        <w:t xml:space="preserve"> koji primaju </w:t>
      </w:r>
      <w:r w:rsidR="00C10995" w:rsidRPr="00AD3B49">
        <w:rPr>
          <w:rFonts w:ascii="Times New Roman" w:hAnsi="Times New Roman" w:cs="Times New Roman"/>
          <w:color w:val="auto"/>
          <w:sz w:val="22"/>
          <w:szCs w:val="22"/>
          <w:lang w:val="sr-Latn-ME"/>
        </w:rPr>
        <w:t xml:space="preserve">lijek </w:t>
      </w:r>
      <w:r w:rsidR="00030852" w:rsidRPr="00AD3B49">
        <w:rPr>
          <w:rFonts w:ascii="Times New Roman" w:hAnsi="Times New Roman" w:cs="Times New Roman"/>
          <w:sz w:val="22"/>
          <w:szCs w:val="22"/>
          <w:lang w:val="sr-Latn-ME"/>
        </w:rPr>
        <w:t>Humir</w:t>
      </w:r>
      <w:r w:rsidR="00C10995" w:rsidRPr="00AD3B49">
        <w:rPr>
          <w:rFonts w:ascii="Times New Roman" w:hAnsi="Times New Roman" w:cs="Times New Roman"/>
          <w:sz w:val="22"/>
          <w:szCs w:val="22"/>
          <w:lang w:val="sr-Latn-ME"/>
        </w:rPr>
        <w:t>a</w:t>
      </w:r>
      <w:r w:rsidR="00030852" w:rsidRPr="00AD3B49">
        <w:rPr>
          <w:rFonts w:ascii="Times New Roman" w:hAnsi="Times New Roman" w:cs="Times New Roman"/>
          <w:sz w:val="22"/>
          <w:szCs w:val="22"/>
          <w:lang w:val="sr-Latn-ME"/>
        </w:rPr>
        <w:t xml:space="preserve"> prijavljeni su slučajevi reaktiviranja ili pojave tuberkuloze. Prijavljeni slučajevi uključivali su pulmonarnu i ekstrapulmonarnu, odnosno </w:t>
      </w:r>
      <w:r w:rsidR="00AE0687" w:rsidRPr="00AD3B49">
        <w:rPr>
          <w:rFonts w:ascii="Times New Roman" w:hAnsi="Times New Roman" w:cs="Times New Roman"/>
          <w:sz w:val="22"/>
          <w:szCs w:val="22"/>
          <w:lang w:val="sr-Latn-ME"/>
        </w:rPr>
        <w:t>diseminovanu</w:t>
      </w:r>
      <w:r w:rsidR="00030852" w:rsidRPr="00AD3B49">
        <w:rPr>
          <w:rFonts w:ascii="Times New Roman" w:hAnsi="Times New Roman" w:cs="Times New Roman"/>
          <w:sz w:val="22"/>
          <w:szCs w:val="22"/>
          <w:lang w:val="sr-Latn-ME"/>
        </w:rPr>
        <w:t xml:space="preserve"> tuberkulozu.</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Prije početka</w:t>
      </w:r>
      <w:r w:rsidR="008C19AE" w:rsidRPr="00AD3B49">
        <w:rPr>
          <w:rFonts w:ascii="Times New Roman" w:hAnsi="Times New Roman" w:cs="Times New Roman"/>
          <w:sz w:val="22"/>
          <w:szCs w:val="22"/>
          <w:lang w:val="sr-Latn-ME"/>
        </w:rPr>
        <w:t xml:space="preserve"> liječenja </w:t>
      </w:r>
      <w:r w:rsidR="00884C20" w:rsidRPr="00AD3B49">
        <w:rPr>
          <w:rFonts w:ascii="Times New Roman" w:hAnsi="Times New Roman" w:cs="Times New Roman"/>
          <w:color w:val="auto"/>
          <w:sz w:val="22"/>
          <w:szCs w:val="22"/>
          <w:lang w:val="sr-Latn-ME"/>
        </w:rPr>
        <w:t xml:space="preserve">lijekom </w:t>
      </w:r>
      <w:r w:rsidR="008C19AE"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008C19AE" w:rsidRPr="00AD3B49">
        <w:rPr>
          <w:rFonts w:ascii="Times New Roman" w:hAnsi="Times New Roman" w:cs="Times New Roman"/>
          <w:sz w:val="22"/>
          <w:szCs w:val="22"/>
          <w:lang w:val="sr-Latn-ME"/>
        </w:rPr>
        <w:t xml:space="preserve"> sve pacijente</w:t>
      </w:r>
      <w:r w:rsidRPr="00AD3B49">
        <w:rPr>
          <w:rFonts w:ascii="Times New Roman" w:hAnsi="Times New Roman" w:cs="Times New Roman"/>
          <w:sz w:val="22"/>
          <w:szCs w:val="22"/>
          <w:lang w:val="sr-Latn-ME"/>
        </w:rPr>
        <w:t xml:space="preserve"> treba podvr</w:t>
      </w:r>
      <w:r w:rsidR="00AE66DE" w:rsidRPr="00AD3B49">
        <w:rPr>
          <w:rFonts w:ascii="Times New Roman" w:hAnsi="Times New Roman" w:cs="Times New Roman"/>
          <w:sz w:val="22"/>
          <w:szCs w:val="22"/>
          <w:lang w:val="sr-Latn-ME"/>
        </w:rPr>
        <w:t>gnuti pretragama za otkrivanje</w:t>
      </w:r>
      <w:r w:rsidRPr="00AD3B49">
        <w:rPr>
          <w:rFonts w:ascii="Times New Roman" w:hAnsi="Times New Roman" w:cs="Times New Roman"/>
          <w:sz w:val="22"/>
          <w:szCs w:val="22"/>
          <w:lang w:val="sr-Latn-ME"/>
        </w:rPr>
        <w:t xml:space="preserve"> aktivnog ili neaktivnog (latentnog) oblika tuberkuloze. Te pretrage trebaju obuhvatiti uzimanje detal</w:t>
      </w:r>
      <w:r w:rsidR="008C19AE" w:rsidRPr="00AD3B49">
        <w:rPr>
          <w:rFonts w:ascii="Times New Roman" w:hAnsi="Times New Roman" w:cs="Times New Roman"/>
          <w:sz w:val="22"/>
          <w:szCs w:val="22"/>
          <w:lang w:val="sr-Latn-ME"/>
        </w:rPr>
        <w:t>jne medicinske procjene pacijenta čija lična</w:t>
      </w:r>
      <w:r w:rsidRPr="00AD3B49">
        <w:rPr>
          <w:rFonts w:ascii="Times New Roman" w:hAnsi="Times New Roman" w:cs="Times New Roman"/>
          <w:sz w:val="22"/>
          <w:szCs w:val="22"/>
          <w:lang w:val="sr-Latn-ME"/>
        </w:rPr>
        <w:t xml:space="preserve"> anamneza uključuje tuberkulozu ili eventual</w:t>
      </w:r>
      <w:r w:rsidR="008C19AE" w:rsidRPr="00AD3B49">
        <w:rPr>
          <w:rFonts w:ascii="Times New Roman" w:hAnsi="Times New Roman" w:cs="Times New Roman"/>
          <w:sz w:val="22"/>
          <w:szCs w:val="22"/>
          <w:lang w:val="sr-Latn-ME"/>
        </w:rPr>
        <w:t>nu raniju izloženost pacijentima</w:t>
      </w:r>
      <w:r w:rsidRPr="00AD3B49">
        <w:rPr>
          <w:rFonts w:ascii="Times New Roman" w:hAnsi="Times New Roman" w:cs="Times New Roman"/>
          <w:sz w:val="22"/>
          <w:szCs w:val="22"/>
          <w:lang w:val="sr-Latn-ME"/>
        </w:rPr>
        <w:t xml:space="preserve"> s akt</w:t>
      </w:r>
      <w:r w:rsidR="00AE66DE" w:rsidRPr="00AD3B49">
        <w:rPr>
          <w:rFonts w:ascii="Times New Roman" w:hAnsi="Times New Roman" w:cs="Times New Roman"/>
          <w:sz w:val="22"/>
          <w:szCs w:val="22"/>
          <w:lang w:val="sr-Latn-ME"/>
        </w:rPr>
        <w:t>ivnom tuberkulozom, te pret</w:t>
      </w:r>
      <w:r w:rsidR="008C19AE" w:rsidRPr="00AD3B49">
        <w:rPr>
          <w:rFonts w:ascii="Times New Roman" w:hAnsi="Times New Roman" w:cs="Times New Roman"/>
          <w:sz w:val="22"/>
          <w:szCs w:val="22"/>
          <w:lang w:val="sr-Latn-ME"/>
        </w:rPr>
        <w:t>hodno</w:t>
      </w:r>
      <w:r w:rsidRPr="00AD3B49">
        <w:rPr>
          <w:rFonts w:ascii="Times New Roman" w:hAnsi="Times New Roman" w:cs="Times New Roman"/>
          <w:sz w:val="22"/>
          <w:szCs w:val="22"/>
          <w:lang w:val="sr-Latn-ME"/>
        </w:rPr>
        <w:t xml:space="preserve"> i/ili sadašn</w:t>
      </w:r>
      <w:r w:rsidR="000961E2" w:rsidRPr="00AD3B49">
        <w:rPr>
          <w:rFonts w:ascii="Times New Roman" w:hAnsi="Times New Roman" w:cs="Times New Roman"/>
          <w:sz w:val="22"/>
          <w:szCs w:val="22"/>
          <w:lang w:val="sr-Latn-ME"/>
        </w:rPr>
        <w:t>je liječenje imunosupresivnim l</w:t>
      </w:r>
      <w:r w:rsidRPr="00AD3B49">
        <w:rPr>
          <w:rFonts w:ascii="Times New Roman" w:hAnsi="Times New Roman" w:cs="Times New Roman"/>
          <w:sz w:val="22"/>
          <w:szCs w:val="22"/>
          <w:lang w:val="sr-Latn-ME"/>
        </w:rPr>
        <w:t xml:space="preserve">jekovima. Kod </w:t>
      </w:r>
      <w:r w:rsidR="008C19AE" w:rsidRPr="00AD3B49">
        <w:rPr>
          <w:rFonts w:ascii="Times New Roman" w:hAnsi="Times New Roman" w:cs="Times New Roman"/>
          <w:sz w:val="22"/>
          <w:szCs w:val="22"/>
          <w:lang w:val="sr-Latn-ME"/>
        </w:rPr>
        <w:t>svih pacijenata</w:t>
      </w:r>
      <w:r w:rsidRPr="00AD3B49">
        <w:rPr>
          <w:rFonts w:ascii="Times New Roman" w:hAnsi="Times New Roman" w:cs="Times New Roman"/>
          <w:sz w:val="22"/>
          <w:szCs w:val="22"/>
          <w:lang w:val="sr-Latn-ME"/>
        </w:rPr>
        <w:t xml:space="preserve"> treba </w:t>
      </w:r>
      <w:r w:rsidR="005A0E3A" w:rsidRPr="00AD3B49">
        <w:rPr>
          <w:rFonts w:ascii="Times New Roman" w:hAnsi="Times New Roman" w:cs="Times New Roman"/>
          <w:sz w:val="22"/>
          <w:szCs w:val="22"/>
          <w:lang w:val="sr-Latn-ME"/>
        </w:rPr>
        <w:t>s</w:t>
      </w:r>
      <w:r w:rsidRPr="00AD3B49">
        <w:rPr>
          <w:rFonts w:ascii="Times New Roman" w:hAnsi="Times New Roman" w:cs="Times New Roman"/>
          <w:sz w:val="22"/>
          <w:szCs w:val="22"/>
          <w:lang w:val="sr-Latn-ME"/>
        </w:rPr>
        <w:t xml:space="preserve">provesti odgovarajuće testove provjere tj. tuberkulinski kožni test i rendgen pluća (treba se pridržavati lokalnih preporuka). Preporučuje se evidentiranje rezultata </w:t>
      </w:r>
      <w:r w:rsidR="008C19AE" w:rsidRPr="00AD3B49">
        <w:rPr>
          <w:rFonts w:ascii="Times New Roman" w:hAnsi="Times New Roman" w:cs="Times New Roman"/>
          <w:sz w:val="22"/>
          <w:szCs w:val="22"/>
          <w:lang w:val="sr-Latn-ME"/>
        </w:rPr>
        <w:t>obavljenih testova u pacijentovu</w:t>
      </w:r>
      <w:r w:rsidRPr="00AD3B49">
        <w:rPr>
          <w:rFonts w:ascii="Times New Roman" w:hAnsi="Times New Roman" w:cs="Times New Roman"/>
          <w:sz w:val="22"/>
          <w:szCs w:val="22"/>
          <w:lang w:val="sr-Latn-ME"/>
        </w:rPr>
        <w:t xml:space="preserve"> knjižicu sa upozorenjima. Pritom treba imati na umu da tuberkulinski kožni test može dati lažno negativne rezultate, naročito kod teško bolesnih il</w:t>
      </w:r>
      <w:r w:rsidR="00AE66DE" w:rsidRPr="00AD3B49">
        <w:rPr>
          <w:rFonts w:ascii="Times New Roman" w:hAnsi="Times New Roman" w:cs="Times New Roman"/>
          <w:sz w:val="22"/>
          <w:szCs w:val="22"/>
          <w:lang w:val="sr-Latn-ME"/>
        </w:rPr>
        <w:t>i imunokompromitov</w:t>
      </w:r>
      <w:r w:rsidR="008C19AE" w:rsidRPr="00AD3B49">
        <w:rPr>
          <w:rFonts w:ascii="Times New Roman" w:hAnsi="Times New Roman" w:cs="Times New Roman"/>
          <w:sz w:val="22"/>
          <w:szCs w:val="22"/>
          <w:lang w:val="sr-Latn-ME"/>
        </w:rPr>
        <w:t>anih pacijenata</w:t>
      </w:r>
      <w:r w:rsidRPr="00AD3B49">
        <w:rPr>
          <w:rFonts w:ascii="Times New Roman" w:hAnsi="Times New Roman" w:cs="Times New Roman"/>
          <w:sz w:val="22"/>
          <w:szCs w:val="22"/>
          <w:lang w:val="sr-Latn-ME"/>
        </w:rPr>
        <w:t>.</w:t>
      </w:r>
    </w:p>
    <w:p w:rsidR="00030852" w:rsidRPr="00AD3B49" w:rsidRDefault="00030852" w:rsidP="00030852">
      <w:pPr>
        <w:pStyle w:val="Default"/>
        <w:ind w:left="567" w:hanging="567"/>
        <w:jc w:val="both"/>
        <w:rPr>
          <w:rFonts w:ascii="Times New Roman" w:hAnsi="Times New Roman" w:cs="Times New Roman"/>
          <w:sz w:val="22"/>
          <w:szCs w:val="22"/>
          <w:lang w:val="sr-Latn-ME"/>
        </w:rPr>
      </w:pPr>
    </w:p>
    <w:p w:rsidR="00030852" w:rsidRPr="00AD3B49" w:rsidRDefault="009A340C"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Ukoliko se dijagnostikuje</w:t>
      </w:r>
      <w:r w:rsidR="00030852" w:rsidRPr="00AD3B49">
        <w:rPr>
          <w:rFonts w:ascii="Times New Roman" w:hAnsi="Times New Roman" w:cs="Times New Roman"/>
          <w:sz w:val="22"/>
          <w:szCs w:val="22"/>
          <w:lang w:val="sr-Latn-ME"/>
        </w:rPr>
        <w:t xml:space="preserve"> aktivna tuberkuloza, ne smije se započet</w:t>
      </w:r>
      <w:r w:rsidRPr="00AD3B49">
        <w:rPr>
          <w:rFonts w:ascii="Times New Roman" w:hAnsi="Times New Roman" w:cs="Times New Roman"/>
          <w:sz w:val="22"/>
          <w:szCs w:val="22"/>
          <w:lang w:val="sr-Latn-ME"/>
        </w:rPr>
        <w:t xml:space="preserve">i liječenje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(vidjeti </w:t>
      </w:r>
      <w:r w:rsidR="002D5061" w:rsidRPr="00AD3B49">
        <w:rPr>
          <w:rFonts w:ascii="Times New Roman" w:hAnsi="Times New Roman" w:cs="Times New Roman"/>
          <w:sz w:val="22"/>
          <w:szCs w:val="22"/>
          <w:lang w:val="sr-Latn-ME"/>
        </w:rPr>
        <w:t>odjeljak</w:t>
      </w:r>
      <w:r w:rsidR="00030852" w:rsidRPr="00AD3B49">
        <w:rPr>
          <w:rFonts w:ascii="Times New Roman" w:hAnsi="Times New Roman" w:cs="Times New Roman"/>
          <w:sz w:val="22"/>
          <w:szCs w:val="22"/>
          <w:lang w:val="sr-Latn-ME"/>
        </w:rPr>
        <w:t xml:space="preserve"> 4.3).</w:t>
      </w:r>
    </w:p>
    <w:p w:rsidR="00030852" w:rsidRPr="00AD3B49" w:rsidRDefault="00030852" w:rsidP="00030852">
      <w:pPr>
        <w:pStyle w:val="Default"/>
        <w:ind w:left="567" w:hanging="567"/>
        <w:jc w:val="both"/>
        <w:rPr>
          <w:rFonts w:ascii="Times New Roman" w:hAnsi="Times New Roman" w:cs="Times New Roman"/>
          <w:sz w:val="22"/>
          <w:szCs w:val="22"/>
          <w:lang w:val="sr-Latn-ME"/>
        </w:rPr>
      </w:pPr>
    </w:p>
    <w:p w:rsidR="00030852" w:rsidRPr="00AD3B49" w:rsidRDefault="00030852" w:rsidP="00030852">
      <w:pPr>
        <w:jc w:val="both"/>
        <w:rPr>
          <w:color w:val="000000"/>
          <w:sz w:val="22"/>
          <w:szCs w:val="22"/>
          <w:lang w:val="sr-Latn-ME"/>
        </w:rPr>
      </w:pPr>
      <w:r w:rsidRPr="00AD3B49">
        <w:rPr>
          <w:color w:val="000000"/>
          <w:sz w:val="22"/>
          <w:szCs w:val="22"/>
          <w:lang w:val="sr-Latn-ME"/>
        </w:rPr>
        <w:t>U svim situacijama koje su opisane u nastavku, pažljivo treba procijeniti odnos rizika i koristi terapije.</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Ukoliko postoji sumnja na latentnu tuberkulozu, potrebno je konsultovati ljekara s </w:t>
      </w:r>
      <w:r w:rsidR="00AE66DE" w:rsidRPr="00AD3B49">
        <w:rPr>
          <w:rFonts w:ascii="Times New Roman" w:hAnsi="Times New Roman" w:cs="Times New Roman"/>
          <w:sz w:val="22"/>
          <w:szCs w:val="22"/>
          <w:lang w:val="sr-Latn-ME"/>
        </w:rPr>
        <w:t>iskustvom u liječenju tuberkuloz</w:t>
      </w:r>
      <w:r w:rsidRPr="00AD3B49">
        <w:rPr>
          <w:rFonts w:ascii="Times New Roman" w:hAnsi="Times New Roman" w:cs="Times New Roman"/>
          <w:sz w:val="22"/>
          <w:szCs w:val="22"/>
          <w:lang w:val="sr-Latn-ME"/>
        </w:rPr>
        <w:t>e.</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9A340C"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Ukoliko se dijagnostikuje</w:t>
      </w:r>
      <w:r w:rsidR="00030852" w:rsidRPr="00AD3B49">
        <w:rPr>
          <w:rFonts w:ascii="Times New Roman" w:hAnsi="Times New Roman" w:cs="Times New Roman"/>
          <w:sz w:val="22"/>
          <w:szCs w:val="22"/>
          <w:lang w:val="sr-Latn-ME"/>
        </w:rPr>
        <w:t xml:space="preserve"> </w:t>
      </w:r>
      <w:r w:rsidR="00F71DB9" w:rsidRPr="00AD3B49">
        <w:rPr>
          <w:rFonts w:ascii="Times New Roman" w:hAnsi="Times New Roman" w:cs="Times New Roman"/>
          <w:sz w:val="22"/>
          <w:szCs w:val="22"/>
          <w:lang w:val="sr-Latn-ME"/>
        </w:rPr>
        <w:t xml:space="preserve">neaktivna (“latentna“) </w:t>
      </w:r>
      <w:r w:rsidR="00030852" w:rsidRPr="00AD3B49">
        <w:rPr>
          <w:rFonts w:ascii="Times New Roman" w:hAnsi="Times New Roman" w:cs="Times New Roman"/>
          <w:sz w:val="22"/>
          <w:szCs w:val="22"/>
          <w:lang w:val="sr-Latn-ME"/>
        </w:rPr>
        <w:t xml:space="preserve">tuberkuloza, prije početka liječenja </w:t>
      </w:r>
      <w:r w:rsidR="00884C20" w:rsidRPr="00AD3B49">
        <w:rPr>
          <w:rFonts w:ascii="Times New Roman" w:hAnsi="Times New Roman" w:cs="Times New Roman"/>
          <w:color w:val="auto"/>
          <w:sz w:val="22"/>
          <w:szCs w:val="22"/>
          <w:lang w:val="sr-Latn-ME"/>
        </w:rPr>
        <w:t xml:space="preserve">lijekom </w:t>
      </w:r>
      <w:r w:rsidR="00030852"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00030852" w:rsidRPr="00AD3B49">
        <w:rPr>
          <w:rFonts w:ascii="Times New Roman" w:hAnsi="Times New Roman" w:cs="Times New Roman"/>
          <w:sz w:val="22"/>
          <w:szCs w:val="22"/>
          <w:lang w:val="sr-Latn-ME"/>
        </w:rPr>
        <w:t xml:space="preserve"> treba započeti odgovarajuću antituberkuloznu profilaksu za</w:t>
      </w:r>
      <w:r w:rsidR="00030852" w:rsidRPr="00AD3B49">
        <w:rPr>
          <w:sz w:val="22"/>
          <w:szCs w:val="22"/>
          <w:lang w:val="sr-Latn-ME"/>
        </w:rPr>
        <w:t xml:space="preserve"> </w:t>
      </w:r>
      <w:r w:rsidR="00030852" w:rsidRPr="00AD3B49">
        <w:rPr>
          <w:rFonts w:ascii="Times New Roman" w:hAnsi="Times New Roman" w:cs="Times New Roman"/>
          <w:sz w:val="22"/>
          <w:szCs w:val="22"/>
          <w:lang w:val="sr-Latn-ME"/>
        </w:rPr>
        <w:t xml:space="preserve">latentnu tuberkulozu, i to u skladu sa lokalnim preporukama. </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635624"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Kod pacijenata</w:t>
      </w:r>
      <w:r w:rsidR="00030852" w:rsidRPr="00AD3B49">
        <w:rPr>
          <w:rFonts w:ascii="Times New Roman" w:hAnsi="Times New Roman" w:cs="Times New Roman"/>
          <w:sz w:val="22"/>
          <w:szCs w:val="22"/>
          <w:lang w:val="sr-Latn-ME"/>
        </w:rPr>
        <w:t xml:space="preserve"> koji imaju nekoliko ili značajne faktore rizika za tuberkulozu, uprkos negativnom testu na </w:t>
      </w:r>
      <w:r w:rsidR="009A340C" w:rsidRPr="00AD3B49">
        <w:rPr>
          <w:rFonts w:ascii="Times New Roman" w:hAnsi="Times New Roman" w:cs="Times New Roman"/>
          <w:sz w:val="22"/>
          <w:szCs w:val="22"/>
          <w:lang w:val="sr-Latn-ME"/>
        </w:rPr>
        <w:t>tuberkulozu i kod pacijenata</w:t>
      </w:r>
      <w:r w:rsidR="00030852" w:rsidRPr="00AD3B49">
        <w:rPr>
          <w:rFonts w:ascii="Times New Roman" w:hAnsi="Times New Roman" w:cs="Times New Roman"/>
          <w:sz w:val="22"/>
          <w:szCs w:val="22"/>
          <w:lang w:val="sr-Latn-ME"/>
        </w:rPr>
        <w:t xml:space="preserve"> s latentnom ili aktivnom tuberkulozom u anamnezi kod kojih se ne može potvrditi </w:t>
      </w:r>
      <w:r w:rsidR="009A340C" w:rsidRPr="00AD3B49">
        <w:rPr>
          <w:rFonts w:ascii="Times New Roman" w:hAnsi="Times New Roman" w:cs="Times New Roman"/>
          <w:sz w:val="22"/>
          <w:szCs w:val="22"/>
          <w:lang w:val="sr-Latn-ME"/>
        </w:rPr>
        <w:t>adekvatan tok liječenja, takođe</w:t>
      </w:r>
      <w:r w:rsidR="00030852" w:rsidRPr="00AD3B49">
        <w:rPr>
          <w:rFonts w:ascii="Times New Roman" w:hAnsi="Times New Roman" w:cs="Times New Roman"/>
          <w:sz w:val="22"/>
          <w:szCs w:val="22"/>
          <w:lang w:val="sr-Latn-ME"/>
        </w:rPr>
        <w:t xml:space="preserve"> treba razmotriti antituberkuloznu terapiju prije početka liječenja </w:t>
      </w:r>
      <w:r w:rsidR="00884C20" w:rsidRPr="00AD3B49">
        <w:rPr>
          <w:rFonts w:ascii="Times New Roman" w:hAnsi="Times New Roman" w:cs="Times New Roman"/>
          <w:color w:val="auto"/>
          <w:sz w:val="22"/>
          <w:szCs w:val="22"/>
          <w:lang w:val="sr-Latn-ME"/>
        </w:rPr>
        <w:t xml:space="preserve">lijekom </w:t>
      </w:r>
      <w:r w:rsidR="00030852"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00030852" w:rsidRPr="00AD3B49">
        <w:rPr>
          <w:rFonts w:ascii="Times New Roman" w:hAnsi="Times New Roman" w:cs="Times New Roman"/>
          <w:sz w:val="22"/>
          <w:szCs w:val="22"/>
          <w:lang w:val="sr-Latn-ME"/>
        </w:rPr>
        <w:t>.</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Uprkos primjeni antituberkulozne profilakse, pojavili su se neki slučajevi reaktivirane tuberkuloze kod pacijenata liječenih </w:t>
      </w:r>
      <w:r w:rsidR="00884C20" w:rsidRPr="00AD3B49">
        <w:rPr>
          <w:rFonts w:ascii="Times New Roman" w:hAnsi="Times New Roman" w:cs="Times New Roman"/>
          <w:color w:val="auto"/>
          <w:sz w:val="22"/>
          <w:szCs w:val="22"/>
          <w:lang w:val="sr-Latn-ME"/>
        </w:rPr>
        <w:t xml:space="preserve">lijekom </w:t>
      </w:r>
      <w:r w:rsidR="009A340C"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009A340C" w:rsidRPr="00AD3B49">
        <w:rPr>
          <w:rFonts w:ascii="Times New Roman" w:hAnsi="Times New Roman" w:cs="Times New Roman"/>
          <w:sz w:val="22"/>
          <w:szCs w:val="22"/>
          <w:lang w:val="sr-Latn-ME"/>
        </w:rPr>
        <w:t>. Kod pojedinih pacijenata</w:t>
      </w:r>
      <w:r w:rsidRPr="00AD3B49">
        <w:rPr>
          <w:rFonts w:ascii="Times New Roman" w:hAnsi="Times New Roman" w:cs="Times New Roman"/>
          <w:sz w:val="22"/>
          <w:szCs w:val="22"/>
          <w:lang w:val="sr-Latn-ME"/>
        </w:rPr>
        <w:t xml:space="preserve"> koji su bili uspješno izliječeni od aktivne tuberkuloze, se ponovo razvila tuberkuloza za vrijeme liječenja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9A340C"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Pacijente</w:t>
      </w:r>
      <w:r w:rsidR="00030852" w:rsidRPr="00AD3B49">
        <w:rPr>
          <w:rFonts w:ascii="Times New Roman" w:hAnsi="Times New Roman" w:cs="Times New Roman"/>
          <w:sz w:val="22"/>
          <w:szCs w:val="22"/>
          <w:lang w:val="sr-Latn-ME"/>
        </w:rPr>
        <w:t xml:space="preserve"> treba upozoriti da se obrate ljekaru ako se za vrijeme liječenja </w:t>
      </w:r>
      <w:r w:rsidR="00884C20" w:rsidRPr="00AD3B49">
        <w:rPr>
          <w:rFonts w:ascii="Times New Roman" w:hAnsi="Times New Roman" w:cs="Times New Roman"/>
          <w:color w:val="auto"/>
          <w:sz w:val="22"/>
          <w:szCs w:val="22"/>
          <w:lang w:val="sr-Latn-ME"/>
        </w:rPr>
        <w:t xml:space="preserve">lijekom </w:t>
      </w:r>
      <w:r w:rsidR="00030852"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00030852" w:rsidRPr="00AD3B49">
        <w:rPr>
          <w:rFonts w:ascii="Times New Roman" w:hAnsi="Times New Roman" w:cs="Times New Roman"/>
          <w:sz w:val="22"/>
          <w:szCs w:val="22"/>
          <w:lang w:val="sr-Latn-ME"/>
        </w:rPr>
        <w:t xml:space="preserve"> ili poslije njega pojave znakovi/simptomi koji upućuju na tuberkulozu (npr. tvrdokoran kašalj, gubitak težine, blago povišena tjelesna temperatura, obamrlost).</w:t>
      </w:r>
    </w:p>
    <w:p w:rsidR="00030852" w:rsidRPr="00AD3B49" w:rsidRDefault="00030852" w:rsidP="00030852">
      <w:pPr>
        <w:pStyle w:val="Default"/>
        <w:ind w:left="567" w:hanging="567"/>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i/>
          <w:iCs/>
          <w:sz w:val="22"/>
          <w:szCs w:val="22"/>
          <w:u w:val="single"/>
          <w:lang w:val="sr-Latn-ME"/>
        </w:rPr>
      </w:pPr>
      <w:r w:rsidRPr="00AD3B49">
        <w:rPr>
          <w:rFonts w:ascii="Times New Roman" w:hAnsi="Times New Roman" w:cs="Times New Roman"/>
          <w:i/>
          <w:iCs/>
          <w:sz w:val="22"/>
          <w:szCs w:val="22"/>
          <w:u w:val="single"/>
          <w:lang w:val="sr-Latn-ME"/>
        </w:rPr>
        <w:t>Druge oportunističke infekcije:</w:t>
      </w:r>
    </w:p>
    <w:p w:rsidR="00030852" w:rsidRPr="00AD3B49" w:rsidRDefault="00030852" w:rsidP="009A340C">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Zabilježena je pojava drugih oportunističkih infekcija, uključujući invazivne gljivične infekcije, </w:t>
      </w:r>
      <w:r w:rsidR="009A340C" w:rsidRPr="00AD3B49">
        <w:rPr>
          <w:rFonts w:ascii="Times New Roman" w:hAnsi="Times New Roman" w:cs="Times New Roman"/>
          <w:sz w:val="22"/>
          <w:szCs w:val="22"/>
          <w:lang w:val="sr-Latn-ME"/>
        </w:rPr>
        <w:t>kod pacijenata</w:t>
      </w:r>
      <w:r w:rsidRPr="00AD3B49">
        <w:rPr>
          <w:rFonts w:ascii="Times New Roman" w:hAnsi="Times New Roman" w:cs="Times New Roman"/>
          <w:sz w:val="22"/>
          <w:szCs w:val="22"/>
          <w:lang w:val="sr-Latn-ME"/>
        </w:rPr>
        <w:t xml:space="preserve"> koji primaju </w:t>
      </w:r>
      <w:r w:rsidR="00C10995" w:rsidRPr="00AD3B49">
        <w:rPr>
          <w:rFonts w:ascii="Times New Roman" w:hAnsi="Times New Roman" w:cs="Times New Roman"/>
          <w:color w:val="auto"/>
          <w:sz w:val="22"/>
          <w:szCs w:val="22"/>
          <w:lang w:val="sr-Latn-ME"/>
        </w:rPr>
        <w:t xml:space="preserve">lijek </w:t>
      </w:r>
      <w:r w:rsidRPr="00AD3B49">
        <w:rPr>
          <w:rFonts w:ascii="Times New Roman" w:hAnsi="Times New Roman" w:cs="Times New Roman"/>
          <w:sz w:val="22"/>
          <w:szCs w:val="22"/>
          <w:lang w:val="sr-Latn-ME"/>
        </w:rPr>
        <w:t>Humir</w:t>
      </w:r>
      <w:r w:rsidR="00C10995"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Ove infek</w:t>
      </w:r>
      <w:r w:rsidR="009A340C" w:rsidRPr="00AD3B49">
        <w:rPr>
          <w:rFonts w:ascii="Times New Roman" w:hAnsi="Times New Roman" w:cs="Times New Roman"/>
          <w:sz w:val="22"/>
          <w:szCs w:val="22"/>
          <w:lang w:val="sr-Latn-ME"/>
        </w:rPr>
        <w:t>cije nisu dosljedno prepoznate</w:t>
      </w:r>
      <w:r w:rsidRPr="00AD3B49">
        <w:rPr>
          <w:rFonts w:ascii="Times New Roman" w:hAnsi="Times New Roman" w:cs="Times New Roman"/>
          <w:sz w:val="22"/>
          <w:szCs w:val="22"/>
          <w:lang w:val="sr-Latn-ME"/>
        </w:rPr>
        <w:t xml:space="preserve"> </w:t>
      </w:r>
      <w:r w:rsidR="009A340C" w:rsidRPr="00AD3B49">
        <w:rPr>
          <w:rFonts w:ascii="Times New Roman" w:hAnsi="Times New Roman" w:cs="Times New Roman"/>
          <w:sz w:val="22"/>
          <w:szCs w:val="22"/>
          <w:lang w:val="sr-Latn-ME"/>
        </w:rPr>
        <w:t>kod pacijenata</w:t>
      </w:r>
      <w:r w:rsidR="000C3263" w:rsidRPr="00AD3B49">
        <w:rPr>
          <w:rFonts w:ascii="Times New Roman" w:hAnsi="Times New Roman" w:cs="Times New Roman"/>
          <w:sz w:val="22"/>
          <w:szCs w:val="22"/>
          <w:lang w:val="sr-Latn-ME"/>
        </w:rPr>
        <w:t xml:space="preserve"> </w:t>
      </w:r>
      <w:r w:rsidRPr="00AD3B49">
        <w:rPr>
          <w:rFonts w:ascii="Times New Roman" w:hAnsi="Times New Roman" w:cs="Times New Roman"/>
          <w:sz w:val="22"/>
          <w:szCs w:val="22"/>
          <w:lang w:val="sr-Latn-ME"/>
        </w:rPr>
        <w:t xml:space="preserve">koji primaju antagoniste TNF-a što je </w:t>
      </w:r>
      <w:r w:rsidR="00AE0687" w:rsidRPr="00AD3B49">
        <w:rPr>
          <w:rFonts w:ascii="Times New Roman" w:hAnsi="Times New Roman" w:cs="Times New Roman"/>
          <w:sz w:val="22"/>
          <w:szCs w:val="22"/>
          <w:lang w:val="sr-Latn-ME"/>
        </w:rPr>
        <w:t xml:space="preserve">rezultovalo </w:t>
      </w:r>
      <w:r w:rsidRPr="00AD3B49">
        <w:rPr>
          <w:rFonts w:ascii="Times New Roman" w:hAnsi="Times New Roman" w:cs="Times New Roman"/>
          <w:sz w:val="22"/>
          <w:szCs w:val="22"/>
          <w:lang w:val="sr-Latn-ME"/>
        </w:rPr>
        <w:t>kašnjenj</w:t>
      </w:r>
      <w:r w:rsidR="00AE0687" w:rsidRPr="00AD3B49">
        <w:rPr>
          <w:rFonts w:ascii="Times New Roman" w:hAnsi="Times New Roman" w:cs="Times New Roman"/>
          <w:sz w:val="22"/>
          <w:szCs w:val="22"/>
          <w:lang w:val="sr-Latn-ME"/>
        </w:rPr>
        <w:t>em</w:t>
      </w:r>
      <w:r w:rsidRPr="00AD3B49">
        <w:rPr>
          <w:rFonts w:ascii="Times New Roman" w:hAnsi="Times New Roman" w:cs="Times New Roman"/>
          <w:sz w:val="22"/>
          <w:szCs w:val="22"/>
          <w:lang w:val="sr-Latn-ME"/>
        </w:rPr>
        <w:t xml:space="preserve"> s primjerenim liječenjem</w:t>
      </w:r>
      <w:r w:rsidR="005A0E3A" w:rsidRPr="00AD3B49">
        <w:rPr>
          <w:rFonts w:ascii="Times New Roman" w:hAnsi="Times New Roman" w:cs="Times New Roman"/>
          <w:sz w:val="22"/>
          <w:szCs w:val="22"/>
          <w:lang w:val="sr-Latn-ME"/>
        </w:rPr>
        <w:t>,</w:t>
      </w:r>
      <w:r w:rsidRPr="00AD3B49">
        <w:rPr>
          <w:rFonts w:ascii="Times New Roman" w:hAnsi="Times New Roman" w:cs="Times New Roman"/>
          <w:sz w:val="22"/>
          <w:szCs w:val="22"/>
          <w:lang w:val="sr-Latn-ME"/>
        </w:rPr>
        <w:t xml:space="preserve"> što je ponekad dovelo do fatalnog ishoda.</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C3263"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Ukoliko se kod pacijenata</w:t>
      </w:r>
      <w:r w:rsidR="00030852" w:rsidRPr="00AD3B49">
        <w:rPr>
          <w:rFonts w:ascii="Times New Roman" w:hAnsi="Times New Roman" w:cs="Times New Roman"/>
          <w:sz w:val="22"/>
          <w:szCs w:val="22"/>
          <w:lang w:val="sr-Latn-ME"/>
        </w:rPr>
        <w:t xml:space="preserve"> pojave znakovi i simptomi kao što su visoka temperatura, opšta </w:t>
      </w:r>
      <w:r w:rsidR="005A0E3A" w:rsidRPr="00AD3B49">
        <w:rPr>
          <w:rFonts w:ascii="Times New Roman" w:hAnsi="Times New Roman" w:cs="Times New Roman"/>
          <w:sz w:val="22"/>
          <w:szCs w:val="22"/>
          <w:lang w:val="sr-Latn-ME"/>
        </w:rPr>
        <w:t>slabost</w:t>
      </w:r>
      <w:r w:rsidR="00030852" w:rsidRPr="00AD3B49">
        <w:rPr>
          <w:rFonts w:ascii="Times New Roman" w:hAnsi="Times New Roman" w:cs="Times New Roman"/>
          <w:sz w:val="22"/>
          <w:szCs w:val="22"/>
          <w:lang w:val="sr-Latn-ME"/>
        </w:rPr>
        <w:t>, gubitak na težini, znojenje, kašalj, dispneja i/ili plućni infiltrati ili druge ozbiljne sistemske bolesti sa ili bez istovremenog šoka, treba posumnjati na invazivnu gljivičnu infekciju, te odmah obustaviti p</w:t>
      </w:r>
      <w:r w:rsidRPr="00AD3B49">
        <w:rPr>
          <w:rFonts w:ascii="Times New Roman" w:hAnsi="Times New Roman" w:cs="Times New Roman"/>
          <w:sz w:val="22"/>
          <w:szCs w:val="22"/>
          <w:lang w:val="sr-Latn-ME"/>
        </w:rPr>
        <w:t xml:space="preserve">rimjenu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Kod ovih pacijenata</w:t>
      </w:r>
      <w:r w:rsidR="00030852" w:rsidRPr="00AD3B49">
        <w:rPr>
          <w:rFonts w:ascii="Times New Roman" w:hAnsi="Times New Roman" w:cs="Times New Roman"/>
          <w:sz w:val="22"/>
          <w:szCs w:val="22"/>
          <w:lang w:val="sr-Latn-ME"/>
        </w:rPr>
        <w:t xml:space="preserve"> dijagnozu i primjenu empirijske antifungalne terapije potrebno je uspostaviti uz savjetovanje sa ljekarom koji im</w:t>
      </w:r>
      <w:r w:rsidR="00635624" w:rsidRPr="00AD3B49">
        <w:rPr>
          <w:rFonts w:ascii="Times New Roman" w:hAnsi="Times New Roman" w:cs="Times New Roman"/>
          <w:sz w:val="22"/>
          <w:szCs w:val="22"/>
          <w:lang w:val="sr-Latn-ME"/>
        </w:rPr>
        <w:t>a iskustva u liječenju pacijenata</w:t>
      </w:r>
      <w:r w:rsidR="00030852" w:rsidRPr="00AD3B49">
        <w:rPr>
          <w:rFonts w:ascii="Times New Roman" w:hAnsi="Times New Roman" w:cs="Times New Roman"/>
          <w:sz w:val="22"/>
          <w:szCs w:val="22"/>
          <w:lang w:val="sr-Latn-ME"/>
        </w:rPr>
        <w:t xml:space="preserve"> s invazivnim gljivičnim infekcijama.</w:t>
      </w:r>
      <w:r w:rsidR="00030852" w:rsidRPr="00AD3B49" w:rsidDel="00F70E8C">
        <w:rPr>
          <w:rFonts w:ascii="Times New Roman" w:hAnsi="Times New Roman" w:cs="Times New Roman"/>
          <w:sz w:val="22"/>
          <w:szCs w:val="22"/>
          <w:lang w:val="sr-Latn-ME"/>
        </w:rPr>
        <w:t xml:space="preserve"> </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Reaktivacija hepatitisa B</w:t>
      </w:r>
    </w:p>
    <w:p w:rsidR="00030852" w:rsidRPr="00AD3B49" w:rsidRDefault="003A6D6D" w:rsidP="00030852">
      <w:pPr>
        <w:pStyle w:val="Default"/>
        <w:jc w:val="both"/>
        <w:rPr>
          <w:rFonts w:ascii="Times New Roman" w:hAnsi="Times New Roman" w:cs="Times New Roman"/>
          <w:sz w:val="22"/>
          <w:szCs w:val="22"/>
          <w:lang w:val="sr-Latn-ME" w:eastAsia="hr-HR"/>
        </w:rPr>
      </w:pPr>
      <w:r w:rsidRPr="00AD3B49">
        <w:rPr>
          <w:rFonts w:ascii="Times New Roman" w:hAnsi="Times New Roman" w:cs="Times New Roman"/>
          <w:sz w:val="22"/>
          <w:szCs w:val="22"/>
          <w:lang w:val="sr-Latn-ME"/>
        </w:rPr>
        <w:t>Kod pacijenata</w:t>
      </w:r>
      <w:r w:rsidR="00030852" w:rsidRPr="00AD3B49">
        <w:rPr>
          <w:rFonts w:ascii="Times New Roman" w:hAnsi="Times New Roman" w:cs="Times New Roman"/>
          <w:sz w:val="22"/>
          <w:szCs w:val="22"/>
          <w:lang w:val="sr-Latn-ME"/>
        </w:rPr>
        <w:t xml:space="preserve"> koji su uzimali antagoniste TNF-a, uključujući i </w:t>
      </w:r>
      <w:r w:rsidR="00C10995" w:rsidRPr="00AD3B49">
        <w:rPr>
          <w:rFonts w:ascii="Times New Roman" w:hAnsi="Times New Roman" w:cs="Times New Roman"/>
          <w:color w:val="auto"/>
          <w:sz w:val="22"/>
          <w:szCs w:val="22"/>
          <w:lang w:val="sr-Latn-ME"/>
        </w:rPr>
        <w:t xml:space="preserve">lijek </w:t>
      </w:r>
      <w:r w:rsidR="00030852" w:rsidRPr="00AD3B49">
        <w:rPr>
          <w:rFonts w:ascii="Times New Roman" w:hAnsi="Times New Roman" w:cs="Times New Roman"/>
          <w:sz w:val="22"/>
          <w:szCs w:val="22"/>
          <w:lang w:val="sr-Latn-ME"/>
        </w:rPr>
        <w:t>Humir</w:t>
      </w:r>
      <w:r w:rsidR="00C10995" w:rsidRPr="00AD3B49">
        <w:rPr>
          <w:rFonts w:ascii="Times New Roman" w:hAnsi="Times New Roman" w:cs="Times New Roman"/>
          <w:sz w:val="22"/>
          <w:szCs w:val="22"/>
          <w:lang w:val="sr-Latn-ME"/>
        </w:rPr>
        <w:t>a</w:t>
      </w:r>
      <w:r w:rsidR="00030852" w:rsidRPr="00AD3B49">
        <w:rPr>
          <w:rFonts w:ascii="Times New Roman" w:hAnsi="Times New Roman" w:cs="Times New Roman"/>
          <w:sz w:val="22"/>
          <w:szCs w:val="22"/>
          <w:lang w:val="sr-Latn-ME"/>
        </w:rPr>
        <w:t xml:space="preserve">, </w:t>
      </w:r>
      <w:r w:rsidR="00AE0687" w:rsidRPr="00AD3B49">
        <w:rPr>
          <w:rFonts w:ascii="Times New Roman" w:hAnsi="Times New Roman" w:cs="Times New Roman"/>
          <w:sz w:val="22"/>
          <w:szCs w:val="22"/>
          <w:lang w:val="sr-Latn-ME"/>
        </w:rPr>
        <w:t>došlo je</w:t>
      </w:r>
      <w:r w:rsidR="00030852" w:rsidRPr="00AD3B49">
        <w:rPr>
          <w:rFonts w:ascii="Times New Roman" w:hAnsi="Times New Roman" w:cs="Times New Roman"/>
          <w:sz w:val="22"/>
          <w:szCs w:val="22"/>
          <w:lang w:val="sr-Latn-ME"/>
        </w:rPr>
        <w:t xml:space="preserve"> do pojave reaktivacije hepatitisa B ukoliko su bili hronični nosioci virusa (tj. pozitivni na površinski antigen), a bilo je</w:t>
      </w:r>
      <w:r w:rsidRPr="00AD3B49">
        <w:rPr>
          <w:rFonts w:ascii="Times New Roman" w:hAnsi="Times New Roman" w:cs="Times New Roman"/>
          <w:sz w:val="22"/>
          <w:szCs w:val="22"/>
          <w:lang w:val="sr-Latn-ME"/>
        </w:rPr>
        <w:t xml:space="preserve"> i fatalnih slučajeva. Pacijente</w:t>
      </w:r>
      <w:r w:rsidR="00030852" w:rsidRPr="00AD3B49">
        <w:rPr>
          <w:rFonts w:ascii="Times New Roman" w:hAnsi="Times New Roman" w:cs="Times New Roman"/>
          <w:sz w:val="22"/>
          <w:szCs w:val="22"/>
          <w:lang w:val="sr-Latn-ME"/>
        </w:rPr>
        <w:t xml:space="preserve"> je potrebno prije početka terapije </w:t>
      </w:r>
      <w:r w:rsidR="00884C20" w:rsidRPr="00AD3B49">
        <w:rPr>
          <w:rFonts w:ascii="Times New Roman" w:hAnsi="Times New Roman" w:cs="Times New Roman"/>
          <w:color w:val="auto"/>
          <w:sz w:val="22"/>
          <w:szCs w:val="22"/>
          <w:lang w:val="sr-Latn-ME"/>
        </w:rPr>
        <w:t xml:space="preserve">lijekom </w:t>
      </w:r>
      <w:r w:rsidR="00030852"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00030852" w:rsidRPr="00AD3B49">
        <w:rPr>
          <w:rFonts w:ascii="Times New Roman" w:hAnsi="Times New Roman" w:cs="Times New Roman"/>
          <w:sz w:val="22"/>
          <w:szCs w:val="22"/>
          <w:lang w:val="sr-Latn-ME"/>
        </w:rPr>
        <w:t xml:space="preserve"> testirati na HBV infekciju. </w:t>
      </w:r>
      <w:r w:rsidRPr="00AD3B49">
        <w:rPr>
          <w:rFonts w:ascii="Times New Roman" w:hAnsi="Times New Roman" w:cs="Times New Roman"/>
          <w:sz w:val="22"/>
          <w:szCs w:val="22"/>
          <w:lang w:val="sr-Latn-ME" w:eastAsia="hr-HR"/>
        </w:rPr>
        <w:t>Pacijentima</w:t>
      </w:r>
      <w:r w:rsidR="00030852" w:rsidRPr="00AD3B49">
        <w:rPr>
          <w:rFonts w:ascii="Times New Roman" w:hAnsi="Times New Roman" w:cs="Times New Roman"/>
          <w:sz w:val="22"/>
          <w:szCs w:val="22"/>
          <w:lang w:val="sr-Latn-ME" w:eastAsia="hr-HR"/>
        </w:rPr>
        <w:t xml:space="preserve"> koji su pozitivni na infekciju hepatitisa B, preporučuje se potražiti savjet ljekara s iskustvom u liječenju hepatitisa B.</w:t>
      </w:r>
    </w:p>
    <w:p w:rsidR="00030852" w:rsidRPr="00AD3B49" w:rsidRDefault="00030852" w:rsidP="00030852">
      <w:pPr>
        <w:pStyle w:val="Default"/>
        <w:jc w:val="both"/>
        <w:rPr>
          <w:rFonts w:ascii="Times New Roman" w:hAnsi="Times New Roman" w:cs="Times New Roman"/>
          <w:sz w:val="22"/>
          <w:szCs w:val="22"/>
          <w:lang w:val="sr-Latn-ME" w:eastAsia="hr-HR"/>
        </w:rPr>
      </w:pPr>
    </w:p>
    <w:p w:rsidR="00030852" w:rsidRPr="00AD3B49" w:rsidRDefault="003A6D6D"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Nosioci virusa HBV kod</w:t>
      </w:r>
      <w:r w:rsidR="00030852" w:rsidRPr="00AD3B49">
        <w:rPr>
          <w:rFonts w:ascii="Times New Roman" w:hAnsi="Times New Roman" w:cs="Times New Roman"/>
          <w:sz w:val="22"/>
          <w:szCs w:val="22"/>
          <w:lang w:val="sr-Latn-ME"/>
        </w:rPr>
        <w:t xml:space="preserve"> kojih je nužna primjena </w:t>
      </w:r>
      <w:r w:rsidR="0082613A" w:rsidRPr="00AD3B49">
        <w:rPr>
          <w:rFonts w:ascii="Times New Roman" w:hAnsi="Times New Roman" w:cs="Times New Roman"/>
          <w:color w:val="auto"/>
          <w:sz w:val="22"/>
          <w:szCs w:val="22"/>
          <w:lang w:val="sr-Latn-ME"/>
        </w:rPr>
        <w:t xml:space="preserve">lijeka </w:t>
      </w:r>
      <w:r w:rsidR="00030852"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00030852" w:rsidRPr="00AD3B49">
        <w:rPr>
          <w:rFonts w:ascii="Times New Roman" w:hAnsi="Times New Roman" w:cs="Times New Roman"/>
          <w:sz w:val="22"/>
          <w:szCs w:val="22"/>
          <w:lang w:val="sr-Latn-ME"/>
        </w:rPr>
        <w:t xml:space="preserve">, moraju biti </w:t>
      </w:r>
      <w:r w:rsidR="00D67D4D" w:rsidRPr="00AD3B49">
        <w:rPr>
          <w:rFonts w:ascii="Times New Roman" w:hAnsi="Times New Roman" w:cs="Times New Roman"/>
          <w:sz w:val="22"/>
          <w:szCs w:val="22"/>
          <w:lang w:val="sr-Latn-ME"/>
        </w:rPr>
        <w:t>pažljivo</w:t>
      </w:r>
      <w:r w:rsidR="00030852" w:rsidRPr="00AD3B49">
        <w:rPr>
          <w:rFonts w:ascii="Times New Roman" w:hAnsi="Times New Roman" w:cs="Times New Roman"/>
          <w:sz w:val="22"/>
          <w:szCs w:val="22"/>
          <w:lang w:val="sr-Latn-ME"/>
        </w:rPr>
        <w:t xml:space="preserve"> praćeni radi znakova i simptoma aktivne HBV infekcije tokom cijelog trajanja terapije te nekoliko mjeseci nakon njenog prekida. Ne posto</w:t>
      </w:r>
      <w:r w:rsidRPr="00AD3B49">
        <w:rPr>
          <w:rFonts w:ascii="Times New Roman" w:hAnsi="Times New Roman" w:cs="Times New Roman"/>
          <w:sz w:val="22"/>
          <w:szCs w:val="22"/>
          <w:lang w:val="sr-Latn-ME"/>
        </w:rPr>
        <w:t>je prikladni podaci za pacijente</w:t>
      </w:r>
      <w:r w:rsidR="00030852" w:rsidRPr="00AD3B49">
        <w:rPr>
          <w:rFonts w:ascii="Times New Roman" w:hAnsi="Times New Roman" w:cs="Times New Roman"/>
          <w:sz w:val="22"/>
          <w:szCs w:val="22"/>
          <w:lang w:val="sr-Latn-ME"/>
        </w:rPr>
        <w:t>, ko</w:t>
      </w:r>
      <w:r w:rsidR="00E404FE" w:rsidRPr="00AD3B49">
        <w:rPr>
          <w:rFonts w:ascii="Times New Roman" w:hAnsi="Times New Roman" w:cs="Times New Roman"/>
          <w:sz w:val="22"/>
          <w:szCs w:val="22"/>
          <w:lang w:val="sr-Latn-ME"/>
        </w:rPr>
        <w:t xml:space="preserve">ji su nosioci HBV-a, o </w:t>
      </w:r>
      <w:r w:rsidR="00AE0687" w:rsidRPr="00AD3B49">
        <w:rPr>
          <w:rFonts w:ascii="Times New Roman" w:hAnsi="Times New Roman" w:cs="Times New Roman"/>
          <w:sz w:val="22"/>
          <w:szCs w:val="22"/>
          <w:lang w:val="sr-Latn-ME"/>
        </w:rPr>
        <w:t>kombinovanom</w:t>
      </w:r>
      <w:r w:rsidR="00030852" w:rsidRPr="00AD3B49">
        <w:rPr>
          <w:rFonts w:ascii="Times New Roman" w:hAnsi="Times New Roman" w:cs="Times New Roman"/>
          <w:sz w:val="22"/>
          <w:szCs w:val="22"/>
          <w:lang w:val="sr-Latn-ME"/>
        </w:rPr>
        <w:t xml:space="preserve"> liječenju antivirusnom terapijom i antagonistom TNF-a u svrhu prevencije</w:t>
      </w:r>
      <w:r w:rsidRPr="00AD3B49">
        <w:rPr>
          <w:rFonts w:ascii="Times New Roman" w:hAnsi="Times New Roman" w:cs="Times New Roman"/>
          <w:sz w:val="22"/>
          <w:szCs w:val="22"/>
          <w:lang w:val="sr-Latn-ME"/>
        </w:rPr>
        <w:t xml:space="preserve"> reaktivacije HBV-a. Kod pacijenata kod</w:t>
      </w:r>
      <w:r w:rsidR="00030852" w:rsidRPr="00AD3B49">
        <w:rPr>
          <w:rFonts w:ascii="Times New Roman" w:hAnsi="Times New Roman" w:cs="Times New Roman"/>
          <w:sz w:val="22"/>
          <w:szCs w:val="22"/>
          <w:lang w:val="sr-Latn-ME"/>
        </w:rPr>
        <w:t xml:space="preserve"> kojih se javi reaktivacija HBV infekcije potrebno je prekinuti terapij</w:t>
      </w:r>
      <w:r w:rsidR="001E4AB9" w:rsidRPr="00AD3B49">
        <w:rPr>
          <w:rFonts w:ascii="Times New Roman" w:hAnsi="Times New Roman" w:cs="Times New Roman"/>
          <w:sz w:val="22"/>
          <w:szCs w:val="22"/>
          <w:lang w:val="sr-Latn-ME"/>
        </w:rPr>
        <w:t xml:space="preserve">u </w:t>
      </w:r>
      <w:r w:rsidR="00884C20" w:rsidRPr="00AD3B49">
        <w:rPr>
          <w:rFonts w:ascii="Times New Roman" w:hAnsi="Times New Roman" w:cs="Times New Roman"/>
          <w:color w:val="auto"/>
          <w:sz w:val="22"/>
          <w:szCs w:val="22"/>
          <w:lang w:val="sr-Latn-ME"/>
        </w:rPr>
        <w:t xml:space="preserve">lijekom </w:t>
      </w:r>
      <w:r w:rsidR="001E4AB9"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001E4AB9" w:rsidRPr="00AD3B49">
        <w:rPr>
          <w:rFonts w:ascii="Times New Roman" w:hAnsi="Times New Roman" w:cs="Times New Roman"/>
          <w:sz w:val="22"/>
          <w:szCs w:val="22"/>
          <w:lang w:val="sr-Latn-ME"/>
        </w:rPr>
        <w:t xml:space="preserve"> i započeti efikasnu</w:t>
      </w:r>
      <w:r w:rsidR="00030852" w:rsidRPr="00AD3B49">
        <w:rPr>
          <w:rFonts w:ascii="Times New Roman" w:hAnsi="Times New Roman" w:cs="Times New Roman"/>
          <w:sz w:val="22"/>
          <w:szCs w:val="22"/>
          <w:lang w:val="sr-Latn-ME"/>
        </w:rPr>
        <w:t xml:space="preserve"> antivirusnu terapiju uz odgovarajuće prateće mjere.</w:t>
      </w:r>
    </w:p>
    <w:p w:rsidR="003C0FC7" w:rsidRPr="00AD3B49" w:rsidRDefault="003C0FC7" w:rsidP="00030852">
      <w:pPr>
        <w:pStyle w:val="Default"/>
        <w:jc w:val="both"/>
        <w:rPr>
          <w:rFonts w:ascii="Times New Roman" w:hAnsi="Times New Roman" w:cs="Times New Roman"/>
          <w:sz w:val="22"/>
          <w:szCs w:val="22"/>
          <w:u w:val="single"/>
          <w:lang w:val="sr-Latn-ME"/>
        </w:rPr>
      </w:pPr>
    </w:p>
    <w:p w:rsidR="00030852" w:rsidRPr="00AD3B49" w:rsidRDefault="00030852" w:rsidP="00030852">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Neurološki događaji</w:t>
      </w: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U rijetkim se slučajevima za vrijeme liječenja antagonistima TNF-a uključujući </w:t>
      </w:r>
      <w:r w:rsidR="00C10995" w:rsidRPr="00AD3B49">
        <w:rPr>
          <w:rFonts w:ascii="Times New Roman" w:hAnsi="Times New Roman" w:cs="Times New Roman"/>
          <w:color w:val="auto"/>
          <w:sz w:val="22"/>
          <w:szCs w:val="22"/>
          <w:lang w:val="sr-Latn-ME"/>
        </w:rPr>
        <w:t xml:space="preserve">lijek </w:t>
      </w:r>
      <w:r w:rsidRPr="00AD3B49">
        <w:rPr>
          <w:rFonts w:ascii="Times New Roman" w:hAnsi="Times New Roman" w:cs="Times New Roman"/>
          <w:sz w:val="22"/>
          <w:szCs w:val="22"/>
          <w:lang w:val="sr-Latn-ME"/>
        </w:rPr>
        <w:t>Humir</w:t>
      </w:r>
      <w:r w:rsidR="00C10995"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mogu pojaviti ili pogoršati klinički simptomi i/ili radiografski nalazi demijelinizirajuće</w:t>
      </w:r>
      <w:r w:rsidRPr="00AD3B49">
        <w:rPr>
          <w:rFonts w:ascii="Times New Roman" w:hAnsi="Times New Roman" w:cs="Times New Roman"/>
          <w:color w:val="FF0000"/>
          <w:sz w:val="22"/>
          <w:szCs w:val="22"/>
          <w:lang w:val="sr-Latn-ME"/>
        </w:rPr>
        <w:t xml:space="preserve"> </w:t>
      </w:r>
      <w:r w:rsidRPr="00AD3B49">
        <w:rPr>
          <w:rFonts w:ascii="Times New Roman" w:hAnsi="Times New Roman" w:cs="Times New Roman"/>
          <w:sz w:val="22"/>
          <w:szCs w:val="22"/>
          <w:lang w:val="sr-Latn-ME"/>
        </w:rPr>
        <w:t>bolesti centralnog nervnog sistema, uključujući multiplu sklerozu i optički neuritis, i periferne demijelinizirajuće bolesti, uključujući Guillan-</w:t>
      </w:r>
      <w:r w:rsidRPr="00AD3B49">
        <w:rPr>
          <w:rFonts w:ascii="Times New Roman" w:hAnsi="Times New Roman" w:cs="Times New Roman"/>
          <w:sz w:val="22"/>
          <w:szCs w:val="22"/>
          <w:lang w:val="sr-Latn-ME" w:eastAsia="hr-HR"/>
        </w:rPr>
        <w:t>Barréov sindrom</w:t>
      </w:r>
      <w:r w:rsidRPr="00AD3B49">
        <w:rPr>
          <w:rFonts w:ascii="Times New Roman" w:hAnsi="Times New Roman" w:cs="Times New Roman"/>
          <w:sz w:val="22"/>
          <w:szCs w:val="22"/>
          <w:lang w:val="sr-Latn-ME"/>
        </w:rPr>
        <w:t>. Ljekari trebaju oprezno razmotriti</w:t>
      </w:r>
      <w:r w:rsidR="003C0FC7" w:rsidRPr="00AD3B49">
        <w:rPr>
          <w:rFonts w:ascii="Times New Roman" w:hAnsi="Times New Roman" w:cs="Times New Roman"/>
          <w:sz w:val="22"/>
          <w:szCs w:val="22"/>
          <w:lang w:val="sr-Latn-ME"/>
        </w:rPr>
        <w:t xml:space="preserve"> liječenje </w:t>
      </w:r>
      <w:r w:rsidR="00884C20" w:rsidRPr="00AD3B49">
        <w:rPr>
          <w:rFonts w:ascii="Times New Roman" w:hAnsi="Times New Roman" w:cs="Times New Roman"/>
          <w:color w:val="auto"/>
          <w:sz w:val="22"/>
          <w:szCs w:val="22"/>
          <w:lang w:val="sr-Latn-ME"/>
        </w:rPr>
        <w:t xml:space="preserve">lijekom </w:t>
      </w:r>
      <w:r w:rsidR="003C0FC7"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003C0FC7" w:rsidRPr="00AD3B49">
        <w:rPr>
          <w:rFonts w:ascii="Times New Roman" w:hAnsi="Times New Roman" w:cs="Times New Roman"/>
          <w:sz w:val="22"/>
          <w:szCs w:val="22"/>
          <w:lang w:val="sr-Latn-ME"/>
        </w:rPr>
        <w:t xml:space="preserve"> kod pacijenata</w:t>
      </w:r>
      <w:r w:rsidRPr="00AD3B49">
        <w:rPr>
          <w:rFonts w:ascii="Times New Roman" w:hAnsi="Times New Roman" w:cs="Times New Roman"/>
          <w:sz w:val="22"/>
          <w:szCs w:val="22"/>
          <w:lang w:val="sr-Latn-ME"/>
        </w:rPr>
        <w:t xml:space="preserve"> s postojeć</w:t>
      </w:r>
      <w:r w:rsidR="003C0FC7" w:rsidRPr="00AD3B49">
        <w:rPr>
          <w:rFonts w:ascii="Times New Roman" w:hAnsi="Times New Roman" w:cs="Times New Roman"/>
          <w:sz w:val="22"/>
          <w:szCs w:val="22"/>
          <w:lang w:val="sr-Latn-ME"/>
        </w:rPr>
        <w:t>im ili nedavno dijagnostikovanim</w:t>
      </w:r>
      <w:r w:rsidRPr="00AD3B49">
        <w:rPr>
          <w:rFonts w:ascii="Times New Roman" w:hAnsi="Times New Roman" w:cs="Times New Roman"/>
          <w:sz w:val="22"/>
          <w:szCs w:val="22"/>
          <w:lang w:val="sr-Latn-ME"/>
        </w:rPr>
        <w:t xml:space="preserve"> demijelinizirajućim poremećajima centralnog ili perifernog nervnog sistema.</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lastRenderedPageBreak/>
        <w:t>Alergijske reakcije</w:t>
      </w: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U kliničkim ispitivanjima su se rijetko javljale ozbiljne alergijske reakcije prilikom primjene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Manje često su u kliničkim ispitivanjima zabi</w:t>
      </w:r>
      <w:r w:rsidR="00E404FE" w:rsidRPr="00AD3B49">
        <w:rPr>
          <w:rFonts w:ascii="Times New Roman" w:hAnsi="Times New Roman" w:cs="Times New Roman"/>
          <w:sz w:val="22"/>
          <w:szCs w:val="22"/>
          <w:lang w:val="sr-Latn-ME"/>
        </w:rPr>
        <w:t>lježene alergijske reakcije koje</w:t>
      </w:r>
      <w:r w:rsidRPr="00AD3B49">
        <w:rPr>
          <w:rFonts w:ascii="Times New Roman" w:hAnsi="Times New Roman" w:cs="Times New Roman"/>
          <w:sz w:val="22"/>
          <w:szCs w:val="22"/>
          <w:lang w:val="sr-Latn-ME"/>
        </w:rPr>
        <w:t xml:space="preserve"> ne spadaju u ozbiljne alergijske reakcije, a povezane su sa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Nakon primjene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bilo je prijava</w:t>
      </w:r>
      <w:r w:rsidRPr="00AD3B49">
        <w:rPr>
          <w:sz w:val="22"/>
          <w:szCs w:val="22"/>
          <w:lang w:val="sr-Latn-ME"/>
        </w:rPr>
        <w:t xml:space="preserve"> </w:t>
      </w:r>
      <w:r w:rsidRPr="00AD3B49">
        <w:rPr>
          <w:rFonts w:ascii="Times New Roman" w:hAnsi="Times New Roman" w:cs="Times New Roman"/>
          <w:sz w:val="22"/>
          <w:szCs w:val="22"/>
          <w:lang w:val="sr-Latn-ME"/>
        </w:rPr>
        <w:t xml:space="preserve">ozbiljnih alergijskih reakcija, uključujući anafilaksu. Ako se pojavi anafilaktička ili druga ozbiljna alergijska reakcija, primjenu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treba odmah obustaviti i započeti odgovarajuću terapiju.</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Imunosupresija</w:t>
      </w:r>
    </w:p>
    <w:p w:rsidR="00030852" w:rsidRPr="00AD3B49" w:rsidRDefault="00951D8D"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U ispitivanju 64 pacijenata</w:t>
      </w:r>
      <w:r w:rsidR="00030852" w:rsidRPr="00AD3B49">
        <w:rPr>
          <w:rFonts w:ascii="Times New Roman" w:hAnsi="Times New Roman" w:cs="Times New Roman"/>
          <w:sz w:val="22"/>
          <w:szCs w:val="22"/>
          <w:lang w:val="sr-Latn-ME"/>
        </w:rPr>
        <w:t xml:space="preserve"> s reumatoidnim artritisom liječenih </w:t>
      </w:r>
      <w:r w:rsidR="00884C20" w:rsidRPr="00AD3B49">
        <w:rPr>
          <w:rFonts w:ascii="Times New Roman" w:hAnsi="Times New Roman" w:cs="Times New Roman"/>
          <w:color w:val="auto"/>
          <w:sz w:val="22"/>
          <w:szCs w:val="22"/>
          <w:lang w:val="sr-Latn-ME"/>
        </w:rPr>
        <w:t xml:space="preserve">lijekom </w:t>
      </w:r>
      <w:r w:rsidR="00030852"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00030852" w:rsidRPr="00AD3B49">
        <w:rPr>
          <w:rFonts w:ascii="Times New Roman" w:hAnsi="Times New Roman" w:cs="Times New Roman"/>
          <w:sz w:val="22"/>
          <w:szCs w:val="22"/>
          <w:lang w:val="sr-Latn-ME"/>
        </w:rPr>
        <w:t xml:space="preserve"> nij</w:t>
      </w:r>
      <w:r w:rsidR="00E404FE" w:rsidRPr="00AD3B49">
        <w:rPr>
          <w:rFonts w:ascii="Times New Roman" w:hAnsi="Times New Roman" w:cs="Times New Roman"/>
          <w:sz w:val="22"/>
          <w:szCs w:val="22"/>
          <w:lang w:val="sr-Latn-ME"/>
        </w:rPr>
        <w:t xml:space="preserve">e zabilježeno smanjenje </w:t>
      </w:r>
      <w:r w:rsidR="00AE0687" w:rsidRPr="00AD3B49">
        <w:rPr>
          <w:rFonts w:ascii="Times New Roman" w:hAnsi="Times New Roman" w:cs="Times New Roman"/>
          <w:sz w:val="22"/>
          <w:szCs w:val="22"/>
          <w:lang w:val="sr-Latn-ME"/>
        </w:rPr>
        <w:t xml:space="preserve">reakcija </w:t>
      </w:r>
      <w:r w:rsidR="00030852" w:rsidRPr="00AD3B49">
        <w:rPr>
          <w:rFonts w:ascii="Times New Roman" w:hAnsi="Times New Roman" w:cs="Times New Roman"/>
          <w:sz w:val="22"/>
          <w:szCs w:val="22"/>
          <w:lang w:val="sr-Latn-ME"/>
        </w:rPr>
        <w:t>preosjetljivosti</w:t>
      </w:r>
      <w:r w:rsidR="00AE0687" w:rsidRPr="00AD3B49">
        <w:rPr>
          <w:rFonts w:ascii="Times New Roman" w:hAnsi="Times New Roman" w:cs="Times New Roman"/>
          <w:sz w:val="22"/>
          <w:szCs w:val="22"/>
          <w:lang w:val="sr-Latn-ME"/>
        </w:rPr>
        <w:t xml:space="preserve"> kasnog tipa</w:t>
      </w:r>
      <w:r w:rsidR="00030852" w:rsidRPr="00AD3B49">
        <w:rPr>
          <w:rFonts w:ascii="Times New Roman" w:hAnsi="Times New Roman" w:cs="Times New Roman"/>
          <w:sz w:val="22"/>
          <w:szCs w:val="22"/>
          <w:lang w:val="sr-Latn-ME"/>
        </w:rPr>
        <w:t>, sniženja vrijednosti imunoglobulina, odnosno promjene broja efektorskih T i B ćelija, NK ćelija, monocita/makrofaga i neutrofila.</w:t>
      </w:r>
    </w:p>
    <w:p w:rsidR="005064C8" w:rsidRPr="00AD3B49" w:rsidRDefault="005064C8" w:rsidP="00030852">
      <w:pPr>
        <w:pStyle w:val="Default"/>
        <w:jc w:val="both"/>
        <w:rPr>
          <w:rFonts w:ascii="Times New Roman" w:hAnsi="Times New Roman" w:cs="Times New Roman"/>
          <w:sz w:val="22"/>
          <w:szCs w:val="22"/>
          <w:lang w:val="sr-Latn-ME"/>
        </w:rPr>
      </w:pPr>
    </w:p>
    <w:p w:rsidR="00030852" w:rsidRPr="00AD3B49" w:rsidRDefault="000D772C" w:rsidP="00030852">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 xml:space="preserve">Maligni </w:t>
      </w:r>
      <w:r w:rsidR="00030852" w:rsidRPr="00AD3B49">
        <w:rPr>
          <w:rFonts w:ascii="Times New Roman" w:hAnsi="Times New Roman" w:cs="Times New Roman"/>
          <w:sz w:val="22"/>
          <w:szCs w:val="22"/>
          <w:u w:val="single"/>
          <w:lang w:val="sr-Latn-ME"/>
        </w:rPr>
        <w:t>i limfoproliferativni poremećaji</w:t>
      </w: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U kontrolisanim djelovima kliničkih ispitivanja antagonista TNF-a, zabilježeno je više </w:t>
      </w:r>
      <w:r w:rsidR="000D772C" w:rsidRPr="00AD3B49">
        <w:rPr>
          <w:rFonts w:ascii="Times New Roman" w:hAnsi="Times New Roman" w:cs="Times New Roman"/>
          <w:sz w:val="22"/>
          <w:szCs w:val="22"/>
          <w:lang w:val="sr-Latn-ME"/>
        </w:rPr>
        <w:t xml:space="preserve">malignih </w:t>
      </w:r>
      <w:r w:rsidRPr="00AD3B49">
        <w:rPr>
          <w:rFonts w:ascii="Times New Roman" w:hAnsi="Times New Roman" w:cs="Times New Roman"/>
          <w:sz w:val="22"/>
          <w:szCs w:val="22"/>
          <w:lang w:val="sr-Latn-ME"/>
        </w:rPr>
        <w:t>slučajeva, u</w:t>
      </w:r>
      <w:r w:rsidR="00951D8D" w:rsidRPr="00AD3B49">
        <w:rPr>
          <w:rFonts w:ascii="Times New Roman" w:hAnsi="Times New Roman" w:cs="Times New Roman"/>
          <w:sz w:val="22"/>
          <w:szCs w:val="22"/>
          <w:lang w:val="sr-Latn-ME"/>
        </w:rPr>
        <w:t>ključujući i limfome, kod pacijenat</w:t>
      </w:r>
      <w:r w:rsidRPr="00AD3B49">
        <w:rPr>
          <w:rFonts w:ascii="Times New Roman" w:hAnsi="Times New Roman" w:cs="Times New Roman"/>
          <w:sz w:val="22"/>
          <w:szCs w:val="22"/>
          <w:lang w:val="sr-Latn-ME"/>
        </w:rPr>
        <w:t>a liječenih antagonistima TNF-a n</w:t>
      </w:r>
      <w:r w:rsidR="00951D8D" w:rsidRPr="00AD3B49">
        <w:rPr>
          <w:rFonts w:ascii="Times New Roman" w:hAnsi="Times New Roman" w:cs="Times New Roman"/>
          <w:sz w:val="22"/>
          <w:szCs w:val="22"/>
          <w:lang w:val="sr-Latn-ME"/>
        </w:rPr>
        <w:t>ego u kontrolnoj grupi pacijenata</w:t>
      </w:r>
      <w:r w:rsidRPr="00AD3B49">
        <w:rPr>
          <w:rFonts w:ascii="Times New Roman" w:hAnsi="Times New Roman" w:cs="Times New Roman"/>
          <w:sz w:val="22"/>
          <w:szCs w:val="22"/>
          <w:lang w:val="sr-Latn-ME"/>
        </w:rPr>
        <w:t>. Međutim, učestalost je bila rijetka. Nakon stavljanja lijeka u promet zabilježeni su</w:t>
      </w:r>
      <w:r w:rsidR="00951D8D" w:rsidRPr="00AD3B49">
        <w:rPr>
          <w:rFonts w:ascii="Times New Roman" w:hAnsi="Times New Roman" w:cs="Times New Roman"/>
          <w:sz w:val="22"/>
          <w:szCs w:val="22"/>
          <w:lang w:val="sr-Latn-ME"/>
        </w:rPr>
        <w:t xml:space="preserve"> slučajevi leukemije kod pacijenata</w:t>
      </w:r>
      <w:r w:rsidRPr="00AD3B49">
        <w:rPr>
          <w:rFonts w:ascii="Times New Roman" w:hAnsi="Times New Roman" w:cs="Times New Roman"/>
          <w:sz w:val="22"/>
          <w:szCs w:val="22"/>
          <w:lang w:val="sr-Latn-ME"/>
        </w:rPr>
        <w:t xml:space="preserve"> liječenih antagonistima TNF-a. Procjenu rizika otežava i inače povećani rizik razvoja</w:t>
      </w:r>
      <w:r w:rsidR="00951D8D" w:rsidRPr="00AD3B49">
        <w:rPr>
          <w:rFonts w:ascii="Times New Roman" w:hAnsi="Times New Roman" w:cs="Times New Roman"/>
          <w:sz w:val="22"/>
          <w:szCs w:val="22"/>
          <w:lang w:val="sr-Latn-ME"/>
        </w:rPr>
        <w:t xml:space="preserve"> limfoma i leukemije kod pacijenata</w:t>
      </w:r>
      <w:r w:rsidRPr="00AD3B49">
        <w:rPr>
          <w:rFonts w:ascii="Times New Roman" w:hAnsi="Times New Roman" w:cs="Times New Roman"/>
          <w:sz w:val="22"/>
          <w:szCs w:val="22"/>
          <w:lang w:val="sr-Latn-ME"/>
        </w:rPr>
        <w:t xml:space="preserve"> s reumatoidnim artritisom s dugotrajnom, izrazito aktivnom upalnom bolesti. Prema postojećim saznanjima, mogući rizik razvoja limfoma, leukemija i ostal</w:t>
      </w:r>
      <w:r w:rsidR="00951D8D" w:rsidRPr="00AD3B49">
        <w:rPr>
          <w:rFonts w:ascii="Times New Roman" w:hAnsi="Times New Roman" w:cs="Times New Roman"/>
          <w:sz w:val="22"/>
          <w:szCs w:val="22"/>
          <w:lang w:val="sr-Latn-ME"/>
        </w:rPr>
        <w:t xml:space="preserve">ih </w:t>
      </w:r>
      <w:r w:rsidR="000D772C" w:rsidRPr="00AD3B49">
        <w:rPr>
          <w:rFonts w:ascii="Times New Roman" w:hAnsi="Times New Roman" w:cs="Times New Roman"/>
          <w:sz w:val="22"/>
          <w:szCs w:val="22"/>
          <w:lang w:val="sr-Latn-ME"/>
        </w:rPr>
        <w:t xml:space="preserve">malignih </w:t>
      </w:r>
      <w:r w:rsidR="00951D8D" w:rsidRPr="00AD3B49">
        <w:rPr>
          <w:rFonts w:ascii="Times New Roman" w:hAnsi="Times New Roman" w:cs="Times New Roman"/>
          <w:sz w:val="22"/>
          <w:szCs w:val="22"/>
          <w:lang w:val="sr-Latn-ME"/>
        </w:rPr>
        <w:t>bolesti kod pacijenata</w:t>
      </w:r>
      <w:r w:rsidRPr="00AD3B49">
        <w:rPr>
          <w:rFonts w:ascii="Times New Roman" w:hAnsi="Times New Roman" w:cs="Times New Roman"/>
          <w:sz w:val="22"/>
          <w:szCs w:val="22"/>
          <w:lang w:val="sr-Latn-ME"/>
        </w:rPr>
        <w:t xml:space="preserve"> liječenih antagonistima TNF-a ne može se isključiti.</w:t>
      </w:r>
    </w:p>
    <w:p w:rsidR="00030852" w:rsidRPr="00AD3B49" w:rsidRDefault="00030852" w:rsidP="00030852">
      <w:pPr>
        <w:pStyle w:val="Default"/>
        <w:ind w:left="567" w:hanging="567"/>
        <w:jc w:val="both"/>
        <w:rPr>
          <w:rFonts w:ascii="Times New Roman" w:hAnsi="Times New Roman" w:cs="Times New Roman"/>
          <w:sz w:val="22"/>
          <w:szCs w:val="22"/>
          <w:lang w:val="sr-Latn-ME"/>
        </w:rPr>
      </w:pPr>
    </w:p>
    <w:p w:rsidR="00030852" w:rsidRPr="00AD3B49" w:rsidRDefault="000D772C"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Maligne </w:t>
      </w:r>
      <w:r w:rsidR="00030852" w:rsidRPr="00AD3B49">
        <w:rPr>
          <w:rFonts w:ascii="Times New Roman" w:hAnsi="Times New Roman" w:cs="Times New Roman"/>
          <w:sz w:val="22"/>
          <w:szCs w:val="22"/>
          <w:lang w:val="sr-Latn-ME"/>
        </w:rPr>
        <w:t xml:space="preserve">bolesti, neke i fatalne, zabilježene su kod djece, adolescenata i mlađih odraslih ljudi (do 22 godine starosti) liječenih antagonistima TNF-a (početak terapije ≤ 18. godini života), uključujući i adalimumab nakon pojave na tržištu. Otprilike polovina slučajeva su bili limfomi. Ostali slučajevi predstavljaju mnoštvo različitih </w:t>
      </w:r>
      <w:r w:rsidRPr="00AD3B49">
        <w:rPr>
          <w:rFonts w:ascii="Times New Roman" w:hAnsi="Times New Roman" w:cs="Times New Roman"/>
          <w:sz w:val="22"/>
          <w:szCs w:val="22"/>
          <w:lang w:val="sr-Latn-ME"/>
        </w:rPr>
        <w:t xml:space="preserve">malignih </w:t>
      </w:r>
      <w:r w:rsidR="00030852" w:rsidRPr="00AD3B49">
        <w:rPr>
          <w:rFonts w:ascii="Times New Roman" w:hAnsi="Times New Roman" w:cs="Times New Roman"/>
          <w:sz w:val="22"/>
          <w:szCs w:val="22"/>
          <w:lang w:val="sr-Latn-ME"/>
        </w:rPr>
        <w:t xml:space="preserve">bolesti, uključujući i rijetke </w:t>
      </w:r>
      <w:r w:rsidRPr="00AD3B49">
        <w:rPr>
          <w:rFonts w:ascii="Times New Roman" w:hAnsi="Times New Roman" w:cs="Times New Roman"/>
          <w:sz w:val="22"/>
          <w:szCs w:val="22"/>
          <w:lang w:val="sr-Latn-ME"/>
        </w:rPr>
        <w:t xml:space="preserve">mailgne </w:t>
      </w:r>
      <w:r w:rsidR="00030852" w:rsidRPr="00AD3B49">
        <w:rPr>
          <w:rFonts w:ascii="Times New Roman" w:hAnsi="Times New Roman" w:cs="Times New Roman"/>
          <w:sz w:val="22"/>
          <w:szCs w:val="22"/>
          <w:lang w:val="sr-Latn-ME"/>
        </w:rPr>
        <w:t xml:space="preserve">bolesti obično povezane s imunosupresijom. Rizik pojave </w:t>
      </w:r>
      <w:r w:rsidRPr="00AD3B49">
        <w:rPr>
          <w:rFonts w:ascii="Times New Roman" w:hAnsi="Times New Roman" w:cs="Times New Roman"/>
          <w:sz w:val="22"/>
          <w:szCs w:val="22"/>
          <w:lang w:val="sr-Latn-ME"/>
        </w:rPr>
        <w:t xml:space="preserve">malignih </w:t>
      </w:r>
      <w:r w:rsidR="00030852" w:rsidRPr="00AD3B49">
        <w:rPr>
          <w:rFonts w:ascii="Times New Roman" w:hAnsi="Times New Roman" w:cs="Times New Roman"/>
          <w:sz w:val="22"/>
          <w:szCs w:val="22"/>
          <w:lang w:val="sr-Latn-ME"/>
        </w:rPr>
        <w:t>bolesti kod djece i adolescenata liječenih TNF-antagonistima ne može se isključiti.</w:t>
      </w: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 </w:t>
      </w:r>
    </w:p>
    <w:p w:rsidR="00030852" w:rsidRPr="00AD3B49" w:rsidRDefault="00F71DB9" w:rsidP="002724A6">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Kod pa</w:t>
      </w:r>
      <w:r w:rsidR="002724A6" w:rsidRPr="00AD3B49">
        <w:rPr>
          <w:rFonts w:ascii="Times New Roman" w:hAnsi="Times New Roman" w:cs="Times New Roman"/>
          <w:sz w:val="22"/>
          <w:szCs w:val="22"/>
          <w:lang w:val="sr-Latn-ME"/>
        </w:rPr>
        <w:t>cijenata</w:t>
      </w:r>
      <w:r w:rsidR="00030852" w:rsidRPr="00AD3B49">
        <w:rPr>
          <w:rFonts w:ascii="Times New Roman" w:hAnsi="Times New Roman" w:cs="Times New Roman"/>
          <w:sz w:val="22"/>
          <w:szCs w:val="22"/>
          <w:lang w:val="sr-Latn-ME"/>
        </w:rPr>
        <w:t xml:space="preserve"> liječenih adalimumabom tokom postmarketinškog praćenja prijavljeni su rijetki slučajevi hepatospleničnog T-ćelijskog limfoma. Ovaj rijedak oblik T-ćelijskog limfoma ima izrazito agresivan tok i najčešće je fatalan. Neki od tih hepatospleničnih T-ćelijskih limfoma povezanih s upotrebom </w:t>
      </w:r>
      <w:r w:rsidR="0082613A" w:rsidRPr="00AD3B49">
        <w:rPr>
          <w:rFonts w:ascii="Times New Roman" w:hAnsi="Times New Roman" w:cs="Times New Roman"/>
          <w:color w:val="auto"/>
          <w:sz w:val="22"/>
          <w:szCs w:val="22"/>
          <w:lang w:val="sr-Latn-ME"/>
        </w:rPr>
        <w:t xml:space="preserve">lijeka </w:t>
      </w:r>
      <w:r w:rsidR="00030852"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00030852" w:rsidRPr="00AD3B49">
        <w:rPr>
          <w:rFonts w:ascii="Times New Roman" w:hAnsi="Times New Roman" w:cs="Times New Roman"/>
          <w:sz w:val="22"/>
          <w:szCs w:val="22"/>
          <w:lang w:val="sr-Latn-ME"/>
        </w:rPr>
        <w:t xml:space="preserve"> javili s</w:t>
      </w:r>
      <w:r w:rsidR="002724A6" w:rsidRPr="00AD3B49">
        <w:rPr>
          <w:rFonts w:ascii="Times New Roman" w:hAnsi="Times New Roman" w:cs="Times New Roman"/>
          <w:sz w:val="22"/>
          <w:szCs w:val="22"/>
          <w:lang w:val="sr-Latn-ME"/>
        </w:rPr>
        <w:t xml:space="preserve">u se </w:t>
      </w:r>
      <w:r w:rsidR="00BD025F" w:rsidRPr="00AD3B49">
        <w:rPr>
          <w:rFonts w:ascii="Times New Roman" w:hAnsi="Times New Roman" w:cs="Times New Roman"/>
          <w:sz w:val="22"/>
          <w:szCs w:val="22"/>
          <w:lang w:val="sr-Latn-ME"/>
        </w:rPr>
        <w:t>kod mladih</w:t>
      </w:r>
      <w:r w:rsidR="002724A6" w:rsidRPr="00AD3B49">
        <w:rPr>
          <w:rFonts w:ascii="Times New Roman" w:hAnsi="Times New Roman" w:cs="Times New Roman"/>
          <w:sz w:val="22"/>
          <w:szCs w:val="22"/>
          <w:lang w:val="sr-Latn-ME"/>
        </w:rPr>
        <w:t xml:space="preserve"> odraslih pacijenata</w:t>
      </w:r>
      <w:r w:rsidR="00030852" w:rsidRPr="00AD3B49">
        <w:rPr>
          <w:rFonts w:ascii="Times New Roman" w:hAnsi="Times New Roman" w:cs="Times New Roman"/>
          <w:sz w:val="22"/>
          <w:szCs w:val="22"/>
          <w:lang w:val="sr-Latn-ME"/>
        </w:rPr>
        <w:t xml:space="preserve"> koji su istovremeno koristili i azatioprin ili 6-merkaptopurin u terapiji upalne bolesti crijeva. Potrebno je pažljivo razmotriti mogući rizik kombinacije azatioprina ili 6-merkaptopurina s </w:t>
      </w:r>
      <w:r w:rsidR="00884C20" w:rsidRPr="00AD3B49">
        <w:rPr>
          <w:rFonts w:ascii="Times New Roman" w:hAnsi="Times New Roman" w:cs="Times New Roman"/>
          <w:color w:val="auto"/>
          <w:sz w:val="22"/>
          <w:szCs w:val="22"/>
          <w:lang w:val="sr-Latn-ME"/>
        </w:rPr>
        <w:t xml:space="preserve">lijekom </w:t>
      </w:r>
      <w:r w:rsidR="00030852"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00030852" w:rsidRPr="00AD3B49">
        <w:rPr>
          <w:rFonts w:ascii="Times New Roman" w:hAnsi="Times New Roman" w:cs="Times New Roman"/>
          <w:sz w:val="22"/>
          <w:szCs w:val="22"/>
          <w:lang w:val="sr-Latn-ME"/>
        </w:rPr>
        <w:t xml:space="preserve">. Rizik pojave hepatospleničnog T-ćelijskog limfoma </w:t>
      </w:r>
      <w:r w:rsidR="002724A6" w:rsidRPr="00AD3B49">
        <w:rPr>
          <w:rFonts w:ascii="Times New Roman" w:hAnsi="Times New Roman" w:cs="Times New Roman"/>
          <w:sz w:val="22"/>
          <w:szCs w:val="22"/>
          <w:lang w:val="sr-Latn-ME"/>
        </w:rPr>
        <w:t>kod pacijenata</w:t>
      </w:r>
      <w:r w:rsidR="00030852" w:rsidRPr="00AD3B49">
        <w:rPr>
          <w:rFonts w:ascii="Times New Roman" w:hAnsi="Times New Roman" w:cs="Times New Roman"/>
          <w:sz w:val="22"/>
          <w:szCs w:val="22"/>
          <w:lang w:val="sr-Latn-ME"/>
        </w:rPr>
        <w:t xml:space="preserve"> koji koriste </w:t>
      </w:r>
      <w:r w:rsidR="00C10995" w:rsidRPr="00AD3B49">
        <w:rPr>
          <w:rFonts w:ascii="Times New Roman" w:hAnsi="Times New Roman" w:cs="Times New Roman"/>
          <w:color w:val="auto"/>
          <w:sz w:val="22"/>
          <w:szCs w:val="22"/>
          <w:lang w:val="sr-Latn-ME"/>
        </w:rPr>
        <w:t xml:space="preserve">lijek </w:t>
      </w:r>
      <w:r w:rsidR="00030852" w:rsidRPr="00AD3B49">
        <w:rPr>
          <w:rFonts w:ascii="Times New Roman" w:hAnsi="Times New Roman" w:cs="Times New Roman"/>
          <w:sz w:val="22"/>
          <w:szCs w:val="22"/>
          <w:lang w:val="sr-Latn-ME"/>
        </w:rPr>
        <w:t>Humir</w:t>
      </w:r>
      <w:r w:rsidR="00C10995" w:rsidRPr="00AD3B49">
        <w:rPr>
          <w:rFonts w:ascii="Times New Roman" w:hAnsi="Times New Roman" w:cs="Times New Roman"/>
          <w:sz w:val="22"/>
          <w:szCs w:val="22"/>
          <w:lang w:val="sr-Latn-ME"/>
        </w:rPr>
        <w:t>a</w:t>
      </w:r>
      <w:r w:rsidR="00030852" w:rsidRPr="00AD3B49">
        <w:rPr>
          <w:rFonts w:ascii="Times New Roman" w:hAnsi="Times New Roman" w:cs="Times New Roman"/>
          <w:sz w:val="22"/>
          <w:szCs w:val="22"/>
          <w:lang w:val="sr-Latn-ME"/>
        </w:rPr>
        <w:t xml:space="preserve"> ne</w:t>
      </w:r>
      <w:r w:rsidR="002724A6" w:rsidRPr="00AD3B49">
        <w:rPr>
          <w:rFonts w:ascii="Times New Roman" w:hAnsi="Times New Roman" w:cs="Times New Roman"/>
          <w:sz w:val="22"/>
          <w:szCs w:val="22"/>
          <w:lang w:val="sr-Latn-ME"/>
        </w:rPr>
        <w:t xml:space="preserve"> može se isključiti (vidjeti </w:t>
      </w:r>
      <w:r w:rsidR="002D5061" w:rsidRPr="00AD3B49">
        <w:rPr>
          <w:rFonts w:ascii="Times New Roman" w:hAnsi="Times New Roman" w:cs="Times New Roman"/>
          <w:sz w:val="22"/>
          <w:szCs w:val="22"/>
          <w:lang w:val="sr-Latn-ME"/>
        </w:rPr>
        <w:t>odjeljak</w:t>
      </w:r>
      <w:r w:rsidR="00030852" w:rsidRPr="00AD3B49">
        <w:rPr>
          <w:rFonts w:ascii="Times New Roman" w:hAnsi="Times New Roman" w:cs="Times New Roman"/>
          <w:sz w:val="22"/>
          <w:szCs w:val="22"/>
          <w:lang w:val="sr-Latn-ME"/>
        </w:rPr>
        <w:t xml:space="preserve"> 4.8).</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2724A6">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Nisu </w:t>
      </w:r>
      <w:r w:rsidR="00217FFE" w:rsidRPr="00AD3B49">
        <w:rPr>
          <w:rFonts w:ascii="Times New Roman" w:hAnsi="Times New Roman" w:cs="Times New Roman"/>
          <w:sz w:val="22"/>
          <w:szCs w:val="22"/>
          <w:lang w:val="sr-Latn-ME"/>
        </w:rPr>
        <w:t>s</w:t>
      </w:r>
      <w:r w:rsidR="002724A6" w:rsidRPr="00AD3B49">
        <w:rPr>
          <w:rFonts w:ascii="Times New Roman" w:hAnsi="Times New Roman" w:cs="Times New Roman"/>
          <w:sz w:val="22"/>
          <w:szCs w:val="22"/>
          <w:lang w:val="sr-Latn-ME"/>
        </w:rPr>
        <w:t>provedena ispitivanja kod pacijenata</w:t>
      </w:r>
      <w:r w:rsidRPr="00AD3B49">
        <w:rPr>
          <w:rFonts w:ascii="Times New Roman" w:hAnsi="Times New Roman" w:cs="Times New Roman"/>
          <w:sz w:val="22"/>
          <w:szCs w:val="22"/>
          <w:lang w:val="sr-Latn-ME"/>
        </w:rPr>
        <w:t xml:space="preserve"> sa </w:t>
      </w:r>
      <w:r w:rsidR="000D772C" w:rsidRPr="00AD3B49">
        <w:rPr>
          <w:rFonts w:ascii="Times New Roman" w:hAnsi="Times New Roman" w:cs="Times New Roman"/>
          <w:sz w:val="22"/>
          <w:szCs w:val="22"/>
          <w:lang w:val="sr-Latn-ME"/>
        </w:rPr>
        <w:t xml:space="preserve">malignim </w:t>
      </w:r>
      <w:r w:rsidRPr="00AD3B49">
        <w:rPr>
          <w:rFonts w:ascii="Times New Roman" w:hAnsi="Times New Roman" w:cs="Times New Roman"/>
          <w:sz w:val="22"/>
          <w:szCs w:val="22"/>
          <w:lang w:val="sr-Latn-ME"/>
        </w:rPr>
        <w:t xml:space="preserve">bolestima u anamnezi ili </w:t>
      </w:r>
      <w:r w:rsidR="002724A6" w:rsidRPr="00AD3B49">
        <w:rPr>
          <w:rFonts w:ascii="Times New Roman" w:hAnsi="Times New Roman" w:cs="Times New Roman"/>
          <w:sz w:val="22"/>
          <w:szCs w:val="22"/>
          <w:lang w:val="sr-Latn-ME"/>
        </w:rPr>
        <w:t xml:space="preserve">kod pacijenata </w:t>
      </w:r>
      <w:r w:rsidRPr="00AD3B49">
        <w:rPr>
          <w:rFonts w:ascii="Times New Roman" w:hAnsi="Times New Roman" w:cs="Times New Roman"/>
          <w:sz w:val="22"/>
          <w:szCs w:val="22"/>
          <w:lang w:val="sr-Latn-ME"/>
        </w:rPr>
        <w:t xml:space="preserve">koji su nastavili liječenje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nakon obolijevanja od </w:t>
      </w:r>
      <w:r w:rsidR="000D772C" w:rsidRPr="00AD3B49">
        <w:rPr>
          <w:rFonts w:ascii="Times New Roman" w:hAnsi="Times New Roman" w:cs="Times New Roman"/>
          <w:sz w:val="22"/>
          <w:szCs w:val="22"/>
          <w:lang w:val="sr-Latn-ME"/>
        </w:rPr>
        <w:t xml:space="preserve">maligne </w:t>
      </w:r>
      <w:r w:rsidRPr="00AD3B49">
        <w:rPr>
          <w:rFonts w:ascii="Times New Roman" w:hAnsi="Times New Roman" w:cs="Times New Roman"/>
          <w:sz w:val="22"/>
          <w:szCs w:val="22"/>
          <w:lang w:val="sr-Latn-ME"/>
        </w:rPr>
        <w:t xml:space="preserve">bolesti. Zbog toga je potreban dodatan oprez prilikom razmatranja liječenja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kod takvih </w:t>
      </w:r>
      <w:r w:rsidR="002724A6" w:rsidRPr="00AD3B49">
        <w:rPr>
          <w:rFonts w:ascii="Times New Roman" w:hAnsi="Times New Roman" w:cs="Times New Roman"/>
          <w:sz w:val="22"/>
          <w:szCs w:val="22"/>
          <w:lang w:val="sr-Latn-ME"/>
        </w:rPr>
        <w:t xml:space="preserve">pacijenata (vidjeti </w:t>
      </w:r>
      <w:r w:rsidR="002D5061" w:rsidRPr="00AD3B49">
        <w:rPr>
          <w:rFonts w:ascii="Times New Roman" w:hAnsi="Times New Roman" w:cs="Times New Roman"/>
          <w:sz w:val="22"/>
          <w:szCs w:val="22"/>
          <w:lang w:val="sr-Latn-ME"/>
        </w:rPr>
        <w:t>odjeljak</w:t>
      </w:r>
      <w:r w:rsidRPr="00AD3B49">
        <w:rPr>
          <w:rFonts w:ascii="Times New Roman" w:hAnsi="Times New Roman" w:cs="Times New Roman"/>
          <w:sz w:val="22"/>
          <w:szCs w:val="22"/>
          <w:lang w:val="sr-Latn-ME"/>
        </w:rPr>
        <w:t xml:space="preserve"> 4.8).</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2724A6"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Sve pacijente</w:t>
      </w:r>
      <w:r w:rsidR="00030852" w:rsidRPr="00AD3B49">
        <w:rPr>
          <w:rFonts w:ascii="Times New Roman" w:hAnsi="Times New Roman" w:cs="Times New Roman"/>
          <w:sz w:val="22"/>
          <w:szCs w:val="22"/>
          <w:lang w:val="sr-Latn-ME"/>
        </w:rPr>
        <w:t>, a posebno one koji u anamnezi imaju dugotrajno korištenje imunos</w:t>
      </w:r>
      <w:r w:rsidRPr="00AD3B49">
        <w:rPr>
          <w:rFonts w:ascii="Times New Roman" w:hAnsi="Times New Roman" w:cs="Times New Roman"/>
          <w:sz w:val="22"/>
          <w:szCs w:val="22"/>
          <w:lang w:val="sr-Latn-ME"/>
        </w:rPr>
        <w:t>upresivne terapije ili pacijente</w:t>
      </w:r>
      <w:r w:rsidR="00030852" w:rsidRPr="00AD3B49">
        <w:rPr>
          <w:rFonts w:ascii="Times New Roman" w:hAnsi="Times New Roman" w:cs="Times New Roman"/>
          <w:sz w:val="22"/>
          <w:szCs w:val="22"/>
          <w:lang w:val="sr-Latn-ME"/>
        </w:rPr>
        <w:t xml:space="preserve"> s psorijazom sa PUVA liječenjem u anamnezi, potrebno je prije i za vrijeme liječenja </w:t>
      </w:r>
      <w:r w:rsidR="00884C20" w:rsidRPr="00AD3B49">
        <w:rPr>
          <w:rFonts w:ascii="Times New Roman" w:hAnsi="Times New Roman" w:cs="Times New Roman"/>
          <w:color w:val="auto"/>
          <w:sz w:val="22"/>
          <w:szCs w:val="22"/>
          <w:lang w:val="sr-Latn-ME"/>
        </w:rPr>
        <w:t xml:space="preserve">lijekom </w:t>
      </w:r>
      <w:r w:rsidR="00030852"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00030852" w:rsidRPr="00AD3B49">
        <w:rPr>
          <w:rFonts w:ascii="Times New Roman" w:hAnsi="Times New Roman" w:cs="Times New Roman"/>
          <w:sz w:val="22"/>
          <w:szCs w:val="22"/>
          <w:lang w:val="sr-Latn-ME"/>
        </w:rPr>
        <w:t xml:space="preserve"> pregledati u svrhu otkrivanja nemelanomskog karcinoma kože. Melanom i karcinom Merkelovih ćelija su bili prijavljeni kod pacijenata liječenih TNF- antagonistima ukl</w:t>
      </w:r>
      <w:r w:rsidRPr="00AD3B49">
        <w:rPr>
          <w:rFonts w:ascii="Times New Roman" w:hAnsi="Times New Roman" w:cs="Times New Roman"/>
          <w:sz w:val="22"/>
          <w:szCs w:val="22"/>
          <w:lang w:val="sr-Latn-ME"/>
        </w:rPr>
        <w:t xml:space="preserve">jučujući adalimumab (vidjeti </w:t>
      </w:r>
      <w:r w:rsidR="002D5061" w:rsidRPr="00AD3B49">
        <w:rPr>
          <w:rFonts w:ascii="Times New Roman" w:hAnsi="Times New Roman" w:cs="Times New Roman"/>
          <w:sz w:val="22"/>
          <w:szCs w:val="22"/>
          <w:lang w:val="sr-Latn-ME"/>
        </w:rPr>
        <w:t>odjeljak</w:t>
      </w:r>
      <w:r w:rsidR="00030852" w:rsidRPr="00AD3B49">
        <w:rPr>
          <w:rFonts w:ascii="Times New Roman" w:hAnsi="Times New Roman" w:cs="Times New Roman"/>
          <w:sz w:val="22"/>
          <w:szCs w:val="22"/>
          <w:lang w:val="sr-Latn-ME"/>
        </w:rPr>
        <w:t xml:space="preserve"> 4.8)</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2724A6">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U kliničkom istraživanju primjene drugog antagonista TNF-a, infliksimaba, </w:t>
      </w:r>
      <w:r w:rsidR="002724A6" w:rsidRPr="00AD3B49">
        <w:rPr>
          <w:rFonts w:ascii="Times New Roman" w:hAnsi="Times New Roman" w:cs="Times New Roman"/>
          <w:sz w:val="22"/>
          <w:szCs w:val="22"/>
          <w:lang w:val="sr-Latn-ME"/>
        </w:rPr>
        <w:t xml:space="preserve">kod pacijenata </w:t>
      </w:r>
      <w:r w:rsidRPr="00AD3B49">
        <w:rPr>
          <w:rFonts w:ascii="Times New Roman" w:hAnsi="Times New Roman" w:cs="Times New Roman"/>
          <w:sz w:val="22"/>
          <w:szCs w:val="22"/>
          <w:lang w:val="sr-Latn-ME"/>
        </w:rPr>
        <w:t>s umjerenom do teškom hroničnom opstruktivnom bolesti pluća (HOPB), uočen je povećan b</w:t>
      </w:r>
      <w:r w:rsidR="00E404FE" w:rsidRPr="00AD3B49">
        <w:rPr>
          <w:rFonts w:ascii="Times New Roman" w:hAnsi="Times New Roman" w:cs="Times New Roman"/>
          <w:sz w:val="22"/>
          <w:szCs w:val="22"/>
          <w:lang w:val="sr-Latn-ME"/>
        </w:rPr>
        <w:t xml:space="preserve">roj </w:t>
      </w:r>
      <w:r w:rsidR="000D772C" w:rsidRPr="00AD3B49">
        <w:rPr>
          <w:rFonts w:ascii="Times New Roman" w:hAnsi="Times New Roman" w:cs="Times New Roman"/>
          <w:sz w:val="22"/>
          <w:szCs w:val="22"/>
          <w:lang w:val="sr-Latn-ME"/>
        </w:rPr>
        <w:t xml:space="preserve">maignih </w:t>
      </w:r>
      <w:r w:rsidR="00E404FE" w:rsidRPr="00AD3B49">
        <w:rPr>
          <w:rFonts w:ascii="Times New Roman" w:hAnsi="Times New Roman" w:cs="Times New Roman"/>
          <w:sz w:val="22"/>
          <w:szCs w:val="22"/>
          <w:lang w:val="sr-Latn-ME"/>
        </w:rPr>
        <w:t>oboljenja, posebno</w:t>
      </w:r>
      <w:r w:rsidRPr="00AD3B49">
        <w:rPr>
          <w:rFonts w:ascii="Times New Roman" w:hAnsi="Times New Roman" w:cs="Times New Roman"/>
          <w:sz w:val="22"/>
          <w:szCs w:val="22"/>
          <w:lang w:val="sr-Latn-ME"/>
        </w:rPr>
        <w:t xml:space="preserve"> na plućima ili glavi i vratu, </w:t>
      </w:r>
      <w:r w:rsidR="002724A6" w:rsidRPr="00AD3B49">
        <w:rPr>
          <w:rFonts w:ascii="Times New Roman" w:hAnsi="Times New Roman" w:cs="Times New Roman"/>
          <w:sz w:val="22"/>
          <w:szCs w:val="22"/>
          <w:lang w:val="sr-Latn-ME"/>
        </w:rPr>
        <w:t xml:space="preserve">kod pacijenata </w:t>
      </w:r>
      <w:r w:rsidRPr="00AD3B49">
        <w:rPr>
          <w:rFonts w:ascii="Times New Roman" w:hAnsi="Times New Roman" w:cs="Times New Roman"/>
          <w:sz w:val="22"/>
          <w:szCs w:val="22"/>
          <w:lang w:val="sr-Latn-ME"/>
        </w:rPr>
        <w:t>na infliksimabu nego u</w:t>
      </w:r>
      <w:r w:rsidR="002724A6" w:rsidRPr="00AD3B49">
        <w:rPr>
          <w:rFonts w:ascii="Times New Roman" w:hAnsi="Times New Roman" w:cs="Times New Roman"/>
          <w:sz w:val="22"/>
          <w:szCs w:val="22"/>
          <w:lang w:val="sr-Latn-ME"/>
        </w:rPr>
        <w:t xml:space="preserve"> kontrolnoj grupi. Svi pacijenti</w:t>
      </w:r>
      <w:r w:rsidRPr="00AD3B49">
        <w:rPr>
          <w:rFonts w:ascii="Times New Roman" w:hAnsi="Times New Roman" w:cs="Times New Roman"/>
          <w:sz w:val="22"/>
          <w:szCs w:val="22"/>
          <w:lang w:val="sr-Latn-ME"/>
        </w:rPr>
        <w:t xml:space="preserve"> bili su teški pušači. Zbog toga je potreban oprez kod primjene</w:t>
      </w:r>
      <w:r w:rsidR="002724A6" w:rsidRPr="00AD3B49">
        <w:rPr>
          <w:rFonts w:ascii="Times New Roman" w:hAnsi="Times New Roman" w:cs="Times New Roman"/>
          <w:sz w:val="22"/>
          <w:szCs w:val="22"/>
          <w:lang w:val="sr-Latn-ME"/>
        </w:rPr>
        <w:t xml:space="preserve"> antagonista TNF-a kod pacijenata</w:t>
      </w:r>
      <w:r w:rsidRPr="00AD3B49">
        <w:rPr>
          <w:rFonts w:ascii="Times New Roman" w:hAnsi="Times New Roman" w:cs="Times New Roman"/>
          <w:sz w:val="22"/>
          <w:szCs w:val="22"/>
          <w:lang w:val="sr-Latn-ME"/>
        </w:rPr>
        <w:t xml:space="preserve"> s HOPB-om, kao i </w:t>
      </w:r>
      <w:r w:rsidR="002724A6" w:rsidRPr="00AD3B49">
        <w:rPr>
          <w:rFonts w:ascii="Times New Roman" w:hAnsi="Times New Roman" w:cs="Times New Roman"/>
          <w:sz w:val="22"/>
          <w:szCs w:val="22"/>
          <w:lang w:val="sr-Latn-ME"/>
        </w:rPr>
        <w:t xml:space="preserve">kod pacijenata </w:t>
      </w:r>
      <w:r w:rsidRPr="00AD3B49">
        <w:rPr>
          <w:rFonts w:ascii="Times New Roman" w:hAnsi="Times New Roman" w:cs="Times New Roman"/>
          <w:sz w:val="22"/>
          <w:szCs w:val="22"/>
          <w:lang w:val="sr-Latn-ME"/>
        </w:rPr>
        <w:t xml:space="preserve">koji imaju povećan rizik za razvoj </w:t>
      </w:r>
      <w:r w:rsidR="000D772C" w:rsidRPr="00AD3B49">
        <w:rPr>
          <w:rFonts w:ascii="Times New Roman" w:hAnsi="Times New Roman" w:cs="Times New Roman"/>
          <w:sz w:val="22"/>
          <w:szCs w:val="22"/>
          <w:lang w:val="sr-Latn-ME"/>
        </w:rPr>
        <w:t xml:space="preserve">malignih </w:t>
      </w:r>
      <w:r w:rsidRPr="00AD3B49">
        <w:rPr>
          <w:rFonts w:ascii="Times New Roman" w:hAnsi="Times New Roman" w:cs="Times New Roman"/>
          <w:sz w:val="22"/>
          <w:szCs w:val="22"/>
          <w:lang w:val="sr-Latn-ME"/>
        </w:rPr>
        <w:t>bolesti zbog teškog pušenja.</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F30FB3">
      <w:pPr>
        <w:autoSpaceDE w:val="0"/>
        <w:autoSpaceDN w:val="0"/>
        <w:adjustRightInd w:val="0"/>
        <w:jc w:val="both"/>
        <w:rPr>
          <w:sz w:val="22"/>
          <w:szCs w:val="22"/>
          <w:lang w:val="sr-Latn-ME" w:eastAsia="hr-HR"/>
        </w:rPr>
      </w:pPr>
      <w:r w:rsidRPr="00AD3B49">
        <w:rPr>
          <w:iCs/>
          <w:sz w:val="22"/>
          <w:szCs w:val="22"/>
          <w:lang w:val="sr-Latn-ME"/>
        </w:rPr>
        <w:t xml:space="preserve">Prema trenutnim podacima nije poznato da li liječenje adalimumabom utiče na rizik pojave displazije ili raka kolona. Svi </w:t>
      </w:r>
      <w:r w:rsidR="00F30FB3" w:rsidRPr="00AD3B49">
        <w:rPr>
          <w:iCs/>
          <w:sz w:val="22"/>
          <w:szCs w:val="22"/>
          <w:lang w:val="sr-Latn-ME"/>
        </w:rPr>
        <w:t>pacijent</w:t>
      </w:r>
      <w:r w:rsidRPr="00AD3B49">
        <w:rPr>
          <w:iCs/>
          <w:sz w:val="22"/>
          <w:szCs w:val="22"/>
          <w:lang w:val="sr-Latn-ME"/>
        </w:rPr>
        <w:t xml:space="preserve">i s ulceroznim kolitisom kod kojih je povećan rizik od displazije ili karcinoma kolona (na primjer, </w:t>
      </w:r>
      <w:r w:rsidR="00F30FB3" w:rsidRPr="00AD3B49">
        <w:rPr>
          <w:iCs/>
          <w:sz w:val="22"/>
          <w:szCs w:val="22"/>
          <w:lang w:val="sr-Latn-ME"/>
        </w:rPr>
        <w:t>pacijenti</w:t>
      </w:r>
      <w:r w:rsidRPr="00AD3B49">
        <w:rPr>
          <w:iCs/>
          <w:sz w:val="22"/>
          <w:szCs w:val="22"/>
          <w:lang w:val="sr-Latn-ME"/>
        </w:rPr>
        <w:t xml:space="preserve"> s dugotrajnim ulceroznim kolitisom ili primarnim sklerozirajućim kolangitisom), </w:t>
      </w:r>
      <w:r w:rsidRPr="00AD3B49">
        <w:rPr>
          <w:sz w:val="22"/>
          <w:szCs w:val="22"/>
          <w:lang w:val="sr-Latn-ME" w:eastAsia="hr-HR"/>
        </w:rPr>
        <w:t xml:space="preserve">ili </w:t>
      </w:r>
      <w:r w:rsidR="00F30FB3" w:rsidRPr="00AD3B49">
        <w:rPr>
          <w:iCs/>
          <w:sz w:val="22"/>
          <w:szCs w:val="22"/>
          <w:lang w:val="sr-Latn-ME"/>
        </w:rPr>
        <w:t>pacijenti</w:t>
      </w:r>
      <w:r w:rsidRPr="00AD3B49">
        <w:rPr>
          <w:sz w:val="22"/>
          <w:szCs w:val="22"/>
          <w:lang w:val="sr-Latn-ME" w:eastAsia="hr-HR"/>
        </w:rPr>
        <w:t xml:space="preserve"> koji su imali displaziju ili karcinom kolona moraju se kontrolisati zbog mogućeg razvoja displazije u redovnim intervalima prije početka liječenja i tokom čitavog trajanja bolesti. Ti pregledi moraju uključivati kolonoskopiju i biopsiju u skladu s lokalnim preporukama.</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Hematološke reakcije</w:t>
      </w:r>
    </w:p>
    <w:p w:rsidR="00030852" w:rsidRPr="00AD3B49" w:rsidRDefault="00030852" w:rsidP="00420FBA">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U rijetkim je slučajevima za vrijeme liječenja antagonistima TNF-a zabilježena pojava pancitopenije, ukl</w:t>
      </w:r>
      <w:r w:rsidR="00420FBA" w:rsidRPr="00AD3B49">
        <w:rPr>
          <w:rFonts w:ascii="Times New Roman" w:hAnsi="Times New Roman" w:cs="Times New Roman"/>
          <w:sz w:val="22"/>
          <w:szCs w:val="22"/>
          <w:lang w:val="sr-Latn-ME"/>
        </w:rPr>
        <w:t>jučujući i aplastičnu anemiju. Kod</w:t>
      </w:r>
      <w:r w:rsidRPr="00AD3B49">
        <w:rPr>
          <w:rFonts w:ascii="Times New Roman" w:hAnsi="Times New Roman" w:cs="Times New Roman"/>
          <w:sz w:val="22"/>
          <w:szCs w:val="22"/>
          <w:lang w:val="sr-Latn-ME"/>
        </w:rPr>
        <w:t xml:space="preserve"> </w:t>
      </w:r>
      <w:r w:rsidR="00420FBA" w:rsidRPr="00AD3B49">
        <w:rPr>
          <w:rFonts w:ascii="Times New Roman" w:hAnsi="Times New Roman" w:cs="Times New Roman"/>
          <w:sz w:val="22"/>
          <w:szCs w:val="22"/>
          <w:lang w:val="sr-Latn-ME"/>
        </w:rPr>
        <w:t>pacijenata</w:t>
      </w:r>
      <w:r w:rsidRPr="00AD3B49">
        <w:rPr>
          <w:rFonts w:ascii="Times New Roman" w:hAnsi="Times New Roman" w:cs="Times New Roman"/>
          <w:sz w:val="22"/>
          <w:szCs w:val="22"/>
          <w:lang w:val="sr-Latn-ME"/>
        </w:rPr>
        <w:t xml:space="preserve"> liječenih</w:t>
      </w:r>
      <w:r w:rsidR="00420FBA" w:rsidRPr="00AD3B49">
        <w:rPr>
          <w:rFonts w:ascii="Times New Roman" w:hAnsi="Times New Roman" w:cs="Times New Roman"/>
          <w:sz w:val="22"/>
          <w:szCs w:val="22"/>
          <w:lang w:val="sr-Latn-ME"/>
        </w:rPr>
        <w:t xml:space="preserve"> </w:t>
      </w:r>
      <w:r w:rsidR="00884C20" w:rsidRPr="00AD3B49">
        <w:rPr>
          <w:rFonts w:ascii="Times New Roman" w:hAnsi="Times New Roman" w:cs="Times New Roman"/>
          <w:color w:val="auto"/>
          <w:sz w:val="22"/>
          <w:szCs w:val="22"/>
          <w:lang w:val="sr-Latn-ME"/>
        </w:rPr>
        <w:t xml:space="preserve">lijekom </w:t>
      </w:r>
      <w:r w:rsidR="00420FBA"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00420FBA" w:rsidRPr="00AD3B49">
        <w:rPr>
          <w:rFonts w:ascii="Times New Roman" w:hAnsi="Times New Roman" w:cs="Times New Roman"/>
          <w:sz w:val="22"/>
          <w:szCs w:val="22"/>
          <w:lang w:val="sr-Latn-ME"/>
        </w:rPr>
        <w:t xml:space="preserve"> </w:t>
      </w:r>
      <w:r w:rsidR="005C1110" w:rsidRPr="00AD3B49">
        <w:rPr>
          <w:rFonts w:ascii="Times New Roman" w:hAnsi="Times New Roman" w:cs="Times New Roman"/>
          <w:sz w:val="22"/>
          <w:szCs w:val="22"/>
          <w:lang w:val="sr-Latn-ME"/>
        </w:rPr>
        <w:t>pojavljuju se neželjena dejstva</w:t>
      </w:r>
      <w:r w:rsidRPr="00AD3B49">
        <w:rPr>
          <w:rFonts w:ascii="Times New Roman" w:hAnsi="Times New Roman" w:cs="Times New Roman"/>
          <w:sz w:val="22"/>
          <w:szCs w:val="22"/>
          <w:lang w:val="sr-Latn-ME"/>
        </w:rPr>
        <w:t xml:space="preserve"> hematološkog sistema, uključujući medicinski značajne citopenije (npr. trombocitopenija, leukopenija). </w:t>
      </w:r>
      <w:r w:rsidR="00420FBA" w:rsidRPr="00AD3B49">
        <w:rPr>
          <w:rFonts w:ascii="Times New Roman" w:hAnsi="Times New Roman" w:cs="Times New Roman"/>
          <w:sz w:val="22"/>
          <w:szCs w:val="22"/>
          <w:lang w:val="sr-Latn-ME"/>
        </w:rPr>
        <w:t>P</w:t>
      </w:r>
      <w:r w:rsidR="00F71DB9" w:rsidRPr="00AD3B49">
        <w:rPr>
          <w:rFonts w:ascii="Times New Roman" w:hAnsi="Times New Roman" w:cs="Times New Roman"/>
          <w:sz w:val="22"/>
          <w:szCs w:val="22"/>
          <w:lang w:val="sr-Latn-ME"/>
        </w:rPr>
        <w:t>a</w:t>
      </w:r>
      <w:r w:rsidR="00420FBA" w:rsidRPr="00AD3B49">
        <w:rPr>
          <w:rFonts w:ascii="Times New Roman" w:hAnsi="Times New Roman" w:cs="Times New Roman"/>
          <w:sz w:val="22"/>
          <w:szCs w:val="22"/>
          <w:lang w:val="sr-Latn-ME"/>
        </w:rPr>
        <w:t>cijente</w:t>
      </w:r>
      <w:r w:rsidRPr="00AD3B49">
        <w:rPr>
          <w:rFonts w:ascii="Times New Roman" w:hAnsi="Times New Roman" w:cs="Times New Roman"/>
          <w:sz w:val="22"/>
          <w:szCs w:val="22"/>
          <w:lang w:val="sr-Latn-ME"/>
        </w:rPr>
        <w:t xml:space="preserve"> treba upozoriti da odmah zatraže medicinsku pomoć ako se za vrijeme liječenja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pojave znakovi i simptomi koji upućuju na krvne diskrazije (npr. stalno povišena tjelesna temperatura, p</w:t>
      </w:r>
      <w:r w:rsidR="00E404FE" w:rsidRPr="00AD3B49">
        <w:rPr>
          <w:rFonts w:ascii="Times New Roman" w:hAnsi="Times New Roman" w:cs="Times New Roman"/>
          <w:sz w:val="22"/>
          <w:szCs w:val="22"/>
          <w:lang w:val="sr-Latn-ME"/>
        </w:rPr>
        <w:t>otkožni hematomi, krvarenje, bli</w:t>
      </w:r>
      <w:r w:rsidRPr="00AD3B49">
        <w:rPr>
          <w:rFonts w:ascii="Times New Roman" w:hAnsi="Times New Roman" w:cs="Times New Roman"/>
          <w:sz w:val="22"/>
          <w:szCs w:val="22"/>
          <w:lang w:val="sr-Latn-ME"/>
        </w:rPr>
        <w:t>jedilo). Ako se dokažu značajne hematološke abnormalnosti, treba razmisliti o prekidu liječ</w:t>
      </w:r>
      <w:r w:rsidR="00420FBA" w:rsidRPr="00AD3B49">
        <w:rPr>
          <w:rFonts w:ascii="Times New Roman" w:hAnsi="Times New Roman" w:cs="Times New Roman"/>
          <w:sz w:val="22"/>
          <w:szCs w:val="22"/>
          <w:lang w:val="sr-Latn-ME"/>
        </w:rPr>
        <w:t xml:space="preserve">enja </w:t>
      </w:r>
      <w:r w:rsidR="00884C20" w:rsidRPr="00AD3B49">
        <w:rPr>
          <w:rFonts w:ascii="Times New Roman" w:hAnsi="Times New Roman" w:cs="Times New Roman"/>
          <w:color w:val="auto"/>
          <w:sz w:val="22"/>
          <w:szCs w:val="22"/>
          <w:lang w:val="sr-Latn-ME"/>
        </w:rPr>
        <w:t xml:space="preserve">lijekom </w:t>
      </w:r>
      <w:r w:rsidR="00420FBA"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00420FBA" w:rsidRPr="00AD3B49">
        <w:rPr>
          <w:rFonts w:ascii="Times New Roman" w:hAnsi="Times New Roman" w:cs="Times New Roman"/>
          <w:sz w:val="22"/>
          <w:szCs w:val="22"/>
          <w:lang w:val="sr-Latn-ME"/>
        </w:rPr>
        <w:t xml:space="preserve"> kod takvih pacijenat</w:t>
      </w:r>
      <w:r w:rsidRPr="00AD3B49">
        <w:rPr>
          <w:rFonts w:ascii="Times New Roman" w:hAnsi="Times New Roman" w:cs="Times New Roman"/>
          <w:sz w:val="22"/>
          <w:szCs w:val="22"/>
          <w:lang w:val="sr-Latn-ME"/>
        </w:rPr>
        <w:t>a.</w:t>
      </w:r>
    </w:p>
    <w:p w:rsidR="00030852" w:rsidRPr="00AD3B49" w:rsidRDefault="00030852" w:rsidP="00030852">
      <w:pPr>
        <w:pStyle w:val="Default"/>
        <w:ind w:left="567" w:hanging="567"/>
        <w:jc w:val="both"/>
        <w:rPr>
          <w:rFonts w:ascii="Times New Roman" w:hAnsi="Times New Roman" w:cs="Times New Roman"/>
          <w:sz w:val="22"/>
          <w:szCs w:val="22"/>
          <w:lang w:val="sr-Latn-ME"/>
        </w:rPr>
      </w:pPr>
    </w:p>
    <w:p w:rsidR="00030852" w:rsidRPr="00AD3B49" w:rsidRDefault="00420FBA"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iCs/>
          <w:sz w:val="22"/>
          <w:szCs w:val="22"/>
          <w:u w:val="single"/>
          <w:lang w:val="sr-Latn-ME"/>
        </w:rPr>
        <w:t>Vakcinacija</w:t>
      </w: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iCs/>
          <w:sz w:val="22"/>
          <w:szCs w:val="22"/>
          <w:lang w:val="sr-Latn-ME"/>
        </w:rPr>
        <w:t xml:space="preserve">Sličan </w:t>
      </w:r>
      <w:r w:rsidRPr="00AD3B49">
        <w:rPr>
          <w:rFonts w:ascii="Times New Roman" w:hAnsi="Times New Roman" w:cs="Times New Roman"/>
          <w:sz w:val="22"/>
          <w:szCs w:val="22"/>
          <w:lang w:val="sr-Latn-ME"/>
        </w:rPr>
        <w:t xml:space="preserve">odgovor antitijela na standardno </w:t>
      </w:r>
      <w:r w:rsidR="00420FBA" w:rsidRPr="00AD3B49">
        <w:rPr>
          <w:rFonts w:ascii="Times New Roman" w:hAnsi="Times New Roman" w:cs="Times New Roman"/>
          <w:sz w:val="22"/>
          <w:szCs w:val="22"/>
          <w:lang w:val="sr-Latn-ME"/>
        </w:rPr>
        <w:t>23-ovalentno pneumokoknu vakcinu i trovalentnu vakcinu</w:t>
      </w:r>
      <w:r w:rsidRPr="00AD3B49">
        <w:rPr>
          <w:rFonts w:ascii="Times New Roman" w:hAnsi="Times New Roman" w:cs="Times New Roman"/>
          <w:sz w:val="22"/>
          <w:szCs w:val="22"/>
          <w:lang w:val="sr-Latn-ME"/>
        </w:rPr>
        <w:t xml:space="preserve"> protiv gripe je primjećeno u ispitivanju 226 odr</w:t>
      </w:r>
      <w:r w:rsidR="00420FBA" w:rsidRPr="00AD3B49">
        <w:rPr>
          <w:rFonts w:ascii="Times New Roman" w:hAnsi="Times New Roman" w:cs="Times New Roman"/>
          <w:sz w:val="22"/>
          <w:szCs w:val="22"/>
          <w:lang w:val="sr-Latn-ME"/>
        </w:rPr>
        <w:t>aslih pacijenata</w:t>
      </w:r>
      <w:r w:rsidRPr="00AD3B49">
        <w:rPr>
          <w:rFonts w:ascii="Times New Roman" w:hAnsi="Times New Roman" w:cs="Times New Roman"/>
          <w:sz w:val="22"/>
          <w:szCs w:val="22"/>
          <w:lang w:val="sr-Latn-ME"/>
        </w:rPr>
        <w:t xml:space="preserve"> s reumatoidnim artritisom koji su primali adalimumab ili placebo. Ne postoje podaci koji govore o sekundarnom prenosu infekcije nakon d</w:t>
      </w:r>
      <w:r w:rsidR="00E404FE" w:rsidRPr="00AD3B49">
        <w:rPr>
          <w:rFonts w:ascii="Times New Roman" w:hAnsi="Times New Roman" w:cs="Times New Roman"/>
          <w:sz w:val="22"/>
          <w:szCs w:val="22"/>
          <w:lang w:val="sr-Latn-ME"/>
        </w:rPr>
        <w:t>avanja žive vakcine</w:t>
      </w:r>
      <w:r w:rsidR="00420FBA" w:rsidRPr="00AD3B49">
        <w:rPr>
          <w:rFonts w:ascii="Times New Roman" w:hAnsi="Times New Roman" w:cs="Times New Roman"/>
          <w:sz w:val="22"/>
          <w:szCs w:val="22"/>
          <w:lang w:val="sr-Latn-ME"/>
        </w:rPr>
        <w:t xml:space="preserve"> kod pacijenata</w:t>
      </w:r>
      <w:r w:rsidRPr="00AD3B49">
        <w:rPr>
          <w:rFonts w:ascii="Times New Roman" w:hAnsi="Times New Roman" w:cs="Times New Roman"/>
          <w:sz w:val="22"/>
          <w:szCs w:val="22"/>
          <w:lang w:val="sr-Latn-ME"/>
        </w:rPr>
        <w:t xml:space="preserve"> na </w:t>
      </w:r>
      <w:r w:rsidR="0004490B" w:rsidRPr="00AD3B49">
        <w:rPr>
          <w:rFonts w:ascii="Times New Roman" w:hAnsi="Times New Roman" w:cs="Times New Roman"/>
          <w:sz w:val="22"/>
          <w:szCs w:val="22"/>
          <w:lang w:val="sr-Latn-ME"/>
        </w:rPr>
        <w:t xml:space="preserve">lijeku </w:t>
      </w:r>
      <w:r w:rsidRPr="00AD3B49">
        <w:rPr>
          <w:rFonts w:ascii="Times New Roman" w:hAnsi="Times New Roman" w:cs="Times New Roman"/>
          <w:sz w:val="22"/>
          <w:szCs w:val="22"/>
          <w:lang w:val="sr-Latn-ME"/>
        </w:rPr>
        <w:t>Humir</w:t>
      </w:r>
      <w:r w:rsidR="0004490B"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Preporučuje se da s</w:t>
      </w:r>
      <w:r w:rsidR="00420FBA" w:rsidRPr="00AD3B49">
        <w:rPr>
          <w:rFonts w:ascii="Times New Roman" w:hAnsi="Times New Roman" w:cs="Times New Roman"/>
          <w:sz w:val="22"/>
          <w:szCs w:val="22"/>
          <w:lang w:val="sr-Latn-ME"/>
        </w:rPr>
        <w:t>e pedijatrijski pacijenti</w:t>
      </w:r>
      <w:r w:rsidRPr="00AD3B49">
        <w:rPr>
          <w:rFonts w:ascii="Times New Roman" w:hAnsi="Times New Roman" w:cs="Times New Roman"/>
          <w:sz w:val="22"/>
          <w:szCs w:val="22"/>
          <w:lang w:val="sr-Latn-ME"/>
        </w:rPr>
        <w:t>, ako je moguće,</w:t>
      </w:r>
      <w:r w:rsidR="00420FBA" w:rsidRPr="00AD3B49">
        <w:rPr>
          <w:rFonts w:ascii="Times New Roman" w:hAnsi="Times New Roman" w:cs="Times New Roman"/>
          <w:sz w:val="22"/>
          <w:szCs w:val="22"/>
          <w:lang w:val="sr-Latn-ME"/>
        </w:rPr>
        <w:t xml:space="preserve"> vakcinišu</w:t>
      </w:r>
      <w:r w:rsidRPr="00AD3B49">
        <w:rPr>
          <w:rFonts w:ascii="Times New Roman" w:hAnsi="Times New Roman" w:cs="Times New Roman"/>
          <w:sz w:val="22"/>
          <w:szCs w:val="22"/>
          <w:lang w:val="sr-Latn-ME"/>
        </w:rPr>
        <w:t xml:space="preserve"> u skladu sa svim va</w:t>
      </w:r>
      <w:r w:rsidR="00420FBA" w:rsidRPr="00AD3B49">
        <w:rPr>
          <w:rFonts w:ascii="Times New Roman" w:hAnsi="Times New Roman" w:cs="Times New Roman"/>
          <w:sz w:val="22"/>
          <w:szCs w:val="22"/>
          <w:lang w:val="sr-Latn-ME"/>
        </w:rPr>
        <w:t>žećim smjernicama za vakcinaciju</w:t>
      </w:r>
      <w:r w:rsidRPr="00AD3B49">
        <w:rPr>
          <w:rFonts w:ascii="Times New Roman" w:hAnsi="Times New Roman" w:cs="Times New Roman"/>
          <w:sz w:val="22"/>
          <w:szCs w:val="22"/>
          <w:lang w:val="sr-Latn-ME"/>
        </w:rPr>
        <w:t xml:space="preserve"> prije uvođenja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u terapiju.</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420FBA"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Pacijenti</w:t>
      </w:r>
      <w:r w:rsidR="00030852" w:rsidRPr="00AD3B49">
        <w:rPr>
          <w:rFonts w:ascii="Times New Roman" w:hAnsi="Times New Roman" w:cs="Times New Roman"/>
          <w:sz w:val="22"/>
          <w:szCs w:val="22"/>
          <w:lang w:val="sr-Latn-ME"/>
        </w:rPr>
        <w:t xml:space="preserve"> koji primaju </w:t>
      </w:r>
      <w:r w:rsidR="00C10995" w:rsidRPr="00AD3B49">
        <w:rPr>
          <w:rFonts w:ascii="Times New Roman" w:hAnsi="Times New Roman" w:cs="Times New Roman"/>
          <w:color w:val="auto"/>
          <w:sz w:val="22"/>
          <w:szCs w:val="22"/>
          <w:lang w:val="sr-Latn-ME"/>
        </w:rPr>
        <w:t xml:space="preserve">lijek </w:t>
      </w:r>
      <w:r w:rsidR="00030852" w:rsidRPr="00AD3B49">
        <w:rPr>
          <w:rFonts w:ascii="Times New Roman" w:hAnsi="Times New Roman" w:cs="Times New Roman"/>
          <w:sz w:val="22"/>
          <w:szCs w:val="22"/>
          <w:lang w:val="sr-Latn-ME"/>
        </w:rPr>
        <w:t>Humir</w:t>
      </w:r>
      <w:r w:rsidR="00C10995" w:rsidRPr="00AD3B49">
        <w:rPr>
          <w:rFonts w:ascii="Times New Roman" w:hAnsi="Times New Roman" w:cs="Times New Roman"/>
          <w:sz w:val="22"/>
          <w:szCs w:val="22"/>
          <w:lang w:val="sr-Latn-ME"/>
        </w:rPr>
        <w:t>a</w:t>
      </w:r>
      <w:r w:rsidR="00030852" w:rsidRPr="00AD3B49">
        <w:rPr>
          <w:rFonts w:ascii="Times New Roman" w:hAnsi="Times New Roman" w:cs="Times New Roman"/>
          <w:sz w:val="22"/>
          <w:szCs w:val="22"/>
          <w:lang w:val="sr-Latn-ME"/>
        </w:rPr>
        <w:t xml:space="preserve"> </w:t>
      </w:r>
      <w:r w:rsidRPr="00AD3B49">
        <w:rPr>
          <w:rFonts w:ascii="Times New Roman" w:hAnsi="Times New Roman" w:cs="Times New Roman"/>
          <w:sz w:val="22"/>
          <w:szCs w:val="22"/>
          <w:lang w:val="sr-Latn-ME"/>
        </w:rPr>
        <w:t>mogu istovremeno primiti vakcinu, ali ne živu vakcinu</w:t>
      </w:r>
      <w:r w:rsidR="00030852" w:rsidRPr="00AD3B49">
        <w:rPr>
          <w:rFonts w:ascii="Times New Roman" w:hAnsi="Times New Roman" w:cs="Times New Roman"/>
          <w:sz w:val="22"/>
          <w:szCs w:val="22"/>
          <w:lang w:val="sr-Latn-ME"/>
        </w:rPr>
        <w:t xml:space="preserve">. </w:t>
      </w:r>
      <w:r w:rsidRPr="00AD3B49">
        <w:rPr>
          <w:rFonts w:ascii="Times New Roman" w:hAnsi="Times New Roman" w:cs="Times New Roman"/>
          <w:sz w:val="22"/>
          <w:szCs w:val="22"/>
          <w:lang w:val="sr-Latn-ME"/>
        </w:rPr>
        <w:t>Primjena žive vakcine</w:t>
      </w:r>
      <w:r w:rsidR="00B91847" w:rsidRPr="00AD3B49">
        <w:rPr>
          <w:rFonts w:ascii="Times New Roman" w:hAnsi="Times New Roman" w:cs="Times New Roman"/>
          <w:sz w:val="22"/>
          <w:szCs w:val="22"/>
          <w:lang w:val="sr-Latn-ME"/>
        </w:rPr>
        <w:t xml:space="preserve"> kod odoj</w:t>
      </w:r>
      <w:r w:rsidR="00030852" w:rsidRPr="00AD3B49">
        <w:rPr>
          <w:rFonts w:ascii="Times New Roman" w:hAnsi="Times New Roman" w:cs="Times New Roman"/>
          <w:sz w:val="22"/>
          <w:szCs w:val="22"/>
          <w:lang w:val="sr-Latn-ME"/>
        </w:rPr>
        <w:t xml:space="preserve">čadi koja su bila izložena adalimumabu </w:t>
      </w:r>
      <w:r w:rsidR="000D772C" w:rsidRPr="00AD3B49">
        <w:rPr>
          <w:rFonts w:ascii="Times New Roman" w:hAnsi="Times New Roman" w:cs="Times New Roman"/>
          <w:i/>
          <w:sz w:val="22"/>
          <w:szCs w:val="22"/>
          <w:lang w:val="sr-Latn-ME"/>
        </w:rPr>
        <w:t xml:space="preserve">in utero </w:t>
      </w:r>
      <w:r w:rsidR="00030852" w:rsidRPr="00AD3B49">
        <w:rPr>
          <w:rFonts w:ascii="Times New Roman" w:hAnsi="Times New Roman" w:cs="Times New Roman"/>
          <w:sz w:val="22"/>
          <w:szCs w:val="22"/>
          <w:lang w:val="sr-Latn-ME"/>
        </w:rPr>
        <w:t xml:space="preserve">se ne preporučuje u narednih 5 mjeseci nakon posljednje doze koju je primila majka tokom trudnoće. </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B91847" w:rsidP="00030852">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Kongestivn</w:t>
      </w:r>
      <w:r w:rsidR="00BD025F" w:rsidRPr="00AD3B49">
        <w:rPr>
          <w:rFonts w:ascii="Times New Roman" w:hAnsi="Times New Roman" w:cs="Times New Roman"/>
          <w:sz w:val="22"/>
          <w:szCs w:val="22"/>
          <w:u w:val="single"/>
          <w:lang w:val="sr-Latn-ME"/>
        </w:rPr>
        <w:t>a</w:t>
      </w:r>
      <w:r w:rsidRPr="00AD3B49">
        <w:rPr>
          <w:rFonts w:ascii="Times New Roman" w:hAnsi="Times New Roman" w:cs="Times New Roman"/>
          <w:sz w:val="22"/>
          <w:szCs w:val="22"/>
          <w:u w:val="single"/>
          <w:lang w:val="sr-Latn-ME"/>
        </w:rPr>
        <w:t xml:space="preserve"> srčana </w:t>
      </w:r>
      <w:r w:rsidR="001573B4" w:rsidRPr="00AD3B49">
        <w:rPr>
          <w:rFonts w:ascii="Times New Roman" w:hAnsi="Times New Roman" w:cs="Times New Roman"/>
          <w:sz w:val="22"/>
          <w:szCs w:val="22"/>
          <w:u w:val="single"/>
          <w:lang w:val="sr-Latn-ME"/>
        </w:rPr>
        <w:t>insuficijencija</w:t>
      </w:r>
    </w:p>
    <w:p w:rsidR="00030852" w:rsidRPr="00AD3B49" w:rsidRDefault="00030852" w:rsidP="00B91847">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U kliničkom ispitivanju jednog drugog antagonista TNF-a zabilježeno je</w:t>
      </w:r>
      <w:r w:rsidR="00B91847" w:rsidRPr="00AD3B49">
        <w:rPr>
          <w:rFonts w:ascii="Times New Roman" w:hAnsi="Times New Roman" w:cs="Times New Roman"/>
          <w:sz w:val="22"/>
          <w:szCs w:val="22"/>
          <w:lang w:val="sr-Latn-ME"/>
        </w:rPr>
        <w:t xml:space="preserve"> pogoršanje kongestivn</w:t>
      </w:r>
      <w:r w:rsidR="00BD025F" w:rsidRPr="00AD3B49">
        <w:rPr>
          <w:rFonts w:ascii="Times New Roman" w:hAnsi="Times New Roman" w:cs="Times New Roman"/>
          <w:sz w:val="22"/>
          <w:szCs w:val="22"/>
          <w:lang w:val="sr-Latn-ME"/>
        </w:rPr>
        <w:t>e</w:t>
      </w:r>
      <w:r w:rsidR="00B91847" w:rsidRPr="00AD3B49">
        <w:rPr>
          <w:rFonts w:ascii="Times New Roman" w:hAnsi="Times New Roman" w:cs="Times New Roman"/>
          <w:sz w:val="22"/>
          <w:szCs w:val="22"/>
          <w:lang w:val="sr-Latn-ME"/>
        </w:rPr>
        <w:t xml:space="preserve"> srčane </w:t>
      </w:r>
      <w:r w:rsidR="001573B4" w:rsidRPr="00AD3B49">
        <w:rPr>
          <w:rFonts w:ascii="Times New Roman" w:hAnsi="Times New Roman" w:cs="Times New Roman"/>
          <w:sz w:val="22"/>
          <w:szCs w:val="22"/>
          <w:lang w:val="sr-Latn-ME"/>
        </w:rPr>
        <w:t>insuficijencij</w:t>
      </w:r>
      <w:r w:rsidR="00A307A3" w:rsidRPr="00AD3B49">
        <w:rPr>
          <w:rFonts w:ascii="Times New Roman" w:hAnsi="Times New Roman" w:cs="Times New Roman"/>
          <w:sz w:val="22"/>
          <w:szCs w:val="22"/>
          <w:lang w:val="sr-Latn-ME"/>
        </w:rPr>
        <w:t>e</w:t>
      </w:r>
      <w:r w:rsidRPr="00AD3B49">
        <w:rPr>
          <w:rFonts w:ascii="Times New Roman" w:hAnsi="Times New Roman" w:cs="Times New Roman"/>
          <w:sz w:val="22"/>
          <w:szCs w:val="22"/>
          <w:lang w:val="sr-Latn-ME"/>
        </w:rPr>
        <w:t xml:space="preserve"> i pove</w:t>
      </w:r>
      <w:r w:rsidR="00B91847" w:rsidRPr="00AD3B49">
        <w:rPr>
          <w:rFonts w:ascii="Times New Roman" w:hAnsi="Times New Roman" w:cs="Times New Roman"/>
          <w:sz w:val="22"/>
          <w:szCs w:val="22"/>
          <w:lang w:val="sr-Latn-ME"/>
        </w:rPr>
        <w:t xml:space="preserve">ćana smrtnost zbog kongestivne srčane </w:t>
      </w:r>
      <w:r w:rsidR="001573B4" w:rsidRPr="00AD3B49">
        <w:rPr>
          <w:rFonts w:ascii="Times New Roman" w:hAnsi="Times New Roman" w:cs="Times New Roman"/>
          <w:sz w:val="22"/>
          <w:szCs w:val="22"/>
          <w:lang w:val="sr-Latn-ME"/>
        </w:rPr>
        <w:t>insuficijencij</w:t>
      </w:r>
      <w:r w:rsidR="00A307A3" w:rsidRPr="00AD3B49">
        <w:rPr>
          <w:rFonts w:ascii="Times New Roman" w:hAnsi="Times New Roman" w:cs="Times New Roman"/>
          <w:sz w:val="22"/>
          <w:szCs w:val="22"/>
          <w:lang w:val="sr-Latn-ME"/>
        </w:rPr>
        <w:t>e</w:t>
      </w:r>
      <w:r w:rsidRPr="00AD3B49">
        <w:rPr>
          <w:rFonts w:ascii="Times New Roman" w:hAnsi="Times New Roman" w:cs="Times New Roman"/>
          <w:sz w:val="22"/>
          <w:szCs w:val="22"/>
          <w:lang w:val="sr-Latn-ME"/>
        </w:rPr>
        <w:t>. Prijavljeni su slučajevi p</w:t>
      </w:r>
      <w:r w:rsidR="00B91847" w:rsidRPr="00AD3B49">
        <w:rPr>
          <w:rFonts w:ascii="Times New Roman" w:hAnsi="Times New Roman" w:cs="Times New Roman"/>
          <w:sz w:val="22"/>
          <w:szCs w:val="22"/>
          <w:lang w:val="sr-Latn-ME"/>
        </w:rPr>
        <w:t xml:space="preserve">ogoršanja kongestivne srčane </w:t>
      </w:r>
      <w:r w:rsidR="001573B4" w:rsidRPr="00AD3B49">
        <w:rPr>
          <w:rFonts w:ascii="Times New Roman" w:hAnsi="Times New Roman" w:cs="Times New Roman"/>
          <w:sz w:val="22"/>
          <w:szCs w:val="22"/>
          <w:lang w:val="sr-Latn-ME"/>
        </w:rPr>
        <w:t>insuficijencij</w:t>
      </w:r>
      <w:r w:rsidR="00A307A3" w:rsidRPr="00AD3B49">
        <w:rPr>
          <w:rFonts w:ascii="Times New Roman" w:hAnsi="Times New Roman" w:cs="Times New Roman"/>
          <w:sz w:val="22"/>
          <w:szCs w:val="22"/>
          <w:lang w:val="sr-Latn-ME"/>
        </w:rPr>
        <w:t>e</w:t>
      </w:r>
      <w:r w:rsidR="00B91847" w:rsidRPr="00AD3B49">
        <w:rPr>
          <w:rFonts w:ascii="Times New Roman" w:hAnsi="Times New Roman" w:cs="Times New Roman"/>
          <w:sz w:val="22"/>
          <w:szCs w:val="22"/>
          <w:lang w:val="sr-Latn-ME"/>
        </w:rPr>
        <w:t xml:space="preserve"> kod pacijenata</w:t>
      </w:r>
      <w:r w:rsidRPr="00AD3B49">
        <w:rPr>
          <w:rFonts w:ascii="Times New Roman" w:hAnsi="Times New Roman" w:cs="Times New Roman"/>
          <w:sz w:val="22"/>
          <w:szCs w:val="22"/>
          <w:lang w:val="sr-Latn-ME"/>
        </w:rPr>
        <w:t xml:space="preserve"> liječenih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w:t>
      </w:r>
      <w:r w:rsidR="00C10995" w:rsidRPr="00AD3B49">
        <w:rPr>
          <w:rFonts w:ascii="Times New Roman" w:hAnsi="Times New Roman" w:cs="Times New Roman"/>
          <w:color w:val="auto"/>
          <w:sz w:val="22"/>
          <w:szCs w:val="22"/>
          <w:lang w:val="sr-Latn-ME"/>
        </w:rPr>
        <w:t xml:space="preserve">Lijek </w:t>
      </w:r>
      <w:r w:rsidRPr="00AD3B49">
        <w:rPr>
          <w:rFonts w:ascii="Times New Roman" w:hAnsi="Times New Roman" w:cs="Times New Roman"/>
          <w:sz w:val="22"/>
          <w:szCs w:val="22"/>
          <w:lang w:val="sr-Latn-ME"/>
        </w:rPr>
        <w:t>Humir</w:t>
      </w:r>
      <w:r w:rsidR="00C10995"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treba davati oprezno </w:t>
      </w:r>
      <w:r w:rsidR="00B91847" w:rsidRPr="00AD3B49">
        <w:rPr>
          <w:rFonts w:ascii="Times New Roman" w:hAnsi="Times New Roman" w:cs="Times New Roman"/>
          <w:sz w:val="22"/>
          <w:szCs w:val="22"/>
          <w:lang w:val="sr-Latn-ME"/>
        </w:rPr>
        <w:t xml:space="preserve">kod pacijenata s blagom srčanom </w:t>
      </w:r>
      <w:r w:rsidR="001573B4" w:rsidRPr="00AD3B49">
        <w:rPr>
          <w:rFonts w:ascii="Times New Roman" w:hAnsi="Times New Roman" w:cs="Times New Roman"/>
          <w:sz w:val="22"/>
          <w:szCs w:val="22"/>
          <w:lang w:val="sr-Latn-ME"/>
        </w:rPr>
        <w:t>insuficijencij</w:t>
      </w:r>
      <w:r w:rsidR="00A307A3" w:rsidRPr="00AD3B49">
        <w:rPr>
          <w:rFonts w:ascii="Times New Roman" w:hAnsi="Times New Roman" w:cs="Times New Roman"/>
          <w:sz w:val="22"/>
          <w:szCs w:val="22"/>
          <w:lang w:val="sr-Latn-ME"/>
        </w:rPr>
        <w:t>om</w:t>
      </w:r>
      <w:r w:rsidRPr="00AD3B49">
        <w:rPr>
          <w:rFonts w:ascii="Times New Roman" w:hAnsi="Times New Roman" w:cs="Times New Roman"/>
          <w:sz w:val="22"/>
          <w:szCs w:val="22"/>
          <w:lang w:val="sr-Latn-ME"/>
        </w:rPr>
        <w:t xml:space="preserve"> (NYHA </w:t>
      </w:r>
      <w:r w:rsidR="000D772C" w:rsidRPr="00AD3B49">
        <w:rPr>
          <w:rFonts w:ascii="Times New Roman" w:hAnsi="Times New Roman" w:cs="Times New Roman"/>
          <w:sz w:val="22"/>
          <w:szCs w:val="22"/>
          <w:lang w:val="sr-Latn-ME"/>
        </w:rPr>
        <w:t>stepen</w:t>
      </w:r>
      <w:r w:rsidRPr="00AD3B49">
        <w:rPr>
          <w:rFonts w:ascii="Times New Roman" w:hAnsi="Times New Roman" w:cs="Times New Roman"/>
          <w:sz w:val="22"/>
          <w:szCs w:val="22"/>
          <w:lang w:val="sr-Latn-ME"/>
        </w:rPr>
        <w:t xml:space="preserve"> I/II). Primjena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j</w:t>
      </w:r>
      <w:r w:rsidR="00B91847" w:rsidRPr="00AD3B49">
        <w:rPr>
          <w:rFonts w:ascii="Times New Roman" w:hAnsi="Times New Roman" w:cs="Times New Roman"/>
          <w:sz w:val="22"/>
          <w:szCs w:val="22"/>
          <w:lang w:val="sr-Latn-ME"/>
        </w:rPr>
        <w:t>e kontraindikovana</w:t>
      </w:r>
      <w:r w:rsidRPr="00AD3B49">
        <w:rPr>
          <w:rFonts w:ascii="Times New Roman" w:hAnsi="Times New Roman" w:cs="Times New Roman"/>
          <w:sz w:val="22"/>
          <w:szCs w:val="22"/>
          <w:lang w:val="sr-Latn-ME"/>
        </w:rPr>
        <w:t xml:space="preserve"> </w:t>
      </w:r>
      <w:r w:rsidR="00B91847" w:rsidRPr="00AD3B49">
        <w:rPr>
          <w:rFonts w:ascii="Times New Roman" w:hAnsi="Times New Roman" w:cs="Times New Roman"/>
          <w:sz w:val="22"/>
          <w:szCs w:val="22"/>
          <w:lang w:val="sr-Latn-ME"/>
        </w:rPr>
        <w:t xml:space="preserve">kod pacijenata s umjerenom do teškom srčanom </w:t>
      </w:r>
      <w:r w:rsidR="00A307A3" w:rsidRPr="00AD3B49">
        <w:rPr>
          <w:rFonts w:ascii="Times New Roman" w:hAnsi="Times New Roman" w:cs="Times New Roman"/>
          <w:sz w:val="22"/>
          <w:szCs w:val="22"/>
          <w:lang w:val="sr-Latn-ME"/>
        </w:rPr>
        <w:t xml:space="preserve">insuficijencijom </w:t>
      </w:r>
      <w:r w:rsidR="00B91847" w:rsidRPr="00AD3B49">
        <w:rPr>
          <w:rFonts w:ascii="Times New Roman" w:hAnsi="Times New Roman" w:cs="Times New Roman"/>
          <w:sz w:val="22"/>
          <w:szCs w:val="22"/>
          <w:lang w:val="sr-Latn-ME"/>
        </w:rPr>
        <w:t xml:space="preserve">(vidjeti </w:t>
      </w:r>
      <w:r w:rsidR="002D5061" w:rsidRPr="00AD3B49">
        <w:rPr>
          <w:rFonts w:ascii="Times New Roman" w:hAnsi="Times New Roman" w:cs="Times New Roman"/>
          <w:sz w:val="22"/>
          <w:szCs w:val="22"/>
          <w:lang w:val="sr-Latn-ME"/>
        </w:rPr>
        <w:t>odjeljak</w:t>
      </w:r>
      <w:r w:rsidRPr="00AD3B49">
        <w:rPr>
          <w:rFonts w:ascii="Times New Roman" w:hAnsi="Times New Roman" w:cs="Times New Roman"/>
          <w:sz w:val="22"/>
          <w:szCs w:val="22"/>
          <w:lang w:val="sr-Latn-ME"/>
        </w:rPr>
        <w:t xml:space="preserve"> 4.3). Ako se pojave novi ili pogoršaju</w:t>
      </w:r>
      <w:r w:rsidR="00B91847" w:rsidRPr="00AD3B49">
        <w:rPr>
          <w:rFonts w:ascii="Times New Roman" w:hAnsi="Times New Roman" w:cs="Times New Roman"/>
          <w:sz w:val="22"/>
          <w:szCs w:val="22"/>
          <w:lang w:val="sr-Latn-ME"/>
        </w:rPr>
        <w:t xml:space="preserve"> postojeći simptomi kongestivne srčane </w:t>
      </w:r>
      <w:r w:rsidR="001573B4" w:rsidRPr="00AD3B49">
        <w:rPr>
          <w:rFonts w:ascii="Times New Roman" w:hAnsi="Times New Roman" w:cs="Times New Roman"/>
          <w:sz w:val="22"/>
          <w:szCs w:val="22"/>
          <w:lang w:val="sr-Latn-ME"/>
        </w:rPr>
        <w:t>insuficijencij</w:t>
      </w:r>
      <w:r w:rsidR="00A307A3" w:rsidRPr="00AD3B49">
        <w:rPr>
          <w:rFonts w:ascii="Times New Roman" w:hAnsi="Times New Roman" w:cs="Times New Roman"/>
          <w:sz w:val="22"/>
          <w:szCs w:val="22"/>
          <w:lang w:val="sr-Latn-ME"/>
        </w:rPr>
        <w:t>e</w:t>
      </w:r>
      <w:r w:rsidRPr="00AD3B49">
        <w:rPr>
          <w:rFonts w:ascii="Times New Roman" w:hAnsi="Times New Roman" w:cs="Times New Roman"/>
          <w:sz w:val="22"/>
          <w:szCs w:val="22"/>
          <w:lang w:val="sr-Latn-ME"/>
        </w:rPr>
        <w:t xml:space="preserve">, treba obustaviti primjenu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Autoimuni procesi</w:t>
      </w: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Za vrijeme primjene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mogu se razviti autoimuna antitijela. Efekat dugotrajnog liječenja </w:t>
      </w:r>
      <w:r w:rsidR="00884C20" w:rsidRPr="00AD3B49">
        <w:rPr>
          <w:rFonts w:ascii="Times New Roman" w:hAnsi="Times New Roman" w:cs="Times New Roman"/>
          <w:color w:val="auto"/>
          <w:sz w:val="22"/>
          <w:szCs w:val="22"/>
          <w:lang w:val="sr-Latn-ME"/>
        </w:rPr>
        <w:lastRenderedPageBreak/>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na razvoj autoimunih boles</w:t>
      </w:r>
      <w:r w:rsidR="0032554F" w:rsidRPr="00AD3B49">
        <w:rPr>
          <w:rFonts w:ascii="Times New Roman" w:hAnsi="Times New Roman" w:cs="Times New Roman"/>
          <w:sz w:val="22"/>
          <w:szCs w:val="22"/>
          <w:lang w:val="sr-Latn-ME"/>
        </w:rPr>
        <w:t>ti nije poznat. Ukoliko pacijent</w:t>
      </w:r>
      <w:r w:rsidRPr="00AD3B49">
        <w:rPr>
          <w:rFonts w:ascii="Times New Roman" w:hAnsi="Times New Roman" w:cs="Times New Roman"/>
          <w:sz w:val="22"/>
          <w:szCs w:val="22"/>
          <w:lang w:val="sr-Latn-ME"/>
        </w:rPr>
        <w:t xml:space="preserve"> nakon primjene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razvije simptome koji upućuju na sindrom sličan lupusu i pozitivan je na antitijela usmjerena protiv dvolančane DNK, potrebno je</w:t>
      </w:r>
      <w:r w:rsidR="0032554F" w:rsidRPr="00AD3B49">
        <w:rPr>
          <w:rFonts w:ascii="Times New Roman" w:hAnsi="Times New Roman" w:cs="Times New Roman"/>
          <w:sz w:val="22"/>
          <w:szCs w:val="22"/>
          <w:lang w:val="sr-Latn-ME"/>
        </w:rPr>
        <w:t xml:space="preserve"> prekinuti terapiju (vidjeti </w:t>
      </w:r>
      <w:r w:rsidR="002D5061" w:rsidRPr="00AD3B49">
        <w:rPr>
          <w:rFonts w:ascii="Times New Roman" w:hAnsi="Times New Roman" w:cs="Times New Roman"/>
          <w:sz w:val="22"/>
          <w:szCs w:val="22"/>
          <w:lang w:val="sr-Latn-ME"/>
        </w:rPr>
        <w:t>odjeljak</w:t>
      </w:r>
      <w:r w:rsidRPr="00AD3B49">
        <w:rPr>
          <w:rFonts w:ascii="Times New Roman" w:hAnsi="Times New Roman" w:cs="Times New Roman"/>
          <w:sz w:val="22"/>
          <w:szCs w:val="22"/>
          <w:lang w:val="sr-Latn-ME"/>
        </w:rPr>
        <w:t xml:space="preserve"> 4.8).</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 xml:space="preserve">Istovremena primjena bioloških DMARDS-a ili antagonista TNF-a </w:t>
      </w: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U kliničkim ispitivanjima istovremene primjene anakinre i drugog antagonista TNF-a, etanercepta, zabilježene su ozbiljne infekcije, a pritom nije bilo dodatne kliničke koristi u odnosu na monoterapiju etanerceptom. S obzirom na vrstu neželjenih djelovanja opisanih pri istovremenoj primjeni anakinre i etanercepta pretpostav</w:t>
      </w:r>
      <w:r w:rsidR="0032554F" w:rsidRPr="00AD3B49">
        <w:rPr>
          <w:rFonts w:ascii="Times New Roman" w:hAnsi="Times New Roman" w:cs="Times New Roman"/>
          <w:sz w:val="22"/>
          <w:szCs w:val="22"/>
          <w:lang w:val="sr-Latn-ME"/>
        </w:rPr>
        <w:t>lja se da bi se slična deželjena dejstva mogla</w:t>
      </w:r>
      <w:r w:rsidRPr="00AD3B49">
        <w:rPr>
          <w:rFonts w:ascii="Times New Roman" w:hAnsi="Times New Roman" w:cs="Times New Roman"/>
          <w:sz w:val="22"/>
          <w:szCs w:val="22"/>
          <w:lang w:val="sr-Latn-ME"/>
        </w:rPr>
        <w:t xml:space="preserve"> pojaviti i za vrijeme liječenja anakinrom u kombinaciji s drugim antagonistima TNF-a. Stoga se istovremena primjena adalimumaba i anak</w:t>
      </w:r>
      <w:r w:rsidR="0032554F" w:rsidRPr="00AD3B49">
        <w:rPr>
          <w:rFonts w:ascii="Times New Roman" w:hAnsi="Times New Roman" w:cs="Times New Roman"/>
          <w:sz w:val="22"/>
          <w:szCs w:val="22"/>
          <w:lang w:val="sr-Latn-ME"/>
        </w:rPr>
        <w:t xml:space="preserve">inre ne preporučuje (vidjeti </w:t>
      </w:r>
      <w:r w:rsidR="002D5061" w:rsidRPr="00AD3B49">
        <w:rPr>
          <w:rFonts w:ascii="Times New Roman" w:hAnsi="Times New Roman" w:cs="Times New Roman"/>
          <w:sz w:val="22"/>
          <w:szCs w:val="22"/>
          <w:lang w:val="sr-Latn-ME"/>
        </w:rPr>
        <w:t>odjeljak</w:t>
      </w:r>
      <w:r w:rsidRPr="00AD3B49">
        <w:rPr>
          <w:rFonts w:ascii="Times New Roman" w:hAnsi="Times New Roman" w:cs="Times New Roman"/>
          <w:sz w:val="22"/>
          <w:szCs w:val="22"/>
          <w:lang w:val="sr-Latn-ME"/>
        </w:rPr>
        <w:t xml:space="preserve"> 4.5).</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Istovremena primjena adalimumaba sa drugim biološkim DMARDS (npr. anakinra i abatacept) ili drugim antagonistima TNF-a se ne preporučuje zbog mogućeg povećanog rizika od nastanka infekcija, uključujući ozbiljne infekcije i druge moguće farmakološke interakcije</w:t>
      </w:r>
      <w:r w:rsidR="0032554F" w:rsidRPr="00AD3B49">
        <w:rPr>
          <w:rFonts w:ascii="Times New Roman" w:hAnsi="Times New Roman" w:cs="Times New Roman"/>
          <w:sz w:val="22"/>
          <w:szCs w:val="22"/>
          <w:lang w:val="sr-Latn-ME"/>
        </w:rPr>
        <w:t xml:space="preserve"> (vidjeti </w:t>
      </w:r>
      <w:r w:rsidR="002D5061" w:rsidRPr="00AD3B49">
        <w:rPr>
          <w:rFonts w:ascii="Times New Roman" w:hAnsi="Times New Roman" w:cs="Times New Roman"/>
          <w:sz w:val="22"/>
          <w:szCs w:val="22"/>
          <w:lang w:val="sr-Latn-ME"/>
        </w:rPr>
        <w:t>odjeljak</w:t>
      </w:r>
      <w:r w:rsidRPr="00AD3B49">
        <w:rPr>
          <w:rFonts w:ascii="Times New Roman" w:hAnsi="Times New Roman" w:cs="Times New Roman"/>
          <w:sz w:val="22"/>
          <w:szCs w:val="22"/>
          <w:lang w:val="sr-Latn-ME"/>
        </w:rPr>
        <w:t xml:space="preserve"> 4.5). </w:t>
      </w:r>
    </w:p>
    <w:p w:rsidR="00030852" w:rsidRPr="00AD3B49" w:rsidRDefault="00030852" w:rsidP="00030852">
      <w:pPr>
        <w:pStyle w:val="Default"/>
        <w:ind w:left="567" w:hanging="567"/>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Hirurški zahvati</w:t>
      </w:r>
    </w:p>
    <w:p w:rsidR="00030852" w:rsidRPr="00AD3B49" w:rsidRDefault="00030852" w:rsidP="0032554F">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R</w:t>
      </w:r>
      <w:r w:rsidR="0032554F" w:rsidRPr="00AD3B49">
        <w:rPr>
          <w:rFonts w:ascii="Times New Roman" w:hAnsi="Times New Roman" w:cs="Times New Roman"/>
          <w:sz w:val="22"/>
          <w:szCs w:val="22"/>
          <w:lang w:val="sr-Latn-ME"/>
        </w:rPr>
        <w:t xml:space="preserve">aspoloživi podaci o sigurnosti </w:t>
      </w:r>
      <w:r w:rsidRPr="00AD3B49">
        <w:rPr>
          <w:rFonts w:ascii="Times New Roman" w:hAnsi="Times New Roman" w:cs="Times New Roman"/>
          <w:sz w:val="22"/>
          <w:szCs w:val="22"/>
          <w:lang w:val="sr-Latn-ME"/>
        </w:rPr>
        <w:t xml:space="preserve">hirurških zahvata </w:t>
      </w:r>
      <w:r w:rsidR="0032554F" w:rsidRPr="00AD3B49">
        <w:rPr>
          <w:rFonts w:ascii="Times New Roman" w:hAnsi="Times New Roman" w:cs="Times New Roman"/>
          <w:sz w:val="22"/>
          <w:szCs w:val="22"/>
          <w:lang w:val="sr-Latn-ME"/>
        </w:rPr>
        <w:t xml:space="preserve">kod pacijenata </w:t>
      </w:r>
      <w:r w:rsidRPr="00AD3B49">
        <w:rPr>
          <w:rFonts w:ascii="Times New Roman" w:hAnsi="Times New Roman" w:cs="Times New Roman"/>
          <w:sz w:val="22"/>
          <w:szCs w:val="22"/>
          <w:lang w:val="sr-Latn-ME"/>
        </w:rPr>
        <w:t xml:space="preserve">liječenih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su ograničeni. Pri planiranju operacija treba voditi računa o dugom </w:t>
      </w:r>
      <w:r w:rsidRPr="00AD3B49">
        <w:rPr>
          <w:rFonts w:ascii="Times New Roman" w:hAnsi="Times New Roman" w:cs="Times New Roman"/>
          <w:iCs/>
          <w:sz w:val="22"/>
          <w:szCs w:val="22"/>
          <w:lang w:val="sr-Latn-ME"/>
        </w:rPr>
        <w:t>poluvremenu</w:t>
      </w:r>
      <w:r w:rsidRPr="00AD3B49">
        <w:rPr>
          <w:rFonts w:ascii="Times New Roman" w:hAnsi="Times New Roman" w:cs="Times New Roman"/>
          <w:sz w:val="22"/>
          <w:szCs w:val="22"/>
          <w:lang w:val="sr-Latn-ME"/>
        </w:rPr>
        <w:t xml:space="preserve"> </w:t>
      </w:r>
      <w:r w:rsidR="00A307A3" w:rsidRPr="00AD3B49">
        <w:rPr>
          <w:rFonts w:ascii="Times New Roman" w:hAnsi="Times New Roman" w:cs="Times New Roman"/>
          <w:sz w:val="22"/>
          <w:szCs w:val="22"/>
          <w:lang w:val="sr-Latn-ME"/>
        </w:rPr>
        <w:t xml:space="preserve">eliminacije </w:t>
      </w:r>
      <w:r w:rsidR="0032554F" w:rsidRPr="00AD3B49">
        <w:rPr>
          <w:rFonts w:ascii="Times New Roman" w:hAnsi="Times New Roman" w:cs="Times New Roman"/>
          <w:sz w:val="22"/>
          <w:szCs w:val="22"/>
          <w:lang w:val="sr-Latn-ME"/>
        </w:rPr>
        <w:t>adalimumaba. Pacijente</w:t>
      </w:r>
      <w:r w:rsidRPr="00AD3B49">
        <w:rPr>
          <w:rFonts w:ascii="Times New Roman" w:hAnsi="Times New Roman" w:cs="Times New Roman"/>
          <w:sz w:val="22"/>
          <w:szCs w:val="22"/>
          <w:lang w:val="sr-Latn-ME"/>
        </w:rPr>
        <w:t xml:space="preserve">, kojima je za vrijeme liječenja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potreban operativni zahvat, treba </w:t>
      </w:r>
      <w:r w:rsidR="00D67D4D" w:rsidRPr="00AD3B49">
        <w:rPr>
          <w:rFonts w:ascii="Times New Roman" w:hAnsi="Times New Roman" w:cs="Times New Roman"/>
          <w:sz w:val="22"/>
          <w:szCs w:val="22"/>
          <w:lang w:val="sr-Latn-ME"/>
        </w:rPr>
        <w:t>pažljivo</w:t>
      </w:r>
      <w:r w:rsidRPr="00AD3B49">
        <w:rPr>
          <w:rFonts w:ascii="Times New Roman" w:hAnsi="Times New Roman" w:cs="Times New Roman"/>
          <w:sz w:val="22"/>
          <w:szCs w:val="22"/>
          <w:lang w:val="sr-Latn-ME"/>
        </w:rPr>
        <w:t xml:space="preserve"> pratiti zbog moguće pojave infekcija i prema potrebi p</w:t>
      </w:r>
      <w:r w:rsidR="00F654EA" w:rsidRPr="00AD3B49">
        <w:rPr>
          <w:rFonts w:ascii="Times New Roman" w:hAnsi="Times New Roman" w:cs="Times New Roman"/>
          <w:sz w:val="22"/>
          <w:szCs w:val="22"/>
          <w:lang w:val="sr-Latn-ME"/>
        </w:rPr>
        <w:t>re</w:t>
      </w:r>
      <w:r w:rsidRPr="00AD3B49">
        <w:rPr>
          <w:rFonts w:ascii="Times New Roman" w:hAnsi="Times New Roman" w:cs="Times New Roman"/>
          <w:sz w:val="22"/>
          <w:szCs w:val="22"/>
          <w:lang w:val="sr-Latn-ME"/>
        </w:rPr>
        <w:t xml:space="preserve">duzeti odgovarajuće mjere. Raspoloživi podaci o sigurnosti </w:t>
      </w:r>
      <w:r w:rsidR="00BD025F" w:rsidRPr="00AD3B49">
        <w:rPr>
          <w:rFonts w:ascii="Times New Roman" w:hAnsi="Times New Roman" w:cs="Times New Roman"/>
          <w:sz w:val="22"/>
          <w:szCs w:val="22"/>
          <w:lang w:val="sr-Latn-ME"/>
        </w:rPr>
        <w:t>sprovođenja</w:t>
      </w:r>
      <w:r w:rsidR="00635624" w:rsidRPr="00AD3B49">
        <w:rPr>
          <w:rFonts w:ascii="Times New Roman" w:hAnsi="Times New Roman" w:cs="Times New Roman"/>
          <w:sz w:val="22"/>
          <w:szCs w:val="22"/>
          <w:lang w:val="sr-Latn-ME"/>
        </w:rPr>
        <w:t xml:space="preserve"> artroplastike kod pacijenata</w:t>
      </w:r>
      <w:r w:rsidRPr="00AD3B49">
        <w:rPr>
          <w:rFonts w:ascii="Times New Roman" w:hAnsi="Times New Roman" w:cs="Times New Roman"/>
          <w:sz w:val="22"/>
          <w:szCs w:val="22"/>
          <w:lang w:val="sr-Latn-ME"/>
        </w:rPr>
        <w:t xml:space="preserve"> liječenih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su ograničeni.</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Opstrukcija tankog crijeva</w:t>
      </w:r>
    </w:p>
    <w:p w:rsidR="00030852" w:rsidRPr="00AD3B49" w:rsidRDefault="0032554F"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Ner</w:t>
      </w:r>
      <w:r w:rsidR="00030852" w:rsidRPr="00AD3B49">
        <w:rPr>
          <w:rFonts w:ascii="Times New Roman" w:hAnsi="Times New Roman" w:cs="Times New Roman"/>
          <w:sz w:val="22"/>
          <w:szCs w:val="22"/>
          <w:lang w:val="sr-Latn-ME"/>
        </w:rPr>
        <w:t>e</w:t>
      </w:r>
      <w:r w:rsidRPr="00AD3B49">
        <w:rPr>
          <w:rFonts w:ascii="Times New Roman" w:hAnsi="Times New Roman" w:cs="Times New Roman"/>
          <w:sz w:val="22"/>
          <w:szCs w:val="22"/>
          <w:lang w:val="sr-Latn-ME"/>
        </w:rPr>
        <w:t>a</w:t>
      </w:r>
      <w:r w:rsidR="00030852" w:rsidRPr="00AD3B49">
        <w:rPr>
          <w:rFonts w:ascii="Times New Roman" w:hAnsi="Times New Roman" w:cs="Times New Roman"/>
          <w:sz w:val="22"/>
          <w:szCs w:val="22"/>
          <w:lang w:val="sr-Latn-ME"/>
        </w:rPr>
        <w:t>govanje na terapiju Crohnove bolesti može biti znak fiksne fibrozne strikture koju je možda potrebno hirurški liječiti. Trenutno raspoloživi podaci ukazuju na to da Humira ne uzrokuje i ne pogoršava strikture.</w:t>
      </w:r>
    </w:p>
    <w:p w:rsidR="00030852" w:rsidRPr="00AD3B49" w:rsidRDefault="00030852" w:rsidP="00030852">
      <w:pPr>
        <w:pStyle w:val="Default"/>
        <w:ind w:left="567" w:hanging="567"/>
        <w:jc w:val="both"/>
        <w:rPr>
          <w:rFonts w:ascii="Times New Roman" w:hAnsi="Times New Roman" w:cs="Times New Roman"/>
          <w:sz w:val="22"/>
          <w:szCs w:val="22"/>
          <w:lang w:val="sr-Latn-ME"/>
        </w:rPr>
      </w:pPr>
    </w:p>
    <w:p w:rsidR="00030852" w:rsidRPr="00AD3B49" w:rsidRDefault="0032554F" w:rsidP="00030852">
      <w:pPr>
        <w:pStyle w:val="Default"/>
        <w:ind w:left="567" w:hanging="567"/>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Stariji pacijenti</w:t>
      </w:r>
    </w:p>
    <w:p w:rsidR="00AD3B49" w:rsidRPr="00AD3B49" w:rsidRDefault="00AD3B49" w:rsidP="0032554F">
      <w:pPr>
        <w:pStyle w:val="Default"/>
        <w:jc w:val="both"/>
        <w:rPr>
          <w:rFonts w:ascii="Times New Roman" w:hAnsi="Times New Roman" w:cs="Times New Roman"/>
          <w:sz w:val="22"/>
          <w:szCs w:val="22"/>
          <w:lang w:val="sr-Latn-ME"/>
        </w:rPr>
      </w:pPr>
    </w:p>
    <w:p w:rsidR="00030852" w:rsidRPr="00AD3B49" w:rsidRDefault="00030852" w:rsidP="0032554F">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Učestalost o</w:t>
      </w:r>
      <w:r w:rsidR="0032554F" w:rsidRPr="00AD3B49">
        <w:rPr>
          <w:rFonts w:ascii="Times New Roman" w:hAnsi="Times New Roman" w:cs="Times New Roman"/>
          <w:sz w:val="22"/>
          <w:szCs w:val="22"/>
          <w:lang w:val="sr-Latn-ME"/>
        </w:rPr>
        <w:t>zbiljnih infekcija kod pacijenata</w:t>
      </w:r>
      <w:r w:rsidRPr="00AD3B49">
        <w:rPr>
          <w:rFonts w:ascii="Times New Roman" w:hAnsi="Times New Roman" w:cs="Times New Roman"/>
          <w:sz w:val="22"/>
          <w:szCs w:val="22"/>
          <w:lang w:val="sr-Latn-ME"/>
        </w:rPr>
        <w:t xml:space="preserve"> liječen</w:t>
      </w:r>
      <w:r w:rsidR="0032554F" w:rsidRPr="00AD3B49">
        <w:rPr>
          <w:rFonts w:ascii="Times New Roman" w:hAnsi="Times New Roman" w:cs="Times New Roman"/>
          <w:sz w:val="22"/>
          <w:szCs w:val="22"/>
          <w:lang w:val="sr-Latn-ME"/>
        </w:rPr>
        <w:t xml:space="preserve">ih </w:t>
      </w:r>
      <w:r w:rsidR="00884C20" w:rsidRPr="00AD3B49">
        <w:rPr>
          <w:rFonts w:ascii="Times New Roman" w:hAnsi="Times New Roman" w:cs="Times New Roman"/>
          <w:color w:val="auto"/>
          <w:sz w:val="22"/>
          <w:szCs w:val="22"/>
          <w:lang w:val="sr-Latn-ME"/>
        </w:rPr>
        <w:t xml:space="preserve">lijekom </w:t>
      </w:r>
      <w:r w:rsidR="0032554F"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0032554F" w:rsidRPr="00AD3B49">
        <w:rPr>
          <w:rFonts w:ascii="Times New Roman" w:hAnsi="Times New Roman" w:cs="Times New Roman"/>
          <w:sz w:val="22"/>
          <w:szCs w:val="22"/>
          <w:lang w:val="sr-Latn-ME"/>
        </w:rPr>
        <w:t xml:space="preserve"> je veća kod pacijenata</w:t>
      </w:r>
      <w:r w:rsidR="005064C8" w:rsidRPr="00AD3B49">
        <w:rPr>
          <w:rFonts w:ascii="Times New Roman" w:hAnsi="Times New Roman" w:cs="Times New Roman"/>
          <w:sz w:val="22"/>
          <w:szCs w:val="22"/>
          <w:lang w:val="sr-Latn-ME"/>
        </w:rPr>
        <w:t xml:space="preserve"> starijih od 65 godina </w:t>
      </w:r>
      <w:r w:rsidR="005064C8" w:rsidRPr="00AD3B49">
        <w:rPr>
          <w:rFonts w:ascii="Times New Roman" w:hAnsi="Times New Roman" w:cs="Times New Roman"/>
          <w:color w:val="auto"/>
          <w:sz w:val="22"/>
          <w:szCs w:val="22"/>
          <w:lang w:val="sr-Latn-ME"/>
        </w:rPr>
        <w:t>(</w:t>
      </w:r>
      <w:r w:rsidR="00F83818" w:rsidRPr="00AD3B49">
        <w:rPr>
          <w:rFonts w:ascii="Times New Roman" w:hAnsi="Times New Roman" w:cs="Times New Roman"/>
          <w:color w:val="auto"/>
          <w:sz w:val="22"/>
          <w:szCs w:val="22"/>
          <w:lang w:val="sr-Latn-ME"/>
        </w:rPr>
        <w:t>3,5</w:t>
      </w:r>
      <w:r w:rsidRPr="00AD3B49">
        <w:rPr>
          <w:rFonts w:ascii="Times New Roman" w:hAnsi="Times New Roman" w:cs="Times New Roman"/>
          <w:color w:val="auto"/>
          <w:sz w:val="22"/>
          <w:szCs w:val="22"/>
          <w:lang w:val="sr-Latn-ME"/>
        </w:rPr>
        <w:t>%)</w:t>
      </w:r>
      <w:r w:rsidRPr="00AD3B49">
        <w:rPr>
          <w:rFonts w:ascii="Times New Roman" w:hAnsi="Times New Roman" w:cs="Times New Roman"/>
          <w:sz w:val="22"/>
          <w:szCs w:val="22"/>
          <w:lang w:val="sr-Latn-ME"/>
        </w:rPr>
        <w:t xml:space="preserve"> nego </w:t>
      </w:r>
      <w:r w:rsidR="0032554F" w:rsidRPr="00AD3B49">
        <w:rPr>
          <w:rFonts w:ascii="Times New Roman" w:hAnsi="Times New Roman" w:cs="Times New Roman"/>
          <w:sz w:val="22"/>
          <w:szCs w:val="22"/>
          <w:lang w:val="sr-Latn-ME"/>
        </w:rPr>
        <w:t xml:space="preserve">kod pacijenata </w:t>
      </w:r>
      <w:r w:rsidR="005064C8" w:rsidRPr="00AD3B49">
        <w:rPr>
          <w:rFonts w:ascii="Times New Roman" w:hAnsi="Times New Roman" w:cs="Times New Roman"/>
          <w:sz w:val="22"/>
          <w:szCs w:val="22"/>
          <w:lang w:val="sr-Latn-ME"/>
        </w:rPr>
        <w:t>mlađih od 65 godina (</w:t>
      </w:r>
      <w:r w:rsidR="00F83818" w:rsidRPr="00AD3B49">
        <w:rPr>
          <w:rFonts w:ascii="Times New Roman" w:hAnsi="Times New Roman" w:cs="Times New Roman"/>
          <w:color w:val="auto"/>
          <w:sz w:val="22"/>
          <w:szCs w:val="22"/>
          <w:lang w:val="sr-Latn-ME"/>
        </w:rPr>
        <w:t xml:space="preserve">1,5 </w:t>
      </w:r>
      <w:r w:rsidRPr="00AD3B49">
        <w:rPr>
          <w:rFonts w:ascii="Times New Roman" w:hAnsi="Times New Roman" w:cs="Times New Roman"/>
          <w:color w:val="auto"/>
          <w:sz w:val="22"/>
          <w:szCs w:val="22"/>
          <w:lang w:val="sr-Latn-ME"/>
        </w:rPr>
        <w:t>%).</w:t>
      </w:r>
      <w:r w:rsidRPr="00AD3B49">
        <w:rPr>
          <w:rFonts w:ascii="Times New Roman" w:hAnsi="Times New Roman" w:cs="Times New Roman"/>
          <w:sz w:val="22"/>
          <w:szCs w:val="22"/>
          <w:lang w:val="sr-Latn-ME"/>
        </w:rPr>
        <w:t xml:space="preserve"> Neke od ovih infekcija su imale fatalni ishod. Stoga se to</w:t>
      </w:r>
      <w:r w:rsidR="0032554F" w:rsidRPr="00AD3B49">
        <w:rPr>
          <w:rFonts w:ascii="Times New Roman" w:hAnsi="Times New Roman" w:cs="Times New Roman"/>
          <w:sz w:val="22"/>
          <w:szCs w:val="22"/>
          <w:lang w:val="sr-Latn-ME"/>
        </w:rPr>
        <w:t>kom liječenja starijih pacijenata</w:t>
      </w:r>
      <w:r w:rsidRPr="00AD3B49">
        <w:rPr>
          <w:rFonts w:ascii="Times New Roman" w:hAnsi="Times New Roman" w:cs="Times New Roman"/>
          <w:sz w:val="22"/>
          <w:szCs w:val="22"/>
          <w:lang w:val="sr-Latn-ME"/>
        </w:rPr>
        <w:t xml:space="preserve"> mora obratiti posebna pažnja na mogući rizik od infekcije.</w:t>
      </w:r>
    </w:p>
    <w:p w:rsidR="00030852" w:rsidRPr="00AD3B49" w:rsidRDefault="00030852"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Pedijatrijska populacija</w:t>
      </w:r>
    </w:p>
    <w:p w:rsidR="00AD3B49" w:rsidRPr="00AD3B49" w:rsidRDefault="00AD3B49" w:rsidP="00030852">
      <w:pPr>
        <w:pStyle w:val="Default"/>
        <w:jc w:val="both"/>
        <w:rPr>
          <w:rFonts w:ascii="Times New Roman" w:hAnsi="Times New Roman" w:cs="Times New Roman"/>
          <w:sz w:val="22"/>
          <w:szCs w:val="22"/>
          <w:lang w:val="sr-Latn-ME"/>
        </w:rPr>
      </w:pPr>
    </w:p>
    <w:p w:rsidR="00030852" w:rsidRPr="00AD3B49" w:rsidRDefault="00030852" w:rsidP="00030852">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Pogledati gor</w:t>
      </w:r>
      <w:r w:rsidR="0032554F" w:rsidRPr="00AD3B49">
        <w:rPr>
          <w:rFonts w:ascii="Times New Roman" w:hAnsi="Times New Roman" w:cs="Times New Roman"/>
          <w:sz w:val="22"/>
          <w:szCs w:val="22"/>
          <w:lang w:val="sr-Latn-ME"/>
        </w:rPr>
        <w:t xml:space="preserve">e </w:t>
      </w:r>
      <w:r w:rsidR="002D5061" w:rsidRPr="00AD3B49">
        <w:rPr>
          <w:rFonts w:ascii="Times New Roman" w:hAnsi="Times New Roman" w:cs="Times New Roman"/>
          <w:sz w:val="22"/>
          <w:szCs w:val="22"/>
          <w:lang w:val="sr-Latn-ME"/>
        </w:rPr>
        <w:t>odjeljak</w:t>
      </w:r>
      <w:r w:rsidR="0032554F" w:rsidRPr="00AD3B49">
        <w:rPr>
          <w:rFonts w:ascii="Times New Roman" w:hAnsi="Times New Roman" w:cs="Times New Roman"/>
          <w:sz w:val="22"/>
          <w:szCs w:val="22"/>
          <w:lang w:val="sr-Latn-ME"/>
        </w:rPr>
        <w:t xml:space="preserve"> koji se odnosi na Vakcinaciju</w:t>
      </w:r>
      <w:r w:rsidR="00A55F74" w:rsidRPr="00AD3B49">
        <w:rPr>
          <w:rFonts w:ascii="Times New Roman" w:hAnsi="Times New Roman" w:cs="Times New Roman"/>
          <w:sz w:val="22"/>
          <w:szCs w:val="22"/>
          <w:lang w:val="sr-Latn-ME"/>
        </w:rPr>
        <w:t>.</w:t>
      </w:r>
    </w:p>
    <w:p w:rsidR="005C1110" w:rsidRPr="00AD3B49" w:rsidRDefault="005C1110" w:rsidP="00030852">
      <w:pPr>
        <w:tabs>
          <w:tab w:val="left" w:pos="1141"/>
        </w:tabs>
        <w:rPr>
          <w:bCs/>
          <w:sz w:val="22"/>
          <w:szCs w:val="22"/>
          <w:lang w:val="sr-Latn-ME"/>
        </w:rPr>
      </w:pPr>
    </w:p>
    <w:p w:rsidR="00411B4B" w:rsidRPr="00AD3B49" w:rsidRDefault="00411B4B" w:rsidP="00480FB1">
      <w:pPr>
        <w:tabs>
          <w:tab w:val="left" w:pos="540"/>
          <w:tab w:val="left" w:pos="569"/>
        </w:tabs>
        <w:rPr>
          <w:b/>
          <w:bCs/>
          <w:sz w:val="22"/>
          <w:szCs w:val="22"/>
          <w:lang w:val="sr-Latn-ME"/>
        </w:rPr>
      </w:pPr>
      <w:r w:rsidRPr="00AD3B49">
        <w:rPr>
          <w:b/>
          <w:bCs/>
          <w:sz w:val="22"/>
          <w:szCs w:val="22"/>
          <w:lang w:val="sr-Latn-ME"/>
        </w:rPr>
        <w:t>4.5. Interakcije sa drugim ljekovima i druge vrste interakcija</w:t>
      </w:r>
    </w:p>
    <w:p w:rsidR="0072020E" w:rsidRPr="00AD3B49" w:rsidRDefault="0072020E" w:rsidP="00480FB1">
      <w:pPr>
        <w:tabs>
          <w:tab w:val="left" w:pos="540"/>
          <w:tab w:val="left" w:pos="569"/>
        </w:tabs>
        <w:rPr>
          <w:bCs/>
          <w:sz w:val="22"/>
          <w:szCs w:val="22"/>
          <w:lang w:val="sr-Latn-ME"/>
        </w:rPr>
      </w:pPr>
    </w:p>
    <w:p w:rsidR="0063269D" w:rsidRPr="00AD3B49" w:rsidRDefault="0063269D" w:rsidP="001E4AB9">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Djelovanje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ispitivano je kod pacijenata s reumatoidnim artritisom, poliartikularnim juvenilnim idiopatskim artritisom i psorijatičnim artritisom koji su dobijali </w:t>
      </w:r>
      <w:r w:rsidR="00C10995" w:rsidRPr="00AD3B49">
        <w:rPr>
          <w:rFonts w:ascii="Times New Roman" w:hAnsi="Times New Roman" w:cs="Times New Roman"/>
          <w:color w:val="auto"/>
          <w:sz w:val="22"/>
          <w:szCs w:val="22"/>
          <w:lang w:val="sr-Latn-ME"/>
        </w:rPr>
        <w:t xml:space="preserve">lijek </w:t>
      </w:r>
      <w:r w:rsidRPr="00AD3B49">
        <w:rPr>
          <w:rFonts w:ascii="Times New Roman" w:hAnsi="Times New Roman" w:cs="Times New Roman"/>
          <w:sz w:val="22"/>
          <w:szCs w:val="22"/>
          <w:lang w:val="sr-Latn-ME"/>
        </w:rPr>
        <w:t>Humir</w:t>
      </w:r>
      <w:r w:rsidR="00C10995"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kao monoterapiju i kod onih koji su istovremeno uzimali i metotreksat. </w:t>
      </w:r>
      <w:r w:rsidRPr="00AD3B49">
        <w:rPr>
          <w:rFonts w:ascii="Times New Roman" w:hAnsi="Times New Roman" w:cs="Times New Roman"/>
          <w:iCs/>
          <w:sz w:val="22"/>
          <w:szCs w:val="22"/>
          <w:lang w:val="sr-Latn-ME"/>
        </w:rPr>
        <w:t>Stvaranje</w:t>
      </w:r>
      <w:r w:rsidRPr="00AD3B49">
        <w:rPr>
          <w:rFonts w:ascii="Times New Roman" w:hAnsi="Times New Roman" w:cs="Times New Roman"/>
          <w:sz w:val="22"/>
          <w:szCs w:val="22"/>
          <w:lang w:val="sr-Latn-ME"/>
        </w:rPr>
        <w:t xml:space="preserve"> antitijela bilo je manje kada je </w:t>
      </w:r>
      <w:r w:rsidR="00A307A3" w:rsidRPr="00AD3B49">
        <w:rPr>
          <w:rFonts w:ascii="Times New Roman" w:hAnsi="Times New Roman" w:cs="Times New Roman"/>
          <w:sz w:val="22"/>
          <w:szCs w:val="22"/>
          <w:lang w:val="sr-Latn-ME"/>
        </w:rPr>
        <w:t xml:space="preserve">lijek </w:t>
      </w:r>
      <w:r w:rsidRPr="00AD3B49">
        <w:rPr>
          <w:rFonts w:ascii="Times New Roman" w:hAnsi="Times New Roman" w:cs="Times New Roman"/>
          <w:sz w:val="22"/>
          <w:szCs w:val="22"/>
          <w:lang w:val="sr-Latn-ME"/>
        </w:rPr>
        <w:t xml:space="preserve">Humira davana zajedno s metotreksatom u odnosu na pacijente kod kojih je </w:t>
      </w:r>
      <w:r w:rsidR="00A307A3" w:rsidRPr="00AD3B49">
        <w:rPr>
          <w:rFonts w:ascii="Times New Roman" w:hAnsi="Times New Roman" w:cs="Times New Roman"/>
          <w:sz w:val="22"/>
          <w:szCs w:val="22"/>
          <w:lang w:val="sr-Latn-ME"/>
        </w:rPr>
        <w:t xml:space="preserve">lijek </w:t>
      </w:r>
      <w:r w:rsidRPr="00AD3B49">
        <w:rPr>
          <w:rFonts w:ascii="Times New Roman" w:hAnsi="Times New Roman" w:cs="Times New Roman"/>
          <w:sz w:val="22"/>
          <w:szCs w:val="22"/>
          <w:lang w:val="sr-Latn-ME"/>
        </w:rPr>
        <w:t xml:space="preserve">Humira davan kao monoterapija. Kada se </w:t>
      </w:r>
      <w:r w:rsidR="00A307A3" w:rsidRPr="00AD3B49">
        <w:rPr>
          <w:rFonts w:ascii="Times New Roman" w:hAnsi="Times New Roman" w:cs="Times New Roman"/>
          <w:sz w:val="22"/>
          <w:szCs w:val="22"/>
          <w:lang w:val="sr-Latn-ME"/>
        </w:rPr>
        <w:t xml:space="preserve">lijek </w:t>
      </w:r>
      <w:r w:rsidRPr="00AD3B49">
        <w:rPr>
          <w:rFonts w:ascii="Times New Roman" w:hAnsi="Times New Roman" w:cs="Times New Roman"/>
          <w:sz w:val="22"/>
          <w:szCs w:val="22"/>
          <w:lang w:val="sr-Latn-ME"/>
        </w:rPr>
        <w:t xml:space="preserve">Humira primjenjuje bez metotreksata </w:t>
      </w:r>
      <w:r w:rsidRPr="00AD3B49">
        <w:rPr>
          <w:rFonts w:ascii="Times New Roman" w:hAnsi="Times New Roman" w:cs="Times New Roman"/>
          <w:iCs/>
          <w:sz w:val="22"/>
          <w:szCs w:val="22"/>
          <w:lang w:val="sr-Latn-ME"/>
        </w:rPr>
        <w:t>stvaranje</w:t>
      </w:r>
      <w:r w:rsidRPr="00AD3B49">
        <w:rPr>
          <w:rFonts w:ascii="Times New Roman" w:hAnsi="Times New Roman" w:cs="Times New Roman"/>
          <w:i/>
          <w:iCs/>
          <w:sz w:val="22"/>
          <w:szCs w:val="22"/>
          <w:lang w:val="sr-Latn-ME"/>
        </w:rPr>
        <w:t xml:space="preserve"> </w:t>
      </w:r>
      <w:r w:rsidRPr="00AD3B49">
        <w:rPr>
          <w:rFonts w:ascii="Times New Roman" w:hAnsi="Times New Roman" w:cs="Times New Roman"/>
          <w:sz w:val="22"/>
          <w:szCs w:val="22"/>
          <w:lang w:val="sr-Latn-ME"/>
        </w:rPr>
        <w:t xml:space="preserve">antitijela se povećava, izlučivanje </w:t>
      </w:r>
      <w:r w:rsidR="001E4AB9" w:rsidRPr="00AD3B49">
        <w:rPr>
          <w:rFonts w:ascii="Times New Roman" w:hAnsi="Times New Roman" w:cs="Times New Roman"/>
          <w:sz w:val="22"/>
          <w:szCs w:val="22"/>
          <w:lang w:val="sr-Latn-ME"/>
        </w:rPr>
        <w:t xml:space="preserve">adalimumaba pojačava, a efikasnost </w:t>
      </w:r>
      <w:r w:rsidRPr="00AD3B49">
        <w:rPr>
          <w:rFonts w:ascii="Times New Roman" w:hAnsi="Times New Roman" w:cs="Times New Roman"/>
          <w:sz w:val="22"/>
          <w:szCs w:val="22"/>
          <w:lang w:val="sr-Latn-ME"/>
        </w:rPr>
        <w:t xml:space="preserve">se smanjuje (vidjeti </w:t>
      </w:r>
      <w:r w:rsidR="002D5061" w:rsidRPr="00AD3B49">
        <w:rPr>
          <w:rFonts w:ascii="Times New Roman" w:hAnsi="Times New Roman" w:cs="Times New Roman"/>
          <w:sz w:val="22"/>
          <w:szCs w:val="22"/>
          <w:lang w:val="sr-Latn-ME"/>
        </w:rPr>
        <w:t>odjeljak</w:t>
      </w:r>
      <w:r w:rsidRPr="00AD3B49">
        <w:rPr>
          <w:rFonts w:ascii="Times New Roman" w:hAnsi="Times New Roman" w:cs="Times New Roman"/>
          <w:sz w:val="22"/>
          <w:szCs w:val="22"/>
          <w:lang w:val="sr-Latn-ME"/>
        </w:rPr>
        <w:t xml:space="preserve"> 5.1).</w:t>
      </w:r>
    </w:p>
    <w:p w:rsidR="0063269D" w:rsidRPr="00AD3B49" w:rsidRDefault="0063269D" w:rsidP="0063269D">
      <w:pPr>
        <w:pStyle w:val="Default"/>
        <w:jc w:val="both"/>
        <w:rPr>
          <w:rFonts w:ascii="Times New Roman" w:hAnsi="Times New Roman" w:cs="Times New Roman"/>
          <w:sz w:val="22"/>
          <w:szCs w:val="22"/>
          <w:lang w:val="sr-Latn-ME"/>
        </w:rPr>
      </w:pPr>
    </w:p>
    <w:p w:rsidR="0063269D" w:rsidRPr="00AD3B49" w:rsidRDefault="0063269D" w:rsidP="0063269D">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lastRenderedPageBreak/>
        <w:t xml:space="preserve">Kombinovana terapija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i anakinrom se ne preporučuje (vidjeti </w:t>
      </w:r>
      <w:r w:rsidR="002D5061" w:rsidRPr="00AD3B49">
        <w:rPr>
          <w:rFonts w:ascii="Times New Roman" w:hAnsi="Times New Roman" w:cs="Times New Roman"/>
          <w:sz w:val="22"/>
          <w:szCs w:val="22"/>
          <w:lang w:val="sr-Latn-ME"/>
        </w:rPr>
        <w:t>odjeljak</w:t>
      </w:r>
      <w:r w:rsidRPr="00AD3B49">
        <w:rPr>
          <w:rFonts w:ascii="Times New Roman" w:hAnsi="Times New Roman" w:cs="Times New Roman"/>
          <w:sz w:val="22"/>
          <w:szCs w:val="22"/>
          <w:lang w:val="sr-Latn-ME"/>
        </w:rPr>
        <w:t xml:space="preserve"> 4.4 Istovremena primjena bioloških DMARDS-a ili antagonista TNF-a).</w:t>
      </w:r>
    </w:p>
    <w:p w:rsidR="0063269D" w:rsidRPr="00AD3B49" w:rsidRDefault="0063269D" w:rsidP="0063269D">
      <w:pPr>
        <w:pStyle w:val="Default"/>
        <w:jc w:val="both"/>
        <w:rPr>
          <w:rFonts w:ascii="Times New Roman" w:hAnsi="Times New Roman" w:cs="Times New Roman"/>
          <w:sz w:val="22"/>
          <w:szCs w:val="22"/>
          <w:lang w:val="sr-Latn-ME"/>
        </w:rPr>
      </w:pPr>
    </w:p>
    <w:p w:rsidR="0063269D" w:rsidRPr="00AD3B49" w:rsidRDefault="0063269D" w:rsidP="0063269D">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Kombinovana terapija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sz w:val="22"/>
          <w:szCs w:val="22"/>
          <w:lang w:val="sr-Latn-ME"/>
        </w:rPr>
        <w:t>Humir</w:t>
      </w:r>
      <w:r w:rsidR="00884C20"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i abataceptom se ne preporučuje (vidjeti odjeljak 4.4 Istovremena primjena bioloških DMARDS-a ili antagonista TNF-a).</w:t>
      </w:r>
    </w:p>
    <w:p w:rsidR="005C1110" w:rsidRPr="00AD3B49" w:rsidRDefault="005C1110" w:rsidP="00480FB1">
      <w:pPr>
        <w:tabs>
          <w:tab w:val="left" w:pos="540"/>
          <w:tab w:val="left" w:pos="569"/>
        </w:tabs>
        <w:rPr>
          <w:bCs/>
          <w:sz w:val="22"/>
          <w:szCs w:val="22"/>
          <w:lang w:val="sr-Latn-ME"/>
        </w:rPr>
      </w:pPr>
    </w:p>
    <w:p w:rsidR="0072020E" w:rsidRPr="00AD3B49" w:rsidRDefault="0072020E" w:rsidP="00480FB1">
      <w:pPr>
        <w:tabs>
          <w:tab w:val="left" w:pos="540"/>
          <w:tab w:val="left" w:pos="569"/>
        </w:tabs>
        <w:rPr>
          <w:b/>
          <w:bCs/>
          <w:sz w:val="22"/>
          <w:szCs w:val="22"/>
          <w:lang w:val="sr-Latn-ME"/>
        </w:rPr>
      </w:pPr>
      <w:r w:rsidRPr="00AD3B49">
        <w:rPr>
          <w:b/>
          <w:bCs/>
          <w:sz w:val="22"/>
          <w:szCs w:val="22"/>
          <w:lang w:val="sr-Latn-ME"/>
        </w:rPr>
        <w:t xml:space="preserve">4.6. </w:t>
      </w:r>
      <w:r w:rsidR="00480FB1" w:rsidRPr="00AD3B49">
        <w:rPr>
          <w:b/>
          <w:bCs/>
          <w:sz w:val="22"/>
          <w:szCs w:val="22"/>
          <w:lang w:val="sr-Latn-ME"/>
        </w:rPr>
        <w:tab/>
      </w:r>
      <w:r w:rsidRPr="00AD3B49">
        <w:rPr>
          <w:b/>
          <w:bCs/>
          <w:sz w:val="22"/>
          <w:szCs w:val="22"/>
          <w:lang w:val="sr-Latn-ME"/>
        </w:rPr>
        <w:t>Primjena u periodu trudnoće i dojenja</w:t>
      </w:r>
    </w:p>
    <w:p w:rsidR="0072020E" w:rsidRPr="00AD3B49" w:rsidRDefault="0072020E" w:rsidP="00480FB1">
      <w:pPr>
        <w:tabs>
          <w:tab w:val="left" w:pos="540"/>
          <w:tab w:val="left" w:pos="569"/>
        </w:tabs>
        <w:rPr>
          <w:b/>
          <w:bCs/>
          <w:sz w:val="22"/>
          <w:szCs w:val="22"/>
          <w:lang w:val="sr-Latn-ME"/>
        </w:rPr>
      </w:pPr>
    </w:p>
    <w:p w:rsidR="009E4E76" w:rsidRPr="00AD3B49" w:rsidRDefault="009E4E76" w:rsidP="009E4E76">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u w:val="single"/>
          <w:lang w:val="sr-Latn-ME"/>
        </w:rPr>
        <w:t>Trudnoća</w:t>
      </w:r>
      <w:r w:rsidRPr="00AD3B49">
        <w:rPr>
          <w:rFonts w:ascii="Times New Roman" w:hAnsi="Times New Roman" w:cs="Times New Roman"/>
          <w:sz w:val="22"/>
          <w:szCs w:val="22"/>
          <w:lang w:val="sr-Latn-ME"/>
        </w:rPr>
        <w:t xml:space="preserve"> </w:t>
      </w:r>
    </w:p>
    <w:p w:rsidR="009E4E76" w:rsidRPr="00AD3B49" w:rsidRDefault="009E4E76" w:rsidP="009E4E76">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Postoje ograničeni klinički podaci o primjeni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kod trudnica.</w:t>
      </w:r>
    </w:p>
    <w:p w:rsidR="009E4E76" w:rsidRPr="00AD3B49" w:rsidRDefault="009E4E76" w:rsidP="009E4E76">
      <w:pPr>
        <w:pStyle w:val="Default"/>
        <w:jc w:val="both"/>
        <w:rPr>
          <w:rFonts w:ascii="Times New Roman" w:hAnsi="Times New Roman" w:cs="Times New Roman"/>
          <w:sz w:val="22"/>
          <w:szCs w:val="22"/>
          <w:lang w:val="sr-Latn-ME"/>
        </w:rPr>
      </w:pPr>
    </w:p>
    <w:p w:rsidR="009E4E76" w:rsidRPr="00AD3B49" w:rsidRDefault="009E4E76" w:rsidP="009E4E76">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Toksičnost za razvojne procese ispitivana je kod majmuna, ali nisu zabilježeni znakovi toksičnosti za majku, plod ili teratogenost. Nema dostupnih pretkliničkih podataka o postnatalnoj toksičnosti adalimumaba (vidjeti </w:t>
      </w:r>
      <w:r w:rsidR="002D5061" w:rsidRPr="00AD3B49">
        <w:rPr>
          <w:rFonts w:ascii="Times New Roman" w:hAnsi="Times New Roman" w:cs="Times New Roman"/>
          <w:sz w:val="22"/>
          <w:szCs w:val="22"/>
          <w:lang w:val="sr-Latn-ME"/>
        </w:rPr>
        <w:t>odjeljak</w:t>
      </w:r>
      <w:r w:rsidRPr="00AD3B49">
        <w:rPr>
          <w:rFonts w:ascii="Times New Roman" w:hAnsi="Times New Roman" w:cs="Times New Roman"/>
          <w:sz w:val="22"/>
          <w:szCs w:val="22"/>
          <w:lang w:val="sr-Latn-ME"/>
        </w:rPr>
        <w:t xml:space="preserve"> 5.3).</w:t>
      </w:r>
    </w:p>
    <w:p w:rsidR="009E4E76" w:rsidRPr="00AD3B49" w:rsidRDefault="009E4E76" w:rsidP="009E4E76">
      <w:pPr>
        <w:pStyle w:val="Default"/>
        <w:jc w:val="both"/>
        <w:rPr>
          <w:rFonts w:ascii="Times New Roman" w:hAnsi="Times New Roman" w:cs="Times New Roman"/>
          <w:sz w:val="22"/>
          <w:szCs w:val="22"/>
          <w:lang w:val="sr-Latn-ME"/>
        </w:rPr>
      </w:pPr>
    </w:p>
    <w:p w:rsidR="009E4E76" w:rsidRPr="00AD3B49" w:rsidRDefault="009E4E76" w:rsidP="009E4E76">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Zbog inhibicije faktora tumorske nekroze α (TNFα) adalimumab primjenjen u trudnoći bi mogao uticati na normalne imune odgovore novorođenčeta. Zbo</w:t>
      </w:r>
      <w:r w:rsidR="00EC7DA7" w:rsidRPr="00AD3B49">
        <w:rPr>
          <w:rFonts w:ascii="Times New Roman" w:hAnsi="Times New Roman" w:cs="Times New Roman"/>
          <w:sz w:val="22"/>
          <w:szCs w:val="22"/>
          <w:lang w:val="sr-Latn-ME"/>
        </w:rPr>
        <w:t>g toga se primjena adalimumaba ko</w:t>
      </w:r>
      <w:r w:rsidR="00A55F74" w:rsidRPr="00AD3B49">
        <w:rPr>
          <w:rFonts w:ascii="Times New Roman" w:hAnsi="Times New Roman" w:cs="Times New Roman"/>
          <w:sz w:val="22"/>
          <w:szCs w:val="22"/>
          <w:lang w:val="sr-Latn-ME"/>
        </w:rPr>
        <w:t>d</w:t>
      </w:r>
      <w:r w:rsidRPr="00AD3B49">
        <w:rPr>
          <w:rFonts w:ascii="Times New Roman" w:hAnsi="Times New Roman" w:cs="Times New Roman"/>
          <w:sz w:val="22"/>
          <w:szCs w:val="22"/>
          <w:lang w:val="sr-Latn-ME"/>
        </w:rPr>
        <w:t xml:space="preserve"> trudnica ne preporučuje. </w:t>
      </w:r>
    </w:p>
    <w:p w:rsidR="000D772C" w:rsidRPr="00AD3B49" w:rsidRDefault="000D772C" w:rsidP="009E4E76">
      <w:pPr>
        <w:pStyle w:val="Default"/>
        <w:jc w:val="both"/>
        <w:rPr>
          <w:rFonts w:ascii="Times New Roman" w:hAnsi="Times New Roman" w:cs="Times New Roman"/>
          <w:sz w:val="22"/>
          <w:szCs w:val="22"/>
          <w:lang w:val="sr-Latn-ME"/>
        </w:rPr>
      </w:pPr>
    </w:p>
    <w:p w:rsidR="009E4E76" w:rsidRPr="00AD3B49" w:rsidRDefault="009E4E76" w:rsidP="009E4E76">
      <w:pPr>
        <w:pStyle w:val="Default"/>
        <w:jc w:val="both"/>
        <w:rPr>
          <w:rFonts w:ascii="Times New Roman" w:hAnsi="Times New Roman" w:cs="Times New Roman"/>
          <w:sz w:val="22"/>
          <w:szCs w:val="22"/>
          <w:lang w:val="sr-Latn-ME" w:eastAsia="en-GB"/>
        </w:rPr>
      </w:pPr>
      <w:r w:rsidRPr="00AD3B49">
        <w:rPr>
          <w:rFonts w:ascii="Times New Roman" w:hAnsi="Times New Roman" w:cs="Times New Roman"/>
          <w:bCs/>
          <w:sz w:val="22"/>
          <w:szCs w:val="22"/>
          <w:lang w:val="sr-Latn-ME"/>
        </w:rPr>
        <w:t>A</w:t>
      </w:r>
      <w:r w:rsidRPr="00AD3B49">
        <w:rPr>
          <w:rFonts w:ascii="Times New Roman" w:hAnsi="Times New Roman" w:cs="Times New Roman"/>
          <w:sz w:val="22"/>
          <w:szCs w:val="22"/>
          <w:lang w:val="sr-Latn-ME" w:eastAsia="en-GB"/>
        </w:rPr>
        <w:t xml:space="preserve">dalimumab može preći iz posteljice u serum rođene djece čije su majke tokom trudnoće liječene adalimumabom. Stoga, ta djeca mogu imati povećan rizik od infekcija. Djeci koja su </w:t>
      </w:r>
      <w:r w:rsidR="00A307A3" w:rsidRPr="00AD3B49">
        <w:rPr>
          <w:rFonts w:ascii="Times New Roman" w:hAnsi="Times New Roman" w:cs="Times New Roman"/>
          <w:i/>
          <w:sz w:val="22"/>
          <w:szCs w:val="22"/>
          <w:lang w:val="sr-Latn-ME" w:eastAsia="en-GB"/>
        </w:rPr>
        <w:t xml:space="preserve">in utero </w:t>
      </w:r>
      <w:r w:rsidRPr="00AD3B49">
        <w:rPr>
          <w:rFonts w:ascii="Times New Roman" w:hAnsi="Times New Roman" w:cs="Times New Roman"/>
          <w:sz w:val="22"/>
          <w:szCs w:val="22"/>
          <w:lang w:val="sr-Latn-ME" w:eastAsia="en-GB"/>
        </w:rPr>
        <w:t>bila izložena adalimumabu ne prep</w:t>
      </w:r>
      <w:r w:rsidR="00EC7DA7" w:rsidRPr="00AD3B49">
        <w:rPr>
          <w:rFonts w:ascii="Times New Roman" w:hAnsi="Times New Roman" w:cs="Times New Roman"/>
          <w:sz w:val="22"/>
          <w:szCs w:val="22"/>
          <w:lang w:val="sr-Latn-ME" w:eastAsia="en-GB"/>
        </w:rPr>
        <w:t>oručuje se davanje živih vakcina</w:t>
      </w:r>
      <w:r w:rsidRPr="00AD3B49">
        <w:rPr>
          <w:rFonts w:ascii="Times New Roman" w:hAnsi="Times New Roman" w:cs="Times New Roman"/>
          <w:sz w:val="22"/>
          <w:szCs w:val="22"/>
          <w:lang w:val="sr-Latn-ME" w:eastAsia="en-GB"/>
        </w:rPr>
        <w:t xml:space="preserve"> najmanje 5 mjeseci od kada je majka u trudnoći primila zadnju injekciju adalimumaba.</w:t>
      </w:r>
    </w:p>
    <w:p w:rsidR="009E4E76" w:rsidRPr="00AD3B49" w:rsidRDefault="009E4E76" w:rsidP="009E4E76">
      <w:pPr>
        <w:pStyle w:val="Default"/>
        <w:jc w:val="both"/>
        <w:rPr>
          <w:rFonts w:ascii="Times New Roman" w:hAnsi="Times New Roman" w:cs="Times New Roman"/>
          <w:sz w:val="22"/>
          <w:szCs w:val="22"/>
          <w:lang w:val="sr-Latn-ME" w:eastAsia="en-GB"/>
        </w:rPr>
      </w:pPr>
    </w:p>
    <w:p w:rsidR="009E4E76" w:rsidRPr="00AD3B49" w:rsidRDefault="009E4E76" w:rsidP="009E4E76">
      <w:pPr>
        <w:pStyle w:val="Default"/>
        <w:jc w:val="both"/>
        <w:rPr>
          <w:rFonts w:ascii="Times New Roman" w:hAnsi="Times New Roman" w:cs="Times New Roman"/>
          <w:sz w:val="22"/>
          <w:szCs w:val="22"/>
          <w:u w:val="single"/>
          <w:lang w:val="sr-Latn-ME" w:eastAsia="en-GB"/>
        </w:rPr>
      </w:pPr>
      <w:r w:rsidRPr="00AD3B49">
        <w:rPr>
          <w:rFonts w:ascii="Times New Roman" w:hAnsi="Times New Roman" w:cs="Times New Roman"/>
          <w:sz w:val="22"/>
          <w:szCs w:val="22"/>
          <w:u w:val="single"/>
          <w:lang w:val="sr-Latn-ME" w:eastAsia="en-GB"/>
        </w:rPr>
        <w:t>Dojenje</w:t>
      </w:r>
    </w:p>
    <w:p w:rsidR="009E4E76" w:rsidRPr="00AD3B49" w:rsidRDefault="009E4E76" w:rsidP="009E4E76">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Nije poznato da li se adalimumab izlučuje u  majčino mlijeko, niti da li se sistemski</w:t>
      </w:r>
      <w:r w:rsidR="00EC7DA7" w:rsidRPr="00AD3B49">
        <w:rPr>
          <w:rFonts w:ascii="Times New Roman" w:hAnsi="Times New Roman" w:cs="Times New Roman"/>
          <w:sz w:val="22"/>
          <w:szCs w:val="22"/>
          <w:lang w:val="sr-Latn-ME"/>
        </w:rPr>
        <w:t xml:space="preserve"> </w:t>
      </w:r>
      <w:r w:rsidR="001A6C15" w:rsidRPr="00AD3B49">
        <w:rPr>
          <w:rFonts w:ascii="Times New Roman" w:hAnsi="Times New Roman" w:cs="Times New Roman"/>
          <w:sz w:val="22"/>
          <w:szCs w:val="22"/>
          <w:lang w:val="sr-Latn-ME"/>
        </w:rPr>
        <w:t xml:space="preserve">resorbuje </w:t>
      </w:r>
      <w:r w:rsidRPr="00AD3B49">
        <w:rPr>
          <w:rFonts w:ascii="Times New Roman" w:hAnsi="Times New Roman" w:cs="Times New Roman"/>
          <w:sz w:val="22"/>
          <w:szCs w:val="22"/>
          <w:lang w:val="sr-Latn-ME"/>
        </w:rPr>
        <w:t xml:space="preserve">nakon gutanja.  </w:t>
      </w:r>
    </w:p>
    <w:p w:rsidR="009E4E76" w:rsidRPr="00AD3B49" w:rsidRDefault="009E4E76" w:rsidP="009E4E76">
      <w:pPr>
        <w:pStyle w:val="Default"/>
        <w:jc w:val="both"/>
        <w:rPr>
          <w:rFonts w:ascii="Times New Roman" w:hAnsi="Times New Roman" w:cs="Times New Roman"/>
          <w:sz w:val="22"/>
          <w:szCs w:val="22"/>
          <w:lang w:val="sr-Latn-ME"/>
        </w:rPr>
      </w:pPr>
    </w:p>
    <w:p w:rsidR="009E4E76" w:rsidRPr="00AD3B49" w:rsidRDefault="009E4E76" w:rsidP="009E4E76">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Međutim, </w:t>
      </w:r>
      <w:r w:rsidR="00EC7DA7" w:rsidRPr="00AD3B49">
        <w:rPr>
          <w:rFonts w:ascii="Times New Roman" w:hAnsi="Times New Roman" w:cs="Times New Roman"/>
          <w:sz w:val="22"/>
          <w:szCs w:val="22"/>
          <w:lang w:val="sr-Latn-ME"/>
        </w:rPr>
        <w:t xml:space="preserve">s </w:t>
      </w:r>
      <w:r w:rsidRPr="00AD3B49">
        <w:rPr>
          <w:rFonts w:ascii="Times New Roman" w:hAnsi="Times New Roman" w:cs="Times New Roman"/>
          <w:sz w:val="22"/>
          <w:szCs w:val="22"/>
          <w:lang w:val="sr-Latn-ME"/>
        </w:rPr>
        <w:t xml:space="preserve">obzirom da se humani imunoglobulini izlučuju u majčino mlijeko, ne smije se dojiti najmanje pet mjeseci nakon posljednje doze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w:t>
      </w:r>
    </w:p>
    <w:p w:rsidR="000D772C" w:rsidRPr="00AD3B49" w:rsidRDefault="000D772C" w:rsidP="009E4E76">
      <w:pPr>
        <w:pStyle w:val="Default"/>
        <w:jc w:val="both"/>
        <w:rPr>
          <w:rFonts w:ascii="Times New Roman" w:hAnsi="Times New Roman" w:cs="Times New Roman"/>
          <w:sz w:val="22"/>
          <w:szCs w:val="22"/>
          <w:u w:val="single"/>
          <w:lang w:val="sr-Latn-ME"/>
        </w:rPr>
      </w:pPr>
    </w:p>
    <w:p w:rsidR="000D772C" w:rsidRPr="00AD3B49" w:rsidRDefault="000D772C" w:rsidP="000D772C">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Fertilitet</w:t>
      </w:r>
    </w:p>
    <w:p w:rsidR="00AD3B49" w:rsidRPr="00AD3B49" w:rsidRDefault="00AD3B49" w:rsidP="000D772C">
      <w:pPr>
        <w:pStyle w:val="Default"/>
        <w:jc w:val="both"/>
        <w:rPr>
          <w:rFonts w:ascii="Times New Roman" w:hAnsi="Times New Roman" w:cs="Times New Roman"/>
          <w:sz w:val="22"/>
          <w:szCs w:val="22"/>
          <w:lang w:val="sr-Latn-ME"/>
        </w:rPr>
      </w:pPr>
    </w:p>
    <w:p w:rsidR="000D772C" w:rsidRPr="00AD3B49" w:rsidRDefault="000D772C" w:rsidP="000D772C">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Pretklinički podaci o uticaju adalimumaba na plodnost nisu dostupni.</w:t>
      </w:r>
    </w:p>
    <w:p w:rsidR="000D772C" w:rsidRPr="00AD3B49" w:rsidRDefault="000D772C" w:rsidP="009E4E76">
      <w:pPr>
        <w:pStyle w:val="Default"/>
        <w:jc w:val="both"/>
        <w:rPr>
          <w:rFonts w:ascii="Times New Roman" w:hAnsi="Times New Roman" w:cs="Times New Roman"/>
          <w:sz w:val="22"/>
          <w:szCs w:val="22"/>
          <w:u w:val="single"/>
          <w:lang w:val="sr-Latn-ME"/>
        </w:rPr>
      </w:pPr>
    </w:p>
    <w:p w:rsidR="000D772C" w:rsidRPr="00AD3B49" w:rsidRDefault="000D772C" w:rsidP="000D772C">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Žene sa mogućnošću začeća. Kontracepcija kod žena i muškaraca.</w:t>
      </w:r>
    </w:p>
    <w:p w:rsidR="000D772C" w:rsidRPr="00AD3B49" w:rsidRDefault="000D772C" w:rsidP="000D772C">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Ženama </w:t>
      </w:r>
      <w:r w:rsidR="001A6C15" w:rsidRPr="00AD3B49">
        <w:rPr>
          <w:rFonts w:ascii="Times New Roman" w:hAnsi="Times New Roman" w:cs="Times New Roman"/>
          <w:sz w:val="22"/>
          <w:szCs w:val="22"/>
          <w:lang w:val="sr-Latn-ME"/>
        </w:rPr>
        <w:t xml:space="preserve">sa mogućnošću začeća se </w:t>
      </w:r>
      <w:r w:rsidRPr="00AD3B49">
        <w:rPr>
          <w:rFonts w:ascii="Times New Roman" w:hAnsi="Times New Roman" w:cs="Times New Roman"/>
          <w:sz w:val="22"/>
          <w:szCs w:val="22"/>
          <w:lang w:val="sr-Latn-ME"/>
        </w:rPr>
        <w:t>o</w:t>
      </w:r>
      <w:r w:rsidR="001A6C15" w:rsidRPr="00AD3B49">
        <w:rPr>
          <w:rFonts w:ascii="Times New Roman" w:hAnsi="Times New Roman" w:cs="Times New Roman"/>
          <w:sz w:val="22"/>
          <w:szCs w:val="22"/>
          <w:lang w:val="sr-Latn-ME"/>
        </w:rPr>
        <w:t>bavezno</w:t>
      </w:r>
      <w:r w:rsidRPr="00AD3B49">
        <w:rPr>
          <w:rFonts w:ascii="Times New Roman" w:hAnsi="Times New Roman" w:cs="Times New Roman"/>
          <w:sz w:val="22"/>
          <w:szCs w:val="22"/>
          <w:lang w:val="sr-Latn-ME"/>
        </w:rPr>
        <w:t xml:space="preserve"> preporučuje </w:t>
      </w:r>
      <w:r w:rsidR="001A6C15" w:rsidRPr="00AD3B49">
        <w:rPr>
          <w:rFonts w:ascii="Times New Roman" w:hAnsi="Times New Roman" w:cs="Times New Roman"/>
          <w:sz w:val="22"/>
          <w:szCs w:val="22"/>
          <w:lang w:val="sr-Latn-ME"/>
        </w:rPr>
        <w:t>da koriste</w:t>
      </w:r>
      <w:r w:rsidRPr="00AD3B49">
        <w:rPr>
          <w:rFonts w:ascii="Times New Roman" w:hAnsi="Times New Roman" w:cs="Times New Roman"/>
          <w:sz w:val="22"/>
          <w:szCs w:val="22"/>
          <w:lang w:val="sr-Latn-ME"/>
        </w:rPr>
        <w:t xml:space="preserve"> </w:t>
      </w:r>
      <w:r w:rsidR="001A6C15" w:rsidRPr="00AD3B49">
        <w:rPr>
          <w:rFonts w:ascii="Times New Roman" w:hAnsi="Times New Roman" w:cs="Times New Roman"/>
          <w:sz w:val="22"/>
          <w:szCs w:val="22"/>
          <w:lang w:val="sr-Latn-ME"/>
        </w:rPr>
        <w:t xml:space="preserve">adekvatnu kontracepciju za sprečavanje trudnoće </w:t>
      </w:r>
      <w:r w:rsidRPr="00AD3B49">
        <w:rPr>
          <w:rFonts w:ascii="Times New Roman" w:hAnsi="Times New Roman" w:cs="Times New Roman"/>
          <w:sz w:val="22"/>
          <w:szCs w:val="22"/>
          <w:lang w:val="sr-Latn-ME"/>
        </w:rPr>
        <w:t xml:space="preserve">i </w:t>
      </w:r>
      <w:r w:rsidR="001A6C15" w:rsidRPr="00AD3B49">
        <w:rPr>
          <w:rFonts w:ascii="Times New Roman" w:hAnsi="Times New Roman" w:cs="Times New Roman"/>
          <w:sz w:val="22"/>
          <w:szCs w:val="22"/>
          <w:lang w:val="sr-Latn-ME"/>
        </w:rPr>
        <w:t>da je koriste</w:t>
      </w:r>
      <w:r w:rsidRPr="00AD3B49">
        <w:rPr>
          <w:rFonts w:ascii="Times New Roman" w:hAnsi="Times New Roman" w:cs="Times New Roman"/>
          <w:sz w:val="22"/>
          <w:szCs w:val="22"/>
          <w:lang w:val="sr-Latn-ME"/>
        </w:rPr>
        <w:t xml:space="preserve"> najmanje pet mjeseci nakon </w:t>
      </w:r>
      <w:r w:rsidR="001A6C15" w:rsidRPr="00AD3B49">
        <w:rPr>
          <w:rFonts w:ascii="Times New Roman" w:hAnsi="Times New Roman" w:cs="Times New Roman"/>
          <w:sz w:val="22"/>
          <w:szCs w:val="22"/>
          <w:lang w:val="sr-Latn-ME"/>
        </w:rPr>
        <w:t>posljednjeg tretmana</w:t>
      </w:r>
      <w:r w:rsidRPr="00AD3B49">
        <w:rPr>
          <w:rFonts w:ascii="Times New Roman" w:hAnsi="Times New Roman" w:cs="Times New Roman"/>
          <w:sz w:val="22"/>
          <w:szCs w:val="22"/>
          <w:lang w:val="sr-Latn-ME"/>
        </w:rPr>
        <w:t xml:space="preserve"> lijek</w:t>
      </w:r>
      <w:r w:rsidR="001A6C15" w:rsidRPr="00AD3B49">
        <w:rPr>
          <w:rFonts w:ascii="Times New Roman" w:hAnsi="Times New Roman" w:cs="Times New Roman"/>
          <w:sz w:val="22"/>
          <w:szCs w:val="22"/>
          <w:lang w:val="sr-Latn-ME"/>
        </w:rPr>
        <w:t>om</w:t>
      </w:r>
      <w:r w:rsidRPr="00AD3B49">
        <w:rPr>
          <w:rFonts w:ascii="Times New Roman" w:hAnsi="Times New Roman" w:cs="Times New Roman"/>
          <w:sz w:val="22"/>
          <w:szCs w:val="22"/>
          <w:lang w:val="sr-Latn-ME"/>
        </w:rPr>
        <w:t xml:space="preserve"> Humira.</w:t>
      </w:r>
    </w:p>
    <w:p w:rsidR="009E4E76" w:rsidRPr="00AD3B49" w:rsidRDefault="009E4E76" w:rsidP="00480FB1">
      <w:pPr>
        <w:tabs>
          <w:tab w:val="left" w:pos="540"/>
          <w:tab w:val="left" w:pos="569"/>
        </w:tabs>
        <w:rPr>
          <w:b/>
          <w:bCs/>
          <w:sz w:val="22"/>
          <w:szCs w:val="22"/>
          <w:lang w:val="sr-Latn-ME"/>
        </w:rPr>
      </w:pPr>
    </w:p>
    <w:p w:rsidR="0072020E" w:rsidRPr="00AD3B49" w:rsidRDefault="0072020E" w:rsidP="00396DFD">
      <w:pPr>
        <w:tabs>
          <w:tab w:val="left" w:pos="540"/>
          <w:tab w:val="left" w:pos="569"/>
        </w:tabs>
        <w:ind w:left="540" w:hanging="540"/>
        <w:rPr>
          <w:b/>
          <w:bCs/>
          <w:sz w:val="22"/>
          <w:szCs w:val="22"/>
          <w:lang w:val="sr-Latn-ME"/>
        </w:rPr>
      </w:pPr>
      <w:r w:rsidRPr="00AD3B49">
        <w:rPr>
          <w:b/>
          <w:bCs/>
          <w:sz w:val="22"/>
          <w:szCs w:val="22"/>
          <w:lang w:val="sr-Latn-ME"/>
        </w:rPr>
        <w:t xml:space="preserve">4.7. </w:t>
      </w:r>
      <w:r w:rsidR="00480FB1" w:rsidRPr="00AD3B49">
        <w:rPr>
          <w:b/>
          <w:bCs/>
          <w:sz w:val="22"/>
          <w:szCs w:val="22"/>
          <w:lang w:val="sr-Latn-ME"/>
        </w:rPr>
        <w:tab/>
      </w:r>
      <w:r w:rsidRPr="00AD3B49">
        <w:rPr>
          <w:b/>
          <w:bCs/>
          <w:sz w:val="22"/>
          <w:szCs w:val="22"/>
          <w:lang w:val="sr-Latn-ME"/>
        </w:rPr>
        <w:t>Uticaj na psihofizičke sposobnosti pril</w:t>
      </w:r>
      <w:r w:rsidR="00F34554" w:rsidRPr="00AD3B49">
        <w:rPr>
          <w:b/>
          <w:bCs/>
          <w:sz w:val="22"/>
          <w:szCs w:val="22"/>
          <w:lang w:val="sr-Latn-ME"/>
        </w:rPr>
        <w:t>ikom upravljanja motornim vozili</w:t>
      </w:r>
      <w:r w:rsidRPr="00AD3B49">
        <w:rPr>
          <w:b/>
          <w:bCs/>
          <w:sz w:val="22"/>
          <w:szCs w:val="22"/>
          <w:lang w:val="sr-Latn-ME"/>
        </w:rPr>
        <w:t>m</w:t>
      </w:r>
      <w:r w:rsidR="00F34554" w:rsidRPr="00AD3B49">
        <w:rPr>
          <w:b/>
          <w:bCs/>
          <w:sz w:val="22"/>
          <w:szCs w:val="22"/>
          <w:lang w:val="sr-Latn-ME"/>
        </w:rPr>
        <w:t>a</w:t>
      </w:r>
      <w:r w:rsidRPr="00AD3B49">
        <w:rPr>
          <w:b/>
          <w:bCs/>
          <w:sz w:val="22"/>
          <w:szCs w:val="22"/>
          <w:lang w:val="sr-Latn-ME"/>
        </w:rPr>
        <w:t xml:space="preserve"> i rukovanja mašinama</w:t>
      </w:r>
    </w:p>
    <w:p w:rsidR="0072020E" w:rsidRPr="00AD3B49" w:rsidRDefault="0072020E" w:rsidP="00480FB1">
      <w:pPr>
        <w:tabs>
          <w:tab w:val="left" w:pos="540"/>
          <w:tab w:val="left" w:pos="569"/>
        </w:tabs>
        <w:rPr>
          <w:b/>
          <w:bCs/>
          <w:sz w:val="22"/>
          <w:szCs w:val="22"/>
          <w:lang w:val="sr-Latn-ME"/>
        </w:rPr>
      </w:pPr>
    </w:p>
    <w:p w:rsidR="0027287B" w:rsidRPr="00AD3B49" w:rsidRDefault="00A77611" w:rsidP="0027287B">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Lijek </w:t>
      </w:r>
      <w:r w:rsidR="0027287B" w:rsidRPr="00AD3B49">
        <w:rPr>
          <w:rFonts w:ascii="Times New Roman" w:hAnsi="Times New Roman" w:cs="Times New Roman"/>
          <w:sz w:val="22"/>
          <w:szCs w:val="22"/>
          <w:lang w:val="sr-Latn-ME"/>
        </w:rPr>
        <w:t xml:space="preserve">Humira može imati mali uticaj na sposobnost upravljanja vozilima i rada na mašinama. Vrtoglavica i poremećaji vida se mogu pojaviti nakon primjene </w:t>
      </w:r>
      <w:r w:rsidR="0082613A" w:rsidRPr="00AD3B49">
        <w:rPr>
          <w:rFonts w:ascii="Times New Roman" w:hAnsi="Times New Roman" w:cs="Times New Roman"/>
          <w:color w:val="auto"/>
          <w:sz w:val="22"/>
          <w:szCs w:val="22"/>
          <w:lang w:val="sr-Latn-ME"/>
        </w:rPr>
        <w:t xml:space="preserve">lijeka </w:t>
      </w:r>
      <w:r w:rsidR="0027287B" w:rsidRPr="00AD3B49">
        <w:rPr>
          <w:rFonts w:ascii="Times New Roman" w:hAnsi="Times New Roman" w:cs="Times New Roman"/>
          <w:sz w:val="22"/>
          <w:szCs w:val="22"/>
          <w:lang w:val="sr-Latn-ME"/>
        </w:rPr>
        <w:t>Humir</w:t>
      </w:r>
      <w:r w:rsidR="0082613A" w:rsidRPr="00AD3B49">
        <w:rPr>
          <w:rFonts w:ascii="Times New Roman" w:hAnsi="Times New Roman" w:cs="Times New Roman"/>
          <w:sz w:val="22"/>
          <w:szCs w:val="22"/>
          <w:lang w:val="sr-Latn-ME"/>
        </w:rPr>
        <w:t>a</w:t>
      </w:r>
      <w:r w:rsidR="0027287B" w:rsidRPr="00AD3B49">
        <w:rPr>
          <w:rFonts w:ascii="Times New Roman" w:hAnsi="Times New Roman" w:cs="Times New Roman"/>
          <w:sz w:val="22"/>
          <w:szCs w:val="22"/>
          <w:lang w:val="sr-Latn-ME"/>
        </w:rPr>
        <w:t xml:space="preserve"> (vidjeti </w:t>
      </w:r>
      <w:r w:rsidR="002D5061" w:rsidRPr="00AD3B49">
        <w:rPr>
          <w:rFonts w:ascii="Times New Roman" w:hAnsi="Times New Roman" w:cs="Times New Roman"/>
          <w:sz w:val="22"/>
          <w:szCs w:val="22"/>
          <w:lang w:val="sr-Latn-ME"/>
        </w:rPr>
        <w:t>odjeljak</w:t>
      </w:r>
      <w:r w:rsidR="0027287B" w:rsidRPr="00AD3B49">
        <w:rPr>
          <w:rFonts w:ascii="Times New Roman" w:hAnsi="Times New Roman" w:cs="Times New Roman"/>
          <w:sz w:val="22"/>
          <w:szCs w:val="22"/>
          <w:lang w:val="sr-Latn-ME"/>
        </w:rPr>
        <w:t xml:space="preserve"> 4.8).</w:t>
      </w:r>
    </w:p>
    <w:p w:rsidR="005C1110" w:rsidRPr="00AD3B49" w:rsidRDefault="005C1110" w:rsidP="00480FB1">
      <w:pPr>
        <w:tabs>
          <w:tab w:val="left" w:pos="540"/>
          <w:tab w:val="left" w:pos="569"/>
        </w:tabs>
        <w:rPr>
          <w:b/>
          <w:bCs/>
          <w:sz w:val="22"/>
          <w:szCs w:val="22"/>
          <w:lang w:val="sr-Latn-ME"/>
        </w:rPr>
      </w:pPr>
    </w:p>
    <w:p w:rsidR="0072020E" w:rsidRPr="00AD3B49" w:rsidRDefault="0072020E" w:rsidP="00480FB1">
      <w:pPr>
        <w:tabs>
          <w:tab w:val="left" w:pos="540"/>
          <w:tab w:val="left" w:pos="569"/>
        </w:tabs>
        <w:rPr>
          <w:b/>
          <w:bCs/>
          <w:sz w:val="22"/>
          <w:szCs w:val="22"/>
          <w:lang w:val="sr-Latn-ME"/>
        </w:rPr>
      </w:pPr>
      <w:r w:rsidRPr="00AD3B49">
        <w:rPr>
          <w:b/>
          <w:bCs/>
          <w:sz w:val="22"/>
          <w:szCs w:val="22"/>
          <w:lang w:val="sr-Latn-ME"/>
        </w:rPr>
        <w:t xml:space="preserve">4.8. </w:t>
      </w:r>
      <w:r w:rsidR="00480FB1" w:rsidRPr="00AD3B49">
        <w:rPr>
          <w:b/>
          <w:bCs/>
          <w:sz w:val="22"/>
          <w:szCs w:val="22"/>
          <w:lang w:val="sr-Latn-ME"/>
        </w:rPr>
        <w:tab/>
      </w:r>
      <w:r w:rsidRPr="00AD3B49">
        <w:rPr>
          <w:b/>
          <w:bCs/>
          <w:sz w:val="22"/>
          <w:szCs w:val="22"/>
          <w:lang w:val="sr-Latn-ME"/>
        </w:rPr>
        <w:t>Neželjena dejstva</w:t>
      </w:r>
    </w:p>
    <w:p w:rsidR="00836B35" w:rsidRPr="00AD3B49" w:rsidRDefault="00836B35" w:rsidP="00480FB1">
      <w:pPr>
        <w:tabs>
          <w:tab w:val="left" w:pos="540"/>
          <w:tab w:val="left" w:pos="569"/>
        </w:tabs>
        <w:rPr>
          <w:b/>
          <w:bCs/>
          <w:sz w:val="22"/>
          <w:szCs w:val="22"/>
          <w:lang w:val="sr-Latn-ME"/>
        </w:rPr>
      </w:pPr>
    </w:p>
    <w:p w:rsidR="005E2894" w:rsidRPr="00AD3B49" w:rsidRDefault="005E2894" w:rsidP="005E2894">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Humira je ispitivana u pivotalnim kontrolisanim i otvorenim ispitivanjima kod </w:t>
      </w:r>
      <w:r w:rsidRPr="00AD3B49">
        <w:rPr>
          <w:rFonts w:ascii="Times New Roman" w:hAnsi="Times New Roman" w:cs="Times New Roman"/>
          <w:color w:val="auto"/>
          <w:sz w:val="22"/>
          <w:szCs w:val="22"/>
          <w:lang w:val="sr-Latn-ME"/>
        </w:rPr>
        <w:t>8.1</w:t>
      </w:r>
      <w:r w:rsidR="00C477C3" w:rsidRPr="00AD3B49">
        <w:rPr>
          <w:rFonts w:ascii="Times New Roman" w:hAnsi="Times New Roman" w:cs="Times New Roman"/>
          <w:color w:val="auto"/>
          <w:sz w:val="22"/>
          <w:szCs w:val="22"/>
          <w:lang w:val="sr-Latn-ME"/>
        </w:rPr>
        <w:t>52</w:t>
      </w:r>
      <w:r w:rsidRPr="00AD3B49">
        <w:rPr>
          <w:rFonts w:ascii="Times New Roman" w:hAnsi="Times New Roman" w:cs="Times New Roman"/>
          <w:sz w:val="22"/>
          <w:szCs w:val="22"/>
          <w:lang w:val="sr-Latn-ME"/>
        </w:rPr>
        <w:t xml:space="preserve"> p</w:t>
      </w:r>
      <w:r w:rsidR="002A5A4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cijenata kroz period do 60 mjeseci ili više. Ispitivanjima su obuhvaćeni pacijenti s nedavnom pojavom </w:t>
      </w:r>
      <w:r w:rsidRPr="00AD3B49">
        <w:rPr>
          <w:rFonts w:ascii="Times New Roman" w:hAnsi="Times New Roman" w:cs="Times New Roman"/>
          <w:sz w:val="22"/>
          <w:szCs w:val="22"/>
          <w:lang w:val="sr-Latn-ME"/>
        </w:rPr>
        <w:lastRenderedPageBreak/>
        <w:t xml:space="preserve">reumatoidnog artritisa i oni s dugotrajnom bolešću, te pacijenti s poliartikularnim juvenilnim idiopatskim artritisom, kao i </w:t>
      </w:r>
      <w:r w:rsidR="0004490B" w:rsidRPr="00AD3B49">
        <w:rPr>
          <w:rFonts w:ascii="Times New Roman" w:hAnsi="Times New Roman" w:cs="Times New Roman"/>
          <w:sz w:val="22"/>
          <w:szCs w:val="22"/>
          <w:lang w:val="sr-Latn-ME"/>
        </w:rPr>
        <w:t xml:space="preserve">ankilozirajućim </w:t>
      </w:r>
      <w:r w:rsidRPr="00AD3B49">
        <w:rPr>
          <w:rFonts w:ascii="Times New Roman" w:hAnsi="Times New Roman" w:cs="Times New Roman"/>
          <w:sz w:val="22"/>
          <w:szCs w:val="22"/>
          <w:lang w:val="sr-Latn-ME"/>
        </w:rPr>
        <w:t xml:space="preserve">spondilitisom, aksijalnim spondiloartritisom bez radiološkog nalaza AS-a, psorijatičnim artritisom, Crohnovom bolešću, ulceroznim kolitisom i psorijazom. Podaci u Tabeli 2 zasnivaju se na pivotalnim kontrolisanim ispitivanjima kod 5.312 pacijenata liječenih </w:t>
      </w:r>
      <w:r w:rsidR="00422FBF" w:rsidRPr="00AD3B49">
        <w:rPr>
          <w:rFonts w:ascii="Times New Roman" w:hAnsi="Times New Roman" w:cs="Times New Roman"/>
          <w:sz w:val="22"/>
          <w:szCs w:val="22"/>
          <w:lang w:val="sr-Latn-ME"/>
        </w:rPr>
        <w:t xml:space="preserve">lijekom </w:t>
      </w:r>
      <w:r w:rsidRPr="00AD3B49">
        <w:rPr>
          <w:rFonts w:ascii="Times New Roman" w:hAnsi="Times New Roman" w:cs="Times New Roman"/>
          <w:sz w:val="22"/>
          <w:szCs w:val="22"/>
          <w:lang w:val="sr-Latn-ME"/>
        </w:rPr>
        <w:t>Humir</w:t>
      </w:r>
      <w:r w:rsidR="00422FBF"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i 3.133 pacijenata liječenih placebom ili nekim aktivnim poredbenim lijekom u kontrolisanom periodu i iz spontanog prijavljivanja.</w:t>
      </w:r>
    </w:p>
    <w:p w:rsidR="005E2894" w:rsidRPr="00AD3B49" w:rsidRDefault="005E2894" w:rsidP="005E2894">
      <w:pPr>
        <w:pStyle w:val="Default"/>
        <w:jc w:val="both"/>
        <w:rPr>
          <w:rFonts w:ascii="Times New Roman" w:hAnsi="Times New Roman" w:cs="Times New Roman"/>
          <w:sz w:val="22"/>
          <w:szCs w:val="22"/>
          <w:lang w:val="sr-Latn-ME"/>
        </w:rPr>
      </w:pPr>
    </w:p>
    <w:p w:rsidR="005E2894" w:rsidRPr="00AD3B49" w:rsidRDefault="005E2894" w:rsidP="005E2894">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U dvostruko slijepim, kontrolisanim dijelovima pivotalnih ispitivanja, liječenje je zbog </w:t>
      </w:r>
      <w:r w:rsidR="005C1110" w:rsidRPr="00AD3B49">
        <w:rPr>
          <w:rFonts w:ascii="Times New Roman" w:hAnsi="Times New Roman" w:cs="Times New Roman"/>
          <w:sz w:val="22"/>
          <w:szCs w:val="22"/>
          <w:lang w:val="sr-Latn-ME"/>
        </w:rPr>
        <w:t>neželjenih dejstva</w:t>
      </w:r>
      <w:r w:rsidRPr="00AD3B49">
        <w:rPr>
          <w:rFonts w:ascii="Times New Roman" w:hAnsi="Times New Roman" w:cs="Times New Roman"/>
          <w:sz w:val="22"/>
          <w:szCs w:val="22"/>
          <w:lang w:val="sr-Latn-ME"/>
        </w:rPr>
        <w:t xml:space="preserve"> prekinuto kod </w:t>
      </w:r>
      <w:r w:rsidR="00A55F74" w:rsidRPr="00AD3B49">
        <w:rPr>
          <w:rFonts w:ascii="Times New Roman" w:hAnsi="Times New Roman" w:cs="Times New Roman"/>
          <w:sz w:val="22"/>
          <w:szCs w:val="22"/>
          <w:lang w:val="sr-Latn-ME"/>
        </w:rPr>
        <w:t>6,1%</w:t>
      </w:r>
      <w:r w:rsidRPr="00AD3B49">
        <w:rPr>
          <w:rFonts w:ascii="Times New Roman" w:hAnsi="Times New Roman" w:cs="Times New Roman"/>
          <w:sz w:val="22"/>
          <w:szCs w:val="22"/>
          <w:lang w:val="sr-Latn-ME"/>
        </w:rPr>
        <w:t xml:space="preserve"> pacijenata koji su dobijali </w:t>
      </w:r>
      <w:r w:rsidR="00422FBF" w:rsidRPr="00AD3B49">
        <w:rPr>
          <w:rFonts w:ascii="Times New Roman" w:hAnsi="Times New Roman" w:cs="Times New Roman"/>
          <w:sz w:val="22"/>
          <w:szCs w:val="22"/>
          <w:lang w:val="sr-Latn-ME"/>
        </w:rPr>
        <w:t xml:space="preserve">lijek </w:t>
      </w:r>
      <w:r w:rsidRPr="00AD3B49">
        <w:rPr>
          <w:rFonts w:ascii="Times New Roman" w:hAnsi="Times New Roman" w:cs="Times New Roman"/>
          <w:sz w:val="22"/>
          <w:szCs w:val="22"/>
          <w:lang w:val="sr-Latn-ME"/>
        </w:rPr>
        <w:t>Humir</w:t>
      </w:r>
      <w:r w:rsidR="00422FBF"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odnosno </w:t>
      </w:r>
      <w:r w:rsidR="00A55F74" w:rsidRPr="00AD3B49">
        <w:rPr>
          <w:rFonts w:ascii="Times New Roman" w:hAnsi="Times New Roman" w:cs="Times New Roman"/>
          <w:sz w:val="22"/>
          <w:szCs w:val="22"/>
          <w:lang w:val="sr-Latn-ME"/>
        </w:rPr>
        <w:t>5,8%</w:t>
      </w:r>
      <w:r w:rsidRPr="00AD3B49">
        <w:rPr>
          <w:rFonts w:ascii="Times New Roman" w:hAnsi="Times New Roman" w:cs="Times New Roman"/>
          <w:sz w:val="22"/>
          <w:szCs w:val="22"/>
          <w:lang w:val="sr-Latn-ME"/>
        </w:rPr>
        <w:t xml:space="preserve"> pacijenata iz kontrolne grupe.</w:t>
      </w:r>
    </w:p>
    <w:p w:rsidR="005E2894" w:rsidRPr="00AD3B49" w:rsidRDefault="005E2894" w:rsidP="005E2894">
      <w:pPr>
        <w:pStyle w:val="Default"/>
        <w:jc w:val="both"/>
        <w:rPr>
          <w:rFonts w:ascii="Times New Roman" w:hAnsi="Times New Roman" w:cs="Times New Roman"/>
          <w:sz w:val="22"/>
          <w:szCs w:val="22"/>
          <w:lang w:val="sr-Latn-ME"/>
        </w:rPr>
      </w:pPr>
    </w:p>
    <w:p w:rsidR="005E2894" w:rsidRPr="00AD3B49" w:rsidRDefault="005E2894" w:rsidP="005E2894">
      <w:pPr>
        <w:autoSpaceDE w:val="0"/>
        <w:autoSpaceDN w:val="0"/>
        <w:adjustRightInd w:val="0"/>
        <w:jc w:val="both"/>
        <w:rPr>
          <w:sz w:val="22"/>
          <w:szCs w:val="22"/>
          <w:u w:val="single"/>
          <w:lang w:val="sr-Latn-ME"/>
        </w:rPr>
      </w:pPr>
      <w:r w:rsidRPr="00AD3B49">
        <w:rPr>
          <w:sz w:val="22"/>
          <w:szCs w:val="22"/>
          <w:u w:val="single"/>
          <w:lang w:val="sr-Latn-ME"/>
        </w:rPr>
        <w:t>Sažetak sigurnosnog profila</w:t>
      </w:r>
    </w:p>
    <w:p w:rsidR="00A801D9" w:rsidRDefault="00A801D9" w:rsidP="005E2894">
      <w:pPr>
        <w:autoSpaceDE w:val="0"/>
        <w:autoSpaceDN w:val="0"/>
        <w:adjustRightInd w:val="0"/>
        <w:jc w:val="both"/>
        <w:rPr>
          <w:sz w:val="22"/>
          <w:szCs w:val="22"/>
          <w:lang w:val="sr-Latn-ME"/>
        </w:rPr>
      </w:pPr>
    </w:p>
    <w:p w:rsidR="005E2894" w:rsidRPr="00AD3B49" w:rsidRDefault="005E2894" w:rsidP="005E2894">
      <w:pPr>
        <w:autoSpaceDE w:val="0"/>
        <w:autoSpaceDN w:val="0"/>
        <w:adjustRightInd w:val="0"/>
        <w:jc w:val="both"/>
        <w:rPr>
          <w:sz w:val="22"/>
          <w:szCs w:val="22"/>
          <w:lang w:val="sr-Latn-ME"/>
        </w:rPr>
      </w:pPr>
      <w:r w:rsidRPr="00AD3B49">
        <w:rPr>
          <w:sz w:val="22"/>
          <w:szCs w:val="22"/>
          <w:lang w:val="sr-Latn-ME"/>
        </w:rPr>
        <w:t>Najčešće prijavljen</w:t>
      </w:r>
      <w:r w:rsidR="005C1110" w:rsidRPr="00AD3B49">
        <w:rPr>
          <w:sz w:val="22"/>
          <w:szCs w:val="22"/>
          <w:lang w:val="sr-Latn-ME"/>
        </w:rPr>
        <w:t>a</w:t>
      </w:r>
      <w:r w:rsidRPr="00AD3B49">
        <w:rPr>
          <w:sz w:val="22"/>
          <w:szCs w:val="22"/>
          <w:lang w:val="sr-Latn-ME"/>
        </w:rPr>
        <w:t xml:space="preserve"> než</w:t>
      </w:r>
      <w:r w:rsidR="005C1110" w:rsidRPr="00AD3B49">
        <w:rPr>
          <w:sz w:val="22"/>
          <w:szCs w:val="22"/>
          <w:lang w:val="sr-Latn-ME"/>
        </w:rPr>
        <w:t>eljena</w:t>
      </w:r>
      <w:r w:rsidRPr="00AD3B49">
        <w:rPr>
          <w:sz w:val="22"/>
          <w:szCs w:val="22"/>
          <w:lang w:val="sr-Latn-ME"/>
        </w:rPr>
        <w:t xml:space="preserve"> </w:t>
      </w:r>
      <w:r w:rsidR="005C1110" w:rsidRPr="00AD3B49">
        <w:rPr>
          <w:sz w:val="22"/>
          <w:szCs w:val="22"/>
          <w:lang w:val="sr-Latn-ME"/>
        </w:rPr>
        <w:t>dejstva</w:t>
      </w:r>
      <w:r w:rsidRPr="00AD3B49">
        <w:rPr>
          <w:sz w:val="22"/>
          <w:szCs w:val="22"/>
          <w:lang w:val="sr-Latn-ME"/>
        </w:rPr>
        <w:t xml:space="preserve"> su infekcije (kao</w:t>
      </w:r>
      <w:r w:rsidR="00422FBF" w:rsidRPr="00AD3B49">
        <w:rPr>
          <w:sz w:val="22"/>
          <w:szCs w:val="22"/>
          <w:lang w:val="sr-Latn-ME"/>
        </w:rPr>
        <w:t xml:space="preserve"> što su </w:t>
      </w:r>
      <w:r w:rsidRPr="00AD3B49">
        <w:rPr>
          <w:sz w:val="22"/>
          <w:szCs w:val="22"/>
          <w:lang w:val="sr-Latn-ME"/>
        </w:rPr>
        <w:t xml:space="preserve"> nazofaringitis, infekcija gornjih disajnih puteva i sinusitis), reakcije na mjestu primjene (eritem, </w:t>
      </w:r>
      <w:r w:rsidR="00422FBF" w:rsidRPr="00AD3B49">
        <w:rPr>
          <w:sz w:val="22"/>
          <w:szCs w:val="22"/>
          <w:lang w:val="sr-Latn-ME"/>
        </w:rPr>
        <w:t>svrab</w:t>
      </w:r>
      <w:r w:rsidRPr="00AD3B49">
        <w:rPr>
          <w:sz w:val="22"/>
          <w:szCs w:val="22"/>
          <w:lang w:val="sr-Latn-ME"/>
        </w:rPr>
        <w:t xml:space="preserve">, krvarenje, bol ili oticanje), glavobolja i mišićno-koštana bol. </w:t>
      </w:r>
    </w:p>
    <w:p w:rsidR="005E2894" w:rsidRPr="00AD3B49" w:rsidRDefault="005E2894" w:rsidP="005E2894">
      <w:pPr>
        <w:autoSpaceDE w:val="0"/>
        <w:autoSpaceDN w:val="0"/>
        <w:adjustRightInd w:val="0"/>
        <w:jc w:val="both"/>
        <w:rPr>
          <w:sz w:val="22"/>
          <w:szCs w:val="22"/>
          <w:lang w:val="sr-Latn-ME"/>
        </w:rPr>
      </w:pPr>
    </w:p>
    <w:p w:rsidR="005E2894" w:rsidRPr="00AD3B49" w:rsidRDefault="005E2894" w:rsidP="005E2894">
      <w:pPr>
        <w:autoSpaceDE w:val="0"/>
        <w:autoSpaceDN w:val="0"/>
        <w:adjustRightInd w:val="0"/>
        <w:jc w:val="both"/>
        <w:rPr>
          <w:sz w:val="22"/>
          <w:szCs w:val="22"/>
          <w:lang w:val="sr-Latn-ME"/>
        </w:rPr>
      </w:pPr>
      <w:r w:rsidRPr="00AD3B49">
        <w:rPr>
          <w:sz w:val="22"/>
          <w:szCs w:val="22"/>
          <w:lang w:val="sr-Latn-ME"/>
        </w:rPr>
        <w:t>Z</w:t>
      </w:r>
      <w:r w:rsidR="005C1110" w:rsidRPr="00AD3B49">
        <w:rPr>
          <w:sz w:val="22"/>
          <w:szCs w:val="22"/>
          <w:lang w:val="sr-Latn-ME"/>
        </w:rPr>
        <w:t xml:space="preserve">a </w:t>
      </w:r>
      <w:r w:rsidR="00422FBF" w:rsidRPr="00AD3B49">
        <w:rPr>
          <w:sz w:val="22"/>
          <w:szCs w:val="22"/>
          <w:lang w:val="sr-Latn-ME"/>
        </w:rPr>
        <w:t xml:space="preserve">lijek </w:t>
      </w:r>
      <w:r w:rsidR="005C1110" w:rsidRPr="00AD3B49">
        <w:rPr>
          <w:sz w:val="22"/>
          <w:szCs w:val="22"/>
          <w:lang w:val="sr-Latn-ME"/>
        </w:rPr>
        <w:t>Humir</w:t>
      </w:r>
      <w:r w:rsidR="00422FBF" w:rsidRPr="00AD3B49">
        <w:rPr>
          <w:sz w:val="22"/>
          <w:szCs w:val="22"/>
          <w:lang w:val="sr-Latn-ME"/>
        </w:rPr>
        <w:t>a</w:t>
      </w:r>
      <w:r w:rsidR="005C1110" w:rsidRPr="00AD3B49">
        <w:rPr>
          <w:sz w:val="22"/>
          <w:szCs w:val="22"/>
          <w:lang w:val="sr-Latn-ME"/>
        </w:rPr>
        <w:t xml:space="preserve"> su prijavljena</w:t>
      </w:r>
      <w:r w:rsidRPr="00AD3B49">
        <w:rPr>
          <w:sz w:val="22"/>
          <w:szCs w:val="22"/>
          <w:lang w:val="sr-Latn-ME"/>
        </w:rPr>
        <w:t xml:space="preserve"> ozbiljn</w:t>
      </w:r>
      <w:r w:rsidR="005C1110" w:rsidRPr="00AD3B49">
        <w:rPr>
          <w:sz w:val="22"/>
          <w:szCs w:val="22"/>
          <w:lang w:val="sr-Latn-ME"/>
        </w:rPr>
        <w:t>a</w:t>
      </w:r>
      <w:r w:rsidRPr="00AD3B49">
        <w:rPr>
          <w:sz w:val="22"/>
          <w:szCs w:val="22"/>
          <w:lang w:val="sr-Latn-ME"/>
        </w:rPr>
        <w:t xml:space="preserve"> n</w:t>
      </w:r>
      <w:r w:rsidR="005C1110" w:rsidRPr="00AD3B49">
        <w:rPr>
          <w:sz w:val="22"/>
          <w:szCs w:val="22"/>
          <w:lang w:val="sr-Latn-ME"/>
        </w:rPr>
        <w:t>eželjena dejstva</w:t>
      </w:r>
      <w:r w:rsidRPr="00AD3B49">
        <w:rPr>
          <w:sz w:val="22"/>
          <w:szCs w:val="22"/>
          <w:lang w:val="sr-Latn-ME"/>
        </w:rPr>
        <w:t xml:space="preserve">. TNF-antagonisti, kao </w:t>
      </w:r>
      <w:r w:rsidR="00422FBF" w:rsidRPr="00AD3B49">
        <w:rPr>
          <w:sz w:val="22"/>
          <w:szCs w:val="22"/>
          <w:lang w:val="sr-Latn-ME"/>
        </w:rPr>
        <w:t xml:space="preserve">lijek </w:t>
      </w:r>
      <w:r w:rsidRPr="00AD3B49">
        <w:rPr>
          <w:sz w:val="22"/>
          <w:szCs w:val="22"/>
          <w:lang w:val="sr-Latn-ME"/>
        </w:rPr>
        <w:t>Humir</w:t>
      </w:r>
      <w:r w:rsidR="00422FBF" w:rsidRPr="00AD3B49">
        <w:rPr>
          <w:sz w:val="22"/>
          <w:szCs w:val="22"/>
          <w:lang w:val="sr-Latn-ME"/>
        </w:rPr>
        <w:t>a</w:t>
      </w:r>
      <w:r w:rsidRPr="00AD3B49">
        <w:rPr>
          <w:sz w:val="22"/>
          <w:szCs w:val="22"/>
          <w:lang w:val="sr-Latn-ME"/>
        </w:rPr>
        <w:t xml:space="preserve">, djeluju na imunološki sistem te njihova primjena može uticati na odbranu tijela od infekcija i </w:t>
      </w:r>
      <w:r w:rsidR="00422FBF" w:rsidRPr="00AD3B49">
        <w:rPr>
          <w:sz w:val="22"/>
          <w:szCs w:val="22"/>
          <w:lang w:val="sr-Latn-ME"/>
        </w:rPr>
        <w:t>karcinoma</w:t>
      </w:r>
      <w:r w:rsidRPr="00AD3B49">
        <w:rPr>
          <w:sz w:val="22"/>
          <w:szCs w:val="22"/>
          <w:lang w:val="sr-Latn-ME"/>
        </w:rPr>
        <w:t xml:space="preserve">.  </w:t>
      </w:r>
    </w:p>
    <w:p w:rsidR="005064C8" w:rsidRPr="00AD3B49" w:rsidRDefault="005064C8" w:rsidP="005E2894">
      <w:pPr>
        <w:autoSpaceDE w:val="0"/>
        <w:autoSpaceDN w:val="0"/>
        <w:adjustRightInd w:val="0"/>
        <w:jc w:val="both"/>
        <w:rPr>
          <w:sz w:val="22"/>
          <w:szCs w:val="22"/>
          <w:lang w:val="sr-Latn-ME"/>
        </w:rPr>
      </w:pPr>
    </w:p>
    <w:p w:rsidR="005E2894" w:rsidRPr="00AD3B49" w:rsidRDefault="005E2894" w:rsidP="005E2894">
      <w:pPr>
        <w:autoSpaceDE w:val="0"/>
        <w:autoSpaceDN w:val="0"/>
        <w:adjustRightInd w:val="0"/>
        <w:jc w:val="both"/>
        <w:rPr>
          <w:sz w:val="22"/>
          <w:szCs w:val="22"/>
          <w:lang w:val="sr-Latn-ME"/>
        </w:rPr>
      </w:pPr>
      <w:r w:rsidRPr="00AD3B49">
        <w:rPr>
          <w:sz w:val="22"/>
          <w:szCs w:val="22"/>
          <w:lang w:val="sr-Latn-ME"/>
        </w:rPr>
        <w:t xml:space="preserve">Prilikom upotrebe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su takođe prijavljene infekcije sa smrtnim ishodom i po život opasne infekcije (uključujući sepsu, oportunističke infekcije i tuberkulozu), reaktivacija HBV-a i razne </w:t>
      </w:r>
      <w:r w:rsidR="000D772C" w:rsidRPr="00AD3B49">
        <w:rPr>
          <w:sz w:val="22"/>
          <w:szCs w:val="22"/>
          <w:lang w:val="sr-Latn-ME"/>
        </w:rPr>
        <w:t xml:space="preserve">maligne </w:t>
      </w:r>
      <w:r w:rsidRPr="00AD3B49">
        <w:rPr>
          <w:sz w:val="22"/>
          <w:szCs w:val="22"/>
          <w:lang w:val="sr-Latn-ME"/>
        </w:rPr>
        <w:t>promjene (uključujući leukemiju, limfom i hepatosplenični T-ćelijski limfom).</w:t>
      </w:r>
    </w:p>
    <w:p w:rsidR="005E2894" w:rsidRPr="00AD3B49" w:rsidRDefault="005E2894" w:rsidP="005E2894">
      <w:pPr>
        <w:autoSpaceDE w:val="0"/>
        <w:autoSpaceDN w:val="0"/>
        <w:adjustRightInd w:val="0"/>
        <w:jc w:val="both"/>
        <w:rPr>
          <w:sz w:val="22"/>
          <w:szCs w:val="22"/>
          <w:lang w:val="sr-Latn-ME"/>
        </w:rPr>
      </w:pPr>
    </w:p>
    <w:p w:rsidR="005E2894" w:rsidRPr="00AD3B49" w:rsidRDefault="005E2894" w:rsidP="005E2894">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Takođe su prijavljene ozbiljne hematološke, neurološke i autoimune reakcije. One uključuju rijetke prijave pancitopenije, aplastične anemije, centralnih i perifernih demijelinizirajućih događaja i prijave lupusa, stanja povezanih s lupusom i Stevens-Johnsonov sindrom.</w:t>
      </w:r>
    </w:p>
    <w:p w:rsidR="005E2894" w:rsidRPr="00AD3B49" w:rsidRDefault="005E2894" w:rsidP="005E2894">
      <w:pPr>
        <w:pStyle w:val="Default"/>
        <w:jc w:val="both"/>
        <w:rPr>
          <w:rFonts w:ascii="Times New Roman" w:hAnsi="Times New Roman" w:cs="Times New Roman"/>
          <w:sz w:val="22"/>
          <w:szCs w:val="22"/>
          <w:lang w:val="sr-Latn-ME"/>
        </w:rPr>
      </w:pPr>
    </w:p>
    <w:p w:rsidR="005E2894" w:rsidRPr="00AD3B49" w:rsidRDefault="005E2894" w:rsidP="005E2894">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Pedijatrijska populacija</w:t>
      </w:r>
    </w:p>
    <w:p w:rsidR="005E2894" w:rsidRPr="00AD3B49" w:rsidRDefault="005E2894" w:rsidP="005E2894">
      <w:pPr>
        <w:pStyle w:val="Default"/>
        <w:jc w:val="both"/>
        <w:rPr>
          <w:rFonts w:ascii="Times New Roman" w:hAnsi="Times New Roman" w:cs="Times New Roman"/>
          <w:i/>
          <w:sz w:val="22"/>
          <w:szCs w:val="22"/>
          <w:lang w:val="sr-Latn-ME"/>
        </w:rPr>
      </w:pPr>
    </w:p>
    <w:p w:rsidR="005E2894" w:rsidRPr="00AD3B49" w:rsidRDefault="005E2894" w:rsidP="005E2894">
      <w:pPr>
        <w:pStyle w:val="Default"/>
        <w:jc w:val="both"/>
        <w:rPr>
          <w:rFonts w:ascii="Times New Roman" w:hAnsi="Times New Roman" w:cs="Times New Roman"/>
          <w:i/>
          <w:sz w:val="22"/>
          <w:szCs w:val="22"/>
          <w:u w:val="single"/>
          <w:lang w:val="sr-Latn-ME"/>
        </w:rPr>
      </w:pPr>
      <w:r w:rsidRPr="00AD3B49">
        <w:rPr>
          <w:rFonts w:ascii="Times New Roman" w:hAnsi="Times New Roman" w:cs="Times New Roman"/>
          <w:i/>
          <w:sz w:val="22"/>
          <w:szCs w:val="22"/>
          <w:u w:val="single"/>
          <w:lang w:val="sr-Latn-ME"/>
        </w:rPr>
        <w:t>N</w:t>
      </w:r>
      <w:r w:rsidR="00472539" w:rsidRPr="00AD3B49">
        <w:rPr>
          <w:rFonts w:ascii="Times New Roman" w:hAnsi="Times New Roman" w:cs="Times New Roman"/>
          <w:i/>
          <w:sz w:val="22"/>
          <w:szCs w:val="22"/>
          <w:u w:val="single"/>
          <w:lang w:val="sr-Latn-ME"/>
        </w:rPr>
        <w:t>eželje</w:t>
      </w:r>
      <w:r w:rsidR="006B1C2F" w:rsidRPr="00AD3B49">
        <w:rPr>
          <w:rFonts w:ascii="Times New Roman" w:hAnsi="Times New Roman" w:cs="Times New Roman"/>
          <w:i/>
          <w:sz w:val="22"/>
          <w:szCs w:val="22"/>
          <w:u w:val="single"/>
          <w:lang w:val="sr-Latn-ME"/>
        </w:rPr>
        <w:t>n</w:t>
      </w:r>
      <w:r w:rsidR="00472539" w:rsidRPr="00AD3B49">
        <w:rPr>
          <w:rFonts w:ascii="Times New Roman" w:hAnsi="Times New Roman" w:cs="Times New Roman"/>
          <w:i/>
          <w:sz w:val="22"/>
          <w:szCs w:val="22"/>
          <w:u w:val="single"/>
          <w:lang w:val="sr-Latn-ME"/>
        </w:rPr>
        <w:t>a</w:t>
      </w:r>
      <w:r w:rsidR="006B1C2F" w:rsidRPr="00AD3B49">
        <w:rPr>
          <w:rFonts w:ascii="Times New Roman" w:hAnsi="Times New Roman" w:cs="Times New Roman"/>
          <w:i/>
          <w:sz w:val="22"/>
          <w:szCs w:val="22"/>
          <w:u w:val="single"/>
          <w:lang w:val="sr-Latn-ME"/>
        </w:rPr>
        <w:t xml:space="preserve"> </w:t>
      </w:r>
      <w:r w:rsidR="005C1110" w:rsidRPr="00AD3B49">
        <w:rPr>
          <w:rFonts w:ascii="Times New Roman" w:hAnsi="Times New Roman" w:cs="Times New Roman"/>
          <w:i/>
          <w:sz w:val="22"/>
          <w:szCs w:val="22"/>
          <w:u w:val="single"/>
          <w:lang w:val="sr-Latn-ME"/>
        </w:rPr>
        <w:t>dejstva</w:t>
      </w:r>
      <w:r w:rsidR="00472539" w:rsidRPr="00AD3B49">
        <w:rPr>
          <w:rFonts w:ascii="Times New Roman" w:hAnsi="Times New Roman" w:cs="Times New Roman"/>
          <w:i/>
          <w:sz w:val="22"/>
          <w:szCs w:val="22"/>
          <w:u w:val="single"/>
          <w:lang w:val="sr-Latn-ME"/>
        </w:rPr>
        <w:t xml:space="preserve"> kod pedijatrijske populacije</w:t>
      </w:r>
      <w:r w:rsidRPr="00AD3B49">
        <w:rPr>
          <w:rFonts w:ascii="Times New Roman" w:hAnsi="Times New Roman" w:cs="Times New Roman"/>
          <w:i/>
          <w:sz w:val="22"/>
          <w:szCs w:val="22"/>
          <w:u w:val="single"/>
          <w:lang w:val="sr-Latn-ME"/>
        </w:rPr>
        <w:t xml:space="preserve"> </w:t>
      </w:r>
    </w:p>
    <w:p w:rsidR="00A801D9" w:rsidRDefault="00A801D9" w:rsidP="005E2894">
      <w:pPr>
        <w:pStyle w:val="Default"/>
        <w:jc w:val="both"/>
        <w:rPr>
          <w:rFonts w:ascii="Times New Roman" w:hAnsi="Times New Roman" w:cs="Times New Roman"/>
          <w:sz w:val="22"/>
          <w:szCs w:val="22"/>
          <w:lang w:val="sr-Latn-ME"/>
        </w:rPr>
      </w:pPr>
    </w:p>
    <w:p w:rsidR="005E2894" w:rsidRPr="00AD3B49" w:rsidRDefault="005E2894" w:rsidP="005E2894">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Uopšte</w:t>
      </w:r>
      <w:r w:rsidR="005C1110" w:rsidRPr="00AD3B49">
        <w:rPr>
          <w:rFonts w:ascii="Times New Roman" w:hAnsi="Times New Roman" w:cs="Times New Roman"/>
          <w:sz w:val="22"/>
          <w:szCs w:val="22"/>
          <w:lang w:val="sr-Latn-ME"/>
        </w:rPr>
        <w:t>, neželjena dejstva</w:t>
      </w:r>
      <w:r w:rsidRPr="00AD3B49">
        <w:rPr>
          <w:rFonts w:ascii="Times New Roman" w:hAnsi="Times New Roman" w:cs="Times New Roman"/>
          <w:sz w:val="22"/>
          <w:szCs w:val="22"/>
          <w:lang w:val="sr-Latn-ME"/>
        </w:rPr>
        <w:t xml:space="preserve"> kod pedijatrijskih pacijenata su prema učestalosti i tipu bili slični onima </w:t>
      </w:r>
      <w:r w:rsidR="00472539" w:rsidRPr="00AD3B49">
        <w:rPr>
          <w:rFonts w:ascii="Times New Roman" w:hAnsi="Times New Roman" w:cs="Times New Roman"/>
          <w:sz w:val="22"/>
          <w:szCs w:val="22"/>
          <w:lang w:val="sr-Latn-ME"/>
        </w:rPr>
        <w:t xml:space="preserve">kao </w:t>
      </w:r>
      <w:r w:rsidRPr="00AD3B49">
        <w:rPr>
          <w:rFonts w:ascii="Times New Roman" w:hAnsi="Times New Roman" w:cs="Times New Roman"/>
          <w:sz w:val="22"/>
          <w:szCs w:val="22"/>
          <w:lang w:val="sr-Latn-ME"/>
        </w:rPr>
        <w:t>kod odraslih pacijenata.</w:t>
      </w:r>
    </w:p>
    <w:p w:rsidR="005E2894" w:rsidRPr="00AD3B49" w:rsidRDefault="005E2894" w:rsidP="005E2894">
      <w:pPr>
        <w:pStyle w:val="Default"/>
        <w:jc w:val="both"/>
        <w:rPr>
          <w:rFonts w:ascii="Times New Roman" w:hAnsi="Times New Roman" w:cs="Times New Roman"/>
          <w:sz w:val="22"/>
          <w:szCs w:val="22"/>
          <w:lang w:val="sr-Latn-ME"/>
        </w:rPr>
      </w:pPr>
    </w:p>
    <w:p w:rsidR="005C1110" w:rsidRPr="00AD3B49" w:rsidRDefault="005E2894" w:rsidP="005C1110">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 xml:space="preserve">Tabelarni pregled </w:t>
      </w:r>
      <w:r w:rsidR="005C1110" w:rsidRPr="00AD3B49">
        <w:rPr>
          <w:rFonts w:ascii="Times New Roman" w:hAnsi="Times New Roman" w:cs="Times New Roman"/>
          <w:sz w:val="22"/>
          <w:szCs w:val="22"/>
          <w:u w:val="single"/>
          <w:lang w:val="sr-Latn-ME"/>
        </w:rPr>
        <w:t>neželjenih dejst</w:t>
      </w:r>
      <w:r w:rsidR="00A55F74" w:rsidRPr="00AD3B49">
        <w:rPr>
          <w:rFonts w:ascii="Times New Roman" w:hAnsi="Times New Roman" w:cs="Times New Roman"/>
          <w:sz w:val="22"/>
          <w:szCs w:val="22"/>
          <w:u w:val="single"/>
          <w:lang w:val="sr-Latn-ME"/>
        </w:rPr>
        <w:t>a</w:t>
      </w:r>
      <w:r w:rsidR="005C1110" w:rsidRPr="00AD3B49">
        <w:rPr>
          <w:rFonts w:ascii="Times New Roman" w:hAnsi="Times New Roman" w:cs="Times New Roman"/>
          <w:sz w:val="22"/>
          <w:szCs w:val="22"/>
          <w:u w:val="single"/>
          <w:lang w:val="sr-Latn-ME"/>
        </w:rPr>
        <w:t>va</w:t>
      </w:r>
    </w:p>
    <w:p w:rsidR="00A801D9" w:rsidRDefault="00A801D9" w:rsidP="005E2894">
      <w:pPr>
        <w:pStyle w:val="Default"/>
        <w:jc w:val="both"/>
        <w:rPr>
          <w:rFonts w:ascii="Times New Roman" w:hAnsi="Times New Roman" w:cs="Times New Roman"/>
          <w:sz w:val="22"/>
          <w:szCs w:val="22"/>
          <w:lang w:val="sr-Latn-ME"/>
        </w:rPr>
      </w:pPr>
    </w:p>
    <w:p w:rsidR="005E2894" w:rsidRPr="00AD3B49" w:rsidRDefault="005E2894" w:rsidP="005E2894">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Sljedeći popis n</w:t>
      </w:r>
      <w:r w:rsidR="005C1110" w:rsidRPr="00AD3B49">
        <w:rPr>
          <w:rFonts w:ascii="Times New Roman" w:hAnsi="Times New Roman" w:cs="Times New Roman"/>
          <w:sz w:val="22"/>
          <w:szCs w:val="22"/>
          <w:lang w:val="sr-Latn-ME"/>
        </w:rPr>
        <w:t>eželjenih dejstav</w:t>
      </w:r>
      <w:r w:rsidR="006B1C2F" w:rsidRPr="00AD3B49">
        <w:rPr>
          <w:rFonts w:ascii="Times New Roman" w:hAnsi="Times New Roman" w:cs="Times New Roman"/>
          <w:sz w:val="22"/>
          <w:szCs w:val="22"/>
          <w:lang w:val="sr-Latn-ME"/>
        </w:rPr>
        <w:t xml:space="preserve">a </w:t>
      </w:r>
      <w:r w:rsidRPr="00AD3B49">
        <w:rPr>
          <w:rFonts w:ascii="Times New Roman" w:hAnsi="Times New Roman" w:cs="Times New Roman"/>
          <w:sz w:val="22"/>
          <w:szCs w:val="22"/>
          <w:lang w:val="sr-Latn-ME"/>
        </w:rPr>
        <w:t xml:space="preserve">zasniva se na iskustvu iz kliničkih ispitivanja i nakon stavljanja lijeka u promet, a prikazane su u Tabeli 2 koja slijedi prema organskom sistemu i učestalosti (vrlo često (≥ 1/10), </w:t>
      </w:r>
      <w:r w:rsidR="006B1C2F" w:rsidRPr="00AD3B49">
        <w:rPr>
          <w:rFonts w:ascii="Times New Roman" w:hAnsi="Times New Roman" w:cs="Times New Roman"/>
          <w:sz w:val="22"/>
          <w:szCs w:val="22"/>
          <w:lang w:val="sr-Latn-ME"/>
        </w:rPr>
        <w:t xml:space="preserve"> </w:t>
      </w:r>
      <w:r w:rsidRPr="00AD3B49">
        <w:rPr>
          <w:rFonts w:ascii="Times New Roman" w:hAnsi="Times New Roman" w:cs="Times New Roman"/>
          <w:sz w:val="22"/>
          <w:szCs w:val="22"/>
          <w:lang w:val="sr-Latn-ME"/>
        </w:rPr>
        <w:t>čes</w:t>
      </w:r>
      <w:r w:rsidR="001F7423" w:rsidRPr="00AD3B49">
        <w:rPr>
          <w:rFonts w:ascii="Times New Roman" w:hAnsi="Times New Roman" w:cs="Times New Roman"/>
          <w:sz w:val="22"/>
          <w:szCs w:val="22"/>
          <w:lang w:val="sr-Latn-ME"/>
        </w:rPr>
        <w:t xml:space="preserve">to (≥1/100 i &lt;1/10), </w:t>
      </w:r>
      <w:r w:rsidR="006B1C2F" w:rsidRPr="00AD3B49">
        <w:rPr>
          <w:rFonts w:ascii="Times New Roman" w:hAnsi="Times New Roman" w:cs="Times New Roman"/>
          <w:sz w:val="22"/>
          <w:szCs w:val="22"/>
          <w:lang w:val="sr-Latn-ME"/>
        </w:rPr>
        <w:t xml:space="preserve"> </w:t>
      </w:r>
      <w:r w:rsidR="001F7423" w:rsidRPr="00AD3B49">
        <w:rPr>
          <w:rFonts w:ascii="Times New Roman" w:hAnsi="Times New Roman" w:cs="Times New Roman"/>
          <w:sz w:val="22"/>
          <w:szCs w:val="22"/>
          <w:lang w:val="sr-Latn-ME"/>
        </w:rPr>
        <w:t>povremeno</w:t>
      </w:r>
      <w:r w:rsidRPr="00AD3B49">
        <w:rPr>
          <w:rFonts w:ascii="Times New Roman" w:hAnsi="Times New Roman" w:cs="Times New Roman"/>
          <w:sz w:val="22"/>
          <w:szCs w:val="22"/>
          <w:lang w:val="sr-Latn-ME"/>
        </w:rPr>
        <w:t xml:space="preserve"> (≥1/1000</w:t>
      </w:r>
      <w:r w:rsidR="006B1C2F" w:rsidRPr="00AD3B49">
        <w:rPr>
          <w:rFonts w:ascii="Times New Roman" w:hAnsi="Times New Roman" w:cs="Times New Roman"/>
          <w:sz w:val="22"/>
          <w:szCs w:val="22"/>
          <w:lang w:val="sr-Latn-ME"/>
        </w:rPr>
        <w:t xml:space="preserve"> </w:t>
      </w:r>
      <w:r w:rsidRPr="00AD3B49">
        <w:rPr>
          <w:rFonts w:ascii="Times New Roman" w:hAnsi="Times New Roman" w:cs="Times New Roman"/>
          <w:sz w:val="22"/>
          <w:szCs w:val="22"/>
          <w:lang w:val="sr-Latn-ME"/>
        </w:rPr>
        <w:t xml:space="preserve"> i &lt;1/100),</w:t>
      </w:r>
      <w:r w:rsidR="006B1C2F" w:rsidRPr="00AD3B49">
        <w:rPr>
          <w:rFonts w:ascii="Times New Roman" w:hAnsi="Times New Roman" w:cs="Times New Roman"/>
          <w:sz w:val="22"/>
          <w:szCs w:val="22"/>
          <w:lang w:val="sr-Latn-ME"/>
        </w:rPr>
        <w:t xml:space="preserve"> </w:t>
      </w:r>
      <w:r w:rsidRPr="00AD3B49">
        <w:rPr>
          <w:rFonts w:ascii="Times New Roman" w:hAnsi="Times New Roman" w:cs="Times New Roman"/>
          <w:sz w:val="22"/>
          <w:szCs w:val="22"/>
          <w:lang w:val="sr-Latn-ME"/>
        </w:rPr>
        <w:t xml:space="preserve"> rijetko (≥1/10 000 i </w:t>
      </w:r>
      <w:r w:rsidR="006B1C2F" w:rsidRPr="00AD3B49">
        <w:rPr>
          <w:rFonts w:ascii="Times New Roman" w:hAnsi="Times New Roman" w:cs="Times New Roman"/>
          <w:sz w:val="22"/>
          <w:szCs w:val="22"/>
          <w:lang w:val="sr-Latn-ME"/>
        </w:rPr>
        <w:t xml:space="preserve">&lt;1/1000), vrlo rijetko (&lt;1/10 000) </w:t>
      </w:r>
      <w:r w:rsidRPr="00AD3B49">
        <w:rPr>
          <w:rFonts w:ascii="Times New Roman" w:hAnsi="Times New Roman" w:cs="Times New Roman"/>
          <w:sz w:val="22"/>
          <w:szCs w:val="22"/>
          <w:lang w:val="sr-Latn-ME"/>
        </w:rPr>
        <w:t>i nepoznato – ne može se procijeniti iz dostupnih podataka). U svakoj grupi učestalosti</w:t>
      </w:r>
      <w:r w:rsidR="005C1110" w:rsidRPr="00AD3B49">
        <w:rPr>
          <w:rFonts w:ascii="Times New Roman" w:hAnsi="Times New Roman" w:cs="Times New Roman"/>
          <w:sz w:val="22"/>
          <w:szCs w:val="22"/>
          <w:lang w:val="sr-Latn-ME"/>
        </w:rPr>
        <w:t xml:space="preserve"> su neželjena de</w:t>
      </w:r>
      <w:r w:rsidR="00F654EA" w:rsidRPr="00AD3B49">
        <w:rPr>
          <w:rFonts w:ascii="Times New Roman" w:hAnsi="Times New Roman" w:cs="Times New Roman"/>
          <w:sz w:val="22"/>
          <w:szCs w:val="22"/>
          <w:lang w:val="sr-Latn-ME"/>
        </w:rPr>
        <w:t>j</w:t>
      </w:r>
      <w:r w:rsidR="005C1110" w:rsidRPr="00AD3B49">
        <w:rPr>
          <w:rFonts w:ascii="Times New Roman" w:hAnsi="Times New Roman" w:cs="Times New Roman"/>
          <w:sz w:val="22"/>
          <w:szCs w:val="22"/>
          <w:lang w:val="sr-Latn-ME"/>
        </w:rPr>
        <w:t>stva raspoređena</w:t>
      </w:r>
      <w:r w:rsidRPr="00AD3B49">
        <w:rPr>
          <w:rFonts w:ascii="Times New Roman" w:hAnsi="Times New Roman" w:cs="Times New Roman"/>
          <w:sz w:val="22"/>
          <w:szCs w:val="22"/>
          <w:lang w:val="sr-Latn-ME"/>
        </w:rPr>
        <w:t xml:space="preserve"> od ozbiljnijih prema manje ozbiljnim. Između raznih indikacija, naznačene su one najučestalije. Zvjezdica (*) u koloni Organski sistem označava da se detaljnije informacije mogu pronaći u </w:t>
      </w:r>
      <w:r w:rsidR="006B1C2F" w:rsidRPr="00AD3B49">
        <w:rPr>
          <w:rFonts w:ascii="Times New Roman" w:hAnsi="Times New Roman" w:cs="Times New Roman"/>
          <w:sz w:val="22"/>
          <w:szCs w:val="22"/>
          <w:lang w:val="sr-Latn-ME"/>
        </w:rPr>
        <w:t>odjeljcima</w:t>
      </w:r>
      <w:r w:rsidRPr="00AD3B49">
        <w:rPr>
          <w:rFonts w:ascii="Times New Roman" w:hAnsi="Times New Roman" w:cs="Times New Roman"/>
          <w:sz w:val="22"/>
          <w:szCs w:val="22"/>
          <w:lang w:val="sr-Latn-ME"/>
        </w:rPr>
        <w:t xml:space="preserve"> 4.3, 4.4 i 4.8.</w:t>
      </w:r>
    </w:p>
    <w:p w:rsidR="005E2894" w:rsidRDefault="005E2894" w:rsidP="005E2894">
      <w:pPr>
        <w:pStyle w:val="Default"/>
        <w:ind w:left="567" w:hanging="567"/>
        <w:jc w:val="both"/>
        <w:rPr>
          <w:rFonts w:ascii="Times New Roman" w:hAnsi="Times New Roman" w:cs="Times New Roman"/>
          <w:b/>
          <w:bCs/>
          <w:sz w:val="22"/>
          <w:szCs w:val="22"/>
          <w:lang w:val="sr-Latn-ME"/>
        </w:rPr>
      </w:pPr>
    </w:p>
    <w:p w:rsidR="00A801D9" w:rsidRDefault="00A801D9" w:rsidP="005E2894">
      <w:pPr>
        <w:pStyle w:val="Default"/>
        <w:ind w:left="567" w:hanging="567"/>
        <w:jc w:val="both"/>
        <w:rPr>
          <w:rFonts w:ascii="Times New Roman" w:hAnsi="Times New Roman" w:cs="Times New Roman"/>
          <w:b/>
          <w:bCs/>
          <w:sz w:val="22"/>
          <w:szCs w:val="22"/>
          <w:lang w:val="sr-Latn-ME"/>
        </w:rPr>
      </w:pPr>
    </w:p>
    <w:p w:rsidR="00A801D9" w:rsidRDefault="00A801D9" w:rsidP="005E2894">
      <w:pPr>
        <w:pStyle w:val="Default"/>
        <w:ind w:left="567" w:hanging="567"/>
        <w:jc w:val="both"/>
        <w:rPr>
          <w:rFonts w:ascii="Times New Roman" w:hAnsi="Times New Roman" w:cs="Times New Roman"/>
          <w:b/>
          <w:bCs/>
          <w:sz w:val="22"/>
          <w:szCs w:val="22"/>
          <w:lang w:val="sr-Latn-ME"/>
        </w:rPr>
      </w:pPr>
    </w:p>
    <w:p w:rsidR="00A801D9" w:rsidRDefault="00A801D9" w:rsidP="005E2894">
      <w:pPr>
        <w:pStyle w:val="Default"/>
        <w:ind w:left="567" w:hanging="567"/>
        <w:jc w:val="both"/>
        <w:rPr>
          <w:rFonts w:ascii="Times New Roman" w:hAnsi="Times New Roman" w:cs="Times New Roman"/>
          <w:b/>
          <w:bCs/>
          <w:sz w:val="22"/>
          <w:szCs w:val="22"/>
          <w:lang w:val="sr-Latn-ME"/>
        </w:rPr>
      </w:pPr>
    </w:p>
    <w:p w:rsidR="00A801D9" w:rsidRDefault="00A801D9" w:rsidP="005E2894">
      <w:pPr>
        <w:pStyle w:val="Default"/>
        <w:ind w:left="567" w:hanging="567"/>
        <w:jc w:val="both"/>
        <w:rPr>
          <w:rFonts w:ascii="Times New Roman" w:hAnsi="Times New Roman" w:cs="Times New Roman"/>
          <w:b/>
          <w:bCs/>
          <w:sz w:val="22"/>
          <w:szCs w:val="22"/>
          <w:lang w:val="sr-Latn-ME"/>
        </w:rPr>
      </w:pPr>
    </w:p>
    <w:p w:rsidR="005E2894" w:rsidRPr="00AD3B49" w:rsidRDefault="005E2894" w:rsidP="005E2894">
      <w:pPr>
        <w:pStyle w:val="Default"/>
        <w:ind w:left="567" w:hanging="567"/>
        <w:rPr>
          <w:rFonts w:ascii="Times New Roman" w:hAnsi="Times New Roman" w:cs="Times New Roman"/>
          <w:b/>
          <w:bCs/>
          <w:sz w:val="22"/>
          <w:szCs w:val="22"/>
          <w:lang w:val="sr-Latn-ME"/>
        </w:rPr>
      </w:pPr>
      <w:r w:rsidRPr="00AD3B49">
        <w:rPr>
          <w:rFonts w:ascii="Times New Roman" w:hAnsi="Times New Roman" w:cs="Times New Roman"/>
          <w:b/>
          <w:bCs/>
          <w:sz w:val="22"/>
          <w:szCs w:val="22"/>
          <w:lang w:val="sr-Latn-ME"/>
        </w:rPr>
        <w:lastRenderedPageBreak/>
        <w:t>Tabela 2</w:t>
      </w:r>
    </w:p>
    <w:p w:rsidR="005E2894" w:rsidRPr="00AD3B49" w:rsidRDefault="005E2894" w:rsidP="00AD3B49">
      <w:pPr>
        <w:pStyle w:val="Default"/>
        <w:ind w:left="567" w:hanging="567"/>
        <w:rPr>
          <w:rFonts w:ascii="Times New Roman" w:hAnsi="Times New Roman" w:cs="Times New Roman"/>
          <w:sz w:val="22"/>
          <w:szCs w:val="22"/>
          <w:lang w:val="sr-Latn-ME"/>
        </w:rPr>
      </w:pPr>
      <w:r w:rsidRPr="00AD3B49">
        <w:rPr>
          <w:rFonts w:ascii="Times New Roman" w:hAnsi="Times New Roman" w:cs="Times New Roman"/>
          <w:b/>
          <w:bCs/>
          <w:sz w:val="22"/>
          <w:szCs w:val="22"/>
          <w:lang w:val="sr-Latn-ME"/>
        </w:rPr>
        <w:t>N</w:t>
      </w:r>
      <w:r w:rsidR="005C1110" w:rsidRPr="00AD3B49">
        <w:rPr>
          <w:rFonts w:ascii="Times New Roman" w:hAnsi="Times New Roman" w:cs="Times New Roman"/>
          <w:b/>
          <w:bCs/>
          <w:sz w:val="22"/>
          <w:szCs w:val="22"/>
          <w:lang w:val="sr-Latn-ME"/>
        </w:rPr>
        <w:t>eželjena dejstva</w:t>
      </w:r>
      <w:r w:rsidRPr="00AD3B49">
        <w:rPr>
          <w:rFonts w:ascii="Times New Roman" w:hAnsi="Times New Roman" w:cs="Times New Roman"/>
          <w:sz w:val="22"/>
          <w:szCs w:val="22"/>
          <w:lang w:val="sr-Latn-ME"/>
        </w:rPr>
        <w:t xml:space="preserve"> </w:t>
      </w:r>
    </w:p>
    <w:tbl>
      <w:tblPr>
        <w:tblW w:w="0" w:type="auto"/>
        <w:tblInd w:w="108" w:type="dxa"/>
        <w:tblLook w:val="0000" w:firstRow="0" w:lastRow="0" w:firstColumn="0" w:lastColumn="0" w:noHBand="0" w:noVBand="0"/>
      </w:tblPr>
      <w:tblGrid>
        <w:gridCol w:w="2560"/>
        <w:gridCol w:w="1403"/>
        <w:gridCol w:w="5209"/>
      </w:tblGrid>
      <w:tr w:rsidR="005E2894" w:rsidRPr="00AD3B49" w:rsidTr="005D003D">
        <w:trPr>
          <w:trHeight w:val="305"/>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jc w:val="both"/>
              <w:rPr>
                <w:rFonts w:ascii="Times New Roman" w:hAnsi="Times New Roman" w:cs="Times New Roman"/>
                <w:sz w:val="22"/>
                <w:szCs w:val="22"/>
                <w:lang w:val="sr-Latn-ME"/>
              </w:rPr>
            </w:pPr>
            <w:r w:rsidRPr="00AD3B49">
              <w:rPr>
                <w:rFonts w:ascii="Times New Roman" w:hAnsi="Times New Roman" w:cs="Times New Roman"/>
                <w:b/>
                <w:bCs/>
                <w:sz w:val="22"/>
                <w:szCs w:val="22"/>
                <w:lang w:val="sr-Latn-ME"/>
              </w:rPr>
              <w:t xml:space="preserve">Organski sistem </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b/>
                <w:bCs/>
                <w:sz w:val="22"/>
                <w:szCs w:val="22"/>
                <w:lang w:val="sr-Latn-ME"/>
              </w:rPr>
              <w:t xml:space="preserve">Učestalost </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b/>
                <w:bCs/>
                <w:sz w:val="22"/>
                <w:szCs w:val="22"/>
                <w:lang w:val="sr-Latn-ME"/>
              </w:rPr>
              <w:t>N</w:t>
            </w:r>
            <w:r w:rsidR="005C1110" w:rsidRPr="00AD3B49">
              <w:rPr>
                <w:rFonts w:ascii="Times New Roman" w:hAnsi="Times New Roman" w:cs="Times New Roman"/>
                <w:b/>
                <w:bCs/>
                <w:sz w:val="22"/>
                <w:szCs w:val="22"/>
                <w:lang w:val="sr-Latn-ME"/>
              </w:rPr>
              <w:t>eželjen</w:t>
            </w:r>
            <w:r w:rsidR="0076324A" w:rsidRPr="00AD3B49">
              <w:rPr>
                <w:rFonts w:ascii="Times New Roman" w:hAnsi="Times New Roman" w:cs="Times New Roman"/>
                <w:b/>
                <w:bCs/>
                <w:sz w:val="22"/>
                <w:szCs w:val="22"/>
                <w:lang w:val="sr-Latn-ME"/>
              </w:rPr>
              <w:t>a</w:t>
            </w:r>
            <w:r w:rsidR="005C1110" w:rsidRPr="00AD3B49">
              <w:rPr>
                <w:rFonts w:ascii="Times New Roman" w:hAnsi="Times New Roman" w:cs="Times New Roman"/>
                <w:b/>
                <w:bCs/>
                <w:sz w:val="22"/>
                <w:szCs w:val="22"/>
                <w:lang w:val="sr-Latn-ME"/>
              </w:rPr>
              <w:t xml:space="preserve"> dejstva</w:t>
            </w:r>
          </w:p>
        </w:tc>
      </w:tr>
      <w:tr w:rsidR="005E2894" w:rsidRPr="00AD3B49" w:rsidTr="00242AE8">
        <w:trPr>
          <w:trHeight w:val="7093"/>
        </w:trPr>
        <w:tc>
          <w:tcPr>
            <w:tcW w:w="2560" w:type="dxa"/>
            <w:tcBorders>
              <w:top w:val="single" w:sz="8" w:space="0" w:color="000000"/>
              <w:left w:val="single" w:sz="8" w:space="0" w:color="000000"/>
              <w:right w:val="single" w:sz="8" w:space="0" w:color="000000"/>
            </w:tcBorders>
          </w:tcPr>
          <w:p w:rsidR="005E2894" w:rsidRPr="00AD3B49" w:rsidRDefault="005E2894" w:rsidP="005D003D">
            <w:pPr>
              <w:pStyle w:val="Default"/>
              <w:ind w:right="-2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Infekcije i infestacije*</w:t>
            </w:r>
          </w:p>
        </w:tc>
        <w:tc>
          <w:tcPr>
            <w:tcW w:w="1403" w:type="dxa"/>
            <w:tcBorders>
              <w:top w:val="single" w:sz="8" w:space="0" w:color="000000"/>
              <w:left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vrlo 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 </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0B15A4">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1F7423" w:rsidP="00242AE8">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p w:rsidR="005E2894" w:rsidRPr="00AD3B49" w:rsidRDefault="005E2894" w:rsidP="005D003D">
            <w:pPr>
              <w:pStyle w:val="Default"/>
              <w:ind w:left="567" w:hanging="567"/>
              <w:jc w:val="both"/>
              <w:rPr>
                <w:rFonts w:ascii="Times New Roman" w:hAnsi="Times New Roman" w:cs="Times New Roman"/>
                <w:sz w:val="22"/>
                <w:szCs w:val="22"/>
                <w:lang w:val="sr-Latn-ME"/>
              </w:rPr>
            </w:pPr>
          </w:p>
        </w:tc>
        <w:tc>
          <w:tcPr>
            <w:tcW w:w="5209" w:type="dxa"/>
            <w:tcBorders>
              <w:top w:val="single" w:sz="8" w:space="0" w:color="000000"/>
              <w:left w:val="single" w:sz="8" w:space="0" w:color="000000"/>
              <w:right w:val="single" w:sz="8" w:space="0" w:color="000000"/>
            </w:tcBorders>
            <w:shd w:val="clear" w:color="auto" w:fill="auto"/>
          </w:tcPr>
          <w:p w:rsidR="005E2894" w:rsidRPr="00AD3B49" w:rsidRDefault="000B15A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respiratorne infekcije (uključujući infekcije donjeg i gornjeg respiratornog trakta, pneumoniju, sinuz</w:t>
            </w:r>
            <w:r w:rsidR="005E2894" w:rsidRPr="00AD3B49">
              <w:rPr>
                <w:rFonts w:ascii="Times New Roman" w:hAnsi="Times New Roman" w:cs="Times New Roman"/>
                <w:sz w:val="22"/>
                <w:szCs w:val="22"/>
                <w:lang w:val="sr-Latn-ME"/>
              </w:rPr>
              <w:t>itis, faringitis, nazofarnigitis i virusna herpesna pneumonija)</w:t>
            </w: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sistemske infekcije (uključujući sepsu, kandidijazu i influencu), </w:t>
            </w: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intestinalne infekcije (uključujući virusni gastroenteritis), </w:t>
            </w: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infekcije kože i mekog tkiva (uključujući paronihiju, celulitis, impetigo, nekrotizirajući fasciitis i herpes zoster), </w:t>
            </w:r>
          </w:p>
          <w:p w:rsidR="005E2894" w:rsidRPr="00AD3B49" w:rsidRDefault="005C1110"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infekcije uv</w:t>
            </w:r>
            <w:r w:rsidR="005E2894" w:rsidRPr="00AD3B49">
              <w:rPr>
                <w:rFonts w:ascii="Times New Roman" w:hAnsi="Times New Roman" w:cs="Times New Roman"/>
                <w:sz w:val="22"/>
                <w:szCs w:val="22"/>
                <w:lang w:val="sr-Latn-ME"/>
              </w:rPr>
              <w:t xml:space="preserve">a, </w:t>
            </w: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infekcije usne šupljine (uključujući herpes simpleks, herpes usne šupljine i infekcije zuba),</w:t>
            </w: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infekcije reproduktivnog sistema (uključujući vulvovaginalne mikoze), </w:t>
            </w:r>
          </w:p>
          <w:p w:rsidR="005E2894" w:rsidRPr="00AD3B49" w:rsidRDefault="000B15A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infekcije urinarnog trakta (uključujući pi</w:t>
            </w:r>
            <w:r w:rsidR="005E2894" w:rsidRPr="00AD3B49">
              <w:rPr>
                <w:rFonts w:ascii="Times New Roman" w:hAnsi="Times New Roman" w:cs="Times New Roman"/>
                <w:sz w:val="22"/>
                <w:szCs w:val="22"/>
                <w:lang w:val="sr-Latn-ME"/>
              </w:rPr>
              <w:t xml:space="preserve">jelonefritis), </w:t>
            </w: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gljivične infekcije</w:t>
            </w: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infekcije zglobova </w:t>
            </w: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neurološke infekcije (uključujući virusni meningitis),</w:t>
            </w: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oportunističke infekcije i tuberkuloza</w:t>
            </w:r>
            <w:r w:rsidR="000B15A4" w:rsidRPr="00AD3B49">
              <w:rPr>
                <w:rFonts w:ascii="Times New Roman" w:hAnsi="Times New Roman" w:cs="Times New Roman"/>
                <w:sz w:val="22"/>
                <w:szCs w:val="22"/>
                <w:lang w:val="sr-Latn-ME"/>
              </w:rPr>
              <w:t xml:space="preserve"> (uključujući kokcidio</w:t>
            </w:r>
            <w:r w:rsidR="00A16310" w:rsidRPr="00AD3B49">
              <w:rPr>
                <w:rFonts w:ascii="Times New Roman" w:hAnsi="Times New Roman" w:cs="Times New Roman"/>
                <w:sz w:val="22"/>
                <w:szCs w:val="22"/>
                <w:lang w:val="sr-Latn-ME"/>
              </w:rPr>
              <w:t>idio</w:t>
            </w:r>
            <w:r w:rsidRPr="00AD3B49">
              <w:rPr>
                <w:rFonts w:ascii="Times New Roman" w:hAnsi="Times New Roman" w:cs="Times New Roman"/>
                <w:sz w:val="22"/>
                <w:szCs w:val="22"/>
                <w:lang w:val="sr-Latn-ME"/>
              </w:rPr>
              <w:t xml:space="preserve">mikozu, histoplazmozu i infekciju </w:t>
            </w:r>
            <w:r w:rsidR="000B15A4" w:rsidRPr="00AD3B49">
              <w:rPr>
                <w:rFonts w:ascii="Times New Roman" w:hAnsi="Times New Roman" w:cs="Times New Roman"/>
                <w:sz w:val="22"/>
                <w:szCs w:val="22"/>
                <w:lang w:val="sr-Latn-ME"/>
              </w:rPr>
              <w:t xml:space="preserve">s </w:t>
            </w:r>
            <w:r w:rsidR="00422FBF" w:rsidRPr="00AD3B49">
              <w:rPr>
                <w:rFonts w:ascii="Times New Roman" w:hAnsi="Times New Roman" w:cs="Times New Roman"/>
                <w:i/>
                <w:sz w:val="22"/>
                <w:szCs w:val="22"/>
                <w:lang w:val="sr-Latn-ME"/>
              </w:rPr>
              <w:t>mycobacterium avium</w:t>
            </w:r>
            <w:r w:rsidRPr="00AD3B49">
              <w:rPr>
                <w:rFonts w:ascii="Times New Roman" w:hAnsi="Times New Roman" w:cs="Times New Roman"/>
                <w:sz w:val="22"/>
                <w:szCs w:val="22"/>
                <w:lang w:val="sr-Latn-ME"/>
              </w:rPr>
              <w:t xml:space="preserve">), </w:t>
            </w: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bakterijske infekcije,</w:t>
            </w: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infekcije oka, </w:t>
            </w:r>
          </w:p>
          <w:p w:rsidR="005E2894" w:rsidRPr="00AD3B49" w:rsidRDefault="005E2894" w:rsidP="00242AE8">
            <w:pPr>
              <w:pStyle w:val="Default"/>
              <w:tabs>
                <w:tab w:val="num" w:pos="-102"/>
              </w:tabs>
              <w:ind w:left="40"/>
              <w:jc w:val="both"/>
              <w:rPr>
                <w:rFonts w:ascii="Times New Roman" w:hAnsi="Times New Roman" w:cs="Times New Roman"/>
                <w:sz w:val="22"/>
                <w:szCs w:val="22"/>
                <w:vertAlign w:val="superscript"/>
                <w:lang w:val="sr-Latn-ME"/>
              </w:rPr>
            </w:pPr>
            <w:r w:rsidRPr="00AD3B49">
              <w:rPr>
                <w:rFonts w:ascii="Times New Roman" w:hAnsi="Times New Roman" w:cs="Times New Roman"/>
                <w:sz w:val="22"/>
                <w:szCs w:val="22"/>
                <w:lang w:val="sr-Latn-ME"/>
              </w:rPr>
              <w:t>divertikulitis</w:t>
            </w:r>
            <w:r w:rsidRPr="00AD3B49">
              <w:rPr>
                <w:rFonts w:ascii="Times New Roman" w:hAnsi="Times New Roman" w:cs="Times New Roman"/>
                <w:sz w:val="22"/>
                <w:szCs w:val="22"/>
                <w:vertAlign w:val="superscript"/>
                <w:lang w:val="sr-Latn-ME"/>
              </w:rPr>
              <w:t>1)</w:t>
            </w:r>
          </w:p>
        </w:tc>
      </w:tr>
      <w:tr w:rsidR="005E2894" w:rsidRPr="00AD3B49" w:rsidTr="005D003D">
        <w:trPr>
          <w:trHeight w:val="637"/>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0B15A4" w:rsidP="005D003D">
            <w:pPr>
              <w:pStyle w:val="Default"/>
              <w:ind w:right="-2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Benigne, maligne i neodređene neoplazme</w:t>
            </w:r>
            <w:r w:rsidR="00136E8F" w:rsidRPr="00AD3B49">
              <w:rPr>
                <w:rFonts w:ascii="Times New Roman" w:hAnsi="Times New Roman" w:cs="Times New Roman"/>
                <w:sz w:val="22"/>
                <w:szCs w:val="22"/>
                <w:lang w:val="sr-Latn-ME"/>
              </w:rPr>
              <w:t xml:space="preserve"> </w:t>
            </w:r>
            <w:r w:rsidR="005E2894" w:rsidRPr="00AD3B49">
              <w:rPr>
                <w:rFonts w:ascii="Times New Roman" w:hAnsi="Times New Roman" w:cs="Times New Roman"/>
                <w:sz w:val="22"/>
                <w:szCs w:val="22"/>
                <w:lang w:val="sr-Latn-ME"/>
              </w:rPr>
              <w:t xml:space="preserve">(uključujući ciste i polipe)* </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1F7423" w:rsidRPr="00AD3B49" w:rsidRDefault="001F7423" w:rsidP="00F654EA">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rijetko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nepoznato</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karcinom kože, isključujući melanom (uključujući bazocelularni karcin</w:t>
            </w:r>
            <w:r w:rsidR="00F654EA" w:rsidRPr="00AD3B49">
              <w:rPr>
                <w:rFonts w:ascii="Times New Roman" w:hAnsi="Times New Roman" w:cs="Times New Roman"/>
                <w:sz w:val="22"/>
                <w:szCs w:val="22"/>
                <w:lang w:val="sr-Latn-ME"/>
              </w:rPr>
              <w:t>om i karcinom skvamoznih ćelija</w:t>
            </w:r>
            <w:r w:rsidRPr="00AD3B49">
              <w:rPr>
                <w:rFonts w:ascii="Times New Roman" w:hAnsi="Times New Roman" w:cs="Times New Roman"/>
                <w:sz w:val="22"/>
                <w:szCs w:val="22"/>
                <w:lang w:val="sr-Latn-ME"/>
              </w:rPr>
              <w:t xml:space="preserve">),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benigne neoplazme </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limfom**, </w:t>
            </w:r>
          </w:p>
          <w:p w:rsidR="005E2894" w:rsidRPr="00AD3B49" w:rsidRDefault="001573B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tumori </w:t>
            </w:r>
            <w:r w:rsidR="005E2894" w:rsidRPr="00AD3B49">
              <w:rPr>
                <w:rFonts w:ascii="Times New Roman" w:hAnsi="Times New Roman" w:cs="Times New Roman"/>
                <w:sz w:val="22"/>
                <w:szCs w:val="22"/>
                <w:lang w:val="sr-Latn-ME"/>
              </w:rPr>
              <w:t>solidnih organa (uk</w:t>
            </w:r>
            <w:r w:rsidRPr="00AD3B49">
              <w:rPr>
                <w:rFonts w:ascii="Times New Roman" w:hAnsi="Times New Roman" w:cs="Times New Roman"/>
                <w:sz w:val="22"/>
                <w:szCs w:val="22"/>
                <w:lang w:val="sr-Latn-ME"/>
              </w:rPr>
              <w:t xml:space="preserve">ljučujući </w:t>
            </w:r>
            <w:r w:rsidR="00422FBF" w:rsidRPr="00AD3B49">
              <w:rPr>
                <w:rFonts w:ascii="Times New Roman" w:hAnsi="Times New Roman" w:cs="Times New Roman"/>
                <w:sz w:val="22"/>
                <w:szCs w:val="22"/>
                <w:lang w:val="sr-Latn-ME"/>
              </w:rPr>
              <w:t xml:space="preserve">karcinom </w:t>
            </w:r>
            <w:r w:rsidRPr="00AD3B49">
              <w:rPr>
                <w:rFonts w:ascii="Times New Roman" w:hAnsi="Times New Roman" w:cs="Times New Roman"/>
                <w:sz w:val="22"/>
                <w:szCs w:val="22"/>
                <w:lang w:val="sr-Latn-ME"/>
              </w:rPr>
              <w:t>dojke, tumori</w:t>
            </w:r>
            <w:r w:rsidR="005E2894" w:rsidRPr="00AD3B49">
              <w:rPr>
                <w:rFonts w:ascii="Times New Roman" w:hAnsi="Times New Roman" w:cs="Times New Roman"/>
                <w:sz w:val="22"/>
                <w:szCs w:val="22"/>
                <w:lang w:val="sr-Latn-ME"/>
              </w:rPr>
              <w:t xml:space="preserve"> pluća i štitnjače),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melanom**</w:t>
            </w:r>
          </w:p>
          <w:p w:rsidR="005E2894" w:rsidRPr="00AD3B49" w:rsidRDefault="005E2894" w:rsidP="00F654EA">
            <w:pPr>
              <w:pStyle w:val="Default"/>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leukemija</w:t>
            </w:r>
            <w:r w:rsidRPr="00AD3B49">
              <w:rPr>
                <w:rFonts w:ascii="Times New Roman" w:hAnsi="Times New Roman" w:cs="Times New Roman"/>
                <w:sz w:val="22"/>
                <w:szCs w:val="22"/>
                <w:vertAlign w:val="superscript"/>
                <w:lang w:val="sr-Latn-ME"/>
              </w:rPr>
              <w:t>1)</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vertAlign w:val="superscript"/>
                <w:lang w:val="sr-Latn-ME"/>
              </w:rPr>
            </w:pPr>
            <w:r w:rsidRPr="00AD3B49">
              <w:rPr>
                <w:rFonts w:ascii="Times New Roman" w:hAnsi="Times New Roman" w:cs="Times New Roman"/>
                <w:sz w:val="22"/>
                <w:szCs w:val="22"/>
                <w:lang w:val="sr-Latn-ME"/>
              </w:rPr>
              <w:t>hepatosplenični T-ćelijski limfom</w:t>
            </w:r>
            <w:r w:rsidRPr="00AD3B49">
              <w:rPr>
                <w:rFonts w:ascii="Times New Roman" w:hAnsi="Times New Roman" w:cs="Times New Roman"/>
                <w:sz w:val="22"/>
                <w:szCs w:val="22"/>
                <w:vertAlign w:val="superscript"/>
                <w:lang w:val="sr-Latn-ME"/>
              </w:rPr>
              <w:t>1)</w:t>
            </w:r>
          </w:p>
          <w:p w:rsidR="005E2894" w:rsidRPr="00AD3B49" w:rsidRDefault="005E2894" w:rsidP="005D003D">
            <w:pPr>
              <w:rPr>
                <w:sz w:val="22"/>
                <w:szCs w:val="22"/>
                <w:lang w:val="sr-Latn-ME"/>
              </w:rPr>
            </w:pPr>
            <w:r w:rsidRPr="00AD3B49">
              <w:rPr>
                <w:sz w:val="22"/>
                <w:szCs w:val="22"/>
                <w:lang w:val="sr-Latn-ME"/>
              </w:rPr>
              <w:t xml:space="preserve"> karcinom Merkelovih ćelija ( neuroendokrini   </w:t>
            </w:r>
          </w:p>
          <w:p w:rsidR="005E2894" w:rsidRPr="00AD3B49" w:rsidRDefault="005E2894" w:rsidP="005D003D">
            <w:pPr>
              <w:rPr>
                <w:sz w:val="22"/>
                <w:szCs w:val="22"/>
                <w:lang w:val="sr-Latn-ME"/>
              </w:rPr>
            </w:pPr>
            <w:r w:rsidRPr="00AD3B49">
              <w:rPr>
                <w:sz w:val="22"/>
                <w:szCs w:val="22"/>
                <w:lang w:val="sr-Latn-ME"/>
              </w:rPr>
              <w:t xml:space="preserve"> karcinom kože)</w:t>
            </w:r>
            <w:r w:rsidRPr="00AD3B49">
              <w:rPr>
                <w:sz w:val="22"/>
                <w:szCs w:val="22"/>
                <w:vertAlign w:val="superscript"/>
                <w:lang w:val="sr-Latn-ME"/>
              </w:rPr>
              <w:t xml:space="preserve"> 1)</w:t>
            </w:r>
          </w:p>
        </w:tc>
      </w:tr>
      <w:tr w:rsidR="005E2894" w:rsidRPr="00AD3B49" w:rsidTr="00BF1A48">
        <w:trPr>
          <w:trHeight w:val="343"/>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right="-2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Poremećaj krvi i limfnog sistema* </w:t>
            </w:r>
          </w:p>
        </w:tc>
        <w:tc>
          <w:tcPr>
            <w:tcW w:w="1403" w:type="dxa"/>
            <w:tcBorders>
              <w:top w:val="single" w:sz="8" w:space="0" w:color="000000"/>
              <w:left w:val="single" w:sz="8" w:space="0" w:color="000000"/>
              <w:bottom w:val="single" w:sz="8" w:space="0" w:color="000000"/>
              <w:right w:val="single" w:sz="8" w:space="0" w:color="000000"/>
            </w:tcBorders>
          </w:tcPr>
          <w:p w:rsidR="001F7423" w:rsidRPr="00AD3B49" w:rsidRDefault="00422FBF" w:rsidP="001F7423">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vrlo 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1573B4">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BF1A48">
            <w:pPr>
              <w:pStyle w:val="Default"/>
              <w:jc w:val="both"/>
              <w:rPr>
                <w:rFonts w:ascii="Times New Roman" w:hAnsi="Times New Roman" w:cs="Times New Roman"/>
                <w:sz w:val="22"/>
                <w:szCs w:val="22"/>
                <w:lang w:val="sr-Latn-ME"/>
              </w:rPr>
            </w:pPr>
          </w:p>
          <w:p w:rsidR="001573B4" w:rsidRPr="00AD3B49" w:rsidRDefault="001573B4" w:rsidP="001F7423">
            <w:pPr>
              <w:pStyle w:val="Default"/>
              <w:ind w:left="567" w:hanging="567"/>
              <w:jc w:val="both"/>
              <w:rPr>
                <w:rFonts w:ascii="Times New Roman" w:hAnsi="Times New Roman" w:cs="Times New Roman"/>
                <w:sz w:val="22"/>
                <w:szCs w:val="22"/>
                <w:lang w:val="sr-Latn-ME"/>
              </w:rPr>
            </w:pPr>
          </w:p>
          <w:p w:rsidR="001F7423" w:rsidRPr="00AD3B49" w:rsidRDefault="001F7423" w:rsidP="001F7423">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rijetko</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lastRenderedPageBreak/>
              <w:t xml:space="preserve">leukopenija (uključujući neutropeniju i agranulocitozu), </w:t>
            </w: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anemija</w:t>
            </w: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leukocitoza,</w:t>
            </w: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lastRenderedPageBreak/>
              <w:t xml:space="preserve">trombocitopenija </w:t>
            </w:r>
          </w:p>
          <w:p w:rsidR="00136E8F" w:rsidRPr="00AD3B49" w:rsidRDefault="00136E8F" w:rsidP="00BF1A48">
            <w:pPr>
              <w:pStyle w:val="Default"/>
              <w:tabs>
                <w:tab w:val="num" w:pos="-102"/>
              </w:tabs>
              <w:jc w:val="both"/>
              <w:rPr>
                <w:rFonts w:ascii="Times New Roman" w:hAnsi="Times New Roman" w:cs="Times New Roman"/>
                <w:sz w:val="22"/>
                <w:szCs w:val="22"/>
                <w:lang w:val="sr-Latn-ME"/>
              </w:rPr>
            </w:pP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idiopatska trombocitopenična purpura </w:t>
            </w: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p>
          <w:p w:rsidR="005E2894" w:rsidRPr="00AD3B49" w:rsidRDefault="005E2894" w:rsidP="005D003D">
            <w:pPr>
              <w:pStyle w:val="Default"/>
              <w:tabs>
                <w:tab w:val="num" w:pos="-102"/>
              </w:tabs>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pancitopenija</w:t>
            </w:r>
          </w:p>
        </w:tc>
      </w:tr>
      <w:tr w:rsidR="005E2894" w:rsidRPr="00AD3B49" w:rsidTr="005D003D">
        <w:trPr>
          <w:trHeight w:val="546"/>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lastRenderedPageBreak/>
              <w:t xml:space="preserve">Poremećaji imunološkog sistema* </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1F7423" w:rsidRPr="00AD3B49" w:rsidRDefault="001F7423" w:rsidP="001F7423">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rijetko</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preosjetljivost,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alergije (uključujući sezonske alergije)</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sarkoidoza</w:t>
            </w:r>
            <w:r w:rsidRPr="00AD3B49">
              <w:rPr>
                <w:rFonts w:ascii="Times New Roman" w:hAnsi="Times New Roman" w:cs="Times New Roman"/>
                <w:sz w:val="22"/>
                <w:szCs w:val="22"/>
                <w:vertAlign w:val="superscript"/>
                <w:lang w:val="sr-Latn-ME"/>
              </w:rPr>
              <w:t>1)</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anafilaksa</w:t>
            </w:r>
            <w:r w:rsidRPr="00AD3B49">
              <w:rPr>
                <w:rFonts w:ascii="Times New Roman" w:hAnsi="Times New Roman" w:cs="Times New Roman"/>
                <w:sz w:val="22"/>
                <w:szCs w:val="22"/>
                <w:vertAlign w:val="superscript"/>
                <w:lang w:val="sr-Latn-ME"/>
              </w:rPr>
              <w:t>1)</w:t>
            </w:r>
          </w:p>
        </w:tc>
      </w:tr>
      <w:tr w:rsidR="005E2894" w:rsidRPr="00AD3B49" w:rsidTr="005D003D">
        <w:trPr>
          <w:trHeight w:val="340"/>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Poremećaji metabolizma i prehrane </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vrlo 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5D003D">
            <w:pPr>
              <w:pStyle w:val="Default"/>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jc w:val="both"/>
              <w:rPr>
                <w:rFonts w:ascii="Times New Roman" w:hAnsi="Times New Roman" w:cs="Times New Roman"/>
                <w:sz w:val="22"/>
                <w:szCs w:val="22"/>
                <w:lang w:val="sr-Latn-ME"/>
              </w:rPr>
            </w:pPr>
          </w:p>
          <w:p w:rsidR="005E2894" w:rsidRPr="00AD3B49" w:rsidRDefault="005E2894" w:rsidP="005D003D">
            <w:pPr>
              <w:pStyle w:val="Default"/>
              <w:jc w:val="both"/>
              <w:rPr>
                <w:rFonts w:ascii="Times New Roman" w:hAnsi="Times New Roman" w:cs="Times New Roman"/>
                <w:sz w:val="22"/>
                <w:szCs w:val="22"/>
                <w:lang w:val="sr-Latn-ME"/>
              </w:rPr>
            </w:pP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422FBF"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povišeni </w:t>
            </w:r>
            <w:r w:rsidR="005E2894" w:rsidRPr="00AD3B49">
              <w:rPr>
                <w:rFonts w:ascii="Times New Roman" w:hAnsi="Times New Roman" w:cs="Times New Roman"/>
                <w:sz w:val="22"/>
                <w:szCs w:val="22"/>
                <w:lang w:val="sr-Latn-ME"/>
              </w:rPr>
              <w:t>nivo lipida</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hipokalemija,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povišena mokraćna kiselina,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abnormalne vrijednosti natrij</w:t>
            </w:r>
            <w:r w:rsidR="00422FBF" w:rsidRPr="00AD3B49">
              <w:rPr>
                <w:rFonts w:ascii="Times New Roman" w:hAnsi="Times New Roman" w:cs="Times New Roman"/>
                <w:sz w:val="22"/>
                <w:szCs w:val="22"/>
                <w:lang w:val="sr-Latn-ME"/>
              </w:rPr>
              <w:t>uma</w:t>
            </w:r>
            <w:r w:rsidRPr="00AD3B49">
              <w:rPr>
                <w:rFonts w:ascii="Times New Roman" w:hAnsi="Times New Roman" w:cs="Times New Roman"/>
                <w:sz w:val="22"/>
                <w:szCs w:val="22"/>
                <w:lang w:val="sr-Latn-ME"/>
              </w:rPr>
              <w:t xml:space="preserve"> u krvi,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hipokalcemija,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hiperglikemija,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hipofosfatemija,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dehidracija</w:t>
            </w:r>
          </w:p>
        </w:tc>
      </w:tr>
      <w:tr w:rsidR="005E2894" w:rsidRPr="00AD3B49" w:rsidTr="005D003D">
        <w:trPr>
          <w:trHeight w:val="701"/>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Psihijatrijski poremećaji </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promjene raspoloženja (uključujući depresiju), </w:t>
            </w:r>
          </w:p>
          <w:p w:rsidR="005E2894" w:rsidRPr="00AD3B49" w:rsidRDefault="001573B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anksioznost</w:t>
            </w:r>
          </w:p>
          <w:p w:rsidR="005E2894" w:rsidRPr="00AD3B49" w:rsidRDefault="005E2894" w:rsidP="00242AE8">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nesanica</w:t>
            </w:r>
          </w:p>
        </w:tc>
      </w:tr>
      <w:tr w:rsidR="005E2894" w:rsidRPr="00AD3B49" w:rsidTr="005D003D">
        <w:trPr>
          <w:trHeight w:val="556"/>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Poremećaji nervnog sistema*</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vrlo 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1F7423" w:rsidRPr="00AD3B49" w:rsidRDefault="001F7423" w:rsidP="001F7423">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rijetko</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glavobolja</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parestezija (uključujući hipoesteziju),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migrena,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išijas</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cerebrovaskularni događaj</w:t>
            </w:r>
            <w:r w:rsidRPr="00AD3B49">
              <w:rPr>
                <w:rFonts w:ascii="Times New Roman" w:hAnsi="Times New Roman" w:cs="Times New Roman"/>
                <w:sz w:val="22"/>
                <w:szCs w:val="22"/>
                <w:vertAlign w:val="superscript"/>
                <w:lang w:val="sr-Latn-ME"/>
              </w:rPr>
              <w:t>1)</w:t>
            </w:r>
            <w:r w:rsidRPr="00AD3B49">
              <w:rPr>
                <w:rFonts w:ascii="Times New Roman" w:hAnsi="Times New Roman" w:cs="Times New Roman"/>
                <w:sz w:val="22"/>
                <w:szCs w:val="22"/>
                <w:lang w:val="sr-Latn-ME"/>
              </w:rPr>
              <w:t>,</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tremor,</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neuropatija </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multipla skleroza,</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demijelinizirajući poremećaji (npr. optički neuritis, Guillan-Barréov sindrom)</w:t>
            </w:r>
            <w:r w:rsidRPr="00AD3B49">
              <w:rPr>
                <w:rFonts w:ascii="Times New Roman" w:hAnsi="Times New Roman" w:cs="Times New Roman"/>
                <w:sz w:val="22"/>
                <w:szCs w:val="22"/>
                <w:vertAlign w:val="superscript"/>
                <w:lang w:val="sr-Latn-ME"/>
              </w:rPr>
              <w:t xml:space="preserve"> 1)</w:t>
            </w:r>
          </w:p>
        </w:tc>
      </w:tr>
      <w:tr w:rsidR="005E2894" w:rsidRPr="00AD3B49" w:rsidTr="005D003D">
        <w:trPr>
          <w:trHeight w:val="1009"/>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Poremećaji oka</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BF1A48">
            <w:pPr>
              <w:pStyle w:val="Default"/>
              <w:jc w:val="both"/>
              <w:rPr>
                <w:rFonts w:ascii="Times New Roman" w:hAnsi="Times New Roman" w:cs="Times New Roman"/>
                <w:sz w:val="22"/>
                <w:szCs w:val="22"/>
                <w:lang w:val="sr-Latn-ME"/>
              </w:rPr>
            </w:pPr>
          </w:p>
          <w:p w:rsidR="005E2894" w:rsidRPr="00AD3B49" w:rsidRDefault="001F7423" w:rsidP="001F7423">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smetnje vida,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konjuktivitis</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blefaritis,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oticanje očiju, </w:t>
            </w:r>
          </w:p>
          <w:p w:rsidR="005E2894" w:rsidRPr="00AD3B49" w:rsidRDefault="005E2894" w:rsidP="00BF1A48">
            <w:pPr>
              <w:pStyle w:val="Default"/>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diplopija</w:t>
            </w:r>
          </w:p>
        </w:tc>
      </w:tr>
      <w:tr w:rsidR="005E2894" w:rsidRPr="00AD3B49" w:rsidTr="005D003D">
        <w:trPr>
          <w:trHeight w:val="1090"/>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Poremećaji uha i </w:t>
            </w: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labirinta </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1F7423" w:rsidRPr="00AD3B49" w:rsidRDefault="001F7423" w:rsidP="001F7423">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p w:rsidR="005E2894" w:rsidRPr="00AD3B49" w:rsidRDefault="005E2894" w:rsidP="005D003D">
            <w:pPr>
              <w:pStyle w:val="Default"/>
              <w:ind w:left="567" w:hanging="567"/>
              <w:jc w:val="both"/>
              <w:rPr>
                <w:rFonts w:ascii="Times New Roman" w:hAnsi="Times New Roman" w:cs="Times New Roman"/>
                <w:sz w:val="22"/>
                <w:szCs w:val="22"/>
                <w:lang w:val="sr-Latn-ME"/>
              </w:rPr>
            </w:pP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vertigo</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gluhoća,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tinitus</w:t>
            </w:r>
          </w:p>
        </w:tc>
      </w:tr>
      <w:tr w:rsidR="005E2894" w:rsidRPr="00AD3B49" w:rsidTr="005D003D">
        <w:trPr>
          <w:trHeight w:val="1605"/>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lastRenderedPageBreak/>
              <w:t xml:space="preserve">Srčani poremećaji* </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1F7423" w:rsidRPr="00AD3B49" w:rsidRDefault="001F7423" w:rsidP="001F7423">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rijetko</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tahikardija</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infarkt miokarda</w:t>
            </w:r>
            <w:r w:rsidRPr="00AD3B49">
              <w:rPr>
                <w:rFonts w:ascii="Times New Roman" w:hAnsi="Times New Roman" w:cs="Times New Roman"/>
                <w:sz w:val="22"/>
                <w:szCs w:val="22"/>
                <w:vertAlign w:val="superscript"/>
                <w:lang w:val="sr-Latn-ME"/>
              </w:rPr>
              <w:t>1)</w:t>
            </w:r>
            <w:r w:rsidRPr="00AD3B49">
              <w:rPr>
                <w:rFonts w:ascii="Times New Roman" w:hAnsi="Times New Roman" w:cs="Times New Roman"/>
                <w:sz w:val="22"/>
                <w:szCs w:val="22"/>
                <w:lang w:val="sr-Latn-ME"/>
              </w:rPr>
              <w:t>,</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aritmija, </w:t>
            </w:r>
          </w:p>
          <w:p w:rsidR="005E2894" w:rsidRPr="00AD3B49" w:rsidRDefault="001573B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kongestivna srčana insuficijencija</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zastoj srca</w:t>
            </w:r>
          </w:p>
        </w:tc>
      </w:tr>
      <w:tr w:rsidR="005E2894" w:rsidRPr="00AD3B49" w:rsidTr="005D003D">
        <w:trPr>
          <w:trHeight w:val="546"/>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Kardiovaskularni</w:t>
            </w: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poremećaji </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1F7423" w:rsidRPr="00AD3B49" w:rsidRDefault="001F7423" w:rsidP="001F7423">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p w:rsidR="005E2894" w:rsidRPr="00AD3B49" w:rsidRDefault="005E2894" w:rsidP="005D003D">
            <w:pPr>
              <w:pStyle w:val="Default"/>
              <w:ind w:left="567" w:hanging="567"/>
              <w:jc w:val="both"/>
              <w:rPr>
                <w:rFonts w:ascii="Times New Roman" w:hAnsi="Times New Roman" w:cs="Times New Roman"/>
                <w:sz w:val="22"/>
                <w:szCs w:val="22"/>
                <w:lang w:val="sr-Latn-ME"/>
              </w:rPr>
            </w:pP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hipertenzija,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crvenilo </w:t>
            </w:r>
            <w:r w:rsidR="001573B4" w:rsidRPr="00AD3B49">
              <w:rPr>
                <w:rFonts w:ascii="Times New Roman" w:hAnsi="Times New Roman" w:cs="Times New Roman"/>
                <w:sz w:val="22"/>
                <w:szCs w:val="22"/>
                <w:lang w:val="sr-Latn-ME"/>
              </w:rPr>
              <w:t>lica</w:t>
            </w:r>
            <w:r w:rsidRPr="00AD3B49">
              <w:rPr>
                <w:rFonts w:ascii="Times New Roman" w:hAnsi="Times New Roman" w:cs="Times New Roman"/>
                <w:sz w:val="22"/>
                <w:szCs w:val="22"/>
                <w:lang w:val="sr-Latn-ME"/>
              </w:rPr>
              <w:t xml:space="preserve"> </w:t>
            </w:r>
          </w:p>
          <w:p w:rsidR="005E2894" w:rsidRPr="00AD3B49" w:rsidRDefault="005E2894" w:rsidP="00BF1A48">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hematomi </w:t>
            </w:r>
          </w:p>
          <w:p w:rsidR="00BF1A48" w:rsidRPr="00AD3B49" w:rsidRDefault="00BF1A48" w:rsidP="00BF1A48">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aneurizma aorte, </w:t>
            </w:r>
          </w:p>
          <w:p w:rsidR="005E2894" w:rsidRPr="00AD3B49" w:rsidRDefault="001573B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vaskularna okluzija</w:t>
            </w:r>
            <w:r w:rsidR="005E2894" w:rsidRPr="00AD3B49">
              <w:rPr>
                <w:rFonts w:ascii="Times New Roman" w:hAnsi="Times New Roman" w:cs="Times New Roman"/>
                <w:sz w:val="22"/>
                <w:szCs w:val="22"/>
                <w:lang w:val="sr-Latn-ME"/>
              </w:rPr>
              <w:t xml:space="preserve">, </w:t>
            </w:r>
          </w:p>
          <w:p w:rsidR="005E2894" w:rsidRPr="00AD3B49" w:rsidRDefault="005E2894" w:rsidP="001F7423">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tromboflebitis, </w:t>
            </w:r>
          </w:p>
        </w:tc>
      </w:tr>
      <w:tr w:rsidR="005E2894" w:rsidRPr="00AD3B49" w:rsidTr="005D003D">
        <w:trPr>
          <w:trHeight w:val="547"/>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136E8F" w:rsidP="00C477C3">
            <w:pPr>
              <w:pStyle w:val="Default"/>
              <w:ind w:right="-2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Poremećaji </w:t>
            </w:r>
            <w:r w:rsidR="000B15A4" w:rsidRPr="00AD3B49">
              <w:rPr>
                <w:rFonts w:ascii="Times New Roman" w:hAnsi="Times New Roman" w:cs="Times New Roman"/>
                <w:sz w:val="22"/>
                <w:szCs w:val="22"/>
                <w:lang w:val="sr-Latn-ME"/>
              </w:rPr>
              <w:t>respiratornog, torakalnog trakta</w:t>
            </w:r>
            <w:r w:rsidR="005E2894" w:rsidRPr="00AD3B49">
              <w:rPr>
                <w:rFonts w:ascii="Times New Roman" w:hAnsi="Times New Roman" w:cs="Times New Roman"/>
                <w:sz w:val="22"/>
                <w:szCs w:val="22"/>
                <w:lang w:val="sr-Latn-ME"/>
              </w:rPr>
              <w:t xml:space="preserve"> i medijastinuma*</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 </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1F7423" w:rsidRPr="00AD3B49" w:rsidRDefault="001F7423" w:rsidP="001F7423">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rijetko</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astma,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dispnea,</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kašalj</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plućna embolija</w:t>
            </w:r>
            <w:r w:rsidRPr="00AD3B49">
              <w:rPr>
                <w:rFonts w:ascii="Times New Roman" w:hAnsi="Times New Roman" w:cs="Times New Roman"/>
                <w:sz w:val="22"/>
                <w:szCs w:val="22"/>
                <w:vertAlign w:val="superscript"/>
                <w:lang w:val="sr-Latn-ME"/>
              </w:rPr>
              <w:t>1)</w:t>
            </w:r>
            <w:r w:rsidRPr="00AD3B49">
              <w:rPr>
                <w:rFonts w:ascii="Times New Roman" w:hAnsi="Times New Roman" w:cs="Times New Roman"/>
                <w:sz w:val="22"/>
                <w:szCs w:val="22"/>
                <w:lang w:val="sr-Latn-ME"/>
              </w:rPr>
              <w:t xml:space="preserve">, </w:t>
            </w:r>
          </w:p>
          <w:p w:rsidR="005E2894" w:rsidRPr="00AD3B49" w:rsidRDefault="001573B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intersticijana bolest pluća,</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hronična opstruktivna plućna bolest,</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pneumonitis</w:t>
            </w:r>
          </w:p>
          <w:p w:rsidR="005E2894" w:rsidRPr="00AD3B49" w:rsidRDefault="005E2894" w:rsidP="005D003D">
            <w:pPr>
              <w:pStyle w:val="Default"/>
              <w:ind w:left="40"/>
              <w:jc w:val="both"/>
              <w:rPr>
                <w:rFonts w:ascii="Times New Roman" w:hAnsi="Times New Roman" w:cs="Times New Roman"/>
                <w:sz w:val="22"/>
                <w:szCs w:val="22"/>
                <w:vertAlign w:val="superscript"/>
                <w:lang w:val="sr-Latn-ME"/>
              </w:rPr>
            </w:pPr>
            <w:r w:rsidRPr="00AD3B49">
              <w:rPr>
                <w:rFonts w:ascii="Times New Roman" w:hAnsi="Times New Roman" w:cs="Times New Roman"/>
                <w:sz w:val="22"/>
                <w:szCs w:val="22"/>
                <w:lang w:val="sr-Latn-ME"/>
              </w:rPr>
              <w:t>pleuraln</w:t>
            </w:r>
            <w:r w:rsidR="001573B4" w:rsidRPr="00AD3B49">
              <w:rPr>
                <w:rFonts w:ascii="Times New Roman" w:hAnsi="Times New Roman" w:cs="Times New Roman"/>
                <w:sz w:val="22"/>
                <w:szCs w:val="22"/>
                <w:lang w:val="sr-Latn-ME"/>
              </w:rPr>
              <w:t>i izliv</w:t>
            </w:r>
            <w:r w:rsidRPr="00AD3B49">
              <w:rPr>
                <w:rFonts w:ascii="Times New Roman" w:hAnsi="Times New Roman" w:cs="Times New Roman"/>
                <w:sz w:val="22"/>
                <w:szCs w:val="22"/>
                <w:vertAlign w:val="superscript"/>
                <w:lang w:val="sr-Latn-ME"/>
              </w:rPr>
              <w:t>1)</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plućna fibroza</w:t>
            </w:r>
            <w:r w:rsidRPr="00AD3B49">
              <w:rPr>
                <w:rFonts w:ascii="Times New Roman" w:hAnsi="Times New Roman" w:cs="Times New Roman"/>
                <w:sz w:val="22"/>
                <w:szCs w:val="22"/>
                <w:vertAlign w:val="superscript"/>
                <w:lang w:val="sr-Latn-ME"/>
              </w:rPr>
              <w:t>1)</w:t>
            </w:r>
          </w:p>
        </w:tc>
      </w:tr>
      <w:tr w:rsidR="005E2894" w:rsidRPr="00AD3B49" w:rsidTr="005D003D">
        <w:trPr>
          <w:trHeight w:val="1640"/>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422FBF">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Poremećaji </w:t>
            </w:r>
            <w:r w:rsidR="00422FBF" w:rsidRPr="00AD3B49">
              <w:rPr>
                <w:rFonts w:ascii="Times New Roman" w:hAnsi="Times New Roman" w:cs="Times New Roman"/>
                <w:sz w:val="22"/>
                <w:szCs w:val="22"/>
                <w:lang w:val="sr-Latn-ME"/>
              </w:rPr>
              <w:t xml:space="preserve">gastrointestinalnog </w:t>
            </w:r>
            <w:r w:rsidRPr="00AD3B49">
              <w:rPr>
                <w:rFonts w:ascii="Times New Roman" w:hAnsi="Times New Roman" w:cs="Times New Roman"/>
                <w:sz w:val="22"/>
                <w:szCs w:val="22"/>
                <w:lang w:val="sr-Latn-ME"/>
              </w:rPr>
              <w:t>sistema</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vrlo 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 </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1F7423" w:rsidRPr="00AD3B49" w:rsidRDefault="001F7423" w:rsidP="001F7423">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rijetko</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bolovi u stomaku,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mučnina i povraćanje</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krvarenje probavnog sistema,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dispepsija,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ga</w:t>
            </w:r>
            <w:r w:rsidR="001573B4" w:rsidRPr="00AD3B49">
              <w:rPr>
                <w:rFonts w:ascii="Times New Roman" w:hAnsi="Times New Roman" w:cs="Times New Roman"/>
                <w:sz w:val="22"/>
                <w:szCs w:val="22"/>
                <w:lang w:val="sr-Latn-ME"/>
              </w:rPr>
              <w:t>stroezofagealni refluks</w:t>
            </w:r>
            <w:r w:rsidRPr="00AD3B49">
              <w:rPr>
                <w:rFonts w:ascii="Times New Roman" w:hAnsi="Times New Roman" w:cs="Times New Roman"/>
                <w:sz w:val="22"/>
                <w:szCs w:val="22"/>
                <w:lang w:val="sr-Latn-ME"/>
              </w:rPr>
              <w:t xml:space="preserve">,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sicca sindrom</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pankreatitis,</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disfagija,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edem lica</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intestinalna perforacija</w:t>
            </w:r>
            <w:r w:rsidRPr="00AD3B49">
              <w:rPr>
                <w:rFonts w:ascii="Times New Roman" w:hAnsi="Times New Roman" w:cs="Times New Roman"/>
                <w:sz w:val="22"/>
                <w:szCs w:val="22"/>
                <w:vertAlign w:val="superscript"/>
                <w:lang w:val="sr-Latn-ME"/>
              </w:rPr>
              <w:t>1)</w:t>
            </w:r>
          </w:p>
        </w:tc>
      </w:tr>
      <w:tr w:rsidR="005E2894" w:rsidRPr="00AD3B49" w:rsidTr="005D003D">
        <w:trPr>
          <w:trHeight w:val="546"/>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Poremećaji jetre i žuči*</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vrlo 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1F7423" w:rsidRPr="00AD3B49" w:rsidRDefault="001F7423" w:rsidP="001F7423">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rijetko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jc w:val="both"/>
              <w:rPr>
                <w:rFonts w:ascii="Times New Roman" w:hAnsi="Times New Roman" w:cs="Times New Roman"/>
                <w:sz w:val="22"/>
                <w:szCs w:val="22"/>
                <w:lang w:val="sr-Latn-ME"/>
              </w:rPr>
            </w:pPr>
          </w:p>
          <w:p w:rsidR="005E2894" w:rsidRPr="00AD3B49" w:rsidRDefault="005E2894" w:rsidP="005D003D">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nepoznato</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povišeni jetreni enzimi</w:t>
            </w:r>
          </w:p>
          <w:p w:rsidR="005E2894" w:rsidRPr="00AD3B49" w:rsidRDefault="005E2894" w:rsidP="005D003D">
            <w:pPr>
              <w:pStyle w:val="Default"/>
              <w:ind w:left="40"/>
              <w:jc w:val="both"/>
              <w:rPr>
                <w:rFonts w:ascii="Times New Roman" w:hAnsi="Times New Roman" w:cs="Times New Roman"/>
                <w:color w:val="auto"/>
                <w:sz w:val="22"/>
                <w:szCs w:val="22"/>
                <w:lang w:val="sr-Latn-ME"/>
              </w:rPr>
            </w:pPr>
          </w:p>
          <w:p w:rsidR="005E2894" w:rsidRPr="00AD3B49" w:rsidRDefault="005E2894" w:rsidP="005D003D">
            <w:pPr>
              <w:pStyle w:val="Default"/>
              <w:ind w:left="40"/>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holecistitis i holelitijaza, </w:t>
            </w:r>
          </w:p>
          <w:p w:rsidR="005E2894" w:rsidRPr="00AD3B49" w:rsidRDefault="001573B4" w:rsidP="005D003D">
            <w:pPr>
              <w:pStyle w:val="Default"/>
              <w:ind w:left="40"/>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hepatička</w:t>
            </w:r>
            <w:r w:rsidR="005E2894" w:rsidRPr="00AD3B49">
              <w:rPr>
                <w:rFonts w:ascii="Times New Roman" w:hAnsi="Times New Roman" w:cs="Times New Roman"/>
                <w:color w:val="auto"/>
                <w:sz w:val="22"/>
                <w:szCs w:val="22"/>
                <w:lang w:val="sr-Latn-ME"/>
              </w:rPr>
              <w:t xml:space="preserve"> steatoza,</w:t>
            </w:r>
          </w:p>
          <w:p w:rsidR="005E2894" w:rsidRPr="00AD3B49" w:rsidRDefault="005E2894" w:rsidP="005D003D">
            <w:pPr>
              <w:pStyle w:val="Default"/>
              <w:ind w:left="40"/>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povišen bilirubin</w:t>
            </w:r>
          </w:p>
          <w:p w:rsidR="005E2894" w:rsidRPr="00AD3B49" w:rsidRDefault="005E2894" w:rsidP="005D003D">
            <w:pPr>
              <w:pStyle w:val="Default"/>
              <w:ind w:left="40"/>
              <w:jc w:val="both"/>
              <w:rPr>
                <w:rFonts w:ascii="Times New Roman" w:hAnsi="Times New Roman" w:cs="Times New Roman"/>
                <w:color w:val="auto"/>
                <w:sz w:val="22"/>
                <w:szCs w:val="22"/>
                <w:lang w:val="sr-Latn-ME"/>
              </w:rPr>
            </w:pPr>
          </w:p>
          <w:p w:rsidR="005E2894" w:rsidRPr="00AD3B49" w:rsidRDefault="005E2894" w:rsidP="005D003D">
            <w:pPr>
              <w:pStyle w:val="Default"/>
              <w:ind w:left="40"/>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hepatitis</w:t>
            </w:r>
          </w:p>
          <w:p w:rsidR="005E2894" w:rsidRPr="00AD3B49" w:rsidRDefault="005E2894" w:rsidP="005D003D">
            <w:pPr>
              <w:pStyle w:val="Default"/>
              <w:ind w:left="40"/>
              <w:jc w:val="both"/>
              <w:rPr>
                <w:rFonts w:ascii="Times New Roman" w:hAnsi="Times New Roman" w:cs="Times New Roman"/>
                <w:color w:val="auto"/>
                <w:sz w:val="22"/>
                <w:szCs w:val="22"/>
                <w:vertAlign w:val="superscript"/>
                <w:lang w:val="sr-Latn-ME"/>
              </w:rPr>
            </w:pPr>
            <w:r w:rsidRPr="00AD3B49">
              <w:rPr>
                <w:rFonts w:ascii="Times New Roman" w:hAnsi="Times New Roman" w:cs="Times New Roman"/>
                <w:color w:val="auto"/>
                <w:sz w:val="22"/>
                <w:szCs w:val="22"/>
                <w:lang w:val="sr-Latn-ME"/>
              </w:rPr>
              <w:t>reaktivacija hepatitisa B</w:t>
            </w:r>
            <w:r w:rsidRPr="00AD3B49">
              <w:rPr>
                <w:rFonts w:ascii="Times New Roman" w:hAnsi="Times New Roman" w:cs="Times New Roman"/>
                <w:color w:val="auto"/>
                <w:sz w:val="22"/>
                <w:szCs w:val="22"/>
                <w:vertAlign w:val="superscript"/>
                <w:lang w:val="sr-Latn-ME"/>
              </w:rPr>
              <w:t>1)</w:t>
            </w:r>
          </w:p>
          <w:p w:rsidR="005E2894" w:rsidRPr="00AD3B49" w:rsidRDefault="005E2894" w:rsidP="005D003D">
            <w:pPr>
              <w:pStyle w:val="Default"/>
              <w:ind w:left="40"/>
              <w:jc w:val="both"/>
              <w:rPr>
                <w:rFonts w:ascii="Times New Roman" w:hAnsi="Times New Roman" w:cs="Times New Roman"/>
                <w:color w:val="auto"/>
                <w:sz w:val="22"/>
                <w:szCs w:val="22"/>
                <w:vertAlign w:val="superscript"/>
                <w:lang w:val="sr-Latn-ME"/>
              </w:rPr>
            </w:pPr>
            <w:r w:rsidRPr="00AD3B49">
              <w:rPr>
                <w:rFonts w:ascii="Times New Roman" w:hAnsi="Times New Roman" w:cs="Times New Roman"/>
                <w:color w:val="auto"/>
                <w:sz w:val="22"/>
                <w:szCs w:val="22"/>
                <w:lang w:val="sr-Latn-ME"/>
              </w:rPr>
              <w:t>autoimuni hepatitis</w:t>
            </w:r>
            <w:r w:rsidRPr="00AD3B49">
              <w:rPr>
                <w:rFonts w:ascii="Times New Roman" w:hAnsi="Times New Roman" w:cs="Times New Roman"/>
                <w:color w:val="auto"/>
                <w:sz w:val="22"/>
                <w:szCs w:val="22"/>
                <w:vertAlign w:val="superscript"/>
                <w:lang w:val="sr-Latn-ME"/>
              </w:rPr>
              <w:t xml:space="preserve"> 1)</w:t>
            </w:r>
          </w:p>
          <w:p w:rsidR="005E2894" w:rsidRPr="00AD3B49" w:rsidRDefault="005E2894" w:rsidP="005D003D">
            <w:pPr>
              <w:pStyle w:val="Default"/>
              <w:jc w:val="both"/>
              <w:rPr>
                <w:rFonts w:ascii="Times New Roman" w:hAnsi="Times New Roman" w:cs="Times New Roman"/>
                <w:color w:val="auto"/>
                <w:sz w:val="22"/>
                <w:szCs w:val="22"/>
                <w:lang w:val="sr-Latn-ME"/>
              </w:rPr>
            </w:pPr>
          </w:p>
          <w:p w:rsidR="005E2894" w:rsidRPr="00AD3B49" w:rsidRDefault="00F40F1F" w:rsidP="005D003D">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isuficijencija</w:t>
            </w:r>
            <w:r w:rsidR="005E2894" w:rsidRPr="00AD3B49">
              <w:rPr>
                <w:rFonts w:ascii="Times New Roman" w:hAnsi="Times New Roman" w:cs="Times New Roman"/>
                <w:color w:val="auto"/>
                <w:sz w:val="22"/>
                <w:szCs w:val="22"/>
                <w:lang w:val="sr-Latn-ME"/>
              </w:rPr>
              <w:t xml:space="preserve"> jetre</w:t>
            </w:r>
            <w:r w:rsidR="005E2894" w:rsidRPr="00AD3B49">
              <w:rPr>
                <w:rFonts w:ascii="Times New Roman" w:hAnsi="Times New Roman" w:cs="Times New Roman"/>
                <w:color w:val="auto"/>
                <w:sz w:val="22"/>
                <w:szCs w:val="22"/>
                <w:vertAlign w:val="superscript"/>
                <w:lang w:val="sr-Latn-ME"/>
              </w:rPr>
              <w:t>1)</w:t>
            </w:r>
          </w:p>
        </w:tc>
      </w:tr>
      <w:tr w:rsidR="005E2894" w:rsidRPr="00AD3B49" w:rsidTr="00BF1A48">
        <w:trPr>
          <w:trHeight w:val="253"/>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lastRenderedPageBreak/>
              <w:t xml:space="preserve">Poremećaji kože i potkožnog tkiva </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vrlo 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  </w:t>
            </w: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1F7423" w:rsidRPr="00AD3B49" w:rsidRDefault="001F7423" w:rsidP="00242AE8">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rijetko</w:t>
            </w:r>
          </w:p>
          <w:p w:rsidR="00422FBF" w:rsidRPr="00AD3B49" w:rsidRDefault="00422FBF" w:rsidP="005D003D">
            <w:pPr>
              <w:pStyle w:val="Default"/>
              <w:ind w:left="567" w:hanging="567"/>
              <w:jc w:val="both"/>
              <w:rPr>
                <w:rFonts w:ascii="Times New Roman" w:hAnsi="Times New Roman" w:cs="Times New Roman"/>
                <w:sz w:val="22"/>
                <w:szCs w:val="22"/>
                <w:lang w:val="sr-Latn-ME"/>
              </w:rPr>
            </w:pPr>
          </w:p>
          <w:p w:rsidR="00422FBF" w:rsidRPr="00AD3B49" w:rsidRDefault="00422FBF" w:rsidP="005D003D">
            <w:pPr>
              <w:pStyle w:val="Default"/>
              <w:ind w:left="567" w:hanging="567"/>
              <w:jc w:val="both"/>
              <w:rPr>
                <w:rFonts w:ascii="Times New Roman" w:hAnsi="Times New Roman" w:cs="Times New Roman"/>
                <w:sz w:val="22"/>
                <w:szCs w:val="22"/>
                <w:lang w:val="sr-Latn-ME"/>
              </w:rPr>
            </w:pPr>
          </w:p>
          <w:p w:rsidR="00422FBF" w:rsidRPr="00AD3B49" w:rsidRDefault="00422FBF" w:rsidP="005D003D">
            <w:pPr>
              <w:pStyle w:val="Default"/>
              <w:ind w:left="567" w:hanging="567"/>
              <w:jc w:val="both"/>
              <w:rPr>
                <w:rFonts w:ascii="Times New Roman" w:hAnsi="Times New Roman" w:cs="Times New Roman"/>
                <w:sz w:val="22"/>
                <w:szCs w:val="22"/>
                <w:lang w:val="sr-Latn-ME"/>
              </w:rPr>
            </w:pPr>
          </w:p>
          <w:p w:rsidR="00422FBF" w:rsidRPr="00AD3B49" w:rsidRDefault="00422FBF" w:rsidP="005D003D">
            <w:pPr>
              <w:pStyle w:val="Default"/>
              <w:ind w:left="567" w:hanging="567"/>
              <w:jc w:val="both"/>
              <w:rPr>
                <w:rFonts w:ascii="Times New Roman" w:hAnsi="Times New Roman" w:cs="Times New Roman"/>
                <w:sz w:val="22"/>
                <w:szCs w:val="22"/>
                <w:lang w:val="sr-Latn-ME"/>
              </w:rPr>
            </w:pPr>
          </w:p>
          <w:p w:rsidR="00422FBF" w:rsidRPr="00AD3B49" w:rsidRDefault="00422FBF"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nepoznato </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osip (uključujući eksfolijativni osip)</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pogoršanje ili ponovna pojava psorijaze (uključujući palmoplantarnu pustularnu psorijazu)</w:t>
            </w:r>
            <w:r w:rsidRPr="00AD3B49">
              <w:rPr>
                <w:rFonts w:ascii="Times New Roman" w:hAnsi="Times New Roman" w:cs="Times New Roman"/>
                <w:sz w:val="22"/>
                <w:szCs w:val="22"/>
                <w:vertAlign w:val="superscript"/>
                <w:lang w:val="sr-Latn-ME"/>
              </w:rPr>
              <w:t xml:space="preserve"> 1)</w:t>
            </w:r>
            <w:r w:rsidRPr="00AD3B49">
              <w:rPr>
                <w:rFonts w:ascii="Times New Roman" w:hAnsi="Times New Roman" w:cs="Times New Roman"/>
                <w:sz w:val="22"/>
                <w:szCs w:val="22"/>
                <w:lang w:val="sr-Latn-ME"/>
              </w:rPr>
              <w:t xml:space="preserve">,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urtikarija, </w:t>
            </w:r>
          </w:p>
          <w:p w:rsidR="005E2894" w:rsidRPr="00AD3B49" w:rsidRDefault="001573B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povećano stvaranje modrica</w:t>
            </w:r>
            <w:r w:rsidR="005E2894" w:rsidRPr="00AD3B49">
              <w:rPr>
                <w:rFonts w:ascii="Times New Roman" w:hAnsi="Times New Roman" w:cs="Times New Roman"/>
                <w:sz w:val="22"/>
                <w:szCs w:val="22"/>
                <w:lang w:val="sr-Latn-ME"/>
              </w:rPr>
              <w:t xml:space="preserve"> (uključujući purpuru),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dermatitis (uključujući ekcem), </w:t>
            </w:r>
          </w:p>
          <w:p w:rsidR="005E2894" w:rsidRPr="00AD3B49" w:rsidRDefault="001573B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lomljenje</w:t>
            </w:r>
            <w:r w:rsidR="005E2894" w:rsidRPr="00AD3B49">
              <w:rPr>
                <w:rFonts w:ascii="Times New Roman" w:hAnsi="Times New Roman" w:cs="Times New Roman"/>
                <w:sz w:val="22"/>
                <w:szCs w:val="22"/>
                <w:lang w:val="sr-Latn-ME"/>
              </w:rPr>
              <w:t xml:space="preserve"> noktiju,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pojačano znojenje (hiperhidroza),</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alopecija</w:t>
            </w:r>
            <w:r w:rsidRPr="00AD3B49">
              <w:rPr>
                <w:rFonts w:ascii="Times New Roman" w:hAnsi="Times New Roman" w:cs="Times New Roman"/>
                <w:sz w:val="22"/>
                <w:szCs w:val="22"/>
                <w:vertAlign w:val="superscript"/>
                <w:lang w:val="sr-Latn-ME"/>
              </w:rPr>
              <w:t>1)</w:t>
            </w:r>
            <w:r w:rsidRPr="00AD3B49">
              <w:rPr>
                <w:rFonts w:ascii="Times New Roman" w:hAnsi="Times New Roman" w:cs="Times New Roman"/>
                <w:sz w:val="22"/>
                <w:szCs w:val="22"/>
                <w:lang w:val="sr-Latn-ME"/>
              </w:rPr>
              <w:t>,</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pruritus </w:t>
            </w:r>
          </w:p>
          <w:p w:rsidR="00136E8F" w:rsidRPr="00AD3B49" w:rsidRDefault="00136E8F" w:rsidP="00242AE8">
            <w:pPr>
              <w:pStyle w:val="Default"/>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noćno znojenje,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ožiljci </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multiformni eritem</w:t>
            </w:r>
            <w:r w:rsidRPr="00AD3B49">
              <w:rPr>
                <w:rFonts w:ascii="Times New Roman" w:hAnsi="Times New Roman" w:cs="Times New Roman"/>
                <w:sz w:val="22"/>
                <w:szCs w:val="22"/>
                <w:vertAlign w:val="superscript"/>
                <w:lang w:val="sr-Latn-ME"/>
              </w:rPr>
              <w:t>1)</w:t>
            </w:r>
            <w:r w:rsidRPr="00AD3B49">
              <w:rPr>
                <w:rFonts w:ascii="Times New Roman" w:hAnsi="Times New Roman" w:cs="Times New Roman"/>
                <w:sz w:val="22"/>
                <w:szCs w:val="22"/>
                <w:lang w:val="sr-Latn-ME"/>
              </w:rPr>
              <w:t>,</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Stevens-Johnsonov sindrom</w:t>
            </w:r>
            <w:r w:rsidRPr="00AD3B49">
              <w:rPr>
                <w:rFonts w:ascii="Times New Roman" w:hAnsi="Times New Roman" w:cs="Times New Roman"/>
                <w:sz w:val="22"/>
                <w:szCs w:val="22"/>
                <w:vertAlign w:val="superscript"/>
                <w:lang w:val="sr-Latn-ME"/>
              </w:rPr>
              <w:t>1)</w:t>
            </w:r>
            <w:r w:rsidRPr="00AD3B49">
              <w:rPr>
                <w:rFonts w:ascii="Times New Roman" w:hAnsi="Times New Roman" w:cs="Times New Roman"/>
                <w:sz w:val="22"/>
                <w:szCs w:val="22"/>
                <w:lang w:val="sr-Latn-ME"/>
              </w:rPr>
              <w:t>,</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angioedem</w:t>
            </w:r>
            <w:r w:rsidRPr="00AD3B49">
              <w:rPr>
                <w:rFonts w:ascii="Times New Roman" w:hAnsi="Times New Roman" w:cs="Times New Roman"/>
                <w:sz w:val="22"/>
                <w:szCs w:val="22"/>
                <w:vertAlign w:val="superscript"/>
                <w:lang w:val="sr-Latn-ME"/>
              </w:rPr>
              <w:t>1)</w:t>
            </w:r>
            <w:r w:rsidRPr="00AD3B49">
              <w:rPr>
                <w:rFonts w:ascii="Times New Roman" w:hAnsi="Times New Roman" w:cs="Times New Roman"/>
                <w:sz w:val="22"/>
                <w:szCs w:val="22"/>
                <w:lang w:val="sr-Latn-ME"/>
              </w:rPr>
              <w:t>,</w:t>
            </w:r>
          </w:p>
          <w:p w:rsidR="005E2894" w:rsidRPr="00AD3B49" w:rsidRDefault="001573B4" w:rsidP="005D003D">
            <w:pPr>
              <w:pStyle w:val="Default"/>
              <w:ind w:left="40"/>
              <w:jc w:val="both"/>
              <w:rPr>
                <w:rFonts w:ascii="Times New Roman" w:hAnsi="Times New Roman" w:cs="Times New Roman"/>
                <w:sz w:val="22"/>
                <w:szCs w:val="22"/>
                <w:vertAlign w:val="superscript"/>
                <w:lang w:val="sr-Latn-ME"/>
              </w:rPr>
            </w:pPr>
            <w:r w:rsidRPr="00AD3B49">
              <w:rPr>
                <w:rFonts w:ascii="Times New Roman" w:hAnsi="Times New Roman" w:cs="Times New Roman"/>
                <w:sz w:val="22"/>
                <w:szCs w:val="22"/>
                <w:lang w:val="sr-Latn-ME"/>
              </w:rPr>
              <w:t>kožni</w:t>
            </w:r>
            <w:r w:rsidR="005E2894" w:rsidRPr="00AD3B49">
              <w:rPr>
                <w:rFonts w:ascii="Times New Roman" w:hAnsi="Times New Roman" w:cs="Times New Roman"/>
                <w:sz w:val="22"/>
                <w:szCs w:val="22"/>
                <w:lang w:val="sr-Latn-ME"/>
              </w:rPr>
              <w:t xml:space="preserve"> vaskulitis</w:t>
            </w:r>
            <w:r w:rsidR="005E2894" w:rsidRPr="00AD3B49">
              <w:rPr>
                <w:rFonts w:ascii="Times New Roman" w:hAnsi="Times New Roman" w:cs="Times New Roman"/>
                <w:sz w:val="22"/>
                <w:szCs w:val="22"/>
                <w:vertAlign w:val="superscript"/>
                <w:lang w:val="sr-Latn-ME"/>
              </w:rPr>
              <w:t>1)</w:t>
            </w:r>
          </w:p>
          <w:p w:rsidR="00422FBF" w:rsidRPr="00AD3B49" w:rsidRDefault="00422FBF" w:rsidP="005D003D">
            <w:pPr>
              <w:pStyle w:val="Default"/>
              <w:ind w:left="40"/>
              <w:jc w:val="both"/>
              <w:rPr>
                <w:rFonts w:ascii="Times New Roman" w:hAnsi="Times New Roman" w:cs="Times New Roman"/>
                <w:sz w:val="22"/>
                <w:szCs w:val="22"/>
                <w:vertAlign w:val="superscript"/>
                <w:lang w:val="sr-Latn-ME"/>
              </w:rPr>
            </w:pPr>
          </w:p>
          <w:p w:rsidR="00422FBF" w:rsidRPr="00AD3B49" w:rsidRDefault="00422FBF"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pogoršanje simptoma dermatomiozitisa</w:t>
            </w:r>
            <w:r w:rsidRPr="00AD3B49">
              <w:rPr>
                <w:rFonts w:ascii="Times New Roman" w:hAnsi="Times New Roman" w:cs="Times New Roman"/>
                <w:sz w:val="22"/>
                <w:szCs w:val="22"/>
                <w:vertAlign w:val="superscript"/>
                <w:lang w:val="sr-Latn-ME"/>
              </w:rPr>
              <w:t>1)</w:t>
            </w:r>
          </w:p>
        </w:tc>
      </w:tr>
      <w:tr w:rsidR="005E2894" w:rsidRPr="00AD3B49" w:rsidTr="005D003D">
        <w:trPr>
          <w:trHeight w:val="1051"/>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1573B4">
            <w:pPr>
              <w:pStyle w:val="Default"/>
              <w:rPr>
                <w:rFonts w:ascii="Times New Roman" w:hAnsi="Times New Roman" w:cs="Times New Roman"/>
                <w:sz w:val="22"/>
                <w:szCs w:val="22"/>
                <w:lang w:val="sr-Latn-ME"/>
              </w:rPr>
            </w:pPr>
            <w:r w:rsidRPr="00AD3B49">
              <w:rPr>
                <w:rFonts w:ascii="Times New Roman" w:hAnsi="Times New Roman" w:cs="Times New Roman"/>
                <w:sz w:val="22"/>
                <w:szCs w:val="22"/>
                <w:lang w:val="sr-Latn-ME"/>
              </w:rPr>
              <w:t>Poremećaji mišićno-</w:t>
            </w:r>
            <w:r w:rsidR="001573B4" w:rsidRPr="00AD3B49">
              <w:rPr>
                <w:rFonts w:ascii="Times New Roman" w:hAnsi="Times New Roman" w:cs="Times New Roman"/>
                <w:sz w:val="22"/>
                <w:szCs w:val="22"/>
                <w:lang w:val="sr-Latn-ME"/>
              </w:rPr>
              <w:t>skeletnog</w:t>
            </w:r>
            <w:r w:rsidRPr="00AD3B49">
              <w:rPr>
                <w:rFonts w:ascii="Times New Roman" w:hAnsi="Times New Roman" w:cs="Times New Roman"/>
                <w:sz w:val="22"/>
                <w:szCs w:val="22"/>
                <w:lang w:val="sr-Latn-ME"/>
              </w:rPr>
              <w:t xml:space="preserve"> sistema i vezivnog tkiva </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vrlo 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1F7423" w:rsidRPr="00AD3B49" w:rsidRDefault="001F7423" w:rsidP="001F7423">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rijetko</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1573B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mišićno-skeletna</w:t>
            </w:r>
            <w:r w:rsidR="005E2894" w:rsidRPr="00AD3B49">
              <w:rPr>
                <w:rFonts w:ascii="Times New Roman" w:hAnsi="Times New Roman" w:cs="Times New Roman"/>
                <w:sz w:val="22"/>
                <w:szCs w:val="22"/>
                <w:lang w:val="sr-Latn-ME"/>
              </w:rPr>
              <w:t xml:space="preserve"> bol</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spazmi mišića (uključujući povećanje nivoa kreatinin fosfokinaze)</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rabdomioliza,</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sistemski lupus eritematosus</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sindrom sličan lupusu</w:t>
            </w:r>
            <w:r w:rsidRPr="00AD3B49">
              <w:rPr>
                <w:rFonts w:ascii="Times New Roman" w:hAnsi="Times New Roman" w:cs="Times New Roman"/>
                <w:sz w:val="22"/>
                <w:szCs w:val="22"/>
                <w:vertAlign w:val="superscript"/>
                <w:lang w:val="sr-Latn-ME"/>
              </w:rPr>
              <w:t>1)</w:t>
            </w:r>
          </w:p>
        </w:tc>
      </w:tr>
      <w:tr w:rsidR="005E2894" w:rsidRPr="00AD3B49" w:rsidTr="005D003D">
        <w:trPr>
          <w:trHeight w:val="912"/>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242AE8">
            <w:pPr>
              <w:pStyle w:val="Default"/>
              <w:rPr>
                <w:rFonts w:ascii="Times New Roman" w:hAnsi="Times New Roman" w:cs="Times New Roman"/>
                <w:sz w:val="22"/>
                <w:szCs w:val="22"/>
                <w:lang w:val="sr-Latn-ME"/>
              </w:rPr>
            </w:pPr>
            <w:r w:rsidRPr="00AD3B49">
              <w:rPr>
                <w:rFonts w:ascii="Times New Roman" w:hAnsi="Times New Roman" w:cs="Times New Roman"/>
                <w:sz w:val="22"/>
                <w:szCs w:val="22"/>
                <w:lang w:val="sr-Latn-ME"/>
              </w:rPr>
              <w:t>Poremećaji  bubrega i mokraćnog sistema</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1F7423" w:rsidP="00242AE8">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oštećenje bubrežne funkcije,</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hematurija</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5E2894" w:rsidP="00242AE8">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nokturij</w:t>
            </w:r>
            <w:r w:rsidR="00242AE8" w:rsidRPr="00AD3B49">
              <w:rPr>
                <w:rFonts w:ascii="Times New Roman" w:hAnsi="Times New Roman" w:cs="Times New Roman"/>
                <w:sz w:val="22"/>
                <w:szCs w:val="22"/>
                <w:lang w:val="sr-Latn-ME"/>
              </w:rPr>
              <w:t>a</w:t>
            </w:r>
          </w:p>
        </w:tc>
      </w:tr>
      <w:tr w:rsidR="005E2894" w:rsidRPr="00AD3B49" w:rsidTr="005D003D">
        <w:trPr>
          <w:trHeight w:val="546"/>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242AE8">
            <w:pPr>
              <w:pStyle w:val="Default"/>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Poremećaji reproduktivnog sistema i dojki </w:t>
            </w:r>
          </w:p>
        </w:tc>
        <w:tc>
          <w:tcPr>
            <w:tcW w:w="1403" w:type="dxa"/>
            <w:tcBorders>
              <w:top w:val="single" w:sz="8" w:space="0" w:color="000000"/>
              <w:left w:val="single" w:sz="8" w:space="0" w:color="000000"/>
              <w:bottom w:val="single" w:sz="8" w:space="0" w:color="000000"/>
              <w:right w:val="single" w:sz="8" w:space="0" w:color="000000"/>
            </w:tcBorders>
          </w:tcPr>
          <w:p w:rsidR="001F7423" w:rsidRPr="00AD3B49" w:rsidRDefault="001F7423" w:rsidP="001F7423">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p w:rsidR="005E2894" w:rsidRPr="00AD3B49" w:rsidRDefault="005E2894" w:rsidP="005D003D">
            <w:pPr>
              <w:pStyle w:val="Default"/>
              <w:ind w:left="567" w:hanging="567"/>
              <w:jc w:val="both"/>
              <w:rPr>
                <w:rFonts w:ascii="Times New Roman" w:hAnsi="Times New Roman" w:cs="Times New Roman"/>
                <w:sz w:val="22"/>
                <w:szCs w:val="22"/>
                <w:lang w:val="sr-Latn-ME"/>
              </w:rPr>
            </w:pP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erektilna disfunkcija</w:t>
            </w:r>
          </w:p>
        </w:tc>
      </w:tr>
      <w:tr w:rsidR="005E2894" w:rsidRPr="00AD3B49" w:rsidTr="00AD3B49">
        <w:trPr>
          <w:trHeight w:val="477"/>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5E2894" w:rsidP="00242AE8">
            <w:pPr>
              <w:pStyle w:val="Default"/>
              <w:ind w:right="-20"/>
              <w:rPr>
                <w:rFonts w:ascii="Times New Roman" w:hAnsi="Times New Roman" w:cs="Times New Roman"/>
                <w:sz w:val="22"/>
                <w:szCs w:val="22"/>
                <w:lang w:val="sr-Latn-ME"/>
              </w:rPr>
            </w:pPr>
            <w:r w:rsidRPr="00AD3B49">
              <w:rPr>
                <w:rFonts w:ascii="Times New Roman" w:hAnsi="Times New Roman" w:cs="Times New Roman"/>
                <w:sz w:val="22"/>
                <w:szCs w:val="22"/>
                <w:lang w:val="sr-Latn-ME"/>
              </w:rPr>
              <w:t>Opšti poremećaji i reakcije na mjestu primjene*</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vrlo 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5D003D">
            <w:pPr>
              <w:pStyle w:val="Default"/>
              <w:ind w:left="567" w:hanging="567"/>
              <w:jc w:val="both"/>
              <w:rPr>
                <w:rFonts w:ascii="Times New Roman" w:hAnsi="Times New Roman" w:cs="Times New Roman"/>
                <w:sz w:val="22"/>
                <w:szCs w:val="22"/>
                <w:lang w:val="sr-Latn-ME"/>
              </w:rPr>
            </w:pPr>
          </w:p>
          <w:p w:rsidR="005E2894" w:rsidRPr="00AD3B49" w:rsidRDefault="005E2894" w:rsidP="00242AE8">
            <w:pPr>
              <w:pStyle w:val="Default"/>
              <w:jc w:val="both"/>
              <w:rPr>
                <w:rFonts w:ascii="Times New Roman" w:hAnsi="Times New Roman" w:cs="Times New Roman"/>
                <w:sz w:val="22"/>
                <w:szCs w:val="22"/>
                <w:lang w:val="sr-Latn-ME"/>
              </w:rPr>
            </w:pPr>
          </w:p>
          <w:p w:rsidR="005E2894" w:rsidRPr="00AD3B49" w:rsidRDefault="001F7423" w:rsidP="001F7423">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povremeno</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reakcije na mjestu primjene (uključujući eritem)</w:t>
            </w:r>
          </w:p>
          <w:p w:rsidR="005E2894" w:rsidRPr="00AD3B49" w:rsidRDefault="005E2894" w:rsidP="005D003D">
            <w:pPr>
              <w:pStyle w:val="Default"/>
              <w:ind w:left="40"/>
              <w:jc w:val="both"/>
              <w:rPr>
                <w:rFonts w:ascii="Times New Roman" w:hAnsi="Times New Roman" w:cs="Times New Roman"/>
                <w:sz w:val="22"/>
                <w:szCs w:val="22"/>
                <w:lang w:val="sr-Latn-ME"/>
              </w:rPr>
            </w:pPr>
          </w:p>
          <w:p w:rsidR="005E2894" w:rsidRPr="00AD3B49" w:rsidRDefault="001573B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bol u grudima</w:t>
            </w:r>
            <w:r w:rsidR="005E2894" w:rsidRPr="00AD3B49">
              <w:rPr>
                <w:rFonts w:ascii="Times New Roman" w:hAnsi="Times New Roman" w:cs="Times New Roman"/>
                <w:sz w:val="22"/>
                <w:szCs w:val="22"/>
                <w:lang w:val="sr-Latn-ME"/>
              </w:rPr>
              <w:t>,</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edem</w:t>
            </w:r>
          </w:p>
          <w:p w:rsidR="005E2894" w:rsidRPr="00AD3B49" w:rsidRDefault="005E2894" w:rsidP="005D003D">
            <w:pPr>
              <w:pStyle w:val="Default"/>
              <w:ind w:left="40"/>
              <w:jc w:val="both"/>
              <w:rPr>
                <w:rFonts w:ascii="Times New Roman" w:hAnsi="Times New Roman" w:cs="Times New Roman"/>
                <w:sz w:val="22"/>
                <w:szCs w:val="22"/>
                <w:vertAlign w:val="superscript"/>
                <w:lang w:val="sr-Latn-ME"/>
              </w:rPr>
            </w:pPr>
            <w:r w:rsidRPr="00AD3B49">
              <w:rPr>
                <w:rFonts w:ascii="Times New Roman" w:hAnsi="Times New Roman" w:cs="Times New Roman"/>
                <w:sz w:val="22"/>
                <w:szCs w:val="22"/>
                <w:lang w:val="sr-Latn-ME"/>
              </w:rPr>
              <w:t>povišena tjelesna temperatura</w:t>
            </w:r>
            <w:r w:rsidRPr="00AD3B49">
              <w:rPr>
                <w:rFonts w:ascii="Times New Roman" w:hAnsi="Times New Roman" w:cs="Times New Roman"/>
                <w:sz w:val="22"/>
                <w:szCs w:val="22"/>
                <w:vertAlign w:val="superscript"/>
                <w:lang w:val="sr-Latn-ME"/>
              </w:rPr>
              <w:t>1)</w:t>
            </w:r>
          </w:p>
          <w:p w:rsidR="005E2894" w:rsidRPr="00AD3B49" w:rsidRDefault="005E2894" w:rsidP="00242AE8">
            <w:pPr>
              <w:pStyle w:val="Default"/>
              <w:jc w:val="both"/>
              <w:rPr>
                <w:rFonts w:ascii="Times New Roman" w:hAnsi="Times New Roman" w:cs="Times New Roman"/>
                <w:sz w:val="22"/>
                <w:szCs w:val="22"/>
                <w:lang w:val="sr-Latn-ME"/>
              </w:rPr>
            </w:pPr>
          </w:p>
          <w:p w:rsidR="005E2894" w:rsidRPr="00AD3B49" w:rsidRDefault="001573B4" w:rsidP="001F7423">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inflamacija</w:t>
            </w:r>
          </w:p>
        </w:tc>
      </w:tr>
      <w:tr w:rsidR="005E2894" w:rsidRPr="00AD3B49" w:rsidTr="005D003D">
        <w:trPr>
          <w:trHeight w:val="546"/>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8C42B0" w:rsidP="00242AE8">
            <w:pPr>
              <w:pStyle w:val="Default"/>
              <w:ind w:left="567" w:right="-20" w:hanging="567"/>
              <w:rPr>
                <w:rFonts w:ascii="Times New Roman" w:hAnsi="Times New Roman" w:cs="Times New Roman"/>
                <w:sz w:val="22"/>
                <w:szCs w:val="22"/>
                <w:lang w:val="sr-Latn-ME"/>
              </w:rPr>
            </w:pPr>
            <w:r w:rsidRPr="00AD3B49">
              <w:rPr>
                <w:rFonts w:ascii="Times New Roman" w:hAnsi="Times New Roman" w:cs="Times New Roman"/>
                <w:sz w:val="22"/>
                <w:szCs w:val="22"/>
                <w:lang w:val="sr-Latn-ME"/>
              </w:rPr>
              <w:t>Ispitivanja</w:t>
            </w:r>
            <w:r w:rsidR="005E2894" w:rsidRPr="00AD3B49">
              <w:rPr>
                <w:rFonts w:ascii="Times New Roman" w:hAnsi="Times New Roman" w:cs="Times New Roman"/>
                <w:sz w:val="22"/>
                <w:szCs w:val="22"/>
                <w:lang w:val="sr-Latn-ME"/>
              </w:rPr>
              <w:t>*</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poremećaji koagulacije i krvarenja (uključujući produženje aktiviranog parcijalnog tromboplastinskog vremena), </w:t>
            </w:r>
          </w:p>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pozitivan test autoantitijela (uključujući dvolančana DNK antitijela), </w:t>
            </w:r>
          </w:p>
          <w:p w:rsidR="005E2894" w:rsidRPr="00AD3B49" w:rsidRDefault="005E2894" w:rsidP="00242AE8">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lastRenderedPageBreak/>
              <w:t xml:space="preserve">povišena </w:t>
            </w:r>
            <w:r w:rsidR="000B15A4" w:rsidRPr="00AD3B49">
              <w:rPr>
                <w:rFonts w:ascii="Times New Roman" w:hAnsi="Times New Roman" w:cs="Times New Roman"/>
                <w:sz w:val="22"/>
                <w:szCs w:val="22"/>
                <w:lang w:val="sr-Latn-ME"/>
              </w:rPr>
              <w:t>koncentracija laktat dehidrogenaze</w:t>
            </w:r>
            <w:r w:rsidRPr="00AD3B49">
              <w:rPr>
                <w:rFonts w:ascii="Times New Roman" w:hAnsi="Times New Roman" w:cs="Times New Roman"/>
                <w:sz w:val="22"/>
                <w:szCs w:val="22"/>
                <w:lang w:val="sr-Latn-ME"/>
              </w:rPr>
              <w:t xml:space="preserve"> u krvi</w:t>
            </w:r>
          </w:p>
        </w:tc>
      </w:tr>
      <w:tr w:rsidR="005E2894" w:rsidRPr="00AD3B49" w:rsidTr="005D003D">
        <w:trPr>
          <w:trHeight w:val="546"/>
        </w:trPr>
        <w:tc>
          <w:tcPr>
            <w:tcW w:w="2560" w:type="dxa"/>
            <w:tcBorders>
              <w:top w:val="single" w:sz="8" w:space="0" w:color="000000"/>
              <w:left w:val="single" w:sz="8" w:space="0" w:color="000000"/>
              <w:bottom w:val="single" w:sz="8" w:space="0" w:color="000000"/>
              <w:right w:val="single" w:sz="8" w:space="0" w:color="000000"/>
            </w:tcBorders>
          </w:tcPr>
          <w:p w:rsidR="005E2894" w:rsidRPr="00AD3B49" w:rsidRDefault="00136E8F" w:rsidP="005D003D">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lastRenderedPageBreak/>
              <w:t>Povrede</w:t>
            </w:r>
            <w:r w:rsidR="005E2894" w:rsidRPr="00AD3B49">
              <w:rPr>
                <w:rFonts w:ascii="Times New Roman" w:hAnsi="Times New Roman" w:cs="Times New Roman"/>
                <w:sz w:val="22"/>
                <w:szCs w:val="22"/>
                <w:lang w:val="sr-Latn-ME"/>
              </w:rPr>
              <w:t>, trovanja i proceduralne komplikacije</w:t>
            </w:r>
          </w:p>
        </w:tc>
        <w:tc>
          <w:tcPr>
            <w:tcW w:w="1403"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567" w:hanging="567"/>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često</w:t>
            </w:r>
          </w:p>
        </w:tc>
        <w:tc>
          <w:tcPr>
            <w:tcW w:w="5209" w:type="dxa"/>
            <w:tcBorders>
              <w:top w:val="single" w:sz="8" w:space="0" w:color="000000"/>
              <w:left w:val="single" w:sz="8" w:space="0" w:color="000000"/>
              <w:bottom w:val="single" w:sz="8" w:space="0" w:color="000000"/>
              <w:right w:val="single" w:sz="8" w:space="0" w:color="000000"/>
            </w:tcBorders>
          </w:tcPr>
          <w:p w:rsidR="005E2894" w:rsidRPr="00AD3B49" w:rsidRDefault="005E2894" w:rsidP="005D003D">
            <w:pPr>
              <w:pStyle w:val="Default"/>
              <w:ind w:left="40"/>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otežano </w:t>
            </w:r>
            <w:r w:rsidR="00136E8F" w:rsidRPr="00AD3B49">
              <w:rPr>
                <w:rFonts w:ascii="Times New Roman" w:hAnsi="Times New Roman" w:cs="Times New Roman"/>
                <w:sz w:val="22"/>
                <w:szCs w:val="22"/>
                <w:lang w:val="sr-Latn-ME"/>
              </w:rPr>
              <w:t>zarastanje</w:t>
            </w:r>
          </w:p>
        </w:tc>
      </w:tr>
    </w:tbl>
    <w:p w:rsidR="005E2894" w:rsidRPr="00AD3B49" w:rsidRDefault="005E2894" w:rsidP="005E2894">
      <w:pPr>
        <w:pStyle w:val="Default"/>
        <w:ind w:left="567" w:hanging="567"/>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r w:rsidR="00136E8F" w:rsidRPr="00AD3B49">
        <w:rPr>
          <w:rFonts w:ascii="Times New Roman" w:hAnsi="Times New Roman" w:cs="Times New Roman"/>
          <w:color w:val="auto"/>
          <w:sz w:val="22"/>
          <w:szCs w:val="22"/>
          <w:lang w:val="sr-Latn-ME"/>
        </w:rPr>
        <w:t xml:space="preserve">   </w:t>
      </w:r>
      <w:r w:rsidRPr="00AD3B49">
        <w:rPr>
          <w:rFonts w:ascii="Times New Roman" w:hAnsi="Times New Roman" w:cs="Times New Roman"/>
          <w:color w:val="auto"/>
          <w:sz w:val="22"/>
          <w:szCs w:val="22"/>
          <w:lang w:val="sr-Latn-ME"/>
        </w:rPr>
        <w:t xml:space="preserve">detaljnije informacije se mogu naći u </w:t>
      </w:r>
      <w:r w:rsidR="00136E8F" w:rsidRPr="00AD3B49">
        <w:rPr>
          <w:rFonts w:ascii="Times New Roman" w:hAnsi="Times New Roman" w:cs="Times New Roman"/>
          <w:color w:val="auto"/>
          <w:sz w:val="22"/>
          <w:szCs w:val="22"/>
          <w:lang w:val="sr-Latn-ME"/>
        </w:rPr>
        <w:t>od</w:t>
      </w:r>
      <w:r w:rsidR="004B38A4" w:rsidRPr="00AD3B49">
        <w:rPr>
          <w:rFonts w:ascii="Times New Roman" w:hAnsi="Times New Roman" w:cs="Times New Roman"/>
          <w:color w:val="auto"/>
          <w:sz w:val="22"/>
          <w:szCs w:val="22"/>
          <w:lang w:val="sr-Latn-ME"/>
        </w:rPr>
        <w:t>j</w:t>
      </w:r>
      <w:r w:rsidR="00136E8F" w:rsidRPr="00AD3B49">
        <w:rPr>
          <w:rFonts w:ascii="Times New Roman" w:hAnsi="Times New Roman" w:cs="Times New Roman"/>
          <w:color w:val="auto"/>
          <w:sz w:val="22"/>
          <w:szCs w:val="22"/>
          <w:lang w:val="sr-Latn-ME"/>
        </w:rPr>
        <w:t>eljcima</w:t>
      </w:r>
      <w:r w:rsidRPr="00AD3B49">
        <w:rPr>
          <w:rFonts w:ascii="Times New Roman" w:hAnsi="Times New Roman" w:cs="Times New Roman"/>
          <w:color w:val="auto"/>
          <w:sz w:val="22"/>
          <w:szCs w:val="22"/>
          <w:lang w:val="sr-Latn-ME"/>
        </w:rPr>
        <w:t xml:space="preserve"> 4.3, 4.4 i 4.8</w:t>
      </w:r>
    </w:p>
    <w:p w:rsidR="005E2894" w:rsidRPr="00AD3B49" w:rsidRDefault="005E2894" w:rsidP="005E2894">
      <w:pPr>
        <w:pStyle w:val="Default"/>
        <w:ind w:left="567" w:hanging="567"/>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w:t>
      </w:r>
      <w:r w:rsidR="00136E8F" w:rsidRPr="00AD3B49">
        <w:rPr>
          <w:rFonts w:ascii="Times New Roman" w:hAnsi="Times New Roman" w:cs="Times New Roman"/>
          <w:color w:val="auto"/>
          <w:sz w:val="22"/>
          <w:szCs w:val="22"/>
          <w:lang w:val="sr-Latn-ME"/>
        </w:rPr>
        <w:t xml:space="preserve"> </w:t>
      </w:r>
      <w:r w:rsidRPr="00AD3B49">
        <w:rPr>
          <w:rFonts w:ascii="Times New Roman" w:hAnsi="Times New Roman" w:cs="Times New Roman"/>
          <w:color w:val="auto"/>
          <w:sz w:val="22"/>
          <w:szCs w:val="22"/>
          <w:lang w:val="sr-Latn-ME"/>
        </w:rPr>
        <w:t xml:space="preserve"> uključuje otvorene produžene studije</w:t>
      </w:r>
    </w:p>
    <w:p w:rsidR="005E2894" w:rsidRPr="00AD3B49" w:rsidRDefault="005E2894" w:rsidP="00136E8F">
      <w:pPr>
        <w:pStyle w:val="Default"/>
        <w:numPr>
          <w:ilvl w:val="0"/>
          <w:numId w:val="41"/>
        </w:numPr>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uključujući podatke iz spontanog prijavljivanja</w:t>
      </w:r>
    </w:p>
    <w:p w:rsidR="005E2894" w:rsidRPr="00AD3B49" w:rsidRDefault="005E2894" w:rsidP="005E2894">
      <w:pPr>
        <w:pStyle w:val="Default"/>
        <w:jc w:val="both"/>
        <w:rPr>
          <w:rFonts w:ascii="Times New Roman" w:hAnsi="Times New Roman" w:cs="Times New Roman"/>
          <w:color w:val="auto"/>
          <w:sz w:val="22"/>
          <w:szCs w:val="22"/>
          <w:lang w:val="sr-Latn-ME"/>
        </w:rPr>
      </w:pPr>
    </w:p>
    <w:p w:rsidR="005E2894" w:rsidRPr="00AD3B49" w:rsidRDefault="0049472E" w:rsidP="005E2894">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O</w:t>
      </w:r>
      <w:r w:rsidR="001F7423" w:rsidRPr="00AD3B49">
        <w:rPr>
          <w:rFonts w:ascii="Times New Roman" w:hAnsi="Times New Roman" w:cs="Times New Roman"/>
          <w:color w:val="auto"/>
          <w:sz w:val="22"/>
          <w:szCs w:val="22"/>
          <w:u w:val="single"/>
          <w:lang w:val="sr-Latn-ME"/>
        </w:rPr>
        <w:t>pis odabranih neželjenih dejstava</w:t>
      </w:r>
    </w:p>
    <w:p w:rsidR="005E2894" w:rsidRPr="00AD3B49" w:rsidRDefault="005E2894" w:rsidP="005E2894">
      <w:pPr>
        <w:pStyle w:val="Default"/>
        <w:ind w:left="567" w:hanging="567"/>
        <w:jc w:val="both"/>
        <w:rPr>
          <w:rFonts w:ascii="Times New Roman" w:hAnsi="Times New Roman" w:cs="Times New Roman"/>
          <w:color w:val="auto"/>
          <w:sz w:val="22"/>
          <w:szCs w:val="22"/>
          <w:lang w:val="sr-Latn-ME"/>
        </w:rPr>
      </w:pPr>
    </w:p>
    <w:p w:rsidR="005E2894" w:rsidRPr="00AD3B49" w:rsidRDefault="000B15A4" w:rsidP="005E2894">
      <w:pPr>
        <w:pStyle w:val="Default"/>
        <w:ind w:left="567" w:hanging="567"/>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Reakcije na mjestu primjene injekcije</w:t>
      </w:r>
    </w:p>
    <w:p w:rsidR="005E2894" w:rsidRPr="00AD3B49" w:rsidRDefault="005E2894" w:rsidP="005E2894">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U pivotalnim kontrolisanim kliničkim ispitivanjima kod djece i odraslih, </w:t>
      </w:r>
      <w:r w:rsidR="000B15A4" w:rsidRPr="00AD3B49">
        <w:rPr>
          <w:rFonts w:ascii="Times New Roman" w:hAnsi="Times New Roman" w:cs="Times New Roman"/>
          <w:color w:val="auto"/>
          <w:sz w:val="22"/>
          <w:szCs w:val="22"/>
          <w:lang w:val="sr-Latn-ME"/>
        </w:rPr>
        <w:t>reakcije na mjestu primjene injekcije</w:t>
      </w:r>
      <w:r w:rsidRPr="00AD3B49">
        <w:rPr>
          <w:rFonts w:ascii="Times New Roman" w:hAnsi="Times New Roman" w:cs="Times New Roman"/>
          <w:color w:val="auto"/>
          <w:sz w:val="22"/>
          <w:szCs w:val="22"/>
          <w:lang w:val="sr-Latn-ME"/>
        </w:rPr>
        <w:t xml:space="preserve"> (eritem i/ili </w:t>
      </w:r>
      <w:r w:rsidR="008C42B0" w:rsidRPr="00AD3B49">
        <w:rPr>
          <w:rFonts w:ascii="Times New Roman" w:hAnsi="Times New Roman" w:cs="Times New Roman"/>
          <w:color w:val="auto"/>
          <w:sz w:val="22"/>
          <w:szCs w:val="22"/>
          <w:lang w:val="sr-Latn-ME"/>
        </w:rPr>
        <w:t>svrab</w:t>
      </w:r>
      <w:r w:rsidRPr="00AD3B49">
        <w:rPr>
          <w:rFonts w:ascii="Times New Roman" w:hAnsi="Times New Roman" w:cs="Times New Roman"/>
          <w:color w:val="auto"/>
          <w:sz w:val="22"/>
          <w:szCs w:val="22"/>
          <w:lang w:val="sr-Latn-ME"/>
        </w:rPr>
        <w:t>, krvarenje, bol ili otok)  poj</w:t>
      </w:r>
      <w:r w:rsidR="00B30B4A" w:rsidRPr="00AD3B49">
        <w:rPr>
          <w:rFonts w:ascii="Times New Roman" w:hAnsi="Times New Roman" w:cs="Times New Roman"/>
          <w:color w:val="auto"/>
          <w:sz w:val="22"/>
          <w:szCs w:val="22"/>
          <w:lang w:val="sr-Latn-ME"/>
        </w:rPr>
        <w:t>avile su se kod 13,6 % pacijenata</w:t>
      </w:r>
      <w:r w:rsidRPr="00AD3B49">
        <w:rPr>
          <w:rFonts w:ascii="Times New Roman" w:hAnsi="Times New Roman" w:cs="Times New Roman"/>
          <w:color w:val="auto"/>
          <w:sz w:val="22"/>
          <w:szCs w:val="22"/>
          <w:lang w:val="sr-Latn-ME"/>
        </w:rPr>
        <w:t xml:space="preserve"> liječenih </w:t>
      </w:r>
      <w:r w:rsidR="008C42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8C42B0" w:rsidRPr="00AD3B49">
        <w:rPr>
          <w:rFonts w:ascii="Times New Roman" w:hAnsi="Times New Roman" w:cs="Times New Roman"/>
          <w:color w:val="auto"/>
          <w:sz w:val="22"/>
          <w:szCs w:val="22"/>
          <w:lang w:val="sr-Latn-ME"/>
        </w:rPr>
        <w:t>a</w:t>
      </w:r>
      <w:r w:rsidR="00B30B4A" w:rsidRPr="00AD3B49">
        <w:rPr>
          <w:rFonts w:ascii="Times New Roman" w:hAnsi="Times New Roman" w:cs="Times New Roman"/>
          <w:color w:val="auto"/>
          <w:sz w:val="22"/>
          <w:szCs w:val="22"/>
          <w:lang w:val="sr-Latn-ME"/>
        </w:rPr>
        <w:t xml:space="preserve"> u poređenju sa 7,6% pacijenata koji su dobij</w:t>
      </w:r>
      <w:r w:rsidRPr="00AD3B49">
        <w:rPr>
          <w:rFonts w:ascii="Times New Roman" w:hAnsi="Times New Roman" w:cs="Times New Roman"/>
          <w:color w:val="auto"/>
          <w:sz w:val="22"/>
          <w:szCs w:val="22"/>
          <w:lang w:val="sr-Latn-ME"/>
        </w:rPr>
        <w:t>ali placebo ili aktivni poredbeni lijek. Liječenje obično nije trebalo prekidati zbog</w:t>
      </w:r>
      <w:r w:rsidR="000B15A4" w:rsidRPr="00AD3B49">
        <w:rPr>
          <w:rFonts w:ascii="Times New Roman" w:hAnsi="Times New Roman" w:cs="Times New Roman"/>
          <w:color w:val="auto"/>
          <w:sz w:val="22"/>
          <w:szCs w:val="22"/>
          <w:lang w:val="sr-Latn-ME"/>
        </w:rPr>
        <w:t xml:space="preserve"> reakcija na mjestu primjene injekcije</w:t>
      </w:r>
      <w:r w:rsidRPr="00AD3B49">
        <w:rPr>
          <w:rFonts w:ascii="Times New Roman" w:hAnsi="Times New Roman" w:cs="Times New Roman"/>
          <w:color w:val="auto"/>
          <w:sz w:val="22"/>
          <w:szCs w:val="22"/>
          <w:lang w:val="sr-Latn-ME"/>
        </w:rPr>
        <w:t>.</w:t>
      </w:r>
    </w:p>
    <w:p w:rsidR="005E2894" w:rsidRPr="00AD3B49" w:rsidRDefault="005E2894" w:rsidP="005E2894">
      <w:pPr>
        <w:pStyle w:val="Default"/>
        <w:jc w:val="both"/>
        <w:rPr>
          <w:rFonts w:ascii="Times New Roman" w:hAnsi="Times New Roman" w:cs="Times New Roman"/>
          <w:color w:val="auto"/>
          <w:sz w:val="22"/>
          <w:szCs w:val="22"/>
          <w:lang w:val="sr-Latn-ME"/>
        </w:rPr>
      </w:pPr>
    </w:p>
    <w:p w:rsidR="005E2894" w:rsidRPr="00AD3B49" w:rsidRDefault="005E2894" w:rsidP="005E2894">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Infekcije</w:t>
      </w:r>
    </w:p>
    <w:p w:rsidR="005E2894" w:rsidRPr="00AD3B49" w:rsidRDefault="005E2894" w:rsidP="005E2894">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U pivotalnim kontrolisanim kliničkim ispitivanjima kod odraslih i djece, u</w:t>
      </w:r>
      <w:r w:rsidR="00B30B4A" w:rsidRPr="00AD3B49">
        <w:rPr>
          <w:rFonts w:ascii="Times New Roman" w:hAnsi="Times New Roman" w:cs="Times New Roman"/>
          <w:color w:val="auto"/>
          <w:sz w:val="22"/>
          <w:szCs w:val="22"/>
          <w:lang w:val="sr-Latn-ME"/>
        </w:rPr>
        <w:t>čestalost infekcija po pacijentu</w:t>
      </w:r>
      <w:r w:rsidRPr="00AD3B49">
        <w:rPr>
          <w:rFonts w:ascii="Times New Roman" w:hAnsi="Times New Roman" w:cs="Times New Roman"/>
          <w:color w:val="auto"/>
          <w:sz w:val="22"/>
          <w:szCs w:val="22"/>
          <w:lang w:val="sr-Latn-ME"/>
        </w:rPr>
        <w:t xml:space="preserve"> i godini liječenja bila je 1,</w:t>
      </w:r>
      <w:r w:rsidR="008C42B0" w:rsidRPr="00AD3B49">
        <w:rPr>
          <w:rFonts w:ascii="Times New Roman" w:hAnsi="Times New Roman" w:cs="Times New Roman"/>
          <w:color w:val="auto"/>
          <w:sz w:val="22"/>
          <w:szCs w:val="22"/>
          <w:lang w:val="sr-Latn-ME"/>
        </w:rPr>
        <w:t xml:space="preserve">52 </w:t>
      </w:r>
      <w:r w:rsidR="00B30B4A" w:rsidRPr="00AD3B49">
        <w:rPr>
          <w:rFonts w:ascii="Times New Roman" w:hAnsi="Times New Roman" w:cs="Times New Roman"/>
          <w:color w:val="auto"/>
          <w:sz w:val="22"/>
          <w:szCs w:val="22"/>
          <w:lang w:val="sr-Latn-ME"/>
        </w:rPr>
        <w:t>kod pacijenata</w:t>
      </w:r>
      <w:r w:rsidRPr="00AD3B49">
        <w:rPr>
          <w:rFonts w:ascii="Times New Roman" w:hAnsi="Times New Roman" w:cs="Times New Roman"/>
          <w:color w:val="auto"/>
          <w:sz w:val="22"/>
          <w:szCs w:val="22"/>
          <w:lang w:val="sr-Latn-ME"/>
        </w:rPr>
        <w:t xml:space="preserve"> liječenih </w:t>
      </w:r>
      <w:r w:rsidR="008C42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w:t>
      </w:r>
      <w:r w:rsidR="00B30B4A" w:rsidRPr="00AD3B49">
        <w:rPr>
          <w:rFonts w:ascii="Times New Roman" w:hAnsi="Times New Roman" w:cs="Times New Roman"/>
          <w:color w:val="auto"/>
          <w:sz w:val="22"/>
          <w:szCs w:val="22"/>
          <w:lang w:val="sr-Latn-ME"/>
        </w:rPr>
        <w:t>umir</w:t>
      </w:r>
      <w:r w:rsidR="008C42B0" w:rsidRPr="00AD3B49">
        <w:rPr>
          <w:rFonts w:ascii="Times New Roman" w:hAnsi="Times New Roman" w:cs="Times New Roman"/>
          <w:color w:val="auto"/>
          <w:sz w:val="22"/>
          <w:szCs w:val="22"/>
          <w:lang w:val="sr-Latn-ME"/>
        </w:rPr>
        <w:t>a</w:t>
      </w:r>
      <w:r w:rsidR="00B30B4A" w:rsidRPr="00AD3B49">
        <w:rPr>
          <w:rFonts w:ascii="Times New Roman" w:hAnsi="Times New Roman" w:cs="Times New Roman"/>
          <w:color w:val="auto"/>
          <w:sz w:val="22"/>
          <w:szCs w:val="22"/>
          <w:lang w:val="sr-Latn-ME"/>
        </w:rPr>
        <w:t>, odnosno 1,</w:t>
      </w:r>
      <w:r w:rsidR="008C42B0" w:rsidRPr="00AD3B49">
        <w:rPr>
          <w:rFonts w:ascii="Times New Roman" w:hAnsi="Times New Roman" w:cs="Times New Roman"/>
          <w:color w:val="auto"/>
          <w:sz w:val="22"/>
          <w:szCs w:val="22"/>
          <w:lang w:val="sr-Latn-ME"/>
        </w:rPr>
        <w:t>5</w:t>
      </w:r>
      <w:r w:rsidR="00B30B4A" w:rsidRPr="00AD3B49">
        <w:rPr>
          <w:rFonts w:ascii="Times New Roman" w:hAnsi="Times New Roman" w:cs="Times New Roman"/>
          <w:color w:val="auto"/>
          <w:sz w:val="22"/>
          <w:szCs w:val="22"/>
          <w:lang w:val="sr-Latn-ME"/>
        </w:rPr>
        <w:t xml:space="preserve"> kod pacijenata</w:t>
      </w:r>
      <w:r w:rsidRPr="00AD3B49">
        <w:rPr>
          <w:rFonts w:ascii="Times New Roman" w:hAnsi="Times New Roman" w:cs="Times New Roman"/>
          <w:color w:val="auto"/>
          <w:sz w:val="22"/>
          <w:szCs w:val="22"/>
          <w:lang w:val="sr-Latn-ME"/>
        </w:rPr>
        <w:t xml:space="preserve"> liječenih placebom ili aktivni</w:t>
      </w:r>
      <w:r w:rsidR="00B30B4A" w:rsidRPr="00AD3B49">
        <w:rPr>
          <w:rFonts w:ascii="Times New Roman" w:hAnsi="Times New Roman" w:cs="Times New Roman"/>
          <w:color w:val="auto"/>
          <w:sz w:val="22"/>
          <w:szCs w:val="22"/>
          <w:lang w:val="sr-Latn-ME"/>
        </w:rPr>
        <w:t>m poredbenim lijekom. To su bili</w:t>
      </w:r>
      <w:r w:rsidRPr="00AD3B49">
        <w:rPr>
          <w:rFonts w:ascii="Times New Roman" w:hAnsi="Times New Roman" w:cs="Times New Roman"/>
          <w:color w:val="auto"/>
          <w:sz w:val="22"/>
          <w:szCs w:val="22"/>
          <w:lang w:val="sr-Latn-ME"/>
        </w:rPr>
        <w:t xml:space="preserve"> pretežno </w:t>
      </w:r>
      <w:r w:rsidRPr="00AD3B49">
        <w:rPr>
          <w:rFonts w:ascii="Times New Roman" w:hAnsi="Times New Roman" w:cs="Times New Roman"/>
          <w:sz w:val="22"/>
          <w:szCs w:val="22"/>
          <w:lang w:val="sr-Latn-ME"/>
        </w:rPr>
        <w:t xml:space="preserve">nazofaringitis, infekcija gornjeg </w:t>
      </w:r>
      <w:r w:rsidR="000B15A4" w:rsidRPr="00AD3B49">
        <w:rPr>
          <w:rFonts w:ascii="Times New Roman" w:hAnsi="Times New Roman" w:cs="Times New Roman"/>
          <w:sz w:val="22"/>
          <w:szCs w:val="22"/>
          <w:lang w:val="sr-Latn-ME"/>
        </w:rPr>
        <w:t>respiratornog trakta</w:t>
      </w:r>
      <w:r w:rsidRPr="00AD3B49">
        <w:rPr>
          <w:rFonts w:ascii="Times New Roman" w:hAnsi="Times New Roman" w:cs="Times New Roman"/>
          <w:sz w:val="22"/>
          <w:szCs w:val="22"/>
          <w:lang w:val="sr-Latn-ME"/>
        </w:rPr>
        <w:t xml:space="preserve"> i urinarne infekcije</w:t>
      </w:r>
      <w:r w:rsidR="00B30B4A" w:rsidRPr="00AD3B49">
        <w:rPr>
          <w:rFonts w:ascii="Times New Roman" w:hAnsi="Times New Roman" w:cs="Times New Roman"/>
          <w:color w:val="auto"/>
          <w:sz w:val="22"/>
          <w:szCs w:val="22"/>
          <w:lang w:val="sr-Latn-ME"/>
        </w:rPr>
        <w:t>. Većina pacijenata</w:t>
      </w:r>
      <w:r w:rsidRPr="00AD3B49">
        <w:rPr>
          <w:rFonts w:ascii="Times New Roman" w:hAnsi="Times New Roman" w:cs="Times New Roman"/>
          <w:color w:val="auto"/>
          <w:sz w:val="22"/>
          <w:szCs w:val="22"/>
          <w:lang w:val="sr-Latn-ME"/>
        </w:rPr>
        <w:t xml:space="preserve"> nastavila je uzimati </w:t>
      </w:r>
      <w:r w:rsidR="008C42B0" w:rsidRPr="00AD3B49">
        <w:rPr>
          <w:rFonts w:ascii="Times New Roman" w:hAnsi="Times New Roman" w:cs="Times New Roman"/>
          <w:color w:val="auto"/>
          <w:sz w:val="22"/>
          <w:szCs w:val="22"/>
          <w:lang w:val="sr-Latn-ME"/>
        </w:rPr>
        <w:t xml:space="preserve">lijek </w:t>
      </w:r>
      <w:r w:rsidRPr="00AD3B49">
        <w:rPr>
          <w:rFonts w:ascii="Times New Roman" w:hAnsi="Times New Roman" w:cs="Times New Roman"/>
          <w:color w:val="auto"/>
          <w:sz w:val="22"/>
          <w:szCs w:val="22"/>
          <w:lang w:val="sr-Latn-ME"/>
        </w:rPr>
        <w:t>Humir</w:t>
      </w:r>
      <w:r w:rsidR="008C42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nakon što je infekcija izliječena.</w:t>
      </w:r>
    </w:p>
    <w:p w:rsidR="005E2894" w:rsidRPr="00AD3B49" w:rsidRDefault="005E2894" w:rsidP="005E2894">
      <w:pPr>
        <w:pStyle w:val="Default"/>
        <w:jc w:val="both"/>
        <w:rPr>
          <w:rFonts w:ascii="Times New Roman" w:hAnsi="Times New Roman" w:cs="Times New Roman"/>
          <w:color w:val="auto"/>
          <w:sz w:val="22"/>
          <w:szCs w:val="22"/>
          <w:lang w:val="sr-Latn-ME"/>
        </w:rPr>
      </w:pPr>
    </w:p>
    <w:p w:rsidR="005E2894" w:rsidRPr="00AD3B49" w:rsidRDefault="005E2894" w:rsidP="005E2894">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Učestalo</w:t>
      </w:r>
      <w:r w:rsidR="00B30B4A" w:rsidRPr="00AD3B49">
        <w:rPr>
          <w:rFonts w:ascii="Times New Roman" w:hAnsi="Times New Roman" w:cs="Times New Roman"/>
          <w:color w:val="auto"/>
          <w:sz w:val="22"/>
          <w:szCs w:val="22"/>
          <w:lang w:val="sr-Latn-ME"/>
        </w:rPr>
        <w:t>st teških infekcija po pacijentu</w:t>
      </w:r>
      <w:r w:rsidRPr="00AD3B49">
        <w:rPr>
          <w:rFonts w:ascii="Times New Roman" w:hAnsi="Times New Roman" w:cs="Times New Roman"/>
          <w:color w:val="auto"/>
          <w:sz w:val="22"/>
          <w:szCs w:val="22"/>
          <w:lang w:val="sr-Latn-ME"/>
        </w:rPr>
        <w:t xml:space="preserve"> i godini li</w:t>
      </w:r>
      <w:r w:rsidR="00B30B4A" w:rsidRPr="00AD3B49">
        <w:rPr>
          <w:rFonts w:ascii="Times New Roman" w:hAnsi="Times New Roman" w:cs="Times New Roman"/>
          <w:color w:val="auto"/>
          <w:sz w:val="22"/>
          <w:szCs w:val="22"/>
          <w:lang w:val="sr-Latn-ME"/>
        </w:rPr>
        <w:t>ječenja bila je 0,04 kod pacijenata</w:t>
      </w:r>
      <w:r w:rsidRPr="00AD3B49">
        <w:rPr>
          <w:rFonts w:ascii="Times New Roman" w:hAnsi="Times New Roman" w:cs="Times New Roman"/>
          <w:color w:val="auto"/>
          <w:sz w:val="22"/>
          <w:szCs w:val="22"/>
          <w:lang w:val="sr-Latn-ME"/>
        </w:rPr>
        <w:t xml:space="preserve"> liječenih </w:t>
      </w:r>
      <w:r w:rsidR="008C42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w:t>
      </w:r>
      <w:r w:rsidR="00B30B4A" w:rsidRPr="00AD3B49">
        <w:rPr>
          <w:rFonts w:ascii="Times New Roman" w:hAnsi="Times New Roman" w:cs="Times New Roman"/>
          <w:color w:val="auto"/>
          <w:sz w:val="22"/>
          <w:szCs w:val="22"/>
          <w:lang w:val="sr-Latn-ME"/>
        </w:rPr>
        <w:t>umir</w:t>
      </w:r>
      <w:r w:rsidR="008C42B0" w:rsidRPr="00AD3B49">
        <w:rPr>
          <w:rFonts w:ascii="Times New Roman" w:hAnsi="Times New Roman" w:cs="Times New Roman"/>
          <w:color w:val="auto"/>
          <w:sz w:val="22"/>
          <w:szCs w:val="22"/>
          <w:lang w:val="sr-Latn-ME"/>
        </w:rPr>
        <w:t>a</w:t>
      </w:r>
      <w:r w:rsidR="00B30B4A" w:rsidRPr="00AD3B49">
        <w:rPr>
          <w:rFonts w:ascii="Times New Roman" w:hAnsi="Times New Roman" w:cs="Times New Roman"/>
          <w:color w:val="auto"/>
          <w:sz w:val="22"/>
          <w:szCs w:val="22"/>
          <w:lang w:val="sr-Latn-ME"/>
        </w:rPr>
        <w:t>, odnosno 0,03 kod pacijenata</w:t>
      </w:r>
      <w:r w:rsidRPr="00AD3B49">
        <w:rPr>
          <w:rFonts w:ascii="Times New Roman" w:hAnsi="Times New Roman" w:cs="Times New Roman"/>
          <w:color w:val="auto"/>
          <w:sz w:val="22"/>
          <w:szCs w:val="22"/>
          <w:lang w:val="sr-Latn-ME"/>
        </w:rPr>
        <w:t xml:space="preserve"> liječenih placebom ili aktivnim poredbenim lijekom.</w:t>
      </w:r>
    </w:p>
    <w:p w:rsidR="005E2894" w:rsidRPr="00AD3B49" w:rsidRDefault="005E2894" w:rsidP="005E2894">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U kontrolisanim i otvorenim kliničkim ispitivanjima</w:t>
      </w:r>
      <w:r w:rsidR="008C42B0" w:rsidRPr="00AD3B49">
        <w:rPr>
          <w:rFonts w:ascii="Times New Roman" w:hAnsi="Times New Roman" w:cs="Times New Roman"/>
          <w:color w:val="auto"/>
          <w:sz w:val="22"/>
          <w:szCs w:val="22"/>
          <w:lang w:val="sr-Latn-ME"/>
        </w:rPr>
        <w:t>, u odrasloj i pedijatrijskoj populaciji,</w:t>
      </w:r>
      <w:r w:rsidRPr="00AD3B49">
        <w:rPr>
          <w:rFonts w:ascii="Times New Roman" w:hAnsi="Times New Roman" w:cs="Times New Roman"/>
          <w:color w:val="auto"/>
          <w:sz w:val="22"/>
          <w:szCs w:val="22"/>
          <w:lang w:val="sr-Latn-ME"/>
        </w:rPr>
        <w:t xml:space="preserve">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zabilježene su </w:t>
      </w:r>
      <w:r w:rsidR="008C42B0" w:rsidRPr="00AD3B49">
        <w:rPr>
          <w:rFonts w:ascii="Times New Roman" w:hAnsi="Times New Roman" w:cs="Times New Roman"/>
          <w:color w:val="auto"/>
          <w:sz w:val="22"/>
          <w:szCs w:val="22"/>
          <w:lang w:val="sr-Latn-ME"/>
        </w:rPr>
        <w:t xml:space="preserve">ozbiljne </w:t>
      </w:r>
      <w:r w:rsidRPr="00AD3B49">
        <w:rPr>
          <w:rFonts w:ascii="Times New Roman" w:hAnsi="Times New Roman" w:cs="Times New Roman"/>
          <w:color w:val="auto"/>
          <w:sz w:val="22"/>
          <w:szCs w:val="22"/>
          <w:lang w:val="sr-Latn-ME"/>
        </w:rPr>
        <w:t xml:space="preserve">infekcije (u rijetkim slučajevima i sa smrtnim ishodom), među kojima i tuberkuloza (uključujući njen milijarni oblik i </w:t>
      </w:r>
      <w:r w:rsidR="00A16310" w:rsidRPr="00AD3B49">
        <w:rPr>
          <w:rFonts w:ascii="Times New Roman" w:hAnsi="Times New Roman" w:cs="Times New Roman"/>
          <w:color w:val="auto"/>
          <w:sz w:val="22"/>
          <w:szCs w:val="22"/>
          <w:lang w:val="sr-Latn-ME"/>
        </w:rPr>
        <w:t>ekstrapulmonalna</w:t>
      </w:r>
      <w:r w:rsidRPr="00AD3B49">
        <w:rPr>
          <w:rFonts w:ascii="Times New Roman" w:hAnsi="Times New Roman" w:cs="Times New Roman"/>
          <w:color w:val="auto"/>
          <w:sz w:val="22"/>
          <w:szCs w:val="22"/>
          <w:lang w:val="sr-Latn-ME"/>
        </w:rPr>
        <w:t xml:space="preserve"> lokalizacije) te invazivne oportunističke infekcije </w:t>
      </w:r>
      <w:r w:rsidR="00A16310" w:rsidRPr="00AD3B49">
        <w:rPr>
          <w:rFonts w:ascii="Times New Roman" w:hAnsi="Times New Roman" w:cs="Times New Roman"/>
          <w:color w:val="auto"/>
          <w:sz w:val="22"/>
          <w:szCs w:val="22"/>
          <w:lang w:val="sr-Latn-ME"/>
        </w:rPr>
        <w:t>(npr. diseminirana ili ekstrapulmonalna</w:t>
      </w:r>
      <w:r w:rsidRPr="00AD3B49">
        <w:rPr>
          <w:rFonts w:ascii="Times New Roman" w:hAnsi="Times New Roman" w:cs="Times New Roman"/>
          <w:color w:val="auto"/>
          <w:sz w:val="22"/>
          <w:szCs w:val="22"/>
          <w:lang w:val="sr-Latn-ME"/>
        </w:rPr>
        <w:t xml:space="preserve"> histoplazmoza, blastomikoza, kokcidioidomikoza, pneumocistis,  kandidijaza, aspergiloza i listerioza). Većina slučaj</w:t>
      </w:r>
      <w:r w:rsidR="00B30B4A" w:rsidRPr="00AD3B49">
        <w:rPr>
          <w:rFonts w:ascii="Times New Roman" w:hAnsi="Times New Roman" w:cs="Times New Roman"/>
          <w:color w:val="auto"/>
          <w:sz w:val="22"/>
          <w:szCs w:val="22"/>
          <w:lang w:val="sr-Latn-ME"/>
        </w:rPr>
        <w:t>eva tuberkuloze dijagnostikovana</w:t>
      </w:r>
      <w:r w:rsidRPr="00AD3B49">
        <w:rPr>
          <w:rFonts w:ascii="Times New Roman" w:hAnsi="Times New Roman" w:cs="Times New Roman"/>
          <w:color w:val="auto"/>
          <w:sz w:val="22"/>
          <w:szCs w:val="22"/>
          <w:lang w:val="sr-Latn-ME"/>
        </w:rPr>
        <w:t xml:space="preserve"> je u prvih osam mjeseci liječenja, što može biti posljedica aktivacije postojećeg latentnog oblika bolesti.</w:t>
      </w:r>
    </w:p>
    <w:p w:rsidR="005E2894" w:rsidRPr="00AD3B49" w:rsidRDefault="005E2894" w:rsidP="005E2894">
      <w:pPr>
        <w:pStyle w:val="Default"/>
        <w:jc w:val="both"/>
        <w:rPr>
          <w:rFonts w:ascii="Times New Roman" w:hAnsi="Times New Roman" w:cs="Times New Roman"/>
          <w:color w:val="auto"/>
          <w:sz w:val="22"/>
          <w:szCs w:val="22"/>
          <w:lang w:val="sr-Latn-ME"/>
        </w:rPr>
      </w:pPr>
    </w:p>
    <w:p w:rsidR="005E2894" w:rsidRPr="00AD3B49" w:rsidRDefault="00A16310" w:rsidP="005E2894">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u w:val="single"/>
          <w:lang w:val="sr-Latn-ME"/>
        </w:rPr>
        <w:t>Maligne</w:t>
      </w:r>
      <w:r w:rsidR="005E2894" w:rsidRPr="00AD3B49">
        <w:rPr>
          <w:rFonts w:ascii="Times New Roman" w:hAnsi="Times New Roman" w:cs="Times New Roman"/>
          <w:color w:val="auto"/>
          <w:sz w:val="22"/>
          <w:szCs w:val="22"/>
          <w:u w:val="single"/>
          <w:lang w:val="sr-Latn-ME"/>
        </w:rPr>
        <w:t xml:space="preserve"> i limfoproliferativne bolesti</w:t>
      </w:r>
    </w:p>
    <w:p w:rsidR="00C477C3" w:rsidRPr="00AD3B49" w:rsidRDefault="00C477C3" w:rsidP="00C477C3">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Ni</w:t>
      </w:r>
      <w:r w:rsidR="008C42B0" w:rsidRPr="00AD3B49">
        <w:rPr>
          <w:rFonts w:ascii="Times New Roman" w:hAnsi="Times New Roman" w:cs="Times New Roman"/>
          <w:color w:val="auto"/>
          <w:sz w:val="22"/>
          <w:szCs w:val="22"/>
          <w:lang w:val="sr-Latn-ME"/>
        </w:rPr>
        <w:t>je</w:t>
      </w:r>
      <w:r w:rsidRPr="00AD3B49">
        <w:rPr>
          <w:rFonts w:ascii="Times New Roman" w:hAnsi="Times New Roman" w:cs="Times New Roman"/>
          <w:color w:val="auto"/>
          <w:sz w:val="22"/>
          <w:szCs w:val="22"/>
          <w:lang w:val="sr-Latn-ME"/>
        </w:rPr>
        <w:t>su primjećene</w:t>
      </w:r>
      <w:r w:rsidR="00A16310" w:rsidRPr="00AD3B49">
        <w:rPr>
          <w:rFonts w:ascii="Times New Roman" w:hAnsi="Times New Roman" w:cs="Times New Roman"/>
          <w:color w:val="auto"/>
          <w:sz w:val="22"/>
          <w:szCs w:val="22"/>
          <w:lang w:val="sr-Latn-ME"/>
        </w:rPr>
        <w:t xml:space="preserve"> maligne</w:t>
      </w:r>
      <w:r w:rsidRPr="00AD3B49">
        <w:rPr>
          <w:rFonts w:ascii="Times New Roman" w:hAnsi="Times New Roman" w:cs="Times New Roman"/>
          <w:color w:val="auto"/>
          <w:sz w:val="22"/>
          <w:szCs w:val="22"/>
          <w:lang w:val="sr-Latn-ME"/>
        </w:rPr>
        <w:t xml:space="preserve"> bolesti kod 203 pacijenata u dobi od 2 do 17 godina s</w:t>
      </w:r>
      <w:r w:rsidRPr="00AD3B49">
        <w:rPr>
          <w:rFonts w:ascii="Times New Roman" w:hAnsi="Times New Roman" w:cs="Times New Roman"/>
          <w:sz w:val="22"/>
          <w:szCs w:val="22"/>
          <w:lang w:val="sr-Latn-ME"/>
        </w:rPr>
        <w:t xml:space="preserve"> juvenilnim idiopatskim artritisom</w:t>
      </w:r>
      <w:r w:rsidRPr="00AD3B49">
        <w:rPr>
          <w:rFonts w:ascii="Times New Roman" w:hAnsi="Times New Roman" w:cs="Times New Roman"/>
          <w:color w:val="auto"/>
          <w:sz w:val="22"/>
          <w:szCs w:val="22"/>
          <w:lang w:val="sr-Latn-ME"/>
        </w:rPr>
        <w:t xml:space="preserve"> koji su primili ukupno 605,3 </w:t>
      </w:r>
      <w:r w:rsidR="008C42B0" w:rsidRPr="00AD3B49">
        <w:rPr>
          <w:rFonts w:ascii="Times New Roman" w:hAnsi="Times New Roman" w:cs="Times New Roman"/>
          <w:color w:val="auto"/>
          <w:sz w:val="22"/>
          <w:szCs w:val="22"/>
          <w:lang w:val="sr-Latn-ME"/>
        </w:rPr>
        <w:t xml:space="preserve">pacijent </w:t>
      </w:r>
      <w:r w:rsidRPr="00AD3B49">
        <w:rPr>
          <w:rFonts w:ascii="Times New Roman" w:hAnsi="Times New Roman" w:cs="Times New Roman"/>
          <w:color w:val="auto"/>
          <w:sz w:val="22"/>
          <w:szCs w:val="22"/>
          <w:lang w:val="sr-Latn-ME"/>
        </w:rPr>
        <w:t>godin</w:t>
      </w:r>
      <w:r w:rsidR="008C42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w:t>
      </w:r>
      <w:r w:rsidR="008C42B0" w:rsidRPr="00AD3B49">
        <w:rPr>
          <w:rFonts w:ascii="Times New Roman" w:hAnsi="Times New Roman" w:cs="Times New Roman"/>
          <w:color w:val="auto"/>
          <w:sz w:val="22"/>
          <w:szCs w:val="22"/>
          <w:lang w:val="sr-Latn-ME"/>
        </w:rPr>
        <w:t xml:space="preserve">u toku ispitivanja lijeka </w:t>
      </w:r>
      <w:r w:rsidRPr="00AD3B49">
        <w:rPr>
          <w:rFonts w:ascii="Times New Roman" w:hAnsi="Times New Roman" w:cs="Times New Roman"/>
          <w:color w:val="auto"/>
          <w:sz w:val="22"/>
          <w:szCs w:val="22"/>
          <w:lang w:val="sr-Latn-ME"/>
        </w:rPr>
        <w:t>Humir</w:t>
      </w:r>
      <w:r w:rsidR="008C42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U dodatku,</w:t>
      </w:r>
      <w:r w:rsidR="00A16310" w:rsidRPr="00AD3B49">
        <w:rPr>
          <w:rFonts w:ascii="Times New Roman" w:hAnsi="Times New Roman" w:cs="Times New Roman"/>
          <w:color w:val="auto"/>
          <w:sz w:val="22"/>
          <w:szCs w:val="22"/>
          <w:lang w:val="sr-Latn-ME"/>
        </w:rPr>
        <w:t xml:space="preserve"> nije bilo primjećenih malignih</w:t>
      </w:r>
      <w:r w:rsidRPr="00AD3B49">
        <w:rPr>
          <w:rFonts w:ascii="Times New Roman" w:hAnsi="Times New Roman" w:cs="Times New Roman"/>
          <w:color w:val="auto"/>
          <w:sz w:val="22"/>
          <w:szCs w:val="22"/>
          <w:lang w:val="sr-Latn-ME"/>
        </w:rPr>
        <w:t xml:space="preserve"> bolesti kod 192 pedijatrijska pacijenta sa Crohnovom bolesti </w:t>
      </w:r>
      <w:r w:rsidR="008C42B0" w:rsidRPr="00AD3B49">
        <w:rPr>
          <w:rFonts w:ascii="Times New Roman" w:hAnsi="Times New Roman" w:cs="Times New Roman"/>
          <w:color w:val="auto"/>
          <w:sz w:val="22"/>
          <w:szCs w:val="22"/>
          <w:lang w:val="sr-Latn-ME"/>
        </w:rPr>
        <w:t xml:space="preserve">s izloženošću </w:t>
      </w:r>
      <w:r w:rsidRPr="00AD3B49">
        <w:rPr>
          <w:rFonts w:ascii="Times New Roman" w:hAnsi="Times New Roman" w:cs="Times New Roman"/>
          <w:color w:val="auto"/>
          <w:sz w:val="22"/>
          <w:szCs w:val="22"/>
          <w:lang w:val="sr-Latn-ME"/>
        </w:rPr>
        <w:t xml:space="preserve"> 258,9 </w:t>
      </w:r>
      <w:r w:rsidR="008C42B0" w:rsidRPr="00AD3B49">
        <w:rPr>
          <w:rFonts w:ascii="Times New Roman" w:hAnsi="Times New Roman" w:cs="Times New Roman"/>
          <w:color w:val="auto"/>
          <w:sz w:val="22"/>
          <w:szCs w:val="22"/>
          <w:lang w:val="sr-Latn-ME"/>
        </w:rPr>
        <w:t xml:space="preserve">pacijent </w:t>
      </w:r>
      <w:r w:rsidRPr="00AD3B49">
        <w:rPr>
          <w:rFonts w:ascii="Times New Roman" w:hAnsi="Times New Roman" w:cs="Times New Roman"/>
          <w:color w:val="auto"/>
          <w:sz w:val="22"/>
          <w:szCs w:val="22"/>
          <w:lang w:val="sr-Latn-ME"/>
        </w:rPr>
        <w:t xml:space="preserve">godina </w:t>
      </w:r>
      <w:r w:rsidR="008C42B0" w:rsidRPr="00AD3B49">
        <w:rPr>
          <w:rFonts w:ascii="Times New Roman" w:hAnsi="Times New Roman" w:cs="Times New Roman"/>
          <w:color w:val="auto"/>
          <w:sz w:val="22"/>
          <w:szCs w:val="22"/>
          <w:lang w:val="sr-Latn-ME"/>
        </w:rPr>
        <w:t>u toku ispitivanja lijeka</w:t>
      </w:r>
      <w:r w:rsidRPr="00AD3B49">
        <w:rPr>
          <w:rFonts w:ascii="Times New Roman" w:hAnsi="Times New Roman" w:cs="Times New Roman"/>
          <w:color w:val="auto"/>
          <w:sz w:val="22"/>
          <w:szCs w:val="22"/>
          <w:lang w:val="sr-Latn-ME"/>
        </w:rPr>
        <w:t>Humir</w:t>
      </w:r>
      <w:r w:rsidR="008C42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w:t>
      </w:r>
    </w:p>
    <w:p w:rsidR="005E2894" w:rsidRPr="00AD3B49" w:rsidRDefault="005E2894" w:rsidP="005E2894">
      <w:pPr>
        <w:pStyle w:val="Default"/>
        <w:jc w:val="both"/>
        <w:rPr>
          <w:rFonts w:ascii="Times New Roman" w:hAnsi="Times New Roman" w:cs="Times New Roman"/>
          <w:color w:val="auto"/>
          <w:sz w:val="22"/>
          <w:szCs w:val="22"/>
          <w:lang w:val="sr-Latn-ME"/>
        </w:rPr>
      </w:pPr>
    </w:p>
    <w:p w:rsidR="005E2894" w:rsidRPr="00AD3B49" w:rsidRDefault="005E2894" w:rsidP="005E2894">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U kontrolisanim pivotalnim ispitivanjima kod odraslih koja su trajala</w:t>
      </w:r>
      <w:r w:rsidR="007D6ABC" w:rsidRPr="00AD3B49">
        <w:rPr>
          <w:rFonts w:ascii="Times New Roman" w:hAnsi="Times New Roman" w:cs="Times New Roman"/>
          <w:color w:val="auto"/>
          <w:sz w:val="22"/>
          <w:szCs w:val="22"/>
          <w:lang w:val="sr-Latn-ME"/>
        </w:rPr>
        <w:t xml:space="preserve"> najmanje 12 </w:t>
      </w:r>
      <w:r w:rsidR="000B016F" w:rsidRPr="00AD3B49">
        <w:rPr>
          <w:rFonts w:ascii="Times New Roman" w:hAnsi="Times New Roman" w:cs="Times New Roman"/>
          <w:color w:val="auto"/>
          <w:sz w:val="22"/>
          <w:szCs w:val="22"/>
          <w:lang w:val="sr-Latn-ME"/>
        </w:rPr>
        <w:t>nedjelja</w:t>
      </w:r>
      <w:r w:rsidR="007D6ABC" w:rsidRPr="00AD3B49">
        <w:rPr>
          <w:rFonts w:ascii="Times New Roman" w:hAnsi="Times New Roman" w:cs="Times New Roman"/>
          <w:color w:val="auto"/>
          <w:sz w:val="22"/>
          <w:szCs w:val="22"/>
          <w:lang w:val="sr-Latn-ME"/>
        </w:rPr>
        <w:t xml:space="preserve"> kod pacijenata</w:t>
      </w:r>
      <w:r w:rsidRPr="00AD3B49">
        <w:rPr>
          <w:rFonts w:ascii="Times New Roman" w:hAnsi="Times New Roman" w:cs="Times New Roman"/>
          <w:color w:val="auto"/>
          <w:sz w:val="22"/>
          <w:szCs w:val="22"/>
          <w:lang w:val="sr-Latn-ME"/>
        </w:rPr>
        <w:t xml:space="preserve"> s umjerenim do teškim aktivnim reumatoidnim artritisom, </w:t>
      </w:r>
      <w:r w:rsidR="0004490B" w:rsidRPr="00AD3B49">
        <w:rPr>
          <w:rFonts w:ascii="Times New Roman" w:hAnsi="Times New Roman" w:cs="Times New Roman"/>
          <w:sz w:val="22"/>
          <w:szCs w:val="22"/>
          <w:lang w:val="sr-Latn-ME"/>
        </w:rPr>
        <w:t xml:space="preserve">ankilozirajućim </w:t>
      </w:r>
      <w:r w:rsidRPr="00AD3B49">
        <w:rPr>
          <w:rFonts w:ascii="Times New Roman" w:hAnsi="Times New Roman" w:cs="Times New Roman"/>
          <w:sz w:val="22"/>
          <w:szCs w:val="22"/>
          <w:lang w:val="sr-Latn-ME"/>
        </w:rPr>
        <w:t xml:space="preserve">spondilitisom, aksijalnim spondiloartritisom bez radiološkog nalaza AS-a, psorijatičnim artritisom, psorijazom, Crohnovom bolešću i ulceroznim kolitisom </w:t>
      </w:r>
      <w:r w:rsidRPr="00AD3B49">
        <w:rPr>
          <w:rFonts w:ascii="Times New Roman" w:hAnsi="Times New Roman" w:cs="Times New Roman"/>
          <w:color w:val="auto"/>
          <w:sz w:val="22"/>
          <w:szCs w:val="22"/>
          <w:lang w:val="sr-Latn-ME"/>
        </w:rPr>
        <w:t xml:space="preserve">dijagnosticirano je </w:t>
      </w:r>
      <w:r w:rsidR="000D772C" w:rsidRPr="00AD3B49">
        <w:rPr>
          <w:rFonts w:ascii="Times New Roman" w:hAnsi="Times New Roman" w:cs="Times New Roman"/>
          <w:color w:val="auto"/>
          <w:sz w:val="22"/>
          <w:szCs w:val="22"/>
          <w:lang w:val="sr-Latn-ME"/>
        </w:rPr>
        <w:t xml:space="preserve">malignih </w:t>
      </w:r>
      <w:r w:rsidRPr="00AD3B49">
        <w:rPr>
          <w:rFonts w:ascii="Times New Roman" w:hAnsi="Times New Roman" w:cs="Times New Roman"/>
          <w:color w:val="auto"/>
          <w:sz w:val="22"/>
          <w:szCs w:val="22"/>
          <w:lang w:val="sr-Latn-ME"/>
        </w:rPr>
        <w:t>bolesti, isključujući limfome i nemelanomske t</w:t>
      </w:r>
      <w:r w:rsidR="007D6ABC" w:rsidRPr="00AD3B49">
        <w:rPr>
          <w:rFonts w:ascii="Times New Roman" w:hAnsi="Times New Roman" w:cs="Times New Roman"/>
          <w:color w:val="auto"/>
          <w:sz w:val="22"/>
          <w:szCs w:val="22"/>
          <w:lang w:val="sr-Latn-ME"/>
        </w:rPr>
        <w:t>umore kože, kod 4.622 pacijenata</w:t>
      </w:r>
      <w:r w:rsidRPr="00AD3B49">
        <w:rPr>
          <w:rFonts w:ascii="Times New Roman" w:hAnsi="Times New Roman" w:cs="Times New Roman"/>
          <w:color w:val="auto"/>
          <w:sz w:val="22"/>
          <w:szCs w:val="22"/>
          <w:lang w:val="sr-Latn-ME"/>
        </w:rPr>
        <w:t xml:space="preserve"> na </w:t>
      </w:r>
      <w:r w:rsidR="008C42B0" w:rsidRPr="00AD3B49">
        <w:rPr>
          <w:rFonts w:ascii="Times New Roman" w:hAnsi="Times New Roman" w:cs="Times New Roman"/>
          <w:color w:val="auto"/>
          <w:sz w:val="22"/>
          <w:szCs w:val="22"/>
          <w:lang w:val="sr-Latn-ME"/>
        </w:rPr>
        <w:t xml:space="preserve">lijeku </w:t>
      </w:r>
      <w:r w:rsidRPr="00AD3B49">
        <w:rPr>
          <w:rFonts w:ascii="Times New Roman" w:hAnsi="Times New Roman" w:cs="Times New Roman"/>
          <w:color w:val="auto"/>
          <w:sz w:val="22"/>
          <w:szCs w:val="22"/>
          <w:lang w:val="sr-Latn-ME"/>
        </w:rPr>
        <w:t>Humir</w:t>
      </w:r>
      <w:r w:rsidR="008C42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u stopi od 6</w:t>
      </w:r>
      <w:r w:rsidR="00A03F52" w:rsidRPr="00AD3B49">
        <w:rPr>
          <w:rFonts w:ascii="Times New Roman" w:hAnsi="Times New Roman" w:cs="Times New Roman"/>
          <w:sz w:val="22"/>
          <w:szCs w:val="22"/>
          <w:lang w:val="sr-Latn-ME"/>
        </w:rPr>
        <w:t>,0 (3,7; 9</w:t>
      </w:r>
      <w:r w:rsidRPr="00AD3B49">
        <w:rPr>
          <w:rFonts w:ascii="Times New Roman" w:hAnsi="Times New Roman" w:cs="Times New Roman"/>
          <w:sz w:val="22"/>
          <w:szCs w:val="22"/>
          <w:lang w:val="sr-Latn-ME"/>
        </w:rPr>
        <w:t>,8)</w:t>
      </w:r>
      <w:r w:rsidR="007D6ABC" w:rsidRPr="00AD3B49">
        <w:rPr>
          <w:rFonts w:ascii="Times New Roman" w:hAnsi="Times New Roman" w:cs="Times New Roman"/>
          <w:color w:val="auto"/>
          <w:sz w:val="22"/>
          <w:szCs w:val="22"/>
          <w:lang w:val="sr-Latn-ME"/>
        </w:rPr>
        <w:t xml:space="preserve"> na 1000 pacijent</w:t>
      </w:r>
      <w:r w:rsidRPr="00AD3B49">
        <w:rPr>
          <w:rFonts w:ascii="Times New Roman" w:hAnsi="Times New Roman" w:cs="Times New Roman"/>
          <w:color w:val="auto"/>
          <w:sz w:val="22"/>
          <w:szCs w:val="22"/>
          <w:lang w:val="sr-Latn-ME"/>
        </w:rPr>
        <w:t>-godina (interval pouzdanosti 95%), nasuprot 5,</w:t>
      </w:r>
      <w:r w:rsidR="00A03F52" w:rsidRPr="00AD3B49">
        <w:rPr>
          <w:rFonts w:ascii="Times New Roman" w:hAnsi="Times New Roman" w:cs="Times New Roman"/>
          <w:color w:val="auto"/>
          <w:sz w:val="22"/>
          <w:szCs w:val="22"/>
          <w:lang w:val="sr-Latn-ME"/>
        </w:rPr>
        <w:t>1</w:t>
      </w:r>
      <w:r w:rsidR="00A03F52" w:rsidRPr="00AD3B49">
        <w:rPr>
          <w:rFonts w:ascii="Times New Roman" w:hAnsi="Times New Roman" w:cs="Times New Roman"/>
          <w:sz w:val="22"/>
          <w:szCs w:val="22"/>
          <w:lang w:val="sr-Latn-ME"/>
        </w:rPr>
        <w:t xml:space="preserve"> (2,4; 10,7</w:t>
      </w:r>
      <w:r w:rsidRPr="00AD3B49">
        <w:rPr>
          <w:rFonts w:ascii="Times New Roman" w:hAnsi="Times New Roman" w:cs="Times New Roman"/>
          <w:sz w:val="22"/>
          <w:szCs w:val="22"/>
          <w:lang w:val="sr-Latn-ME"/>
        </w:rPr>
        <w:t>)</w:t>
      </w:r>
      <w:r w:rsidR="007D6ABC" w:rsidRPr="00AD3B49">
        <w:rPr>
          <w:rFonts w:ascii="Times New Roman" w:hAnsi="Times New Roman" w:cs="Times New Roman"/>
          <w:color w:val="auto"/>
          <w:sz w:val="22"/>
          <w:szCs w:val="22"/>
          <w:lang w:val="sr-Latn-ME"/>
        </w:rPr>
        <w:t xml:space="preserve"> kod 2.828 pacijenata</w:t>
      </w:r>
      <w:r w:rsidRPr="00AD3B49">
        <w:rPr>
          <w:rFonts w:ascii="Times New Roman" w:hAnsi="Times New Roman" w:cs="Times New Roman"/>
          <w:color w:val="auto"/>
          <w:sz w:val="22"/>
          <w:szCs w:val="22"/>
          <w:lang w:val="sr-Latn-ME"/>
        </w:rPr>
        <w:t xml:space="preserve"> iz kontrolne grupe (medijan trajanja terapij</w:t>
      </w:r>
      <w:r w:rsidR="007D6ABC" w:rsidRPr="00AD3B49">
        <w:rPr>
          <w:rFonts w:ascii="Times New Roman" w:hAnsi="Times New Roman" w:cs="Times New Roman"/>
          <w:color w:val="auto"/>
          <w:sz w:val="22"/>
          <w:szCs w:val="22"/>
          <w:lang w:val="sr-Latn-ME"/>
        </w:rPr>
        <w:t>e bio je 5,1 mjeseci kod pacijenata</w:t>
      </w:r>
      <w:r w:rsidRPr="00AD3B49">
        <w:rPr>
          <w:rFonts w:ascii="Times New Roman" w:hAnsi="Times New Roman" w:cs="Times New Roman"/>
          <w:color w:val="auto"/>
          <w:sz w:val="22"/>
          <w:szCs w:val="22"/>
          <w:lang w:val="sr-Latn-ME"/>
        </w:rPr>
        <w:t xml:space="preserve"> na</w:t>
      </w:r>
      <w:r w:rsidR="008C42B0" w:rsidRPr="00AD3B49">
        <w:rPr>
          <w:rFonts w:ascii="Times New Roman" w:hAnsi="Times New Roman" w:cs="Times New Roman"/>
          <w:color w:val="auto"/>
          <w:sz w:val="22"/>
          <w:szCs w:val="22"/>
          <w:lang w:val="sr-Latn-ME"/>
        </w:rPr>
        <w:t xml:space="preserve"> lijeku </w:t>
      </w:r>
      <w:r w:rsidRPr="00AD3B49">
        <w:rPr>
          <w:rFonts w:ascii="Times New Roman" w:hAnsi="Times New Roman" w:cs="Times New Roman"/>
          <w:color w:val="auto"/>
          <w:sz w:val="22"/>
          <w:szCs w:val="22"/>
          <w:lang w:val="sr-Latn-ME"/>
        </w:rPr>
        <w:t xml:space="preserve"> Humir</w:t>
      </w:r>
      <w:r w:rsidR="008C42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i 4,0 mjes</w:t>
      </w:r>
      <w:r w:rsidR="007D6ABC" w:rsidRPr="00AD3B49">
        <w:rPr>
          <w:rFonts w:ascii="Times New Roman" w:hAnsi="Times New Roman" w:cs="Times New Roman"/>
          <w:color w:val="auto"/>
          <w:sz w:val="22"/>
          <w:szCs w:val="22"/>
          <w:lang w:val="sr-Latn-ME"/>
        </w:rPr>
        <w:t>eci u kontrolnoj grupi pacijenata</w:t>
      </w:r>
      <w:r w:rsidRPr="00AD3B49">
        <w:rPr>
          <w:rFonts w:ascii="Times New Roman" w:hAnsi="Times New Roman" w:cs="Times New Roman"/>
          <w:color w:val="auto"/>
          <w:sz w:val="22"/>
          <w:szCs w:val="22"/>
          <w:lang w:val="sr-Latn-ME"/>
        </w:rPr>
        <w:t xml:space="preserve">). Stopa pojavljivanja nemelanomskih tumora (interval pouzdanosti 95%) bila je </w:t>
      </w:r>
      <w:r w:rsidR="00A03F52" w:rsidRPr="00AD3B49">
        <w:rPr>
          <w:rFonts w:ascii="Times New Roman" w:hAnsi="Times New Roman" w:cs="Times New Roman"/>
          <w:sz w:val="22"/>
          <w:szCs w:val="22"/>
          <w:lang w:val="sr-Latn-ME"/>
        </w:rPr>
        <w:t>9,7 (6,6; 14,3</w:t>
      </w:r>
      <w:r w:rsidRPr="00AD3B49">
        <w:rPr>
          <w:rFonts w:ascii="Times New Roman" w:hAnsi="Times New Roman" w:cs="Times New Roman"/>
          <w:sz w:val="22"/>
          <w:szCs w:val="22"/>
          <w:lang w:val="sr-Latn-ME"/>
        </w:rPr>
        <w:t>)</w:t>
      </w:r>
      <w:r w:rsidR="007D6ABC" w:rsidRPr="00AD3B49">
        <w:rPr>
          <w:rFonts w:ascii="Times New Roman" w:hAnsi="Times New Roman" w:cs="Times New Roman"/>
          <w:color w:val="auto"/>
          <w:sz w:val="22"/>
          <w:szCs w:val="22"/>
          <w:lang w:val="sr-Latn-ME"/>
        </w:rPr>
        <w:t xml:space="preserve"> na 1000 pacijent-godina u paci</w:t>
      </w:r>
      <w:r w:rsidR="003B26FB" w:rsidRPr="00AD3B49">
        <w:rPr>
          <w:rFonts w:ascii="Times New Roman" w:hAnsi="Times New Roman" w:cs="Times New Roman"/>
          <w:color w:val="auto"/>
          <w:sz w:val="22"/>
          <w:szCs w:val="22"/>
          <w:lang w:val="sr-Latn-ME"/>
        </w:rPr>
        <w:t>j</w:t>
      </w:r>
      <w:r w:rsidR="007D6ABC" w:rsidRPr="00AD3B49">
        <w:rPr>
          <w:rFonts w:ascii="Times New Roman" w:hAnsi="Times New Roman" w:cs="Times New Roman"/>
          <w:color w:val="auto"/>
          <w:sz w:val="22"/>
          <w:szCs w:val="22"/>
          <w:lang w:val="sr-Latn-ME"/>
        </w:rPr>
        <w:t>enata</w:t>
      </w:r>
      <w:r w:rsidR="00A03F52" w:rsidRPr="00AD3B49">
        <w:rPr>
          <w:rFonts w:ascii="Times New Roman" w:hAnsi="Times New Roman" w:cs="Times New Roman"/>
          <w:color w:val="auto"/>
          <w:sz w:val="22"/>
          <w:szCs w:val="22"/>
          <w:lang w:val="sr-Latn-ME"/>
        </w:rPr>
        <w:t xml:space="preserve"> na </w:t>
      </w:r>
      <w:r w:rsidR="008C42B0" w:rsidRPr="00AD3B49">
        <w:rPr>
          <w:rFonts w:ascii="Times New Roman" w:hAnsi="Times New Roman" w:cs="Times New Roman"/>
          <w:color w:val="auto"/>
          <w:sz w:val="22"/>
          <w:szCs w:val="22"/>
          <w:lang w:val="sr-Latn-ME"/>
        </w:rPr>
        <w:t>lijeku</w:t>
      </w:r>
      <w:r w:rsidR="00A03F52" w:rsidRPr="00AD3B49">
        <w:rPr>
          <w:rFonts w:ascii="Times New Roman" w:hAnsi="Times New Roman" w:cs="Times New Roman"/>
          <w:color w:val="auto"/>
          <w:sz w:val="22"/>
          <w:szCs w:val="22"/>
          <w:lang w:val="sr-Latn-ME"/>
        </w:rPr>
        <w:t>Humir</w:t>
      </w:r>
      <w:r w:rsidR="008C42B0" w:rsidRPr="00AD3B49">
        <w:rPr>
          <w:rFonts w:ascii="Times New Roman" w:hAnsi="Times New Roman" w:cs="Times New Roman"/>
          <w:color w:val="auto"/>
          <w:sz w:val="22"/>
          <w:szCs w:val="22"/>
          <w:lang w:val="sr-Latn-ME"/>
        </w:rPr>
        <w:t>a</w:t>
      </w:r>
      <w:r w:rsidR="00A03F52" w:rsidRPr="00AD3B49">
        <w:rPr>
          <w:rFonts w:ascii="Times New Roman" w:hAnsi="Times New Roman" w:cs="Times New Roman"/>
          <w:color w:val="auto"/>
          <w:sz w:val="22"/>
          <w:szCs w:val="22"/>
          <w:lang w:val="sr-Latn-ME"/>
        </w:rPr>
        <w:t>, odnosno 5</w:t>
      </w:r>
      <w:r w:rsidRPr="00AD3B49">
        <w:rPr>
          <w:rFonts w:ascii="Times New Roman" w:hAnsi="Times New Roman" w:cs="Times New Roman"/>
          <w:color w:val="auto"/>
          <w:sz w:val="22"/>
          <w:szCs w:val="22"/>
          <w:lang w:val="sr-Latn-ME"/>
        </w:rPr>
        <w:t>,</w:t>
      </w:r>
      <w:r w:rsidR="00A03F52" w:rsidRPr="00AD3B49">
        <w:rPr>
          <w:rFonts w:ascii="Times New Roman" w:hAnsi="Times New Roman" w:cs="Times New Roman"/>
          <w:color w:val="auto"/>
          <w:sz w:val="22"/>
          <w:szCs w:val="22"/>
          <w:lang w:val="sr-Latn-ME"/>
        </w:rPr>
        <w:t>1</w:t>
      </w:r>
      <w:r w:rsidR="00A03F52" w:rsidRPr="00AD3B49">
        <w:rPr>
          <w:rFonts w:ascii="Times New Roman" w:hAnsi="Times New Roman" w:cs="Times New Roman"/>
          <w:sz w:val="22"/>
          <w:szCs w:val="22"/>
          <w:lang w:val="sr-Latn-ME"/>
        </w:rPr>
        <w:t xml:space="preserve"> (2,4</w:t>
      </w:r>
      <w:r w:rsidRPr="00AD3B49">
        <w:rPr>
          <w:rFonts w:ascii="Times New Roman" w:hAnsi="Times New Roman" w:cs="Times New Roman"/>
          <w:sz w:val="22"/>
          <w:szCs w:val="22"/>
          <w:lang w:val="sr-Latn-ME"/>
        </w:rPr>
        <w:t xml:space="preserve">; </w:t>
      </w:r>
      <w:r w:rsidR="00A03F52" w:rsidRPr="00AD3B49">
        <w:rPr>
          <w:rFonts w:ascii="Times New Roman" w:hAnsi="Times New Roman" w:cs="Times New Roman"/>
          <w:sz w:val="22"/>
          <w:szCs w:val="22"/>
          <w:lang w:val="sr-Latn-ME"/>
        </w:rPr>
        <w:t>10,7</w:t>
      </w:r>
      <w:r w:rsidRPr="00AD3B49">
        <w:rPr>
          <w:rFonts w:ascii="Times New Roman" w:hAnsi="Times New Roman" w:cs="Times New Roman"/>
          <w:sz w:val="22"/>
          <w:szCs w:val="22"/>
          <w:lang w:val="sr-Latn-ME"/>
        </w:rPr>
        <w:t>)</w:t>
      </w:r>
      <w:r w:rsidR="007D6ABC" w:rsidRPr="00AD3B49">
        <w:rPr>
          <w:rFonts w:ascii="Times New Roman" w:hAnsi="Times New Roman" w:cs="Times New Roman"/>
          <w:color w:val="auto"/>
          <w:sz w:val="22"/>
          <w:szCs w:val="22"/>
          <w:lang w:val="sr-Latn-ME"/>
        </w:rPr>
        <w:t xml:space="preserve"> na </w:t>
      </w:r>
      <w:r w:rsidR="007D6ABC" w:rsidRPr="00AD3B49">
        <w:rPr>
          <w:rFonts w:ascii="Times New Roman" w:hAnsi="Times New Roman" w:cs="Times New Roman"/>
          <w:color w:val="auto"/>
          <w:sz w:val="22"/>
          <w:szCs w:val="22"/>
          <w:lang w:val="sr-Latn-ME"/>
        </w:rPr>
        <w:lastRenderedPageBreak/>
        <w:t>1000 pacijent</w:t>
      </w:r>
      <w:r w:rsidRPr="00AD3B49">
        <w:rPr>
          <w:rFonts w:ascii="Times New Roman" w:hAnsi="Times New Roman" w:cs="Times New Roman"/>
          <w:color w:val="auto"/>
          <w:sz w:val="22"/>
          <w:szCs w:val="22"/>
          <w:lang w:val="sr-Latn-ME"/>
        </w:rPr>
        <w:t>-god</w:t>
      </w:r>
      <w:r w:rsidR="007D6ABC" w:rsidRPr="00AD3B49">
        <w:rPr>
          <w:rFonts w:ascii="Times New Roman" w:hAnsi="Times New Roman" w:cs="Times New Roman"/>
          <w:color w:val="auto"/>
          <w:sz w:val="22"/>
          <w:szCs w:val="22"/>
          <w:lang w:val="sr-Latn-ME"/>
        </w:rPr>
        <w:t>ina u kontrolnoj grupi pacijenata</w:t>
      </w:r>
      <w:r w:rsidRPr="00AD3B49">
        <w:rPr>
          <w:rFonts w:ascii="Times New Roman" w:hAnsi="Times New Roman" w:cs="Times New Roman"/>
          <w:color w:val="auto"/>
          <w:sz w:val="22"/>
          <w:szCs w:val="22"/>
          <w:lang w:val="sr-Latn-ME"/>
        </w:rPr>
        <w:t>. Od tih tumora kože, karcinom skvamoznih ćelija se javljao  (interval pouzdanosti 95%) u stopi od 2,6</w:t>
      </w:r>
      <w:r w:rsidR="00A03F52" w:rsidRPr="00AD3B49">
        <w:rPr>
          <w:rFonts w:ascii="Times New Roman" w:hAnsi="Times New Roman" w:cs="Times New Roman"/>
          <w:sz w:val="22"/>
          <w:szCs w:val="22"/>
          <w:lang w:val="sr-Latn-ME"/>
        </w:rPr>
        <w:t xml:space="preserve"> (1,2</w:t>
      </w:r>
      <w:r w:rsidRPr="00AD3B49">
        <w:rPr>
          <w:rFonts w:ascii="Times New Roman" w:hAnsi="Times New Roman" w:cs="Times New Roman"/>
          <w:sz w:val="22"/>
          <w:szCs w:val="22"/>
          <w:lang w:val="sr-Latn-ME"/>
        </w:rPr>
        <w:t>; 5,5)</w:t>
      </w:r>
      <w:r w:rsidR="007D6ABC" w:rsidRPr="00AD3B49">
        <w:rPr>
          <w:rFonts w:ascii="Times New Roman" w:hAnsi="Times New Roman" w:cs="Times New Roman"/>
          <w:color w:val="auto"/>
          <w:sz w:val="22"/>
          <w:szCs w:val="22"/>
          <w:lang w:val="sr-Latn-ME"/>
        </w:rPr>
        <w:t xml:space="preserve"> na 1000 pacijent-godina kod pacijenata</w:t>
      </w:r>
      <w:r w:rsidRPr="00AD3B49">
        <w:rPr>
          <w:rFonts w:ascii="Times New Roman" w:hAnsi="Times New Roman" w:cs="Times New Roman"/>
          <w:color w:val="auto"/>
          <w:sz w:val="22"/>
          <w:szCs w:val="22"/>
          <w:lang w:val="sr-Latn-ME"/>
        </w:rPr>
        <w:t xml:space="preserve"> na </w:t>
      </w:r>
      <w:r w:rsidR="008C42B0" w:rsidRPr="00AD3B49">
        <w:rPr>
          <w:rFonts w:ascii="Times New Roman" w:hAnsi="Times New Roman" w:cs="Times New Roman"/>
          <w:color w:val="auto"/>
          <w:sz w:val="22"/>
          <w:szCs w:val="22"/>
          <w:lang w:val="sr-Latn-ME"/>
        </w:rPr>
        <w:t xml:space="preserve">lijeku </w:t>
      </w:r>
      <w:r w:rsidRPr="00AD3B49">
        <w:rPr>
          <w:rFonts w:ascii="Times New Roman" w:hAnsi="Times New Roman" w:cs="Times New Roman"/>
          <w:color w:val="auto"/>
          <w:sz w:val="22"/>
          <w:szCs w:val="22"/>
          <w:lang w:val="sr-Latn-ME"/>
        </w:rPr>
        <w:t>Humir</w:t>
      </w:r>
      <w:r w:rsidR="008C42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i u stopi od</w:t>
      </w:r>
      <w:r w:rsidR="007D6ABC" w:rsidRPr="00AD3B49">
        <w:rPr>
          <w:rFonts w:ascii="Times New Roman" w:hAnsi="Times New Roman" w:cs="Times New Roman"/>
          <w:color w:val="auto"/>
          <w:sz w:val="22"/>
          <w:szCs w:val="22"/>
          <w:lang w:val="sr-Latn-ME"/>
        </w:rPr>
        <w:t xml:space="preserve"> 0,7 (0,1; 5,2) na 1000 pacijent</w:t>
      </w:r>
      <w:r w:rsidRPr="00AD3B49">
        <w:rPr>
          <w:rFonts w:ascii="Times New Roman" w:hAnsi="Times New Roman" w:cs="Times New Roman"/>
          <w:color w:val="auto"/>
          <w:sz w:val="22"/>
          <w:szCs w:val="22"/>
          <w:lang w:val="sr-Latn-ME"/>
        </w:rPr>
        <w:t xml:space="preserve">-godina u kontrolnoj grupi. Limfomi su se javljali u stopi (interval pouzdanosti 95%) od </w:t>
      </w:r>
      <w:r w:rsidR="00A03F52" w:rsidRPr="00AD3B49">
        <w:rPr>
          <w:rFonts w:ascii="Times New Roman" w:hAnsi="Times New Roman" w:cs="Times New Roman"/>
          <w:sz w:val="22"/>
          <w:szCs w:val="22"/>
          <w:lang w:val="sr-Latn-ME"/>
        </w:rPr>
        <w:t>0,7</w:t>
      </w:r>
      <w:r w:rsidRPr="00AD3B49">
        <w:rPr>
          <w:rFonts w:ascii="Times New Roman" w:hAnsi="Times New Roman" w:cs="Times New Roman"/>
          <w:sz w:val="22"/>
          <w:szCs w:val="22"/>
          <w:lang w:val="sr-Latn-ME"/>
        </w:rPr>
        <w:t xml:space="preserve"> (0,2; 3,0)</w:t>
      </w:r>
      <w:r w:rsidR="007D6ABC" w:rsidRPr="00AD3B49">
        <w:rPr>
          <w:rFonts w:ascii="Times New Roman" w:hAnsi="Times New Roman" w:cs="Times New Roman"/>
          <w:color w:val="auto"/>
          <w:sz w:val="22"/>
          <w:szCs w:val="22"/>
          <w:lang w:val="sr-Latn-ME"/>
        </w:rPr>
        <w:t xml:space="preserve"> na 1000 pacijent-godina kod pacijenata</w:t>
      </w:r>
      <w:r w:rsidRPr="00AD3B49">
        <w:rPr>
          <w:rFonts w:ascii="Times New Roman" w:hAnsi="Times New Roman" w:cs="Times New Roman"/>
          <w:color w:val="auto"/>
          <w:sz w:val="22"/>
          <w:szCs w:val="22"/>
          <w:lang w:val="sr-Latn-ME"/>
        </w:rPr>
        <w:t xml:space="preserve"> na </w:t>
      </w:r>
      <w:r w:rsidR="008C42B0" w:rsidRPr="00AD3B49">
        <w:rPr>
          <w:rFonts w:ascii="Times New Roman" w:hAnsi="Times New Roman" w:cs="Times New Roman"/>
          <w:color w:val="auto"/>
          <w:sz w:val="22"/>
          <w:szCs w:val="22"/>
          <w:lang w:val="sr-Latn-ME"/>
        </w:rPr>
        <w:t xml:space="preserve">lijeku </w:t>
      </w:r>
      <w:r w:rsidRPr="00AD3B49">
        <w:rPr>
          <w:rFonts w:ascii="Times New Roman" w:hAnsi="Times New Roman" w:cs="Times New Roman"/>
          <w:color w:val="auto"/>
          <w:sz w:val="22"/>
          <w:szCs w:val="22"/>
          <w:lang w:val="sr-Latn-ME"/>
        </w:rPr>
        <w:t>Humir</w:t>
      </w:r>
      <w:r w:rsidR="008C42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odnosno u stopi od 1,5</w:t>
      </w:r>
      <w:r w:rsidR="00A03F52" w:rsidRPr="00AD3B49">
        <w:rPr>
          <w:rFonts w:ascii="Times New Roman" w:hAnsi="Times New Roman" w:cs="Times New Roman"/>
          <w:sz w:val="22"/>
          <w:szCs w:val="22"/>
          <w:lang w:val="sr-Latn-ME"/>
        </w:rPr>
        <w:t xml:space="preserve"> (0,4; 5,8</w:t>
      </w:r>
      <w:r w:rsidRPr="00AD3B49">
        <w:rPr>
          <w:rFonts w:ascii="Times New Roman" w:hAnsi="Times New Roman" w:cs="Times New Roman"/>
          <w:sz w:val="22"/>
          <w:szCs w:val="22"/>
          <w:lang w:val="sr-Latn-ME"/>
        </w:rPr>
        <w:t>)</w:t>
      </w:r>
      <w:r w:rsidR="007D6ABC" w:rsidRPr="00AD3B49">
        <w:rPr>
          <w:rFonts w:ascii="Times New Roman" w:hAnsi="Times New Roman" w:cs="Times New Roman"/>
          <w:color w:val="auto"/>
          <w:sz w:val="22"/>
          <w:szCs w:val="22"/>
          <w:lang w:val="sr-Latn-ME"/>
        </w:rPr>
        <w:t xml:space="preserve"> na 1000 paci</w:t>
      </w:r>
      <w:r w:rsidR="00AC411C" w:rsidRPr="00AD3B49">
        <w:rPr>
          <w:rFonts w:ascii="Times New Roman" w:hAnsi="Times New Roman" w:cs="Times New Roman"/>
          <w:color w:val="auto"/>
          <w:sz w:val="22"/>
          <w:szCs w:val="22"/>
          <w:lang w:val="sr-Latn-ME"/>
        </w:rPr>
        <w:t>j</w:t>
      </w:r>
      <w:r w:rsidR="007D6ABC" w:rsidRPr="00AD3B49">
        <w:rPr>
          <w:rFonts w:ascii="Times New Roman" w:hAnsi="Times New Roman" w:cs="Times New Roman"/>
          <w:color w:val="auto"/>
          <w:sz w:val="22"/>
          <w:szCs w:val="22"/>
          <w:lang w:val="sr-Latn-ME"/>
        </w:rPr>
        <w:t>ent</w:t>
      </w:r>
      <w:r w:rsidRPr="00AD3B49">
        <w:rPr>
          <w:rFonts w:ascii="Times New Roman" w:hAnsi="Times New Roman" w:cs="Times New Roman"/>
          <w:color w:val="auto"/>
          <w:sz w:val="22"/>
          <w:szCs w:val="22"/>
          <w:lang w:val="sr-Latn-ME"/>
        </w:rPr>
        <w:t>-godina u kontrolnoj grupi.</w:t>
      </w:r>
    </w:p>
    <w:p w:rsidR="005E2894" w:rsidRPr="00AD3B49" w:rsidRDefault="005E2894" w:rsidP="005E2894">
      <w:pPr>
        <w:pStyle w:val="Default"/>
        <w:ind w:left="567" w:hanging="567"/>
        <w:jc w:val="both"/>
        <w:rPr>
          <w:rFonts w:ascii="Times New Roman" w:hAnsi="Times New Roman" w:cs="Times New Roman"/>
          <w:color w:val="auto"/>
          <w:sz w:val="22"/>
          <w:szCs w:val="22"/>
          <w:lang w:val="sr-Latn-ME"/>
        </w:rPr>
      </w:pPr>
    </w:p>
    <w:p w:rsidR="005E2894" w:rsidRPr="00AD3B49" w:rsidRDefault="005E2894" w:rsidP="005E2894">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Analizom zbirnih rezultata kontrolisanih ispitivanja te ispitivanja koja su u toku i dovršenih otvorenih ispiti</w:t>
      </w:r>
      <w:r w:rsidR="00A03F52" w:rsidRPr="00AD3B49">
        <w:rPr>
          <w:rFonts w:ascii="Times New Roman" w:hAnsi="Times New Roman" w:cs="Times New Roman"/>
          <w:color w:val="auto"/>
          <w:sz w:val="22"/>
          <w:szCs w:val="22"/>
          <w:lang w:val="sr-Latn-ME"/>
        </w:rPr>
        <w:t>vanja kod ukupno 5.727</w:t>
      </w:r>
      <w:r w:rsidR="00064DF0" w:rsidRPr="00AD3B49">
        <w:rPr>
          <w:rFonts w:ascii="Times New Roman" w:hAnsi="Times New Roman" w:cs="Times New Roman"/>
          <w:color w:val="auto"/>
          <w:sz w:val="22"/>
          <w:szCs w:val="22"/>
          <w:lang w:val="sr-Latn-ME"/>
        </w:rPr>
        <w:t xml:space="preserve"> pacijenata</w:t>
      </w:r>
      <w:r w:rsidR="00A03F52" w:rsidRPr="00AD3B49">
        <w:rPr>
          <w:rFonts w:ascii="Times New Roman" w:hAnsi="Times New Roman" w:cs="Times New Roman"/>
          <w:color w:val="auto"/>
          <w:sz w:val="22"/>
          <w:szCs w:val="22"/>
          <w:lang w:val="sr-Latn-ME"/>
        </w:rPr>
        <w:t xml:space="preserve"> i više od 24.568</w:t>
      </w:r>
      <w:r w:rsidRPr="00AD3B49">
        <w:rPr>
          <w:rFonts w:ascii="Times New Roman" w:hAnsi="Times New Roman" w:cs="Times New Roman"/>
          <w:color w:val="auto"/>
          <w:sz w:val="22"/>
          <w:szCs w:val="22"/>
          <w:lang w:val="sr-Latn-ME"/>
        </w:rPr>
        <w:t xml:space="preserve"> godina terapije i medijanom trajan</w:t>
      </w:r>
      <w:r w:rsidR="00A03F52" w:rsidRPr="00AD3B49">
        <w:rPr>
          <w:rFonts w:ascii="Times New Roman" w:hAnsi="Times New Roman" w:cs="Times New Roman"/>
          <w:color w:val="auto"/>
          <w:sz w:val="22"/>
          <w:szCs w:val="22"/>
          <w:lang w:val="sr-Latn-ME"/>
        </w:rPr>
        <w:t>ja terapije od 3,4</w:t>
      </w:r>
      <w:r w:rsidR="00064DF0" w:rsidRPr="00AD3B49">
        <w:rPr>
          <w:rFonts w:ascii="Times New Roman" w:hAnsi="Times New Roman" w:cs="Times New Roman"/>
          <w:color w:val="auto"/>
          <w:sz w:val="22"/>
          <w:szCs w:val="22"/>
          <w:lang w:val="sr-Latn-ME"/>
        </w:rPr>
        <w:t xml:space="preserve"> godine, dobij</w:t>
      </w:r>
      <w:r w:rsidRPr="00AD3B49">
        <w:rPr>
          <w:rFonts w:ascii="Times New Roman" w:hAnsi="Times New Roman" w:cs="Times New Roman"/>
          <w:color w:val="auto"/>
          <w:sz w:val="22"/>
          <w:szCs w:val="22"/>
          <w:lang w:val="sr-Latn-ME"/>
        </w:rPr>
        <w:t xml:space="preserve">ena je prosječna učestalost </w:t>
      </w:r>
      <w:r w:rsidR="000D772C" w:rsidRPr="00AD3B49">
        <w:rPr>
          <w:rFonts w:ascii="Times New Roman" w:hAnsi="Times New Roman" w:cs="Times New Roman"/>
          <w:color w:val="auto"/>
          <w:sz w:val="22"/>
          <w:szCs w:val="22"/>
          <w:lang w:val="sr-Latn-ME"/>
        </w:rPr>
        <w:t xml:space="preserve">malignih </w:t>
      </w:r>
      <w:r w:rsidRPr="00AD3B49">
        <w:rPr>
          <w:rFonts w:ascii="Times New Roman" w:hAnsi="Times New Roman" w:cs="Times New Roman"/>
          <w:color w:val="auto"/>
          <w:sz w:val="22"/>
          <w:szCs w:val="22"/>
          <w:lang w:val="sr-Latn-ME"/>
        </w:rPr>
        <w:t>bolesti, isključujući limfome i nemelanoms</w:t>
      </w:r>
      <w:r w:rsidR="00A03F52" w:rsidRPr="00AD3B49">
        <w:rPr>
          <w:rFonts w:ascii="Times New Roman" w:hAnsi="Times New Roman" w:cs="Times New Roman"/>
          <w:color w:val="auto"/>
          <w:sz w:val="22"/>
          <w:szCs w:val="22"/>
          <w:lang w:val="sr-Latn-ME"/>
        </w:rPr>
        <w:t>ke tumore kože, od približno 8,8</w:t>
      </w:r>
      <w:r w:rsidRPr="00AD3B49">
        <w:rPr>
          <w:rFonts w:ascii="Times New Roman" w:hAnsi="Times New Roman" w:cs="Times New Roman"/>
          <w:color w:val="auto"/>
          <w:sz w:val="22"/>
          <w:szCs w:val="22"/>
          <w:lang w:val="sr-Latn-ME"/>
        </w:rPr>
        <w:t xml:space="preserve"> na 1000 </w:t>
      </w:r>
      <w:r w:rsidR="0098465B" w:rsidRPr="00AD3B49">
        <w:rPr>
          <w:rFonts w:ascii="Times New Roman" w:hAnsi="Times New Roman" w:cs="Times New Roman"/>
          <w:color w:val="auto"/>
          <w:sz w:val="22"/>
          <w:szCs w:val="22"/>
          <w:lang w:val="sr-Latn-ME"/>
        </w:rPr>
        <w:t xml:space="preserve">pacijent </w:t>
      </w:r>
      <w:r w:rsidRPr="00AD3B49">
        <w:rPr>
          <w:rFonts w:ascii="Times New Roman" w:hAnsi="Times New Roman" w:cs="Times New Roman"/>
          <w:color w:val="auto"/>
          <w:sz w:val="22"/>
          <w:szCs w:val="22"/>
          <w:lang w:val="sr-Latn-ME"/>
        </w:rPr>
        <w:t>godina terapije. Učestalost nemelanomskih tu</w:t>
      </w:r>
      <w:r w:rsidR="00A03F52" w:rsidRPr="00AD3B49">
        <w:rPr>
          <w:rFonts w:ascii="Times New Roman" w:hAnsi="Times New Roman" w:cs="Times New Roman"/>
          <w:color w:val="auto"/>
          <w:sz w:val="22"/>
          <w:szCs w:val="22"/>
          <w:lang w:val="sr-Latn-ME"/>
        </w:rPr>
        <w:t>mora kože bila je približno 10,3</w:t>
      </w:r>
      <w:r w:rsidRPr="00AD3B49">
        <w:rPr>
          <w:rFonts w:ascii="Times New Roman" w:hAnsi="Times New Roman" w:cs="Times New Roman"/>
          <w:color w:val="auto"/>
          <w:sz w:val="22"/>
          <w:szCs w:val="22"/>
          <w:lang w:val="sr-Latn-ME"/>
        </w:rPr>
        <w:t xml:space="preserve"> na 100</w:t>
      </w:r>
      <w:r w:rsidR="00A03F52" w:rsidRPr="00AD3B49">
        <w:rPr>
          <w:rFonts w:ascii="Times New Roman" w:hAnsi="Times New Roman" w:cs="Times New Roman"/>
          <w:color w:val="auto"/>
          <w:sz w:val="22"/>
          <w:szCs w:val="22"/>
          <w:lang w:val="sr-Latn-ME"/>
        </w:rPr>
        <w:t>0</w:t>
      </w:r>
      <w:r w:rsidR="0098465B" w:rsidRPr="00AD3B49">
        <w:rPr>
          <w:rFonts w:ascii="Times New Roman" w:hAnsi="Times New Roman" w:cs="Times New Roman"/>
          <w:color w:val="auto"/>
          <w:sz w:val="22"/>
          <w:szCs w:val="22"/>
          <w:lang w:val="sr-Latn-ME"/>
        </w:rPr>
        <w:t xml:space="preserve"> pacijent</w:t>
      </w:r>
      <w:r w:rsidR="00A03F52" w:rsidRPr="00AD3B49">
        <w:rPr>
          <w:rFonts w:ascii="Times New Roman" w:hAnsi="Times New Roman" w:cs="Times New Roman"/>
          <w:color w:val="auto"/>
          <w:sz w:val="22"/>
          <w:szCs w:val="22"/>
          <w:lang w:val="sr-Latn-ME"/>
        </w:rPr>
        <w:t xml:space="preserve"> godina terapije, a limfoma 1,4</w:t>
      </w:r>
      <w:r w:rsidRPr="00AD3B49">
        <w:rPr>
          <w:rFonts w:ascii="Times New Roman" w:hAnsi="Times New Roman" w:cs="Times New Roman"/>
          <w:color w:val="auto"/>
          <w:sz w:val="22"/>
          <w:szCs w:val="22"/>
          <w:lang w:val="sr-Latn-ME"/>
        </w:rPr>
        <w:t xml:space="preserve"> na 1000</w:t>
      </w:r>
      <w:r w:rsidR="0098465B" w:rsidRPr="00AD3B49">
        <w:rPr>
          <w:rFonts w:ascii="Times New Roman" w:hAnsi="Times New Roman" w:cs="Times New Roman"/>
          <w:color w:val="auto"/>
          <w:sz w:val="22"/>
          <w:szCs w:val="22"/>
          <w:lang w:val="sr-Latn-ME"/>
        </w:rPr>
        <w:t xml:space="preserve"> pacijent</w:t>
      </w:r>
      <w:r w:rsidRPr="00AD3B49">
        <w:rPr>
          <w:rFonts w:ascii="Times New Roman" w:hAnsi="Times New Roman" w:cs="Times New Roman"/>
          <w:color w:val="auto"/>
          <w:sz w:val="22"/>
          <w:szCs w:val="22"/>
          <w:lang w:val="sr-Latn-ME"/>
        </w:rPr>
        <w:t xml:space="preserve"> godina terapije.</w:t>
      </w:r>
    </w:p>
    <w:p w:rsidR="005E2894" w:rsidRPr="00AD3B49" w:rsidRDefault="005E2894" w:rsidP="005E2894">
      <w:pPr>
        <w:pStyle w:val="Default"/>
        <w:jc w:val="both"/>
        <w:rPr>
          <w:rFonts w:ascii="Times New Roman" w:hAnsi="Times New Roman" w:cs="Times New Roman"/>
          <w:color w:val="auto"/>
          <w:sz w:val="22"/>
          <w:szCs w:val="22"/>
          <w:lang w:val="sr-Latn-ME"/>
        </w:rPr>
      </w:pPr>
    </w:p>
    <w:p w:rsidR="005E2894" w:rsidRPr="00AD3B49" w:rsidRDefault="005E2894" w:rsidP="005E2894">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Iskustva nakon stavljanja lijeka u promet od januara 2003. godine do decembra 2010. godine, pretežno za liječenje reumatoidnog artritisa, uk</w:t>
      </w:r>
      <w:r w:rsidR="00A16310" w:rsidRPr="00AD3B49">
        <w:rPr>
          <w:rFonts w:ascii="Times New Roman" w:hAnsi="Times New Roman" w:cs="Times New Roman"/>
          <w:color w:val="auto"/>
          <w:sz w:val="22"/>
          <w:szCs w:val="22"/>
          <w:lang w:val="sr-Latn-ME"/>
        </w:rPr>
        <w:t>azala su na učestalost malignih</w:t>
      </w:r>
      <w:r w:rsidRPr="00AD3B49">
        <w:rPr>
          <w:rFonts w:ascii="Times New Roman" w:hAnsi="Times New Roman" w:cs="Times New Roman"/>
          <w:color w:val="auto"/>
          <w:sz w:val="22"/>
          <w:szCs w:val="22"/>
          <w:lang w:val="sr-Latn-ME"/>
        </w:rPr>
        <w:t xml:space="preserve"> bolesti od približno 2,7 na 1000 godina terapije. Stopa pojavnosti nemelanomskih tumora kože i limfoma bila je 0,2, odnosno 0,3 na 1</w:t>
      </w:r>
      <w:r w:rsidR="00064DF0" w:rsidRPr="00AD3B49">
        <w:rPr>
          <w:rFonts w:ascii="Times New Roman" w:hAnsi="Times New Roman" w:cs="Times New Roman"/>
          <w:color w:val="auto"/>
          <w:sz w:val="22"/>
          <w:szCs w:val="22"/>
          <w:lang w:val="sr-Latn-ME"/>
        </w:rPr>
        <w:t xml:space="preserve">000 godina terapije (vidjeti </w:t>
      </w:r>
      <w:r w:rsidR="002D5061" w:rsidRPr="00AD3B49">
        <w:rPr>
          <w:rFonts w:ascii="Times New Roman" w:hAnsi="Times New Roman" w:cs="Times New Roman"/>
          <w:color w:val="auto"/>
          <w:sz w:val="22"/>
          <w:szCs w:val="22"/>
          <w:lang w:val="sr-Latn-ME"/>
        </w:rPr>
        <w:t>odjeljak</w:t>
      </w:r>
      <w:r w:rsidRPr="00AD3B49">
        <w:rPr>
          <w:rFonts w:ascii="Times New Roman" w:hAnsi="Times New Roman" w:cs="Times New Roman"/>
          <w:color w:val="auto"/>
          <w:sz w:val="22"/>
          <w:szCs w:val="22"/>
          <w:lang w:val="sr-Latn-ME"/>
        </w:rPr>
        <w:t xml:space="preserve"> 4.4).</w:t>
      </w:r>
    </w:p>
    <w:p w:rsidR="005E2894" w:rsidRPr="00AD3B49" w:rsidRDefault="005E2894" w:rsidP="005E2894">
      <w:pPr>
        <w:pStyle w:val="Default"/>
        <w:jc w:val="both"/>
        <w:rPr>
          <w:rFonts w:ascii="Times New Roman" w:hAnsi="Times New Roman" w:cs="Times New Roman"/>
          <w:color w:val="auto"/>
          <w:sz w:val="22"/>
          <w:szCs w:val="22"/>
          <w:lang w:val="sr-Latn-ME"/>
        </w:rPr>
      </w:pPr>
    </w:p>
    <w:p w:rsidR="005E2894" w:rsidRPr="00AD3B49" w:rsidRDefault="005E2894" w:rsidP="005E2894">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Zabilježeni su i rijetki slučajevi hepatospleničnog T-ćelijskog limfoma u postmarketinškom praćenju p</w:t>
      </w:r>
      <w:r w:rsidR="00064DF0" w:rsidRPr="00AD3B49">
        <w:rPr>
          <w:rFonts w:ascii="Times New Roman" w:hAnsi="Times New Roman" w:cs="Times New Roman"/>
          <w:color w:val="auto"/>
          <w:sz w:val="22"/>
          <w:szCs w:val="22"/>
          <w:lang w:val="sr-Latn-ME"/>
        </w:rPr>
        <w:t xml:space="preserve">rimjene adalimumaba (vidjeti </w:t>
      </w:r>
      <w:r w:rsidR="002D5061" w:rsidRPr="00AD3B49">
        <w:rPr>
          <w:rFonts w:ascii="Times New Roman" w:hAnsi="Times New Roman" w:cs="Times New Roman"/>
          <w:color w:val="auto"/>
          <w:sz w:val="22"/>
          <w:szCs w:val="22"/>
          <w:lang w:val="sr-Latn-ME"/>
        </w:rPr>
        <w:t>odjeljak</w:t>
      </w:r>
      <w:r w:rsidRPr="00AD3B49">
        <w:rPr>
          <w:rFonts w:ascii="Times New Roman" w:hAnsi="Times New Roman" w:cs="Times New Roman"/>
          <w:color w:val="auto"/>
          <w:sz w:val="22"/>
          <w:szCs w:val="22"/>
          <w:lang w:val="sr-Latn-ME"/>
        </w:rPr>
        <w:t xml:space="preserve"> 4.4).</w:t>
      </w:r>
    </w:p>
    <w:p w:rsidR="005E2894" w:rsidRPr="00AD3B49" w:rsidRDefault="005E2894" w:rsidP="005E2894">
      <w:pPr>
        <w:pStyle w:val="Default"/>
        <w:jc w:val="both"/>
        <w:rPr>
          <w:rFonts w:ascii="Times New Roman" w:hAnsi="Times New Roman" w:cs="Times New Roman"/>
          <w:color w:val="auto"/>
          <w:sz w:val="22"/>
          <w:szCs w:val="22"/>
          <w:lang w:val="sr-Latn-ME"/>
        </w:rPr>
      </w:pPr>
    </w:p>
    <w:p w:rsidR="005E2894" w:rsidRPr="00AD3B49" w:rsidRDefault="005E2894" w:rsidP="005E2894">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Autoantitijela</w:t>
      </w:r>
    </w:p>
    <w:p w:rsidR="005E2894" w:rsidRPr="00AD3B49" w:rsidRDefault="005E2894" w:rsidP="005E2894">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U ispitivanjima (I – V) reumatoidnog a</w:t>
      </w:r>
      <w:r w:rsidR="00064DF0" w:rsidRPr="00AD3B49">
        <w:rPr>
          <w:rFonts w:ascii="Times New Roman" w:hAnsi="Times New Roman" w:cs="Times New Roman"/>
          <w:color w:val="auto"/>
          <w:sz w:val="22"/>
          <w:szCs w:val="22"/>
          <w:lang w:val="sr-Latn-ME"/>
        </w:rPr>
        <w:t>rtritisa uzorci seruma pacijenata</w:t>
      </w:r>
      <w:r w:rsidRPr="00AD3B49">
        <w:rPr>
          <w:rFonts w:ascii="Times New Roman" w:hAnsi="Times New Roman" w:cs="Times New Roman"/>
          <w:color w:val="auto"/>
          <w:sz w:val="22"/>
          <w:szCs w:val="22"/>
          <w:lang w:val="sr-Latn-ME"/>
        </w:rPr>
        <w:t xml:space="preserve"> višek</w:t>
      </w:r>
      <w:r w:rsidR="00A16310" w:rsidRPr="00AD3B49">
        <w:rPr>
          <w:rFonts w:ascii="Times New Roman" w:hAnsi="Times New Roman" w:cs="Times New Roman"/>
          <w:color w:val="auto"/>
          <w:sz w:val="22"/>
          <w:szCs w:val="22"/>
          <w:lang w:val="sr-Latn-ME"/>
        </w:rPr>
        <w:t>ratno su testirani na prisustvo</w:t>
      </w:r>
      <w:r w:rsidRPr="00AD3B49">
        <w:rPr>
          <w:rFonts w:ascii="Times New Roman" w:hAnsi="Times New Roman" w:cs="Times New Roman"/>
          <w:color w:val="auto"/>
          <w:sz w:val="22"/>
          <w:szCs w:val="22"/>
          <w:lang w:val="sr-Latn-ME"/>
        </w:rPr>
        <w:t xml:space="preserve"> autoantitijela. U tim </w:t>
      </w:r>
      <w:r w:rsidRPr="00AD3B49">
        <w:rPr>
          <w:rFonts w:ascii="Times New Roman" w:hAnsi="Times New Roman" w:cs="Times New Roman"/>
          <w:iCs/>
          <w:color w:val="auto"/>
          <w:sz w:val="22"/>
          <w:szCs w:val="22"/>
          <w:lang w:val="sr-Latn-ME"/>
        </w:rPr>
        <w:t>ispitivanjima</w:t>
      </w:r>
      <w:r w:rsidRPr="00AD3B49">
        <w:rPr>
          <w:rFonts w:ascii="Times New Roman" w:hAnsi="Times New Roman" w:cs="Times New Roman"/>
          <w:i/>
          <w:iCs/>
          <w:color w:val="auto"/>
          <w:sz w:val="22"/>
          <w:szCs w:val="22"/>
          <w:lang w:val="sr-Latn-ME"/>
        </w:rPr>
        <w:t xml:space="preserve"> </w:t>
      </w:r>
      <w:r w:rsidR="00064DF0" w:rsidRPr="00AD3B49">
        <w:rPr>
          <w:rFonts w:ascii="Times New Roman" w:hAnsi="Times New Roman" w:cs="Times New Roman"/>
          <w:color w:val="auto"/>
          <w:sz w:val="22"/>
          <w:szCs w:val="22"/>
          <w:lang w:val="sr-Latn-ME"/>
        </w:rPr>
        <w:t>kod 11,9% pacijenata</w:t>
      </w:r>
      <w:r w:rsidRPr="00AD3B49">
        <w:rPr>
          <w:rFonts w:ascii="Times New Roman" w:hAnsi="Times New Roman" w:cs="Times New Roman"/>
          <w:color w:val="auto"/>
          <w:sz w:val="22"/>
          <w:szCs w:val="22"/>
          <w:lang w:val="sr-Latn-ME"/>
        </w:rPr>
        <w:t xml:space="preserve"> li</w:t>
      </w:r>
      <w:r w:rsidR="00064DF0" w:rsidRPr="00AD3B49">
        <w:rPr>
          <w:rFonts w:ascii="Times New Roman" w:hAnsi="Times New Roman" w:cs="Times New Roman"/>
          <w:color w:val="auto"/>
          <w:sz w:val="22"/>
          <w:szCs w:val="22"/>
          <w:lang w:val="sr-Latn-ME"/>
        </w:rPr>
        <w:t xml:space="preserve">ječenih </w:t>
      </w:r>
      <w:r w:rsidR="0098465B" w:rsidRPr="00AD3B49">
        <w:rPr>
          <w:rFonts w:ascii="Times New Roman" w:hAnsi="Times New Roman" w:cs="Times New Roman"/>
          <w:color w:val="auto"/>
          <w:sz w:val="22"/>
          <w:szCs w:val="22"/>
          <w:lang w:val="sr-Latn-ME"/>
        </w:rPr>
        <w:t xml:space="preserve">lijekom </w:t>
      </w:r>
      <w:r w:rsidR="00064DF0" w:rsidRPr="00AD3B49">
        <w:rPr>
          <w:rFonts w:ascii="Times New Roman" w:hAnsi="Times New Roman" w:cs="Times New Roman"/>
          <w:color w:val="auto"/>
          <w:sz w:val="22"/>
          <w:szCs w:val="22"/>
          <w:lang w:val="sr-Latn-ME"/>
        </w:rPr>
        <w:t>Humirom i 8,1% pacijenata</w:t>
      </w:r>
      <w:r w:rsidRPr="00AD3B49">
        <w:rPr>
          <w:rFonts w:ascii="Times New Roman" w:hAnsi="Times New Roman" w:cs="Times New Roman"/>
          <w:color w:val="auto"/>
          <w:sz w:val="22"/>
          <w:szCs w:val="22"/>
          <w:lang w:val="sr-Latn-ME"/>
        </w:rPr>
        <w:t xml:space="preserve"> liječenih placebom i aktivnim poredbenim lijekom koji su prije početka liječenja imali negativan titar antinuklearnih antitijela nađen je pozitivan t</w:t>
      </w:r>
      <w:r w:rsidR="00064DF0" w:rsidRPr="00AD3B49">
        <w:rPr>
          <w:rFonts w:ascii="Times New Roman" w:hAnsi="Times New Roman" w:cs="Times New Roman"/>
          <w:color w:val="auto"/>
          <w:sz w:val="22"/>
          <w:szCs w:val="22"/>
          <w:lang w:val="sr-Latn-ME"/>
        </w:rPr>
        <w:t xml:space="preserve">itar nakon 24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primjene lijeka. Klinički simptomi koji upućuju na razvoj sindroma sličnog lupusu zabilježeni su k</w:t>
      </w:r>
      <w:r w:rsidR="00064DF0" w:rsidRPr="00AD3B49">
        <w:rPr>
          <w:rFonts w:ascii="Times New Roman" w:hAnsi="Times New Roman" w:cs="Times New Roman"/>
          <w:color w:val="auto"/>
          <w:sz w:val="22"/>
          <w:szCs w:val="22"/>
          <w:lang w:val="sr-Latn-ME"/>
        </w:rPr>
        <w:t>od dva od ukupno 3.441 pacijenata</w:t>
      </w:r>
      <w:r w:rsidRPr="00AD3B49">
        <w:rPr>
          <w:rFonts w:ascii="Times New Roman" w:hAnsi="Times New Roman" w:cs="Times New Roman"/>
          <w:color w:val="auto"/>
          <w:sz w:val="22"/>
          <w:szCs w:val="22"/>
          <w:lang w:val="sr-Latn-ME"/>
        </w:rPr>
        <w:t xml:space="preserve"> liječenih </w:t>
      </w:r>
      <w:r w:rsidR="0098465B"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98465B"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iz svih ispitivanja reumatoidnog i psorijatičn</w:t>
      </w:r>
      <w:r w:rsidR="00064DF0" w:rsidRPr="00AD3B49">
        <w:rPr>
          <w:rFonts w:ascii="Times New Roman" w:hAnsi="Times New Roman" w:cs="Times New Roman"/>
          <w:color w:val="auto"/>
          <w:sz w:val="22"/>
          <w:szCs w:val="22"/>
          <w:lang w:val="sr-Latn-ME"/>
        </w:rPr>
        <w:t>og artritisa. Ti pacijenti s</w:t>
      </w:r>
      <w:r w:rsidR="00A16310" w:rsidRPr="00AD3B49">
        <w:rPr>
          <w:rFonts w:ascii="Times New Roman" w:hAnsi="Times New Roman" w:cs="Times New Roman"/>
          <w:color w:val="auto"/>
          <w:sz w:val="22"/>
          <w:szCs w:val="22"/>
          <w:lang w:val="sr-Latn-ME"/>
        </w:rPr>
        <w:t>u</w:t>
      </w:r>
      <w:r w:rsidR="00064DF0" w:rsidRPr="00AD3B49">
        <w:rPr>
          <w:rFonts w:ascii="Times New Roman" w:hAnsi="Times New Roman" w:cs="Times New Roman"/>
          <w:color w:val="auto"/>
          <w:sz w:val="22"/>
          <w:szCs w:val="22"/>
          <w:lang w:val="sr-Latn-ME"/>
        </w:rPr>
        <w:t xml:space="preserve"> se</w:t>
      </w:r>
      <w:r w:rsidRPr="00AD3B49">
        <w:rPr>
          <w:rFonts w:ascii="Times New Roman" w:hAnsi="Times New Roman" w:cs="Times New Roman"/>
          <w:color w:val="auto"/>
          <w:sz w:val="22"/>
          <w:szCs w:val="22"/>
          <w:lang w:val="sr-Latn-ME"/>
        </w:rPr>
        <w:t xml:space="preserve"> oporavili nakon prekida li</w:t>
      </w:r>
      <w:r w:rsidR="00064DF0" w:rsidRPr="00AD3B49">
        <w:rPr>
          <w:rFonts w:ascii="Times New Roman" w:hAnsi="Times New Roman" w:cs="Times New Roman"/>
          <w:color w:val="auto"/>
          <w:sz w:val="22"/>
          <w:szCs w:val="22"/>
          <w:lang w:val="sr-Latn-ME"/>
        </w:rPr>
        <w:t>ječenja. Ni kod jednog pacijenta</w:t>
      </w:r>
      <w:r w:rsidRPr="00AD3B49">
        <w:rPr>
          <w:rFonts w:ascii="Times New Roman" w:hAnsi="Times New Roman" w:cs="Times New Roman"/>
          <w:color w:val="auto"/>
          <w:sz w:val="22"/>
          <w:szCs w:val="22"/>
          <w:lang w:val="sr-Latn-ME"/>
        </w:rPr>
        <w:t xml:space="preserve"> nije se razvio lupusni nefritis niti su se pojavili simptomi u centralnom nervnom sistemu.</w:t>
      </w:r>
    </w:p>
    <w:p w:rsidR="005E2894" w:rsidRPr="00AD3B49" w:rsidRDefault="005E2894" w:rsidP="005E2894">
      <w:pPr>
        <w:pStyle w:val="Default"/>
        <w:jc w:val="both"/>
        <w:rPr>
          <w:rFonts w:ascii="Times New Roman" w:hAnsi="Times New Roman" w:cs="Times New Roman"/>
          <w:color w:val="auto"/>
          <w:sz w:val="22"/>
          <w:szCs w:val="22"/>
          <w:lang w:val="sr-Latn-ME"/>
        </w:rPr>
      </w:pPr>
    </w:p>
    <w:p w:rsidR="005E2894" w:rsidRPr="00AD3B49" w:rsidRDefault="005E2894" w:rsidP="005E2894">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Hepatobilijarni događaji</w:t>
      </w:r>
    </w:p>
    <w:p w:rsidR="00E27181" w:rsidRPr="00AD3B49" w:rsidRDefault="00E27181" w:rsidP="00E27181">
      <w:pPr>
        <w:pStyle w:val="Default"/>
        <w:jc w:val="both"/>
        <w:rPr>
          <w:rFonts w:ascii="Times New Roman" w:hAnsi="Times New Roman" w:cs="Times New Roman"/>
          <w:iCs/>
          <w:color w:val="auto"/>
          <w:sz w:val="22"/>
          <w:szCs w:val="22"/>
          <w:lang w:val="sr-Latn-ME"/>
        </w:rPr>
      </w:pPr>
      <w:r w:rsidRPr="00AD3B49">
        <w:rPr>
          <w:rFonts w:ascii="Times New Roman" w:hAnsi="Times New Roman" w:cs="Times New Roman"/>
          <w:iCs/>
          <w:color w:val="auto"/>
          <w:sz w:val="22"/>
          <w:szCs w:val="22"/>
          <w:lang w:val="sr-Latn-ME"/>
        </w:rPr>
        <w:t>U kontrolisanoj fazi 3 ispitivanja sa lijekom Humira, kod pacijenata sa reumatoidnim artritisom i</w:t>
      </w:r>
      <w:r w:rsidRPr="00AD3B49">
        <w:rPr>
          <w:sz w:val="22"/>
          <w:szCs w:val="22"/>
          <w:lang w:val="sr-Latn-ME"/>
        </w:rPr>
        <w:t xml:space="preserve"> </w:t>
      </w:r>
      <w:r w:rsidRPr="00AD3B49">
        <w:rPr>
          <w:rFonts w:ascii="Times New Roman" w:hAnsi="Times New Roman" w:cs="Times New Roman"/>
          <w:iCs/>
          <w:color w:val="auto"/>
          <w:sz w:val="22"/>
          <w:szCs w:val="22"/>
          <w:lang w:val="sr-Latn-ME"/>
        </w:rPr>
        <w:t>psorijatičnim artritisom  sa kontrolnim periodom trajanja od 4 do 104 nedjelje, ALT elevacije ≥3 x ULN su se pojavile kod  3,7 % pacijenata liječenih lijekom Humira i 1,6% pacijenata koji su uzimali placebo.</w:t>
      </w:r>
    </w:p>
    <w:p w:rsidR="003D3610" w:rsidRPr="00AD3B49" w:rsidRDefault="003D3610" w:rsidP="003D3610">
      <w:pPr>
        <w:pStyle w:val="Default"/>
        <w:jc w:val="both"/>
        <w:rPr>
          <w:rFonts w:ascii="Times New Roman" w:hAnsi="Times New Roman" w:cs="Times New Roman"/>
          <w:color w:val="auto"/>
          <w:sz w:val="22"/>
          <w:szCs w:val="22"/>
          <w:lang w:val="sr-Latn-ME"/>
        </w:rPr>
      </w:pPr>
    </w:p>
    <w:p w:rsidR="00E27181" w:rsidRPr="00AD3B49" w:rsidRDefault="00E27181" w:rsidP="00E27181">
      <w:pPr>
        <w:pStyle w:val="Default"/>
        <w:jc w:val="both"/>
        <w:rPr>
          <w:rFonts w:ascii="Times New Roman" w:hAnsi="Times New Roman" w:cs="Times New Roman"/>
          <w:iCs/>
          <w:color w:val="auto"/>
          <w:sz w:val="22"/>
          <w:szCs w:val="22"/>
          <w:lang w:val="sr-Latn-ME"/>
        </w:rPr>
      </w:pPr>
      <w:r w:rsidRPr="00AD3B49">
        <w:rPr>
          <w:rFonts w:ascii="Times New Roman" w:hAnsi="Times New Roman" w:cs="Times New Roman"/>
          <w:iCs/>
          <w:color w:val="auto"/>
          <w:sz w:val="22"/>
          <w:szCs w:val="22"/>
          <w:lang w:val="sr-Latn-ME"/>
        </w:rPr>
        <w:t>U kontrolisanoj fazi 3 ispitivanja sa lijekom Humira, kod pacijenata sa plak psorijazom  sa kontrolnim periodom trajanja od 12 do 24 nedjelje, ALT elevacije ≥3 x ULN su se pojavile kod  1,8 % pacijenata liječenih lijekom Humira i 1,8 % pacijenata koji su uzimali placebo.</w:t>
      </w:r>
    </w:p>
    <w:p w:rsidR="00E27181" w:rsidRPr="00AD3B49" w:rsidRDefault="00E27181" w:rsidP="00E27181">
      <w:pPr>
        <w:pStyle w:val="Default"/>
        <w:tabs>
          <w:tab w:val="left" w:pos="2282"/>
        </w:tabs>
        <w:jc w:val="both"/>
        <w:rPr>
          <w:rFonts w:ascii="Times New Roman" w:hAnsi="Times New Roman" w:cs="Times New Roman"/>
          <w:iCs/>
          <w:color w:val="auto"/>
          <w:sz w:val="22"/>
          <w:szCs w:val="22"/>
          <w:lang w:val="sr-Latn-ME"/>
        </w:rPr>
      </w:pPr>
      <w:r w:rsidRPr="00AD3B49">
        <w:rPr>
          <w:rFonts w:ascii="Times New Roman" w:hAnsi="Times New Roman" w:cs="Times New Roman"/>
          <w:iCs/>
          <w:color w:val="auto"/>
          <w:sz w:val="22"/>
          <w:szCs w:val="22"/>
          <w:lang w:val="sr-Latn-ME"/>
        </w:rPr>
        <w:tab/>
      </w:r>
    </w:p>
    <w:p w:rsidR="003D3610" w:rsidRPr="00AD3B49" w:rsidRDefault="00E27181" w:rsidP="00E2718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iCs/>
          <w:color w:val="auto"/>
          <w:sz w:val="22"/>
          <w:szCs w:val="22"/>
          <w:lang w:val="sr-Latn-ME"/>
        </w:rPr>
        <w:t>U studijama u kojima se ispitivao juvenilni idiopatski artritis (JIA), porast transaminaza je bio mali i slične vrijednosti su bile u grupama koje su uzimale adalimumab i placebo, uglavnom se javljao  kod pacijenata koji su uzimali kombinaciju s metotreksatom.</w:t>
      </w:r>
    </w:p>
    <w:p w:rsidR="00E27181" w:rsidRPr="00AD3B49" w:rsidRDefault="00E27181" w:rsidP="00E2718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U kontrolisanoj fazi 3 ispitivanja sa lijekom Humira, kod </w:t>
      </w:r>
      <w:r w:rsidRPr="00AD3B49">
        <w:rPr>
          <w:rFonts w:ascii="Times New Roman" w:hAnsi="Times New Roman" w:cs="Times New Roman"/>
          <w:iCs/>
          <w:color w:val="auto"/>
          <w:sz w:val="22"/>
          <w:szCs w:val="22"/>
          <w:lang w:val="sr-Latn-ME"/>
        </w:rPr>
        <w:t>pacijenata</w:t>
      </w:r>
      <w:r w:rsidRPr="00AD3B49">
        <w:rPr>
          <w:rFonts w:ascii="Times New Roman" w:hAnsi="Times New Roman" w:cs="Times New Roman"/>
          <w:color w:val="auto"/>
          <w:sz w:val="22"/>
          <w:szCs w:val="22"/>
          <w:lang w:val="sr-Latn-ME"/>
        </w:rPr>
        <w:t xml:space="preserve"> sa Crohnovom bolešću i ulceroznim kolitisom  sa kontrolnim periodom trajanja od 4 do 52 nedjelje, ALT elevacije ≥3 x ULN su se pojavile kod  0,9 % </w:t>
      </w:r>
      <w:r w:rsidRPr="00AD3B49">
        <w:rPr>
          <w:rFonts w:ascii="Times New Roman" w:hAnsi="Times New Roman" w:cs="Times New Roman"/>
          <w:iCs/>
          <w:color w:val="auto"/>
          <w:sz w:val="22"/>
          <w:szCs w:val="22"/>
          <w:lang w:val="sr-Latn-ME"/>
        </w:rPr>
        <w:t>pacijenata</w:t>
      </w:r>
      <w:r w:rsidRPr="00AD3B49">
        <w:rPr>
          <w:rFonts w:ascii="Times New Roman" w:hAnsi="Times New Roman" w:cs="Times New Roman"/>
          <w:color w:val="auto"/>
          <w:sz w:val="22"/>
          <w:szCs w:val="22"/>
          <w:lang w:val="sr-Latn-ME"/>
        </w:rPr>
        <w:t xml:space="preserve"> liječenih lijekom Humira i 0,9 % </w:t>
      </w:r>
      <w:r w:rsidRPr="00AD3B49">
        <w:rPr>
          <w:rFonts w:ascii="Times New Roman" w:hAnsi="Times New Roman" w:cs="Times New Roman"/>
          <w:iCs/>
          <w:color w:val="auto"/>
          <w:sz w:val="22"/>
          <w:szCs w:val="22"/>
          <w:lang w:val="sr-Latn-ME"/>
        </w:rPr>
        <w:t>pacijenata</w:t>
      </w:r>
      <w:r w:rsidRPr="00AD3B49">
        <w:rPr>
          <w:rFonts w:ascii="Times New Roman" w:hAnsi="Times New Roman" w:cs="Times New Roman"/>
          <w:color w:val="auto"/>
          <w:sz w:val="22"/>
          <w:szCs w:val="22"/>
          <w:lang w:val="sr-Latn-ME"/>
        </w:rPr>
        <w:t xml:space="preserve"> koji su uzimali placebo.</w:t>
      </w:r>
    </w:p>
    <w:p w:rsidR="005907F6" w:rsidRPr="00AD3B49" w:rsidRDefault="005907F6" w:rsidP="003D3610">
      <w:pPr>
        <w:pStyle w:val="Default"/>
        <w:jc w:val="both"/>
        <w:rPr>
          <w:rFonts w:ascii="Times New Roman" w:hAnsi="Times New Roman" w:cs="Times New Roman"/>
          <w:color w:val="auto"/>
          <w:sz w:val="22"/>
          <w:szCs w:val="22"/>
          <w:lang w:val="sr-Latn-ME"/>
        </w:rPr>
      </w:pPr>
    </w:p>
    <w:p w:rsidR="003D3610" w:rsidRPr="00AD3B49" w:rsidRDefault="00E27181"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lastRenderedPageBreak/>
        <w:t xml:space="preserve">U </w:t>
      </w:r>
      <w:r w:rsidR="005907F6" w:rsidRPr="00AD3B49">
        <w:rPr>
          <w:rFonts w:ascii="Times New Roman" w:hAnsi="Times New Roman" w:cs="Times New Roman"/>
          <w:color w:val="auto"/>
          <w:sz w:val="22"/>
          <w:szCs w:val="22"/>
          <w:lang w:val="sr-Latn-ME"/>
        </w:rPr>
        <w:t>svim indikacijama</w:t>
      </w:r>
      <w:r w:rsidRPr="00AD3B49">
        <w:rPr>
          <w:rFonts w:ascii="Times New Roman" w:hAnsi="Times New Roman" w:cs="Times New Roman"/>
          <w:color w:val="auto"/>
          <w:sz w:val="22"/>
          <w:szCs w:val="22"/>
          <w:lang w:val="sr-Latn-ME"/>
        </w:rPr>
        <w:t xml:space="preserve"> u kliničkim ispitivanjima,</w:t>
      </w:r>
      <w:r w:rsidR="005907F6" w:rsidRPr="00AD3B49">
        <w:rPr>
          <w:rFonts w:ascii="Times New Roman" w:hAnsi="Times New Roman" w:cs="Times New Roman"/>
          <w:color w:val="auto"/>
          <w:sz w:val="22"/>
          <w:szCs w:val="22"/>
          <w:lang w:val="sr-Latn-ME"/>
        </w:rPr>
        <w:t xml:space="preserve"> pacijenti sa povišenim nivoima ALT su bili </w:t>
      </w:r>
      <w:r w:rsidRPr="00AD3B49">
        <w:rPr>
          <w:rFonts w:ascii="Times New Roman" w:hAnsi="Times New Roman" w:cs="Times New Roman"/>
          <w:color w:val="auto"/>
          <w:sz w:val="22"/>
          <w:szCs w:val="22"/>
          <w:lang w:val="sr-Latn-ME"/>
        </w:rPr>
        <w:t xml:space="preserve">bez simptoma </w:t>
      </w:r>
      <w:r w:rsidR="005907F6" w:rsidRPr="00AD3B49">
        <w:rPr>
          <w:rFonts w:ascii="Times New Roman" w:hAnsi="Times New Roman" w:cs="Times New Roman"/>
          <w:color w:val="auto"/>
          <w:sz w:val="22"/>
          <w:szCs w:val="22"/>
          <w:lang w:val="sr-Latn-ME"/>
        </w:rPr>
        <w:t>i u većini slučajeva povišeni nivo je bio prolazan i rješio se tokom samog liječenja. Međutim, postoje veoma rijetki postmarketinški izvještaji isuficijencije jetre, kao i manje ozbiljnih reakcija koje mogu prethoditi otkazivanju funkcije jetre (hepatitis, uključujući autoimuni hepatitis), kod pacijenata koji su primali adalimumab.</w:t>
      </w:r>
      <w:r w:rsidR="003D3610" w:rsidRPr="00AD3B49">
        <w:rPr>
          <w:rFonts w:ascii="Times New Roman" w:hAnsi="Times New Roman" w:cs="Times New Roman"/>
          <w:color w:val="auto"/>
          <w:sz w:val="22"/>
          <w:szCs w:val="22"/>
          <w:lang w:val="sr-Latn-ME"/>
        </w:rPr>
        <w:t xml:space="preserve"> </w:t>
      </w:r>
    </w:p>
    <w:p w:rsidR="005E2894" w:rsidRPr="00AD3B49" w:rsidRDefault="005E2894" w:rsidP="005E2894">
      <w:pPr>
        <w:pStyle w:val="Default"/>
        <w:jc w:val="both"/>
        <w:rPr>
          <w:rFonts w:ascii="Times New Roman" w:hAnsi="Times New Roman" w:cs="Times New Roman"/>
          <w:color w:val="auto"/>
          <w:sz w:val="22"/>
          <w:szCs w:val="22"/>
          <w:lang w:val="sr-Latn-ME"/>
        </w:rPr>
      </w:pPr>
    </w:p>
    <w:p w:rsidR="005E2894" w:rsidRPr="00AD3B49" w:rsidRDefault="005E2894" w:rsidP="005E2894">
      <w:pPr>
        <w:pStyle w:val="Default"/>
        <w:jc w:val="both"/>
        <w:rPr>
          <w:rFonts w:ascii="Times New Roman" w:hAnsi="Times New Roman" w:cs="Times New Roman"/>
          <w:i/>
          <w:color w:val="auto"/>
          <w:sz w:val="22"/>
          <w:szCs w:val="22"/>
          <w:u w:val="single"/>
          <w:lang w:val="sr-Latn-ME"/>
        </w:rPr>
      </w:pPr>
      <w:r w:rsidRPr="00AD3B49">
        <w:rPr>
          <w:rFonts w:ascii="Times New Roman" w:hAnsi="Times New Roman" w:cs="Times New Roman"/>
          <w:i/>
          <w:color w:val="auto"/>
          <w:sz w:val="22"/>
          <w:szCs w:val="22"/>
          <w:u w:val="single"/>
          <w:lang w:val="sr-Latn-ME"/>
        </w:rPr>
        <w:t>Istovremeno liječenje sa azatioprinom/6-merkaptopurinom</w:t>
      </w:r>
    </w:p>
    <w:p w:rsidR="005E2894" w:rsidRPr="00AD3B49" w:rsidRDefault="005E2894" w:rsidP="00064DF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U kliničkim ispitivanjima kod odraslih </w:t>
      </w:r>
      <w:r w:rsidR="00064DF0" w:rsidRPr="00AD3B49">
        <w:rPr>
          <w:rFonts w:ascii="Times New Roman" w:hAnsi="Times New Roman" w:cs="Times New Roman"/>
          <w:iCs/>
          <w:color w:val="auto"/>
          <w:sz w:val="22"/>
          <w:szCs w:val="22"/>
          <w:lang w:val="sr-Latn-ME"/>
        </w:rPr>
        <w:t>pacijenata</w:t>
      </w:r>
      <w:r w:rsidRPr="00AD3B49">
        <w:rPr>
          <w:rFonts w:ascii="Times New Roman" w:hAnsi="Times New Roman" w:cs="Times New Roman"/>
          <w:color w:val="auto"/>
          <w:sz w:val="22"/>
          <w:szCs w:val="22"/>
          <w:lang w:val="sr-Latn-ME"/>
        </w:rPr>
        <w:t xml:space="preserve"> s Crohnovom bolesti, primje</w:t>
      </w:r>
      <w:r w:rsidR="00064DF0" w:rsidRPr="00AD3B49">
        <w:rPr>
          <w:rFonts w:ascii="Times New Roman" w:hAnsi="Times New Roman" w:cs="Times New Roman"/>
          <w:color w:val="auto"/>
          <w:sz w:val="22"/>
          <w:szCs w:val="22"/>
          <w:lang w:val="sr-Latn-ME"/>
        </w:rPr>
        <w:t>ćena je veća incidenca neželjenih dejst</w:t>
      </w:r>
      <w:r w:rsidR="005907F6" w:rsidRPr="00AD3B49">
        <w:rPr>
          <w:rFonts w:ascii="Times New Roman" w:hAnsi="Times New Roman" w:cs="Times New Roman"/>
          <w:color w:val="auto"/>
          <w:sz w:val="22"/>
          <w:szCs w:val="22"/>
          <w:lang w:val="sr-Latn-ME"/>
        </w:rPr>
        <w:t>a</w:t>
      </w:r>
      <w:r w:rsidR="00064DF0" w:rsidRPr="00AD3B49">
        <w:rPr>
          <w:rFonts w:ascii="Times New Roman" w:hAnsi="Times New Roman" w:cs="Times New Roman"/>
          <w:color w:val="auto"/>
          <w:sz w:val="22"/>
          <w:szCs w:val="22"/>
          <w:lang w:val="sr-Latn-ME"/>
        </w:rPr>
        <w:t>va</w:t>
      </w:r>
      <w:r w:rsidR="005907F6" w:rsidRPr="00AD3B49">
        <w:rPr>
          <w:rFonts w:ascii="Times New Roman" w:hAnsi="Times New Roman" w:cs="Times New Roman"/>
          <w:color w:val="auto"/>
          <w:sz w:val="22"/>
          <w:szCs w:val="22"/>
          <w:lang w:val="sr-Latn-ME"/>
        </w:rPr>
        <w:t xml:space="preserve"> vezanih za maligne</w:t>
      </w:r>
      <w:r w:rsidR="00064DF0" w:rsidRPr="00AD3B49">
        <w:rPr>
          <w:rFonts w:ascii="Times New Roman" w:hAnsi="Times New Roman" w:cs="Times New Roman"/>
          <w:color w:val="auto"/>
          <w:sz w:val="22"/>
          <w:szCs w:val="22"/>
          <w:lang w:val="sr-Latn-ME"/>
        </w:rPr>
        <w:t xml:space="preserve"> bolesti i ozbiljne infekcije</w:t>
      </w:r>
      <w:r w:rsidRPr="00AD3B49">
        <w:rPr>
          <w:rFonts w:ascii="Times New Roman" w:hAnsi="Times New Roman" w:cs="Times New Roman"/>
          <w:color w:val="auto"/>
          <w:sz w:val="22"/>
          <w:szCs w:val="22"/>
          <w:lang w:val="sr-Latn-ME"/>
        </w:rPr>
        <w:t xml:space="preserve"> prilikom liječenja</w:t>
      </w:r>
      <w:r w:rsidR="0098465B" w:rsidRPr="00AD3B49">
        <w:rPr>
          <w:rFonts w:ascii="Times New Roman" w:hAnsi="Times New Roman" w:cs="Times New Roman"/>
          <w:color w:val="auto"/>
          <w:sz w:val="22"/>
          <w:szCs w:val="22"/>
          <w:lang w:val="sr-Latn-ME"/>
        </w:rPr>
        <w:t xml:space="preserve"> lijekom</w:t>
      </w:r>
      <w:r w:rsidRPr="00AD3B49">
        <w:rPr>
          <w:rFonts w:ascii="Times New Roman" w:hAnsi="Times New Roman" w:cs="Times New Roman"/>
          <w:color w:val="auto"/>
          <w:sz w:val="22"/>
          <w:szCs w:val="22"/>
          <w:lang w:val="sr-Latn-ME"/>
        </w:rPr>
        <w:t xml:space="preserve"> Humir</w:t>
      </w:r>
      <w:r w:rsidR="0098465B"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u kombinaciji sa azatioprinom/6-merkapt</w:t>
      </w:r>
      <w:r w:rsidR="003D3610" w:rsidRPr="00AD3B49">
        <w:rPr>
          <w:rFonts w:ascii="Times New Roman" w:hAnsi="Times New Roman" w:cs="Times New Roman"/>
          <w:color w:val="auto"/>
          <w:sz w:val="22"/>
          <w:szCs w:val="22"/>
          <w:lang w:val="sr-Latn-ME"/>
        </w:rPr>
        <w:t>opurinom u odnosu na monoterapiju</w:t>
      </w:r>
      <w:r w:rsidRPr="00AD3B49">
        <w:rPr>
          <w:rFonts w:ascii="Times New Roman" w:hAnsi="Times New Roman" w:cs="Times New Roman"/>
          <w:color w:val="auto"/>
          <w:sz w:val="22"/>
          <w:szCs w:val="22"/>
          <w:lang w:val="sr-Latn-ME"/>
        </w:rPr>
        <w:t xml:space="preserve"> </w:t>
      </w:r>
      <w:r w:rsidR="0098465B"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98465B"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w:t>
      </w:r>
    </w:p>
    <w:p w:rsidR="002A5A4A" w:rsidRPr="00AD3B49" w:rsidRDefault="002A5A4A" w:rsidP="00064DF0">
      <w:pPr>
        <w:pStyle w:val="Default"/>
        <w:jc w:val="both"/>
        <w:rPr>
          <w:rFonts w:ascii="Times New Roman" w:hAnsi="Times New Roman" w:cs="Times New Roman"/>
          <w:color w:val="auto"/>
          <w:sz w:val="22"/>
          <w:szCs w:val="22"/>
          <w:lang w:val="sr-Latn-ME"/>
        </w:rPr>
      </w:pPr>
    </w:p>
    <w:p w:rsidR="00BB1647" w:rsidRPr="00AD3B49" w:rsidRDefault="00BB1647" w:rsidP="00BB1647">
      <w:pPr>
        <w:spacing w:after="200" w:line="276" w:lineRule="auto"/>
        <w:rPr>
          <w:rFonts w:eastAsia="Calibri"/>
          <w:b/>
          <w:sz w:val="22"/>
          <w:szCs w:val="22"/>
          <w:u w:val="single"/>
          <w:lang w:val="sr-Latn-ME"/>
        </w:rPr>
      </w:pPr>
      <w:r w:rsidRPr="00AD3B49">
        <w:rPr>
          <w:rFonts w:eastAsia="Calibri"/>
          <w:b/>
          <w:sz w:val="22"/>
          <w:szCs w:val="22"/>
          <w:u w:val="single"/>
          <w:lang w:val="sr-Latn-ME"/>
        </w:rPr>
        <w:t>Prijavljivanje sumnji na neželjena dejstva</w:t>
      </w:r>
    </w:p>
    <w:p w:rsidR="00BB1647" w:rsidRPr="00AD3B49" w:rsidRDefault="00BB1647" w:rsidP="00BB1647">
      <w:pPr>
        <w:spacing w:after="200"/>
        <w:jc w:val="both"/>
        <w:rPr>
          <w:rFonts w:eastAsia="Calibri"/>
          <w:sz w:val="22"/>
          <w:szCs w:val="22"/>
          <w:lang w:val="sr-Latn-ME"/>
        </w:rPr>
      </w:pPr>
      <w:r w:rsidRPr="00AD3B49">
        <w:rPr>
          <w:rFonts w:eastAsia="Calibri"/>
          <w:sz w:val="22"/>
          <w:szCs w:val="22"/>
          <w:lang w:val="sr-Latn-ME"/>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BB1647" w:rsidRPr="00AD3B49" w:rsidRDefault="00BB1647" w:rsidP="00BB1647">
      <w:pPr>
        <w:spacing w:after="200"/>
        <w:rPr>
          <w:rFonts w:eastAsia="Calibri"/>
          <w:sz w:val="22"/>
          <w:szCs w:val="22"/>
          <w:lang w:val="sr-Latn-ME"/>
        </w:rPr>
      </w:pPr>
      <w:r w:rsidRPr="00AD3B49">
        <w:rPr>
          <w:rFonts w:eastAsia="Calibri"/>
          <w:sz w:val="22"/>
          <w:szCs w:val="22"/>
          <w:lang w:val="sr-Latn-ME"/>
        </w:rPr>
        <w:t>Agencija za ljekove i medicinska sredstva Crne Gore</w:t>
      </w:r>
    </w:p>
    <w:p w:rsidR="00BB1647" w:rsidRPr="00AD3B49" w:rsidRDefault="00BB1647" w:rsidP="00BB1647">
      <w:pPr>
        <w:spacing w:after="200"/>
        <w:rPr>
          <w:rFonts w:eastAsia="Calibri"/>
          <w:sz w:val="22"/>
          <w:szCs w:val="22"/>
          <w:lang w:val="sr-Latn-ME"/>
        </w:rPr>
      </w:pPr>
      <w:r w:rsidRPr="00AD3B49">
        <w:rPr>
          <w:rFonts w:eastAsia="Calibri"/>
          <w:sz w:val="22"/>
          <w:szCs w:val="22"/>
          <w:lang w:val="sr-Latn-ME"/>
        </w:rPr>
        <w:t>Odjeljenje za farmakovigilancu</w:t>
      </w:r>
    </w:p>
    <w:p w:rsidR="00BB1647" w:rsidRPr="00AD3B49" w:rsidRDefault="00BB1647" w:rsidP="00BB1647">
      <w:pPr>
        <w:spacing w:after="200"/>
        <w:rPr>
          <w:rFonts w:eastAsia="Calibri"/>
          <w:sz w:val="22"/>
          <w:szCs w:val="22"/>
          <w:lang w:val="sr-Latn-ME"/>
        </w:rPr>
      </w:pPr>
      <w:r w:rsidRPr="00AD3B49">
        <w:rPr>
          <w:rFonts w:eastAsia="Calibri"/>
          <w:sz w:val="22"/>
          <w:szCs w:val="22"/>
          <w:lang w:val="sr-Latn-ME"/>
        </w:rPr>
        <w:t>Bulevar Ivana Crnojevića 64a, 81000 Podgorica</w:t>
      </w:r>
    </w:p>
    <w:p w:rsidR="00BB1647" w:rsidRPr="00AD3B49" w:rsidRDefault="00BB1647" w:rsidP="00A801D9">
      <w:pPr>
        <w:spacing w:line="276" w:lineRule="auto"/>
        <w:rPr>
          <w:rFonts w:eastAsia="Calibri"/>
          <w:sz w:val="22"/>
          <w:szCs w:val="22"/>
          <w:lang w:val="sr-Latn-ME"/>
        </w:rPr>
      </w:pPr>
      <w:r w:rsidRPr="00AD3B49">
        <w:rPr>
          <w:rFonts w:eastAsia="Calibri"/>
          <w:sz w:val="22"/>
          <w:szCs w:val="22"/>
          <w:lang w:val="sr-Latn-ME"/>
        </w:rPr>
        <w:t>tel: +382 (0) 20 310 280</w:t>
      </w:r>
    </w:p>
    <w:p w:rsidR="00BB1647" w:rsidRPr="00AD3B49" w:rsidRDefault="00BB1647" w:rsidP="00A801D9">
      <w:pPr>
        <w:spacing w:line="276" w:lineRule="auto"/>
        <w:rPr>
          <w:rFonts w:eastAsia="Calibri"/>
          <w:sz w:val="22"/>
          <w:szCs w:val="22"/>
          <w:lang w:val="sr-Latn-ME"/>
        </w:rPr>
      </w:pPr>
      <w:r w:rsidRPr="00AD3B49">
        <w:rPr>
          <w:rFonts w:eastAsia="Calibri"/>
          <w:sz w:val="22"/>
          <w:szCs w:val="22"/>
          <w:lang w:val="sr-Latn-ME"/>
        </w:rPr>
        <w:t>fax:+382 (0) 20 310 581</w:t>
      </w:r>
    </w:p>
    <w:p w:rsidR="00BB1647" w:rsidRPr="00AD3B49" w:rsidRDefault="00556562" w:rsidP="00A801D9">
      <w:pPr>
        <w:spacing w:line="276" w:lineRule="auto"/>
        <w:rPr>
          <w:rFonts w:eastAsia="Calibri"/>
          <w:sz w:val="22"/>
          <w:szCs w:val="22"/>
          <w:lang w:val="sr-Latn-ME"/>
        </w:rPr>
      </w:pPr>
      <w:hyperlink r:id="rId8" w:history="1">
        <w:r w:rsidR="00BB1647" w:rsidRPr="00AD3B49">
          <w:rPr>
            <w:rFonts w:eastAsia="Calibri"/>
            <w:color w:val="0000FF"/>
            <w:sz w:val="22"/>
            <w:szCs w:val="22"/>
            <w:u w:val="single"/>
            <w:lang w:val="sr-Latn-ME"/>
          </w:rPr>
          <w:t>www.calims.me</w:t>
        </w:r>
      </w:hyperlink>
    </w:p>
    <w:p w:rsidR="00BB1647" w:rsidRPr="00AD3B49" w:rsidRDefault="00556562" w:rsidP="00A801D9">
      <w:pPr>
        <w:spacing w:line="276" w:lineRule="auto"/>
        <w:rPr>
          <w:rFonts w:eastAsia="Calibri"/>
          <w:color w:val="0000FF"/>
          <w:sz w:val="22"/>
          <w:szCs w:val="22"/>
          <w:u w:val="single"/>
          <w:lang w:val="sr-Latn-ME"/>
        </w:rPr>
      </w:pPr>
      <w:hyperlink r:id="rId9" w:history="1">
        <w:r w:rsidR="00BB1647" w:rsidRPr="00AD3B49">
          <w:rPr>
            <w:rFonts w:eastAsia="Calibri"/>
            <w:color w:val="0000FF"/>
            <w:sz w:val="22"/>
            <w:szCs w:val="22"/>
            <w:u w:val="single"/>
            <w:lang w:val="sr-Latn-ME"/>
          </w:rPr>
          <w:t>nezeljenadejstva@calims.me</w:t>
        </w:r>
      </w:hyperlink>
    </w:p>
    <w:p w:rsidR="00BB1647" w:rsidRDefault="00BB1647" w:rsidP="00A801D9">
      <w:pPr>
        <w:spacing w:line="276" w:lineRule="auto"/>
        <w:rPr>
          <w:rFonts w:eastAsia="Calibri"/>
          <w:sz w:val="22"/>
          <w:szCs w:val="22"/>
          <w:lang w:val="sr-Latn-ME"/>
        </w:rPr>
      </w:pPr>
      <w:r w:rsidRPr="00AD3B49">
        <w:rPr>
          <w:rFonts w:eastAsia="Calibri"/>
          <w:sz w:val="22"/>
          <w:szCs w:val="22"/>
          <w:lang w:val="sr-Latn-ME"/>
        </w:rPr>
        <w:t>putem IS zdravstvene zaštite</w:t>
      </w:r>
    </w:p>
    <w:p w:rsidR="00A801D9" w:rsidRPr="00AD3B49" w:rsidRDefault="00A801D9" w:rsidP="00A801D9">
      <w:pPr>
        <w:spacing w:line="276" w:lineRule="auto"/>
        <w:rPr>
          <w:rFonts w:eastAsia="Calibri"/>
          <w:sz w:val="22"/>
          <w:szCs w:val="22"/>
          <w:lang w:val="sr-Latn-ME"/>
        </w:rPr>
      </w:pPr>
    </w:p>
    <w:p w:rsidR="0072020E" w:rsidRPr="00AD3B49" w:rsidRDefault="0072020E" w:rsidP="00480FB1">
      <w:pPr>
        <w:tabs>
          <w:tab w:val="left" w:pos="540"/>
          <w:tab w:val="left" w:pos="569"/>
        </w:tabs>
        <w:rPr>
          <w:b/>
          <w:bCs/>
          <w:sz w:val="22"/>
          <w:szCs w:val="22"/>
          <w:lang w:val="sr-Latn-ME"/>
        </w:rPr>
      </w:pPr>
      <w:r w:rsidRPr="00AD3B49">
        <w:rPr>
          <w:b/>
          <w:bCs/>
          <w:sz w:val="22"/>
          <w:szCs w:val="22"/>
          <w:lang w:val="sr-Latn-ME"/>
        </w:rPr>
        <w:t xml:space="preserve">4.9. </w:t>
      </w:r>
      <w:r w:rsidR="00480FB1" w:rsidRPr="00AD3B49">
        <w:rPr>
          <w:b/>
          <w:bCs/>
          <w:sz w:val="22"/>
          <w:szCs w:val="22"/>
          <w:lang w:val="sr-Latn-ME"/>
        </w:rPr>
        <w:tab/>
      </w:r>
      <w:r w:rsidRPr="00AD3B49">
        <w:rPr>
          <w:b/>
          <w:bCs/>
          <w:sz w:val="22"/>
          <w:szCs w:val="22"/>
          <w:lang w:val="sr-Latn-ME"/>
        </w:rPr>
        <w:t>Predoziranje</w:t>
      </w:r>
      <w:r w:rsidR="002846DB" w:rsidRPr="00AD3B49">
        <w:rPr>
          <w:b/>
          <w:bCs/>
          <w:sz w:val="22"/>
          <w:szCs w:val="22"/>
          <w:lang w:val="sr-Latn-ME"/>
        </w:rPr>
        <w:t xml:space="preserve"> i mjere koje je potrebno preduzeti</w:t>
      </w:r>
    </w:p>
    <w:p w:rsidR="00CD6F02" w:rsidRPr="00AD3B49" w:rsidRDefault="00CD6F02" w:rsidP="00480FB1">
      <w:pPr>
        <w:tabs>
          <w:tab w:val="left" w:pos="540"/>
          <w:tab w:val="left" w:pos="569"/>
        </w:tabs>
        <w:rPr>
          <w:b/>
          <w:bCs/>
          <w:sz w:val="22"/>
          <w:szCs w:val="22"/>
          <w:lang w:val="sr-Latn-ME"/>
        </w:rPr>
      </w:pPr>
    </w:p>
    <w:p w:rsidR="003D3610" w:rsidRPr="00AD3B49" w:rsidRDefault="005D003D" w:rsidP="00BF1A48">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U kliničkim ispitivanjima nisu primjećene toksične reakcije koje bi ograničavale dozu. Najveća is</w:t>
      </w:r>
      <w:r w:rsidR="00FB6195" w:rsidRPr="00AD3B49">
        <w:rPr>
          <w:rFonts w:ascii="Times New Roman" w:hAnsi="Times New Roman" w:cs="Times New Roman"/>
          <w:color w:val="auto"/>
          <w:sz w:val="22"/>
          <w:szCs w:val="22"/>
          <w:lang w:val="sr-Latn-ME"/>
        </w:rPr>
        <w:t>pitivana doza bila je multipla</w:t>
      </w:r>
      <w:r w:rsidRPr="00AD3B49">
        <w:rPr>
          <w:rFonts w:ascii="Times New Roman" w:hAnsi="Times New Roman" w:cs="Times New Roman"/>
          <w:color w:val="auto"/>
          <w:sz w:val="22"/>
          <w:szCs w:val="22"/>
          <w:lang w:val="sr-Latn-ME"/>
        </w:rPr>
        <w:t xml:space="preserve"> intravenska doza od 10 mg/kg koja je oko 15 puta veća od preporučene doze.</w:t>
      </w:r>
    </w:p>
    <w:p w:rsidR="00AD3B49" w:rsidRPr="00AD3B49" w:rsidRDefault="00AD3B49" w:rsidP="00BF1A48">
      <w:pPr>
        <w:pStyle w:val="Default"/>
        <w:jc w:val="both"/>
        <w:rPr>
          <w:rFonts w:ascii="Times New Roman" w:hAnsi="Times New Roman" w:cs="Times New Roman"/>
          <w:color w:val="auto"/>
          <w:sz w:val="22"/>
          <w:szCs w:val="22"/>
          <w:lang w:val="sr-Latn-ME"/>
        </w:rPr>
      </w:pPr>
    </w:p>
    <w:p w:rsidR="0072020E" w:rsidRPr="00AD3B49" w:rsidRDefault="0072020E" w:rsidP="00480FB1">
      <w:pPr>
        <w:tabs>
          <w:tab w:val="left" w:pos="540"/>
          <w:tab w:val="left" w:pos="569"/>
        </w:tabs>
        <w:rPr>
          <w:b/>
          <w:bCs/>
          <w:sz w:val="22"/>
          <w:szCs w:val="22"/>
          <w:lang w:val="sr-Latn-ME"/>
        </w:rPr>
      </w:pPr>
      <w:r w:rsidRPr="00AD3B49">
        <w:rPr>
          <w:b/>
          <w:bCs/>
          <w:sz w:val="22"/>
          <w:szCs w:val="22"/>
          <w:lang w:val="sr-Latn-ME"/>
        </w:rPr>
        <w:t xml:space="preserve">5. </w:t>
      </w:r>
      <w:r w:rsidR="00480FB1" w:rsidRPr="00AD3B49">
        <w:rPr>
          <w:b/>
          <w:bCs/>
          <w:sz w:val="22"/>
          <w:szCs w:val="22"/>
          <w:lang w:val="sr-Latn-ME"/>
        </w:rPr>
        <w:tab/>
      </w:r>
      <w:r w:rsidRPr="00AD3B49">
        <w:rPr>
          <w:b/>
          <w:bCs/>
          <w:sz w:val="22"/>
          <w:szCs w:val="22"/>
          <w:lang w:val="sr-Latn-ME"/>
        </w:rPr>
        <w:t>FARMAKOLOŠK</w:t>
      </w:r>
      <w:r w:rsidR="000D425A" w:rsidRPr="00AD3B49">
        <w:rPr>
          <w:b/>
          <w:bCs/>
          <w:sz w:val="22"/>
          <w:szCs w:val="22"/>
          <w:lang w:val="sr-Latn-ME"/>
        </w:rPr>
        <w:t>I</w:t>
      </w:r>
      <w:r w:rsidRPr="00AD3B49">
        <w:rPr>
          <w:b/>
          <w:bCs/>
          <w:sz w:val="22"/>
          <w:szCs w:val="22"/>
          <w:lang w:val="sr-Latn-ME"/>
        </w:rPr>
        <w:t xml:space="preserve"> PODACI</w:t>
      </w:r>
    </w:p>
    <w:p w:rsidR="004B02DE" w:rsidRPr="00AD3B49" w:rsidRDefault="004B02DE" w:rsidP="00480FB1">
      <w:pPr>
        <w:tabs>
          <w:tab w:val="left" w:pos="540"/>
          <w:tab w:val="left" w:pos="569"/>
        </w:tabs>
        <w:rPr>
          <w:b/>
          <w:bCs/>
          <w:sz w:val="22"/>
          <w:szCs w:val="22"/>
          <w:lang w:val="sr-Latn-ME"/>
        </w:rPr>
      </w:pPr>
    </w:p>
    <w:p w:rsidR="0072020E" w:rsidRPr="00AD3B49" w:rsidRDefault="0072020E" w:rsidP="00480FB1">
      <w:pPr>
        <w:tabs>
          <w:tab w:val="left" w:pos="540"/>
          <w:tab w:val="left" w:pos="569"/>
        </w:tabs>
        <w:rPr>
          <w:b/>
          <w:bCs/>
          <w:sz w:val="22"/>
          <w:szCs w:val="22"/>
          <w:lang w:val="sr-Latn-ME"/>
        </w:rPr>
      </w:pPr>
      <w:r w:rsidRPr="00AD3B49">
        <w:rPr>
          <w:b/>
          <w:bCs/>
          <w:sz w:val="22"/>
          <w:szCs w:val="22"/>
          <w:lang w:val="sr-Latn-ME"/>
        </w:rPr>
        <w:t xml:space="preserve">5.1. </w:t>
      </w:r>
      <w:r w:rsidR="00480FB1" w:rsidRPr="00AD3B49">
        <w:rPr>
          <w:b/>
          <w:bCs/>
          <w:sz w:val="22"/>
          <w:szCs w:val="22"/>
          <w:lang w:val="sr-Latn-ME"/>
        </w:rPr>
        <w:tab/>
      </w:r>
      <w:r w:rsidRPr="00AD3B49">
        <w:rPr>
          <w:b/>
          <w:bCs/>
          <w:sz w:val="22"/>
          <w:szCs w:val="22"/>
          <w:lang w:val="sr-Latn-ME"/>
        </w:rPr>
        <w:t>Farmakodinamski podaci</w:t>
      </w:r>
    </w:p>
    <w:p w:rsidR="00F45F77" w:rsidRPr="00AD3B49" w:rsidRDefault="00F45F77" w:rsidP="00480FB1">
      <w:pPr>
        <w:tabs>
          <w:tab w:val="left" w:pos="540"/>
          <w:tab w:val="left" w:pos="569"/>
        </w:tabs>
        <w:rPr>
          <w:b/>
          <w:bCs/>
          <w:sz w:val="22"/>
          <w:szCs w:val="22"/>
          <w:lang w:val="sr-Latn-ME"/>
        </w:rPr>
      </w:pPr>
    </w:p>
    <w:p w:rsidR="0072020E" w:rsidRPr="00AD3B49" w:rsidRDefault="0072020E" w:rsidP="00480FB1">
      <w:pPr>
        <w:tabs>
          <w:tab w:val="left" w:pos="540"/>
          <w:tab w:val="left" w:pos="569"/>
        </w:tabs>
        <w:rPr>
          <w:bCs/>
          <w:sz w:val="22"/>
          <w:szCs w:val="22"/>
          <w:lang w:val="sr-Latn-ME"/>
        </w:rPr>
      </w:pPr>
      <w:r w:rsidRPr="00AD3B49">
        <w:rPr>
          <w:bCs/>
          <w:sz w:val="22"/>
          <w:szCs w:val="22"/>
          <w:lang w:val="sr-Latn-ME"/>
        </w:rPr>
        <w:t>Farmakoterapijska grupa:</w:t>
      </w:r>
      <w:r w:rsidR="005D003D" w:rsidRPr="00AD3B49">
        <w:rPr>
          <w:bCs/>
          <w:sz w:val="22"/>
          <w:szCs w:val="22"/>
          <w:lang w:val="sr-Latn-ME"/>
        </w:rPr>
        <w:t xml:space="preserve"> selektivni imunosupresivni </w:t>
      </w:r>
      <w:r w:rsidR="00D74125" w:rsidRPr="00AD3B49">
        <w:rPr>
          <w:bCs/>
          <w:sz w:val="22"/>
          <w:szCs w:val="22"/>
          <w:lang w:val="sr-Latn-ME"/>
        </w:rPr>
        <w:t>ljekovi</w:t>
      </w:r>
    </w:p>
    <w:p w:rsidR="0072020E" w:rsidRPr="00AD3B49" w:rsidRDefault="0072020E" w:rsidP="00480FB1">
      <w:pPr>
        <w:tabs>
          <w:tab w:val="left" w:pos="540"/>
          <w:tab w:val="left" w:pos="569"/>
        </w:tabs>
        <w:rPr>
          <w:bCs/>
          <w:sz w:val="22"/>
          <w:szCs w:val="22"/>
          <w:lang w:val="sr-Latn-ME"/>
        </w:rPr>
      </w:pPr>
    </w:p>
    <w:p w:rsidR="0072020E" w:rsidRPr="00AD3B49" w:rsidRDefault="0072020E" w:rsidP="00480FB1">
      <w:pPr>
        <w:tabs>
          <w:tab w:val="left" w:pos="540"/>
          <w:tab w:val="left" w:pos="569"/>
        </w:tabs>
        <w:rPr>
          <w:bCs/>
          <w:sz w:val="22"/>
          <w:szCs w:val="22"/>
          <w:lang w:val="sr-Latn-ME"/>
        </w:rPr>
      </w:pPr>
      <w:r w:rsidRPr="00AD3B49">
        <w:rPr>
          <w:bCs/>
          <w:sz w:val="22"/>
          <w:szCs w:val="22"/>
          <w:lang w:val="sr-Latn-ME"/>
        </w:rPr>
        <w:t>ATC kod:</w:t>
      </w:r>
      <w:r w:rsidR="005D003D" w:rsidRPr="00AD3B49">
        <w:rPr>
          <w:bCs/>
          <w:sz w:val="22"/>
          <w:szCs w:val="22"/>
          <w:lang w:val="sr-Latn-ME"/>
        </w:rPr>
        <w:t xml:space="preserve"> L04AB04</w:t>
      </w:r>
    </w:p>
    <w:p w:rsidR="002E37A5" w:rsidRPr="00AD3B49" w:rsidRDefault="002E37A5" w:rsidP="00480FB1">
      <w:pPr>
        <w:tabs>
          <w:tab w:val="left" w:pos="540"/>
          <w:tab w:val="left" w:pos="569"/>
        </w:tabs>
        <w:rPr>
          <w:b/>
          <w:bCs/>
          <w:sz w:val="22"/>
          <w:szCs w:val="22"/>
          <w:lang w:val="sr-Latn-ME"/>
        </w:rPr>
      </w:pPr>
    </w:p>
    <w:p w:rsidR="005D003D" w:rsidRPr="00AD3B49" w:rsidRDefault="005D003D" w:rsidP="005D003D">
      <w:pPr>
        <w:pStyle w:val="Default"/>
        <w:ind w:left="567" w:hanging="567"/>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Mehanizam djelovanja</w:t>
      </w:r>
    </w:p>
    <w:p w:rsidR="005D003D" w:rsidRPr="00AD3B49" w:rsidRDefault="005D003D" w:rsidP="005D003D">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Adalimumab se specifično veže za TNF (faktor tumorske nekroze) i neutral</w:t>
      </w:r>
      <w:r w:rsidR="000D6BE7" w:rsidRPr="00AD3B49">
        <w:rPr>
          <w:rFonts w:ascii="Times New Roman" w:hAnsi="Times New Roman" w:cs="Times New Roman"/>
          <w:color w:val="auto"/>
          <w:sz w:val="22"/>
          <w:szCs w:val="22"/>
          <w:lang w:val="sr-Latn-ME"/>
        </w:rPr>
        <w:t>izuje</w:t>
      </w:r>
      <w:r w:rsidRPr="00AD3B49">
        <w:rPr>
          <w:rFonts w:ascii="Times New Roman" w:hAnsi="Times New Roman" w:cs="Times New Roman"/>
          <w:color w:val="auto"/>
          <w:sz w:val="22"/>
          <w:szCs w:val="22"/>
          <w:lang w:val="sr-Latn-ME"/>
        </w:rPr>
        <w:t xml:space="preserve"> biološku funkciju TNF-a blokirajući njegovu interakciju sa površinskim ćelijskim TNF-receptorima p55 i p75.</w:t>
      </w:r>
    </w:p>
    <w:p w:rsidR="005D003D" w:rsidRPr="00AD3B49" w:rsidRDefault="005D003D" w:rsidP="005D003D">
      <w:pPr>
        <w:pStyle w:val="Default"/>
        <w:jc w:val="both"/>
        <w:rPr>
          <w:rFonts w:ascii="Times New Roman" w:hAnsi="Times New Roman" w:cs="Times New Roman"/>
          <w:color w:val="auto"/>
          <w:sz w:val="22"/>
          <w:szCs w:val="22"/>
          <w:lang w:val="sr-Latn-ME"/>
        </w:rPr>
      </w:pPr>
    </w:p>
    <w:p w:rsidR="005D003D" w:rsidRPr="00AD3B49" w:rsidRDefault="005D003D" w:rsidP="005D003D">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Adalimumab takođe modifikuje biološke odgovore </w:t>
      </w:r>
      <w:r w:rsidR="00FB6195" w:rsidRPr="00AD3B49">
        <w:rPr>
          <w:rFonts w:ascii="Times New Roman" w:hAnsi="Times New Roman" w:cs="Times New Roman"/>
          <w:color w:val="auto"/>
          <w:sz w:val="22"/>
          <w:szCs w:val="22"/>
          <w:lang w:val="sr-Latn-ME"/>
        </w:rPr>
        <w:t>koje indukuje</w:t>
      </w:r>
      <w:r w:rsidRPr="00AD3B49">
        <w:rPr>
          <w:rFonts w:ascii="Times New Roman" w:hAnsi="Times New Roman" w:cs="Times New Roman"/>
          <w:color w:val="auto"/>
          <w:sz w:val="22"/>
          <w:szCs w:val="22"/>
          <w:lang w:val="sr-Latn-ME"/>
        </w:rPr>
        <w:t xml:space="preserve"> ili reguliše TNF, uključujući </w:t>
      </w:r>
      <w:r w:rsidRPr="00AD3B49">
        <w:rPr>
          <w:rFonts w:ascii="Times New Roman" w:hAnsi="Times New Roman" w:cs="Times New Roman"/>
          <w:color w:val="auto"/>
          <w:sz w:val="22"/>
          <w:szCs w:val="22"/>
          <w:lang w:val="sr-Latn-ME"/>
        </w:rPr>
        <w:lastRenderedPageBreak/>
        <w:t>promjene u nivoima adhezijskih molekula koje su odgovorne za migraciju leukocita (ELAM-1, VCAM-1 i ICAM-1 s IC</w:t>
      </w:r>
      <w:r w:rsidRPr="00AD3B49">
        <w:rPr>
          <w:rFonts w:ascii="Times New Roman" w:hAnsi="Times New Roman" w:cs="Times New Roman"/>
          <w:color w:val="auto"/>
          <w:position w:val="-8"/>
          <w:sz w:val="22"/>
          <w:szCs w:val="22"/>
          <w:vertAlign w:val="subscript"/>
          <w:lang w:val="sr-Latn-ME"/>
        </w:rPr>
        <w:t>50</w:t>
      </w:r>
      <w:r w:rsidRPr="00AD3B49">
        <w:rPr>
          <w:rFonts w:ascii="Times New Roman" w:hAnsi="Times New Roman" w:cs="Times New Roman"/>
          <w:color w:val="auto"/>
          <w:sz w:val="22"/>
          <w:szCs w:val="22"/>
          <w:lang w:val="sr-Latn-ME"/>
        </w:rPr>
        <w:t xml:space="preserve"> od 0,1-0,2 nM).</w:t>
      </w:r>
    </w:p>
    <w:p w:rsidR="005D003D" w:rsidRPr="00AD3B49" w:rsidRDefault="005D003D" w:rsidP="005D003D">
      <w:pPr>
        <w:pStyle w:val="Default"/>
        <w:jc w:val="both"/>
        <w:rPr>
          <w:rFonts w:ascii="Times New Roman" w:hAnsi="Times New Roman" w:cs="Times New Roman"/>
          <w:color w:val="auto"/>
          <w:sz w:val="22"/>
          <w:szCs w:val="22"/>
          <w:lang w:val="sr-Latn-ME"/>
        </w:rPr>
      </w:pPr>
    </w:p>
    <w:p w:rsidR="005D003D" w:rsidRPr="00AD3B49" w:rsidRDefault="005D003D" w:rsidP="005D003D">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Farmakodinamička svojstva</w:t>
      </w:r>
    </w:p>
    <w:p w:rsidR="005D003D" w:rsidRPr="00AD3B49" w:rsidRDefault="005D003D" w:rsidP="005D003D">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Nakon liječenja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884C2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kod pacijenata s reumatoidnim artritisom primjećeno je naglo snižavanje nivoa reaktanata akutne faze upale (C-reaktivni protein [CRP] i brzina sedimentacije eritrocita [ESR]) i serumskih citokina (IL-6) u poređenju sa početnim vrijednostima. Serumske vrijednosti matriksnih metaloproteinaza (MMP-1 i MMP-3) koje uzrokuju preoblikovanje tkiva odgovorno</w:t>
      </w:r>
      <w:r w:rsidR="00FB6195" w:rsidRPr="00AD3B49">
        <w:rPr>
          <w:rFonts w:ascii="Times New Roman" w:hAnsi="Times New Roman" w:cs="Times New Roman"/>
          <w:color w:val="auto"/>
          <w:sz w:val="22"/>
          <w:szCs w:val="22"/>
          <w:lang w:val="sr-Latn-ME"/>
        </w:rPr>
        <w:t>g</w:t>
      </w:r>
      <w:r w:rsidRPr="00AD3B49">
        <w:rPr>
          <w:rFonts w:ascii="Times New Roman" w:hAnsi="Times New Roman" w:cs="Times New Roman"/>
          <w:color w:val="auto"/>
          <w:sz w:val="22"/>
          <w:szCs w:val="22"/>
          <w:lang w:val="sr-Latn-ME"/>
        </w:rPr>
        <w:t xml:space="preserve"> za uništavanje hrskavice, takođe su se smanjile </w:t>
      </w:r>
      <w:r w:rsidR="00635624" w:rsidRPr="00AD3B49">
        <w:rPr>
          <w:rFonts w:ascii="Times New Roman" w:hAnsi="Times New Roman" w:cs="Times New Roman"/>
          <w:color w:val="auto"/>
          <w:sz w:val="22"/>
          <w:szCs w:val="22"/>
          <w:lang w:val="sr-Latn-ME"/>
        </w:rPr>
        <w:t xml:space="preserve">nakon uzimanja </w:t>
      </w:r>
      <w:r w:rsidR="0082613A" w:rsidRPr="00AD3B49">
        <w:rPr>
          <w:rFonts w:ascii="Times New Roman" w:hAnsi="Times New Roman" w:cs="Times New Roman"/>
          <w:color w:val="auto"/>
          <w:sz w:val="22"/>
          <w:szCs w:val="22"/>
          <w:lang w:val="sr-Latn-ME"/>
        </w:rPr>
        <w:t xml:space="preserve">lijeka </w:t>
      </w:r>
      <w:r w:rsidR="00635624"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00635624" w:rsidRPr="00AD3B49">
        <w:rPr>
          <w:rFonts w:ascii="Times New Roman" w:hAnsi="Times New Roman" w:cs="Times New Roman"/>
          <w:color w:val="auto"/>
          <w:sz w:val="22"/>
          <w:szCs w:val="22"/>
          <w:lang w:val="sr-Latn-ME"/>
        </w:rPr>
        <w:t>. Pacijenti</w:t>
      </w:r>
      <w:r w:rsidRPr="00AD3B49">
        <w:rPr>
          <w:rFonts w:ascii="Times New Roman" w:hAnsi="Times New Roman" w:cs="Times New Roman"/>
          <w:color w:val="auto"/>
          <w:sz w:val="22"/>
          <w:szCs w:val="22"/>
          <w:lang w:val="sr-Latn-ME"/>
        </w:rPr>
        <w:t xml:space="preserve"> liječeni </w:t>
      </w:r>
      <w:r w:rsidR="00E409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E409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obično pokazuju poboljšanje hematoloških znakova hronične upale.</w:t>
      </w:r>
    </w:p>
    <w:p w:rsidR="005D003D" w:rsidRPr="00AD3B49" w:rsidRDefault="005D003D" w:rsidP="005D003D">
      <w:pPr>
        <w:pStyle w:val="Default"/>
        <w:jc w:val="both"/>
        <w:rPr>
          <w:rFonts w:ascii="Times New Roman" w:hAnsi="Times New Roman" w:cs="Times New Roman"/>
          <w:color w:val="auto"/>
          <w:sz w:val="22"/>
          <w:szCs w:val="22"/>
          <w:lang w:val="sr-Latn-ME"/>
        </w:rPr>
      </w:pPr>
    </w:p>
    <w:p w:rsidR="005D003D" w:rsidRPr="00AD3B49" w:rsidRDefault="005D003D" w:rsidP="005D003D">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Kod pacijenata s </w:t>
      </w:r>
      <w:r w:rsidRPr="00AD3B49">
        <w:rPr>
          <w:rFonts w:ascii="Times New Roman" w:hAnsi="Times New Roman" w:cs="Times New Roman"/>
          <w:sz w:val="22"/>
          <w:szCs w:val="22"/>
          <w:lang w:val="sr-Latn-ME"/>
        </w:rPr>
        <w:t>poliartikularnim juvenilnim idiopatskim artritisom,</w:t>
      </w:r>
      <w:r w:rsidRPr="00AD3B49">
        <w:rPr>
          <w:rFonts w:ascii="Times New Roman" w:hAnsi="Times New Roman" w:cs="Times New Roman"/>
          <w:color w:val="auto"/>
          <w:sz w:val="22"/>
          <w:szCs w:val="22"/>
          <w:lang w:val="sr-Latn-ME"/>
        </w:rPr>
        <w:t xml:space="preserve"> Crohnovom bolešću i ulceroznim kolitisom primjećeno je naglo smanjenje nivoa CRP-a nakon liječenja </w:t>
      </w:r>
      <w:r w:rsidR="00E409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E409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Kod pacijenata s Crohnovom bolešću primjećeno je smanjenje broja ćelija u debelom crijevu koje ispoljavaju</w:t>
      </w:r>
      <w:r w:rsidR="00FB6195" w:rsidRPr="00AD3B49">
        <w:rPr>
          <w:rFonts w:ascii="Times New Roman" w:hAnsi="Times New Roman" w:cs="Times New Roman"/>
          <w:color w:val="auto"/>
          <w:sz w:val="22"/>
          <w:szCs w:val="22"/>
          <w:lang w:val="sr-Latn-ME"/>
        </w:rPr>
        <w:t xml:space="preserve"> markere inflamacije</w:t>
      </w:r>
      <w:r w:rsidRPr="00AD3B49">
        <w:rPr>
          <w:rFonts w:ascii="Times New Roman" w:hAnsi="Times New Roman" w:cs="Times New Roman"/>
          <w:color w:val="auto"/>
          <w:sz w:val="22"/>
          <w:szCs w:val="22"/>
          <w:lang w:val="sr-Latn-ME"/>
        </w:rPr>
        <w:t>, uključujući i značajno sniženje ekspresije TNFα. Endoskopske studije intestinalne mukoze pokazale su znakove zarastanja</w:t>
      </w:r>
      <w:r w:rsidR="00635624" w:rsidRPr="00AD3B49">
        <w:rPr>
          <w:rFonts w:ascii="Times New Roman" w:hAnsi="Times New Roman" w:cs="Times New Roman"/>
          <w:color w:val="auto"/>
          <w:sz w:val="22"/>
          <w:szCs w:val="22"/>
          <w:lang w:val="sr-Latn-ME"/>
        </w:rPr>
        <w:t xml:space="preserve"> mukoze kod pacijenata</w:t>
      </w:r>
      <w:r w:rsidRPr="00AD3B49">
        <w:rPr>
          <w:rFonts w:ascii="Times New Roman" w:hAnsi="Times New Roman" w:cs="Times New Roman"/>
          <w:color w:val="auto"/>
          <w:sz w:val="22"/>
          <w:szCs w:val="22"/>
          <w:lang w:val="sr-Latn-ME"/>
        </w:rPr>
        <w:t xml:space="preserve"> liječenih adalimumabom.</w:t>
      </w:r>
    </w:p>
    <w:p w:rsidR="005D003D" w:rsidRPr="00AD3B49" w:rsidRDefault="005D003D" w:rsidP="005D003D">
      <w:pPr>
        <w:pStyle w:val="Default"/>
        <w:jc w:val="both"/>
        <w:rPr>
          <w:rFonts w:ascii="Times New Roman" w:hAnsi="Times New Roman" w:cs="Times New Roman"/>
          <w:color w:val="auto"/>
          <w:sz w:val="22"/>
          <w:szCs w:val="22"/>
          <w:lang w:val="sr-Latn-ME"/>
        </w:rPr>
      </w:pPr>
    </w:p>
    <w:p w:rsidR="005D003D" w:rsidRPr="00AD3B49" w:rsidRDefault="005D003D" w:rsidP="005D003D">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Klinička ispitivanja</w:t>
      </w:r>
    </w:p>
    <w:p w:rsidR="003D3610" w:rsidRPr="00AD3B49" w:rsidRDefault="003D3610" w:rsidP="005D003D">
      <w:pPr>
        <w:pStyle w:val="Default"/>
        <w:jc w:val="both"/>
        <w:rPr>
          <w:rFonts w:ascii="Times New Roman" w:hAnsi="Times New Roman" w:cs="Times New Roman"/>
          <w:color w:val="auto"/>
          <w:sz w:val="22"/>
          <w:szCs w:val="22"/>
          <w:u w:val="single"/>
          <w:lang w:val="sr-Latn-ME"/>
        </w:rPr>
      </w:pPr>
    </w:p>
    <w:p w:rsidR="003D3610" w:rsidRPr="00AD3B49" w:rsidRDefault="003D3610" w:rsidP="003D3610">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 xml:space="preserve">Reumatoidni artiritis </w:t>
      </w:r>
    </w:p>
    <w:p w:rsidR="003D3610" w:rsidRPr="00AD3B49" w:rsidRDefault="00867CBD"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Efikasnost </w:t>
      </w:r>
      <w:r w:rsidR="0082613A" w:rsidRPr="00AD3B49">
        <w:rPr>
          <w:rFonts w:ascii="Times New Roman" w:hAnsi="Times New Roman" w:cs="Times New Roman"/>
          <w:color w:val="auto"/>
          <w:sz w:val="22"/>
          <w:szCs w:val="22"/>
          <w:lang w:val="sr-Latn-ME"/>
        </w:rPr>
        <w:t xml:space="preserve">lijeka </w:t>
      </w:r>
      <w:r w:rsidR="003D3610"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003D3610" w:rsidRPr="00AD3B49">
        <w:rPr>
          <w:rFonts w:ascii="Times New Roman" w:hAnsi="Times New Roman" w:cs="Times New Roman"/>
          <w:color w:val="auto"/>
          <w:sz w:val="22"/>
          <w:szCs w:val="22"/>
          <w:lang w:val="sr-Latn-ME"/>
        </w:rPr>
        <w:t xml:space="preserve"> ispitivano je kod više od 3.000 pacijenata u svim kliničkim ispitivanjima reumatoidnog artritisa (RA). </w:t>
      </w:r>
      <w:r w:rsidR="005644A2" w:rsidRPr="00AD3B49">
        <w:rPr>
          <w:rFonts w:ascii="Times New Roman" w:hAnsi="Times New Roman" w:cs="Times New Roman"/>
          <w:color w:val="auto"/>
          <w:sz w:val="22"/>
          <w:szCs w:val="22"/>
          <w:lang w:val="sr-Latn-ME"/>
        </w:rPr>
        <w:t>Efikasnost</w:t>
      </w:r>
      <w:r w:rsidR="003D3610" w:rsidRPr="00AD3B49">
        <w:rPr>
          <w:rFonts w:ascii="Times New Roman" w:hAnsi="Times New Roman" w:cs="Times New Roman"/>
          <w:color w:val="auto"/>
          <w:sz w:val="22"/>
          <w:szCs w:val="22"/>
          <w:lang w:val="sr-Latn-ME"/>
        </w:rPr>
        <w:t xml:space="preserve"> i </w:t>
      </w:r>
      <w:r w:rsidRPr="00AD3B49">
        <w:rPr>
          <w:rFonts w:ascii="Times New Roman" w:hAnsi="Times New Roman" w:cs="Times New Roman"/>
          <w:color w:val="auto"/>
          <w:sz w:val="22"/>
          <w:szCs w:val="22"/>
          <w:lang w:val="sr-Latn-ME"/>
        </w:rPr>
        <w:t xml:space="preserve">bezbjednost </w:t>
      </w:r>
      <w:r w:rsidR="0082613A" w:rsidRPr="00AD3B49">
        <w:rPr>
          <w:rFonts w:ascii="Times New Roman" w:hAnsi="Times New Roman" w:cs="Times New Roman"/>
          <w:color w:val="auto"/>
          <w:sz w:val="22"/>
          <w:szCs w:val="22"/>
          <w:lang w:val="sr-Latn-ME"/>
        </w:rPr>
        <w:t xml:space="preserve">lijeka </w:t>
      </w:r>
      <w:r w:rsidR="003D3610"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003D3610" w:rsidRPr="00AD3B49">
        <w:rPr>
          <w:rFonts w:ascii="Times New Roman" w:hAnsi="Times New Roman" w:cs="Times New Roman"/>
          <w:color w:val="auto"/>
          <w:sz w:val="22"/>
          <w:szCs w:val="22"/>
          <w:lang w:val="sr-Latn-ME"/>
        </w:rPr>
        <w:t xml:space="preserve"> u liječenju reumatoidnog artritisa procjenjivane su u pet randomiziranih, dvo</w:t>
      </w:r>
      <w:r w:rsidR="00FB6195" w:rsidRPr="00AD3B49">
        <w:rPr>
          <w:rFonts w:ascii="Times New Roman" w:hAnsi="Times New Roman" w:cs="Times New Roman"/>
          <w:color w:val="auto"/>
          <w:sz w:val="22"/>
          <w:szCs w:val="22"/>
          <w:lang w:val="sr-Latn-ME"/>
        </w:rPr>
        <w:t>struko slijepih, dobro kontrolis</w:t>
      </w:r>
      <w:r w:rsidR="003D3610" w:rsidRPr="00AD3B49">
        <w:rPr>
          <w:rFonts w:ascii="Times New Roman" w:hAnsi="Times New Roman" w:cs="Times New Roman"/>
          <w:color w:val="auto"/>
          <w:sz w:val="22"/>
          <w:szCs w:val="22"/>
          <w:lang w:val="sr-Latn-ME"/>
        </w:rPr>
        <w:t>anih ispitivanja.</w:t>
      </w:r>
      <w:r w:rsidR="00E23B4E" w:rsidRPr="00AD3B49">
        <w:rPr>
          <w:rFonts w:ascii="Times New Roman" w:hAnsi="Times New Roman" w:cs="Times New Roman"/>
          <w:color w:val="auto"/>
          <w:sz w:val="22"/>
          <w:szCs w:val="22"/>
          <w:lang w:val="sr-Latn-ME"/>
        </w:rPr>
        <w:t xml:space="preserve"> Neki su pacijenti liječeni kroz period i do 120 mjeseci.</w:t>
      </w:r>
    </w:p>
    <w:p w:rsidR="003D3610" w:rsidRPr="00AD3B49" w:rsidRDefault="003D3610" w:rsidP="003D3610">
      <w:pPr>
        <w:pStyle w:val="Default"/>
        <w:jc w:val="both"/>
        <w:rPr>
          <w:rFonts w:ascii="Times New Roman" w:hAnsi="Times New Roman" w:cs="Times New Roman"/>
          <w:color w:val="auto"/>
          <w:sz w:val="22"/>
          <w:szCs w:val="22"/>
          <w:lang w:val="sr-Latn-ME"/>
        </w:rPr>
      </w:pPr>
    </w:p>
    <w:p w:rsidR="003D3610" w:rsidRPr="00AD3B49" w:rsidRDefault="003D3610"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RA ispitivanje I obuhvatilo je 271 pacijenta s umjereno teškim do teškim aktivnim reumatoidnim artritisom u dobi od 18 godina i starijih </w:t>
      </w:r>
      <w:r w:rsidR="00E23B4E" w:rsidRPr="00AD3B49">
        <w:rPr>
          <w:rFonts w:ascii="Times New Roman" w:hAnsi="Times New Roman" w:cs="Times New Roman"/>
          <w:color w:val="auto"/>
          <w:sz w:val="22"/>
          <w:szCs w:val="22"/>
          <w:lang w:val="sr-Latn-ME"/>
        </w:rPr>
        <w:t>kod</w:t>
      </w:r>
      <w:r w:rsidRPr="00AD3B49">
        <w:rPr>
          <w:rFonts w:ascii="Times New Roman" w:hAnsi="Times New Roman" w:cs="Times New Roman"/>
          <w:color w:val="auto"/>
          <w:sz w:val="22"/>
          <w:szCs w:val="22"/>
          <w:lang w:val="sr-Latn-ME"/>
        </w:rPr>
        <w:t xml:space="preserve"> kojih prethodna terapija barem jednim antireumatskim lijekom koji </w:t>
      </w:r>
      <w:r w:rsidR="005644A2" w:rsidRPr="00AD3B49">
        <w:rPr>
          <w:rFonts w:ascii="Times New Roman" w:hAnsi="Times New Roman" w:cs="Times New Roman"/>
          <w:color w:val="auto"/>
          <w:sz w:val="22"/>
          <w:szCs w:val="22"/>
          <w:lang w:val="sr-Latn-ME"/>
        </w:rPr>
        <w:t>modifikuje</w:t>
      </w:r>
      <w:r w:rsidRPr="00AD3B49">
        <w:rPr>
          <w:rFonts w:ascii="Times New Roman" w:hAnsi="Times New Roman" w:cs="Times New Roman"/>
          <w:color w:val="auto"/>
          <w:sz w:val="22"/>
          <w:szCs w:val="22"/>
          <w:lang w:val="sr-Latn-ME"/>
        </w:rPr>
        <w:t xml:space="preserve"> </w:t>
      </w:r>
      <w:r w:rsidR="00FB6195" w:rsidRPr="00AD3B49">
        <w:rPr>
          <w:rFonts w:ascii="Times New Roman" w:hAnsi="Times New Roman" w:cs="Times New Roman"/>
          <w:color w:val="auto"/>
          <w:sz w:val="22"/>
          <w:szCs w:val="22"/>
          <w:lang w:val="sr-Latn-ME"/>
        </w:rPr>
        <w:t>tok bolesti nije bila efikasna</w:t>
      </w:r>
      <w:r w:rsidRPr="00AD3B49">
        <w:rPr>
          <w:rFonts w:ascii="Times New Roman" w:hAnsi="Times New Roman" w:cs="Times New Roman"/>
          <w:color w:val="auto"/>
          <w:sz w:val="22"/>
          <w:szCs w:val="22"/>
          <w:lang w:val="sr-Latn-ME"/>
        </w:rPr>
        <w:t>, i kod k</w:t>
      </w:r>
      <w:r w:rsidR="00FB6195" w:rsidRPr="00AD3B49">
        <w:rPr>
          <w:rFonts w:ascii="Times New Roman" w:hAnsi="Times New Roman" w:cs="Times New Roman"/>
          <w:color w:val="auto"/>
          <w:sz w:val="22"/>
          <w:szCs w:val="22"/>
          <w:lang w:val="sr-Latn-ME"/>
        </w:rPr>
        <w:t>ojih nije bio dovoljno efikasan</w:t>
      </w:r>
      <w:r w:rsidRPr="00AD3B49">
        <w:rPr>
          <w:rFonts w:ascii="Times New Roman" w:hAnsi="Times New Roman" w:cs="Times New Roman"/>
          <w:color w:val="auto"/>
          <w:sz w:val="22"/>
          <w:szCs w:val="22"/>
          <w:lang w:val="sr-Latn-ME"/>
        </w:rPr>
        <w:t xml:space="preserve"> metotreksat u dozi od 12,5 do 25 mg (10 mg ako pacijent ne podnosi metotreksat) jednom </w:t>
      </w:r>
      <w:r w:rsidR="005644A2" w:rsidRPr="00AD3B49">
        <w:rPr>
          <w:rFonts w:ascii="Times New Roman" w:hAnsi="Times New Roman" w:cs="Times New Roman"/>
          <w:color w:val="auto"/>
          <w:sz w:val="22"/>
          <w:szCs w:val="22"/>
          <w:lang w:val="sr-Latn-ME"/>
        </w:rPr>
        <w:t>ned</w:t>
      </w:r>
      <w:r w:rsidR="00956E56" w:rsidRPr="00AD3B49">
        <w:rPr>
          <w:rFonts w:ascii="Times New Roman" w:hAnsi="Times New Roman" w:cs="Times New Roman"/>
          <w:color w:val="auto"/>
          <w:sz w:val="22"/>
          <w:szCs w:val="22"/>
          <w:lang w:val="sr-Latn-ME"/>
        </w:rPr>
        <w:t>j</w:t>
      </w:r>
      <w:r w:rsidR="005644A2" w:rsidRPr="00AD3B49">
        <w:rPr>
          <w:rFonts w:ascii="Times New Roman" w:hAnsi="Times New Roman" w:cs="Times New Roman"/>
          <w:color w:val="auto"/>
          <w:sz w:val="22"/>
          <w:szCs w:val="22"/>
          <w:lang w:val="sr-Latn-ME"/>
        </w:rPr>
        <w:t>eljno</w:t>
      </w:r>
      <w:r w:rsidRPr="00AD3B49">
        <w:rPr>
          <w:rFonts w:ascii="Times New Roman" w:hAnsi="Times New Roman" w:cs="Times New Roman"/>
          <w:color w:val="auto"/>
          <w:sz w:val="22"/>
          <w:szCs w:val="22"/>
          <w:lang w:val="sr-Latn-ME"/>
        </w:rPr>
        <w:t xml:space="preserve"> i kod kojih je doza metotreksata bila konstantno 10 do 25 mg </w:t>
      </w:r>
      <w:r w:rsidRPr="00AD3B49">
        <w:rPr>
          <w:rFonts w:ascii="Times New Roman" w:hAnsi="Times New Roman" w:cs="Times New Roman"/>
          <w:iCs/>
          <w:color w:val="auto"/>
          <w:sz w:val="22"/>
          <w:szCs w:val="22"/>
          <w:lang w:val="sr-Latn-ME"/>
        </w:rPr>
        <w:t>jednom</w:t>
      </w:r>
      <w:r w:rsidRPr="00AD3B49">
        <w:rPr>
          <w:rFonts w:ascii="Times New Roman" w:hAnsi="Times New Roman" w:cs="Times New Roman"/>
          <w:i/>
          <w:iCs/>
          <w:color w:val="auto"/>
          <w:sz w:val="22"/>
          <w:szCs w:val="22"/>
          <w:lang w:val="sr-Latn-ME"/>
        </w:rPr>
        <w:t xml:space="preserve"> </w:t>
      </w:r>
      <w:r w:rsidR="005644A2" w:rsidRPr="00AD3B49">
        <w:rPr>
          <w:rFonts w:ascii="Times New Roman" w:hAnsi="Times New Roman" w:cs="Times New Roman"/>
          <w:iCs/>
          <w:color w:val="auto"/>
          <w:sz w:val="22"/>
          <w:szCs w:val="22"/>
          <w:lang w:val="sr-Latn-ME"/>
        </w:rPr>
        <w:t>ned</w:t>
      </w:r>
      <w:r w:rsidR="00956E56" w:rsidRPr="00AD3B49">
        <w:rPr>
          <w:rFonts w:ascii="Times New Roman" w:hAnsi="Times New Roman" w:cs="Times New Roman"/>
          <w:iCs/>
          <w:color w:val="auto"/>
          <w:sz w:val="22"/>
          <w:szCs w:val="22"/>
          <w:lang w:val="sr-Latn-ME"/>
        </w:rPr>
        <w:t>j</w:t>
      </w:r>
      <w:r w:rsidR="005644A2" w:rsidRPr="00AD3B49">
        <w:rPr>
          <w:rFonts w:ascii="Times New Roman" w:hAnsi="Times New Roman" w:cs="Times New Roman"/>
          <w:iCs/>
          <w:color w:val="auto"/>
          <w:sz w:val="22"/>
          <w:szCs w:val="22"/>
          <w:lang w:val="sr-Latn-ME"/>
        </w:rPr>
        <w:t>eljno</w:t>
      </w:r>
      <w:r w:rsidRPr="00AD3B49">
        <w:rPr>
          <w:rFonts w:ascii="Times New Roman" w:hAnsi="Times New Roman" w:cs="Times New Roman"/>
          <w:color w:val="auto"/>
          <w:sz w:val="22"/>
          <w:szCs w:val="22"/>
          <w:lang w:val="sr-Latn-ME"/>
        </w:rPr>
        <w:t xml:space="preserve">. Svake druge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u periodu od 24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w:t>
      </w:r>
      <w:r w:rsidR="00195467" w:rsidRPr="00AD3B49">
        <w:rPr>
          <w:rFonts w:ascii="Times New Roman" w:hAnsi="Times New Roman" w:cs="Times New Roman"/>
          <w:color w:val="auto"/>
          <w:sz w:val="22"/>
          <w:szCs w:val="22"/>
          <w:lang w:val="sr-Latn-ME"/>
        </w:rPr>
        <w:t>dobijali</w:t>
      </w:r>
      <w:r w:rsidRPr="00AD3B49">
        <w:rPr>
          <w:rFonts w:ascii="Times New Roman" w:hAnsi="Times New Roman" w:cs="Times New Roman"/>
          <w:color w:val="auto"/>
          <w:sz w:val="22"/>
          <w:szCs w:val="22"/>
          <w:lang w:val="sr-Latn-ME"/>
        </w:rPr>
        <w:t xml:space="preserve"> su </w:t>
      </w:r>
      <w:r w:rsidR="00C10995" w:rsidRPr="00AD3B49">
        <w:rPr>
          <w:rFonts w:ascii="Times New Roman" w:hAnsi="Times New Roman" w:cs="Times New Roman"/>
          <w:color w:val="auto"/>
          <w:sz w:val="22"/>
          <w:szCs w:val="22"/>
          <w:lang w:val="sr-Latn-ME"/>
        </w:rPr>
        <w:t xml:space="preserve">lijek </w:t>
      </w:r>
      <w:r w:rsidRPr="00AD3B49">
        <w:rPr>
          <w:rFonts w:ascii="Times New Roman" w:hAnsi="Times New Roman" w:cs="Times New Roman"/>
          <w:color w:val="auto"/>
          <w:sz w:val="22"/>
          <w:szCs w:val="22"/>
          <w:lang w:val="sr-Latn-ME"/>
        </w:rPr>
        <w:t>Humir</w:t>
      </w:r>
      <w:r w:rsidR="00C10995"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ili placebo u dozi od 20, 40 ili 80 mg.</w:t>
      </w:r>
    </w:p>
    <w:p w:rsidR="003D3610" w:rsidRPr="00AD3B49" w:rsidRDefault="003D3610" w:rsidP="003D3610">
      <w:pPr>
        <w:pStyle w:val="Default"/>
        <w:jc w:val="both"/>
        <w:rPr>
          <w:rFonts w:ascii="Times New Roman" w:hAnsi="Times New Roman" w:cs="Times New Roman"/>
          <w:color w:val="auto"/>
          <w:sz w:val="22"/>
          <w:szCs w:val="22"/>
          <w:lang w:val="sr-Latn-ME"/>
        </w:rPr>
      </w:pPr>
    </w:p>
    <w:p w:rsidR="003D3610" w:rsidRPr="00AD3B49" w:rsidRDefault="003D3610"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RA ispitivanje II obuhvatilo je 544 pacijenata s umjereno teškim do teškim aktivnim reumatoidnim artritisom u dobi od 18 godina i starijih </w:t>
      </w:r>
      <w:r w:rsidR="00E23B4E" w:rsidRPr="00AD3B49">
        <w:rPr>
          <w:rFonts w:ascii="Times New Roman" w:hAnsi="Times New Roman" w:cs="Times New Roman"/>
          <w:color w:val="auto"/>
          <w:sz w:val="22"/>
          <w:szCs w:val="22"/>
          <w:lang w:val="sr-Latn-ME"/>
        </w:rPr>
        <w:t>kod</w:t>
      </w:r>
      <w:r w:rsidRPr="00AD3B49">
        <w:rPr>
          <w:rFonts w:ascii="Times New Roman" w:hAnsi="Times New Roman" w:cs="Times New Roman"/>
          <w:color w:val="auto"/>
          <w:sz w:val="22"/>
          <w:szCs w:val="22"/>
          <w:lang w:val="sr-Latn-ME"/>
        </w:rPr>
        <w:t xml:space="preserve"> kojih prethodna terapija barem jednim antireumatskim lijekom koji </w:t>
      </w:r>
      <w:r w:rsidR="005644A2" w:rsidRPr="00AD3B49">
        <w:rPr>
          <w:rFonts w:ascii="Times New Roman" w:hAnsi="Times New Roman" w:cs="Times New Roman"/>
          <w:color w:val="auto"/>
          <w:sz w:val="22"/>
          <w:szCs w:val="22"/>
          <w:lang w:val="sr-Latn-ME"/>
        </w:rPr>
        <w:t>modifikuje</w:t>
      </w:r>
      <w:r w:rsidRPr="00AD3B49">
        <w:rPr>
          <w:rFonts w:ascii="Times New Roman" w:hAnsi="Times New Roman" w:cs="Times New Roman"/>
          <w:color w:val="auto"/>
          <w:sz w:val="22"/>
          <w:szCs w:val="22"/>
          <w:lang w:val="sr-Latn-ME"/>
        </w:rPr>
        <w:t xml:space="preserve"> </w:t>
      </w:r>
      <w:r w:rsidR="00FB6195" w:rsidRPr="00AD3B49">
        <w:rPr>
          <w:rFonts w:ascii="Times New Roman" w:hAnsi="Times New Roman" w:cs="Times New Roman"/>
          <w:color w:val="auto"/>
          <w:sz w:val="22"/>
          <w:szCs w:val="22"/>
          <w:lang w:val="sr-Latn-ME"/>
        </w:rPr>
        <w:t>tok bolesti nije bila efikasna</w:t>
      </w:r>
      <w:r w:rsidRPr="00AD3B49">
        <w:rPr>
          <w:rFonts w:ascii="Times New Roman" w:hAnsi="Times New Roman" w:cs="Times New Roman"/>
          <w:color w:val="auto"/>
          <w:sz w:val="22"/>
          <w:szCs w:val="22"/>
          <w:lang w:val="sr-Latn-ME"/>
        </w:rPr>
        <w:t xml:space="preserve">. Pacijenti su svake dvije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u periodu od 26 </w:t>
      </w:r>
      <w:r w:rsidR="000B016F" w:rsidRPr="00AD3B49">
        <w:rPr>
          <w:rFonts w:ascii="Times New Roman" w:hAnsi="Times New Roman" w:cs="Times New Roman"/>
          <w:color w:val="auto"/>
          <w:sz w:val="22"/>
          <w:szCs w:val="22"/>
          <w:lang w:val="sr-Latn-ME"/>
        </w:rPr>
        <w:t>nedjelja</w:t>
      </w:r>
      <w:r w:rsidRPr="00AD3B49">
        <w:rPr>
          <w:rFonts w:ascii="Times New Roman" w:hAnsi="Times New Roman" w:cs="Times New Roman"/>
          <w:color w:val="auto"/>
          <w:sz w:val="22"/>
          <w:szCs w:val="22"/>
          <w:lang w:val="sr-Latn-ME"/>
        </w:rPr>
        <w:t xml:space="preserve"> </w:t>
      </w:r>
      <w:r w:rsidR="00195467" w:rsidRPr="00AD3B49">
        <w:rPr>
          <w:rFonts w:ascii="Times New Roman" w:hAnsi="Times New Roman" w:cs="Times New Roman"/>
          <w:color w:val="auto"/>
          <w:sz w:val="22"/>
          <w:szCs w:val="22"/>
          <w:lang w:val="sr-Latn-ME"/>
        </w:rPr>
        <w:t>dobijali</w:t>
      </w:r>
      <w:r w:rsidRPr="00AD3B49">
        <w:rPr>
          <w:rFonts w:ascii="Times New Roman" w:hAnsi="Times New Roman" w:cs="Times New Roman"/>
          <w:color w:val="auto"/>
          <w:sz w:val="22"/>
          <w:szCs w:val="22"/>
          <w:lang w:val="sr-Latn-ME"/>
        </w:rPr>
        <w:t xml:space="preserve"> naizmjenično supkutane injekcije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u dozi od 20 ili 40 mg, odnosno placeba (jednu </w:t>
      </w:r>
      <w:r w:rsidR="00956E56" w:rsidRPr="00AD3B49">
        <w:rPr>
          <w:rFonts w:ascii="Times New Roman" w:hAnsi="Times New Roman" w:cs="Times New Roman"/>
          <w:color w:val="auto"/>
          <w:sz w:val="22"/>
          <w:szCs w:val="22"/>
          <w:lang w:val="sr-Latn-ME"/>
        </w:rPr>
        <w:t>nedjelju</w:t>
      </w:r>
      <w:r w:rsidRPr="00AD3B49">
        <w:rPr>
          <w:rFonts w:ascii="Times New Roman" w:hAnsi="Times New Roman" w:cs="Times New Roman"/>
          <w:color w:val="auto"/>
          <w:sz w:val="22"/>
          <w:szCs w:val="22"/>
          <w:lang w:val="sr-Latn-ME"/>
        </w:rPr>
        <w:t xml:space="preserve"> aktivni lijek, drugu </w:t>
      </w:r>
      <w:r w:rsidR="00956E56" w:rsidRPr="00AD3B49">
        <w:rPr>
          <w:rFonts w:ascii="Times New Roman" w:hAnsi="Times New Roman" w:cs="Times New Roman"/>
          <w:color w:val="auto"/>
          <w:sz w:val="22"/>
          <w:szCs w:val="22"/>
          <w:lang w:val="sr-Latn-ME"/>
        </w:rPr>
        <w:t>nedjelju</w:t>
      </w:r>
      <w:r w:rsidRPr="00AD3B49">
        <w:rPr>
          <w:rFonts w:ascii="Times New Roman" w:hAnsi="Times New Roman" w:cs="Times New Roman"/>
          <w:color w:val="auto"/>
          <w:sz w:val="22"/>
          <w:szCs w:val="22"/>
          <w:lang w:val="sr-Latn-ME"/>
        </w:rPr>
        <w:t xml:space="preserve"> placebo) ili po jednu injekciju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i placeba svake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Pacijenti nisu smjeli uzimati nikakve druge ant</w:t>
      </w:r>
      <w:r w:rsidR="005644A2" w:rsidRPr="00AD3B49">
        <w:rPr>
          <w:rFonts w:ascii="Times New Roman" w:hAnsi="Times New Roman" w:cs="Times New Roman"/>
          <w:color w:val="auto"/>
          <w:sz w:val="22"/>
          <w:szCs w:val="22"/>
          <w:lang w:val="sr-Latn-ME"/>
        </w:rPr>
        <w:t>ireumatske ljekove koji modifiku</w:t>
      </w:r>
      <w:r w:rsidRPr="00AD3B49">
        <w:rPr>
          <w:rFonts w:ascii="Times New Roman" w:hAnsi="Times New Roman" w:cs="Times New Roman"/>
          <w:color w:val="auto"/>
          <w:sz w:val="22"/>
          <w:szCs w:val="22"/>
          <w:lang w:val="sr-Latn-ME"/>
        </w:rPr>
        <w:t>ju tok bolesti.</w:t>
      </w:r>
    </w:p>
    <w:p w:rsidR="003D3610" w:rsidRPr="00AD3B49" w:rsidRDefault="003D3610" w:rsidP="003D3610">
      <w:pPr>
        <w:pStyle w:val="Default"/>
        <w:jc w:val="both"/>
        <w:rPr>
          <w:rFonts w:ascii="Times New Roman" w:hAnsi="Times New Roman" w:cs="Times New Roman"/>
          <w:color w:val="auto"/>
          <w:sz w:val="22"/>
          <w:szCs w:val="22"/>
          <w:lang w:val="sr-Latn-ME"/>
        </w:rPr>
      </w:pPr>
    </w:p>
    <w:p w:rsidR="003D3610" w:rsidRPr="00AD3B49" w:rsidRDefault="003D3610"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RA ispitivanje III obuhvatilo je 619 pacijenata s umjereno teškim do teškim aktivnim reumatoidnim artritisom u dobi ≥18 godina </w:t>
      </w:r>
      <w:r w:rsidR="00BB1647" w:rsidRPr="00AD3B49">
        <w:rPr>
          <w:rFonts w:ascii="Times New Roman" w:hAnsi="Times New Roman" w:cs="Times New Roman"/>
          <w:color w:val="auto"/>
          <w:sz w:val="22"/>
          <w:szCs w:val="22"/>
          <w:lang w:val="sr-Latn-ME"/>
        </w:rPr>
        <w:t>kod</w:t>
      </w:r>
      <w:r w:rsidRPr="00AD3B49">
        <w:rPr>
          <w:rFonts w:ascii="Times New Roman" w:hAnsi="Times New Roman" w:cs="Times New Roman"/>
          <w:color w:val="auto"/>
          <w:sz w:val="22"/>
          <w:szCs w:val="22"/>
          <w:lang w:val="sr-Latn-ME"/>
        </w:rPr>
        <w:t xml:space="preserve"> kojih prethodna terapija metotreksatom u dozi od 12,5 do 25 mg  </w:t>
      </w:r>
      <w:r w:rsidRPr="00AD3B49">
        <w:rPr>
          <w:rFonts w:ascii="Times New Roman" w:hAnsi="Times New Roman" w:cs="Times New Roman"/>
          <w:iCs/>
          <w:color w:val="auto"/>
          <w:sz w:val="22"/>
          <w:szCs w:val="22"/>
          <w:lang w:val="sr-Latn-ME"/>
        </w:rPr>
        <w:t>jednom</w:t>
      </w:r>
      <w:r w:rsidRPr="00AD3B49">
        <w:rPr>
          <w:rFonts w:ascii="Times New Roman" w:hAnsi="Times New Roman" w:cs="Times New Roman"/>
          <w:i/>
          <w:iCs/>
          <w:color w:val="auto"/>
          <w:sz w:val="22"/>
          <w:szCs w:val="22"/>
          <w:lang w:val="sr-Latn-ME"/>
        </w:rPr>
        <w:t xml:space="preserve"> </w:t>
      </w:r>
      <w:r w:rsidR="005644A2" w:rsidRPr="00AD3B49">
        <w:rPr>
          <w:rFonts w:ascii="Times New Roman" w:hAnsi="Times New Roman" w:cs="Times New Roman"/>
          <w:iCs/>
          <w:color w:val="auto"/>
          <w:sz w:val="22"/>
          <w:szCs w:val="22"/>
          <w:lang w:val="sr-Latn-ME"/>
        </w:rPr>
        <w:t>ned</w:t>
      </w:r>
      <w:r w:rsidR="00956E56" w:rsidRPr="00AD3B49">
        <w:rPr>
          <w:rFonts w:ascii="Times New Roman" w:hAnsi="Times New Roman" w:cs="Times New Roman"/>
          <w:iCs/>
          <w:color w:val="auto"/>
          <w:sz w:val="22"/>
          <w:szCs w:val="22"/>
          <w:lang w:val="sr-Latn-ME"/>
        </w:rPr>
        <w:t>j</w:t>
      </w:r>
      <w:r w:rsidR="005644A2" w:rsidRPr="00AD3B49">
        <w:rPr>
          <w:rFonts w:ascii="Times New Roman" w:hAnsi="Times New Roman" w:cs="Times New Roman"/>
          <w:iCs/>
          <w:color w:val="auto"/>
          <w:sz w:val="22"/>
          <w:szCs w:val="22"/>
          <w:lang w:val="sr-Latn-ME"/>
        </w:rPr>
        <w:t>eljno</w:t>
      </w:r>
      <w:r w:rsidRPr="00AD3B49">
        <w:rPr>
          <w:rFonts w:ascii="Times New Roman" w:hAnsi="Times New Roman" w:cs="Times New Roman"/>
          <w:i/>
          <w:iCs/>
          <w:color w:val="auto"/>
          <w:sz w:val="22"/>
          <w:szCs w:val="22"/>
          <w:lang w:val="sr-Latn-ME"/>
        </w:rPr>
        <w:t xml:space="preserve"> </w:t>
      </w:r>
      <w:r w:rsidRPr="00AD3B49">
        <w:rPr>
          <w:rFonts w:ascii="Times New Roman" w:hAnsi="Times New Roman" w:cs="Times New Roman"/>
          <w:color w:val="auto"/>
          <w:sz w:val="22"/>
          <w:szCs w:val="22"/>
          <w:lang w:val="sr-Latn-ME"/>
        </w:rPr>
        <w:t xml:space="preserve">nije dala zadovoljavajuće rezultate ili nisu podnosili metotreksat u dozi od 10 mg jednom </w:t>
      </w:r>
      <w:r w:rsidR="005644A2" w:rsidRPr="00AD3B49">
        <w:rPr>
          <w:rFonts w:ascii="Times New Roman" w:hAnsi="Times New Roman" w:cs="Times New Roman"/>
          <w:color w:val="auto"/>
          <w:sz w:val="22"/>
          <w:szCs w:val="22"/>
          <w:lang w:val="sr-Latn-ME"/>
        </w:rPr>
        <w:t>ned</w:t>
      </w:r>
      <w:r w:rsidR="00956E56" w:rsidRPr="00AD3B49">
        <w:rPr>
          <w:rFonts w:ascii="Times New Roman" w:hAnsi="Times New Roman" w:cs="Times New Roman"/>
          <w:color w:val="auto"/>
          <w:sz w:val="22"/>
          <w:szCs w:val="22"/>
          <w:lang w:val="sr-Latn-ME"/>
        </w:rPr>
        <w:t>j</w:t>
      </w:r>
      <w:r w:rsidR="005644A2" w:rsidRPr="00AD3B49">
        <w:rPr>
          <w:rFonts w:ascii="Times New Roman" w:hAnsi="Times New Roman" w:cs="Times New Roman"/>
          <w:color w:val="auto"/>
          <w:sz w:val="22"/>
          <w:szCs w:val="22"/>
          <w:lang w:val="sr-Latn-ME"/>
        </w:rPr>
        <w:t>eljno</w:t>
      </w:r>
      <w:r w:rsidRPr="00AD3B49">
        <w:rPr>
          <w:rFonts w:ascii="Times New Roman" w:hAnsi="Times New Roman" w:cs="Times New Roman"/>
          <w:color w:val="auto"/>
          <w:sz w:val="22"/>
          <w:szCs w:val="22"/>
          <w:lang w:val="sr-Latn-ME"/>
        </w:rPr>
        <w:t>. Pacijenti su podijeljeni u tri grupe. Prva je dobi</w:t>
      </w:r>
      <w:r w:rsidR="00956E56" w:rsidRPr="00AD3B49">
        <w:rPr>
          <w:rFonts w:ascii="Times New Roman" w:hAnsi="Times New Roman" w:cs="Times New Roman"/>
          <w:color w:val="auto"/>
          <w:sz w:val="22"/>
          <w:szCs w:val="22"/>
          <w:lang w:val="sr-Latn-ME"/>
        </w:rPr>
        <w:t>j</w:t>
      </w:r>
      <w:r w:rsidRPr="00AD3B49">
        <w:rPr>
          <w:rFonts w:ascii="Times New Roman" w:hAnsi="Times New Roman" w:cs="Times New Roman"/>
          <w:color w:val="auto"/>
          <w:sz w:val="22"/>
          <w:szCs w:val="22"/>
          <w:lang w:val="sr-Latn-ME"/>
        </w:rPr>
        <w:t xml:space="preserve">ala injekcije placeba svake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u periodu od 52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w:t>
      </w:r>
      <w:r w:rsidR="00F652FC" w:rsidRPr="00AD3B49">
        <w:rPr>
          <w:rFonts w:ascii="Times New Roman" w:hAnsi="Times New Roman" w:cs="Times New Roman"/>
          <w:color w:val="auto"/>
          <w:sz w:val="22"/>
          <w:szCs w:val="22"/>
          <w:lang w:val="sr-Latn-ME"/>
        </w:rPr>
        <w:t xml:space="preserve">Druga je dobijala 20 mg </w:t>
      </w:r>
      <w:r w:rsidR="0082613A" w:rsidRPr="00AD3B49">
        <w:rPr>
          <w:rFonts w:ascii="Times New Roman" w:hAnsi="Times New Roman" w:cs="Times New Roman"/>
          <w:color w:val="auto"/>
          <w:sz w:val="22"/>
          <w:szCs w:val="22"/>
          <w:lang w:val="sr-Latn-ME"/>
        </w:rPr>
        <w:t xml:space="preserve">lijeka </w:t>
      </w:r>
      <w:r w:rsidR="00F652FC"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00F652FC" w:rsidRPr="00AD3B49">
        <w:rPr>
          <w:rFonts w:ascii="Times New Roman" w:hAnsi="Times New Roman" w:cs="Times New Roman"/>
          <w:color w:val="auto"/>
          <w:sz w:val="22"/>
          <w:szCs w:val="22"/>
          <w:lang w:val="sr-Latn-ME"/>
        </w:rPr>
        <w:t xml:space="preserve"> svake nedjelje u periodu od 52 nedjelje Treća grupa je dobijala 40 mg </w:t>
      </w:r>
      <w:r w:rsidR="0082613A" w:rsidRPr="00AD3B49">
        <w:rPr>
          <w:rFonts w:ascii="Times New Roman" w:hAnsi="Times New Roman" w:cs="Times New Roman"/>
          <w:color w:val="auto"/>
          <w:sz w:val="22"/>
          <w:szCs w:val="22"/>
          <w:lang w:val="sr-Latn-ME"/>
        </w:rPr>
        <w:t xml:space="preserve">lijeka </w:t>
      </w:r>
      <w:r w:rsidR="00F652FC"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00F652FC" w:rsidRPr="00AD3B49">
        <w:rPr>
          <w:rFonts w:ascii="Times New Roman" w:hAnsi="Times New Roman" w:cs="Times New Roman"/>
          <w:color w:val="auto"/>
          <w:sz w:val="22"/>
          <w:szCs w:val="22"/>
          <w:lang w:val="sr-Latn-ME"/>
        </w:rPr>
        <w:t xml:space="preserve"> svake druge nedjelje, </w:t>
      </w:r>
      <w:r w:rsidR="00FB6195" w:rsidRPr="00AD3B49">
        <w:rPr>
          <w:rFonts w:ascii="Times New Roman" w:hAnsi="Times New Roman" w:cs="Times New Roman"/>
          <w:color w:val="auto"/>
          <w:sz w:val="22"/>
          <w:szCs w:val="22"/>
          <w:lang w:val="sr-Latn-ME"/>
        </w:rPr>
        <w:t>s</w:t>
      </w:r>
      <w:r w:rsidR="00206854" w:rsidRPr="00AD3B49">
        <w:rPr>
          <w:rFonts w:ascii="Times New Roman" w:hAnsi="Times New Roman" w:cs="Times New Roman"/>
          <w:color w:val="auto"/>
          <w:sz w:val="22"/>
          <w:szCs w:val="22"/>
          <w:lang w:val="sr-Latn-ME"/>
        </w:rPr>
        <w:t>a pl</w:t>
      </w:r>
      <w:r w:rsidR="00FB6195" w:rsidRPr="00AD3B49">
        <w:rPr>
          <w:rFonts w:ascii="Times New Roman" w:hAnsi="Times New Roman" w:cs="Times New Roman"/>
          <w:color w:val="auto"/>
          <w:sz w:val="22"/>
          <w:szCs w:val="22"/>
          <w:lang w:val="sr-Latn-ME"/>
        </w:rPr>
        <w:t>acebo injekcijama, naizmjenično</w:t>
      </w:r>
      <w:r w:rsidR="00F652FC" w:rsidRPr="00AD3B49">
        <w:rPr>
          <w:rFonts w:ascii="Times New Roman" w:hAnsi="Times New Roman" w:cs="Times New Roman"/>
          <w:color w:val="auto"/>
          <w:sz w:val="22"/>
          <w:szCs w:val="22"/>
          <w:lang w:val="sr-Latn-ME"/>
        </w:rPr>
        <w:t xml:space="preserve">. Po završetku prve 52 nedjelje, 457 pacijenta je uključeno </w:t>
      </w:r>
      <w:r w:rsidR="00206854" w:rsidRPr="00AD3B49">
        <w:rPr>
          <w:rFonts w:ascii="Times New Roman" w:hAnsi="Times New Roman" w:cs="Times New Roman"/>
          <w:color w:val="auto"/>
          <w:sz w:val="22"/>
          <w:szCs w:val="22"/>
          <w:lang w:val="sr-Latn-ME"/>
        </w:rPr>
        <w:t>u otvorenu produženu fazu u kojoj</w:t>
      </w:r>
      <w:r w:rsidR="00F652FC" w:rsidRPr="00AD3B49">
        <w:rPr>
          <w:rFonts w:ascii="Times New Roman" w:hAnsi="Times New Roman" w:cs="Times New Roman"/>
          <w:color w:val="auto"/>
          <w:sz w:val="22"/>
          <w:szCs w:val="22"/>
          <w:lang w:val="sr-Latn-ME"/>
        </w:rPr>
        <w:t xml:space="preserve"> je davano 40 mg </w:t>
      </w:r>
      <w:r w:rsidR="0082613A" w:rsidRPr="00AD3B49">
        <w:rPr>
          <w:rFonts w:ascii="Times New Roman" w:hAnsi="Times New Roman" w:cs="Times New Roman"/>
          <w:color w:val="auto"/>
          <w:sz w:val="22"/>
          <w:szCs w:val="22"/>
          <w:lang w:val="sr-Latn-ME"/>
        </w:rPr>
        <w:t xml:space="preserve">lijeka </w:t>
      </w:r>
      <w:r w:rsidR="00F652FC"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00F652FC" w:rsidRPr="00AD3B49">
        <w:rPr>
          <w:rFonts w:ascii="Times New Roman" w:hAnsi="Times New Roman" w:cs="Times New Roman"/>
          <w:color w:val="auto"/>
          <w:sz w:val="22"/>
          <w:szCs w:val="22"/>
          <w:lang w:val="sr-Latn-ME"/>
        </w:rPr>
        <w:t>/ MTX svake druge nedjelje u trajanju od 10 godina</w:t>
      </w:r>
      <w:r w:rsidR="00206854" w:rsidRPr="00AD3B49">
        <w:rPr>
          <w:rFonts w:ascii="Times New Roman" w:hAnsi="Times New Roman" w:cs="Times New Roman"/>
          <w:color w:val="auto"/>
          <w:sz w:val="22"/>
          <w:szCs w:val="22"/>
          <w:lang w:val="sr-Latn-ME"/>
        </w:rPr>
        <w:t>.</w:t>
      </w:r>
    </w:p>
    <w:p w:rsidR="003D3610" w:rsidRPr="00AD3B49" w:rsidRDefault="003D3610" w:rsidP="003D3610">
      <w:pPr>
        <w:pStyle w:val="Default"/>
        <w:jc w:val="both"/>
        <w:rPr>
          <w:rFonts w:ascii="Times New Roman" w:hAnsi="Times New Roman" w:cs="Times New Roman"/>
          <w:color w:val="auto"/>
          <w:sz w:val="22"/>
          <w:szCs w:val="22"/>
          <w:lang w:val="sr-Latn-ME"/>
        </w:rPr>
      </w:pPr>
    </w:p>
    <w:p w:rsidR="003D3610" w:rsidRPr="00AD3B49" w:rsidRDefault="003D3610"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lastRenderedPageBreak/>
        <w:t xml:space="preserve">U RA ispitivanju IV prvenstveno je ocjenjivana sigurnost </w:t>
      </w:r>
      <w:r w:rsidR="00220B18" w:rsidRPr="00AD3B49">
        <w:rPr>
          <w:rFonts w:ascii="Times New Roman" w:hAnsi="Times New Roman" w:cs="Times New Roman"/>
          <w:color w:val="auto"/>
          <w:sz w:val="22"/>
          <w:szCs w:val="22"/>
          <w:lang w:val="sr-Latn-ME"/>
        </w:rPr>
        <w:t>kod</w:t>
      </w:r>
      <w:r w:rsidRPr="00AD3B49">
        <w:rPr>
          <w:rFonts w:ascii="Times New Roman" w:hAnsi="Times New Roman" w:cs="Times New Roman"/>
          <w:color w:val="auto"/>
          <w:sz w:val="22"/>
          <w:szCs w:val="22"/>
          <w:lang w:val="sr-Latn-ME"/>
        </w:rPr>
        <w:t xml:space="preserve"> 636 pacijenata u dobi ≥18 godina s umjereno teškim do teškim aktivnim reumatoidnim artritisom. U ispitivanje su uključeni i pacijenti koji su prethodno liječeni antireumatskim </w:t>
      </w:r>
      <w:r w:rsidR="00D74125" w:rsidRPr="00AD3B49">
        <w:rPr>
          <w:rFonts w:ascii="Times New Roman" w:hAnsi="Times New Roman" w:cs="Times New Roman"/>
          <w:color w:val="auto"/>
          <w:sz w:val="22"/>
          <w:szCs w:val="22"/>
          <w:lang w:val="sr-Latn-ME"/>
        </w:rPr>
        <w:t>ljekovi</w:t>
      </w:r>
      <w:r w:rsidRPr="00AD3B49">
        <w:rPr>
          <w:rFonts w:ascii="Times New Roman" w:hAnsi="Times New Roman" w:cs="Times New Roman"/>
          <w:color w:val="auto"/>
          <w:sz w:val="22"/>
          <w:szCs w:val="22"/>
          <w:lang w:val="sr-Latn-ME"/>
        </w:rPr>
        <w:t xml:space="preserve">ma </w:t>
      </w:r>
      <w:r w:rsidR="005644A2" w:rsidRPr="00AD3B49">
        <w:rPr>
          <w:rFonts w:ascii="Times New Roman" w:hAnsi="Times New Roman" w:cs="Times New Roman"/>
          <w:iCs/>
          <w:color w:val="auto"/>
          <w:sz w:val="22"/>
          <w:szCs w:val="22"/>
          <w:lang w:val="sr-Latn-ME"/>
        </w:rPr>
        <w:t>koji modifiku</w:t>
      </w:r>
      <w:r w:rsidRPr="00AD3B49">
        <w:rPr>
          <w:rFonts w:ascii="Times New Roman" w:hAnsi="Times New Roman" w:cs="Times New Roman"/>
          <w:iCs/>
          <w:color w:val="auto"/>
          <w:sz w:val="22"/>
          <w:szCs w:val="22"/>
          <w:lang w:val="sr-Latn-ME"/>
        </w:rPr>
        <w:t>ju</w:t>
      </w:r>
      <w:r w:rsidRPr="00AD3B49">
        <w:rPr>
          <w:rFonts w:ascii="Times New Roman" w:hAnsi="Times New Roman" w:cs="Times New Roman"/>
          <w:color w:val="auto"/>
          <w:sz w:val="22"/>
          <w:szCs w:val="22"/>
          <w:lang w:val="sr-Latn-ME"/>
        </w:rPr>
        <w:t xml:space="preserve"> tok bolesti, koji prethodno nisu bili liječeni i oni koji već dobi</w:t>
      </w:r>
      <w:r w:rsidR="00220B18" w:rsidRPr="00AD3B49">
        <w:rPr>
          <w:rFonts w:ascii="Times New Roman" w:hAnsi="Times New Roman" w:cs="Times New Roman"/>
          <w:color w:val="auto"/>
          <w:sz w:val="22"/>
          <w:szCs w:val="22"/>
          <w:lang w:val="sr-Latn-ME"/>
        </w:rPr>
        <w:t>j</w:t>
      </w:r>
      <w:r w:rsidRPr="00AD3B49">
        <w:rPr>
          <w:rFonts w:ascii="Times New Roman" w:hAnsi="Times New Roman" w:cs="Times New Roman"/>
          <w:color w:val="auto"/>
          <w:sz w:val="22"/>
          <w:szCs w:val="22"/>
          <w:lang w:val="sr-Latn-ME"/>
        </w:rPr>
        <w:t>aju antireumatsku terapiju pod u</w:t>
      </w:r>
      <w:r w:rsidR="00220B18" w:rsidRPr="00AD3B49">
        <w:rPr>
          <w:rFonts w:ascii="Times New Roman" w:hAnsi="Times New Roman" w:cs="Times New Roman"/>
          <w:color w:val="auto"/>
          <w:sz w:val="22"/>
          <w:szCs w:val="22"/>
          <w:lang w:val="sr-Latn-ME"/>
        </w:rPr>
        <w:t>slovom</w:t>
      </w:r>
      <w:r w:rsidRPr="00AD3B49">
        <w:rPr>
          <w:rFonts w:ascii="Times New Roman" w:hAnsi="Times New Roman" w:cs="Times New Roman"/>
          <w:color w:val="auto"/>
          <w:sz w:val="22"/>
          <w:szCs w:val="22"/>
          <w:lang w:val="sr-Latn-ME"/>
        </w:rPr>
        <w:t xml:space="preserve"> da je ta terapija stabilna najmanje 28 dana. Ove terapije uključuju metotreksat, leflunomid, hidroksi</w:t>
      </w:r>
      <w:r w:rsidR="00707E2B" w:rsidRPr="00AD3B49">
        <w:rPr>
          <w:rFonts w:ascii="Times New Roman" w:hAnsi="Times New Roman" w:cs="Times New Roman"/>
          <w:color w:val="auto"/>
          <w:sz w:val="22"/>
          <w:szCs w:val="22"/>
          <w:lang w:val="sr-Latn-ME"/>
        </w:rPr>
        <w:t>h</w:t>
      </w:r>
      <w:r w:rsidRPr="00AD3B49">
        <w:rPr>
          <w:rFonts w:ascii="Times New Roman" w:hAnsi="Times New Roman" w:cs="Times New Roman"/>
          <w:color w:val="auto"/>
          <w:sz w:val="22"/>
          <w:szCs w:val="22"/>
          <w:lang w:val="sr-Latn-ME"/>
        </w:rPr>
        <w:t>loro</w:t>
      </w:r>
      <w:r w:rsidR="00867CBD" w:rsidRPr="00AD3B49">
        <w:rPr>
          <w:rFonts w:ascii="Times New Roman" w:hAnsi="Times New Roman" w:cs="Times New Roman"/>
          <w:color w:val="auto"/>
          <w:sz w:val="22"/>
          <w:szCs w:val="22"/>
          <w:lang w:val="sr-Latn-ME"/>
        </w:rPr>
        <w:t>h</w:t>
      </w:r>
      <w:r w:rsidRPr="00AD3B49">
        <w:rPr>
          <w:rFonts w:ascii="Times New Roman" w:hAnsi="Times New Roman" w:cs="Times New Roman"/>
          <w:color w:val="auto"/>
          <w:sz w:val="22"/>
          <w:szCs w:val="22"/>
          <w:lang w:val="sr-Latn-ME"/>
        </w:rPr>
        <w:t>in, sulfasalazin i/ili soli zlata. Pacijenti</w:t>
      </w:r>
      <w:r w:rsidR="00707E2B" w:rsidRPr="00AD3B49">
        <w:rPr>
          <w:rFonts w:ascii="Times New Roman" w:hAnsi="Times New Roman" w:cs="Times New Roman"/>
          <w:color w:val="auto"/>
          <w:sz w:val="22"/>
          <w:szCs w:val="22"/>
          <w:lang w:val="sr-Latn-ME"/>
        </w:rPr>
        <w:t xml:space="preserve"> su</w:t>
      </w:r>
      <w:r w:rsidRPr="00AD3B49">
        <w:rPr>
          <w:rFonts w:ascii="Times New Roman" w:hAnsi="Times New Roman" w:cs="Times New Roman"/>
          <w:color w:val="auto"/>
          <w:sz w:val="22"/>
          <w:szCs w:val="22"/>
          <w:lang w:val="sr-Latn-ME"/>
        </w:rPr>
        <w:t xml:space="preserve"> podijeljeni u dvije grupe od kojih je jedna dobi</w:t>
      </w:r>
      <w:r w:rsidR="00220B18" w:rsidRPr="00AD3B49">
        <w:rPr>
          <w:rFonts w:ascii="Times New Roman" w:hAnsi="Times New Roman" w:cs="Times New Roman"/>
          <w:color w:val="auto"/>
          <w:sz w:val="22"/>
          <w:szCs w:val="22"/>
          <w:lang w:val="sr-Latn-ME"/>
        </w:rPr>
        <w:t>j</w:t>
      </w:r>
      <w:r w:rsidRPr="00AD3B49">
        <w:rPr>
          <w:rFonts w:ascii="Times New Roman" w:hAnsi="Times New Roman" w:cs="Times New Roman"/>
          <w:color w:val="auto"/>
          <w:sz w:val="22"/>
          <w:szCs w:val="22"/>
          <w:lang w:val="sr-Latn-ME"/>
        </w:rPr>
        <w:t xml:space="preserve">ala 40 mg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a druga placebo svake druge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u periodu od 24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w:t>
      </w:r>
    </w:p>
    <w:p w:rsidR="003D3610" w:rsidRPr="00AD3B49" w:rsidRDefault="003D3610" w:rsidP="003D3610">
      <w:pPr>
        <w:pStyle w:val="Default"/>
        <w:jc w:val="both"/>
        <w:rPr>
          <w:rFonts w:ascii="Times New Roman" w:hAnsi="Times New Roman" w:cs="Times New Roman"/>
          <w:color w:val="auto"/>
          <w:sz w:val="22"/>
          <w:szCs w:val="22"/>
          <w:lang w:val="sr-Latn-ME"/>
        </w:rPr>
      </w:pPr>
    </w:p>
    <w:p w:rsidR="003D3610" w:rsidRPr="00AD3B49" w:rsidRDefault="003D3610"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RA ispitivanjem V obuhvaćeno je 799 odraslih pacijenata s umjereno teškim do teškim aktivnim reumatoidnim artritisom u ranoj fazi (prosječno trajanje bolesti kraće od 9 mjeseci) koji do tada nisu bili liječeni metotreksatom. Tokom 104 </w:t>
      </w:r>
      <w:r w:rsidR="000B016F" w:rsidRPr="00AD3B49">
        <w:rPr>
          <w:rFonts w:ascii="Times New Roman" w:hAnsi="Times New Roman" w:cs="Times New Roman"/>
          <w:color w:val="auto"/>
          <w:sz w:val="22"/>
          <w:szCs w:val="22"/>
          <w:lang w:val="sr-Latn-ME"/>
        </w:rPr>
        <w:t>nedjelje</w:t>
      </w:r>
      <w:r w:rsidR="00707E2B" w:rsidRPr="00AD3B49">
        <w:rPr>
          <w:rFonts w:ascii="Times New Roman" w:hAnsi="Times New Roman" w:cs="Times New Roman"/>
          <w:color w:val="auto"/>
          <w:sz w:val="22"/>
          <w:szCs w:val="22"/>
          <w:lang w:val="sr-Latn-ME"/>
        </w:rPr>
        <w:t xml:space="preserve"> uspoređivana je efikasnost</w:t>
      </w:r>
      <w:r w:rsidRPr="00AD3B49">
        <w:rPr>
          <w:rFonts w:ascii="Times New Roman" w:hAnsi="Times New Roman" w:cs="Times New Roman"/>
          <w:color w:val="auto"/>
          <w:sz w:val="22"/>
          <w:szCs w:val="22"/>
          <w:lang w:val="sr-Latn-ME"/>
        </w:rPr>
        <w:t xml:space="preserve"> kombi</w:t>
      </w:r>
      <w:r w:rsidR="00220B18" w:rsidRPr="00AD3B49">
        <w:rPr>
          <w:rFonts w:ascii="Times New Roman" w:hAnsi="Times New Roman" w:cs="Times New Roman"/>
          <w:color w:val="auto"/>
          <w:sz w:val="22"/>
          <w:szCs w:val="22"/>
          <w:lang w:val="sr-Latn-ME"/>
        </w:rPr>
        <w:t>novanog</w:t>
      </w:r>
      <w:r w:rsidRPr="00AD3B49">
        <w:rPr>
          <w:rFonts w:ascii="Times New Roman" w:hAnsi="Times New Roman" w:cs="Times New Roman"/>
          <w:color w:val="auto"/>
          <w:sz w:val="22"/>
          <w:szCs w:val="22"/>
          <w:lang w:val="sr-Latn-ME"/>
        </w:rPr>
        <w:t xml:space="preserve"> liječenja (40 mg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svake </w:t>
      </w:r>
      <w:r w:rsidR="00E23B4E" w:rsidRPr="00AD3B49">
        <w:rPr>
          <w:rFonts w:ascii="Times New Roman" w:hAnsi="Times New Roman" w:cs="Times New Roman"/>
          <w:color w:val="auto"/>
          <w:sz w:val="22"/>
          <w:szCs w:val="22"/>
          <w:lang w:val="sr-Latn-ME"/>
        </w:rPr>
        <w:t xml:space="preserve">druge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/metotreksat), monoterapije </w:t>
      </w:r>
      <w:r w:rsidR="00E409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E409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(40 mg svake </w:t>
      </w:r>
      <w:r w:rsidR="00E23B4E" w:rsidRPr="00AD3B49">
        <w:rPr>
          <w:rFonts w:ascii="Times New Roman" w:hAnsi="Times New Roman" w:cs="Times New Roman"/>
          <w:color w:val="auto"/>
          <w:sz w:val="22"/>
          <w:szCs w:val="22"/>
          <w:lang w:val="sr-Latn-ME"/>
        </w:rPr>
        <w:t xml:space="preserve">druge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w:t>
      </w:r>
      <w:r w:rsidR="00867CBD" w:rsidRPr="00AD3B49">
        <w:rPr>
          <w:rFonts w:ascii="Times New Roman" w:hAnsi="Times New Roman" w:cs="Times New Roman"/>
          <w:color w:val="auto"/>
          <w:sz w:val="22"/>
          <w:szCs w:val="22"/>
          <w:lang w:val="sr-Latn-ME"/>
        </w:rPr>
        <w:t xml:space="preserve">kao i </w:t>
      </w:r>
      <w:r w:rsidRPr="00AD3B49">
        <w:rPr>
          <w:rFonts w:ascii="Times New Roman" w:hAnsi="Times New Roman" w:cs="Times New Roman"/>
          <w:color w:val="auto"/>
          <w:sz w:val="22"/>
          <w:szCs w:val="22"/>
          <w:lang w:val="sr-Latn-ME"/>
        </w:rPr>
        <w:t>monoterapije metotreksatom na smanjenje simptoma i znakova te brzine napredovanja oštećenja zglobova kod reumatoidnog artritisa.</w:t>
      </w:r>
    </w:p>
    <w:p w:rsidR="003D3610" w:rsidRPr="00AD3B49" w:rsidRDefault="003D3610" w:rsidP="00EA770F">
      <w:pPr>
        <w:pStyle w:val="Default"/>
        <w:jc w:val="both"/>
        <w:rPr>
          <w:rFonts w:ascii="Times New Roman" w:hAnsi="Times New Roman" w:cs="Times New Roman"/>
          <w:color w:val="auto"/>
          <w:sz w:val="22"/>
          <w:szCs w:val="22"/>
          <w:lang w:val="sr-Latn-ME"/>
        </w:rPr>
      </w:pPr>
    </w:p>
    <w:p w:rsidR="003D3610" w:rsidRPr="00AD3B49" w:rsidRDefault="003D3610" w:rsidP="00EA770F">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Primarna mjera ishoda RA ispitivanja I, II i III te sekundarna mjera ishoda RA ispitivanja IV bio je utvrditi postotak pacijenata </w:t>
      </w:r>
      <w:r w:rsidR="00867CBD" w:rsidRPr="00AD3B49">
        <w:rPr>
          <w:rFonts w:ascii="Times New Roman" w:hAnsi="Times New Roman" w:cs="Times New Roman"/>
          <w:color w:val="auto"/>
          <w:sz w:val="22"/>
          <w:szCs w:val="22"/>
          <w:lang w:val="sr-Latn-ME"/>
        </w:rPr>
        <w:t>kod</w:t>
      </w:r>
      <w:r w:rsidRPr="00AD3B49">
        <w:rPr>
          <w:rFonts w:ascii="Times New Roman" w:hAnsi="Times New Roman" w:cs="Times New Roman"/>
          <w:color w:val="auto"/>
          <w:sz w:val="22"/>
          <w:szCs w:val="22"/>
          <w:lang w:val="sr-Latn-ME"/>
        </w:rPr>
        <w:t xml:space="preserve"> kojih je postignut terapijski odgovor ACR 20 nakon 24, odnosno 26 </w:t>
      </w:r>
      <w:r w:rsidR="000B016F" w:rsidRPr="00AD3B49">
        <w:rPr>
          <w:rFonts w:ascii="Times New Roman" w:hAnsi="Times New Roman" w:cs="Times New Roman"/>
          <w:color w:val="auto"/>
          <w:sz w:val="22"/>
          <w:szCs w:val="22"/>
          <w:lang w:val="sr-Latn-ME"/>
        </w:rPr>
        <w:t>nedjelja</w:t>
      </w:r>
      <w:r w:rsidRPr="00AD3B49">
        <w:rPr>
          <w:rFonts w:ascii="Times New Roman" w:hAnsi="Times New Roman" w:cs="Times New Roman"/>
          <w:color w:val="auto"/>
          <w:sz w:val="22"/>
          <w:szCs w:val="22"/>
          <w:lang w:val="sr-Latn-ME"/>
        </w:rPr>
        <w:t xml:space="preserve"> liječenja. Primarna mjera ishoda RA ispitivanja V bio je postotak pacijenata </w:t>
      </w:r>
      <w:r w:rsidR="00220B18" w:rsidRPr="00AD3B49">
        <w:rPr>
          <w:rFonts w:ascii="Times New Roman" w:hAnsi="Times New Roman" w:cs="Times New Roman"/>
          <w:color w:val="auto"/>
          <w:sz w:val="22"/>
          <w:szCs w:val="22"/>
          <w:lang w:val="sr-Latn-ME"/>
        </w:rPr>
        <w:t>kod</w:t>
      </w:r>
      <w:r w:rsidRPr="00AD3B49">
        <w:rPr>
          <w:rFonts w:ascii="Times New Roman" w:hAnsi="Times New Roman" w:cs="Times New Roman"/>
          <w:color w:val="auto"/>
          <w:sz w:val="22"/>
          <w:szCs w:val="22"/>
          <w:lang w:val="sr-Latn-ME"/>
        </w:rPr>
        <w:t xml:space="preserve"> kojih je postignut terapijski odgovor ACR 50 nakon 52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liječenja. Dodatna primarna mjera ishoda RA ispitivanja III i V bila je usporavanje napredovanja bolesti (na </w:t>
      </w:r>
      <w:r w:rsidR="00220B18" w:rsidRPr="00AD3B49">
        <w:rPr>
          <w:rFonts w:ascii="Times New Roman" w:hAnsi="Times New Roman" w:cs="Times New Roman"/>
          <w:color w:val="auto"/>
          <w:sz w:val="22"/>
          <w:szCs w:val="22"/>
          <w:lang w:val="sr-Latn-ME"/>
        </w:rPr>
        <w:t>osnovu</w:t>
      </w:r>
      <w:r w:rsidRPr="00AD3B49">
        <w:rPr>
          <w:rFonts w:ascii="Times New Roman" w:hAnsi="Times New Roman" w:cs="Times New Roman"/>
          <w:color w:val="auto"/>
          <w:sz w:val="22"/>
          <w:szCs w:val="22"/>
          <w:lang w:val="sr-Latn-ME"/>
        </w:rPr>
        <w:t xml:space="preserve"> radioloških nalaza) nakon 52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liječenja. Primarna mjera ishoda RA ispitivanja III, takođe, su bile promjene u kvalitet</w:t>
      </w:r>
      <w:r w:rsidR="00220B18" w:rsidRPr="00AD3B49">
        <w:rPr>
          <w:rFonts w:ascii="Times New Roman" w:hAnsi="Times New Roman" w:cs="Times New Roman"/>
          <w:color w:val="auto"/>
          <w:sz w:val="22"/>
          <w:szCs w:val="22"/>
          <w:lang w:val="sr-Latn-ME"/>
        </w:rPr>
        <w:t>u</w:t>
      </w:r>
      <w:r w:rsidRPr="00AD3B49">
        <w:rPr>
          <w:rFonts w:ascii="Times New Roman" w:hAnsi="Times New Roman" w:cs="Times New Roman"/>
          <w:color w:val="auto"/>
          <w:sz w:val="22"/>
          <w:szCs w:val="22"/>
          <w:lang w:val="sr-Latn-ME"/>
        </w:rPr>
        <w:t xml:space="preserve"> života.</w:t>
      </w:r>
    </w:p>
    <w:p w:rsidR="003D3610" w:rsidRPr="00AD3B49" w:rsidRDefault="003D3610" w:rsidP="00EA770F">
      <w:pPr>
        <w:pStyle w:val="Default"/>
        <w:jc w:val="both"/>
        <w:rPr>
          <w:rFonts w:ascii="Times New Roman" w:hAnsi="Times New Roman" w:cs="Times New Roman"/>
          <w:color w:val="auto"/>
          <w:sz w:val="22"/>
          <w:szCs w:val="22"/>
          <w:lang w:val="sr-Latn-ME"/>
        </w:rPr>
      </w:pPr>
    </w:p>
    <w:p w:rsidR="003D3610" w:rsidRPr="00AD3B49" w:rsidRDefault="003D3610" w:rsidP="00EA770F">
      <w:pPr>
        <w:pStyle w:val="Default"/>
        <w:ind w:left="567" w:hanging="567"/>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u w:val="single"/>
          <w:lang w:val="sr-Latn-ME"/>
        </w:rPr>
        <w:t>ACR odgovor</w:t>
      </w:r>
    </w:p>
    <w:p w:rsidR="003D3610" w:rsidRPr="00AD3B49" w:rsidRDefault="003D3610" w:rsidP="00EA770F">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Postotak pacijenata liječenih </w:t>
      </w:r>
      <w:r w:rsidR="00E409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E409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w:t>
      </w:r>
      <w:r w:rsidR="00525DF3" w:rsidRPr="00AD3B49">
        <w:rPr>
          <w:rFonts w:ascii="Times New Roman" w:hAnsi="Times New Roman" w:cs="Times New Roman"/>
          <w:color w:val="auto"/>
          <w:sz w:val="22"/>
          <w:szCs w:val="22"/>
          <w:lang w:val="sr-Latn-ME"/>
        </w:rPr>
        <w:t>kod</w:t>
      </w:r>
      <w:r w:rsidRPr="00AD3B49">
        <w:rPr>
          <w:rFonts w:ascii="Times New Roman" w:hAnsi="Times New Roman" w:cs="Times New Roman"/>
          <w:color w:val="auto"/>
          <w:sz w:val="22"/>
          <w:szCs w:val="22"/>
          <w:lang w:val="sr-Latn-ME"/>
        </w:rPr>
        <w:t xml:space="preserve"> kojih je postignut terapijski odgovor ACR 20, 50 i 70 bio je podjednak u RA ispitivanjima I, II i III. Rezultati zabilježeni u grupi koja je dobi</w:t>
      </w:r>
      <w:r w:rsidR="00220B18" w:rsidRPr="00AD3B49">
        <w:rPr>
          <w:rFonts w:ascii="Times New Roman" w:hAnsi="Times New Roman" w:cs="Times New Roman"/>
          <w:color w:val="auto"/>
          <w:sz w:val="22"/>
          <w:szCs w:val="22"/>
          <w:lang w:val="sr-Latn-ME"/>
        </w:rPr>
        <w:t>j</w:t>
      </w:r>
      <w:r w:rsidRPr="00AD3B49">
        <w:rPr>
          <w:rFonts w:ascii="Times New Roman" w:hAnsi="Times New Roman" w:cs="Times New Roman"/>
          <w:color w:val="auto"/>
          <w:sz w:val="22"/>
          <w:szCs w:val="22"/>
          <w:lang w:val="sr-Latn-ME"/>
        </w:rPr>
        <w:t xml:space="preserve">ala 40 mg svake dvije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prikazani su u Tabeli 3.</w:t>
      </w:r>
    </w:p>
    <w:p w:rsidR="003D3610" w:rsidRPr="00AD3B49" w:rsidRDefault="003D3610" w:rsidP="006B0826">
      <w:pPr>
        <w:pStyle w:val="Default"/>
        <w:ind w:left="567" w:hanging="567"/>
        <w:jc w:val="center"/>
        <w:rPr>
          <w:rFonts w:ascii="Times New Roman" w:hAnsi="Times New Roman" w:cs="Times New Roman"/>
          <w:b/>
          <w:bCs/>
          <w:color w:val="auto"/>
          <w:sz w:val="22"/>
          <w:szCs w:val="22"/>
          <w:lang w:val="sr-Latn-ME"/>
        </w:rPr>
      </w:pPr>
      <w:r w:rsidRPr="00AD3B49">
        <w:rPr>
          <w:rFonts w:ascii="Times New Roman" w:hAnsi="Times New Roman" w:cs="Times New Roman"/>
          <w:b/>
          <w:bCs/>
          <w:color w:val="auto"/>
          <w:sz w:val="22"/>
          <w:szCs w:val="22"/>
          <w:lang w:val="sr-Latn-ME"/>
        </w:rPr>
        <w:t>Tabela 3.</w:t>
      </w:r>
    </w:p>
    <w:p w:rsidR="003D3610" w:rsidRPr="00AD3B49" w:rsidRDefault="003D3610" w:rsidP="006B0826">
      <w:pPr>
        <w:pStyle w:val="Default"/>
        <w:ind w:left="567" w:hanging="567"/>
        <w:jc w:val="center"/>
        <w:rPr>
          <w:rFonts w:ascii="Times New Roman" w:hAnsi="Times New Roman" w:cs="Times New Roman"/>
          <w:b/>
          <w:bCs/>
          <w:color w:val="auto"/>
          <w:sz w:val="22"/>
          <w:szCs w:val="22"/>
          <w:lang w:val="sr-Latn-ME"/>
        </w:rPr>
      </w:pPr>
      <w:r w:rsidRPr="00AD3B49">
        <w:rPr>
          <w:rFonts w:ascii="Times New Roman" w:hAnsi="Times New Roman" w:cs="Times New Roman"/>
          <w:b/>
          <w:bCs/>
          <w:color w:val="auto"/>
          <w:sz w:val="22"/>
          <w:szCs w:val="22"/>
          <w:lang w:val="sr-Latn-ME"/>
        </w:rPr>
        <w:t>ACR odgovori pacijenata</w:t>
      </w:r>
      <w:r w:rsidR="009925F8" w:rsidRPr="00AD3B49">
        <w:rPr>
          <w:rFonts w:ascii="Times New Roman" w:hAnsi="Times New Roman" w:cs="Times New Roman"/>
          <w:b/>
          <w:bCs/>
          <w:color w:val="auto"/>
          <w:sz w:val="22"/>
          <w:szCs w:val="22"/>
          <w:lang w:val="sr-Latn-ME"/>
        </w:rPr>
        <w:t xml:space="preserve"> u ispitivanjima kontrolis</w:t>
      </w:r>
      <w:r w:rsidRPr="00AD3B49">
        <w:rPr>
          <w:rFonts w:ascii="Times New Roman" w:hAnsi="Times New Roman" w:cs="Times New Roman"/>
          <w:b/>
          <w:bCs/>
          <w:color w:val="auto"/>
          <w:sz w:val="22"/>
          <w:szCs w:val="22"/>
          <w:lang w:val="sr-Latn-ME"/>
        </w:rPr>
        <w:t>anim placebom</w:t>
      </w:r>
    </w:p>
    <w:p w:rsidR="003D3610" w:rsidRPr="00AD3B49" w:rsidRDefault="003D3610" w:rsidP="003D3610">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b/>
          <w:bCs/>
          <w:color w:val="auto"/>
          <w:sz w:val="22"/>
          <w:szCs w:val="22"/>
          <w:lang w:val="sr-Latn-ME"/>
        </w:rPr>
        <w:t>(postotak pacijenata)</w:t>
      </w:r>
    </w:p>
    <w:tbl>
      <w:tblPr>
        <w:tblW w:w="0" w:type="auto"/>
        <w:tblCellMar>
          <w:left w:w="0" w:type="dxa"/>
        </w:tblCellMar>
        <w:tblLook w:val="0000" w:firstRow="0" w:lastRow="0" w:firstColumn="0" w:lastColumn="0" w:noHBand="0" w:noVBand="0"/>
      </w:tblPr>
      <w:tblGrid>
        <w:gridCol w:w="1537"/>
        <w:gridCol w:w="2348"/>
        <w:gridCol w:w="2119"/>
        <w:gridCol w:w="2568"/>
      </w:tblGrid>
      <w:tr w:rsidR="003D3610" w:rsidRPr="00AD3B49" w:rsidTr="00DD5431">
        <w:trPr>
          <w:trHeight w:val="324"/>
        </w:trPr>
        <w:tc>
          <w:tcPr>
            <w:tcW w:w="1537" w:type="dxa"/>
            <w:vMerge w:val="restart"/>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b/>
                <w:bCs/>
                <w:color w:val="auto"/>
                <w:sz w:val="22"/>
                <w:szCs w:val="22"/>
                <w:lang w:val="sr-Latn-ME"/>
              </w:rPr>
              <w:t xml:space="preserve">Odgovor </w:t>
            </w:r>
          </w:p>
        </w:tc>
        <w:tc>
          <w:tcPr>
            <w:tcW w:w="2348"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b/>
                <w:bCs/>
                <w:color w:val="auto"/>
                <w:sz w:val="22"/>
                <w:szCs w:val="22"/>
                <w:lang w:val="sr-Latn-ME"/>
              </w:rPr>
              <w:t>RA Ispitivanje I</w:t>
            </w:r>
            <w:r w:rsidRPr="00AD3B49">
              <w:rPr>
                <w:rFonts w:ascii="Times New Roman" w:hAnsi="Times New Roman" w:cs="Times New Roman"/>
                <w:b/>
                <w:bCs/>
                <w:color w:val="auto"/>
                <w:position w:val="8"/>
                <w:sz w:val="22"/>
                <w:szCs w:val="22"/>
                <w:vertAlign w:val="superscript"/>
                <w:lang w:val="sr-Latn-ME"/>
              </w:rPr>
              <w:t>a</w:t>
            </w:r>
            <w:r w:rsidRPr="00AD3B49">
              <w:rPr>
                <w:rFonts w:ascii="Times New Roman" w:hAnsi="Times New Roman" w:cs="Times New Roman"/>
                <w:b/>
                <w:bCs/>
                <w:color w:val="auto"/>
                <w:sz w:val="22"/>
                <w:szCs w:val="22"/>
                <w:lang w:val="sr-Latn-ME"/>
              </w:rPr>
              <w:t>**</w:t>
            </w:r>
          </w:p>
        </w:tc>
        <w:tc>
          <w:tcPr>
            <w:tcW w:w="2119"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b/>
                <w:bCs/>
                <w:color w:val="auto"/>
                <w:sz w:val="22"/>
                <w:szCs w:val="22"/>
                <w:lang w:val="sr-Latn-ME"/>
              </w:rPr>
              <w:t>RA Ispitivanje II</w:t>
            </w:r>
            <w:r w:rsidRPr="00AD3B49">
              <w:rPr>
                <w:rFonts w:ascii="Times New Roman" w:hAnsi="Times New Roman" w:cs="Times New Roman"/>
                <w:b/>
                <w:bCs/>
                <w:color w:val="auto"/>
                <w:position w:val="8"/>
                <w:sz w:val="22"/>
                <w:szCs w:val="22"/>
                <w:vertAlign w:val="superscript"/>
                <w:lang w:val="sr-Latn-ME"/>
              </w:rPr>
              <w:t>a</w:t>
            </w:r>
            <w:r w:rsidRPr="00AD3B49">
              <w:rPr>
                <w:rFonts w:ascii="Times New Roman" w:hAnsi="Times New Roman" w:cs="Times New Roman"/>
                <w:b/>
                <w:bCs/>
                <w:color w:val="auto"/>
                <w:sz w:val="22"/>
                <w:szCs w:val="22"/>
                <w:lang w:val="sr-Latn-ME"/>
              </w:rPr>
              <w:t>**</w:t>
            </w:r>
          </w:p>
        </w:tc>
        <w:tc>
          <w:tcPr>
            <w:tcW w:w="2568"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b/>
                <w:bCs/>
                <w:color w:val="auto"/>
                <w:sz w:val="22"/>
                <w:szCs w:val="22"/>
                <w:lang w:val="sr-Latn-ME"/>
              </w:rPr>
              <w:t>RA Ispitivanje III</w:t>
            </w:r>
            <w:r w:rsidRPr="00AD3B49">
              <w:rPr>
                <w:rFonts w:ascii="Times New Roman" w:hAnsi="Times New Roman" w:cs="Times New Roman"/>
                <w:b/>
                <w:bCs/>
                <w:color w:val="auto"/>
                <w:position w:val="8"/>
                <w:sz w:val="22"/>
                <w:szCs w:val="22"/>
                <w:vertAlign w:val="superscript"/>
                <w:lang w:val="sr-Latn-ME"/>
              </w:rPr>
              <w:t>a</w:t>
            </w:r>
            <w:r w:rsidRPr="00AD3B49">
              <w:rPr>
                <w:rFonts w:ascii="Times New Roman" w:hAnsi="Times New Roman" w:cs="Times New Roman"/>
                <w:b/>
                <w:bCs/>
                <w:color w:val="auto"/>
                <w:sz w:val="22"/>
                <w:szCs w:val="22"/>
                <w:lang w:val="sr-Latn-ME"/>
              </w:rPr>
              <w:t>**</w:t>
            </w:r>
          </w:p>
        </w:tc>
      </w:tr>
      <w:tr w:rsidR="003D3610" w:rsidRPr="00AD3B49" w:rsidTr="00DD5431">
        <w:trPr>
          <w:trHeight w:val="819"/>
        </w:trPr>
        <w:tc>
          <w:tcPr>
            <w:tcW w:w="1537" w:type="dxa"/>
            <w:vMerge/>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2"/>
                <w:szCs w:val="22"/>
                <w:lang w:val="sr-Latn-ME"/>
              </w:rPr>
            </w:pPr>
          </w:p>
        </w:tc>
        <w:tc>
          <w:tcPr>
            <w:tcW w:w="2348"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placebo/    Humira</w:t>
            </w:r>
            <w:r w:rsidRPr="00AD3B49">
              <w:rPr>
                <w:rFonts w:ascii="Times New Roman" w:hAnsi="Times New Roman" w:cs="Times New Roman"/>
                <w:color w:val="auto"/>
                <w:position w:val="8"/>
                <w:sz w:val="22"/>
                <w:szCs w:val="22"/>
                <w:vertAlign w:val="superscript"/>
                <w:lang w:val="sr-Latn-ME"/>
              </w:rPr>
              <w:t>b</w:t>
            </w:r>
            <w:r w:rsidRPr="00AD3B49">
              <w:rPr>
                <w:rFonts w:ascii="Times New Roman" w:hAnsi="Times New Roman" w:cs="Times New Roman"/>
                <w:color w:val="auto"/>
                <w:sz w:val="22"/>
                <w:szCs w:val="22"/>
                <w:lang w:val="sr-Latn-ME"/>
              </w:rPr>
              <w:t>/</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MTX</w:t>
            </w:r>
            <w:r w:rsidRPr="00AD3B49">
              <w:rPr>
                <w:rFonts w:ascii="Times New Roman" w:hAnsi="Times New Roman" w:cs="Times New Roman"/>
                <w:color w:val="auto"/>
                <w:position w:val="8"/>
                <w:sz w:val="22"/>
                <w:szCs w:val="22"/>
                <w:vertAlign w:val="superscript"/>
                <w:lang w:val="sr-Latn-ME"/>
              </w:rPr>
              <w:t>c</w:t>
            </w:r>
            <w:r w:rsidRPr="00AD3B49">
              <w:rPr>
                <w:rFonts w:ascii="Times New Roman" w:hAnsi="Times New Roman" w:cs="Times New Roman"/>
                <w:color w:val="auto"/>
                <w:sz w:val="22"/>
                <w:szCs w:val="22"/>
                <w:lang w:val="sr-Latn-ME"/>
              </w:rPr>
              <w:t xml:space="preserve">         MTX</w:t>
            </w:r>
            <w:r w:rsidRPr="00AD3B49">
              <w:rPr>
                <w:rFonts w:ascii="Times New Roman" w:hAnsi="Times New Roman" w:cs="Times New Roman"/>
                <w:color w:val="auto"/>
                <w:position w:val="8"/>
                <w:sz w:val="22"/>
                <w:szCs w:val="22"/>
                <w:vertAlign w:val="superscript"/>
                <w:lang w:val="sr-Latn-ME"/>
              </w:rPr>
              <w:t>c</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n=60          n=63 </w:t>
            </w:r>
          </w:p>
        </w:tc>
        <w:tc>
          <w:tcPr>
            <w:tcW w:w="2119"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placebo   Humira</w:t>
            </w:r>
            <w:r w:rsidRPr="00AD3B49">
              <w:rPr>
                <w:rFonts w:ascii="Times New Roman" w:hAnsi="Times New Roman" w:cs="Times New Roman"/>
                <w:color w:val="auto"/>
                <w:position w:val="8"/>
                <w:sz w:val="22"/>
                <w:szCs w:val="22"/>
                <w:vertAlign w:val="superscript"/>
                <w:lang w:val="sr-Latn-ME"/>
              </w:rPr>
              <w:t>b</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n=110      n=113 </w:t>
            </w:r>
          </w:p>
        </w:tc>
        <w:tc>
          <w:tcPr>
            <w:tcW w:w="2568"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placebo/      Humira</w:t>
            </w:r>
            <w:r w:rsidRPr="00AD3B49">
              <w:rPr>
                <w:rFonts w:ascii="Times New Roman" w:hAnsi="Times New Roman" w:cs="Times New Roman"/>
                <w:color w:val="auto"/>
                <w:position w:val="8"/>
                <w:sz w:val="22"/>
                <w:szCs w:val="22"/>
                <w:vertAlign w:val="superscript"/>
                <w:lang w:val="sr-Latn-ME"/>
              </w:rPr>
              <w:t>b</w:t>
            </w: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MTX</w:t>
            </w:r>
            <w:r w:rsidRPr="00AD3B49">
              <w:rPr>
                <w:rFonts w:ascii="Times New Roman" w:hAnsi="Times New Roman" w:cs="Times New Roman"/>
                <w:color w:val="auto"/>
                <w:position w:val="8"/>
                <w:sz w:val="22"/>
                <w:szCs w:val="22"/>
                <w:vertAlign w:val="superscript"/>
                <w:lang w:val="sr-Latn-ME"/>
              </w:rPr>
              <w:t>c</w:t>
            </w:r>
            <w:r w:rsidRPr="00AD3B49">
              <w:rPr>
                <w:rFonts w:ascii="Times New Roman" w:hAnsi="Times New Roman" w:cs="Times New Roman"/>
                <w:color w:val="auto"/>
                <w:sz w:val="22"/>
                <w:szCs w:val="22"/>
                <w:lang w:val="sr-Latn-ME"/>
              </w:rPr>
              <w:t xml:space="preserve">            MTX</w:t>
            </w:r>
            <w:r w:rsidRPr="00AD3B49">
              <w:rPr>
                <w:rFonts w:ascii="Times New Roman" w:hAnsi="Times New Roman" w:cs="Times New Roman"/>
                <w:color w:val="auto"/>
                <w:position w:val="8"/>
                <w:sz w:val="22"/>
                <w:szCs w:val="22"/>
                <w:vertAlign w:val="superscript"/>
                <w:lang w:val="sr-Latn-ME"/>
              </w:rPr>
              <w:t>c</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n=200          n=207 </w:t>
            </w:r>
          </w:p>
        </w:tc>
      </w:tr>
      <w:tr w:rsidR="003D3610" w:rsidRPr="00AD3B49" w:rsidTr="00DD5431">
        <w:trPr>
          <w:trHeight w:val="2822"/>
        </w:trPr>
        <w:tc>
          <w:tcPr>
            <w:tcW w:w="1537"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ACR 20</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6 mjeseci</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12 mjeseci</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ACR 50</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6 mjeseci</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12 mjeseci</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ACR 70</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6 mjeseci</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12 mjeseci</w:t>
            </w:r>
          </w:p>
        </w:tc>
        <w:tc>
          <w:tcPr>
            <w:tcW w:w="2348"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13,3 %      65,1 %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NA             NA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6,7 %        52,4 %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NA            NA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3,3 %       23,8 %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NA            NA </w:t>
            </w:r>
          </w:p>
        </w:tc>
        <w:tc>
          <w:tcPr>
            <w:tcW w:w="2119"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19,1 %      46,0 %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NA            NA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8,2 %        22,1 %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NA            NA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1,8 %       12,4 %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NA            NA </w:t>
            </w:r>
          </w:p>
        </w:tc>
        <w:tc>
          <w:tcPr>
            <w:tcW w:w="2568"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29,5 %         63,3 %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24,0 %         58,9 %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9,5 %           39,1 %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9,5 %           41,5 %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2,5 %          20,8 % </w:t>
            </w:r>
          </w:p>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4,5 %          23,2 % </w:t>
            </w:r>
          </w:p>
        </w:tc>
      </w:tr>
    </w:tbl>
    <w:p w:rsidR="003D3610" w:rsidRPr="00AD3B49" w:rsidRDefault="003D3610" w:rsidP="003D3610">
      <w:pPr>
        <w:pStyle w:val="Default"/>
        <w:jc w:val="both"/>
        <w:rPr>
          <w:rFonts w:ascii="Times New Roman" w:hAnsi="Times New Roman" w:cs="Times New Roman"/>
          <w:color w:val="auto"/>
          <w:sz w:val="18"/>
          <w:szCs w:val="18"/>
          <w:lang w:val="sr-Latn-ME"/>
        </w:rPr>
      </w:pPr>
      <w:r w:rsidRPr="00AD3B49">
        <w:rPr>
          <w:rFonts w:ascii="Times New Roman" w:hAnsi="Times New Roman" w:cs="Times New Roman"/>
          <w:color w:val="auto"/>
          <w:position w:val="8"/>
          <w:sz w:val="18"/>
          <w:szCs w:val="18"/>
          <w:vertAlign w:val="superscript"/>
          <w:lang w:val="sr-Latn-ME"/>
        </w:rPr>
        <w:t>a</w:t>
      </w:r>
      <w:r w:rsidRPr="00AD3B49">
        <w:rPr>
          <w:rFonts w:ascii="Times New Roman" w:hAnsi="Times New Roman" w:cs="Times New Roman"/>
          <w:color w:val="auto"/>
          <w:sz w:val="18"/>
          <w:szCs w:val="18"/>
          <w:lang w:val="sr-Latn-ME"/>
        </w:rPr>
        <w:t xml:space="preserve">RA ispitivanje I nakon 24 </w:t>
      </w:r>
      <w:r w:rsidR="000B016F" w:rsidRPr="00AD3B49">
        <w:rPr>
          <w:rFonts w:ascii="Times New Roman" w:hAnsi="Times New Roman" w:cs="Times New Roman"/>
          <w:color w:val="auto"/>
          <w:sz w:val="18"/>
          <w:szCs w:val="18"/>
          <w:lang w:val="sr-Latn-ME"/>
        </w:rPr>
        <w:t>nedjelje</w:t>
      </w:r>
      <w:r w:rsidRPr="00AD3B49">
        <w:rPr>
          <w:rFonts w:ascii="Times New Roman" w:hAnsi="Times New Roman" w:cs="Times New Roman"/>
          <w:color w:val="auto"/>
          <w:sz w:val="18"/>
          <w:szCs w:val="18"/>
          <w:lang w:val="sr-Latn-ME"/>
        </w:rPr>
        <w:t xml:space="preserve">, RA ispitivanje II nakon 26 </w:t>
      </w:r>
      <w:r w:rsidR="000B016F" w:rsidRPr="00AD3B49">
        <w:rPr>
          <w:rFonts w:ascii="Times New Roman" w:hAnsi="Times New Roman" w:cs="Times New Roman"/>
          <w:color w:val="auto"/>
          <w:sz w:val="18"/>
          <w:szCs w:val="18"/>
          <w:lang w:val="sr-Latn-ME"/>
        </w:rPr>
        <w:t>nedjelja</w:t>
      </w:r>
      <w:r w:rsidRPr="00AD3B49">
        <w:rPr>
          <w:rFonts w:ascii="Times New Roman" w:hAnsi="Times New Roman" w:cs="Times New Roman"/>
          <w:color w:val="auto"/>
          <w:sz w:val="18"/>
          <w:szCs w:val="18"/>
          <w:lang w:val="sr-Latn-ME"/>
        </w:rPr>
        <w:t xml:space="preserve">, RA ispitivanje III nakon 24 </w:t>
      </w:r>
      <w:r w:rsidR="000B016F" w:rsidRPr="00AD3B49">
        <w:rPr>
          <w:rFonts w:ascii="Times New Roman" w:hAnsi="Times New Roman" w:cs="Times New Roman"/>
          <w:color w:val="auto"/>
          <w:sz w:val="18"/>
          <w:szCs w:val="18"/>
          <w:lang w:val="sr-Latn-ME"/>
        </w:rPr>
        <w:t>nedjelje</w:t>
      </w:r>
      <w:r w:rsidRPr="00AD3B49">
        <w:rPr>
          <w:rFonts w:ascii="Times New Roman" w:hAnsi="Times New Roman" w:cs="Times New Roman"/>
          <w:color w:val="auto"/>
          <w:sz w:val="18"/>
          <w:szCs w:val="18"/>
          <w:lang w:val="sr-Latn-ME"/>
        </w:rPr>
        <w:t xml:space="preserve"> i nakon 52 </w:t>
      </w:r>
      <w:r w:rsidR="000B016F" w:rsidRPr="00AD3B49">
        <w:rPr>
          <w:rFonts w:ascii="Times New Roman" w:hAnsi="Times New Roman" w:cs="Times New Roman"/>
          <w:color w:val="auto"/>
          <w:sz w:val="18"/>
          <w:szCs w:val="18"/>
          <w:lang w:val="sr-Latn-ME"/>
        </w:rPr>
        <w:t>nedjelje</w:t>
      </w:r>
    </w:p>
    <w:p w:rsidR="003D3610" w:rsidRPr="00AD3B49" w:rsidRDefault="003D3610" w:rsidP="003D3610">
      <w:pPr>
        <w:pStyle w:val="Default"/>
        <w:ind w:left="567" w:hanging="567"/>
        <w:jc w:val="both"/>
        <w:rPr>
          <w:rFonts w:ascii="Times New Roman" w:hAnsi="Times New Roman" w:cs="Times New Roman"/>
          <w:color w:val="auto"/>
          <w:sz w:val="18"/>
          <w:szCs w:val="18"/>
          <w:lang w:val="sr-Latn-ME"/>
        </w:rPr>
      </w:pPr>
      <w:r w:rsidRPr="00AD3B49">
        <w:rPr>
          <w:rFonts w:ascii="Times New Roman" w:hAnsi="Times New Roman" w:cs="Times New Roman"/>
          <w:color w:val="auto"/>
          <w:position w:val="8"/>
          <w:sz w:val="18"/>
          <w:szCs w:val="18"/>
          <w:vertAlign w:val="superscript"/>
          <w:lang w:val="sr-Latn-ME"/>
        </w:rPr>
        <w:t>b</w:t>
      </w:r>
      <w:r w:rsidRPr="00AD3B49">
        <w:rPr>
          <w:rFonts w:ascii="Times New Roman" w:hAnsi="Times New Roman" w:cs="Times New Roman"/>
          <w:color w:val="auto"/>
          <w:sz w:val="18"/>
          <w:szCs w:val="18"/>
          <w:lang w:val="sr-Latn-ME"/>
        </w:rPr>
        <w:t xml:space="preserve">40 mg </w:t>
      </w:r>
      <w:r w:rsidR="0082613A" w:rsidRPr="00AD3B49">
        <w:rPr>
          <w:rFonts w:ascii="Times New Roman" w:hAnsi="Times New Roman" w:cs="Times New Roman"/>
          <w:color w:val="auto"/>
          <w:sz w:val="18"/>
          <w:szCs w:val="18"/>
          <w:lang w:val="sr-Latn-ME"/>
        </w:rPr>
        <w:t xml:space="preserve">lijeka </w:t>
      </w:r>
      <w:r w:rsidRPr="00AD3B49">
        <w:rPr>
          <w:rFonts w:ascii="Times New Roman" w:hAnsi="Times New Roman" w:cs="Times New Roman"/>
          <w:color w:val="auto"/>
          <w:sz w:val="18"/>
          <w:szCs w:val="18"/>
          <w:lang w:val="sr-Latn-ME"/>
        </w:rPr>
        <w:t>Humir</w:t>
      </w:r>
      <w:r w:rsidR="0082613A" w:rsidRPr="00AD3B49">
        <w:rPr>
          <w:rFonts w:ascii="Times New Roman" w:hAnsi="Times New Roman" w:cs="Times New Roman"/>
          <w:color w:val="auto"/>
          <w:sz w:val="18"/>
          <w:szCs w:val="18"/>
          <w:lang w:val="sr-Latn-ME"/>
        </w:rPr>
        <w:t>a</w:t>
      </w:r>
      <w:r w:rsidRPr="00AD3B49">
        <w:rPr>
          <w:rFonts w:ascii="Times New Roman" w:hAnsi="Times New Roman" w:cs="Times New Roman"/>
          <w:color w:val="auto"/>
          <w:sz w:val="18"/>
          <w:szCs w:val="18"/>
          <w:lang w:val="sr-Latn-ME"/>
        </w:rPr>
        <w:t xml:space="preserve"> primijenjen</w:t>
      </w:r>
      <w:r w:rsidR="00525DF3" w:rsidRPr="00AD3B49">
        <w:rPr>
          <w:rFonts w:ascii="Times New Roman" w:hAnsi="Times New Roman" w:cs="Times New Roman"/>
          <w:color w:val="auto"/>
          <w:sz w:val="18"/>
          <w:szCs w:val="18"/>
          <w:lang w:val="sr-Latn-ME"/>
        </w:rPr>
        <w:t>og</w:t>
      </w:r>
      <w:r w:rsidRPr="00AD3B49">
        <w:rPr>
          <w:rFonts w:ascii="Times New Roman" w:hAnsi="Times New Roman" w:cs="Times New Roman"/>
          <w:color w:val="auto"/>
          <w:sz w:val="18"/>
          <w:szCs w:val="18"/>
          <w:lang w:val="sr-Latn-ME"/>
        </w:rPr>
        <w:t xml:space="preserve"> svake druge </w:t>
      </w:r>
      <w:r w:rsidR="000B016F" w:rsidRPr="00AD3B49">
        <w:rPr>
          <w:rFonts w:ascii="Times New Roman" w:hAnsi="Times New Roman" w:cs="Times New Roman"/>
          <w:color w:val="auto"/>
          <w:sz w:val="18"/>
          <w:szCs w:val="18"/>
          <w:lang w:val="sr-Latn-ME"/>
        </w:rPr>
        <w:t>nedjelje</w:t>
      </w:r>
    </w:p>
    <w:p w:rsidR="003D3610" w:rsidRPr="00AD3B49" w:rsidRDefault="003D3610" w:rsidP="003D3610">
      <w:pPr>
        <w:pStyle w:val="Default"/>
        <w:ind w:left="567" w:hanging="567"/>
        <w:jc w:val="both"/>
        <w:rPr>
          <w:rFonts w:ascii="Times New Roman" w:hAnsi="Times New Roman" w:cs="Times New Roman"/>
          <w:color w:val="auto"/>
          <w:sz w:val="18"/>
          <w:szCs w:val="18"/>
          <w:lang w:val="sr-Latn-ME"/>
        </w:rPr>
      </w:pPr>
      <w:r w:rsidRPr="00AD3B49">
        <w:rPr>
          <w:rFonts w:ascii="Times New Roman" w:hAnsi="Times New Roman" w:cs="Times New Roman"/>
          <w:color w:val="auto"/>
          <w:position w:val="8"/>
          <w:sz w:val="18"/>
          <w:szCs w:val="18"/>
          <w:vertAlign w:val="superscript"/>
          <w:lang w:val="sr-Latn-ME"/>
        </w:rPr>
        <w:lastRenderedPageBreak/>
        <w:t>c</w:t>
      </w:r>
      <w:r w:rsidRPr="00AD3B49">
        <w:rPr>
          <w:rFonts w:ascii="Times New Roman" w:hAnsi="Times New Roman" w:cs="Times New Roman"/>
          <w:color w:val="auto"/>
          <w:sz w:val="18"/>
          <w:szCs w:val="18"/>
          <w:lang w:val="sr-Latn-ME"/>
        </w:rPr>
        <w:t>MTX = metotreksat</w:t>
      </w:r>
    </w:p>
    <w:p w:rsidR="003D3610" w:rsidRPr="00AD3B49" w:rsidRDefault="003D3610" w:rsidP="00BF1A48">
      <w:pPr>
        <w:pStyle w:val="Default"/>
        <w:ind w:left="567" w:hanging="567"/>
        <w:jc w:val="both"/>
        <w:rPr>
          <w:rFonts w:ascii="Times New Roman" w:hAnsi="Times New Roman" w:cs="Times New Roman"/>
          <w:color w:val="auto"/>
          <w:sz w:val="18"/>
          <w:szCs w:val="18"/>
          <w:lang w:val="sr-Latn-ME"/>
        </w:rPr>
      </w:pPr>
      <w:r w:rsidRPr="00AD3B49">
        <w:rPr>
          <w:rFonts w:ascii="Times New Roman" w:hAnsi="Times New Roman" w:cs="Times New Roman"/>
          <w:color w:val="auto"/>
          <w:sz w:val="18"/>
          <w:szCs w:val="18"/>
          <w:lang w:val="sr-Latn-ME"/>
        </w:rPr>
        <w:t>**p&lt;0,01, Humira u poređenju sa placebom</w:t>
      </w:r>
    </w:p>
    <w:p w:rsidR="005644A2" w:rsidRPr="00AD3B49" w:rsidRDefault="005644A2" w:rsidP="00BF1A48">
      <w:pPr>
        <w:pStyle w:val="Default"/>
        <w:ind w:left="567" w:hanging="567"/>
        <w:jc w:val="both"/>
        <w:rPr>
          <w:rFonts w:ascii="Times New Roman" w:hAnsi="Times New Roman" w:cs="Times New Roman"/>
          <w:color w:val="auto"/>
          <w:sz w:val="18"/>
          <w:szCs w:val="18"/>
          <w:lang w:val="sr-Latn-ME"/>
        </w:rPr>
      </w:pPr>
    </w:p>
    <w:p w:rsidR="00A03F52" w:rsidRPr="00AD3B49" w:rsidRDefault="003D3610"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U RA ispitivanjima I – IV sve pojedinačne komponente kriterij</w:t>
      </w:r>
      <w:r w:rsidR="00D2672F" w:rsidRPr="00AD3B49">
        <w:rPr>
          <w:rFonts w:ascii="Times New Roman" w:hAnsi="Times New Roman" w:cs="Times New Roman"/>
          <w:color w:val="auto"/>
          <w:sz w:val="22"/>
          <w:szCs w:val="22"/>
          <w:lang w:val="sr-Latn-ME"/>
        </w:rPr>
        <w:t>uma</w:t>
      </w:r>
      <w:r w:rsidRPr="00AD3B49">
        <w:rPr>
          <w:rFonts w:ascii="Times New Roman" w:hAnsi="Times New Roman" w:cs="Times New Roman"/>
          <w:color w:val="auto"/>
          <w:sz w:val="22"/>
          <w:szCs w:val="22"/>
          <w:lang w:val="sr-Latn-ME"/>
        </w:rPr>
        <w:t xml:space="preserve"> ACR odgovora (broj bolnih i otečenih zglobova, ljekar</w:t>
      </w:r>
      <w:r w:rsidR="00D2672F" w:rsidRPr="00AD3B49">
        <w:rPr>
          <w:rFonts w:ascii="Times New Roman" w:hAnsi="Times New Roman" w:cs="Times New Roman"/>
          <w:color w:val="auto"/>
          <w:sz w:val="22"/>
          <w:szCs w:val="22"/>
          <w:lang w:val="sr-Latn-ME"/>
        </w:rPr>
        <w:t>ska</w:t>
      </w:r>
      <w:r w:rsidRPr="00AD3B49">
        <w:rPr>
          <w:rFonts w:ascii="Times New Roman" w:hAnsi="Times New Roman" w:cs="Times New Roman"/>
          <w:color w:val="auto"/>
          <w:sz w:val="22"/>
          <w:szCs w:val="22"/>
          <w:lang w:val="sr-Latn-ME"/>
        </w:rPr>
        <w:t xml:space="preserve"> i pacijentova ocjena aktivnosti bolesti i boli, indeks funkcionalne nesposobnosti (HAQ) i nivoa CRP-a (mg/dl)) pokazale su poboljšanje nakon 24 ili 26 </w:t>
      </w:r>
      <w:r w:rsidR="000B016F" w:rsidRPr="00AD3B49">
        <w:rPr>
          <w:rFonts w:ascii="Times New Roman" w:hAnsi="Times New Roman" w:cs="Times New Roman"/>
          <w:color w:val="auto"/>
          <w:sz w:val="22"/>
          <w:szCs w:val="22"/>
          <w:lang w:val="sr-Latn-ME"/>
        </w:rPr>
        <w:t>nedjelja</w:t>
      </w:r>
      <w:r w:rsidRPr="00AD3B49">
        <w:rPr>
          <w:rFonts w:ascii="Times New Roman" w:hAnsi="Times New Roman" w:cs="Times New Roman"/>
          <w:color w:val="auto"/>
          <w:sz w:val="22"/>
          <w:szCs w:val="22"/>
          <w:lang w:val="sr-Latn-ME"/>
        </w:rPr>
        <w:t xml:space="preserve"> primjene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u odnosu na placebo. U RA ispitivanju III to se poboljšanje održalo 52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w:t>
      </w:r>
    </w:p>
    <w:p w:rsidR="00A03F52" w:rsidRPr="00AD3B49" w:rsidRDefault="00A03F52" w:rsidP="003D3610">
      <w:pPr>
        <w:pStyle w:val="Default"/>
        <w:jc w:val="both"/>
        <w:rPr>
          <w:rFonts w:ascii="Times New Roman" w:hAnsi="Times New Roman" w:cs="Times New Roman"/>
          <w:color w:val="auto"/>
          <w:sz w:val="22"/>
          <w:szCs w:val="22"/>
          <w:lang w:val="sr-Latn-ME"/>
        </w:rPr>
      </w:pPr>
    </w:p>
    <w:p w:rsidR="0067631E" w:rsidRPr="00AD3B49" w:rsidRDefault="0067631E" w:rsidP="0067631E">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Kod većine pacijenata postignuti ACR odgovor je zadržan u produženoj otvorenoj fazi RA III kada su praćeni do 10 godina. Kroz 5 godina terapije lijekom Humira 40 mg svake druge nedjelje nastavilo je 114 od 207 pacijenata. Među njima je 86 (75,4%) odnosno 72 (63,2%) odnosno 41 (36%) pacijenata imalo odgovor ACR 20, ACR 50, odnosno ACR 70. Kroz 10 godina terapije lijekom Humira 40 mg svake druge nedjelje nastavilo je 81 od 207 pacijenata. Među njima je njih 64 (79%), odnosno 56 (69,1%), odnosno 43 (53,1%) imalo odgovor ACR 20, ACR 50, odnosno ACR 70.</w:t>
      </w:r>
    </w:p>
    <w:p w:rsidR="0067631E" w:rsidRPr="00AD3B49" w:rsidRDefault="0067631E" w:rsidP="003D3610">
      <w:pPr>
        <w:pStyle w:val="Default"/>
        <w:jc w:val="both"/>
        <w:rPr>
          <w:rFonts w:ascii="Times New Roman" w:hAnsi="Times New Roman" w:cs="Times New Roman"/>
          <w:color w:val="auto"/>
          <w:sz w:val="22"/>
          <w:szCs w:val="22"/>
          <w:lang w:val="sr-Latn-ME"/>
        </w:rPr>
      </w:pPr>
    </w:p>
    <w:p w:rsidR="003D3610" w:rsidRPr="00AD3B49" w:rsidRDefault="003D3610" w:rsidP="003D3610">
      <w:pPr>
        <w:pStyle w:val="Default"/>
        <w:jc w:val="both"/>
        <w:rPr>
          <w:rFonts w:ascii="Times New Roman" w:hAnsi="Times New Roman" w:cs="Times New Roman"/>
          <w:color w:val="auto"/>
          <w:sz w:val="22"/>
          <w:szCs w:val="22"/>
          <w:lang w:val="sr-Latn-ME"/>
        </w:rPr>
      </w:pPr>
    </w:p>
    <w:p w:rsidR="003D3610" w:rsidRPr="00AD3B49" w:rsidRDefault="003D3610"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U RA ispitivanju IV, ACR 20 odgovor pacijenata liječenih </w:t>
      </w:r>
      <w:r w:rsidR="00E409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E409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uz standardnu njegu bio je statistički značajno bolji nego </w:t>
      </w:r>
      <w:r w:rsidR="00D2672F" w:rsidRPr="00AD3B49">
        <w:rPr>
          <w:rFonts w:ascii="Times New Roman" w:hAnsi="Times New Roman" w:cs="Times New Roman"/>
          <w:color w:val="auto"/>
          <w:sz w:val="22"/>
          <w:szCs w:val="22"/>
          <w:lang w:val="sr-Latn-ME"/>
        </w:rPr>
        <w:t>kod</w:t>
      </w:r>
      <w:r w:rsidRPr="00AD3B49">
        <w:rPr>
          <w:rFonts w:ascii="Times New Roman" w:hAnsi="Times New Roman" w:cs="Times New Roman"/>
          <w:color w:val="auto"/>
          <w:sz w:val="22"/>
          <w:szCs w:val="22"/>
          <w:lang w:val="sr-Latn-ME"/>
        </w:rPr>
        <w:t xml:space="preserve"> pacijenata liječenih placebom uz standardnu njegu (p&lt;0,001).</w:t>
      </w:r>
    </w:p>
    <w:p w:rsidR="003D3610" w:rsidRPr="00AD3B49" w:rsidRDefault="003D3610" w:rsidP="003D3610">
      <w:pPr>
        <w:pStyle w:val="Default"/>
        <w:jc w:val="both"/>
        <w:rPr>
          <w:rFonts w:ascii="Times New Roman" w:hAnsi="Times New Roman" w:cs="Times New Roman"/>
          <w:color w:val="auto"/>
          <w:sz w:val="22"/>
          <w:szCs w:val="22"/>
          <w:lang w:val="sr-Latn-ME"/>
        </w:rPr>
      </w:pPr>
    </w:p>
    <w:p w:rsidR="003D3610" w:rsidRPr="00AD3B49" w:rsidRDefault="003D3610"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U RA ispitivanjima I – IV, pacijenti liječeni </w:t>
      </w:r>
      <w:r w:rsidR="00E409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E409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postigli su statistički značajno bolje odgovore ACR 20 i 50 u poređenju sa placebom već jednu do dvije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nakon početka liječenja.</w:t>
      </w:r>
    </w:p>
    <w:p w:rsidR="003D3610" w:rsidRPr="00AD3B49" w:rsidRDefault="003D3610" w:rsidP="003D3610">
      <w:pPr>
        <w:pStyle w:val="Default"/>
        <w:jc w:val="both"/>
        <w:rPr>
          <w:rFonts w:ascii="Times New Roman" w:hAnsi="Times New Roman" w:cs="Times New Roman"/>
          <w:color w:val="auto"/>
          <w:sz w:val="22"/>
          <w:szCs w:val="22"/>
          <w:lang w:val="sr-Latn-ME"/>
        </w:rPr>
      </w:pPr>
    </w:p>
    <w:p w:rsidR="0067631E" w:rsidRPr="00AD3B49" w:rsidRDefault="003D3610" w:rsidP="00A801D9">
      <w:pPr>
        <w:pStyle w:val="Default"/>
        <w:jc w:val="both"/>
        <w:rPr>
          <w:rFonts w:ascii="Times New Roman" w:hAnsi="Times New Roman" w:cs="Times New Roman"/>
          <w:b/>
          <w:bCs/>
          <w:color w:val="auto"/>
          <w:sz w:val="22"/>
          <w:szCs w:val="22"/>
          <w:lang w:val="sr-Latn-ME"/>
        </w:rPr>
      </w:pPr>
      <w:r w:rsidRPr="00AD3B49">
        <w:rPr>
          <w:rFonts w:ascii="Times New Roman" w:hAnsi="Times New Roman" w:cs="Times New Roman"/>
          <w:color w:val="auto"/>
          <w:sz w:val="22"/>
          <w:szCs w:val="22"/>
          <w:lang w:val="sr-Latn-ME"/>
        </w:rPr>
        <w:t>U RA ispitivanju V kojim su obuhvaćeni pacijenti u ranoj fazi reumatoidnog artritisa koji do tada nisu</w:t>
      </w:r>
      <w:r w:rsidRPr="00AD3B49">
        <w:rPr>
          <w:rFonts w:ascii="Times New Roman" w:hAnsi="Times New Roman" w:cs="Times New Roman"/>
          <w:color w:val="FF0000"/>
          <w:sz w:val="22"/>
          <w:szCs w:val="22"/>
          <w:lang w:val="sr-Latn-ME"/>
        </w:rPr>
        <w:t xml:space="preserve"> </w:t>
      </w:r>
      <w:r w:rsidRPr="00AD3B49">
        <w:rPr>
          <w:rFonts w:ascii="Times New Roman" w:hAnsi="Times New Roman" w:cs="Times New Roman"/>
          <w:color w:val="auto"/>
          <w:sz w:val="22"/>
          <w:szCs w:val="22"/>
          <w:lang w:val="sr-Latn-ME"/>
        </w:rPr>
        <w:t>bili lije</w:t>
      </w:r>
      <w:r w:rsidR="009925F8" w:rsidRPr="00AD3B49">
        <w:rPr>
          <w:rFonts w:ascii="Times New Roman" w:hAnsi="Times New Roman" w:cs="Times New Roman"/>
          <w:color w:val="auto"/>
          <w:sz w:val="22"/>
          <w:szCs w:val="22"/>
          <w:lang w:val="sr-Latn-ME"/>
        </w:rPr>
        <w:t>čeni metotreksatom, kombinovanom</w:t>
      </w:r>
      <w:r w:rsidRPr="00AD3B49">
        <w:rPr>
          <w:rFonts w:ascii="Times New Roman" w:hAnsi="Times New Roman" w:cs="Times New Roman"/>
          <w:color w:val="auto"/>
          <w:sz w:val="22"/>
          <w:szCs w:val="22"/>
          <w:lang w:val="sr-Latn-ME"/>
        </w:rPr>
        <w:t xml:space="preserve"> primjenom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i metotreksata tokom 52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postignut je brži i statistički značajno bolji ACR odgovor nego uz monoterapiju metotreksatom, odnosno </w:t>
      </w:r>
      <w:r w:rsidR="00E409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E409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Postignuti ACR odgovor nije se mijenjao tokom 104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liječenja (Tabela 4).</w:t>
      </w:r>
    </w:p>
    <w:p w:rsidR="003D3610" w:rsidRPr="00AD3B49" w:rsidRDefault="003D3610" w:rsidP="006B0826">
      <w:pPr>
        <w:pStyle w:val="Default"/>
        <w:jc w:val="center"/>
        <w:rPr>
          <w:rFonts w:ascii="Times New Roman" w:hAnsi="Times New Roman" w:cs="Times New Roman"/>
          <w:b/>
          <w:bCs/>
          <w:color w:val="auto"/>
          <w:sz w:val="22"/>
          <w:szCs w:val="22"/>
          <w:lang w:val="sr-Latn-ME"/>
        </w:rPr>
      </w:pPr>
      <w:r w:rsidRPr="00AD3B49">
        <w:rPr>
          <w:rFonts w:ascii="Times New Roman" w:hAnsi="Times New Roman" w:cs="Times New Roman"/>
          <w:b/>
          <w:bCs/>
          <w:color w:val="auto"/>
          <w:sz w:val="22"/>
          <w:szCs w:val="22"/>
          <w:lang w:val="sr-Latn-ME"/>
        </w:rPr>
        <w:t>Tabela 4.</w:t>
      </w:r>
    </w:p>
    <w:p w:rsidR="003D3610" w:rsidRPr="00AD3B49" w:rsidRDefault="003D3610" w:rsidP="006B0826">
      <w:pPr>
        <w:pStyle w:val="Default"/>
        <w:ind w:left="567" w:hanging="567"/>
        <w:jc w:val="center"/>
        <w:rPr>
          <w:rFonts w:ascii="Times New Roman" w:hAnsi="Times New Roman" w:cs="Times New Roman"/>
          <w:b/>
          <w:bCs/>
          <w:color w:val="auto"/>
          <w:sz w:val="22"/>
          <w:szCs w:val="22"/>
          <w:lang w:val="sr-Latn-ME"/>
        </w:rPr>
      </w:pPr>
      <w:r w:rsidRPr="00AD3B49">
        <w:rPr>
          <w:rFonts w:ascii="Times New Roman" w:hAnsi="Times New Roman" w:cs="Times New Roman"/>
          <w:b/>
          <w:bCs/>
          <w:color w:val="auto"/>
          <w:sz w:val="22"/>
          <w:szCs w:val="22"/>
          <w:lang w:val="sr-Latn-ME"/>
        </w:rPr>
        <w:t>ACR odgovori pacijenata u RA ispitivanju V</w:t>
      </w:r>
    </w:p>
    <w:p w:rsidR="0067631E" w:rsidRPr="00AD3B49" w:rsidRDefault="003D3610" w:rsidP="00A801D9">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b/>
          <w:bCs/>
          <w:color w:val="auto"/>
          <w:sz w:val="22"/>
          <w:szCs w:val="22"/>
          <w:lang w:val="sr-Latn-ME"/>
        </w:rPr>
        <w:t>(postotak pacijenata)</w:t>
      </w:r>
    </w:p>
    <w:p w:rsidR="003D3610" w:rsidRPr="00AD3B49" w:rsidRDefault="003D3610" w:rsidP="003D3610">
      <w:pPr>
        <w:pStyle w:val="Default"/>
        <w:ind w:left="567" w:hanging="567"/>
        <w:rPr>
          <w:rFonts w:ascii="Times New Roman" w:hAnsi="Times New Roman" w:cs="Times New Roman"/>
          <w:color w:val="auto"/>
          <w:sz w:val="10"/>
          <w:szCs w:val="10"/>
          <w:lang w:val="sr-Latn-ME"/>
        </w:rPr>
      </w:pPr>
      <w:r w:rsidRPr="00AD3B49">
        <w:rPr>
          <w:rFonts w:ascii="Times New Roman" w:hAnsi="Times New Roman" w:cs="Times New Roman"/>
          <w:b/>
          <w:bCs/>
          <w:color w:val="auto"/>
          <w:sz w:val="22"/>
          <w:szCs w:val="22"/>
          <w:lang w:val="sr-Latn-ME"/>
        </w:rPr>
        <w:t xml:space="preserve"> </w:t>
      </w:r>
    </w:p>
    <w:tbl>
      <w:tblPr>
        <w:tblW w:w="0" w:type="auto"/>
        <w:tblLayout w:type="fixed"/>
        <w:tblCellMar>
          <w:left w:w="0" w:type="dxa"/>
        </w:tblCellMar>
        <w:tblLook w:val="0000" w:firstRow="0" w:lastRow="0" w:firstColumn="0" w:lastColumn="0" w:noHBand="0" w:noVBand="0"/>
      </w:tblPr>
      <w:tblGrid>
        <w:gridCol w:w="10"/>
        <w:gridCol w:w="1273"/>
        <w:gridCol w:w="896"/>
        <w:gridCol w:w="1030"/>
        <w:gridCol w:w="1599"/>
        <w:gridCol w:w="1439"/>
        <w:gridCol w:w="1392"/>
        <w:gridCol w:w="1466"/>
        <w:gridCol w:w="18"/>
      </w:tblGrid>
      <w:tr w:rsidR="003D3610" w:rsidRPr="00AD3B49" w:rsidTr="00DD5431">
        <w:trPr>
          <w:gridAfter w:val="1"/>
          <w:wAfter w:w="18" w:type="dxa"/>
          <w:trHeight w:val="306"/>
          <w:tblHeader/>
        </w:trPr>
        <w:tc>
          <w:tcPr>
            <w:tcW w:w="1283" w:type="dxa"/>
            <w:gridSpan w:val="2"/>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b/>
                <w:bCs/>
                <w:color w:val="auto"/>
                <w:sz w:val="20"/>
                <w:szCs w:val="20"/>
                <w:lang w:val="sr-Latn-ME"/>
              </w:rPr>
              <w:t xml:space="preserve">Odgovor </w:t>
            </w:r>
          </w:p>
        </w:tc>
        <w:tc>
          <w:tcPr>
            <w:tcW w:w="896"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b/>
                <w:bCs/>
                <w:color w:val="auto"/>
                <w:sz w:val="20"/>
                <w:szCs w:val="20"/>
                <w:lang w:val="sr-Latn-ME"/>
              </w:rPr>
            </w:pPr>
            <w:r w:rsidRPr="00AD3B49">
              <w:rPr>
                <w:rFonts w:ascii="Times New Roman" w:hAnsi="Times New Roman" w:cs="Times New Roman"/>
                <w:b/>
                <w:bCs/>
                <w:color w:val="auto"/>
                <w:sz w:val="20"/>
                <w:szCs w:val="20"/>
                <w:lang w:val="sr-Latn-ME"/>
              </w:rPr>
              <w:t>MTX</w:t>
            </w:r>
          </w:p>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b/>
                <w:bCs/>
                <w:color w:val="auto"/>
                <w:sz w:val="20"/>
                <w:szCs w:val="20"/>
                <w:lang w:val="sr-Latn-ME"/>
              </w:rPr>
              <w:t>n=257</w:t>
            </w:r>
          </w:p>
        </w:tc>
        <w:tc>
          <w:tcPr>
            <w:tcW w:w="1030"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b/>
                <w:bCs/>
                <w:color w:val="auto"/>
                <w:sz w:val="20"/>
                <w:szCs w:val="20"/>
                <w:lang w:val="sr-Latn-ME"/>
              </w:rPr>
            </w:pPr>
            <w:r w:rsidRPr="00AD3B49">
              <w:rPr>
                <w:rFonts w:ascii="Times New Roman" w:hAnsi="Times New Roman" w:cs="Times New Roman"/>
                <w:b/>
                <w:bCs/>
                <w:color w:val="auto"/>
                <w:sz w:val="20"/>
                <w:szCs w:val="20"/>
                <w:lang w:val="sr-Latn-ME"/>
              </w:rPr>
              <w:t>Humira</w:t>
            </w:r>
          </w:p>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b/>
                <w:bCs/>
                <w:color w:val="auto"/>
                <w:sz w:val="20"/>
                <w:szCs w:val="20"/>
                <w:lang w:val="sr-Latn-ME"/>
              </w:rPr>
              <w:t>n=274</w:t>
            </w:r>
          </w:p>
        </w:tc>
        <w:tc>
          <w:tcPr>
            <w:tcW w:w="1599"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b/>
                <w:bCs/>
                <w:color w:val="auto"/>
                <w:sz w:val="20"/>
                <w:szCs w:val="20"/>
                <w:lang w:val="sr-Latn-ME"/>
              </w:rPr>
            </w:pPr>
            <w:r w:rsidRPr="00AD3B49">
              <w:rPr>
                <w:rFonts w:ascii="Times New Roman" w:hAnsi="Times New Roman" w:cs="Times New Roman"/>
                <w:b/>
                <w:bCs/>
                <w:color w:val="auto"/>
                <w:sz w:val="20"/>
                <w:szCs w:val="20"/>
                <w:lang w:val="sr-Latn-ME"/>
              </w:rPr>
              <w:t>Humira/ MTX</w:t>
            </w:r>
          </w:p>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b/>
                <w:bCs/>
                <w:color w:val="auto"/>
                <w:sz w:val="20"/>
                <w:szCs w:val="20"/>
                <w:lang w:val="sr-Latn-ME"/>
              </w:rPr>
              <w:t>n=268</w:t>
            </w:r>
          </w:p>
        </w:tc>
        <w:tc>
          <w:tcPr>
            <w:tcW w:w="1439"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right="-108" w:hanging="567"/>
              <w:rPr>
                <w:rFonts w:ascii="Times New Roman" w:hAnsi="Times New Roman" w:cs="Times New Roman"/>
                <w:color w:val="auto"/>
                <w:sz w:val="20"/>
                <w:szCs w:val="20"/>
                <w:lang w:val="sr-Latn-ME"/>
              </w:rPr>
            </w:pPr>
            <w:r w:rsidRPr="00AD3B49">
              <w:rPr>
                <w:rFonts w:ascii="Times New Roman" w:hAnsi="Times New Roman" w:cs="Times New Roman"/>
                <w:b/>
                <w:bCs/>
                <w:color w:val="auto"/>
                <w:sz w:val="20"/>
                <w:szCs w:val="20"/>
                <w:lang w:val="sr-Latn-ME"/>
              </w:rPr>
              <w:t xml:space="preserve">p vrijednost </w:t>
            </w:r>
            <w:r w:rsidRPr="00AD3B49">
              <w:rPr>
                <w:rFonts w:ascii="Times New Roman" w:hAnsi="Times New Roman" w:cs="Times New Roman"/>
                <w:b/>
                <w:bCs/>
                <w:color w:val="auto"/>
                <w:position w:val="8"/>
                <w:sz w:val="20"/>
                <w:szCs w:val="20"/>
                <w:vertAlign w:val="superscript"/>
                <w:lang w:val="sr-Latn-ME"/>
              </w:rPr>
              <w:t>a</w:t>
            </w:r>
          </w:p>
        </w:tc>
        <w:tc>
          <w:tcPr>
            <w:tcW w:w="1392"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right="-134" w:hanging="567"/>
              <w:rPr>
                <w:rFonts w:ascii="Times New Roman" w:hAnsi="Times New Roman" w:cs="Times New Roman"/>
                <w:color w:val="auto"/>
                <w:sz w:val="20"/>
                <w:szCs w:val="20"/>
                <w:lang w:val="sr-Latn-ME"/>
              </w:rPr>
            </w:pPr>
            <w:r w:rsidRPr="00AD3B49">
              <w:rPr>
                <w:rFonts w:ascii="Times New Roman" w:hAnsi="Times New Roman" w:cs="Times New Roman"/>
                <w:b/>
                <w:bCs/>
                <w:color w:val="auto"/>
                <w:sz w:val="20"/>
                <w:szCs w:val="20"/>
                <w:lang w:val="sr-Latn-ME"/>
              </w:rPr>
              <w:t>p vrijednost</w:t>
            </w:r>
            <w:r w:rsidRPr="00AD3B49">
              <w:rPr>
                <w:rFonts w:ascii="Times New Roman" w:hAnsi="Times New Roman" w:cs="Times New Roman"/>
                <w:b/>
                <w:bCs/>
                <w:color w:val="auto"/>
                <w:position w:val="8"/>
                <w:sz w:val="20"/>
                <w:szCs w:val="20"/>
                <w:vertAlign w:val="superscript"/>
                <w:lang w:val="sr-Latn-ME"/>
              </w:rPr>
              <w:t>b</w:t>
            </w:r>
          </w:p>
        </w:tc>
        <w:tc>
          <w:tcPr>
            <w:tcW w:w="1466"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right="-85" w:hanging="567"/>
              <w:rPr>
                <w:rFonts w:ascii="Times New Roman" w:hAnsi="Times New Roman" w:cs="Times New Roman"/>
                <w:color w:val="auto"/>
                <w:sz w:val="20"/>
                <w:szCs w:val="20"/>
                <w:lang w:val="sr-Latn-ME"/>
              </w:rPr>
            </w:pPr>
            <w:r w:rsidRPr="00AD3B49">
              <w:rPr>
                <w:rFonts w:ascii="Times New Roman" w:hAnsi="Times New Roman" w:cs="Times New Roman"/>
                <w:b/>
                <w:bCs/>
                <w:color w:val="auto"/>
                <w:sz w:val="20"/>
                <w:szCs w:val="20"/>
                <w:lang w:val="sr-Latn-ME"/>
              </w:rPr>
              <w:t xml:space="preserve">p vrijednost </w:t>
            </w:r>
            <w:r w:rsidRPr="00AD3B49">
              <w:rPr>
                <w:rFonts w:ascii="Times New Roman" w:hAnsi="Times New Roman" w:cs="Times New Roman"/>
                <w:b/>
                <w:bCs/>
                <w:color w:val="auto"/>
                <w:position w:val="8"/>
                <w:sz w:val="20"/>
                <w:szCs w:val="20"/>
                <w:vertAlign w:val="superscript"/>
                <w:lang w:val="sr-Latn-ME"/>
              </w:rPr>
              <w:t>c</w:t>
            </w:r>
          </w:p>
        </w:tc>
      </w:tr>
      <w:tr w:rsidR="003D3610" w:rsidRPr="00AD3B49" w:rsidTr="00DD5431">
        <w:trPr>
          <w:gridAfter w:val="1"/>
          <w:wAfter w:w="18" w:type="dxa"/>
          <w:trHeight w:hRule="exact" w:val="340"/>
        </w:trPr>
        <w:tc>
          <w:tcPr>
            <w:tcW w:w="1283" w:type="dxa"/>
            <w:gridSpan w:val="2"/>
            <w:tcBorders>
              <w:top w:val="single" w:sz="8" w:space="0" w:color="000000"/>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ACR 20</w:t>
            </w:r>
          </w:p>
        </w:tc>
        <w:tc>
          <w:tcPr>
            <w:tcW w:w="896" w:type="dxa"/>
            <w:tcBorders>
              <w:top w:val="single" w:sz="8" w:space="0" w:color="000000"/>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p>
        </w:tc>
        <w:tc>
          <w:tcPr>
            <w:tcW w:w="1030" w:type="dxa"/>
            <w:tcBorders>
              <w:top w:val="single" w:sz="8" w:space="0" w:color="000000"/>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p>
        </w:tc>
        <w:tc>
          <w:tcPr>
            <w:tcW w:w="1599" w:type="dxa"/>
            <w:tcBorders>
              <w:top w:val="single" w:sz="8" w:space="0" w:color="000000"/>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p>
        </w:tc>
        <w:tc>
          <w:tcPr>
            <w:tcW w:w="1439" w:type="dxa"/>
            <w:tcBorders>
              <w:top w:val="single" w:sz="8" w:space="0" w:color="000000"/>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 </w:t>
            </w:r>
          </w:p>
        </w:tc>
        <w:tc>
          <w:tcPr>
            <w:tcW w:w="1392" w:type="dxa"/>
            <w:tcBorders>
              <w:top w:val="single" w:sz="8" w:space="0" w:color="000000"/>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 </w:t>
            </w:r>
          </w:p>
        </w:tc>
        <w:tc>
          <w:tcPr>
            <w:tcW w:w="1466" w:type="dxa"/>
            <w:tcBorders>
              <w:top w:val="single" w:sz="8" w:space="0" w:color="000000"/>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 </w:t>
            </w:r>
          </w:p>
        </w:tc>
      </w:tr>
      <w:tr w:rsidR="003D3610" w:rsidRPr="00AD3B49" w:rsidTr="00DD5431">
        <w:trPr>
          <w:gridAfter w:val="1"/>
          <w:wAfter w:w="18" w:type="dxa"/>
          <w:trHeight w:hRule="exact" w:val="340"/>
        </w:trPr>
        <w:tc>
          <w:tcPr>
            <w:tcW w:w="1283" w:type="dxa"/>
            <w:gridSpan w:val="2"/>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 52 </w:t>
            </w:r>
            <w:r w:rsidR="000B016F" w:rsidRPr="00AD3B49">
              <w:rPr>
                <w:rFonts w:ascii="Times New Roman" w:hAnsi="Times New Roman" w:cs="Times New Roman"/>
                <w:color w:val="auto"/>
                <w:sz w:val="20"/>
                <w:szCs w:val="20"/>
                <w:lang w:val="sr-Latn-ME"/>
              </w:rPr>
              <w:t>nedjelje</w:t>
            </w:r>
          </w:p>
        </w:tc>
        <w:tc>
          <w:tcPr>
            <w:tcW w:w="896"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62,6 %</w:t>
            </w:r>
          </w:p>
        </w:tc>
        <w:tc>
          <w:tcPr>
            <w:tcW w:w="1030"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54,4 %</w:t>
            </w:r>
          </w:p>
        </w:tc>
        <w:tc>
          <w:tcPr>
            <w:tcW w:w="1599"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72,8 %</w:t>
            </w:r>
          </w:p>
        </w:tc>
        <w:tc>
          <w:tcPr>
            <w:tcW w:w="1439"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0,013 </w:t>
            </w:r>
          </w:p>
        </w:tc>
        <w:tc>
          <w:tcPr>
            <w:tcW w:w="1392"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&lt; 0,001 </w:t>
            </w:r>
          </w:p>
        </w:tc>
        <w:tc>
          <w:tcPr>
            <w:tcW w:w="1466"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0,043 </w:t>
            </w:r>
          </w:p>
        </w:tc>
      </w:tr>
      <w:tr w:rsidR="003D3610" w:rsidRPr="00AD3B49" w:rsidTr="00DD5431">
        <w:trPr>
          <w:gridAfter w:val="1"/>
          <w:wAfter w:w="18" w:type="dxa"/>
          <w:trHeight w:hRule="exact" w:val="340"/>
        </w:trPr>
        <w:tc>
          <w:tcPr>
            <w:tcW w:w="1283" w:type="dxa"/>
            <w:gridSpan w:val="2"/>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 104 </w:t>
            </w:r>
            <w:r w:rsidR="000B016F" w:rsidRPr="00AD3B49">
              <w:rPr>
                <w:rFonts w:ascii="Times New Roman" w:hAnsi="Times New Roman" w:cs="Times New Roman"/>
                <w:color w:val="auto"/>
                <w:sz w:val="20"/>
                <w:szCs w:val="20"/>
                <w:lang w:val="sr-Latn-ME"/>
              </w:rPr>
              <w:t>nedjelje</w:t>
            </w:r>
            <w:r w:rsidRPr="00AD3B49">
              <w:rPr>
                <w:rFonts w:ascii="Times New Roman" w:hAnsi="Times New Roman" w:cs="Times New Roman"/>
                <w:color w:val="auto"/>
                <w:sz w:val="20"/>
                <w:szCs w:val="20"/>
                <w:lang w:val="sr-Latn-ME"/>
              </w:rPr>
              <w:t xml:space="preserve"> </w:t>
            </w:r>
          </w:p>
        </w:tc>
        <w:tc>
          <w:tcPr>
            <w:tcW w:w="896"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56,0 %</w:t>
            </w:r>
          </w:p>
        </w:tc>
        <w:tc>
          <w:tcPr>
            <w:tcW w:w="1030"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49,3 %</w:t>
            </w:r>
          </w:p>
        </w:tc>
        <w:tc>
          <w:tcPr>
            <w:tcW w:w="1599"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69,4 %</w:t>
            </w:r>
          </w:p>
        </w:tc>
        <w:tc>
          <w:tcPr>
            <w:tcW w:w="1439"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0,002 </w:t>
            </w:r>
            <w:r w:rsidRPr="00AD3B49">
              <w:rPr>
                <w:rFonts w:ascii="Times New Roman" w:hAnsi="Times New Roman" w:cs="Times New Roman"/>
                <w:color w:val="auto"/>
                <w:sz w:val="20"/>
                <w:szCs w:val="20"/>
                <w:lang w:val="sr-Latn-ME"/>
              </w:rPr>
              <w:tab/>
            </w:r>
          </w:p>
        </w:tc>
        <w:tc>
          <w:tcPr>
            <w:tcW w:w="1392"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&lt; 0,001  </w:t>
            </w:r>
          </w:p>
        </w:tc>
        <w:tc>
          <w:tcPr>
            <w:tcW w:w="1466"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0,140  </w:t>
            </w:r>
          </w:p>
        </w:tc>
      </w:tr>
      <w:tr w:rsidR="003D3610" w:rsidRPr="00AD3B49" w:rsidTr="00DD5431">
        <w:trPr>
          <w:gridAfter w:val="1"/>
          <w:wAfter w:w="18" w:type="dxa"/>
          <w:trHeight w:hRule="exact" w:val="340"/>
        </w:trPr>
        <w:tc>
          <w:tcPr>
            <w:tcW w:w="1283" w:type="dxa"/>
            <w:gridSpan w:val="2"/>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ACR 50</w:t>
            </w:r>
          </w:p>
        </w:tc>
        <w:tc>
          <w:tcPr>
            <w:tcW w:w="896"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p>
        </w:tc>
        <w:tc>
          <w:tcPr>
            <w:tcW w:w="1030"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p>
        </w:tc>
        <w:tc>
          <w:tcPr>
            <w:tcW w:w="1599"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p>
        </w:tc>
        <w:tc>
          <w:tcPr>
            <w:tcW w:w="1439"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 </w:t>
            </w:r>
          </w:p>
        </w:tc>
        <w:tc>
          <w:tcPr>
            <w:tcW w:w="1392"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 </w:t>
            </w:r>
          </w:p>
        </w:tc>
        <w:tc>
          <w:tcPr>
            <w:tcW w:w="1466"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 </w:t>
            </w:r>
          </w:p>
        </w:tc>
      </w:tr>
      <w:tr w:rsidR="003D3610" w:rsidRPr="00AD3B49" w:rsidTr="00DD5431">
        <w:trPr>
          <w:gridAfter w:val="1"/>
          <w:wAfter w:w="18" w:type="dxa"/>
          <w:trHeight w:hRule="exact" w:val="340"/>
        </w:trPr>
        <w:tc>
          <w:tcPr>
            <w:tcW w:w="1283" w:type="dxa"/>
            <w:gridSpan w:val="2"/>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 52 </w:t>
            </w:r>
            <w:r w:rsidR="000B016F" w:rsidRPr="00AD3B49">
              <w:rPr>
                <w:rFonts w:ascii="Times New Roman" w:hAnsi="Times New Roman" w:cs="Times New Roman"/>
                <w:color w:val="auto"/>
                <w:sz w:val="20"/>
                <w:szCs w:val="20"/>
                <w:lang w:val="sr-Latn-ME"/>
              </w:rPr>
              <w:t>nedjelje</w:t>
            </w:r>
          </w:p>
        </w:tc>
        <w:tc>
          <w:tcPr>
            <w:tcW w:w="896"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45,9 %</w:t>
            </w:r>
          </w:p>
        </w:tc>
        <w:tc>
          <w:tcPr>
            <w:tcW w:w="1030"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41,2 %</w:t>
            </w:r>
          </w:p>
        </w:tc>
        <w:tc>
          <w:tcPr>
            <w:tcW w:w="1599"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61,6%</w:t>
            </w:r>
          </w:p>
        </w:tc>
        <w:tc>
          <w:tcPr>
            <w:tcW w:w="1439"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&lt; 0,001 </w:t>
            </w:r>
          </w:p>
        </w:tc>
        <w:tc>
          <w:tcPr>
            <w:tcW w:w="1392"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&lt; 0,001 </w:t>
            </w:r>
          </w:p>
        </w:tc>
        <w:tc>
          <w:tcPr>
            <w:tcW w:w="1466"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0,317 </w:t>
            </w:r>
          </w:p>
        </w:tc>
      </w:tr>
      <w:tr w:rsidR="003D3610" w:rsidRPr="00AD3B49" w:rsidTr="00DD5431">
        <w:trPr>
          <w:gridAfter w:val="1"/>
          <w:wAfter w:w="18" w:type="dxa"/>
          <w:trHeight w:hRule="exact" w:val="340"/>
        </w:trPr>
        <w:tc>
          <w:tcPr>
            <w:tcW w:w="1283" w:type="dxa"/>
            <w:gridSpan w:val="2"/>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 104 </w:t>
            </w:r>
            <w:r w:rsidR="000B016F" w:rsidRPr="00AD3B49">
              <w:rPr>
                <w:rFonts w:ascii="Times New Roman" w:hAnsi="Times New Roman" w:cs="Times New Roman"/>
                <w:color w:val="auto"/>
                <w:sz w:val="20"/>
                <w:szCs w:val="20"/>
                <w:lang w:val="sr-Latn-ME"/>
              </w:rPr>
              <w:t>nedjelje</w:t>
            </w:r>
            <w:r w:rsidRPr="00AD3B49">
              <w:rPr>
                <w:rFonts w:ascii="Times New Roman" w:hAnsi="Times New Roman" w:cs="Times New Roman"/>
                <w:color w:val="auto"/>
                <w:sz w:val="20"/>
                <w:szCs w:val="20"/>
                <w:lang w:val="sr-Latn-ME"/>
              </w:rPr>
              <w:t xml:space="preserve">  </w:t>
            </w:r>
          </w:p>
        </w:tc>
        <w:tc>
          <w:tcPr>
            <w:tcW w:w="896"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42,8 %</w:t>
            </w:r>
          </w:p>
        </w:tc>
        <w:tc>
          <w:tcPr>
            <w:tcW w:w="1030"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36,9 %</w:t>
            </w:r>
          </w:p>
        </w:tc>
        <w:tc>
          <w:tcPr>
            <w:tcW w:w="1599"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59,0 %</w:t>
            </w:r>
          </w:p>
        </w:tc>
        <w:tc>
          <w:tcPr>
            <w:tcW w:w="1439"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&lt; 0,001 </w:t>
            </w:r>
          </w:p>
        </w:tc>
        <w:tc>
          <w:tcPr>
            <w:tcW w:w="1392"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&lt; 0,001  </w:t>
            </w:r>
          </w:p>
        </w:tc>
        <w:tc>
          <w:tcPr>
            <w:tcW w:w="1466"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0,162  </w:t>
            </w:r>
          </w:p>
        </w:tc>
      </w:tr>
      <w:tr w:rsidR="003D3610" w:rsidRPr="00AD3B49" w:rsidTr="00DD5431">
        <w:trPr>
          <w:gridAfter w:val="1"/>
          <w:wAfter w:w="18" w:type="dxa"/>
          <w:trHeight w:hRule="exact" w:val="340"/>
        </w:trPr>
        <w:tc>
          <w:tcPr>
            <w:tcW w:w="1283" w:type="dxa"/>
            <w:gridSpan w:val="2"/>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ACR 70</w:t>
            </w:r>
          </w:p>
        </w:tc>
        <w:tc>
          <w:tcPr>
            <w:tcW w:w="896"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p>
        </w:tc>
        <w:tc>
          <w:tcPr>
            <w:tcW w:w="1030"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p>
        </w:tc>
        <w:tc>
          <w:tcPr>
            <w:tcW w:w="1599"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p>
        </w:tc>
        <w:tc>
          <w:tcPr>
            <w:tcW w:w="1439"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 </w:t>
            </w:r>
          </w:p>
        </w:tc>
        <w:tc>
          <w:tcPr>
            <w:tcW w:w="1392"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 </w:t>
            </w:r>
          </w:p>
        </w:tc>
        <w:tc>
          <w:tcPr>
            <w:tcW w:w="1466"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 </w:t>
            </w:r>
          </w:p>
        </w:tc>
      </w:tr>
      <w:tr w:rsidR="003D3610" w:rsidRPr="00AD3B49" w:rsidTr="00DD5431">
        <w:trPr>
          <w:gridAfter w:val="1"/>
          <w:wAfter w:w="18" w:type="dxa"/>
          <w:trHeight w:hRule="exact" w:val="340"/>
        </w:trPr>
        <w:tc>
          <w:tcPr>
            <w:tcW w:w="1283" w:type="dxa"/>
            <w:gridSpan w:val="2"/>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 52 </w:t>
            </w:r>
            <w:r w:rsidR="000B016F" w:rsidRPr="00AD3B49">
              <w:rPr>
                <w:rFonts w:ascii="Times New Roman" w:hAnsi="Times New Roman" w:cs="Times New Roman"/>
                <w:color w:val="auto"/>
                <w:sz w:val="20"/>
                <w:szCs w:val="20"/>
                <w:lang w:val="sr-Latn-ME"/>
              </w:rPr>
              <w:t>nedjelje</w:t>
            </w:r>
          </w:p>
        </w:tc>
        <w:tc>
          <w:tcPr>
            <w:tcW w:w="896"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27,2 %</w:t>
            </w:r>
          </w:p>
        </w:tc>
        <w:tc>
          <w:tcPr>
            <w:tcW w:w="1030"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25,9 %</w:t>
            </w:r>
          </w:p>
        </w:tc>
        <w:tc>
          <w:tcPr>
            <w:tcW w:w="1599"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45,5 %</w:t>
            </w:r>
          </w:p>
        </w:tc>
        <w:tc>
          <w:tcPr>
            <w:tcW w:w="1439"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&lt; 0,001 </w:t>
            </w:r>
          </w:p>
        </w:tc>
        <w:tc>
          <w:tcPr>
            <w:tcW w:w="1392"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&lt; 0,001 </w:t>
            </w:r>
          </w:p>
        </w:tc>
        <w:tc>
          <w:tcPr>
            <w:tcW w:w="1466" w:type="dxa"/>
            <w:tcBorders>
              <w:top w:val="single" w:sz="4" w:space="0" w:color="auto"/>
              <w:left w:val="single" w:sz="8" w:space="0" w:color="000000"/>
              <w:bottom w:val="single" w:sz="4" w:space="0" w:color="auto"/>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0,656 </w:t>
            </w:r>
          </w:p>
        </w:tc>
      </w:tr>
      <w:tr w:rsidR="003D3610" w:rsidRPr="00AD3B49" w:rsidTr="00DD5431">
        <w:trPr>
          <w:gridAfter w:val="1"/>
          <w:wAfter w:w="18" w:type="dxa"/>
          <w:trHeight w:hRule="exact" w:val="340"/>
        </w:trPr>
        <w:tc>
          <w:tcPr>
            <w:tcW w:w="1283" w:type="dxa"/>
            <w:gridSpan w:val="2"/>
            <w:tcBorders>
              <w:top w:val="single" w:sz="4" w:space="0" w:color="auto"/>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104 </w:t>
            </w:r>
            <w:r w:rsidR="000B016F" w:rsidRPr="00AD3B49">
              <w:rPr>
                <w:rFonts w:ascii="Times New Roman" w:hAnsi="Times New Roman" w:cs="Times New Roman"/>
                <w:color w:val="auto"/>
                <w:sz w:val="20"/>
                <w:szCs w:val="20"/>
                <w:lang w:val="sr-Latn-ME"/>
              </w:rPr>
              <w:t>nedjelje</w:t>
            </w:r>
            <w:r w:rsidRPr="00AD3B49">
              <w:rPr>
                <w:rFonts w:ascii="Times New Roman" w:hAnsi="Times New Roman" w:cs="Times New Roman"/>
                <w:color w:val="auto"/>
                <w:sz w:val="20"/>
                <w:szCs w:val="20"/>
                <w:lang w:val="sr-Latn-ME"/>
              </w:rPr>
              <w:t xml:space="preserve"> </w:t>
            </w:r>
          </w:p>
        </w:tc>
        <w:tc>
          <w:tcPr>
            <w:tcW w:w="896" w:type="dxa"/>
            <w:tcBorders>
              <w:top w:val="single" w:sz="4" w:space="0" w:color="auto"/>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28,4 %</w:t>
            </w:r>
          </w:p>
        </w:tc>
        <w:tc>
          <w:tcPr>
            <w:tcW w:w="1030" w:type="dxa"/>
            <w:tcBorders>
              <w:top w:val="single" w:sz="4" w:space="0" w:color="auto"/>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28,1 %</w:t>
            </w:r>
          </w:p>
        </w:tc>
        <w:tc>
          <w:tcPr>
            <w:tcW w:w="1599" w:type="dxa"/>
            <w:tcBorders>
              <w:top w:val="single" w:sz="4" w:space="0" w:color="auto"/>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46,6 %</w:t>
            </w:r>
          </w:p>
        </w:tc>
        <w:tc>
          <w:tcPr>
            <w:tcW w:w="1439" w:type="dxa"/>
            <w:tcBorders>
              <w:top w:val="single" w:sz="4" w:space="0" w:color="auto"/>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&lt; 0,001 </w:t>
            </w:r>
          </w:p>
        </w:tc>
        <w:tc>
          <w:tcPr>
            <w:tcW w:w="1392" w:type="dxa"/>
            <w:tcBorders>
              <w:top w:val="single" w:sz="4" w:space="0" w:color="auto"/>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&lt; 0,001 </w:t>
            </w:r>
          </w:p>
        </w:tc>
        <w:tc>
          <w:tcPr>
            <w:tcW w:w="1466" w:type="dxa"/>
            <w:tcBorders>
              <w:top w:val="single" w:sz="4" w:space="0" w:color="auto"/>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0,864 </w:t>
            </w:r>
          </w:p>
        </w:tc>
      </w:tr>
      <w:tr w:rsidR="003D3610" w:rsidRPr="00AD3B49" w:rsidTr="00DD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4A0" w:firstRow="1" w:lastRow="0" w:firstColumn="1" w:lastColumn="0" w:noHBand="0" w:noVBand="1"/>
        </w:tblPrEx>
        <w:trPr>
          <w:gridBefore w:val="1"/>
          <w:wBefore w:w="10" w:type="dxa"/>
        </w:trPr>
        <w:tc>
          <w:tcPr>
            <w:tcW w:w="9113" w:type="dxa"/>
            <w:gridSpan w:val="8"/>
            <w:shd w:val="clear" w:color="auto" w:fill="auto"/>
          </w:tcPr>
          <w:p w:rsidR="003D3610" w:rsidRPr="00AD3B49" w:rsidRDefault="003D3610" w:rsidP="00DD5431">
            <w:pPr>
              <w:pStyle w:val="Default"/>
              <w:rPr>
                <w:rFonts w:ascii="Times New Roman" w:hAnsi="Times New Roman" w:cs="Times New Roman"/>
                <w:color w:val="auto"/>
                <w:sz w:val="16"/>
                <w:szCs w:val="16"/>
                <w:lang w:val="sr-Latn-ME"/>
              </w:rPr>
            </w:pPr>
            <w:r w:rsidRPr="00AD3B49">
              <w:rPr>
                <w:rFonts w:ascii="Times New Roman" w:hAnsi="Times New Roman" w:cs="Times New Roman"/>
                <w:color w:val="auto"/>
                <w:sz w:val="16"/>
                <w:szCs w:val="16"/>
                <w:lang w:val="sr-Latn-ME"/>
              </w:rPr>
              <w:t xml:space="preserve">a. p vrijednost </w:t>
            </w:r>
            <w:r w:rsidR="005644A2" w:rsidRPr="00AD3B49">
              <w:rPr>
                <w:rFonts w:ascii="Times New Roman" w:hAnsi="Times New Roman" w:cs="Times New Roman"/>
                <w:color w:val="auto"/>
                <w:sz w:val="16"/>
                <w:szCs w:val="16"/>
                <w:lang w:val="sr-Latn-ME"/>
              </w:rPr>
              <w:t>dobijena</w:t>
            </w:r>
            <w:r w:rsidRPr="00AD3B49">
              <w:rPr>
                <w:rFonts w:ascii="Times New Roman" w:hAnsi="Times New Roman" w:cs="Times New Roman"/>
                <w:color w:val="auto"/>
                <w:sz w:val="16"/>
                <w:szCs w:val="16"/>
                <w:lang w:val="sr-Latn-ME"/>
              </w:rPr>
              <w:t xml:space="preserve"> poređenjem monotera</w:t>
            </w:r>
            <w:r w:rsidR="009925F8" w:rsidRPr="00AD3B49">
              <w:rPr>
                <w:rFonts w:ascii="Times New Roman" w:hAnsi="Times New Roman" w:cs="Times New Roman"/>
                <w:color w:val="auto"/>
                <w:sz w:val="16"/>
                <w:szCs w:val="16"/>
                <w:lang w:val="sr-Latn-ME"/>
              </w:rPr>
              <w:t>pije metotreksatom i kombinovane</w:t>
            </w:r>
            <w:r w:rsidRPr="00AD3B49">
              <w:rPr>
                <w:rFonts w:ascii="Times New Roman" w:hAnsi="Times New Roman" w:cs="Times New Roman"/>
                <w:color w:val="auto"/>
                <w:sz w:val="16"/>
                <w:szCs w:val="16"/>
                <w:lang w:val="sr-Latn-ME"/>
              </w:rPr>
              <w:t xml:space="preserve"> terapije </w:t>
            </w:r>
            <w:r w:rsidR="0067631E" w:rsidRPr="00AD3B49">
              <w:rPr>
                <w:rFonts w:ascii="Times New Roman" w:hAnsi="Times New Roman" w:cs="Times New Roman"/>
                <w:color w:val="auto"/>
                <w:sz w:val="16"/>
                <w:szCs w:val="16"/>
                <w:lang w:val="sr-Latn-ME"/>
              </w:rPr>
              <w:t>lije</w:t>
            </w:r>
            <w:r w:rsidR="00E409B0" w:rsidRPr="00AD3B49">
              <w:rPr>
                <w:rFonts w:ascii="Times New Roman" w:hAnsi="Times New Roman" w:cs="Times New Roman"/>
                <w:color w:val="auto"/>
                <w:sz w:val="16"/>
                <w:szCs w:val="16"/>
                <w:lang w:val="sr-Latn-ME"/>
              </w:rPr>
              <w:t xml:space="preserve">kom </w:t>
            </w:r>
            <w:r w:rsidRPr="00AD3B49">
              <w:rPr>
                <w:rFonts w:ascii="Times New Roman" w:hAnsi="Times New Roman" w:cs="Times New Roman"/>
                <w:color w:val="auto"/>
                <w:sz w:val="16"/>
                <w:szCs w:val="16"/>
                <w:lang w:val="sr-Latn-ME"/>
              </w:rPr>
              <w:t>Humir</w:t>
            </w:r>
            <w:r w:rsidR="00E409B0" w:rsidRPr="00AD3B49">
              <w:rPr>
                <w:rFonts w:ascii="Times New Roman" w:hAnsi="Times New Roman" w:cs="Times New Roman"/>
                <w:color w:val="auto"/>
                <w:sz w:val="16"/>
                <w:szCs w:val="16"/>
                <w:lang w:val="sr-Latn-ME"/>
              </w:rPr>
              <w:t>a</w:t>
            </w:r>
            <w:r w:rsidRPr="00AD3B49">
              <w:rPr>
                <w:rFonts w:ascii="Times New Roman" w:hAnsi="Times New Roman" w:cs="Times New Roman"/>
                <w:color w:val="auto"/>
                <w:sz w:val="16"/>
                <w:szCs w:val="16"/>
                <w:lang w:val="sr-Latn-ME"/>
              </w:rPr>
              <w:t>i metotreksatom uz primjenu Mann-Whitney U testa</w:t>
            </w:r>
          </w:p>
          <w:p w:rsidR="003D3610" w:rsidRPr="00AD3B49" w:rsidRDefault="003D3610" w:rsidP="00DD5431">
            <w:pPr>
              <w:pStyle w:val="Default"/>
              <w:rPr>
                <w:rFonts w:ascii="Times New Roman" w:hAnsi="Times New Roman" w:cs="Times New Roman"/>
                <w:color w:val="auto"/>
                <w:sz w:val="16"/>
                <w:szCs w:val="16"/>
                <w:lang w:val="sr-Latn-ME"/>
              </w:rPr>
            </w:pPr>
            <w:r w:rsidRPr="00AD3B49">
              <w:rPr>
                <w:rFonts w:ascii="Times New Roman" w:hAnsi="Times New Roman" w:cs="Times New Roman"/>
                <w:color w:val="auto"/>
                <w:sz w:val="16"/>
                <w:szCs w:val="16"/>
                <w:lang w:val="sr-Latn-ME"/>
              </w:rPr>
              <w:t xml:space="preserve">b. p vrijednost </w:t>
            </w:r>
            <w:r w:rsidR="005644A2" w:rsidRPr="00AD3B49">
              <w:rPr>
                <w:rFonts w:ascii="Times New Roman" w:hAnsi="Times New Roman" w:cs="Times New Roman"/>
                <w:color w:val="auto"/>
                <w:sz w:val="16"/>
                <w:szCs w:val="16"/>
                <w:lang w:val="sr-Latn-ME"/>
              </w:rPr>
              <w:t>dobijena</w:t>
            </w:r>
            <w:r w:rsidRPr="00AD3B49">
              <w:rPr>
                <w:rFonts w:ascii="Times New Roman" w:hAnsi="Times New Roman" w:cs="Times New Roman"/>
                <w:color w:val="auto"/>
                <w:sz w:val="16"/>
                <w:szCs w:val="16"/>
                <w:lang w:val="sr-Latn-ME"/>
              </w:rPr>
              <w:t xml:space="preserve"> poređenjem mo</w:t>
            </w:r>
            <w:r w:rsidR="009925F8" w:rsidRPr="00AD3B49">
              <w:rPr>
                <w:rFonts w:ascii="Times New Roman" w:hAnsi="Times New Roman" w:cs="Times New Roman"/>
                <w:color w:val="auto"/>
                <w:sz w:val="16"/>
                <w:szCs w:val="16"/>
                <w:lang w:val="sr-Latn-ME"/>
              </w:rPr>
              <w:t xml:space="preserve">noterapije </w:t>
            </w:r>
            <w:r w:rsidR="00E409B0" w:rsidRPr="00AD3B49">
              <w:rPr>
                <w:rFonts w:ascii="Times New Roman" w:hAnsi="Times New Roman" w:cs="Times New Roman"/>
                <w:color w:val="auto"/>
                <w:sz w:val="16"/>
                <w:szCs w:val="16"/>
                <w:lang w:val="sr-Latn-ME"/>
              </w:rPr>
              <w:t xml:space="preserve">lijekom </w:t>
            </w:r>
            <w:r w:rsidR="009925F8" w:rsidRPr="00AD3B49">
              <w:rPr>
                <w:rFonts w:ascii="Times New Roman" w:hAnsi="Times New Roman" w:cs="Times New Roman"/>
                <w:color w:val="auto"/>
                <w:sz w:val="16"/>
                <w:szCs w:val="16"/>
                <w:lang w:val="sr-Latn-ME"/>
              </w:rPr>
              <w:t>Humir</w:t>
            </w:r>
            <w:r w:rsidR="00E409B0" w:rsidRPr="00AD3B49">
              <w:rPr>
                <w:rFonts w:ascii="Times New Roman" w:hAnsi="Times New Roman" w:cs="Times New Roman"/>
                <w:color w:val="auto"/>
                <w:sz w:val="16"/>
                <w:szCs w:val="16"/>
                <w:lang w:val="sr-Latn-ME"/>
              </w:rPr>
              <w:t>a</w:t>
            </w:r>
            <w:r w:rsidR="009925F8" w:rsidRPr="00AD3B49">
              <w:rPr>
                <w:rFonts w:ascii="Times New Roman" w:hAnsi="Times New Roman" w:cs="Times New Roman"/>
                <w:color w:val="auto"/>
                <w:sz w:val="16"/>
                <w:szCs w:val="16"/>
                <w:lang w:val="sr-Latn-ME"/>
              </w:rPr>
              <w:t xml:space="preserve">i kombinovane </w:t>
            </w:r>
            <w:r w:rsidRPr="00AD3B49">
              <w:rPr>
                <w:rFonts w:ascii="Times New Roman" w:hAnsi="Times New Roman" w:cs="Times New Roman"/>
                <w:color w:val="auto"/>
                <w:sz w:val="16"/>
                <w:szCs w:val="16"/>
                <w:lang w:val="sr-Latn-ME"/>
              </w:rPr>
              <w:t xml:space="preserve">terapije </w:t>
            </w:r>
            <w:r w:rsidR="00E409B0" w:rsidRPr="00AD3B49">
              <w:rPr>
                <w:rFonts w:ascii="Times New Roman" w:hAnsi="Times New Roman" w:cs="Times New Roman"/>
                <w:color w:val="auto"/>
                <w:sz w:val="16"/>
                <w:szCs w:val="16"/>
                <w:lang w:val="sr-Latn-ME"/>
              </w:rPr>
              <w:t xml:space="preserve">lijekom </w:t>
            </w:r>
            <w:r w:rsidRPr="00AD3B49">
              <w:rPr>
                <w:rFonts w:ascii="Times New Roman" w:hAnsi="Times New Roman" w:cs="Times New Roman"/>
                <w:color w:val="auto"/>
                <w:sz w:val="16"/>
                <w:szCs w:val="16"/>
                <w:lang w:val="sr-Latn-ME"/>
              </w:rPr>
              <w:t>Humir</w:t>
            </w:r>
            <w:r w:rsidR="00E409B0" w:rsidRPr="00AD3B49">
              <w:rPr>
                <w:rFonts w:ascii="Times New Roman" w:hAnsi="Times New Roman" w:cs="Times New Roman"/>
                <w:color w:val="auto"/>
                <w:sz w:val="16"/>
                <w:szCs w:val="16"/>
                <w:lang w:val="sr-Latn-ME"/>
              </w:rPr>
              <w:t>a</w:t>
            </w:r>
            <w:r w:rsidRPr="00AD3B49">
              <w:rPr>
                <w:rFonts w:ascii="Times New Roman" w:hAnsi="Times New Roman" w:cs="Times New Roman"/>
                <w:color w:val="auto"/>
                <w:sz w:val="16"/>
                <w:szCs w:val="16"/>
                <w:lang w:val="sr-Latn-ME"/>
              </w:rPr>
              <w:t xml:space="preserve"> i metotreksatom uz primjenu Mann-Whitney U testa</w:t>
            </w:r>
          </w:p>
          <w:p w:rsidR="003D3610" w:rsidRPr="00AD3B49" w:rsidRDefault="003D3610" w:rsidP="00DD5431">
            <w:pPr>
              <w:pStyle w:val="Default"/>
              <w:rPr>
                <w:rFonts w:ascii="Times New Roman" w:hAnsi="Times New Roman" w:cs="Times New Roman"/>
                <w:color w:val="auto"/>
                <w:position w:val="8"/>
                <w:sz w:val="16"/>
                <w:szCs w:val="16"/>
                <w:vertAlign w:val="superscript"/>
                <w:lang w:val="sr-Latn-ME"/>
              </w:rPr>
            </w:pPr>
            <w:r w:rsidRPr="00AD3B49">
              <w:rPr>
                <w:rFonts w:ascii="Times New Roman" w:hAnsi="Times New Roman" w:cs="Times New Roman"/>
                <w:color w:val="auto"/>
                <w:sz w:val="16"/>
                <w:szCs w:val="16"/>
                <w:lang w:val="sr-Latn-ME"/>
              </w:rPr>
              <w:t xml:space="preserve">c. p vrijednost </w:t>
            </w:r>
            <w:r w:rsidR="005644A2" w:rsidRPr="00AD3B49">
              <w:rPr>
                <w:rFonts w:ascii="Times New Roman" w:hAnsi="Times New Roman" w:cs="Times New Roman"/>
                <w:color w:val="auto"/>
                <w:sz w:val="16"/>
                <w:szCs w:val="16"/>
                <w:lang w:val="sr-Latn-ME"/>
              </w:rPr>
              <w:t>dobijena</w:t>
            </w:r>
            <w:r w:rsidRPr="00AD3B49">
              <w:rPr>
                <w:rFonts w:ascii="Times New Roman" w:hAnsi="Times New Roman" w:cs="Times New Roman"/>
                <w:color w:val="auto"/>
                <w:sz w:val="16"/>
                <w:szCs w:val="16"/>
                <w:lang w:val="sr-Latn-ME"/>
              </w:rPr>
              <w:t xml:space="preserve"> poređenjem monoterapije </w:t>
            </w:r>
            <w:r w:rsidR="00E409B0" w:rsidRPr="00AD3B49">
              <w:rPr>
                <w:rFonts w:ascii="Times New Roman" w:hAnsi="Times New Roman" w:cs="Times New Roman"/>
                <w:color w:val="auto"/>
                <w:sz w:val="16"/>
                <w:szCs w:val="16"/>
                <w:lang w:val="sr-Latn-ME"/>
              </w:rPr>
              <w:t xml:space="preserve">lijekom </w:t>
            </w:r>
            <w:r w:rsidRPr="00AD3B49">
              <w:rPr>
                <w:rFonts w:ascii="Times New Roman" w:hAnsi="Times New Roman" w:cs="Times New Roman"/>
                <w:color w:val="auto"/>
                <w:sz w:val="16"/>
                <w:szCs w:val="16"/>
                <w:lang w:val="sr-Latn-ME"/>
              </w:rPr>
              <w:t>Humir</w:t>
            </w:r>
            <w:r w:rsidR="00E409B0" w:rsidRPr="00AD3B49">
              <w:rPr>
                <w:rFonts w:ascii="Times New Roman" w:hAnsi="Times New Roman" w:cs="Times New Roman"/>
                <w:color w:val="auto"/>
                <w:sz w:val="16"/>
                <w:szCs w:val="16"/>
                <w:lang w:val="sr-Latn-ME"/>
              </w:rPr>
              <w:t>a</w:t>
            </w:r>
            <w:r w:rsidRPr="00AD3B49">
              <w:rPr>
                <w:rFonts w:ascii="Times New Roman" w:hAnsi="Times New Roman" w:cs="Times New Roman"/>
                <w:color w:val="auto"/>
                <w:sz w:val="16"/>
                <w:szCs w:val="16"/>
                <w:lang w:val="sr-Latn-ME"/>
              </w:rPr>
              <w:t xml:space="preserve"> i monoterapije metotreksatom uz primjenu Mann-Whitney U testa</w:t>
            </w:r>
          </w:p>
        </w:tc>
      </w:tr>
    </w:tbl>
    <w:p w:rsidR="003D3610" w:rsidRPr="00AD3B49" w:rsidRDefault="003D3610" w:rsidP="003D3610">
      <w:pPr>
        <w:pStyle w:val="Default"/>
        <w:rPr>
          <w:rFonts w:ascii="Times New Roman" w:hAnsi="Times New Roman" w:cs="Times New Roman"/>
          <w:color w:val="auto"/>
          <w:sz w:val="16"/>
          <w:szCs w:val="16"/>
          <w:lang w:val="sr-Latn-ME"/>
        </w:rPr>
      </w:pPr>
    </w:p>
    <w:p w:rsidR="003D3610" w:rsidRPr="00AD3B49" w:rsidRDefault="003D3610"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lastRenderedPageBreak/>
        <w:t>Nakon 52 ned</w:t>
      </w:r>
      <w:r w:rsidR="009925F8" w:rsidRPr="00AD3B49">
        <w:rPr>
          <w:rFonts w:ascii="Times New Roman" w:hAnsi="Times New Roman" w:cs="Times New Roman"/>
          <w:color w:val="auto"/>
          <w:sz w:val="22"/>
          <w:szCs w:val="22"/>
          <w:lang w:val="sr-Latn-ME"/>
        </w:rPr>
        <w:t>j</w:t>
      </w:r>
      <w:r w:rsidRPr="00AD3B49">
        <w:rPr>
          <w:rFonts w:ascii="Times New Roman" w:hAnsi="Times New Roman" w:cs="Times New Roman"/>
          <w:color w:val="auto"/>
          <w:sz w:val="22"/>
          <w:szCs w:val="22"/>
          <w:lang w:val="sr-Latn-ME"/>
        </w:rPr>
        <w:t xml:space="preserve">elje liječenja, klinička remisija postignuta je kod 42,9 % pacijenata liječenih kombinacijom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i metotreksata (DAS28 &lt; 2,6) u poređenju sa 20,6 % pacijenata koji su </w:t>
      </w:r>
      <w:r w:rsidR="00195467" w:rsidRPr="00AD3B49">
        <w:rPr>
          <w:rFonts w:ascii="Times New Roman" w:hAnsi="Times New Roman" w:cs="Times New Roman"/>
          <w:color w:val="auto"/>
          <w:sz w:val="22"/>
          <w:szCs w:val="22"/>
          <w:lang w:val="sr-Latn-ME"/>
        </w:rPr>
        <w:t>dobijali</w:t>
      </w:r>
      <w:r w:rsidRPr="00AD3B49">
        <w:rPr>
          <w:rFonts w:ascii="Times New Roman" w:hAnsi="Times New Roman" w:cs="Times New Roman"/>
          <w:color w:val="auto"/>
          <w:sz w:val="22"/>
          <w:szCs w:val="22"/>
          <w:lang w:val="sr-Latn-ME"/>
        </w:rPr>
        <w:t xml:space="preserve"> monoterapiju metotreksatom, odnosno 23,4 % pacijenata koji su dobili monoterapiju </w:t>
      </w:r>
      <w:r w:rsidR="00E409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E409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Kombi</w:t>
      </w:r>
      <w:r w:rsidR="00D32F5F" w:rsidRPr="00AD3B49">
        <w:rPr>
          <w:rFonts w:ascii="Times New Roman" w:hAnsi="Times New Roman" w:cs="Times New Roman"/>
          <w:color w:val="auto"/>
          <w:sz w:val="22"/>
          <w:szCs w:val="22"/>
          <w:lang w:val="sr-Latn-ME"/>
        </w:rPr>
        <w:t>novana</w:t>
      </w:r>
      <w:r w:rsidRPr="00AD3B49">
        <w:rPr>
          <w:rFonts w:ascii="Times New Roman" w:hAnsi="Times New Roman" w:cs="Times New Roman"/>
          <w:color w:val="auto"/>
          <w:sz w:val="22"/>
          <w:szCs w:val="22"/>
          <w:lang w:val="sr-Latn-ME"/>
        </w:rPr>
        <w:t xml:space="preserve"> primjena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i metotreksata pokazala se klinički i statistički </w:t>
      </w:r>
      <w:r w:rsidR="00D32F5F" w:rsidRPr="00AD3B49">
        <w:rPr>
          <w:rFonts w:ascii="Times New Roman" w:hAnsi="Times New Roman" w:cs="Times New Roman"/>
          <w:color w:val="auto"/>
          <w:sz w:val="22"/>
          <w:szCs w:val="22"/>
          <w:lang w:val="sr-Latn-ME"/>
        </w:rPr>
        <w:t>efikasnijom</w:t>
      </w:r>
      <w:r w:rsidRPr="00AD3B49">
        <w:rPr>
          <w:rFonts w:ascii="Times New Roman" w:hAnsi="Times New Roman" w:cs="Times New Roman"/>
          <w:color w:val="auto"/>
          <w:sz w:val="22"/>
          <w:szCs w:val="22"/>
          <w:lang w:val="sr-Latn-ME"/>
        </w:rPr>
        <w:t xml:space="preserve"> od monoterapije metotreksatom (p &lt;</w:t>
      </w:r>
      <w:r w:rsidR="0067631E" w:rsidRPr="00AD3B49">
        <w:rPr>
          <w:rFonts w:ascii="Times New Roman" w:hAnsi="Times New Roman" w:cs="Times New Roman"/>
          <w:color w:val="auto"/>
          <w:sz w:val="22"/>
          <w:szCs w:val="22"/>
          <w:lang w:val="sr-Latn-ME"/>
        </w:rPr>
        <w:t xml:space="preserve"> </w:t>
      </w:r>
      <w:r w:rsidRPr="00AD3B49">
        <w:rPr>
          <w:rFonts w:ascii="Times New Roman" w:hAnsi="Times New Roman" w:cs="Times New Roman"/>
          <w:color w:val="auto"/>
          <w:sz w:val="22"/>
          <w:szCs w:val="22"/>
          <w:lang w:val="sr-Latn-ME"/>
        </w:rPr>
        <w:t xml:space="preserve">0,001) i </w:t>
      </w:r>
      <w:r w:rsidR="00E409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E409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(p &lt; 0,001) u suzbijanju simptoma bolesti kod pacijenata s nedavno dijagnosti</w:t>
      </w:r>
      <w:r w:rsidR="00D32F5F" w:rsidRPr="00AD3B49">
        <w:rPr>
          <w:rFonts w:ascii="Times New Roman" w:hAnsi="Times New Roman" w:cs="Times New Roman"/>
          <w:color w:val="auto"/>
          <w:sz w:val="22"/>
          <w:szCs w:val="22"/>
          <w:lang w:val="sr-Latn-ME"/>
        </w:rPr>
        <w:t>kovanim</w:t>
      </w:r>
      <w:r w:rsidRPr="00AD3B49">
        <w:rPr>
          <w:rFonts w:ascii="Times New Roman" w:hAnsi="Times New Roman" w:cs="Times New Roman"/>
          <w:color w:val="auto"/>
          <w:sz w:val="22"/>
          <w:szCs w:val="22"/>
          <w:lang w:val="sr-Latn-ME"/>
        </w:rPr>
        <w:t xml:space="preserve"> umjereno teškim do teškim reumatoidnim artritisom. Terapijski odgovor pacijenata liječenih monotera</w:t>
      </w:r>
      <w:r w:rsidR="009925F8" w:rsidRPr="00AD3B49">
        <w:rPr>
          <w:rFonts w:ascii="Times New Roman" w:hAnsi="Times New Roman" w:cs="Times New Roman"/>
          <w:color w:val="auto"/>
          <w:sz w:val="22"/>
          <w:szCs w:val="22"/>
          <w:lang w:val="sr-Latn-ME"/>
        </w:rPr>
        <w:t>pijom bio je sličan</w:t>
      </w:r>
      <w:r w:rsidRPr="00AD3B49">
        <w:rPr>
          <w:rFonts w:ascii="Times New Roman" w:hAnsi="Times New Roman" w:cs="Times New Roman"/>
          <w:color w:val="auto"/>
          <w:sz w:val="22"/>
          <w:szCs w:val="22"/>
          <w:lang w:val="sr-Latn-ME"/>
        </w:rPr>
        <w:t xml:space="preserve"> (p=0,447).</w:t>
      </w:r>
    </w:p>
    <w:p w:rsidR="003D3610" w:rsidRPr="00AD3B49" w:rsidRDefault="003D3610" w:rsidP="003D3610">
      <w:pPr>
        <w:pStyle w:val="Default"/>
        <w:jc w:val="both"/>
        <w:rPr>
          <w:rFonts w:ascii="Times New Roman" w:hAnsi="Times New Roman" w:cs="Times New Roman"/>
          <w:color w:val="auto"/>
          <w:sz w:val="22"/>
          <w:szCs w:val="22"/>
          <w:lang w:val="sr-Latn-ME"/>
        </w:rPr>
      </w:pPr>
    </w:p>
    <w:p w:rsidR="003D3610" w:rsidRPr="00AD3B49" w:rsidRDefault="003D3610" w:rsidP="003D3610">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Radiološki odgovor</w:t>
      </w:r>
    </w:p>
    <w:p w:rsidR="00A801D9" w:rsidRDefault="00A801D9" w:rsidP="003D3610">
      <w:pPr>
        <w:pStyle w:val="Default"/>
        <w:jc w:val="both"/>
        <w:rPr>
          <w:rFonts w:ascii="Times New Roman" w:hAnsi="Times New Roman" w:cs="Times New Roman"/>
          <w:color w:val="auto"/>
          <w:sz w:val="22"/>
          <w:szCs w:val="22"/>
          <w:lang w:val="sr-Latn-ME"/>
        </w:rPr>
      </w:pPr>
    </w:p>
    <w:p w:rsidR="0067631E" w:rsidRPr="00AD3B49" w:rsidRDefault="003D3610"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U RA ispitivanju III u kojem je prosječno trajanje reumatoidnog artritisa kod pacijenata liječenih </w:t>
      </w:r>
      <w:r w:rsidR="00E409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E409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bilo 11 godina strukturno oštećenje zglobova procjenjivano je radiološki, a stepen oštećenja izražen je promjenom ukupnog zbira bodova po modif</w:t>
      </w:r>
      <w:r w:rsidR="005644A2" w:rsidRPr="00AD3B49">
        <w:rPr>
          <w:rFonts w:ascii="Times New Roman" w:hAnsi="Times New Roman" w:cs="Times New Roman"/>
          <w:color w:val="auto"/>
          <w:sz w:val="22"/>
          <w:szCs w:val="22"/>
          <w:lang w:val="sr-Latn-ME"/>
        </w:rPr>
        <w:t>ikova</w:t>
      </w:r>
      <w:r w:rsidRPr="00AD3B49">
        <w:rPr>
          <w:rFonts w:ascii="Times New Roman" w:hAnsi="Times New Roman" w:cs="Times New Roman"/>
          <w:color w:val="auto"/>
          <w:sz w:val="22"/>
          <w:szCs w:val="22"/>
          <w:lang w:val="sr-Latn-ME"/>
        </w:rPr>
        <w:t>nom Sharpu (</w:t>
      </w:r>
      <w:r w:rsidRPr="00AD3B49">
        <w:rPr>
          <w:rFonts w:ascii="Times New Roman" w:hAnsi="Times New Roman" w:cs="Times New Roman"/>
          <w:i/>
          <w:color w:val="auto"/>
          <w:sz w:val="22"/>
          <w:szCs w:val="22"/>
          <w:lang w:val="sr-Latn-ME"/>
        </w:rPr>
        <w:t>Total Sharp Score</w:t>
      </w:r>
      <w:r w:rsidRPr="00AD3B49">
        <w:rPr>
          <w:rFonts w:ascii="Times New Roman" w:hAnsi="Times New Roman" w:cs="Times New Roman"/>
          <w:color w:val="auto"/>
          <w:sz w:val="22"/>
          <w:szCs w:val="22"/>
          <w:lang w:val="sr-Latn-ME"/>
        </w:rPr>
        <w:t xml:space="preserve"> - TSS) i njegovih komponenti, stepenu erozije zglobnih hrskavica i suženju zglobnih prostora. Radiološki nalazi </w:t>
      </w:r>
      <w:r w:rsidR="00BF375F" w:rsidRPr="00AD3B49">
        <w:rPr>
          <w:rFonts w:ascii="Times New Roman" w:hAnsi="Times New Roman" w:cs="Times New Roman"/>
          <w:color w:val="auto"/>
          <w:sz w:val="22"/>
          <w:szCs w:val="22"/>
          <w:lang w:val="sr-Latn-ME"/>
        </w:rPr>
        <w:t>kod</w:t>
      </w:r>
      <w:r w:rsidRPr="00AD3B49">
        <w:rPr>
          <w:rFonts w:ascii="Times New Roman" w:hAnsi="Times New Roman" w:cs="Times New Roman"/>
          <w:color w:val="auto"/>
          <w:sz w:val="22"/>
          <w:szCs w:val="22"/>
          <w:lang w:val="sr-Latn-ME"/>
        </w:rPr>
        <w:t xml:space="preserve"> pacijenata liječenih kombinacijom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i metotreksata pokazali su znatno sporije napredovanje strukturnih oštećenja zglobova nego </w:t>
      </w:r>
      <w:r w:rsidR="00BF375F" w:rsidRPr="00AD3B49">
        <w:rPr>
          <w:rFonts w:ascii="Times New Roman" w:hAnsi="Times New Roman" w:cs="Times New Roman"/>
          <w:color w:val="auto"/>
          <w:sz w:val="22"/>
          <w:szCs w:val="22"/>
          <w:lang w:val="sr-Latn-ME"/>
        </w:rPr>
        <w:t>kod</w:t>
      </w:r>
      <w:r w:rsidRPr="00AD3B49">
        <w:rPr>
          <w:rFonts w:ascii="Times New Roman" w:hAnsi="Times New Roman" w:cs="Times New Roman"/>
          <w:color w:val="auto"/>
          <w:sz w:val="22"/>
          <w:szCs w:val="22"/>
          <w:lang w:val="sr-Latn-ME"/>
        </w:rPr>
        <w:t xml:space="preserve"> pacijenata liječenih samo metotreksatom tokom 6 i 12 mjeseci (vidjeti Tabelu 5). </w:t>
      </w:r>
    </w:p>
    <w:p w:rsidR="0067631E" w:rsidRPr="00AD3B49" w:rsidRDefault="0067631E" w:rsidP="003D3610">
      <w:pPr>
        <w:pStyle w:val="Default"/>
        <w:jc w:val="both"/>
        <w:rPr>
          <w:rFonts w:ascii="Times New Roman" w:hAnsi="Times New Roman" w:cs="Times New Roman"/>
          <w:color w:val="auto"/>
          <w:sz w:val="22"/>
          <w:szCs w:val="22"/>
          <w:lang w:val="sr-Latn-ME"/>
        </w:rPr>
      </w:pPr>
    </w:p>
    <w:p w:rsidR="0067631E" w:rsidRPr="00AD3B49" w:rsidRDefault="0067631E" w:rsidP="0067631E">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Podaci iz </w:t>
      </w:r>
      <w:r w:rsidRPr="00AD3B49">
        <w:rPr>
          <w:rFonts w:ascii="Times New Roman" w:hAnsi="Times New Roman" w:cs="Times New Roman"/>
          <w:iCs/>
          <w:sz w:val="22"/>
          <w:szCs w:val="22"/>
          <w:lang w:val="sr-Latn-ME"/>
        </w:rPr>
        <w:t xml:space="preserve">otvorenog produženog </w:t>
      </w:r>
      <w:r w:rsidRPr="00AD3B49">
        <w:rPr>
          <w:rFonts w:ascii="Times New Roman" w:hAnsi="Times New Roman" w:cs="Times New Roman"/>
          <w:sz w:val="22"/>
          <w:szCs w:val="22"/>
          <w:lang w:val="sr-Latn-ME"/>
        </w:rPr>
        <w:t xml:space="preserve">dijela RA ispitivanja III pokazuju da je smanjenje stepena strukturnog oštećenja kod određenog dijela </w:t>
      </w:r>
      <w:r w:rsidRPr="00AD3B49">
        <w:rPr>
          <w:rFonts w:ascii="Times New Roman" w:hAnsi="Times New Roman" w:cs="Times New Roman"/>
          <w:color w:val="auto"/>
          <w:sz w:val="22"/>
          <w:szCs w:val="22"/>
          <w:lang w:val="sr-Latn-ME"/>
        </w:rPr>
        <w:t>pacijenata</w:t>
      </w:r>
      <w:r w:rsidRPr="00AD3B49">
        <w:rPr>
          <w:rFonts w:ascii="Times New Roman" w:hAnsi="Times New Roman" w:cs="Times New Roman"/>
          <w:sz w:val="22"/>
          <w:szCs w:val="22"/>
          <w:lang w:val="sr-Latn-ME"/>
        </w:rPr>
        <w:t xml:space="preserve"> održano kroz 8-10 godina. Među pacijentima koji su uzimali lijek Humira 40 mg svake druge nedjelje (njih 81 od 207) učinjena je radiografska kontrola nakon 8 godina. Njih 48 nije imalo znakove progresije strukturnog oštećenja, definisane kao promjena TSS jednaka 0.5 ili manje.</w:t>
      </w:r>
      <w:r w:rsidRPr="00AD3B49">
        <w:rPr>
          <w:sz w:val="22"/>
          <w:szCs w:val="22"/>
          <w:lang w:val="sr-Latn-ME"/>
        </w:rPr>
        <w:t xml:space="preserve"> </w:t>
      </w:r>
      <w:r w:rsidRPr="00AD3B49">
        <w:rPr>
          <w:rFonts w:ascii="Times New Roman" w:hAnsi="Times New Roman" w:cs="Times New Roman"/>
          <w:sz w:val="22"/>
          <w:szCs w:val="22"/>
          <w:lang w:val="sr-Latn-ME"/>
        </w:rPr>
        <w:t xml:space="preserve">Među </w:t>
      </w:r>
      <w:r w:rsidRPr="00AD3B49">
        <w:rPr>
          <w:rFonts w:ascii="Times New Roman" w:hAnsi="Times New Roman" w:cs="Times New Roman"/>
          <w:color w:val="auto"/>
          <w:sz w:val="22"/>
          <w:szCs w:val="22"/>
          <w:lang w:val="sr-Latn-ME"/>
        </w:rPr>
        <w:t>pacijenatima</w:t>
      </w:r>
      <w:r w:rsidRPr="00AD3B49">
        <w:rPr>
          <w:rFonts w:ascii="Times New Roman" w:hAnsi="Times New Roman" w:cs="Times New Roman"/>
          <w:sz w:val="22"/>
          <w:szCs w:val="22"/>
          <w:lang w:val="sr-Latn-ME"/>
        </w:rPr>
        <w:t xml:space="preserve"> koji su uzimali lijek Humira 40 mg svake druge nedjelje (njih 79 od 207) učinjena je radiografska kontrola nakon 10 godina. Njih 40 nije imalo znakove progresije strukturnog oštećenja, definisane kao promjena TSS jednaka 0.5 ili manje.</w:t>
      </w:r>
    </w:p>
    <w:p w:rsidR="00D74125" w:rsidRPr="00AD3B49" w:rsidRDefault="00D74125" w:rsidP="003D3610">
      <w:pPr>
        <w:pStyle w:val="Default"/>
        <w:jc w:val="both"/>
        <w:rPr>
          <w:rFonts w:ascii="Times New Roman" w:hAnsi="Times New Roman" w:cs="Times New Roman"/>
          <w:color w:val="auto"/>
          <w:sz w:val="22"/>
          <w:szCs w:val="22"/>
          <w:lang w:val="sr-Latn-ME"/>
        </w:rPr>
      </w:pPr>
    </w:p>
    <w:p w:rsidR="003D3610" w:rsidRPr="00AD3B49" w:rsidRDefault="003D3610" w:rsidP="006B0826">
      <w:pPr>
        <w:pStyle w:val="Default"/>
        <w:ind w:left="567" w:hanging="567"/>
        <w:jc w:val="center"/>
        <w:rPr>
          <w:rFonts w:ascii="Times New Roman" w:hAnsi="Times New Roman" w:cs="Times New Roman"/>
          <w:b/>
          <w:bCs/>
          <w:color w:val="auto"/>
          <w:sz w:val="22"/>
          <w:szCs w:val="22"/>
          <w:lang w:val="sr-Latn-ME"/>
        </w:rPr>
      </w:pPr>
      <w:r w:rsidRPr="00AD3B49">
        <w:rPr>
          <w:rFonts w:ascii="Times New Roman" w:hAnsi="Times New Roman" w:cs="Times New Roman"/>
          <w:b/>
          <w:bCs/>
          <w:color w:val="auto"/>
          <w:sz w:val="22"/>
          <w:szCs w:val="22"/>
          <w:lang w:val="sr-Latn-ME"/>
        </w:rPr>
        <w:t>Tabela 5. Radiološke promjene tokom 12 mjeseci u RA ispitivanju III</w:t>
      </w:r>
    </w:p>
    <w:p w:rsidR="0067631E" w:rsidRPr="00AD3B49" w:rsidRDefault="0067631E" w:rsidP="006B0826">
      <w:pPr>
        <w:pStyle w:val="Default"/>
        <w:ind w:left="567" w:hanging="567"/>
        <w:jc w:val="center"/>
        <w:rPr>
          <w:rFonts w:ascii="Times New Roman" w:hAnsi="Times New Roman" w:cs="Times New Roman"/>
          <w:color w:val="auto"/>
          <w:sz w:val="22"/>
          <w:szCs w:val="22"/>
          <w:lang w:val="sr-Latn-ME"/>
        </w:rPr>
      </w:pPr>
    </w:p>
    <w:p w:rsidR="003D3610" w:rsidRPr="00AD3B49" w:rsidRDefault="003D3610" w:rsidP="003D3610">
      <w:pPr>
        <w:pStyle w:val="Default"/>
        <w:ind w:left="567" w:hanging="567"/>
        <w:rPr>
          <w:rFonts w:ascii="Times New Roman" w:hAnsi="Times New Roman" w:cs="Times New Roman"/>
          <w:color w:val="auto"/>
          <w:sz w:val="10"/>
          <w:szCs w:val="10"/>
          <w:lang w:val="sr-Latn-ME"/>
        </w:rPr>
      </w:pPr>
      <w:r w:rsidRPr="00AD3B49">
        <w:rPr>
          <w:rFonts w:ascii="Times New Roman" w:hAnsi="Times New Roman" w:cs="Times New Roman"/>
          <w:color w:val="auto"/>
          <w:sz w:val="22"/>
          <w:szCs w:val="22"/>
          <w:lang w:val="sr-Latn-ME"/>
        </w:rPr>
        <w:t xml:space="preserve"> </w:t>
      </w:r>
    </w:p>
    <w:tbl>
      <w:tblPr>
        <w:tblW w:w="9356" w:type="dxa"/>
        <w:tblInd w:w="250" w:type="dxa"/>
        <w:tblLayout w:type="fixed"/>
        <w:tblLook w:val="0000" w:firstRow="0" w:lastRow="0" w:firstColumn="0" w:lastColumn="0" w:noHBand="0" w:noVBand="0"/>
      </w:tblPr>
      <w:tblGrid>
        <w:gridCol w:w="2693"/>
        <w:gridCol w:w="1276"/>
        <w:gridCol w:w="1701"/>
        <w:gridCol w:w="2410"/>
        <w:gridCol w:w="1276"/>
      </w:tblGrid>
      <w:tr w:rsidR="003D3610" w:rsidRPr="00AD3B49" w:rsidTr="00DD5431">
        <w:trPr>
          <w:trHeight w:val="755"/>
        </w:trPr>
        <w:tc>
          <w:tcPr>
            <w:tcW w:w="2693"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 </w:t>
            </w:r>
          </w:p>
        </w:tc>
        <w:tc>
          <w:tcPr>
            <w:tcW w:w="1276"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Placebo/ MTX</w:t>
            </w:r>
            <w:r w:rsidRPr="00AD3B49">
              <w:rPr>
                <w:rFonts w:ascii="Times New Roman" w:hAnsi="Times New Roman" w:cs="Times New Roman"/>
                <w:color w:val="auto"/>
                <w:position w:val="8"/>
                <w:sz w:val="20"/>
                <w:szCs w:val="20"/>
                <w:vertAlign w:val="superscript"/>
                <w:lang w:val="sr-Latn-ME"/>
              </w:rPr>
              <w:t>a</w:t>
            </w:r>
          </w:p>
        </w:tc>
        <w:tc>
          <w:tcPr>
            <w:tcW w:w="1701"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Humira/MTX </w:t>
            </w:r>
          </w:p>
          <w:p w:rsidR="003D3610" w:rsidRPr="00AD3B49" w:rsidRDefault="003D3610" w:rsidP="00DD5431">
            <w:pPr>
              <w:pStyle w:val="Default"/>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40 mg svake dvije </w:t>
            </w:r>
            <w:r w:rsidR="000B016F" w:rsidRPr="00AD3B49">
              <w:rPr>
                <w:rFonts w:ascii="Times New Roman" w:hAnsi="Times New Roman" w:cs="Times New Roman"/>
                <w:color w:val="auto"/>
                <w:sz w:val="20"/>
                <w:szCs w:val="20"/>
                <w:lang w:val="sr-Latn-ME"/>
              </w:rPr>
              <w:t>nedjelje</w:t>
            </w:r>
            <w:r w:rsidRPr="00AD3B49">
              <w:rPr>
                <w:rFonts w:ascii="Times New Roman" w:hAnsi="Times New Roman" w:cs="Times New Roman"/>
                <w:color w:val="auto"/>
                <w:sz w:val="20"/>
                <w:szCs w:val="20"/>
                <w:lang w:val="sr-Latn-ME"/>
              </w:rPr>
              <w:t xml:space="preserve"> </w:t>
            </w:r>
          </w:p>
        </w:tc>
        <w:tc>
          <w:tcPr>
            <w:tcW w:w="2410"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Placebo/MTX - Humira/MTX </w:t>
            </w:r>
          </w:p>
          <w:p w:rsidR="003D3610" w:rsidRPr="00AD3B49" w:rsidRDefault="003D3610" w:rsidP="00DD5431">
            <w:pPr>
              <w:pStyle w:val="Default"/>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(95 %-tni nivo pouzdanosti</w:t>
            </w:r>
            <w:r w:rsidRPr="00AD3B49">
              <w:rPr>
                <w:rFonts w:ascii="Times New Roman" w:hAnsi="Times New Roman" w:cs="Times New Roman"/>
                <w:color w:val="auto"/>
                <w:position w:val="8"/>
                <w:sz w:val="20"/>
                <w:szCs w:val="20"/>
                <w:vertAlign w:val="superscript"/>
                <w:lang w:val="sr-Latn-ME"/>
              </w:rPr>
              <w:t>b</w:t>
            </w:r>
            <w:r w:rsidRPr="00AD3B49">
              <w:rPr>
                <w:rFonts w:ascii="Times New Roman" w:hAnsi="Times New Roman" w:cs="Times New Roman"/>
                <w:color w:val="auto"/>
                <w:sz w:val="20"/>
                <w:szCs w:val="20"/>
                <w:lang w:val="sr-Latn-ME"/>
              </w:rPr>
              <w:t xml:space="preserve">) </w:t>
            </w:r>
          </w:p>
        </w:tc>
        <w:tc>
          <w:tcPr>
            <w:tcW w:w="1276"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p vrijednost</w:t>
            </w:r>
          </w:p>
        </w:tc>
      </w:tr>
      <w:tr w:rsidR="003D3610" w:rsidRPr="00AD3B49" w:rsidTr="00DD5431">
        <w:trPr>
          <w:trHeight w:hRule="exact" w:val="397"/>
        </w:trPr>
        <w:tc>
          <w:tcPr>
            <w:tcW w:w="2693"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ukupan zbir bodova po Sharpu </w:t>
            </w:r>
          </w:p>
        </w:tc>
        <w:tc>
          <w:tcPr>
            <w:tcW w:w="1276"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2,7 </w:t>
            </w:r>
          </w:p>
        </w:tc>
        <w:tc>
          <w:tcPr>
            <w:tcW w:w="1701"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0,1 </w:t>
            </w:r>
          </w:p>
        </w:tc>
        <w:tc>
          <w:tcPr>
            <w:tcW w:w="2410"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2,6 (1,4; 3,8) </w:t>
            </w:r>
          </w:p>
        </w:tc>
        <w:tc>
          <w:tcPr>
            <w:tcW w:w="1276"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&lt; 0,001</w:t>
            </w:r>
            <w:r w:rsidRPr="00AD3B49">
              <w:rPr>
                <w:rFonts w:ascii="Times New Roman" w:hAnsi="Times New Roman" w:cs="Times New Roman"/>
                <w:color w:val="auto"/>
                <w:position w:val="8"/>
                <w:sz w:val="20"/>
                <w:szCs w:val="20"/>
                <w:vertAlign w:val="superscript"/>
                <w:lang w:val="sr-Latn-ME"/>
              </w:rPr>
              <w:t>c</w:t>
            </w:r>
          </w:p>
        </w:tc>
      </w:tr>
      <w:tr w:rsidR="003D3610" w:rsidRPr="00AD3B49" w:rsidTr="00DD5431">
        <w:trPr>
          <w:trHeight w:hRule="exact" w:val="397"/>
        </w:trPr>
        <w:tc>
          <w:tcPr>
            <w:tcW w:w="2693"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erozija </w:t>
            </w:r>
          </w:p>
        </w:tc>
        <w:tc>
          <w:tcPr>
            <w:tcW w:w="1276"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1,6 </w:t>
            </w:r>
          </w:p>
        </w:tc>
        <w:tc>
          <w:tcPr>
            <w:tcW w:w="1701"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0,0 </w:t>
            </w:r>
          </w:p>
        </w:tc>
        <w:tc>
          <w:tcPr>
            <w:tcW w:w="2410"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1,6 (0,9; 2,2) </w:t>
            </w:r>
          </w:p>
        </w:tc>
        <w:tc>
          <w:tcPr>
            <w:tcW w:w="1276"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&lt; 0,001 </w:t>
            </w:r>
          </w:p>
        </w:tc>
      </w:tr>
      <w:tr w:rsidR="003D3610" w:rsidRPr="00AD3B49" w:rsidTr="00DD5431">
        <w:trPr>
          <w:trHeight w:hRule="exact" w:val="397"/>
        </w:trPr>
        <w:tc>
          <w:tcPr>
            <w:tcW w:w="2693"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JSN zbir</w:t>
            </w:r>
            <w:r w:rsidRPr="00AD3B49">
              <w:rPr>
                <w:rFonts w:ascii="Times New Roman" w:hAnsi="Times New Roman" w:cs="Times New Roman"/>
                <w:color w:val="auto"/>
                <w:sz w:val="20"/>
                <w:szCs w:val="20"/>
                <w:vertAlign w:val="superscript"/>
                <w:lang w:val="sr-Latn-ME"/>
              </w:rPr>
              <w:t>d</w:t>
            </w:r>
            <w:r w:rsidRPr="00AD3B49">
              <w:rPr>
                <w:rFonts w:ascii="Times New Roman" w:hAnsi="Times New Roman" w:cs="Times New Roman"/>
                <w:color w:val="auto"/>
                <w:sz w:val="20"/>
                <w:szCs w:val="20"/>
                <w:lang w:val="sr-Latn-ME"/>
              </w:rPr>
              <w:t xml:space="preserve"> </w:t>
            </w:r>
          </w:p>
        </w:tc>
        <w:tc>
          <w:tcPr>
            <w:tcW w:w="1276"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1,0 </w:t>
            </w:r>
          </w:p>
        </w:tc>
        <w:tc>
          <w:tcPr>
            <w:tcW w:w="1701"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0,1 </w:t>
            </w:r>
          </w:p>
        </w:tc>
        <w:tc>
          <w:tcPr>
            <w:tcW w:w="2410"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0,9 (0,3; 1,4) </w:t>
            </w:r>
          </w:p>
        </w:tc>
        <w:tc>
          <w:tcPr>
            <w:tcW w:w="1276"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0,002 </w:t>
            </w:r>
          </w:p>
        </w:tc>
      </w:tr>
    </w:tbl>
    <w:p w:rsidR="003D3610" w:rsidRPr="00AD3B49" w:rsidRDefault="003D3610" w:rsidP="003D3610">
      <w:pPr>
        <w:pStyle w:val="Default"/>
        <w:ind w:left="126"/>
        <w:jc w:val="both"/>
        <w:rPr>
          <w:rFonts w:ascii="Times New Roman" w:hAnsi="Times New Roman" w:cs="Times New Roman"/>
          <w:color w:val="auto"/>
          <w:sz w:val="18"/>
          <w:szCs w:val="18"/>
          <w:lang w:val="sr-Latn-ME"/>
        </w:rPr>
      </w:pPr>
      <w:r w:rsidRPr="00AD3B49">
        <w:rPr>
          <w:rFonts w:ascii="Times New Roman" w:hAnsi="Times New Roman" w:cs="Times New Roman"/>
          <w:color w:val="auto"/>
          <w:position w:val="8"/>
          <w:sz w:val="18"/>
          <w:szCs w:val="18"/>
          <w:vertAlign w:val="superscript"/>
          <w:lang w:val="sr-Latn-ME"/>
        </w:rPr>
        <w:t>a</w:t>
      </w:r>
      <w:r w:rsidRPr="00AD3B49">
        <w:rPr>
          <w:rFonts w:ascii="Times New Roman" w:hAnsi="Times New Roman" w:cs="Times New Roman"/>
          <w:color w:val="auto"/>
          <w:sz w:val="18"/>
          <w:szCs w:val="18"/>
          <w:lang w:val="sr-Latn-ME"/>
        </w:rPr>
        <w:t>metotreksat</w:t>
      </w:r>
    </w:p>
    <w:p w:rsidR="003D3610" w:rsidRPr="00AD3B49" w:rsidRDefault="003D3610" w:rsidP="003D3610">
      <w:pPr>
        <w:pStyle w:val="Default"/>
        <w:ind w:left="126"/>
        <w:jc w:val="both"/>
        <w:rPr>
          <w:rFonts w:ascii="Times New Roman" w:hAnsi="Times New Roman" w:cs="Times New Roman"/>
          <w:color w:val="auto"/>
          <w:sz w:val="18"/>
          <w:szCs w:val="18"/>
          <w:lang w:val="sr-Latn-ME"/>
        </w:rPr>
      </w:pPr>
      <w:r w:rsidRPr="00AD3B49">
        <w:rPr>
          <w:rFonts w:ascii="Times New Roman" w:hAnsi="Times New Roman" w:cs="Times New Roman"/>
          <w:color w:val="auto"/>
          <w:position w:val="8"/>
          <w:sz w:val="18"/>
          <w:szCs w:val="18"/>
          <w:vertAlign w:val="superscript"/>
          <w:lang w:val="sr-Latn-ME"/>
        </w:rPr>
        <w:t>b</w:t>
      </w:r>
      <w:r w:rsidRPr="00AD3B49">
        <w:rPr>
          <w:rFonts w:ascii="Times New Roman" w:hAnsi="Times New Roman" w:cs="Times New Roman"/>
          <w:color w:val="auto"/>
          <w:sz w:val="18"/>
          <w:szCs w:val="18"/>
          <w:lang w:val="sr-Latn-ME"/>
        </w:rPr>
        <w:t xml:space="preserve">razlike između metotreksata i </w:t>
      </w:r>
      <w:r w:rsidR="0082613A" w:rsidRPr="00AD3B49">
        <w:rPr>
          <w:rFonts w:ascii="Times New Roman" w:hAnsi="Times New Roman" w:cs="Times New Roman"/>
          <w:color w:val="auto"/>
          <w:sz w:val="18"/>
          <w:szCs w:val="18"/>
          <w:lang w:val="sr-Latn-ME"/>
        </w:rPr>
        <w:t xml:space="preserve">lijeka </w:t>
      </w:r>
      <w:r w:rsidRPr="00AD3B49">
        <w:rPr>
          <w:rFonts w:ascii="Times New Roman" w:hAnsi="Times New Roman" w:cs="Times New Roman"/>
          <w:color w:val="auto"/>
          <w:sz w:val="18"/>
          <w:szCs w:val="18"/>
          <w:lang w:val="sr-Latn-ME"/>
        </w:rPr>
        <w:t>Humir</w:t>
      </w:r>
      <w:r w:rsidR="0082613A" w:rsidRPr="00AD3B49">
        <w:rPr>
          <w:rFonts w:ascii="Times New Roman" w:hAnsi="Times New Roman" w:cs="Times New Roman"/>
          <w:color w:val="auto"/>
          <w:sz w:val="18"/>
          <w:szCs w:val="18"/>
          <w:lang w:val="sr-Latn-ME"/>
        </w:rPr>
        <w:t>a</w:t>
      </w:r>
      <w:r w:rsidRPr="00AD3B49">
        <w:rPr>
          <w:rFonts w:ascii="Times New Roman" w:hAnsi="Times New Roman" w:cs="Times New Roman"/>
          <w:color w:val="auto"/>
          <w:sz w:val="18"/>
          <w:szCs w:val="18"/>
          <w:lang w:val="sr-Latn-ME"/>
        </w:rPr>
        <w:t xml:space="preserve"> s obzirom na promjene ukupnog zbira bodova na nivou pouzdanosti od 95 %</w:t>
      </w:r>
    </w:p>
    <w:p w:rsidR="003D3610" w:rsidRPr="00AD3B49" w:rsidRDefault="003D3610" w:rsidP="003D3610">
      <w:pPr>
        <w:pStyle w:val="Default"/>
        <w:ind w:left="126"/>
        <w:jc w:val="both"/>
        <w:rPr>
          <w:rFonts w:ascii="Times New Roman" w:hAnsi="Times New Roman" w:cs="Times New Roman"/>
          <w:color w:val="auto"/>
          <w:sz w:val="18"/>
          <w:szCs w:val="18"/>
          <w:lang w:val="sr-Latn-ME"/>
        </w:rPr>
      </w:pPr>
      <w:r w:rsidRPr="00AD3B49">
        <w:rPr>
          <w:rFonts w:ascii="Times New Roman" w:hAnsi="Times New Roman" w:cs="Times New Roman"/>
          <w:color w:val="auto"/>
          <w:position w:val="8"/>
          <w:sz w:val="18"/>
          <w:szCs w:val="18"/>
          <w:vertAlign w:val="superscript"/>
          <w:lang w:val="sr-Latn-ME"/>
        </w:rPr>
        <w:t>c</w:t>
      </w:r>
      <w:r w:rsidRPr="00AD3B49">
        <w:rPr>
          <w:rFonts w:ascii="Times New Roman" w:hAnsi="Times New Roman" w:cs="Times New Roman"/>
          <w:color w:val="auto"/>
          <w:sz w:val="18"/>
          <w:szCs w:val="18"/>
          <w:lang w:val="sr-Latn-ME"/>
        </w:rPr>
        <w:t>na osnovi analize ranga</w:t>
      </w:r>
    </w:p>
    <w:p w:rsidR="003D3610" w:rsidRPr="00AD3B49" w:rsidRDefault="003D3610" w:rsidP="003D3610">
      <w:pPr>
        <w:pStyle w:val="Default"/>
        <w:ind w:left="126"/>
        <w:jc w:val="both"/>
        <w:rPr>
          <w:rFonts w:ascii="Times New Roman" w:hAnsi="Times New Roman" w:cs="Times New Roman"/>
          <w:color w:val="auto"/>
          <w:sz w:val="18"/>
          <w:szCs w:val="18"/>
          <w:lang w:val="sr-Latn-ME"/>
        </w:rPr>
      </w:pPr>
      <w:r w:rsidRPr="00AD3B49">
        <w:rPr>
          <w:rFonts w:ascii="Times New Roman" w:hAnsi="Times New Roman" w:cs="Times New Roman"/>
          <w:color w:val="auto"/>
          <w:sz w:val="18"/>
          <w:szCs w:val="18"/>
          <w:vertAlign w:val="superscript"/>
          <w:lang w:val="sr-Latn-ME"/>
        </w:rPr>
        <w:t xml:space="preserve">d </w:t>
      </w:r>
      <w:r w:rsidRPr="00AD3B49">
        <w:rPr>
          <w:rFonts w:ascii="Times New Roman" w:hAnsi="Times New Roman" w:cs="Times New Roman"/>
          <w:color w:val="auto"/>
          <w:sz w:val="18"/>
          <w:szCs w:val="18"/>
          <w:lang w:val="sr-Latn-ME"/>
        </w:rPr>
        <w:t>suženje zglobnih prostora</w:t>
      </w:r>
    </w:p>
    <w:p w:rsidR="003D3610" w:rsidRPr="00AD3B49" w:rsidRDefault="003D3610" w:rsidP="003D3610">
      <w:pPr>
        <w:pStyle w:val="Default"/>
        <w:ind w:left="567" w:hanging="567"/>
        <w:jc w:val="both"/>
        <w:rPr>
          <w:rFonts w:ascii="Times New Roman" w:hAnsi="Times New Roman" w:cs="Times New Roman"/>
          <w:color w:val="auto"/>
          <w:sz w:val="22"/>
          <w:szCs w:val="22"/>
          <w:lang w:val="sr-Latn-ME"/>
        </w:rPr>
      </w:pPr>
    </w:p>
    <w:p w:rsidR="003D3610" w:rsidRPr="00AD3B49" w:rsidRDefault="003D3610"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U RA ispitivanju V, strukturno oštećenje zglobova procjenjivano je radiološki, a stepen oštećenja izražen je promjenom ukupnog zbira bodova po Sharpu (Tabela 6).</w:t>
      </w:r>
    </w:p>
    <w:p w:rsidR="003D3610" w:rsidRPr="00AD3B49" w:rsidRDefault="003D3610" w:rsidP="003D3610">
      <w:pPr>
        <w:pStyle w:val="Default"/>
        <w:ind w:left="567" w:hanging="567"/>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A801D9" w:rsidRDefault="00A801D9" w:rsidP="006B0826">
      <w:pPr>
        <w:pStyle w:val="Default"/>
        <w:ind w:left="567" w:hanging="567"/>
        <w:jc w:val="center"/>
        <w:rPr>
          <w:rFonts w:ascii="Times New Roman" w:hAnsi="Times New Roman" w:cs="Times New Roman"/>
          <w:b/>
          <w:bCs/>
          <w:color w:val="auto"/>
          <w:sz w:val="22"/>
          <w:szCs w:val="22"/>
          <w:lang w:val="sr-Latn-ME"/>
        </w:rPr>
      </w:pPr>
    </w:p>
    <w:p w:rsidR="00A801D9" w:rsidRDefault="00A801D9" w:rsidP="006B0826">
      <w:pPr>
        <w:pStyle w:val="Default"/>
        <w:ind w:left="567" w:hanging="567"/>
        <w:jc w:val="center"/>
        <w:rPr>
          <w:rFonts w:ascii="Times New Roman" w:hAnsi="Times New Roman" w:cs="Times New Roman"/>
          <w:b/>
          <w:bCs/>
          <w:color w:val="auto"/>
          <w:sz w:val="22"/>
          <w:szCs w:val="22"/>
          <w:lang w:val="sr-Latn-ME"/>
        </w:rPr>
      </w:pPr>
    </w:p>
    <w:p w:rsidR="00A801D9" w:rsidRDefault="00A801D9" w:rsidP="006B0826">
      <w:pPr>
        <w:pStyle w:val="Default"/>
        <w:ind w:left="567" w:hanging="567"/>
        <w:jc w:val="center"/>
        <w:rPr>
          <w:rFonts w:ascii="Times New Roman" w:hAnsi="Times New Roman" w:cs="Times New Roman"/>
          <w:b/>
          <w:bCs/>
          <w:color w:val="auto"/>
          <w:sz w:val="22"/>
          <w:szCs w:val="22"/>
          <w:lang w:val="sr-Latn-ME"/>
        </w:rPr>
      </w:pPr>
    </w:p>
    <w:p w:rsidR="003D3610" w:rsidRPr="00AD3B49" w:rsidRDefault="003D3610" w:rsidP="006B0826">
      <w:pPr>
        <w:pStyle w:val="Default"/>
        <w:ind w:left="567" w:hanging="567"/>
        <w:jc w:val="center"/>
        <w:rPr>
          <w:rFonts w:ascii="Times New Roman" w:hAnsi="Times New Roman" w:cs="Times New Roman"/>
          <w:b/>
          <w:bCs/>
          <w:color w:val="auto"/>
          <w:sz w:val="22"/>
          <w:szCs w:val="22"/>
          <w:lang w:val="sr-Latn-ME"/>
        </w:rPr>
      </w:pPr>
      <w:r w:rsidRPr="00AD3B49">
        <w:rPr>
          <w:rFonts w:ascii="Times New Roman" w:hAnsi="Times New Roman" w:cs="Times New Roman"/>
          <w:b/>
          <w:bCs/>
          <w:color w:val="auto"/>
          <w:sz w:val="22"/>
          <w:szCs w:val="22"/>
          <w:lang w:val="sr-Latn-ME"/>
        </w:rPr>
        <w:lastRenderedPageBreak/>
        <w:t>Tabela 6.</w:t>
      </w:r>
    </w:p>
    <w:p w:rsidR="003D3610" w:rsidRPr="00AD3B49" w:rsidRDefault="003D3610" w:rsidP="00A801D9">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b/>
          <w:bCs/>
          <w:color w:val="auto"/>
          <w:sz w:val="22"/>
          <w:szCs w:val="22"/>
          <w:lang w:val="sr-Latn-ME"/>
        </w:rPr>
        <w:t xml:space="preserve">Radiološke promjene nakon 52 </w:t>
      </w:r>
      <w:r w:rsidR="000B016F" w:rsidRPr="00AD3B49">
        <w:rPr>
          <w:rFonts w:ascii="Times New Roman" w:hAnsi="Times New Roman" w:cs="Times New Roman"/>
          <w:b/>
          <w:bCs/>
          <w:color w:val="auto"/>
          <w:sz w:val="22"/>
          <w:szCs w:val="22"/>
          <w:lang w:val="sr-Latn-ME"/>
        </w:rPr>
        <w:t>nedjelje</w:t>
      </w:r>
      <w:r w:rsidRPr="00AD3B49">
        <w:rPr>
          <w:rFonts w:ascii="Times New Roman" w:hAnsi="Times New Roman" w:cs="Times New Roman"/>
          <w:b/>
          <w:bCs/>
          <w:color w:val="auto"/>
          <w:sz w:val="22"/>
          <w:szCs w:val="22"/>
          <w:lang w:val="sr-Latn-ME"/>
        </w:rPr>
        <w:t xml:space="preserve"> u RA ispitivanju V</w:t>
      </w:r>
      <w:r w:rsidRPr="00AD3B49">
        <w:rPr>
          <w:rFonts w:ascii="Times New Roman" w:hAnsi="Times New Roman" w:cs="Times New Roman"/>
          <w:color w:val="auto"/>
          <w:sz w:val="22"/>
          <w:szCs w:val="22"/>
          <w:lang w:val="sr-Latn-ME"/>
        </w:rPr>
        <w:t xml:space="preserve"> </w:t>
      </w:r>
    </w:p>
    <w:tbl>
      <w:tblPr>
        <w:tblW w:w="0" w:type="auto"/>
        <w:tblInd w:w="-34" w:type="dxa"/>
        <w:tblLook w:val="0000" w:firstRow="0" w:lastRow="0" w:firstColumn="0" w:lastColumn="0" w:noHBand="0" w:noVBand="0"/>
      </w:tblPr>
      <w:tblGrid>
        <w:gridCol w:w="1641"/>
        <w:gridCol w:w="1708"/>
        <w:gridCol w:w="1708"/>
        <w:gridCol w:w="1785"/>
        <w:gridCol w:w="836"/>
        <w:gridCol w:w="821"/>
        <w:gridCol w:w="836"/>
      </w:tblGrid>
      <w:tr w:rsidR="003D3610" w:rsidRPr="00AD3B49" w:rsidTr="00DD5431">
        <w:trPr>
          <w:trHeight w:val="902"/>
        </w:trPr>
        <w:tc>
          <w:tcPr>
            <w:tcW w:w="1640"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567" w:hanging="567"/>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MTX </w:t>
            </w:r>
          </w:p>
          <w:p w:rsidR="003D3610" w:rsidRPr="00AD3B49" w:rsidRDefault="003D3610" w:rsidP="00DD5431">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n=257 </w:t>
            </w:r>
          </w:p>
          <w:p w:rsidR="003D3610" w:rsidRPr="00AD3B49" w:rsidRDefault="003D3610" w:rsidP="00DD5431">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(95 %-tni nivo pouzdanosti) </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Humira </w:t>
            </w:r>
          </w:p>
          <w:p w:rsidR="003D3610" w:rsidRPr="00AD3B49" w:rsidRDefault="003D3610" w:rsidP="00DD5431">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n=274 </w:t>
            </w:r>
          </w:p>
          <w:p w:rsidR="003D3610" w:rsidRPr="00AD3B49" w:rsidRDefault="003D3610" w:rsidP="00DD5431">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(95 %-tni nivo pouzdanosti) </w:t>
            </w:r>
          </w:p>
        </w:tc>
        <w:tc>
          <w:tcPr>
            <w:tcW w:w="1785"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Humira/MTX </w:t>
            </w:r>
          </w:p>
          <w:p w:rsidR="003D3610" w:rsidRPr="00AD3B49" w:rsidRDefault="003D3610" w:rsidP="00DD5431">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n=268 </w:t>
            </w:r>
          </w:p>
          <w:p w:rsidR="003D3610" w:rsidRPr="00AD3B49" w:rsidRDefault="003D3610" w:rsidP="00DD5431">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(95 %-tni nivo pouzdanosti) </w:t>
            </w:r>
          </w:p>
        </w:tc>
        <w:tc>
          <w:tcPr>
            <w:tcW w:w="836"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b/>
                <w:bCs/>
                <w:color w:val="auto"/>
                <w:sz w:val="22"/>
                <w:szCs w:val="22"/>
                <w:lang w:val="sr-Latn-ME"/>
              </w:rPr>
              <w:t>p</w:t>
            </w:r>
            <w:r w:rsidRPr="00AD3B49">
              <w:rPr>
                <w:rFonts w:ascii="Times New Roman" w:hAnsi="Times New Roman" w:cs="Times New Roman"/>
                <w:b/>
                <w:bCs/>
                <w:color w:val="auto"/>
                <w:position w:val="8"/>
                <w:sz w:val="22"/>
                <w:szCs w:val="22"/>
                <w:vertAlign w:val="superscript"/>
                <w:lang w:val="sr-Latn-ME"/>
              </w:rPr>
              <w:t>a</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b/>
                <w:bCs/>
                <w:color w:val="auto"/>
                <w:sz w:val="22"/>
                <w:szCs w:val="22"/>
                <w:lang w:val="sr-Latn-ME"/>
              </w:rPr>
              <w:t>p</w:t>
            </w:r>
            <w:r w:rsidRPr="00AD3B49">
              <w:rPr>
                <w:rFonts w:ascii="Times New Roman" w:hAnsi="Times New Roman" w:cs="Times New Roman"/>
                <w:b/>
                <w:bCs/>
                <w:color w:val="auto"/>
                <w:position w:val="8"/>
                <w:sz w:val="22"/>
                <w:szCs w:val="22"/>
                <w:vertAlign w:val="superscript"/>
                <w:lang w:val="sr-Latn-ME"/>
              </w:rPr>
              <w:t>b</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b/>
                <w:bCs/>
                <w:color w:val="auto"/>
                <w:sz w:val="22"/>
                <w:szCs w:val="22"/>
                <w:lang w:val="sr-Latn-ME"/>
              </w:rPr>
              <w:t>p</w:t>
            </w:r>
            <w:r w:rsidRPr="00AD3B49">
              <w:rPr>
                <w:rFonts w:ascii="Times New Roman" w:hAnsi="Times New Roman" w:cs="Times New Roman"/>
                <w:b/>
                <w:bCs/>
                <w:color w:val="auto"/>
                <w:position w:val="8"/>
                <w:sz w:val="22"/>
                <w:szCs w:val="22"/>
                <w:vertAlign w:val="superscript"/>
                <w:lang w:val="sr-Latn-ME"/>
              </w:rPr>
              <w:t>c</w:t>
            </w:r>
          </w:p>
        </w:tc>
      </w:tr>
      <w:tr w:rsidR="003D3610" w:rsidRPr="00AD3B49" w:rsidTr="00DD5431">
        <w:trPr>
          <w:trHeight w:val="957"/>
        </w:trPr>
        <w:tc>
          <w:tcPr>
            <w:tcW w:w="1640"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ukupan zbir bodova po Sharpu </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5,7 (4,2 – 7,3) </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3,0 (1,7 – 4,3) </w:t>
            </w:r>
          </w:p>
        </w:tc>
        <w:tc>
          <w:tcPr>
            <w:tcW w:w="1785"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1,3 (0,5 – 2,1) </w:t>
            </w:r>
          </w:p>
        </w:tc>
        <w:tc>
          <w:tcPr>
            <w:tcW w:w="836"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&lt;0,001 </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0,0020 </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21" w:firstLine="21"/>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&lt;0,001 </w:t>
            </w:r>
          </w:p>
        </w:tc>
      </w:tr>
      <w:tr w:rsidR="003D3610" w:rsidRPr="00AD3B49" w:rsidTr="00DD5431">
        <w:trPr>
          <w:trHeight w:val="278"/>
        </w:trPr>
        <w:tc>
          <w:tcPr>
            <w:tcW w:w="1640"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erozija </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3,7 (2,7 – 4,7) </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1,7 (1,0 – 2,4) </w:t>
            </w:r>
          </w:p>
        </w:tc>
        <w:tc>
          <w:tcPr>
            <w:tcW w:w="1785"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0,8 (0,4 – 1,2) </w:t>
            </w:r>
          </w:p>
        </w:tc>
        <w:tc>
          <w:tcPr>
            <w:tcW w:w="836"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&lt;0,001</w:t>
            </w:r>
            <w:r w:rsidRPr="00AD3B49">
              <w:rPr>
                <w:rFonts w:ascii="Times New Roman" w:hAnsi="Times New Roman" w:cs="Times New Roman"/>
                <w:b/>
                <w:bCs/>
                <w:color w:val="auto"/>
                <w:sz w:val="22"/>
                <w:szCs w:val="22"/>
                <w:lang w:val="sr-Latn-ME"/>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0,0082 </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&lt;0,001 </w:t>
            </w:r>
          </w:p>
        </w:tc>
      </w:tr>
      <w:tr w:rsidR="003D3610" w:rsidRPr="00AD3B49" w:rsidTr="00DD5431">
        <w:trPr>
          <w:trHeight w:val="727"/>
        </w:trPr>
        <w:tc>
          <w:tcPr>
            <w:tcW w:w="1640"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JSN zbir</w:t>
            </w:r>
            <w:r w:rsidRPr="00AD3B49">
              <w:rPr>
                <w:rFonts w:ascii="Times New Roman" w:hAnsi="Times New Roman" w:cs="Times New Roman"/>
                <w:color w:val="auto"/>
                <w:sz w:val="22"/>
                <w:szCs w:val="22"/>
                <w:vertAlign w:val="superscript"/>
                <w:lang w:val="sr-Latn-ME"/>
              </w:rPr>
              <w:t>d</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2,0 (1,2 – 2,8) </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1,3 (0,5 – 2,1) </w:t>
            </w:r>
          </w:p>
        </w:tc>
        <w:tc>
          <w:tcPr>
            <w:tcW w:w="1785"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0,5 (0 – 1,0) </w:t>
            </w:r>
          </w:p>
        </w:tc>
        <w:tc>
          <w:tcPr>
            <w:tcW w:w="836" w:type="dxa"/>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&lt;0,001</w:t>
            </w:r>
            <w:r w:rsidRPr="00AD3B49">
              <w:rPr>
                <w:rFonts w:ascii="Times New Roman" w:hAnsi="Times New Roman" w:cs="Times New Roman"/>
                <w:b/>
                <w:bCs/>
                <w:color w:val="auto"/>
                <w:sz w:val="22"/>
                <w:szCs w:val="22"/>
                <w:lang w:val="sr-Latn-ME"/>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0,0037 </w:t>
            </w:r>
          </w:p>
        </w:tc>
        <w:tc>
          <w:tcPr>
            <w:tcW w:w="0" w:type="auto"/>
            <w:tcBorders>
              <w:top w:val="single" w:sz="8" w:space="0" w:color="000000"/>
              <w:left w:val="single" w:sz="8" w:space="0" w:color="000000"/>
              <w:bottom w:val="single" w:sz="8" w:space="0" w:color="000000"/>
              <w:right w:val="single" w:sz="8" w:space="0" w:color="000000"/>
            </w:tcBorders>
          </w:tcPr>
          <w:p w:rsidR="003D3610" w:rsidRPr="00AD3B49" w:rsidRDefault="003D3610" w:rsidP="00DD5431">
            <w:pPr>
              <w:pStyle w:val="Default"/>
              <w:ind w:left="34" w:hanging="34"/>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0,151 </w:t>
            </w:r>
          </w:p>
        </w:tc>
      </w:tr>
    </w:tbl>
    <w:p w:rsidR="003D3610" w:rsidRPr="00AD3B49" w:rsidRDefault="003D3610" w:rsidP="003D3610">
      <w:pPr>
        <w:pStyle w:val="Default"/>
        <w:pBdr>
          <w:top w:val="single" w:sz="4" w:space="1" w:color="auto"/>
          <w:left w:val="single" w:sz="4" w:space="6" w:color="auto"/>
          <w:bottom w:val="single" w:sz="4" w:space="1" w:color="auto"/>
          <w:right w:val="single" w:sz="4" w:space="4" w:color="auto"/>
        </w:pBdr>
        <w:jc w:val="both"/>
        <w:rPr>
          <w:rFonts w:ascii="Times New Roman" w:hAnsi="Times New Roman" w:cs="Times New Roman"/>
          <w:color w:val="auto"/>
          <w:sz w:val="16"/>
          <w:szCs w:val="16"/>
          <w:lang w:val="sr-Latn-ME"/>
        </w:rPr>
      </w:pPr>
      <w:r w:rsidRPr="00AD3B49">
        <w:rPr>
          <w:rFonts w:ascii="Times New Roman" w:hAnsi="Times New Roman" w:cs="Times New Roman"/>
          <w:color w:val="auto"/>
          <w:position w:val="8"/>
          <w:sz w:val="16"/>
          <w:szCs w:val="16"/>
          <w:vertAlign w:val="superscript"/>
          <w:lang w:val="sr-Latn-ME"/>
        </w:rPr>
        <w:t>a</w:t>
      </w:r>
      <w:r w:rsidRPr="00AD3B49">
        <w:rPr>
          <w:rFonts w:ascii="Times New Roman" w:hAnsi="Times New Roman" w:cs="Times New Roman"/>
          <w:color w:val="auto"/>
          <w:sz w:val="16"/>
          <w:szCs w:val="16"/>
          <w:lang w:val="sr-Latn-ME"/>
        </w:rPr>
        <w:t xml:space="preserve">p vrijednost </w:t>
      </w:r>
      <w:r w:rsidR="005644A2" w:rsidRPr="00AD3B49">
        <w:rPr>
          <w:rFonts w:ascii="Times New Roman" w:hAnsi="Times New Roman" w:cs="Times New Roman"/>
          <w:color w:val="auto"/>
          <w:sz w:val="16"/>
          <w:szCs w:val="16"/>
          <w:lang w:val="sr-Latn-ME"/>
        </w:rPr>
        <w:t>dobijena</w:t>
      </w:r>
      <w:r w:rsidRPr="00AD3B49">
        <w:rPr>
          <w:rFonts w:ascii="Times New Roman" w:hAnsi="Times New Roman" w:cs="Times New Roman"/>
          <w:color w:val="auto"/>
          <w:sz w:val="16"/>
          <w:szCs w:val="16"/>
          <w:lang w:val="sr-Latn-ME"/>
        </w:rPr>
        <w:t xml:space="preserve"> poređenjem monoterapije metotreksatom i kombin</w:t>
      </w:r>
      <w:r w:rsidR="00BF375F" w:rsidRPr="00AD3B49">
        <w:rPr>
          <w:rFonts w:ascii="Times New Roman" w:hAnsi="Times New Roman" w:cs="Times New Roman"/>
          <w:color w:val="auto"/>
          <w:sz w:val="16"/>
          <w:szCs w:val="16"/>
          <w:lang w:val="sr-Latn-ME"/>
        </w:rPr>
        <w:t>ovane</w:t>
      </w:r>
      <w:r w:rsidRPr="00AD3B49">
        <w:rPr>
          <w:rFonts w:ascii="Times New Roman" w:hAnsi="Times New Roman" w:cs="Times New Roman"/>
          <w:color w:val="auto"/>
          <w:sz w:val="16"/>
          <w:szCs w:val="16"/>
          <w:lang w:val="sr-Latn-ME"/>
        </w:rPr>
        <w:t xml:space="preserve"> terapije </w:t>
      </w:r>
      <w:r w:rsidR="006A12EB" w:rsidRPr="00AD3B49">
        <w:rPr>
          <w:rFonts w:ascii="Times New Roman" w:hAnsi="Times New Roman" w:cs="Times New Roman"/>
          <w:color w:val="auto"/>
          <w:sz w:val="16"/>
          <w:szCs w:val="16"/>
          <w:lang w:val="sr-Latn-ME"/>
        </w:rPr>
        <w:t>lijekom</w:t>
      </w:r>
      <w:r w:rsidR="00E409B0" w:rsidRPr="00AD3B49">
        <w:rPr>
          <w:rFonts w:ascii="Times New Roman" w:hAnsi="Times New Roman" w:cs="Times New Roman"/>
          <w:color w:val="auto"/>
          <w:sz w:val="16"/>
          <w:szCs w:val="16"/>
          <w:lang w:val="sr-Latn-ME"/>
        </w:rPr>
        <w:t xml:space="preserve"> </w:t>
      </w:r>
      <w:r w:rsidRPr="00AD3B49">
        <w:rPr>
          <w:rFonts w:ascii="Times New Roman" w:hAnsi="Times New Roman" w:cs="Times New Roman"/>
          <w:color w:val="auto"/>
          <w:sz w:val="16"/>
          <w:szCs w:val="16"/>
          <w:lang w:val="sr-Latn-ME"/>
        </w:rPr>
        <w:t>Humir</w:t>
      </w:r>
      <w:r w:rsidR="00E409B0" w:rsidRPr="00AD3B49">
        <w:rPr>
          <w:rFonts w:ascii="Times New Roman" w:hAnsi="Times New Roman" w:cs="Times New Roman"/>
          <w:color w:val="auto"/>
          <w:sz w:val="16"/>
          <w:szCs w:val="16"/>
          <w:lang w:val="sr-Latn-ME"/>
        </w:rPr>
        <w:t>a</w:t>
      </w:r>
      <w:r w:rsidRPr="00AD3B49">
        <w:rPr>
          <w:rFonts w:ascii="Times New Roman" w:hAnsi="Times New Roman" w:cs="Times New Roman"/>
          <w:color w:val="auto"/>
          <w:sz w:val="16"/>
          <w:szCs w:val="16"/>
          <w:lang w:val="sr-Latn-ME"/>
        </w:rPr>
        <w:t xml:space="preserve"> i metotreksatom uz primjenu Mann-Whitney U testa</w:t>
      </w:r>
    </w:p>
    <w:p w:rsidR="003D3610" w:rsidRPr="00AD3B49" w:rsidRDefault="003D3610" w:rsidP="003D3610">
      <w:pPr>
        <w:pStyle w:val="Default"/>
        <w:pBdr>
          <w:top w:val="single" w:sz="4" w:space="1" w:color="auto"/>
          <w:left w:val="single" w:sz="4" w:space="6" w:color="auto"/>
          <w:bottom w:val="single" w:sz="4" w:space="1" w:color="auto"/>
          <w:right w:val="single" w:sz="4" w:space="4" w:color="auto"/>
        </w:pBdr>
        <w:jc w:val="both"/>
        <w:rPr>
          <w:rFonts w:ascii="Times New Roman" w:hAnsi="Times New Roman" w:cs="Times New Roman"/>
          <w:color w:val="auto"/>
          <w:sz w:val="16"/>
          <w:szCs w:val="16"/>
          <w:lang w:val="sr-Latn-ME"/>
        </w:rPr>
      </w:pPr>
      <w:r w:rsidRPr="00AD3B49">
        <w:rPr>
          <w:rFonts w:ascii="Times New Roman" w:hAnsi="Times New Roman" w:cs="Times New Roman"/>
          <w:color w:val="auto"/>
          <w:position w:val="8"/>
          <w:sz w:val="16"/>
          <w:szCs w:val="16"/>
          <w:vertAlign w:val="superscript"/>
          <w:lang w:val="sr-Latn-ME"/>
        </w:rPr>
        <w:t>b</w:t>
      </w:r>
      <w:r w:rsidRPr="00AD3B49">
        <w:rPr>
          <w:rFonts w:ascii="Times New Roman" w:hAnsi="Times New Roman" w:cs="Times New Roman"/>
          <w:color w:val="auto"/>
          <w:sz w:val="16"/>
          <w:szCs w:val="16"/>
          <w:lang w:val="sr-Latn-ME"/>
        </w:rPr>
        <w:t xml:space="preserve">p vrijednost </w:t>
      </w:r>
      <w:r w:rsidR="005644A2" w:rsidRPr="00AD3B49">
        <w:rPr>
          <w:rFonts w:ascii="Times New Roman" w:hAnsi="Times New Roman" w:cs="Times New Roman"/>
          <w:color w:val="auto"/>
          <w:sz w:val="16"/>
          <w:szCs w:val="16"/>
          <w:lang w:val="sr-Latn-ME"/>
        </w:rPr>
        <w:t>dobijena</w:t>
      </w:r>
      <w:r w:rsidRPr="00AD3B49">
        <w:rPr>
          <w:rFonts w:ascii="Times New Roman" w:hAnsi="Times New Roman" w:cs="Times New Roman"/>
          <w:color w:val="auto"/>
          <w:sz w:val="16"/>
          <w:szCs w:val="16"/>
          <w:lang w:val="sr-Latn-ME"/>
        </w:rPr>
        <w:t xml:space="preserve"> poređenjem monoterapije </w:t>
      </w:r>
      <w:r w:rsidR="006A12EB" w:rsidRPr="00AD3B49">
        <w:rPr>
          <w:rFonts w:ascii="Times New Roman" w:hAnsi="Times New Roman" w:cs="Times New Roman"/>
          <w:color w:val="auto"/>
          <w:sz w:val="16"/>
          <w:szCs w:val="16"/>
          <w:lang w:val="sr-Latn-ME"/>
        </w:rPr>
        <w:t>lijekom</w:t>
      </w:r>
      <w:r w:rsidR="00E409B0" w:rsidRPr="00AD3B49">
        <w:rPr>
          <w:rFonts w:ascii="Times New Roman" w:hAnsi="Times New Roman" w:cs="Times New Roman"/>
          <w:color w:val="auto"/>
          <w:sz w:val="16"/>
          <w:szCs w:val="16"/>
          <w:lang w:val="sr-Latn-ME"/>
        </w:rPr>
        <w:t xml:space="preserve"> </w:t>
      </w:r>
      <w:r w:rsidRPr="00AD3B49">
        <w:rPr>
          <w:rFonts w:ascii="Times New Roman" w:hAnsi="Times New Roman" w:cs="Times New Roman"/>
          <w:color w:val="auto"/>
          <w:sz w:val="16"/>
          <w:szCs w:val="16"/>
          <w:lang w:val="sr-Latn-ME"/>
        </w:rPr>
        <w:t>Humir</w:t>
      </w:r>
      <w:r w:rsidR="00E409B0" w:rsidRPr="00AD3B49">
        <w:rPr>
          <w:rFonts w:ascii="Times New Roman" w:hAnsi="Times New Roman" w:cs="Times New Roman"/>
          <w:color w:val="auto"/>
          <w:sz w:val="16"/>
          <w:szCs w:val="16"/>
          <w:lang w:val="sr-Latn-ME"/>
        </w:rPr>
        <w:t>a</w:t>
      </w:r>
      <w:r w:rsidRPr="00AD3B49">
        <w:rPr>
          <w:rFonts w:ascii="Times New Roman" w:hAnsi="Times New Roman" w:cs="Times New Roman"/>
          <w:color w:val="auto"/>
          <w:sz w:val="16"/>
          <w:szCs w:val="16"/>
          <w:lang w:val="sr-Latn-ME"/>
        </w:rPr>
        <w:t xml:space="preserve"> i kombin</w:t>
      </w:r>
      <w:r w:rsidR="00BF375F" w:rsidRPr="00AD3B49">
        <w:rPr>
          <w:rFonts w:ascii="Times New Roman" w:hAnsi="Times New Roman" w:cs="Times New Roman"/>
          <w:color w:val="auto"/>
          <w:sz w:val="16"/>
          <w:szCs w:val="16"/>
          <w:lang w:val="sr-Latn-ME"/>
        </w:rPr>
        <w:t>ovane</w:t>
      </w:r>
      <w:r w:rsidRPr="00AD3B49">
        <w:rPr>
          <w:rFonts w:ascii="Times New Roman" w:hAnsi="Times New Roman" w:cs="Times New Roman"/>
          <w:color w:val="auto"/>
          <w:sz w:val="16"/>
          <w:szCs w:val="16"/>
          <w:lang w:val="sr-Latn-ME"/>
        </w:rPr>
        <w:t xml:space="preserve"> terapije </w:t>
      </w:r>
      <w:r w:rsidR="00E409B0" w:rsidRPr="00AD3B49">
        <w:rPr>
          <w:rFonts w:ascii="Times New Roman" w:hAnsi="Times New Roman" w:cs="Times New Roman"/>
          <w:color w:val="auto"/>
          <w:sz w:val="16"/>
          <w:szCs w:val="16"/>
          <w:lang w:val="sr-Latn-ME"/>
        </w:rPr>
        <w:t xml:space="preserve">lijekom </w:t>
      </w:r>
      <w:r w:rsidRPr="00AD3B49">
        <w:rPr>
          <w:rFonts w:ascii="Times New Roman" w:hAnsi="Times New Roman" w:cs="Times New Roman"/>
          <w:color w:val="auto"/>
          <w:sz w:val="16"/>
          <w:szCs w:val="16"/>
          <w:lang w:val="sr-Latn-ME"/>
        </w:rPr>
        <w:t>Humir</w:t>
      </w:r>
      <w:r w:rsidR="00E409B0" w:rsidRPr="00AD3B49">
        <w:rPr>
          <w:rFonts w:ascii="Times New Roman" w:hAnsi="Times New Roman" w:cs="Times New Roman"/>
          <w:color w:val="auto"/>
          <w:sz w:val="16"/>
          <w:szCs w:val="16"/>
          <w:lang w:val="sr-Latn-ME"/>
        </w:rPr>
        <w:t>a</w:t>
      </w:r>
      <w:r w:rsidRPr="00AD3B49">
        <w:rPr>
          <w:rFonts w:ascii="Times New Roman" w:hAnsi="Times New Roman" w:cs="Times New Roman"/>
          <w:color w:val="auto"/>
          <w:sz w:val="16"/>
          <w:szCs w:val="16"/>
          <w:lang w:val="sr-Latn-ME"/>
        </w:rPr>
        <w:t xml:space="preserve"> i metotreksatom uz primjenu Mann-Whitney U testa</w:t>
      </w:r>
    </w:p>
    <w:p w:rsidR="003D3610" w:rsidRPr="00AD3B49" w:rsidRDefault="003D3610" w:rsidP="003D3610">
      <w:pPr>
        <w:pStyle w:val="Default"/>
        <w:pBdr>
          <w:top w:val="single" w:sz="4" w:space="1" w:color="auto"/>
          <w:left w:val="single" w:sz="4" w:space="6" w:color="auto"/>
          <w:bottom w:val="single" w:sz="4" w:space="1" w:color="auto"/>
          <w:right w:val="single" w:sz="4" w:space="4" w:color="auto"/>
        </w:pBdr>
        <w:jc w:val="both"/>
        <w:rPr>
          <w:rFonts w:ascii="Times New Roman" w:hAnsi="Times New Roman" w:cs="Times New Roman"/>
          <w:color w:val="auto"/>
          <w:sz w:val="16"/>
          <w:szCs w:val="16"/>
          <w:lang w:val="sr-Latn-ME"/>
        </w:rPr>
      </w:pPr>
      <w:r w:rsidRPr="00AD3B49">
        <w:rPr>
          <w:rFonts w:ascii="Times New Roman" w:hAnsi="Times New Roman" w:cs="Times New Roman"/>
          <w:color w:val="auto"/>
          <w:position w:val="8"/>
          <w:sz w:val="16"/>
          <w:szCs w:val="16"/>
          <w:vertAlign w:val="superscript"/>
          <w:lang w:val="sr-Latn-ME"/>
        </w:rPr>
        <w:t>c</w:t>
      </w:r>
      <w:r w:rsidRPr="00AD3B49">
        <w:rPr>
          <w:rFonts w:ascii="Times New Roman" w:hAnsi="Times New Roman" w:cs="Times New Roman"/>
          <w:color w:val="auto"/>
          <w:sz w:val="16"/>
          <w:szCs w:val="16"/>
          <w:lang w:val="sr-Latn-ME"/>
        </w:rPr>
        <w:t xml:space="preserve">p vrijednost </w:t>
      </w:r>
      <w:r w:rsidR="005644A2" w:rsidRPr="00AD3B49">
        <w:rPr>
          <w:rFonts w:ascii="Times New Roman" w:hAnsi="Times New Roman" w:cs="Times New Roman"/>
          <w:color w:val="auto"/>
          <w:sz w:val="16"/>
          <w:szCs w:val="16"/>
          <w:lang w:val="sr-Latn-ME"/>
        </w:rPr>
        <w:t>dobijena</w:t>
      </w:r>
      <w:r w:rsidRPr="00AD3B49">
        <w:rPr>
          <w:rFonts w:ascii="Times New Roman" w:hAnsi="Times New Roman" w:cs="Times New Roman"/>
          <w:color w:val="auto"/>
          <w:sz w:val="16"/>
          <w:szCs w:val="16"/>
          <w:lang w:val="sr-Latn-ME"/>
        </w:rPr>
        <w:t xml:space="preserve"> poređenjem monoterapije </w:t>
      </w:r>
      <w:r w:rsidR="00E409B0" w:rsidRPr="00AD3B49">
        <w:rPr>
          <w:rFonts w:ascii="Times New Roman" w:hAnsi="Times New Roman" w:cs="Times New Roman"/>
          <w:color w:val="auto"/>
          <w:sz w:val="16"/>
          <w:szCs w:val="16"/>
          <w:lang w:val="sr-Latn-ME"/>
        </w:rPr>
        <w:t xml:space="preserve">lijekom </w:t>
      </w:r>
      <w:r w:rsidRPr="00AD3B49">
        <w:rPr>
          <w:rFonts w:ascii="Times New Roman" w:hAnsi="Times New Roman" w:cs="Times New Roman"/>
          <w:color w:val="auto"/>
          <w:sz w:val="16"/>
          <w:szCs w:val="16"/>
          <w:lang w:val="sr-Latn-ME"/>
        </w:rPr>
        <w:t>Humir</w:t>
      </w:r>
      <w:r w:rsidR="00E409B0" w:rsidRPr="00AD3B49">
        <w:rPr>
          <w:rFonts w:ascii="Times New Roman" w:hAnsi="Times New Roman" w:cs="Times New Roman"/>
          <w:color w:val="auto"/>
          <w:sz w:val="16"/>
          <w:szCs w:val="16"/>
          <w:lang w:val="sr-Latn-ME"/>
        </w:rPr>
        <w:t>a</w:t>
      </w:r>
      <w:r w:rsidRPr="00AD3B49">
        <w:rPr>
          <w:rFonts w:ascii="Times New Roman" w:hAnsi="Times New Roman" w:cs="Times New Roman"/>
          <w:color w:val="auto"/>
          <w:sz w:val="16"/>
          <w:szCs w:val="16"/>
          <w:lang w:val="sr-Latn-ME"/>
        </w:rPr>
        <w:t xml:space="preserve"> i monoterapije metotreksatom uz primjenu Mann-Whitney U testa</w:t>
      </w:r>
    </w:p>
    <w:p w:rsidR="003D3610" w:rsidRPr="00AD3B49" w:rsidRDefault="003D3610" w:rsidP="003D3610">
      <w:pPr>
        <w:pStyle w:val="Default"/>
        <w:pBdr>
          <w:top w:val="single" w:sz="4" w:space="1" w:color="auto"/>
          <w:left w:val="single" w:sz="4" w:space="6" w:color="auto"/>
          <w:bottom w:val="single" w:sz="4" w:space="1" w:color="auto"/>
          <w:right w:val="single" w:sz="4" w:space="4" w:color="auto"/>
        </w:pBdr>
        <w:ind w:left="567" w:hanging="567"/>
        <w:jc w:val="both"/>
        <w:rPr>
          <w:rFonts w:ascii="Times New Roman" w:hAnsi="Times New Roman" w:cs="Times New Roman"/>
          <w:color w:val="auto"/>
          <w:sz w:val="16"/>
          <w:szCs w:val="16"/>
          <w:lang w:val="sr-Latn-ME"/>
        </w:rPr>
      </w:pPr>
      <w:r w:rsidRPr="00AD3B49">
        <w:rPr>
          <w:rFonts w:ascii="Times New Roman" w:hAnsi="Times New Roman" w:cs="Times New Roman"/>
          <w:color w:val="auto"/>
          <w:sz w:val="16"/>
          <w:szCs w:val="16"/>
          <w:vertAlign w:val="superscript"/>
          <w:lang w:val="sr-Latn-ME"/>
        </w:rPr>
        <w:t xml:space="preserve">d </w:t>
      </w:r>
      <w:r w:rsidRPr="00AD3B49">
        <w:rPr>
          <w:rFonts w:ascii="Times New Roman" w:hAnsi="Times New Roman" w:cs="Times New Roman"/>
          <w:color w:val="auto"/>
          <w:sz w:val="16"/>
          <w:szCs w:val="16"/>
          <w:lang w:val="sr-Latn-ME"/>
        </w:rPr>
        <w:t>suženje zglobnih prostora</w:t>
      </w:r>
    </w:p>
    <w:p w:rsidR="003D3610" w:rsidRPr="00AD3B49" w:rsidRDefault="003D3610" w:rsidP="003D3610">
      <w:pPr>
        <w:pStyle w:val="Default"/>
        <w:jc w:val="both"/>
        <w:rPr>
          <w:rFonts w:ascii="Times New Roman" w:hAnsi="Times New Roman" w:cs="Times New Roman"/>
          <w:color w:val="auto"/>
          <w:sz w:val="21"/>
          <w:szCs w:val="21"/>
          <w:lang w:val="sr-Latn-ME"/>
        </w:rPr>
      </w:pPr>
    </w:p>
    <w:p w:rsidR="003D3610" w:rsidRPr="00AD3B49" w:rsidRDefault="003D3610"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Nakon 52 i 104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liječenja postotak pacijenata bez znakova napredovanja bolesti (promjena ukupnog zbira bodova po Sharpu ≤ 0,5) bio je značajno veći u grupi liječenoj kombinacijom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i metotreksata (63,8 % i 61,2 %) u poređenju sa grupom koja je dobi</w:t>
      </w:r>
      <w:r w:rsidR="00BF375F" w:rsidRPr="00AD3B49">
        <w:rPr>
          <w:rFonts w:ascii="Times New Roman" w:hAnsi="Times New Roman" w:cs="Times New Roman"/>
          <w:color w:val="auto"/>
          <w:sz w:val="22"/>
          <w:szCs w:val="22"/>
          <w:lang w:val="sr-Latn-ME"/>
        </w:rPr>
        <w:t>j</w:t>
      </w:r>
      <w:r w:rsidRPr="00AD3B49">
        <w:rPr>
          <w:rFonts w:ascii="Times New Roman" w:hAnsi="Times New Roman" w:cs="Times New Roman"/>
          <w:color w:val="auto"/>
          <w:sz w:val="22"/>
          <w:szCs w:val="22"/>
          <w:lang w:val="sr-Latn-ME"/>
        </w:rPr>
        <w:t xml:space="preserve">ala monoterapiju metotreksatom (37 % i 33,5 %, p &lt; 0,001), odnosno monoterapiju </w:t>
      </w:r>
      <w:r w:rsidR="00E409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E409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(50,7 %, p &lt; 0,002 odnosno 44,5 %, p &lt; 0,001).</w:t>
      </w:r>
    </w:p>
    <w:p w:rsidR="003D3610" w:rsidRPr="00AD3B49" w:rsidRDefault="003D3610" w:rsidP="003D3610">
      <w:pPr>
        <w:pStyle w:val="Default"/>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 </w:t>
      </w:r>
    </w:p>
    <w:p w:rsidR="003D3610" w:rsidRPr="00AD3B49" w:rsidRDefault="00081E42" w:rsidP="003D3610">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Kvalitet</w:t>
      </w:r>
      <w:r w:rsidR="003D3610" w:rsidRPr="00AD3B49">
        <w:rPr>
          <w:rFonts w:ascii="Times New Roman" w:hAnsi="Times New Roman" w:cs="Times New Roman"/>
          <w:color w:val="auto"/>
          <w:sz w:val="22"/>
          <w:szCs w:val="22"/>
          <w:u w:val="single"/>
          <w:lang w:val="sr-Latn-ME"/>
        </w:rPr>
        <w:t xml:space="preserve"> života i funkcionalna sposobnost</w:t>
      </w:r>
    </w:p>
    <w:p w:rsidR="003D3610" w:rsidRPr="00AD3B49" w:rsidRDefault="00081E42"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Kvalitet</w:t>
      </w:r>
      <w:r w:rsidR="003D3610" w:rsidRPr="00AD3B49">
        <w:rPr>
          <w:rFonts w:ascii="Times New Roman" w:hAnsi="Times New Roman" w:cs="Times New Roman"/>
          <w:color w:val="auto"/>
          <w:sz w:val="22"/>
          <w:szCs w:val="22"/>
          <w:lang w:val="sr-Latn-ME"/>
        </w:rPr>
        <w:t xml:space="preserve"> života koj</w:t>
      </w:r>
      <w:r w:rsidR="00B5589F" w:rsidRPr="00AD3B49">
        <w:rPr>
          <w:rFonts w:ascii="Times New Roman" w:hAnsi="Times New Roman" w:cs="Times New Roman"/>
          <w:color w:val="auto"/>
          <w:sz w:val="22"/>
          <w:szCs w:val="22"/>
          <w:lang w:val="sr-Latn-ME"/>
        </w:rPr>
        <w:t>i</w:t>
      </w:r>
      <w:r w:rsidR="003D3610" w:rsidRPr="00AD3B49">
        <w:rPr>
          <w:rFonts w:ascii="Times New Roman" w:hAnsi="Times New Roman" w:cs="Times New Roman"/>
          <w:color w:val="auto"/>
          <w:sz w:val="22"/>
          <w:szCs w:val="22"/>
          <w:lang w:val="sr-Latn-ME"/>
        </w:rPr>
        <w:t xml:space="preserve"> zavisi od zdravstvenog stanja i funkcionalna sposobnost ocjenjivane su pomoću indeksa funkcionalne nesposobnosti Upitnika za ocjenu zdravstvenog stanja (</w:t>
      </w:r>
      <w:r w:rsidR="003D3610" w:rsidRPr="00AD3B49">
        <w:rPr>
          <w:rFonts w:ascii="Times New Roman" w:hAnsi="Times New Roman" w:cs="Times New Roman"/>
          <w:i/>
          <w:color w:val="auto"/>
          <w:sz w:val="22"/>
          <w:szCs w:val="22"/>
          <w:lang w:val="sr-Latn-ME"/>
        </w:rPr>
        <w:t>Health Assessment Questionnaire</w:t>
      </w:r>
      <w:r w:rsidRPr="00AD3B49">
        <w:rPr>
          <w:rFonts w:ascii="Times New Roman" w:hAnsi="Times New Roman" w:cs="Times New Roman"/>
          <w:color w:val="auto"/>
          <w:sz w:val="22"/>
          <w:szCs w:val="22"/>
          <w:lang w:val="sr-Latn-ME"/>
        </w:rPr>
        <w:t xml:space="preserve"> – HAQ) u sva četiri kontrolis</w:t>
      </w:r>
      <w:r w:rsidR="003D3610" w:rsidRPr="00AD3B49">
        <w:rPr>
          <w:rFonts w:ascii="Times New Roman" w:hAnsi="Times New Roman" w:cs="Times New Roman"/>
          <w:color w:val="auto"/>
          <w:sz w:val="22"/>
          <w:szCs w:val="22"/>
          <w:lang w:val="sr-Latn-ME"/>
        </w:rPr>
        <w:t xml:space="preserve">ana klinička ispitivanja, a to je bila i postavljena primarna mjera ishoda ocjenjivanja nakon 52 </w:t>
      </w:r>
      <w:r w:rsidR="000B016F" w:rsidRPr="00AD3B49">
        <w:rPr>
          <w:rFonts w:ascii="Times New Roman" w:hAnsi="Times New Roman" w:cs="Times New Roman"/>
          <w:color w:val="auto"/>
          <w:sz w:val="22"/>
          <w:szCs w:val="22"/>
          <w:lang w:val="sr-Latn-ME"/>
        </w:rPr>
        <w:t>nedjelje</w:t>
      </w:r>
      <w:r w:rsidR="003D3610" w:rsidRPr="00AD3B49">
        <w:rPr>
          <w:rFonts w:ascii="Times New Roman" w:hAnsi="Times New Roman" w:cs="Times New Roman"/>
          <w:color w:val="auto"/>
          <w:sz w:val="22"/>
          <w:szCs w:val="22"/>
          <w:lang w:val="sr-Latn-ME"/>
        </w:rPr>
        <w:t xml:space="preserve"> liječenja u RA ispitivanju III. Nakon 6 mjeseci praćenja u sva četiri ispitivanja zabilježeno je statistički značajno veće poboljšanje indeksa funkcionalne nesposobnosti HAQ s obzirom na početne vrijednosti </w:t>
      </w:r>
      <w:r w:rsidR="00BF375F" w:rsidRPr="00AD3B49">
        <w:rPr>
          <w:rFonts w:ascii="Times New Roman" w:hAnsi="Times New Roman" w:cs="Times New Roman"/>
          <w:color w:val="auto"/>
          <w:sz w:val="22"/>
          <w:szCs w:val="22"/>
          <w:lang w:val="sr-Latn-ME"/>
        </w:rPr>
        <w:t>kod</w:t>
      </w:r>
      <w:r w:rsidR="003D3610" w:rsidRPr="00AD3B49">
        <w:rPr>
          <w:rFonts w:ascii="Times New Roman" w:hAnsi="Times New Roman" w:cs="Times New Roman"/>
          <w:color w:val="auto"/>
          <w:sz w:val="22"/>
          <w:szCs w:val="22"/>
          <w:lang w:val="sr-Latn-ME"/>
        </w:rPr>
        <w:t xml:space="preserve"> pacijenata liječenih </w:t>
      </w:r>
      <w:r w:rsidR="00E409B0" w:rsidRPr="00AD3B49">
        <w:rPr>
          <w:rFonts w:ascii="Times New Roman" w:hAnsi="Times New Roman" w:cs="Times New Roman"/>
          <w:color w:val="auto"/>
          <w:sz w:val="22"/>
          <w:szCs w:val="22"/>
          <w:lang w:val="sr-Latn-ME"/>
        </w:rPr>
        <w:t xml:space="preserve">lijekom </w:t>
      </w:r>
      <w:r w:rsidR="003D3610" w:rsidRPr="00AD3B49">
        <w:rPr>
          <w:rFonts w:ascii="Times New Roman" w:hAnsi="Times New Roman" w:cs="Times New Roman"/>
          <w:color w:val="auto"/>
          <w:sz w:val="22"/>
          <w:szCs w:val="22"/>
          <w:lang w:val="sr-Latn-ME"/>
        </w:rPr>
        <w:t>Humir</w:t>
      </w:r>
      <w:r w:rsidR="00E409B0" w:rsidRPr="00AD3B49">
        <w:rPr>
          <w:rFonts w:ascii="Times New Roman" w:hAnsi="Times New Roman" w:cs="Times New Roman"/>
          <w:color w:val="auto"/>
          <w:sz w:val="22"/>
          <w:szCs w:val="22"/>
          <w:lang w:val="sr-Latn-ME"/>
        </w:rPr>
        <w:t>a</w:t>
      </w:r>
      <w:r w:rsidR="003D3610" w:rsidRPr="00AD3B49">
        <w:rPr>
          <w:rFonts w:ascii="Times New Roman" w:hAnsi="Times New Roman" w:cs="Times New Roman"/>
          <w:color w:val="auto"/>
          <w:sz w:val="22"/>
          <w:szCs w:val="22"/>
          <w:lang w:val="sr-Latn-ME"/>
        </w:rPr>
        <w:t xml:space="preserve"> pri svim dozama/režimima davanja nego kod placeba, a identičan je nalaz nađen nakon 52 </w:t>
      </w:r>
      <w:r w:rsidR="000B016F" w:rsidRPr="00AD3B49">
        <w:rPr>
          <w:rFonts w:ascii="Times New Roman" w:hAnsi="Times New Roman" w:cs="Times New Roman"/>
          <w:color w:val="auto"/>
          <w:sz w:val="22"/>
          <w:szCs w:val="22"/>
          <w:lang w:val="sr-Latn-ME"/>
        </w:rPr>
        <w:t>nedjelje</w:t>
      </w:r>
      <w:r w:rsidR="003D3610" w:rsidRPr="00AD3B49">
        <w:rPr>
          <w:rFonts w:ascii="Times New Roman" w:hAnsi="Times New Roman" w:cs="Times New Roman"/>
          <w:color w:val="auto"/>
          <w:sz w:val="22"/>
          <w:szCs w:val="22"/>
          <w:lang w:val="sr-Latn-ME"/>
        </w:rPr>
        <w:t xml:space="preserve">  u RA isp</w:t>
      </w:r>
      <w:r w:rsidRPr="00AD3B49">
        <w:rPr>
          <w:rFonts w:ascii="Times New Roman" w:hAnsi="Times New Roman" w:cs="Times New Roman"/>
          <w:color w:val="auto"/>
          <w:sz w:val="22"/>
          <w:szCs w:val="22"/>
          <w:lang w:val="sr-Latn-ME"/>
        </w:rPr>
        <w:t>itivanju III. Rezultati Kratke Zdravstvene A</w:t>
      </w:r>
      <w:r w:rsidR="003D3610" w:rsidRPr="00AD3B49">
        <w:rPr>
          <w:rFonts w:ascii="Times New Roman" w:hAnsi="Times New Roman" w:cs="Times New Roman"/>
          <w:color w:val="auto"/>
          <w:sz w:val="22"/>
          <w:szCs w:val="22"/>
          <w:lang w:val="sr-Latn-ME"/>
        </w:rPr>
        <w:t>nkete (</w:t>
      </w:r>
      <w:r w:rsidR="003D3610" w:rsidRPr="00AD3B49">
        <w:rPr>
          <w:rFonts w:ascii="Times New Roman" w:hAnsi="Times New Roman" w:cs="Times New Roman"/>
          <w:i/>
          <w:color w:val="auto"/>
          <w:sz w:val="22"/>
          <w:szCs w:val="22"/>
          <w:lang w:val="sr-Latn-ME"/>
        </w:rPr>
        <w:t>Short Form Health Survey</w:t>
      </w:r>
      <w:r w:rsidR="009925F8" w:rsidRPr="00AD3B49">
        <w:rPr>
          <w:rFonts w:ascii="Times New Roman" w:hAnsi="Times New Roman" w:cs="Times New Roman"/>
          <w:color w:val="auto"/>
          <w:sz w:val="22"/>
          <w:szCs w:val="22"/>
          <w:lang w:val="sr-Latn-ME"/>
        </w:rPr>
        <w:t xml:space="preserve"> – SF 36) podržavaju</w:t>
      </w:r>
      <w:r w:rsidR="003D3610" w:rsidRPr="00AD3B49">
        <w:rPr>
          <w:rFonts w:ascii="Times New Roman" w:hAnsi="Times New Roman" w:cs="Times New Roman"/>
          <w:color w:val="auto"/>
          <w:sz w:val="22"/>
          <w:szCs w:val="22"/>
          <w:lang w:val="sr-Latn-ME"/>
        </w:rPr>
        <w:t xml:space="preserve"> te nalaze za sve doze/režime davanja </w:t>
      </w:r>
      <w:r w:rsidR="0082613A" w:rsidRPr="00AD3B49">
        <w:rPr>
          <w:rFonts w:ascii="Times New Roman" w:hAnsi="Times New Roman" w:cs="Times New Roman"/>
          <w:color w:val="auto"/>
          <w:sz w:val="22"/>
          <w:szCs w:val="22"/>
          <w:lang w:val="sr-Latn-ME"/>
        </w:rPr>
        <w:t xml:space="preserve">lijeka </w:t>
      </w:r>
      <w:r w:rsidR="003D3610"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003D3610" w:rsidRPr="00AD3B49">
        <w:rPr>
          <w:rFonts w:ascii="Times New Roman" w:hAnsi="Times New Roman" w:cs="Times New Roman"/>
          <w:color w:val="auto"/>
          <w:sz w:val="22"/>
          <w:szCs w:val="22"/>
          <w:lang w:val="sr-Latn-ME"/>
        </w:rPr>
        <w:t xml:space="preserve"> u sva četiri ispitivanja sa statistički značajno boljim vrijednostima funkcionalne komponente (PCS) te statistički značajno boljom ocjenom bol</w:t>
      </w:r>
      <w:r w:rsidR="00B5589F" w:rsidRPr="00AD3B49">
        <w:rPr>
          <w:rFonts w:ascii="Times New Roman" w:hAnsi="Times New Roman" w:cs="Times New Roman"/>
          <w:color w:val="auto"/>
          <w:sz w:val="22"/>
          <w:szCs w:val="22"/>
          <w:lang w:val="sr-Latn-ME"/>
        </w:rPr>
        <w:t>a</w:t>
      </w:r>
      <w:r w:rsidR="003D3610" w:rsidRPr="00AD3B49">
        <w:rPr>
          <w:rFonts w:ascii="Times New Roman" w:hAnsi="Times New Roman" w:cs="Times New Roman"/>
          <w:color w:val="auto"/>
          <w:sz w:val="22"/>
          <w:szCs w:val="22"/>
          <w:lang w:val="sr-Latn-ME"/>
        </w:rPr>
        <w:t xml:space="preserve"> i vitalnosti pri dozi od 40 mg svake druge </w:t>
      </w:r>
      <w:r w:rsidR="000B016F" w:rsidRPr="00AD3B49">
        <w:rPr>
          <w:rFonts w:ascii="Times New Roman" w:hAnsi="Times New Roman" w:cs="Times New Roman"/>
          <w:color w:val="auto"/>
          <w:sz w:val="22"/>
          <w:szCs w:val="22"/>
          <w:lang w:val="sr-Latn-ME"/>
        </w:rPr>
        <w:t>nedjelje</w:t>
      </w:r>
      <w:r w:rsidR="003D3610" w:rsidRPr="00AD3B49">
        <w:rPr>
          <w:rFonts w:ascii="Times New Roman" w:hAnsi="Times New Roman" w:cs="Times New Roman"/>
          <w:color w:val="auto"/>
          <w:sz w:val="22"/>
          <w:szCs w:val="22"/>
          <w:lang w:val="sr-Latn-ME"/>
        </w:rPr>
        <w:t>. Statistički značajno smanjenje umora prema f</w:t>
      </w:r>
      <w:r w:rsidR="009925F8" w:rsidRPr="00AD3B49">
        <w:rPr>
          <w:rFonts w:ascii="Times New Roman" w:hAnsi="Times New Roman" w:cs="Times New Roman"/>
          <w:color w:val="auto"/>
          <w:sz w:val="22"/>
          <w:szCs w:val="22"/>
          <w:lang w:val="sr-Latn-ME"/>
        </w:rPr>
        <w:t>unkcionalnoj procjeni terapije h</w:t>
      </w:r>
      <w:r w:rsidR="003D3610" w:rsidRPr="00AD3B49">
        <w:rPr>
          <w:rFonts w:ascii="Times New Roman" w:hAnsi="Times New Roman" w:cs="Times New Roman"/>
          <w:color w:val="auto"/>
          <w:sz w:val="22"/>
          <w:szCs w:val="22"/>
          <w:lang w:val="sr-Latn-ME"/>
        </w:rPr>
        <w:t>roničnih bolesti (FACIT) zabilježeno je u sva tri ispitivanja u kojima je taj parametar ispitivan (RA I, III, IV).</w:t>
      </w:r>
    </w:p>
    <w:p w:rsidR="003D3610" w:rsidRPr="00AD3B49" w:rsidRDefault="003D3610" w:rsidP="003D3610">
      <w:pPr>
        <w:pStyle w:val="Default"/>
        <w:jc w:val="both"/>
        <w:rPr>
          <w:rFonts w:ascii="Times New Roman" w:hAnsi="Times New Roman" w:cs="Times New Roman"/>
          <w:color w:val="auto"/>
          <w:sz w:val="22"/>
          <w:szCs w:val="22"/>
          <w:lang w:val="sr-Latn-ME"/>
        </w:rPr>
      </w:pPr>
    </w:p>
    <w:p w:rsidR="003D3610" w:rsidRPr="00AD3B49" w:rsidRDefault="003D3610"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U RA ispitivanju III, poboljšanje funkcionalne sposobnosti održalo se tokom 260 </w:t>
      </w:r>
      <w:r w:rsidR="000B016F" w:rsidRPr="00AD3B49">
        <w:rPr>
          <w:rFonts w:ascii="Times New Roman" w:hAnsi="Times New Roman" w:cs="Times New Roman"/>
          <w:color w:val="auto"/>
          <w:sz w:val="22"/>
          <w:szCs w:val="22"/>
          <w:lang w:val="sr-Latn-ME"/>
        </w:rPr>
        <w:t>nedjelja</w:t>
      </w:r>
      <w:r w:rsidRPr="00AD3B49">
        <w:rPr>
          <w:rFonts w:ascii="Times New Roman" w:hAnsi="Times New Roman" w:cs="Times New Roman"/>
          <w:color w:val="auto"/>
          <w:sz w:val="22"/>
          <w:szCs w:val="22"/>
          <w:lang w:val="sr-Latn-ME"/>
        </w:rPr>
        <w:t xml:space="preserve"> (60 mjeseci) otvorenog liječenja. Poboljšanje kvalitet</w:t>
      </w:r>
      <w:r w:rsidR="009925F8"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života mjereno je do 156.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(36 mjeseci) i poboljšanje se održalo tokom tog perioda.</w:t>
      </w:r>
    </w:p>
    <w:p w:rsidR="003D3610" w:rsidRPr="00AD3B49" w:rsidRDefault="003D3610" w:rsidP="003D3610">
      <w:pPr>
        <w:pStyle w:val="Default"/>
        <w:jc w:val="both"/>
        <w:rPr>
          <w:rFonts w:ascii="Times New Roman" w:hAnsi="Times New Roman" w:cs="Times New Roman"/>
          <w:color w:val="auto"/>
          <w:sz w:val="22"/>
          <w:szCs w:val="22"/>
          <w:lang w:val="sr-Latn-ME"/>
        </w:rPr>
      </w:pPr>
    </w:p>
    <w:p w:rsidR="003D3610" w:rsidRPr="00AD3B49" w:rsidRDefault="003D3610" w:rsidP="003D3610">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U RA ispitivanju V, poboljšanje indeksa funkcionalne nesposobnosti HAQ i funkcionalne komponente SF 36 nakon 52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bilo je značajno bolje </w:t>
      </w:r>
      <w:r w:rsidR="00B5589F" w:rsidRPr="00AD3B49">
        <w:rPr>
          <w:rFonts w:ascii="Times New Roman" w:hAnsi="Times New Roman" w:cs="Times New Roman"/>
          <w:color w:val="auto"/>
          <w:sz w:val="22"/>
          <w:szCs w:val="22"/>
          <w:lang w:val="sr-Latn-ME"/>
        </w:rPr>
        <w:t>kod</w:t>
      </w:r>
      <w:r w:rsidRPr="00AD3B49">
        <w:rPr>
          <w:rFonts w:ascii="Times New Roman" w:hAnsi="Times New Roman" w:cs="Times New Roman"/>
          <w:color w:val="auto"/>
          <w:sz w:val="22"/>
          <w:szCs w:val="22"/>
          <w:lang w:val="sr-Latn-ME"/>
        </w:rPr>
        <w:t xml:space="preserve"> pacijenata liječenih kombinacijom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i metotreksata (p &lt; 0,001) u poređenju sa pacijentima koji su </w:t>
      </w:r>
      <w:r w:rsidR="00195467" w:rsidRPr="00AD3B49">
        <w:rPr>
          <w:rFonts w:ascii="Times New Roman" w:hAnsi="Times New Roman" w:cs="Times New Roman"/>
          <w:color w:val="auto"/>
          <w:sz w:val="22"/>
          <w:szCs w:val="22"/>
          <w:lang w:val="sr-Latn-ME"/>
        </w:rPr>
        <w:t>dobijali</w:t>
      </w:r>
      <w:r w:rsidRPr="00AD3B49">
        <w:rPr>
          <w:rFonts w:ascii="Times New Roman" w:hAnsi="Times New Roman" w:cs="Times New Roman"/>
          <w:color w:val="auto"/>
          <w:sz w:val="22"/>
          <w:szCs w:val="22"/>
          <w:lang w:val="sr-Latn-ME"/>
        </w:rPr>
        <w:t xml:space="preserve"> monoterapiju metotreksatom, odnosno </w:t>
      </w:r>
      <w:r w:rsidR="00E409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E409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i to se poboljšanje održalo tokom 104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liječenja.</w:t>
      </w:r>
    </w:p>
    <w:p w:rsidR="005D003D" w:rsidRPr="00AD3B49" w:rsidRDefault="005D003D" w:rsidP="005D003D">
      <w:pPr>
        <w:pStyle w:val="Default"/>
        <w:jc w:val="both"/>
        <w:rPr>
          <w:rFonts w:ascii="Times New Roman" w:hAnsi="Times New Roman" w:cs="Times New Roman"/>
          <w:i/>
          <w:sz w:val="22"/>
          <w:szCs w:val="22"/>
          <w:u w:val="single"/>
          <w:lang w:val="sr-Latn-ME"/>
        </w:rPr>
      </w:pPr>
      <w:r w:rsidRPr="00AD3B49">
        <w:rPr>
          <w:rFonts w:ascii="Times New Roman" w:hAnsi="Times New Roman" w:cs="Times New Roman"/>
          <w:i/>
          <w:sz w:val="22"/>
          <w:szCs w:val="22"/>
          <w:u w:val="single"/>
          <w:lang w:val="sr-Latn-ME"/>
        </w:rPr>
        <w:lastRenderedPageBreak/>
        <w:t>Poliartikularni juvenilni idiopatski artritis (JIA)</w:t>
      </w:r>
    </w:p>
    <w:p w:rsidR="00B5589F" w:rsidRPr="00AD3B49" w:rsidRDefault="00B5589F" w:rsidP="00B5589F">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Bezbjednost i efikasnost primjene </w:t>
      </w:r>
      <w:r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sz w:val="22"/>
          <w:szCs w:val="22"/>
          <w:lang w:val="sr-Latn-ME"/>
        </w:rPr>
        <w:t>Humira procijenjena je u dvije studije (JIA I i II) kod djece sa aktivnim poliartikularnim ili poliartikularnim juvenilnim idiopatskim artritisom, sa različitim tipovima JIA (najčešće negativan reumatski faktor ili pozitivan poliartritis i produženi oligoartritis).</w:t>
      </w:r>
    </w:p>
    <w:p w:rsidR="00B5589F" w:rsidRPr="00AD3B49" w:rsidRDefault="00B5589F" w:rsidP="00B5589F">
      <w:pPr>
        <w:pStyle w:val="Default"/>
        <w:jc w:val="both"/>
        <w:rPr>
          <w:rFonts w:ascii="Times New Roman" w:hAnsi="Times New Roman" w:cs="Times New Roman"/>
          <w:sz w:val="22"/>
          <w:szCs w:val="22"/>
          <w:lang w:val="sr-Latn-ME"/>
        </w:rPr>
      </w:pPr>
    </w:p>
    <w:p w:rsidR="00B5589F" w:rsidRPr="00AD3B49" w:rsidRDefault="00B5589F" w:rsidP="00B5589F">
      <w:pPr>
        <w:pStyle w:val="Default"/>
        <w:jc w:val="both"/>
        <w:rPr>
          <w:rFonts w:ascii="Times New Roman" w:hAnsi="Times New Roman" w:cs="Times New Roman"/>
          <w:b/>
          <w:sz w:val="22"/>
          <w:szCs w:val="22"/>
          <w:lang w:val="sr-Latn-ME"/>
        </w:rPr>
      </w:pPr>
      <w:r w:rsidRPr="00AD3B49">
        <w:rPr>
          <w:rFonts w:ascii="Times New Roman" w:hAnsi="Times New Roman" w:cs="Times New Roman"/>
          <w:b/>
          <w:sz w:val="22"/>
          <w:szCs w:val="22"/>
          <w:lang w:val="sr-Latn-ME"/>
        </w:rPr>
        <w:t>JIA-I</w:t>
      </w:r>
    </w:p>
    <w:p w:rsidR="005D003D" w:rsidRPr="00AD3B49" w:rsidRDefault="00DF40CA" w:rsidP="005D003D">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Bezbjednost </w:t>
      </w:r>
      <w:r w:rsidR="00686E37" w:rsidRPr="00AD3B49">
        <w:rPr>
          <w:rFonts w:ascii="Times New Roman" w:hAnsi="Times New Roman" w:cs="Times New Roman"/>
          <w:color w:val="auto"/>
          <w:sz w:val="22"/>
          <w:szCs w:val="22"/>
          <w:lang w:val="sr-Latn-ME"/>
        </w:rPr>
        <w:t xml:space="preserve">i efikasnost primjene </w:t>
      </w:r>
      <w:r w:rsidR="0082613A" w:rsidRPr="00AD3B49">
        <w:rPr>
          <w:rFonts w:ascii="Times New Roman" w:hAnsi="Times New Roman" w:cs="Times New Roman"/>
          <w:color w:val="auto"/>
          <w:sz w:val="22"/>
          <w:szCs w:val="22"/>
          <w:lang w:val="sr-Latn-ME"/>
        </w:rPr>
        <w:t xml:space="preserve">lijeka </w:t>
      </w:r>
      <w:r w:rsidR="00686E37"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00686E37" w:rsidRPr="00AD3B49">
        <w:rPr>
          <w:rFonts w:ascii="Times New Roman" w:hAnsi="Times New Roman" w:cs="Times New Roman"/>
          <w:color w:val="auto"/>
          <w:sz w:val="22"/>
          <w:szCs w:val="22"/>
          <w:lang w:val="sr-Latn-ME"/>
        </w:rPr>
        <w:t xml:space="preserve"> proc</w:t>
      </w:r>
      <w:r w:rsidR="00B5589F" w:rsidRPr="00AD3B49">
        <w:rPr>
          <w:rFonts w:ascii="Times New Roman" w:hAnsi="Times New Roman" w:cs="Times New Roman"/>
          <w:color w:val="auto"/>
          <w:sz w:val="22"/>
          <w:szCs w:val="22"/>
          <w:lang w:val="sr-Latn-ME"/>
        </w:rPr>
        <w:t>i</w:t>
      </w:r>
      <w:r w:rsidR="005D003D" w:rsidRPr="00AD3B49">
        <w:rPr>
          <w:rFonts w:ascii="Times New Roman" w:hAnsi="Times New Roman" w:cs="Times New Roman"/>
          <w:color w:val="auto"/>
          <w:sz w:val="22"/>
          <w:szCs w:val="22"/>
          <w:lang w:val="sr-Latn-ME"/>
        </w:rPr>
        <w:t>jenjena je u</w:t>
      </w:r>
      <w:r w:rsidR="0011658F" w:rsidRPr="00AD3B49">
        <w:rPr>
          <w:rFonts w:ascii="Times New Roman" w:hAnsi="Times New Roman" w:cs="Times New Roman"/>
          <w:color w:val="auto"/>
          <w:sz w:val="22"/>
          <w:szCs w:val="22"/>
          <w:lang w:val="sr-Latn-ME"/>
        </w:rPr>
        <w:t xml:space="preserve"> multicentričnoj, randomizovanoj</w:t>
      </w:r>
      <w:r w:rsidR="005D003D" w:rsidRPr="00AD3B49">
        <w:rPr>
          <w:rFonts w:ascii="Times New Roman" w:hAnsi="Times New Roman" w:cs="Times New Roman"/>
          <w:color w:val="auto"/>
          <w:sz w:val="22"/>
          <w:szCs w:val="22"/>
          <w:lang w:val="sr-Latn-ME"/>
        </w:rPr>
        <w:t>, dvostruko-slijepoj studiji s paralelnim grupama koja je uključivala 171 dijete (starosti 4-17 godina) s poliartikularnim JIA. U otvorenoj uvodno</w:t>
      </w:r>
      <w:r w:rsidR="004B02DE" w:rsidRPr="00AD3B49">
        <w:rPr>
          <w:rFonts w:ascii="Times New Roman" w:hAnsi="Times New Roman" w:cs="Times New Roman"/>
          <w:color w:val="auto"/>
          <w:sz w:val="22"/>
          <w:szCs w:val="22"/>
          <w:lang w:val="sr-Latn-ME"/>
        </w:rPr>
        <w:t>j fazi studije (OL LI) pacijenti</w:t>
      </w:r>
      <w:r w:rsidR="005D003D" w:rsidRPr="00AD3B49">
        <w:rPr>
          <w:rFonts w:ascii="Times New Roman" w:hAnsi="Times New Roman" w:cs="Times New Roman"/>
          <w:color w:val="auto"/>
          <w:sz w:val="22"/>
          <w:szCs w:val="22"/>
          <w:lang w:val="sr-Latn-ME"/>
        </w:rPr>
        <w:t xml:space="preserve"> su podijeljeni u dvije grupe, jedna koja je prethodno uzimala metotreksat (označena s MTX) i ona koja nije (označena s</w:t>
      </w:r>
      <w:r w:rsidR="00B5589F" w:rsidRPr="00AD3B49">
        <w:rPr>
          <w:rFonts w:ascii="Times New Roman" w:hAnsi="Times New Roman" w:cs="Times New Roman"/>
          <w:color w:val="auto"/>
          <w:sz w:val="22"/>
          <w:szCs w:val="22"/>
          <w:lang w:val="sr-Latn-ME"/>
        </w:rPr>
        <w:t>a</w:t>
      </w:r>
      <w:r w:rsidR="005D003D" w:rsidRPr="00AD3B49">
        <w:rPr>
          <w:rFonts w:ascii="Times New Roman" w:hAnsi="Times New Roman" w:cs="Times New Roman"/>
          <w:color w:val="auto"/>
          <w:sz w:val="22"/>
          <w:szCs w:val="22"/>
          <w:lang w:val="sr-Latn-ME"/>
        </w:rPr>
        <w:t xml:space="preserve"> non-MTX).  </w:t>
      </w:r>
      <w:r w:rsidR="004B02DE" w:rsidRPr="00AD3B49">
        <w:rPr>
          <w:rFonts w:ascii="Times New Roman" w:hAnsi="Times New Roman" w:cs="Times New Roman"/>
          <w:color w:val="auto"/>
          <w:sz w:val="22"/>
          <w:szCs w:val="22"/>
          <w:lang w:val="sr-Latn-ME"/>
        </w:rPr>
        <w:t>Pacijenti</w:t>
      </w:r>
      <w:r w:rsidR="005D003D" w:rsidRPr="00AD3B49">
        <w:rPr>
          <w:rFonts w:ascii="Times New Roman" w:hAnsi="Times New Roman" w:cs="Times New Roman"/>
          <w:color w:val="auto"/>
          <w:sz w:val="22"/>
          <w:szCs w:val="22"/>
          <w:lang w:val="sr-Latn-ME"/>
        </w:rPr>
        <w:t xml:space="preserve"> u non-MTX grupi ili nikad nisu uzimali metotreksat ili su ga pr</w:t>
      </w:r>
      <w:r w:rsidR="004B02DE" w:rsidRPr="00AD3B49">
        <w:rPr>
          <w:rFonts w:ascii="Times New Roman" w:hAnsi="Times New Roman" w:cs="Times New Roman"/>
          <w:color w:val="auto"/>
          <w:sz w:val="22"/>
          <w:szCs w:val="22"/>
          <w:lang w:val="sr-Latn-ME"/>
        </w:rPr>
        <w:t xml:space="preserve">estali uzimati bar dvije </w:t>
      </w:r>
      <w:r w:rsidR="000B016F" w:rsidRPr="00AD3B49">
        <w:rPr>
          <w:rFonts w:ascii="Times New Roman" w:hAnsi="Times New Roman" w:cs="Times New Roman"/>
          <w:color w:val="auto"/>
          <w:sz w:val="22"/>
          <w:szCs w:val="22"/>
          <w:lang w:val="sr-Latn-ME"/>
        </w:rPr>
        <w:t>nedjelje</w:t>
      </w:r>
      <w:r w:rsidR="005D003D" w:rsidRPr="00AD3B49">
        <w:rPr>
          <w:rFonts w:ascii="Times New Roman" w:hAnsi="Times New Roman" w:cs="Times New Roman"/>
          <w:color w:val="auto"/>
          <w:sz w:val="22"/>
          <w:szCs w:val="22"/>
          <w:lang w:val="sr-Latn-ME"/>
        </w:rPr>
        <w:t xml:space="preserve"> prije uzimanja ispitivanog lijeka. </w:t>
      </w:r>
      <w:r w:rsidR="004B02DE" w:rsidRPr="00AD3B49">
        <w:rPr>
          <w:rFonts w:ascii="Times New Roman" w:hAnsi="Times New Roman" w:cs="Times New Roman"/>
          <w:color w:val="auto"/>
          <w:sz w:val="22"/>
          <w:szCs w:val="22"/>
          <w:lang w:val="sr-Latn-ME"/>
        </w:rPr>
        <w:t>Pacijenti</w:t>
      </w:r>
      <w:r w:rsidR="005D003D" w:rsidRPr="00AD3B49">
        <w:rPr>
          <w:rFonts w:ascii="Times New Roman" w:hAnsi="Times New Roman" w:cs="Times New Roman"/>
          <w:color w:val="auto"/>
          <w:sz w:val="22"/>
          <w:szCs w:val="22"/>
          <w:lang w:val="sr-Latn-ME"/>
        </w:rPr>
        <w:t xml:space="preserve"> su i dalje uzimali stabilne doze NSAID i/ili prednizona (≤</w:t>
      </w:r>
      <w:r w:rsidR="00B5589F" w:rsidRPr="00AD3B49">
        <w:rPr>
          <w:rFonts w:ascii="Times New Roman" w:hAnsi="Times New Roman" w:cs="Times New Roman"/>
          <w:color w:val="auto"/>
          <w:sz w:val="22"/>
          <w:szCs w:val="22"/>
          <w:lang w:val="sr-Latn-ME"/>
        </w:rPr>
        <w:t xml:space="preserve"> </w:t>
      </w:r>
      <w:r w:rsidR="005D003D" w:rsidRPr="00AD3B49">
        <w:rPr>
          <w:rFonts w:ascii="Times New Roman" w:hAnsi="Times New Roman" w:cs="Times New Roman"/>
          <w:color w:val="auto"/>
          <w:sz w:val="22"/>
          <w:szCs w:val="22"/>
          <w:lang w:val="sr-Latn-ME"/>
        </w:rPr>
        <w:t xml:space="preserve">0,2 mg/kg/dan ili najviše 10 mg/dan). U ovoj fazi studije (OL LI) </w:t>
      </w:r>
      <w:r w:rsidR="004B02DE" w:rsidRPr="00AD3B49">
        <w:rPr>
          <w:rFonts w:ascii="Times New Roman" w:hAnsi="Times New Roman" w:cs="Times New Roman"/>
          <w:color w:val="auto"/>
          <w:sz w:val="22"/>
          <w:szCs w:val="22"/>
          <w:lang w:val="sr-Latn-ME"/>
        </w:rPr>
        <w:t>pacijenti</w:t>
      </w:r>
      <w:r w:rsidR="005D003D" w:rsidRPr="00AD3B49">
        <w:rPr>
          <w:rFonts w:ascii="Times New Roman" w:hAnsi="Times New Roman" w:cs="Times New Roman"/>
          <w:color w:val="auto"/>
          <w:sz w:val="22"/>
          <w:szCs w:val="22"/>
          <w:lang w:val="sr-Latn-ME"/>
        </w:rPr>
        <w:t xml:space="preserve"> su primali 24 mg/m</w:t>
      </w:r>
      <w:r w:rsidR="005D003D" w:rsidRPr="00AD3B49">
        <w:rPr>
          <w:rFonts w:ascii="Times New Roman" w:hAnsi="Times New Roman" w:cs="Times New Roman"/>
          <w:color w:val="auto"/>
          <w:sz w:val="22"/>
          <w:szCs w:val="22"/>
          <w:vertAlign w:val="superscript"/>
          <w:lang w:val="sr-Latn-ME"/>
        </w:rPr>
        <w:t>2</w:t>
      </w:r>
      <w:r w:rsidR="005D003D" w:rsidRPr="00AD3B49">
        <w:rPr>
          <w:rFonts w:ascii="Times New Roman" w:hAnsi="Times New Roman" w:cs="Times New Roman"/>
          <w:color w:val="auto"/>
          <w:sz w:val="22"/>
          <w:szCs w:val="22"/>
          <w:lang w:val="sr-Latn-ME"/>
        </w:rPr>
        <w:t xml:space="preserve"> </w:t>
      </w:r>
      <w:r w:rsidR="0082613A" w:rsidRPr="00AD3B49">
        <w:rPr>
          <w:rFonts w:ascii="Times New Roman" w:hAnsi="Times New Roman" w:cs="Times New Roman"/>
          <w:color w:val="auto"/>
          <w:sz w:val="22"/>
          <w:szCs w:val="22"/>
          <w:lang w:val="sr-Latn-ME"/>
        </w:rPr>
        <w:t xml:space="preserve">lijeka </w:t>
      </w:r>
      <w:r w:rsidR="005D003D"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005D003D" w:rsidRPr="00AD3B49">
        <w:rPr>
          <w:rFonts w:ascii="Times New Roman" w:hAnsi="Times New Roman" w:cs="Times New Roman"/>
          <w:color w:val="auto"/>
          <w:sz w:val="22"/>
          <w:szCs w:val="22"/>
          <w:lang w:val="sr-Latn-ME"/>
        </w:rPr>
        <w:t xml:space="preserve"> do maksimalne doze od 4</w:t>
      </w:r>
      <w:r w:rsidR="004B02DE" w:rsidRPr="00AD3B49">
        <w:rPr>
          <w:rFonts w:ascii="Times New Roman" w:hAnsi="Times New Roman" w:cs="Times New Roman"/>
          <w:color w:val="auto"/>
          <w:sz w:val="22"/>
          <w:szCs w:val="22"/>
          <w:lang w:val="sr-Latn-ME"/>
        </w:rPr>
        <w:t xml:space="preserve">0 mg </w:t>
      </w:r>
      <w:r w:rsidR="0082613A" w:rsidRPr="00AD3B49">
        <w:rPr>
          <w:rFonts w:ascii="Times New Roman" w:hAnsi="Times New Roman" w:cs="Times New Roman"/>
          <w:color w:val="auto"/>
          <w:sz w:val="22"/>
          <w:szCs w:val="22"/>
          <w:lang w:val="sr-Latn-ME"/>
        </w:rPr>
        <w:t xml:space="preserve">lijeka </w:t>
      </w:r>
      <w:r w:rsidR="004B02DE"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004B02DE" w:rsidRPr="00AD3B49">
        <w:rPr>
          <w:rFonts w:ascii="Times New Roman" w:hAnsi="Times New Roman" w:cs="Times New Roman"/>
          <w:color w:val="auto"/>
          <w:sz w:val="22"/>
          <w:szCs w:val="22"/>
          <w:lang w:val="sr-Latn-ME"/>
        </w:rPr>
        <w:t xml:space="preserve">, svake druge </w:t>
      </w:r>
      <w:r w:rsidR="000B016F" w:rsidRPr="00AD3B49">
        <w:rPr>
          <w:rFonts w:ascii="Times New Roman" w:hAnsi="Times New Roman" w:cs="Times New Roman"/>
          <w:color w:val="auto"/>
          <w:sz w:val="22"/>
          <w:szCs w:val="22"/>
          <w:lang w:val="sr-Latn-ME"/>
        </w:rPr>
        <w:t>nedjelje</w:t>
      </w:r>
      <w:r w:rsidR="004B02DE" w:rsidRPr="00AD3B49">
        <w:rPr>
          <w:rFonts w:ascii="Times New Roman" w:hAnsi="Times New Roman" w:cs="Times New Roman"/>
          <w:color w:val="auto"/>
          <w:sz w:val="22"/>
          <w:szCs w:val="22"/>
          <w:lang w:val="sr-Latn-ME"/>
        </w:rPr>
        <w:t xml:space="preserve"> tokom 16 </w:t>
      </w:r>
      <w:r w:rsidR="000B016F" w:rsidRPr="00AD3B49">
        <w:rPr>
          <w:rFonts w:ascii="Times New Roman" w:hAnsi="Times New Roman" w:cs="Times New Roman"/>
          <w:color w:val="auto"/>
          <w:sz w:val="22"/>
          <w:szCs w:val="22"/>
          <w:lang w:val="sr-Latn-ME"/>
        </w:rPr>
        <w:t>nedjelja</w:t>
      </w:r>
      <w:r w:rsidR="005D003D" w:rsidRPr="00AD3B49">
        <w:rPr>
          <w:rFonts w:ascii="Times New Roman" w:hAnsi="Times New Roman" w:cs="Times New Roman"/>
          <w:color w:val="auto"/>
          <w:sz w:val="22"/>
          <w:szCs w:val="22"/>
          <w:lang w:val="sr-Latn-ME"/>
        </w:rPr>
        <w:t xml:space="preserve">. Raspored </w:t>
      </w:r>
      <w:r w:rsidR="004B02DE" w:rsidRPr="00AD3B49">
        <w:rPr>
          <w:rFonts w:ascii="Times New Roman" w:hAnsi="Times New Roman" w:cs="Times New Roman"/>
          <w:color w:val="auto"/>
          <w:sz w:val="22"/>
          <w:szCs w:val="22"/>
          <w:lang w:val="sr-Latn-ME"/>
        </w:rPr>
        <w:t>pacijenata</w:t>
      </w:r>
      <w:r w:rsidR="005D003D" w:rsidRPr="00AD3B49">
        <w:rPr>
          <w:rFonts w:ascii="Times New Roman" w:hAnsi="Times New Roman" w:cs="Times New Roman"/>
          <w:color w:val="auto"/>
          <w:sz w:val="22"/>
          <w:szCs w:val="22"/>
          <w:lang w:val="sr-Latn-ME"/>
        </w:rPr>
        <w:t xml:space="preserve"> prema dobi, te minimalnoj i maksimalnoj dozi i medijan</w:t>
      </w:r>
      <w:r w:rsidR="00B5589F" w:rsidRPr="00AD3B49">
        <w:rPr>
          <w:rFonts w:ascii="Times New Roman" w:hAnsi="Times New Roman" w:cs="Times New Roman"/>
          <w:color w:val="auto"/>
          <w:sz w:val="22"/>
          <w:szCs w:val="22"/>
          <w:lang w:val="sr-Latn-ME"/>
        </w:rPr>
        <w:t>i</w:t>
      </w:r>
      <w:r w:rsidR="005D003D" w:rsidRPr="00AD3B49">
        <w:rPr>
          <w:rFonts w:ascii="Times New Roman" w:hAnsi="Times New Roman" w:cs="Times New Roman"/>
          <w:color w:val="auto"/>
          <w:sz w:val="22"/>
          <w:szCs w:val="22"/>
          <w:lang w:val="sr-Latn-ME"/>
        </w:rPr>
        <w:t xml:space="preserve"> doze tokom faze </w:t>
      </w:r>
      <w:r w:rsidR="00BF1A48" w:rsidRPr="00AD3B49">
        <w:rPr>
          <w:rFonts w:ascii="Times New Roman" w:hAnsi="Times New Roman" w:cs="Times New Roman"/>
          <w:color w:val="auto"/>
          <w:sz w:val="22"/>
          <w:szCs w:val="22"/>
          <w:lang w:val="sr-Latn-ME"/>
        </w:rPr>
        <w:t>(OL LI), prikazani su u Tabeli 7</w:t>
      </w:r>
      <w:r w:rsidR="005D003D" w:rsidRPr="00AD3B49">
        <w:rPr>
          <w:rFonts w:ascii="Times New Roman" w:hAnsi="Times New Roman" w:cs="Times New Roman"/>
          <w:color w:val="auto"/>
          <w:sz w:val="22"/>
          <w:szCs w:val="22"/>
          <w:lang w:val="sr-Latn-ME"/>
        </w:rPr>
        <w:t xml:space="preserve">. </w:t>
      </w:r>
    </w:p>
    <w:p w:rsidR="005D003D" w:rsidRPr="00AD3B49" w:rsidRDefault="00BF1A48" w:rsidP="006B0826">
      <w:pPr>
        <w:pStyle w:val="Default"/>
        <w:jc w:val="center"/>
        <w:rPr>
          <w:rFonts w:ascii="Times New Roman" w:hAnsi="Times New Roman" w:cs="Times New Roman"/>
          <w:b/>
          <w:color w:val="auto"/>
          <w:sz w:val="22"/>
          <w:szCs w:val="22"/>
          <w:lang w:val="sr-Latn-ME"/>
        </w:rPr>
      </w:pPr>
      <w:r w:rsidRPr="00AD3B49">
        <w:rPr>
          <w:rFonts w:ascii="Times New Roman" w:hAnsi="Times New Roman" w:cs="Times New Roman"/>
          <w:b/>
          <w:color w:val="auto"/>
          <w:sz w:val="22"/>
          <w:szCs w:val="22"/>
          <w:lang w:val="sr-Latn-ME"/>
        </w:rPr>
        <w:t>Tabela 7</w:t>
      </w:r>
      <w:r w:rsidR="005D003D" w:rsidRPr="00AD3B49">
        <w:rPr>
          <w:rFonts w:ascii="Times New Roman" w:hAnsi="Times New Roman" w:cs="Times New Roman"/>
          <w:b/>
          <w:color w:val="auto"/>
          <w:sz w:val="22"/>
          <w:szCs w:val="22"/>
          <w:lang w:val="sr-Latn-ME"/>
        </w:rPr>
        <w:t>.</w:t>
      </w:r>
    </w:p>
    <w:p w:rsidR="005D003D" w:rsidRPr="00AD3B49" w:rsidRDefault="004B02DE" w:rsidP="006B0826">
      <w:pPr>
        <w:pStyle w:val="Default"/>
        <w:ind w:left="567" w:hanging="567"/>
        <w:jc w:val="center"/>
        <w:rPr>
          <w:rFonts w:ascii="Times New Roman" w:hAnsi="Times New Roman" w:cs="Times New Roman"/>
          <w:b/>
          <w:color w:val="auto"/>
          <w:sz w:val="22"/>
          <w:szCs w:val="22"/>
          <w:lang w:val="sr-Latn-ME"/>
        </w:rPr>
      </w:pPr>
      <w:r w:rsidRPr="00AD3B49">
        <w:rPr>
          <w:rFonts w:ascii="Times New Roman" w:hAnsi="Times New Roman" w:cs="Times New Roman"/>
          <w:b/>
          <w:color w:val="auto"/>
          <w:sz w:val="22"/>
          <w:szCs w:val="22"/>
          <w:lang w:val="sr-Latn-ME"/>
        </w:rPr>
        <w:t>Raspored pacijenata</w:t>
      </w:r>
      <w:r w:rsidR="005D003D" w:rsidRPr="00AD3B49">
        <w:rPr>
          <w:rFonts w:ascii="Times New Roman" w:hAnsi="Times New Roman" w:cs="Times New Roman"/>
          <w:b/>
          <w:color w:val="auto"/>
          <w:sz w:val="22"/>
          <w:szCs w:val="22"/>
          <w:lang w:val="sr-Latn-ME"/>
        </w:rPr>
        <w:t xml:space="preserve"> prema dobi i dozi adalimumaba primljenoj u OL LI</w:t>
      </w:r>
    </w:p>
    <w:p w:rsidR="005D003D" w:rsidRPr="00AD3B49" w:rsidRDefault="005D003D" w:rsidP="00A801D9">
      <w:pPr>
        <w:pStyle w:val="Default"/>
        <w:ind w:left="567" w:hanging="567"/>
        <w:jc w:val="center"/>
        <w:rPr>
          <w:rFonts w:ascii="Times New Roman" w:hAnsi="Times New Roman" w:cs="Times New Roman"/>
          <w:b/>
          <w:color w:val="auto"/>
          <w:sz w:val="22"/>
          <w:szCs w:val="22"/>
          <w:lang w:val="sr-Latn-ME"/>
        </w:rPr>
      </w:pPr>
      <w:r w:rsidRPr="00AD3B49">
        <w:rPr>
          <w:rFonts w:ascii="Times New Roman" w:hAnsi="Times New Roman" w:cs="Times New Roman"/>
          <w:b/>
          <w:color w:val="auto"/>
          <w:sz w:val="22"/>
          <w:szCs w:val="22"/>
          <w:lang w:val="sr-Latn-ME"/>
        </w:rPr>
        <w:t>fazi studije</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3156"/>
        <w:gridCol w:w="2959"/>
      </w:tblGrid>
      <w:tr w:rsidR="005D003D" w:rsidRPr="00AD3B49" w:rsidTr="005D003D">
        <w:tc>
          <w:tcPr>
            <w:tcW w:w="3177" w:type="dxa"/>
            <w:tcBorders>
              <w:top w:val="single" w:sz="4" w:space="0" w:color="auto"/>
              <w:left w:val="single" w:sz="4" w:space="0" w:color="auto"/>
              <w:bottom w:val="single" w:sz="4" w:space="0" w:color="auto"/>
              <w:right w:val="single" w:sz="4" w:space="0" w:color="auto"/>
            </w:tcBorders>
          </w:tcPr>
          <w:p w:rsidR="005D003D" w:rsidRPr="00AD3B49" w:rsidRDefault="005D003D" w:rsidP="006B0826">
            <w:pPr>
              <w:pStyle w:val="Default"/>
              <w:ind w:left="567" w:hanging="567"/>
              <w:jc w:val="center"/>
              <w:rPr>
                <w:rFonts w:ascii="Times New Roman" w:hAnsi="Times New Roman" w:cs="Times New Roman"/>
                <w:b/>
                <w:bCs/>
                <w:color w:val="auto"/>
                <w:sz w:val="22"/>
                <w:szCs w:val="22"/>
                <w:lang w:val="sr-Latn-ME"/>
              </w:rPr>
            </w:pPr>
            <w:r w:rsidRPr="00AD3B49">
              <w:rPr>
                <w:rFonts w:ascii="Times New Roman" w:hAnsi="Times New Roman" w:cs="Times New Roman"/>
                <w:b/>
                <w:bCs/>
                <w:color w:val="auto"/>
                <w:sz w:val="22"/>
                <w:szCs w:val="22"/>
                <w:lang w:val="sr-Latn-ME"/>
              </w:rPr>
              <w:t>Starosne grupe</w:t>
            </w:r>
          </w:p>
        </w:tc>
        <w:tc>
          <w:tcPr>
            <w:tcW w:w="3525" w:type="dxa"/>
            <w:tcBorders>
              <w:top w:val="single" w:sz="4" w:space="0" w:color="auto"/>
              <w:left w:val="single" w:sz="4" w:space="0" w:color="auto"/>
              <w:bottom w:val="single" w:sz="4" w:space="0" w:color="auto"/>
              <w:right w:val="single" w:sz="4" w:space="0" w:color="auto"/>
            </w:tcBorders>
          </w:tcPr>
          <w:p w:rsidR="005D003D" w:rsidRPr="00AD3B49" w:rsidRDefault="004B02DE" w:rsidP="006B0826">
            <w:pPr>
              <w:pStyle w:val="Default"/>
              <w:ind w:left="567" w:hanging="567"/>
              <w:jc w:val="center"/>
              <w:rPr>
                <w:rFonts w:ascii="Times New Roman" w:hAnsi="Times New Roman" w:cs="Times New Roman"/>
                <w:b/>
                <w:bCs/>
                <w:color w:val="auto"/>
                <w:sz w:val="22"/>
                <w:szCs w:val="22"/>
                <w:lang w:val="sr-Latn-ME"/>
              </w:rPr>
            </w:pPr>
            <w:r w:rsidRPr="00AD3B49">
              <w:rPr>
                <w:rFonts w:ascii="Times New Roman" w:hAnsi="Times New Roman" w:cs="Times New Roman"/>
                <w:b/>
                <w:bCs/>
                <w:color w:val="auto"/>
                <w:sz w:val="22"/>
                <w:szCs w:val="22"/>
                <w:lang w:val="sr-Latn-ME"/>
              </w:rPr>
              <w:t>Početni broj pacijenata</w:t>
            </w:r>
            <w:r w:rsidR="005D003D" w:rsidRPr="00AD3B49">
              <w:rPr>
                <w:rFonts w:ascii="Times New Roman" w:hAnsi="Times New Roman" w:cs="Times New Roman"/>
                <w:b/>
                <w:bCs/>
                <w:color w:val="auto"/>
                <w:sz w:val="22"/>
                <w:szCs w:val="22"/>
                <w:lang w:val="sr-Latn-ME"/>
              </w:rPr>
              <w:t xml:space="preserve"> n(%)</w:t>
            </w:r>
          </w:p>
        </w:tc>
        <w:tc>
          <w:tcPr>
            <w:tcW w:w="3258" w:type="dxa"/>
            <w:tcBorders>
              <w:top w:val="single" w:sz="4" w:space="0" w:color="auto"/>
              <w:left w:val="single" w:sz="4" w:space="0" w:color="auto"/>
              <w:bottom w:val="single" w:sz="4" w:space="0" w:color="auto"/>
              <w:right w:val="single" w:sz="4" w:space="0" w:color="auto"/>
            </w:tcBorders>
          </w:tcPr>
          <w:p w:rsidR="005D003D" w:rsidRPr="00AD3B49" w:rsidRDefault="005D003D" w:rsidP="006B0826">
            <w:pPr>
              <w:pStyle w:val="Default"/>
              <w:jc w:val="center"/>
              <w:rPr>
                <w:rFonts w:ascii="Times New Roman" w:hAnsi="Times New Roman" w:cs="Times New Roman"/>
                <w:b/>
                <w:bCs/>
                <w:color w:val="auto"/>
                <w:sz w:val="22"/>
                <w:szCs w:val="22"/>
                <w:lang w:val="sr-Latn-ME"/>
              </w:rPr>
            </w:pPr>
            <w:r w:rsidRPr="00AD3B49">
              <w:rPr>
                <w:rFonts w:ascii="Times New Roman" w:hAnsi="Times New Roman" w:cs="Times New Roman"/>
                <w:b/>
                <w:bCs/>
                <w:color w:val="auto"/>
                <w:sz w:val="22"/>
                <w:szCs w:val="22"/>
                <w:lang w:val="sr-Latn-ME"/>
              </w:rPr>
              <w:t>Minimalna doza, medijan</w:t>
            </w:r>
            <w:r w:rsidR="00B5589F" w:rsidRPr="00AD3B49">
              <w:rPr>
                <w:rFonts w:ascii="Times New Roman" w:hAnsi="Times New Roman" w:cs="Times New Roman"/>
                <w:b/>
                <w:bCs/>
                <w:color w:val="auto"/>
                <w:sz w:val="22"/>
                <w:szCs w:val="22"/>
                <w:lang w:val="sr-Latn-ME"/>
              </w:rPr>
              <w:t>a</w:t>
            </w:r>
            <w:r w:rsidRPr="00AD3B49">
              <w:rPr>
                <w:rFonts w:ascii="Times New Roman" w:hAnsi="Times New Roman" w:cs="Times New Roman"/>
                <w:b/>
                <w:bCs/>
                <w:color w:val="auto"/>
                <w:sz w:val="22"/>
                <w:szCs w:val="22"/>
                <w:lang w:val="sr-Latn-ME"/>
              </w:rPr>
              <w:t xml:space="preserve"> doze i maksimalna doza</w:t>
            </w:r>
          </w:p>
        </w:tc>
      </w:tr>
      <w:tr w:rsidR="005D003D" w:rsidRPr="00AD3B49" w:rsidTr="005D003D">
        <w:tc>
          <w:tcPr>
            <w:tcW w:w="3177" w:type="dxa"/>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ind w:left="567" w:hanging="567"/>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4 do 7 godina</w:t>
            </w:r>
          </w:p>
        </w:tc>
        <w:tc>
          <w:tcPr>
            <w:tcW w:w="3525" w:type="dxa"/>
            <w:tcBorders>
              <w:top w:val="single" w:sz="4" w:space="0" w:color="auto"/>
              <w:left w:val="single" w:sz="4" w:space="0" w:color="auto"/>
              <w:bottom w:val="single" w:sz="4" w:space="0" w:color="auto"/>
              <w:right w:val="single" w:sz="4" w:space="0" w:color="auto"/>
            </w:tcBorders>
          </w:tcPr>
          <w:p w:rsidR="005D003D" w:rsidRPr="00AD3B49" w:rsidRDefault="005D003D" w:rsidP="00081E42">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31 (18,1)</w:t>
            </w:r>
          </w:p>
        </w:tc>
        <w:tc>
          <w:tcPr>
            <w:tcW w:w="3258" w:type="dxa"/>
            <w:tcBorders>
              <w:top w:val="single" w:sz="4" w:space="0" w:color="auto"/>
              <w:left w:val="single" w:sz="4" w:space="0" w:color="auto"/>
              <w:bottom w:val="single" w:sz="4" w:space="0" w:color="auto"/>
              <w:right w:val="single" w:sz="4" w:space="0" w:color="auto"/>
            </w:tcBorders>
          </w:tcPr>
          <w:p w:rsidR="005D003D" w:rsidRPr="00AD3B49" w:rsidRDefault="005D003D" w:rsidP="00081E42">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10, 20 i 25 mg</w:t>
            </w:r>
          </w:p>
        </w:tc>
      </w:tr>
      <w:tr w:rsidR="005D003D" w:rsidRPr="00AD3B49" w:rsidTr="005D003D">
        <w:tc>
          <w:tcPr>
            <w:tcW w:w="3177" w:type="dxa"/>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ind w:left="567" w:hanging="567"/>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8 do 12 godina</w:t>
            </w:r>
          </w:p>
        </w:tc>
        <w:tc>
          <w:tcPr>
            <w:tcW w:w="3525" w:type="dxa"/>
            <w:tcBorders>
              <w:top w:val="single" w:sz="4" w:space="0" w:color="auto"/>
              <w:left w:val="single" w:sz="4" w:space="0" w:color="auto"/>
              <w:bottom w:val="single" w:sz="4" w:space="0" w:color="auto"/>
              <w:right w:val="single" w:sz="4" w:space="0" w:color="auto"/>
            </w:tcBorders>
          </w:tcPr>
          <w:p w:rsidR="005D003D" w:rsidRPr="00AD3B49" w:rsidRDefault="005D003D" w:rsidP="00081E42">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71 (41,5)</w:t>
            </w:r>
          </w:p>
        </w:tc>
        <w:tc>
          <w:tcPr>
            <w:tcW w:w="3258" w:type="dxa"/>
            <w:tcBorders>
              <w:top w:val="single" w:sz="4" w:space="0" w:color="auto"/>
              <w:left w:val="single" w:sz="4" w:space="0" w:color="auto"/>
              <w:bottom w:val="single" w:sz="4" w:space="0" w:color="auto"/>
              <w:right w:val="single" w:sz="4" w:space="0" w:color="auto"/>
            </w:tcBorders>
          </w:tcPr>
          <w:p w:rsidR="005D003D" w:rsidRPr="00AD3B49" w:rsidRDefault="005D003D" w:rsidP="00081E42">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20, 25 i 40 mg</w:t>
            </w:r>
          </w:p>
        </w:tc>
      </w:tr>
      <w:tr w:rsidR="005D003D" w:rsidRPr="00AD3B49" w:rsidTr="005D003D">
        <w:tc>
          <w:tcPr>
            <w:tcW w:w="3177" w:type="dxa"/>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ind w:left="567" w:hanging="567"/>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13 do 17 godina</w:t>
            </w:r>
          </w:p>
        </w:tc>
        <w:tc>
          <w:tcPr>
            <w:tcW w:w="3525" w:type="dxa"/>
            <w:tcBorders>
              <w:top w:val="single" w:sz="4" w:space="0" w:color="auto"/>
              <w:left w:val="single" w:sz="4" w:space="0" w:color="auto"/>
              <w:bottom w:val="single" w:sz="4" w:space="0" w:color="auto"/>
              <w:right w:val="single" w:sz="4" w:space="0" w:color="auto"/>
            </w:tcBorders>
          </w:tcPr>
          <w:p w:rsidR="005D003D" w:rsidRPr="00AD3B49" w:rsidRDefault="005D003D" w:rsidP="00081E42">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69 (40,4)</w:t>
            </w:r>
          </w:p>
        </w:tc>
        <w:tc>
          <w:tcPr>
            <w:tcW w:w="3258" w:type="dxa"/>
            <w:tcBorders>
              <w:top w:val="single" w:sz="4" w:space="0" w:color="auto"/>
              <w:left w:val="single" w:sz="4" w:space="0" w:color="auto"/>
              <w:bottom w:val="single" w:sz="4" w:space="0" w:color="auto"/>
              <w:right w:val="single" w:sz="4" w:space="0" w:color="auto"/>
            </w:tcBorders>
          </w:tcPr>
          <w:p w:rsidR="005D003D" w:rsidRPr="00AD3B49" w:rsidRDefault="005D003D" w:rsidP="00081E42">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25, 40 i 40 mg</w:t>
            </w:r>
          </w:p>
        </w:tc>
      </w:tr>
    </w:tbl>
    <w:p w:rsidR="004B02DE" w:rsidRPr="00AD3B49" w:rsidRDefault="004B02DE" w:rsidP="005D003D">
      <w:pPr>
        <w:pStyle w:val="Default"/>
        <w:ind w:left="567" w:hanging="567"/>
        <w:jc w:val="both"/>
        <w:rPr>
          <w:rFonts w:ascii="Times New Roman" w:hAnsi="Times New Roman" w:cs="Times New Roman"/>
          <w:color w:val="auto"/>
          <w:sz w:val="22"/>
          <w:szCs w:val="22"/>
          <w:lang w:val="sr-Latn-ME"/>
        </w:rPr>
      </w:pPr>
    </w:p>
    <w:p w:rsidR="0003021B" w:rsidRPr="00AD3B49" w:rsidRDefault="004B02DE" w:rsidP="00BF1A48">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P</w:t>
      </w:r>
      <w:r w:rsidR="00081E42"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cijenti koji su u 16-oj </w:t>
      </w:r>
      <w:r w:rsidR="000B016F" w:rsidRPr="00AD3B49">
        <w:rPr>
          <w:rFonts w:ascii="Times New Roman" w:hAnsi="Times New Roman" w:cs="Times New Roman"/>
          <w:color w:val="auto"/>
          <w:sz w:val="22"/>
          <w:szCs w:val="22"/>
          <w:lang w:val="sr-Latn-ME"/>
        </w:rPr>
        <w:t>nedjelji</w:t>
      </w:r>
      <w:r w:rsidR="005D003D" w:rsidRPr="00AD3B49">
        <w:rPr>
          <w:rFonts w:ascii="Times New Roman" w:hAnsi="Times New Roman" w:cs="Times New Roman"/>
          <w:color w:val="auto"/>
          <w:sz w:val="22"/>
          <w:szCs w:val="22"/>
          <w:lang w:val="sr-Latn-ME"/>
        </w:rPr>
        <w:t xml:space="preserve"> pokazali klinički odgovor koji odgovara</w:t>
      </w:r>
      <w:r w:rsidR="0011658F" w:rsidRPr="00AD3B49">
        <w:rPr>
          <w:rFonts w:ascii="Times New Roman" w:hAnsi="Times New Roman" w:cs="Times New Roman"/>
          <w:color w:val="auto"/>
          <w:sz w:val="22"/>
          <w:szCs w:val="22"/>
          <w:lang w:val="sr-Latn-ME"/>
        </w:rPr>
        <w:t xml:space="preserve"> Pediatric ACR 30, randomizovani</w:t>
      </w:r>
      <w:r w:rsidR="005D003D" w:rsidRPr="00AD3B49">
        <w:rPr>
          <w:rFonts w:ascii="Times New Roman" w:hAnsi="Times New Roman" w:cs="Times New Roman"/>
          <w:color w:val="auto"/>
          <w:sz w:val="22"/>
          <w:szCs w:val="22"/>
          <w:lang w:val="sr-Latn-ME"/>
        </w:rPr>
        <w:t xml:space="preserve"> su u dvostruko slijepu fazu studije i primili 24 mg/m</w:t>
      </w:r>
      <w:r w:rsidR="005D003D" w:rsidRPr="00AD3B49">
        <w:rPr>
          <w:rFonts w:ascii="Times New Roman" w:hAnsi="Times New Roman" w:cs="Times New Roman"/>
          <w:color w:val="auto"/>
          <w:sz w:val="22"/>
          <w:szCs w:val="22"/>
          <w:vertAlign w:val="superscript"/>
          <w:lang w:val="sr-Latn-ME"/>
        </w:rPr>
        <w:t>2</w:t>
      </w:r>
      <w:r w:rsidR="005D003D" w:rsidRPr="00AD3B49">
        <w:rPr>
          <w:rFonts w:ascii="Times New Roman" w:hAnsi="Times New Roman" w:cs="Times New Roman"/>
          <w:color w:val="auto"/>
          <w:sz w:val="22"/>
          <w:szCs w:val="22"/>
          <w:lang w:val="sr-Latn-ME"/>
        </w:rPr>
        <w:t xml:space="preserve"> </w:t>
      </w:r>
      <w:r w:rsidR="0082613A" w:rsidRPr="00AD3B49">
        <w:rPr>
          <w:rFonts w:ascii="Times New Roman" w:hAnsi="Times New Roman" w:cs="Times New Roman"/>
          <w:color w:val="auto"/>
          <w:sz w:val="22"/>
          <w:szCs w:val="22"/>
          <w:lang w:val="sr-Latn-ME"/>
        </w:rPr>
        <w:t xml:space="preserve">lijeka </w:t>
      </w:r>
      <w:r w:rsidR="005D003D"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005D003D" w:rsidRPr="00AD3B49">
        <w:rPr>
          <w:rFonts w:ascii="Times New Roman" w:hAnsi="Times New Roman" w:cs="Times New Roman"/>
          <w:color w:val="auto"/>
          <w:sz w:val="22"/>
          <w:szCs w:val="22"/>
          <w:lang w:val="sr-Latn-ME"/>
        </w:rPr>
        <w:t xml:space="preserve">, do maksimalne doze od 40 mg </w:t>
      </w:r>
      <w:r w:rsidR="0082613A" w:rsidRPr="00AD3B49">
        <w:rPr>
          <w:rFonts w:ascii="Times New Roman" w:hAnsi="Times New Roman" w:cs="Times New Roman"/>
          <w:color w:val="auto"/>
          <w:sz w:val="22"/>
          <w:szCs w:val="22"/>
          <w:lang w:val="sr-Latn-ME"/>
        </w:rPr>
        <w:t xml:space="preserve">lijeka </w:t>
      </w:r>
      <w:r w:rsidR="005D003D"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005D003D" w:rsidRPr="00AD3B49">
        <w:rPr>
          <w:rFonts w:ascii="Times New Roman" w:hAnsi="Times New Roman" w:cs="Times New Roman"/>
          <w:color w:val="auto"/>
          <w:sz w:val="22"/>
          <w:szCs w:val="22"/>
          <w:lang w:val="sr-Latn-ME"/>
        </w:rPr>
        <w:t>, odno</w:t>
      </w:r>
      <w:r w:rsidRPr="00AD3B49">
        <w:rPr>
          <w:rFonts w:ascii="Times New Roman" w:hAnsi="Times New Roman" w:cs="Times New Roman"/>
          <w:color w:val="auto"/>
          <w:sz w:val="22"/>
          <w:szCs w:val="22"/>
          <w:lang w:val="sr-Latn-ME"/>
        </w:rPr>
        <w:t xml:space="preserve">sno placebo, svake druge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tokom 32 </w:t>
      </w:r>
      <w:r w:rsidR="000B016F" w:rsidRPr="00AD3B49">
        <w:rPr>
          <w:rFonts w:ascii="Times New Roman" w:hAnsi="Times New Roman" w:cs="Times New Roman"/>
          <w:color w:val="auto"/>
          <w:sz w:val="22"/>
          <w:szCs w:val="22"/>
          <w:lang w:val="sr-Latn-ME"/>
        </w:rPr>
        <w:t>nedjelje</w:t>
      </w:r>
      <w:r w:rsidR="005D003D" w:rsidRPr="00AD3B49">
        <w:rPr>
          <w:rFonts w:ascii="Times New Roman" w:hAnsi="Times New Roman" w:cs="Times New Roman"/>
          <w:color w:val="auto"/>
          <w:sz w:val="22"/>
          <w:szCs w:val="22"/>
          <w:lang w:val="sr-Latn-ME"/>
        </w:rPr>
        <w:t xml:space="preserve">, odnosno do </w:t>
      </w:r>
      <w:r w:rsidR="00DF40CA" w:rsidRPr="00AD3B49">
        <w:rPr>
          <w:rFonts w:ascii="Times New Roman" w:hAnsi="Times New Roman" w:cs="Times New Roman"/>
          <w:color w:val="auto"/>
          <w:sz w:val="22"/>
          <w:szCs w:val="22"/>
          <w:lang w:val="sr-Latn-ME"/>
        </w:rPr>
        <w:t xml:space="preserve">progresije </w:t>
      </w:r>
      <w:r w:rsidR="005D003D" w:rsidRPr="00AD3B49">
        <w:rPr>
          <w:rFonts w:ascii="Times New Roman" w:hAnsi="Times New Roman" w:cs="Times New Roman"/>
          <w:color w:val="auto"/>
          <w:sz w:val="22"/>
          <w:szCs w:val="22"/>
          <w:lang w:val="sr-Latn-ME"/>
        </w:rPr>
        <w:t xml:space="preserve">bolesti. </w:t>
      </w:r>
      <w:r w:rsidR="00DF40CA" w:rsidRPr="00AD3B49">
        <w:rPr>
          <w:rFonts w:ascii="Times New Roman" w:hAnsi="Times New Roman" w:cs="Times New Roman"/>
          <w:color w:val="auto"/>
          <w:sz w:val="22"/>
          <w:szCs w:val="22"/>
          <w:lang w:val="sr-Latn-ME"/>
        </w:rPr>
        <w:t xml:space="preserve">Progresija </w:t>
      </w:r>
      <w:r w:rsidR="00834F8D" w:rsidRPr="00AD3B49">
        <w:rPr>
          <w:rFonts w:ascii="Times New Roman" w:hAnsi="Times New Roman" w:cs="Times New Roman"/>
          <w:color w:val="auto"/>
          <w:sz w:val="22"/>
          <w:szCs w:val="22"/>
          <w:lang w:val="sr-Latn-ME"/>
        </w:rPr>
        <w:t>bolesti definis</w:t>
      </w:r>
      <w:r w:rsidR="005D003D" w:rsidRPr="00AD3B49">
        <w:rPr>
          <w:rFonts w:ascii="Times New Roman" w:hAnsi="Times New Roman" w:cs="Times New Roman"/>
          <w:color w:val="auto"/>
          <w:sz w:val="22"/>
          <w:szCs w:val="22"/>
          <w:lang w:val="sr-Latn-ME"/>
        </w:rPr>
        <w:t xml:space="preserve">ana je pogoršanjem od ≥ 30% od početnog stanja u ≥ 3 od 6 Pediatric ACR ključnih kriterija, ≥ 2 aktivna zgloba i poboljšanje veće od 30% u </w:t>
      </w:r>
      <w:r w:rsidRPr="00AD3B49">
        <w:rPr>
          <w:rFonts w:ascii="Times New Roman" w:hAnsi="Times New Roman" w:cs="Times New Roman"/>
          <w:color w:val="auto"/>
          <w:sz w:val="22"/>
          <w:szCs w:val="22"/>
          <w:lang w:val="sr-Latn-ME"/>
        </w:rPr>
        <w:t xml:space="preserve">najviše jednom od šest kriterijuma. Nakon 32 </w:t>
      </w:r>
      <w:r w:rsidR="000B016F" w:rsidRPr="00AD3B49">
        <w:rPr>
          <w:rFonts w:ascii="Times New Roman" w:hAnsi="Times New Roman" w:cs="Times New Roman"/>
          <w:color w:val="auto"/>
          <w:sz w:val="22"/>
          <w:szCs w:val="22"/>
          <w:lang w:val="sr-Latn-ME"/>
        </w:rPr>
        <w:t>nedjelje</w:t>
      </w:r>
      <w:r w:rsidR="005D003D" w:rsidRPr="00AD3B49">
        <w:rPr>
          <w:rFonts w:ascii="Times New Roman" w:hAnsi="Times New Roman" w:cs="Times New Roman"/>
          <w:color w:val="auto"/>
          <w:sz w:val="22"/>
          <w:szCs w:val="22"/>
          <w:lang w:val="sr-Latn-ME"/>
        </w:rPr>
        <w:t>, odnosno nakon</w:t>
      </w:r>
      <w:r w:rsidRPr="00AD3B49">
        <w:rPr>
          <w:rFonts w:ascii="Times New Roman" w:hAnsi="Times New Roman" w:cs="Times New Roman"/>
          <w:color w:val="auto"/>
          <w:sz w:val="22"/>
          <w:szCs w:val="22"/>
          <w:lang w:val="sr-Latn-ME"/>
        </w:rPr>
        <w:t xml:space="preserve"> </w:t>
      </w:r>
      <w:r w:rsidR="00DF40CA" w:rsidRPr="00AD3B49">
        <w:rPr>
          <w:rFonts w:ascii="Times New Roman" w:hAnsi="Times New Roman" w:cs="Times New Roman"/>
          <w:color w:val="auto"/>
          <w:sz w:val="22"/>
          <w:szCs w:val="22"/>
          <w:lang w:val="sr-Latn-ME"/>
        </w:rPr>
        <w:t>progresije</w:t>
      </w:r>
      <w:r w:rsidRPr="00AD3B49">
        <w:rPr>
          <w:rFonts w:ascii="Times New Roman" w:hAnsi="Times New Roman" w:cs="Times New Roman"/>
          <w:color w:val="auto"/>
          <w:sz w:val="22"/>
          <w:szCs w:val="22"/>
          <w:lang w:val="sr-Latn-ME"/>
        </w:rPr>
        <w:t xml:space="preserve"> bolesti, pacijenti</w:t>
      </w:r>
      <w:r w:rsidR="005D003D" w:rsidRPr="00AD3B49">
        <w:rPr>
          <w:rFonts w:ascii="Times New Roman" w:hAnsi="Times New Roman" w:cs="Times New Roman"/>
          <w:color w:val="auto"/>
          <w:sz w:val="22"/>
          <w:szCs w:val="22"/>
          <w:lang w:val="sr-Latn-ME"/>
        </w:rPr>
        <w:t xml:space="preserve"> su bili uključeni u otvoren</w:t>
      </w:r>
      <w:r w:rsidR="00DF40CA" w:rsidRPr="00AD3B49">
        <w:rPr>
          <w:rFonts w:ascii="Times New Roman" w:hAnsi="Times New Roman" w:cs="Times New Roman"/>
          <w:color w:val="auto"/>
          <w:sz w:val="22"/>
          <w:szCs w:val="22"/>
          <w:lang w:val="sr-Latn-ME"/>
        </w:rPr>
        <w:t>u</w:t>
      </w:r>
      <w:r w:rsidR="005D003D" w:rsidRPr="00AD3B49">
        <w:rPr>
          <w:rFonts w:ascii="Times New Roman" w:hAnsi="Times New Roman" w:cs="Times New Roman"/>
          <w:color w:val="auto"/>
          <w:sz w:val="22"/>
          <w:szCs w:val="22"/>
          <w:lang w:val="sr-Latn-ME"/>
        </w:rPr>
        <w:t xml:space="preserve"> </w:t>
      </w:r>
      <w:r w:rsidR="00DF40CA" w:rsidRPr="00AD3B49">
        <w:rPr>
          <w:rFonts w:ascii="Times New Roman" w:hAnsi="Times New Roman" w:cs="Times New Roman"/>
          <w:color w:val="auto"/>
          <w:sz w:val="22"/>
          <w:szCs w:val="22"/>
          <w:lang w:val="sr-Latn-ME"/>
        </w:rPr>
        <w:t xml:space="preserve">produženu fazu </w:t>
      </w:r>
      <w:r w:rsidR="005D003D" w:rsidRPr="00AD3B49">
        <w:rPr>
          <w:rFonts w:ascii="Times New Roman" w:hAnsi="Times New Roman" w:cs="Times New Roman"/>
          <w:color w:val="auto"/>
          <w:sz w:val="22"/>
          <w:szCs w:val="22"/>
          <w:lang w:val="sr-Latn-ME"/>
        </w:rPr>
        <w:t>studije.</w:t>
      </w:r>
    </w:p>
    <w:p w:rsidR="005D003D" w:rsidRPr="00AD3B49" w:rsidRDefault="00BF1A48" w:rsidP="006B0826">
      <w:pPr>
        <w:pStyle w:val="Default"/>
        <w:jc w:val="center"/>
        <w:rPr>
          <w:rFonts w:ascii="Times New Roman" w:hAnsi="Times New Roman" w:cs="Times New Roman"/>
          <w:b/>
          <w:color w:val="auto"/>
          <w:sz w:val="22"/>
          <w:szCs w:val="22"/>
          <w:lang w:val="sr-Latn-ME"/>
        </w:rPr>
      </w:pPr>
      <w:r w:rsidRPr="00AD3B49">
        <w:rPr>
          <w:rFonts w:ascii="Times New Roman" w:hAnsi="Times New Roman" w:cs="Times New Roman"/>
          <w:b/>
          <w:color w:val="auto"/>
          <w:sz w:val="22"/>
          <w:szCs w:val="22"/>
          <w:lang w:val="sr-Latn-ME"/>
        </w:rPr>
        <w:t>Tabela 8</w:t>
      </w:r>
      <w:r w:rsidR="005D003D" w:rsidRPr="00AD3B49">
        <w:rPr>
          <w:rFonts w:ascii="Times New Roman" w:hAnsi="Times New Roman" w:cs="Times New Roman"/>
          <w:b/>
          <w:color w:val="auto"/>
          <w:sz w:val="22"/>
          <w:szCs w:val="22"/>
          <w:lang w:val="sr-Latn-ME"/>
        </w:rPr>
        <w:t>.</w:t>
      </w:r>
    </w:p>
    <w:p w:rsidR="005D003D" w:rsidRPr="00AD3B49" w:rsidRDefault="005D003D" w:rsidP="005D003D">
      <w:pPr>
        <w:pStyle w:val="Default"/>
        <w:ind w:left="567" w:hanging="567"/>
        <w:jc w:val="center"/>
        <w:rPr>
          <w:rFonts w:ascii="Times New Roman" w:hAnsi="Times New Roman" w:cs="Times New Roman"/>
          <w:b/>
          <w:color w:val="auto"/>
          <w:sz w:val="22"/>
          <w:szCs w:val="22"/>
          <w:lang w:val="sr-Latn-ME"/>
        </w:rPr>
      </w:pPr>
      <w:r w:rsidRPr="00AD3B49">
        <w:rPr>
          <w:rFonts w:ascii="Times New Roman" w:hAnsi="Times New Roman" w:cs="Times New Roman"/>
          <w:b/>
          <w:color w:val="auto"/>
          <w:sz w:val="22"/>
          <w:szCs w:val="22"/>
          <w:lang w:val="sr-Latn-ME"/>
        </w:rPr>
        <w:t>Ped ACR 30 odgovori s studijama s juvenilnim idiopatskim artritisom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1652"/>
        <w:gridCol w:w="1662"/>
        <w:gridCol w:w="1713"/>
        <w:gridCol w:w="1736"/>
      </w:tblGrid>
      <w:tr w:rsidR="005D003D" w:rsidRPr="00AD3B49" w:rsidTr="005D003D">
        <w:tc>
          <w:tcPr>
            <w:tcW w:w="2517" w:type="dxa"/>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ind w:left="567" w:hanging="567"/>
              <w:jc w:val="center"/>
              <w:rPr>
                <w:rFonts w:ascii="Times New Roman" w:hAnsi="Times New Roman" w:cs="Times New Roman"/>
                <w:b/>
                <w:color w:val="auto"/>
                <w:sz w:val="22"/>
                <w:szCs w:val="22"/>
                <w:lang w:val="sr-Latn-ME"/>
              </w:rPr>
            </w:pPr>
            <w:r w:rsidRPr="00AD3B49">
              <w:rPr>
                <w:rFonts w:ascii="Times New Roman" w:hAnsi="Times New Roman" w:cs="Times New Roman"/>
                <w:b/>
                <w:color w:val="auto"/>
                <w:sz w:val="22"/>
                <w:szCs w:val="22"/>
                <w:lang w:val="sr-Latn-ME"/>
              </w:rPr>
              <w:t>Grupa</w:t>
            </w:r>
          </w:p>
        </w:tc>
        <w:tc>
          <w:tcPr>
            <w:tcW w:w="3314" w:type="dxa"/>
            <w:gridSpan w:val="2"/>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ind w:left="567" w:hanging="567"/>
              <w:jc w:val="center"/>
              <w:rPr>
                <w:rFonts w:ascii="Times New Roman" w:hAnsi="Times New Roman" w:cs="Times New Roman"/>
                <w:b/>
                <w:bCs/>
                <w:color w:val="auto"/>
                <w:sz w:val="22"/>
                <w:szCs w:val="22"/>
                <w:lang w:val="sr-Latn-ME"/>
              </w:rPr>
            </w:pPr>
            <w:r w:rsidRPr="00AD3B49">
              <w:rPr>
                <w:rFonts w:ascii="Times New Roman" w:hAnsi="Times New Roman" w:cs="Times New Roman"/>
                <w:b/>
                <w:bCs/>
                <w:color w:val="auto"/>
                <w:sz w:val="22"/>
                <w:szCs w:val="22"/>
                <w:lang w:val="sr-Latn-ME"/>
              </w:rPr>
              <w:t>MTX</w:t>
            </w:r>
          </w:p>
        </w:tc>
        <w:tc>
          <w:tcPr>
            <w:tcW w:w="3449" w:type="dxa"/>
            <w:gridSpan w:val="2"/>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ind w:left="567" w:hanging="567"/>
              <w:jc w:val="center"/>
              <w:rPr>
                <w:rFonts w:ascii="Times New Roman" w:hAnsi="Times New Roman" w:cs="Times New Roman"/>
                <w:b/>
                <w:bCs/>
                <w:color w:val="auto"/>
                <w:sz w:val="22"/>
                <w:szCs w:val="22"/>
                <w:lang w:val="sr-Latn-ME"/>
              </w:rPr>
            </w:pPr>
            <w:r w:rsidRPr="00AD3B49">
              <w:rPr>
                <w:rFonts w:ascii="Times New Roman" w:hAnsi="Times New Roman" w:cs="Times New Roman"/>
                <w:b/>
                <w:bCs/>
                <w:color w:val="auto"/>
                <w:sz w:val="22"/>
                <w:szCs w:val="22"/>
                <w:lang w:val="sr-Latn-ME"/>
              </w:rPr>
              <w:t>Bez MTX</w:t>
            </w:r>
          </w:p>
        </w:tc>
      </w:tr>
      <w:tr w:rsidR="005D003D" w:rsidRPr="00AD3B49" w:rsidTr="005D003D">
        <w:tc>
          <w:tcPr>
            <w:tcW w:w="2517" w:type="dxa"/>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ind w:left="567" w:hanging="567"/>
              <w:jc w:val="center"/>
              <w:rPr>
                <w:rFonts w:ascii="Times New Roman" w:hAnsi="Times New Roman" w:cs="Times New Roman"/>
                <w:b/>
                <w:bCs/>
                <w:color w:val="auto"/>
                <w:sz w:val="22"/>
                <w:szCs w:val="22"/>
                <w:lang w:val="sr-Latn-ME"/>
              </w:rPr>
            </w:pPr>
            <w:r w:rsidRPr="00AD3B49">
              <w:rPr>
                <w:rFonts w:ascii="Times New Roman" w:hAnsi="Times New Roman" w:cs="Times New Roman"/>
                <w:b/>
                <w:bCs/>
                <w:color w:val="auto"/>
                <w:sz w:val="22"/>
                <w:szCs w:val="22"/>
                <w:lang w:val="sr-Latn-ME"/>
              </w:rPr>
              <w:t>Faza</w:t>
            </w:r>
          </w:p>
        </w:tc>
        <w:tc>
          <w:tcPr>
            <w:tcW w:w="3314" w:type="dxa"/>
            <w:gridSpan w:val="2"/>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ind w:left="567" w:hanging="567"/>
              <w:jc w:val="center"/>
              <w:rPr>
                <w:rFonts w:ascii="Times New Roman" w:hAnsi="Times New Roman" w:cs="Times New Roman"/>
                <w:color w:val="auto"/>
                <w:sz w:val="22"/>
                <w:szCs w:val="22"/>
                <w:lang w:val="sr-Latn-ME"/>
              </w:rPr>
            </w:pPr>
          </w:p>
        </w:tc>
        <w:tc>
          <w:tcPr>
            <w:tcW w:w="3449" w:type="dxa"/>
            <w:gridSpan w:val="2"/>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ind w:left="567" w:hanging="567"/>
              <w:jc w:val="center"/>
              <w:rPr>
                <w:rFonts w:ascii="Times New Roman" w:hAnsi="Times New Roman" w:cs="Times New Roman"/>
                <w:color w:val="auto"/>
                <w:sz w:val="22"/>
                <w:szCs w:val="22"/>
                <w:lang w:val="sr-Latn-ME"/>
              </w:rPr>
            </w:pPr>
          </w:p>
        </w:tc>
      </w:tr>
      <w:tr w:rsidR="005D003D" w:rsidRPr="00AD3B49" w:rsidTr="005D003D">
        <w:tc>
          <w:tcPr>
            <w:tcW w:w="2517" w:type="dxa"/>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OL LI – 16 </w:t>
            </w:r>
            <w:r w:rsidR="000B016F" w:rsidRPr="00AD3B49">
              <w:rPr>
                <w:rFonts w:ascii="Times New Roman" w:hAnsi="Times New Roman" w:cs="Times New Roman"/>
                <w:color w:val="auto"/>
                <w:sz w:val="20"/>
                <w:szCs w:val="20"/>
                <w:lang w:val="sr-Latn-ME"/>
              </w:rPr>
              <w:t>nedjelja</w:t>
            </w:r>
          </w:p>
        </w:tc>
        <w:tc>
          <w:tcPr>
            <w:tcW w:w="3314" w:type="dxa"/>
            <w:gridSpan w:val="2"/>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ind w:left="567" w:hanging="567"/>
              <w:jc w:val="center"/>
              <w:rPr>
                <w:rFonts w:ascii="Times New Roman" w:hAnsi="Times New Roman" w:cs="Times New Roman"/>
                <w:color w:val="auto"/>
                <w:sz w:val="22"/>
                <w:szCs w:val="22"/>
                <w:lang w:val="sr-Latn-ME"/>
              </w:rPr>
            </w:pPr>
          </w:p>
        </w:tc>
        <w:tc>
          <w:tcPr>
            <w:tcW w:w="3449" w:type="dxa"/>
            <w:gridSpan w:val="2"/>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ind w:left="567" w:hanging="567"/>
              <w:jc w:val="center"/>
              <w:rPr>
                <w:rFonts w:ascii="Times New Roman" w:hAnsi="Times New Roman" w:cs="Times New Roman"/>
                <w:color w:val="auto"/>
                <w:sz w:val="22"/>
                <w:szCs w:val="22"/>
                <w:lang w:val="sr-Latn-ME"/>
              </w:rPr>
            </w:pPr>
          </w:p>
        </w:tc>
      </w:tr>
      <w:tr w:rsidR="005D003D" w:rsidRPr="00AD3B49" w:rsidTr="005D003D">
        <w:tc>
          <w:tcPr>
            <w:tcW w:w="2517" w:type="dxa"/>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Ped ACR 30 odgovor (n/N)</w:t>
            </w:r>
          </w:p>
        </w:tc>
        <w:tc>
          <w:tcPr>
            <w:tcW w:w="3314" w:type="dxa"/>
            <w:gridSpan w:val="2"/>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94,1% (80/85)</w:t>
            </w:r>
          </w:p>
        </w:tc>
        <w:tc>
          <w:tcPr>
            <w:tcW w:w="3449" w:type="dxa"/>
            <w:gridSpan w:val="2"/>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74,4% (64/86)</w:t>
            </w:r>
          </w:p>
        </w:tc>
      </w:tr>
      <w:tr w:rsidR="005D003D" w:rsidRPr="00AD3B49" w:rsidTr="005D003D">
        <w:trPr>
          <w:cantSplit/>
        </w:trPr>
        <w:tc>
          <w:tcPr>
            <w:tcW w:w="2517" w:type="dxa"/>
            <w:tcBorders>
              <w:top w:val="single" w:sz="4" w:space="0" w:color="auto"/>
              <w:left w:val="single" w:sz="4" w:space="0" w:color="auto"/>
              <w:bottom w:val="single" w:sz="4" w:space="0" w:color="auto"/>
              <w:right w:val="nil"/>
            </w:tcBorders>
          </w:tcPr>
          <w:p w:rsidR="005D003D" w:rsidRPr="00AD3B49" w:rsidRDefault="005D003D" w:rsidP="005D003D">
            <w:pPr>
              <w:pStyle w:val="Default"/>
              <w:jc w:val="center"/>
              <w:rPr>
                <w:rFonts w:ascii="Times New Roman" w:hAnsi="Times New Roman" w:cs="Times New Roman"/>
                <w:color w:val="auto"/>
                <w:sz w:val="20"/>
                <w:szCs w:val="20"/>
                <w:lang w:val="sr-Latn-ME"/>
              </w:rPr>
            </w:pPr>
          </w:p>
        </w:tc>
        <w:tc>
          <w:tcPr>
            <w:tcW w:w="3314" w:type="dxa"/>
            <w:gridSpan w:val="2"/>
            <w:tcBorders>
              <w:top w:val="single" w:sz="4" w:space="0" w:color="auto"/>
              <w:left w:val="nil"/>
              <w:bottom w:val="single" w:sz="4" w:space="0" w:color="auto"/>
              <w:right w:val="nil"/>
            </w:tcBorders>
          </w:tcPr>
          <w:p w:rsidR="005D003D" w:rsidRPr="00AD3B49" w:rsidRDefault="004B02DE" w:rsidP="005D003D">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Rezultat </w:t>
            </w:r>
            <w:r w:rsidR="00686E37" w:rsidRPr="00AD3B49">
              <w:rPr>
                <w:rFonts w:ascii="Times New Roman" w:hAnsi="Times New Roman" w:cs="Times New Roman"/>
                <w:color w:val="auto"/>
                <w:sz w:val="22"/>
                <w:szCs w:val="22"/>
                <w:lang w:val="sr-Latn-ME"/>
              </w:rPr>
              <w:t>efikasnosti</w:t>
            </w:r>
          </w:p>
        </w:tc>
        <w:tc>
          <w:tcPr>
            <w:tcW w:w="3449" w:type="dxa"/>
            <w:gridSpan w:val="2"/>
            <w:tcBorders>
              <w:top w:val="single" w:sz="4" w:space="0" w:color="auto"/>
              <w:left w:val="nil"/>
              <w:bottom w:val="single" w:sz="4" w:space="0" w:color="auto"/>
              <w:right w:val="single" w:sz="4" w:space="0" w:color="auto"/>
            </w:tcBorders>
          </w:tcPr>
          <w:p w:rsidR="005D003D" w:rsidRPr="00AD3B49" w:rsidRDefault="005D003D" w:rsidP="005D003D">
            <w:pPr>
              <w:pStyle w:val="Default"/>
              <w:ind w:left="567" w:hanging="567"/>
              <w:jc w:val="center"/>
              <w:rPr>
                <w:rFonts w:ascii="Times New Roman" w:hAnsi="Times New Roman" w:cs="Times New Roman"/>
                <w:color w:val="auto"/>
                <w:sz w:val="22"/>
                <w:szCs w:val="22"/>
                <w:lang w:val="sr-Latn-ME"/>
              </w:rPr>
            </w:pPr>
          </w:p>
        </w:tc>
      </w:tr>
      <w:tr w:rsidR="005D003D" w:rsidRPr="00AD3B49" w:rsidTr="005D003D">
        <w:trPr>
          <w:cantSplit/>
        </w:trPr>
        <w:tc>
          <w:tcPr>
            <w:tcW w:w="2517" w:type="dxa"/>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 xml:space="preserve">Dvostruko slijepa 32 </w:t>
            </w:r>
            <w:r w:rsidR="000B016F" w:rsidRPr="00AD3B49">
              <w:rPr>
                <w:rFonts w:ascii="Times New Roman" w:hAnsi="Times New Roman" w:cs="Times New Roman"/>
                <w:color w:val="auto"/>
                <w:sz w:val="20"/>
                <w:szCs w:val="20"/>
                <w:lang w:val="sr-Latn-ME"/>
              </w:rPr>
              <w:t>nedjelja</w:t>
            </w:r>
          </w:p>
        </w:tc>
        <w:tc>
          <w:tcPr>
            <w:tcW w:w="1652" w:type="dxa"/>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Humira/MTX (N=38)</w:t>
            </w:r>
          </w:p>
        </w:tc>
        <w:tc>
          <w:tcPr>
            <w:tcW w:w="1662" w:type="dxa"/>
            <w:tcBorders>
              <w:top w:val="single" w:sz="4" w:space="0" w:color="auto"/>
              <w:left w:val="single" w:sz="4" w:space="0" w:color="auto"/>
              <w:bottom w:val="single" w:sz="4" w:space="0" w:color="auto"/>
              <w:right w:val="single" w:sz="4" w:space="0" w:color="auto"/>
            </w:tcBorders>
          </w:tcPr>
          <w:p w:rsidR="005D003D" w:rsidRPr="00AD3B49" w:rsidRDefault="005D003D" w:rsidP="005D003D">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Placebo/MTX</w:t>
            </w:r>
          </w:p>
          <w:p w:rsidR="005D003D" w:rsidRPr="00AD3B49" w:rsidRDefault="005D003D" w:rsidP="005D003D">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(N=37)</w:t>
            </w:r>
          </w:p>
        </w:tc>
        <w:tc>
          <w:tcPr>
            <w:tcW w:w="1713" w:type="dxa"/>
            <w:tcBorders>
              <w:top w:val="single" w:sz="4" w:space="0" w:color="auto"/>
              <w:left w:val="single" w:sz="4" w:space="0" w:color="auto"/>
              <w:bottom w:val="single" w:sz="4" w:space="0" w:color="auto"/>
              <w:right w:val="single" w:sz="4" w:space="0" w:color="auto"/>
            </w:tcBorders>
          </w:tcPr>
          <w:p w:rsidR="00B547AC" w:rsidRPr="00AD3B49" w:rsidRDefault="005D003D" w:rsidP="005D003D">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Humira</w:t>
            </w:r>
          </w:p>
          <w:p w:rsidR="005D003D" w:rsidRPr="00AD3B49" w:rsidRDefault="005D003D" w:rsidP="005D003D">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(N=30)</w:t>
            </w:r>
          </w:p>
        </w:tc>
        <w:tc>
          <w:tcPr>
            <w:tcW w:w="1736" w:type="dxa"/>
            <w:tcBorders>
              <w:top w:val="single" w:sz="4" w:space="0" w:color="auto"/>
              <w:left w:val="single" w:sz="4" w:space="0" w:color="auto"/>
              <w:bottom w:val="single" w:sz="4" w:space="0" w:color="auto"/>
              <w:right w:val="single" w:sz="4" w:space="0" w:color="auto"/>
            </w:tcBorders>
          </w:tcPr>
          <w:p w:rsidR="00B547AC" w:rsidRPr="00AD3B49" w:rsidRDefault="005D003D" w:rsidP="005D003D">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Placebo</w:t>
            </w:r>
          </w:p>
          <w:p w:rsidR="005D003D" w:rsidRPr="00AD3B49" w:rsidRDefault="005D003D" w:rsidP="005D003D">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(N=28)</w:t>
            </w:r>
          </w:p>
        </w:tc>
      </w:tr>
      <w:tr w:rsidR="005D003D" w:rsidRPr="00AD3B49" w:rsidTr="005D003D">
        <w:trPr>
          <w:cantSplit/>
        </w:trPr>
        <w:tc>
          <w:tcPr>
            <w:tcW w:w="2517" w:type="dxa"/>
            <w:tcBorders>
              <w:top w:val="single" w:sz="4" w:space="0" w:color="auto"/>
              <w:left w:val="single" w:sz="4" w:space="0" w:color="auto"/>
              <w:bottom w:val="single" w:sz="4" w:space="0" w:color="auto"/>
              <w:right w:val="single" w:sz="4" w:space="0" w:color="auto"/>
            </w:tcBorders>
          </w:tcPr>
          <w:p w:rsidR="005D003D" w:rsidRPr="00AD3B49" w:rsidRDefault="00DF40CA" w:rsidP="005D003D">
            <w:pPr>
              <w:pStyle w:val="Default"/>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Progresija</w:t>
            </w:r>
            <w:r w:rsidRPr="00AD3B49" w:rsidDel="00DF40CA">
              <w:rPr>
                <w:rFonts w:ascii="Times New Roman" w:hAnsi="Times New Roman" w:cs="Times New Roman"/>
                <w:color w:val="auto"/>
                <w:sz w:val="20"/>
                <w:szCs w:val="20"/>
                <w:lang w:val="sr-Latn-ME"/>
              </w:rPr>
              <w:t xml:space="preserve"> </w:t>
            </w:r>
            <w:r w:rsidR="005D003D" w:rsidRPr="00AD3B49">
              <w:rPr>
                <w:rFonts w:ascii="Times New Roman" w:hAnsi="Times New Roman" w:cs="Times New Roman"/>
                <w:color w:val="auto"/>
                <w:sz w:val="20"/>
                <w:szCs w:val="20"/>
                <w:lang w:val="sr-Latn-ME"/>
              </w:rPr>
              <w:t>bolesti</w:t>
            </w:r>
            <w:r w:rsidR="004B02DE" w:rsidRPr="00AD3B49">
              <w:rPr>
                <w:rFonts w:ascii="Times New Roman" w:hAnsi="Times New Roman" w:cs="Times New Roman"/>
                <w:color w:val="auto"/>
                <w:sz w:val="20"/>
                <w:szCs w:val="20"/>
                <w:lang w:val="sr-Latn-ME"/>
              </w:rPr>
              <w:t xml:space="preserve"> pri kraju perioda od 32 </w:t>
            </w:r>
            <w:r w:rsidR="000B016F" w:rsidRPr="00AD3B49">
              <w:rPr>
                <w:rFonts w:ascii="Times New Roman" w:hAnsi="Times New Roman" w:cs="Times New Roman"/>
                <w:color w:val="auto"/>
                <w:sz w:val="20"/>
                <w:szCs w:val="20"/>
                <w:lang w:val="sr-Latn-ME"/>
              </w:rPr>
              <w:t>nedjelje</w:t>
            </w:r>
            <w:r w:rsidR="005D003D" w:rsidRPr="00AD3B49">
              <w:rPr>
                <w:rFonts w:ascii="Times New Roman" w:hAnsi="Times New Roman" w:cs="Times New Roman"/>
                <w:color w:val="auto"/>
                <w:sz w:val="20"/>
                <w:szCs w:val="20"/>
                <w:vertAlign w:val="superscript"/>
                <w:lang w:val="sr-Latn-ME"/>
              </w:rPr>
              <w:t>a</w:t>
            </w:r>
            <w:r w:rsidR="005D003D" w:rsidRPr="00AD3B49">
              <w:rPr>
                <w:rFonts w:ascii="Times New Roman" w:hAnsi="Times New Roman" w:cs="Times New Roman"/>
                <w:color w:val="auto"/>
                <w:sz w:val="20"/>
                <w:szCs w:val="20"/>
                <w:lang w:val="sr-Latn-ME"/>
              </w:rPr>
              <w:t xml:space="preserve"> (n/N)</w:t>
            </w:r>
          </w:p>
        </w:tc>
        <w:tc>
          <w:tcPr>
            <w:tcW w:w="1652" w:type="dxa"/>
            <w:tcBorders>
              <w:top w:val="single" w:sz="4" w:space="0" w:color="auto"/>
              <w:left w:val="single" w:sz="4" w:space="0" w:color="auto"/>
              <w:bottom w:val="single" w:sz="4" w:space="0" w:color="auto"/>
              <w:right w:val="single" w:sz="4" w:space="0" w:color="auto"/>
            </w:tcBorders>
            <w:vAlign w:val="center"/>
          </w:tcPr>
          <w:p w:rsidR="005D003D" w:rsidRPr="00AD3B49" w:rsidRDefault="005D003D" w:rsidP="005D003D">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36,8% (14/38)</w:t>
            </w:r>
          </w:p>
        </w:tc>
        <w:tc>
          <w:tcPr>
            <w:tcW w:w="1662" w:type="dxa"/>
            <w:tcBorders>
              <w:top w:val="single" w:sz="4" w:space="0" w:color="auto"/>
              <w:left w:val="single" w:sz="4" w:space="0" w:color="auto"/>
              <w:bottom w:val="single" w:sz="4" w:space="0" w:color="auto"/>
              <w:right w:val="single" w:sz="4" w:space="0" w:color="auto"/>
            </w:tcBorders>
            <w:vAlign w:val="center"/>
          </w:tcPr>
          <w:p w:rsidR="005D003D" w:rsidRPr="00AD3B49" w:rsidRDefault="005D003D" w:rsidP="005D003D">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64,9% (24/37)</w:t>
            </w:r>
            <w:r w:rsidRPr="00AD3B49">
              <w:rPr>
                <w:rFonts w:ascii="Times New Roman" w:hAnsi="Times New Roman" w:cs="Times New Roman"/>
                <w:color w:val="auto"/>
                <w:sz w:val="22"/>
                <w:szCs w:val="22"/>
                <w:vertAlign w:val="superscript"/>
                <w:lang w:val="sr-Latn-ME"/>
              </w:rPr>
              <w:t>b</w:t>
            </w:r>
          </w:p>
        </w:tc>
        <w:tc>
          <w:tcPr>
            <w:tcW w:w="1713" w:type="dxa"/>
            <w:tcBorders>
              <w:top w:val="single" w:sz="4" w:space="0" w:color="auto"/>
              <w:left w:val="single" w:sz="4" w:space="0" w:color="auto"/>
              <w:bottom w:val="single" w:sz="4" w:space="0" w:color="auto"/>
              <w:right w:val="single" w:sz="4" w:space="0" w:color="auto"/>
            </w:tcBorders>
            <w:vAlign w:val="center"/>
          </w:tcPr>
          <w:p w:rsidR="005D003D" w:rsidRPr="00AD3B49" w:rsidRDefault="005D003D" w:rsidP="005D003D">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43,3% (13/30)</w:t>
            </w:r>
          </w:p>
        </w:tc>
        <w:tc>
          <w:tcPr>
            <w:tcW w:w="1736" w:type="dxa"/>
            <w:tcBorders>
              <w:top w:val="single" w:sz="4" w:space="0" w:color="auto"/>
              <w:left w:val="single" w:sz="4" w:space="0" w:color="auto"/>
              <w:bottom w:val="single" w:sz="4" w:space="0" w:color="auto"/>
              <w:right w:val="single" w:sz="4" w:space="0" w:color="auto"/>
            </w:tcBorders>
            <w:vAlign w:val="center"/>
          </w:tcPr>
          <w:p w:rsidR="005D003D" w:rsidRPr="00AD3B49" w:rsidRDefault="005D003D" w:rsidP="005D003D">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71,4% (20/28)</w:t>
            </w:r>
            <w:r w:rsidRPr="00AD3B49">
              <w:rPr>
                <w:rFonts w:ascii="Times New Roman" w:hAnsi="Times New Roman" w:cs="Times New Roman"/>
                <w:color w:val="auto"/>
                <w:sz w:val="22"/>
                <w:szCs w:val="22"/>
                <w:vertAlign w:val="superscript"/>
                <w:lang w:val="sr-Latn-ME"/>
              </w:rPr>
              <w:t>c</w:t>
            </w:r>
          </w:p>
        </w:tc>
      </w:tr>
      <w:tr w:rsidR="005D003D" w:rsidRPr="00AD3B49" w:rsidTr="005D003D">
        <w:trPr>
          <w:cantSplit/>
        </w:trPr>
        <w:tc>
          <w:tcPr>
            <w:tcW w:w="2517" w:type="dxa"/>
            <w:tcBorders>
              <w:top w:val="single" w:sz="4" w:space="0" w:color="auto"/>
              <w:left w:val="single" w:sz="4" w:space="0" w:color="auto"/>
              <w:bottom w:val="single" w:sz="4" w:space="0" w:color="auto"/>
              <w:right w:val="single" w:sz="4" w:space="0" w:color="auto"/>
            </w:tcBorders>
          </w:tcPr>
          <w:p w:rsidR="005D003D" w:rsidRPr="00AD3B49" w:rsidRDefault="00834F8D" w:rsidP="005D003D">
            <w:pPr>
              <w:pStyle w:val="Default"/>
              <w:jc w:val="center"/>
              <w:rPr>
                <w:rFonts w:ascii="Times New Roman" w:hAnsi="Times New Roman" w:cs="Times New Roman"/>
                <w:color w:val="auto"/>
                <w:sz w:val="20"/>
                <w:szCs w:val="20"/>
                <w:lang w:val="sr-Latn-ME"/>
              </w:rPr>
            </w:pPr>
            <w:r w:rsidRPr="00AD3B49">
              <w:rPr>
                <w:rFonts w:ascii="Times New Roman" w:hAnsi="Times New Roman" w:cs="Times New Roman"/>
                <w:color w:val="auto"/>
                <w:sz w:val="20"/>
                <w:szCs w:val="20"/>
                <w:lang w:val="sr-Latn-ME"/>
              </w:rPr>
              <w:t>Prosječno vrijeme do progesije bolesti</w:t>
            </w:r>
          </w:p>
        </w:tc>
        <w:tc>
          <w:tcPr>
            <w:tcW w:w="1652" w:type="dxa"/>
            <w:tcBorders>
              <w:top w:val="single" w:sz="4" w:space="0" w:color="auto"/>
              <w:left w:val="single" w:sz="4" w:space="0" w:color="auto"/>
              <w:bottom w:val="single" w:sz="4" w:space="0" w:color="auto"/>
              <w:right w:val="single" w:sz="4" w:space="0" w:color="auto"/>
            </w:tcBorders>
            <w:vAlign w:val="center"/>
          </w:tcPr>
          <w:p w:rsidR="005D003D" w:rsidRPr="00AD3B49" w:rsidRDefault="005D003D" w:rsidP="005D003D">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&gt;32 </w:t>
            </w:r>
            <w:r w:rsidR="000B016F" w:rsidRPr="00AD3B49">
              <w:rPr>
                <w:rFonts w:ascii="Times New Roman" w:hAnsi="Times New Roman" w:cs="Times New Roman"/>
                <w:color w:val="auto"/>
                <w:sz w:val="22"/>
                <w:szCs w:val="22"/>
                <w:lang w:val="sr-Latn-ME"/>
              </w:rPr>
              <w:t>nedjelje</w:t>
            </w:r>
          </w:p>
        </w:tc>
        <w:tc>
          <w:tcPr>
            <w:tcW w:w="1662" w:type="dxa"/>
            <w:tcBorders>
              <w:top w:val="single" w:sz="4" w:space="0" w:color="auto"/>
              <w:left w:val="single" w:sz="4" w:space="0" w:color="auto"/>
              <w:bottom w:val="single" w:sz="4" w:space="0" w:color="auto"/>
              <w:right w:val="single" w:sz="4" w:space="0" w:color="auto"/>
            </w:tcBorders>
            <w:vAlign w:val="center"/>
          </w:tcPr>
          <w:p w:rsidR="005D003D" w:rsidRPr="00AD3B49" w:rsidRDefault="005D003D" w:rsidP="005D003D">
            <w:pPr>
              <w:pStyle w:val="Default"/>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20 </w:t>
            </w:r>
            <w:r w:rsidR="000B016F" w:rsidRPr="00AD3B49">
              <w:rPr>
                <w:rFonts w:ascii="Times New Roman" w:hAnsi="Times New Roman" w:cs="Times New Roman"/>
                <w:color w:val="auto"/>
                <w:sz w:val="22"/>
                <w:szCs w:val="22"/>
                <w:lang w:val="sr-Latn-ME"/>
              </w:rPr>
              <w:t>nedjelj</w:t>
            </w:r>
            <w:r w:rsidR="00B547AC" w:rsidRPr="00AD3B49">
              <w:rPr>
                <w:rFonts w:ascii="Times New Roman" w:hAnsi="Times New Roman" w:cs="Times New Roman"/>
                <w:color w:val="auto"/>
                <w:sz w:val="22"/>
                <w:szCs w:val="22"/>
                <w:lang w:val="sr-Latn-ME"/>
              </w:rPr>
              <w:t>a</w:t>
            </w:r>
          </w:p>
        </w:tc>
        <w:tc>
          <w:tcPr>
            <w:tcW w:w="1713" w:type="dxa"/>
            <w:tcBorders>
              <w:top w:val="single" w:sz="4" w:space="0" w:color="auto"/>
              <w:left w:val="single" w:sz="4" w:space="0" w:color="auto"/>
              <w:bottom w:val="single" w:sz="4" w:space="0" w:color="auto"/>
              <w:right w:val="single" w:sz="4" w:space="0" w:color="auto"/>
            </w:tcBorders>
            <w:vAlign w:val="center"/>
          </w:tcPr>
          <w:p w:rsidR="005D003D" w:rsidRPr="00AD3B49" w:rsidRDefault="005D003D" w:rsidP="005D003D">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&gt;32 </w:t>
            </w:r>
            <w:r w:rsidR="000B016F" w:rsidRPr="00AD3B49">
              <w:rPr>
                <w:rFonts w:ascii="Times New Roman" w:hAnsi="Times New Roman" w:cs="Times New Roman"/>
                <w:color w:val="auto"/>
                <w:sz w:val="22"/>
                <w:szCs w:val="22"/>
                <w:lang w:val="sr-Latn-ME"/>
              </w:rPr>
              <w:t>nedjelje</w:t>
            </w:r>
          </w:p>
        </w:tc>
        <w:tc>
          <w:tcPr>
            <w:tcW w:w="1736" w:type="dxa"/>
            <w:tcBorders>
              <w:top w:val="single" w:sz="4" w:space="0" w:color="auto"/>
              <w:left w:val="single" w:sz="4" w:space="0" w:color="auto"/>
              <w:bottom w:val="single" w:sz="4" w:space="0" w:color="auto"/>
              <w:right w:val="single" w:sz="4" w:space="0" w:color="auto"/>
            </w:tcBorders>
            <w:vAlign w:val="center"/>
          </w:tcPr>
          <w:p w:rsidR="005D003D" w:rsidRPr="00AD3B49" w:rsidRDefault="005D003D" w:rsidP="005D003D">
            <w:pPr>
              <w:pStyle w:val="Default"/>
              <w:ind w:left="567" w:hanging="567"/>
              <w:jc w:val="center"/>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14 </w:t>
            </w:r>
            <w:r w:rsidR="000B016F" w:rsidRPr="00AD3B49">
              <w:rPr>
                <w:rFonts w:ascii="Times New Roman" w:hAnsi="Times New Roman" w:cs="Times New Roman"/>
                <w:color w:val="auto"/>
                <w:sz w:val="22"/>
                <w:szCs w:val="22"/>
                <w:lang w:val="sr-Latn-ME"/>
              </w:rPr>
              <w:t>nedjelje</w:t>
            </w:r>
          </w:p>
        </w:tc>
      </w:tr>
    </w:tbl>
    <w:p w:rsidR="005D003D" w:rsidRPr="00AD3B49" w:rsidRDefault="005D003D" w:rsidP="004B02DE">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vertAlign w:val="superscript"/>
          <w:lang w:val="sr-Latn-ME"/>
        </w:rPr>
        <w:t xml:space="preserve">a </w:t>
      </w:r>
      <w:r w:rsidRPr="00AD3B49">
        <w:rPr>
          <w:rFonts w:ascii="Times New Roman" w:hAnsi="Times New Roman" w:cs="Times New Roman"/>
          <w:color w:val="auto"/>
          <w:sz w:val="22"/>
          <w:szCs w:val="22"/>
          <w:lang w:val="sr-Latn-ME"/>
        </w:rPr>
        <w:t xml:space="preserve">Ped ACR 30/50/70 klinički odgovori nakon 48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terapije bili su značajno veći nego u grupi koja je uzimala placebo</w:t>
      </w:r>
    </w:p>
    <w:p w:rsidR="005D003D" w:rsidRPr="00AD3B49" w:rsidRDefault="005D003D" w:rsidP="005D003D">
      <w:pPr>
        <w:pStyle w:val="Default"/>
        <w:ind w:left="567" w:hanging="567"/>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vertAlign w:val="superscript"/>
          <w:lang w:val="sr-Latn-ME"/>
        </w:rPr>
        <w:t>b</w:t>
      </w:r>
      <w:r w:rsidRPr="00AD3B49">
        <w:rPr>
          <w:rFonts w:ascii="Times New Roman" w:hAnsi="Times New Roman" w:cs="Times New Roman"/>
          <w:color w:val="auto"/>
          <w:sz w:val="22"/>
          <w:szCs w:val="22"/>
          <w:lang w:val="sr-Latn-ME"/>
        </w:rPr>
        <w:t>p=0,015</w:t>
      </w:r>
    </w:p>
    <w:p w:rsidR="005D003D" w:rsidRPr="00AD3B49" w:rsidRDefault="005D003D" w:rsidP="005D003D">
      <w:pPr>
        <w:pStyle w:val="Default"/>
        <w:ind w:left="567" w:hanging="567"/>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vertAlign w:val="superscript"/>
          <w:lang w:val="sr-Latn-ME"/>
        </w:rPr>
        <w:lastRenderedPageBreak/>
        <w:t>c</w:t>
      </w:r>
      <w:r w:rsidRPr="00AD3B49">
        <w:rPr>
          <w:rFonts w:ascii="Times New Roman" w:hAnsi="Times New Roman" w:cs="Times New Roman"/>
          <w:color w:val="auto"/>
          <w:sz w:val="22"/>
          <w:szCs w:val="22"/>
          <w:lang w:val="sr-Latn-ME"/>
        </w:rPr>
        <w:t>p=0,031</w:t>
      </w:r>
    </w:p>
    <w:p w:rsidR="005D003D" w:rsidRPr="00AD3B49" w:rsidRDefault="005D003D" w:rsidP="005D003D">
      <w:pPr>
        <w:pStyle w:val="Default"/>
        <w:ind w:left="567" w:hanging="567"/>
        <w:jc w:val="both"/>
        <w:rPr>
          <w:rFonts w:ascii="Times New Roman" w:hAnsi="Times New Roman" w:cs="Times New Roman"/>
          <w:color w:val="auto"/>
          <w:sz w:val="22"/>
          <w:szCs w:val="22"/>
          <w:lang w:val="sr-Latn-ME"/>
        </w:rPr>
      </w:pPr>
    </w:p>
    <w:p w:rsidR="005D003D" w:rsidRPr="00AD3B49" w:rsidRDefault="004B02DE" w:rsidP="005D003D">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Pacijenti</w:t>
      </w:r>
      <w:r w:rsidR="005D003D" w:rsidRPr="00AD3B49">
        <w:rPr>
          <w:rFonts w:ascii="Times New Roman" w:hAnsi="Times New Roman" w:cs="Times New Roman"/>
          <w:color w:val="auto"/>
          <w:sz w:val="22"/>
          <w:szCs w:val="22"/>
          <w:lang w:val="sr-Latn-ME"/>
        </w:rPr>
        <w:t xml:space="preserve"> koji su </w:t>
      </w:r>
      <w:r w:rsidRPr="00AD3B49">
        <w:rPr>
          <w:rFonts w:ascii="Times New Roman" w:hAnsi="Times New Roman" w:cs="Times New Roman"/>
          <w:color w:val="auto"/>
          <w:sz w:val="22"/>
          <w:szCs w:val="22"/>
          <w:lang w:val="sr-Latn-ME"/>
        </w:rPr>
        <w:t xml:space="preserve">imali klinički odgovor u 16-oj </w:t>
      </w:r>
      <w:r w:rsidR="000B016F" w:rsidRPr="00AD3B49">
        <w:rPr>
          <w:rFonts w:ascii="Times New Roman" w:hAnsi="Times New Roman" w:cs="Times New Roman"/>
          <w:color w:val="auto"/>
          <w:sz w:val="22"/>
          <w:szCs w:val="22"/>
          <w:lang w:val="sr-Latn-ME"/>
        </w:rPr>
        <w:t>nedjelji</w:t>
      </w:r>
      <w:r w:rsidR="00686E37" w:rsidRPr="00AD3B49">
        <w:rPr>
          <w:rFonts w:ascii="Times New Roman" w:hAnsi="Times New Roman" w:cs="Times New Roman"/>
          <w:color w:val="auto"/>
          <w:sz w:val="22"/>
          <w:szCs w:val="22"/>
          <w:lang w:val="sr-Latn-ME"/>
        </w:rPr>
        <w:t xml:space="preserve"> (n=1</w:t>
      </w:r>
      <w:r w:rsidR="005D003D" w:rsidRPr="00AD3B49">
        <w:rPr>
          <w:rFonts w:ascii="Times New Roman" w:hAnsi="Times New Roman" w:cs="Times New Roman"/>
          <w:color w:val="auto"/>
          <w:sz w:val="22"/>
          <w:szCs w:val="22"/>
          <w:lang w:val="sr-Latn-ME"/>
        </w:rPr>
        <w:t>44), Ped ACR 30/50/70/90 odgovor je zadržan i do šest godina u OLE</w:t>
      </w:r>
      <w:r w:rsidR="00686E37" w:rsidRPr="00AD3B49">
        <w:rPr>
          <w:rFonts w:ascii="Times New Roman" w:hAnsi="Times New Roman" w:cs="Times New Roman"/>
          <w:color w:val="auto"/>
          <w:sz w:val="22"/>
          <w:szCs w:val="22"/>
          <w:lang w:val="sr-Latn-ME"/>
        </w:rPr>
        <w:t xml:space="preserve"> studiji</w:t>
      </w:r>
      <w:r w:rsidR="005D003D" w:rsidRPr="00AD3B49">
        <w:rPr>
          <w:rFonts w:ascii="Times New Roman" w:hAnsi="Times New Roman" w:cs="Times New Roman"/>
          <w:color w:val="auto"/>
          <w:sz w:val="22"/>
          <w:szCs w:val="22"/>
          <w:lang w:val="sr-Latn-ME"/>
        </w:rPr>
        <w:t xml:space="preserve"> ukoliko su uzi</w:t>
      </w:r>
      <w:r w:rsidRPr="00AD3B49">
        <w:rPr>
          <w:rFonts w:ascii="Times New Roman" w:hAnsi="Times New Roman" w:cs="Times New Roman"/>
          <w:color w:val="auto"/>
          <w:sz w:val="22"/>
          <w:szCs w:val="22"/>
          <w:lang w:val="sr-Latn-ME"/>
        </w:rPr>
        <w:t xml:space="preserve">mali </w:t>
      </w:r>
      <w:r w:rsidR="00C10995" w:rsidRPr="00AD3B49">
        <w:rPr>
          <w:rFonts w:ascii="Times New Roman" w:hAnsi="Times New Roman" w:cs="Times New Roman"/>
          <w:color w:val="auto"/>
          <w:sz w:val="22"/>
          <w:szCs w:val="22"/>
          <w:lang w:val="sr-Latn-ME"/>
        </w:rPr>
        <w:t xml:space="preserve">lijek </w:t>
      </w:r>
      <w:r w:rsidRPr="00AD3B49">
        <w:rPr>
          <w:rFonts w:ascii="Times New Roman" w:hAnsi="Times New Roman" w:cs="Times New Roman"/>
          <w:color w:val="auto"/>
          <w:sz w:val="22"/>
          <w:szCs w:val="22"/>
          <w:lang w:val="sr-Latn-ME"/>
        </w:rPr>
        <w:t>Humir</w:t>
      </w:r>
      <w:r w:rsidR="00C10995"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Ukupno 19 pacijenata</w:t>
      </w:r>
      <w:r w:rsidR="005D003D" w:rsidRPr="00AD3B49">
        <w:rPr>
          <w:rFonts w:ascii="Times New Roman" w:hAnsi="Times New Roman" w:cs="Times New Roman"/>
          <w:color w:val="auto"/>
          <w:sz w:val="22"/>
          <w:szCs w:val="22"/>
          <w:lang w:val="sr-Latn-ME"/>
        </w:rPr>
        <w:t>, od kojih 11 iz grupe starosti 4 do 12 godina i 8 iz grupe 13 do 17 godina liječeno je 6 ili više godina.</w:t>
      </w:r>
    </w:p>
    <w:p w:rsidR="005D003D" w:rsidRPr="00AD3B49" w:rsidRDefault="005D003D" w:rsidP="005D003D">
      <w:pPr>
        <w:pStyle w:val="Default"/>
        <w:jc w:val="both"/>
        <w:rPr>
          <w:rFonts w:ascii="Times New Roman" w:hAnsi="Times New Roman" w:cs="Times New Roman"/>
          <w:color w:val="auto"/>
          <w:sz w:val="22"/>
          <w:szCs w:val="22"/>
          <w:lang w:val="sr-Latn-ME"/>
        </w:rPr>
      </w:pPr>
    </w:p>
    <w:p w:rsidR="005D003D" w:rsidRPr="00AD3B49" w:rsidRDefault="005D003D" w:rsidP="005D003D">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U prosjeku, ukupni odgovor na terapiju b</w:t>
      </w:r>
      <w:r w:rsidR="004B02DE" w:rsidRPr="00AD3B49">
        <w:rPr>
          <w:rFonts w:ascii="Times New Roman" w:hAnsi="Times New Roman" w:cs="Times New Roman"/>
          <w:color w:val="auto"/>
          <w:sz w:val="22"/>
          <w:szCs w:val="22"/>
          <w:lang w:val="sr-Latn-ME"/>
        </w:rPr>
        <w:t>io je bolji i manje je pacijenata</w:t>
      </w:r>
      <w:r w:rsidRPr="00AD3B49">
        <w:rPr>
          <w:rFonts w:ascii="Times New Roman" w:hAnsi="Times New Roman" w:cs="Times New Roman"/>
          <w:color w:val="auto"/>
          <w:sz w:val="22"/>
          <w:szCs w:val="22"/>
          <w:lang w:val="sr-Latn-ME"/>
        </w:rPr>
        <w:t xml:space="preserve"> razvilo antitijela k</w:t>
      </w:r>
      <w:r w:rsidR="004B02DE" w:rsidRPr="00AD3B49">
        <w:rPr>
          <w:rFonts w:ascii="Times New Roman" w:hAnsi="Times New Roman" w:cs="Times New Roman"/>
          <w:color w:val="auto"/>
          <w:sz w:val="22"/>
          <w:szCs w:val="22"/>
          <w:lang w:val="sr-Latn-ME"/>
        </w:rPr>
        <w:t>ada su pacijenti</w:t>
      </w:r>
      <w:r w:rsidRPr="00AD3B49">
        <w:rPr>
          <w:rFonts w:ascii="Times New Roman" w:hAnsi="Times New Roman" w:cs="Times New Roman"/>
          <w:color w:val="auto"/>
          <w:sz w:val="22"/>
          <w:szCs w:val="22"/>
          <w:lang w:val="sr-Latn-ME"/>
        </w:rPr>
        <w:t xml:space="preserve"> primali kombinovanu terapiju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i metotreksata u odnosu na monoterapiju </w:t>
      </w:r>
      <w:r w:rsidR="00E409B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E409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Uzevši to u obzir, preporučuje se da se Humira daje u kombinaciji s metotreksatom, a mo</w:t>
      </w:r>
      <w:r w:rsidR="004B02DE" w:rsidRPr="00AD3B49">
        <w:rPr>
          <w:rFonts w:ascii="Times New Roman" w:hAnsi="Times New Roman" w:cs="Times New Roman"/>
          <w:color w:val="auto"/>
          <w:sz w:val="22"/>
          <w:szCs w:val="22"/>
          <w:lang w:val="sr-Latn-ME"/>
        </w:rPr>
        <w:t>noterapija samo kod onih pacijenata kod</w:t>
      </w:r>
      <w:r w:rsidRPr="00AD3B49">
        <w:rPr>
          <w:rFonts w:ascii="Times New Roman" w:hAnsi="Times New Roman" w:cs="Times New Roman"/>
          <w:color w:val="auto"/>
          <w:sz w:val="22"/>
          <w:szCs w:val="22"/>
          <w:lang w:val="sr-Latn-ME"/>
        </w:rPr>
        <w:t xml:space="preserve"> </w:t>
      </w:r>
      <w:r w:rsidR="00834F8D" w:rsidRPr="00AD3B49">
        <w:rPr>
          <w:rFonts w:ascii="Times New Roman" w:hAnsi="Times New Roman" w:cs="Times New Roman"/>
          <w:color w:val="auto"/>
          <w:sz w:val="22"/>
          <w:szCs w:val="22"/>
          <w:lang w:val="sr-Latn-ME"/>
        </w:rPr>
        <w:t xml:space="preserve">kojih se primjena metotreksata ne preporučuje </w:t>
      </w:r>
      <w:r w:rsidR="004B02DE" w:rsidRPr="00AD3B49">
        <w:rPr>
          <w:rFonts w:ascii="Times New Roman" w:hAnsi="Times New Roman" w:cs="Times New Roman"/>
          <w:color w:val="auto"/>
          <w:sz w:val="22"/>
          <w:szCs w:val="22"/>
          <w:lang w:val="sr-Latn-ME"/>
        </w:rPr>
        <w:t xml:space="preserve">(vidjeti </w:t>
      </w:r>
      <w:r w:rsidR="002D5061" w:rsidRPr="00AD3B49">
        <w:rPr>
          <w:rFonts w:ascii="Times New Roman" w:hAnsi="Times New Roman" w:cs="Times New Roman"/>
          <w:color w:val="auto"/>
          <w:sz w:val="22"/>
          <w:szCs w:val="22"/>
          <w:lang w:val="sr-Latn-ME"/>
        </w:rPr>
        <w:t>odjeljak</w:t>
      </w:r>
      <w:r w:rsidRPr="00AD3B49">
        <w:rPr>
          <w:rFonts w:ascii="Times New Roman" w:hAnsi="Times New Roman" w:cs="Times New Roman"/>
          <w:color w:val="auto"/>
          <w:sz w:val="22"/>
          <w:szCs w:val="22"/>
          <w:lang w:val="sr-Latn-ME"/>
        </w:rPr>
        <w:t xml:space="preserve"> 4.2).</w:t>
      </w:r>
    </w:p>
    <w:p w:rsidR="00BF375F" w:rsidRPr="00AD3B49" w:rsidRDefault="00BF375F" w:rsidP="00D74125">
      <w:pPr>
        <w:autoSpaceDE w:val="0"/>
        <w:autoSpaceDN w:val="0"/>
        <w:adjustRightInd w:val="0"/>
        <w:rPr>
          <w:sz w:val="22"/>
          <w:szCs w:val="22"/>
          <w:u w:val="single"/>
          <w:lang w:val="sr-Latn-ME"/>
        </w:rPr>
      </w:pPr>
    </w:p>
    <w:p w:rsidR="00BF375F" w:rsidRPr="00A801D9" w:rsidRDefault="003E60CE" w:rsidP="003D52D6">
      <w:pPr>
        <w:autoSpaceDE w:val="0"/>
        <w:autoSpaceDN w:val="0"/>
        <w:adjustRightInd w:val="0"/>
        <w:jc w:val="both"/>
        <w:rPr>
          <w:b/>
          <w:sz w:val="22"/>
          <w:szCs w:val="22"/>
          <w:lang w:val="sr-Latn-ME"/>
        </w:rPr>
      </w:pPr>
      <w:r w:rsidRPr="00A801D9">
        <w:rPr>
          <w:b/>
          <w:sz w:val="22"/>
          <w:szCs w:val="22"/>
          <w:lang w:val="sr-Latn-ME"/>
        </w:rPr>
        <w:t>JIA II</w:t>
      </w:r>
    </w:p>
    <w:p w:rsidR="003E60CE" w:rsidRPr="00AD3B49" w:rsidRDefault="003E60CE" w:rsidP="003D52D6">
      <w:pPr>
        <w:autoSpaceDE w:val="0"/>
        <w:autoSpaceDN w:val="0"/>
        <w:adjustRightInd w:val="0"/>
        <w:jc w:val="both"/>
        <w:rPr>
          <w:sz w:val="22"/>
          <w:szCs w:val="22"/>
          <w:lang w:val="sr-Latn-ME"/>
        </w:rPr>
      </w:pPr>
      <w:r w:rsidRPr="00AD3B49">
        <w:rPr>
          <w:sz w:val="22"/>
          <w:szCs w:val="22"/>
          <w:lang w:val="sr-Latn-ME"/>
        </w:rPr>
        <w:t>Bezbjednost i efikasnost su procjenjivani u otvorenoj, multicentričnoj studiji sa 32 djeteta (starosti od 2 do &lt;</w:t>
      </w:r>
      <w:r w:rsidR="00AA6A9B" w:rsidRPr="00AD3B49">
        <w:rPr>
          <w:sz w:val="22"/>
          <w:szCs w:val="22"/>
          <w:lang w:val="sr-Latn-ME"/>
        </w:rPr>
        <w:t xml:space="preserve"> </w:t>
      </w:r>
      <w:r w:rsidRPr="00AD3B49">
        <w:rPr>
          <w:sz w:val="22"/>
          <w:szCs w:val="22"/>
          <w:lang w:val="sr-Latn-ME"/>
        </w:rPr>
        <w:t xml:space="preserve">4 godine starosti ili starosti 4 i iznad 4 godine tjelesne mase &lt; 15 kg) sa umjerenim do teškim aktivnim poliartikularnim juvenilnim idiopatskim artritisom. </w:t>
      </w:r>
    </w:p>
    <w:p w:rsidR="003E60CE" w:rsidRPr="00AD3B49" w:rsidRDefault="003E60CE" w:rsidP="003D52D6">
      <w:pPr>
        <w:autoSpaceDE w:val="0"/>
        <w:autoSpaceDN w:val="0"/>
        <w:adjustRightInd w:val="0"/>
        <w:jc w:val="both"/>
        <w:rPr>
          <w:sz w:val="22"/>
          <w:szCs w:val="22"/>
          <w:lang w:val="sr-Latn-ME"/>
        </w:rPr>
      </w:pPr>
    </w:p>
    <w:p w:rsidR="003E60CE" w:rsidRPr="00AD3B49" w:rsidRDefault="003E60CE" w:rsidP="003D52D6">
      <w:pPr>
        <w:autoSpaceDE w:val="0"/>
        <w:autoSpaceDN w:val="0"/>
        <w:adjustRightInd w:val="0"/>
        <w:jc w:val="both"/>
        <w:rPr>
          <w:sz w:val="22"/>
          <w:szCs w:val="22"/>
          <w:lang w:val="sr-Latn-ME"/>
        </w:rPr>
      </w:pPr>
      <w:r w:rsidRPr="00AD3B49">
        <w:rPr>
          <w:sz w:val="22"/>
          <w:szCs w:val="22"/>
          <w:lang w:val="sr-Latn-ME"/>
        </w:rPr>
        <w:t>Pacijenti su primali lijek Humira u dozi od 24 mg/m</w:t>
      </w:r>
      <w:r w:rsidRPr="00AD3B49">
        <w:rPr>
          <w:sz w:val="22"/>
          <w:szCs w:val="22"/>
          <w:vertAlign w:val="superscript"/>
          <w:lang w:val="sr-Latn-ME"/>
        </w:rPr>
        <w:t>2</w:t>
      </w:r>
      <w:r w:rsidRPr="00AD3B49">
        <w:rPr>
          <w:sz w:val="22"/>
          <w:szCs w:val="22"/>
          <w:lang w:val="sr-Latn-ME"/>
        </w:rPr>
        <w:t xml:space="preserve"> do maksimalnih 20 mg svake druge nedjelje (u nepodjeljenoj dozi), potkožnom injekcijom najmanje 24 nedjelje. Tokom studije, većina ispitanika je istovremeno primala metotreksat a manji broj je </w:t>
      </w:r>
      <w:r w:rsidR="00E7771F" w:rsidRPr="00AD3B49">
        <w:rPr>
          <w:sz w:val="22"/>
          <w:szCs w:val="22"/>
          <w:lang w:val="sr-Latn-ME"/>
        </w:rPr>
        <w:t>primao kortikosteroide ili NSAID</w:t>
      </w:r>
      <w:r w:rsidR="003D52D6" w:rsidRPr="00AD3B49">
        <w:rPr>
          <w:sz w:val="22"/>
          <w:szCs w:val="22"/>
          <w:lang w:val="sr-Latn-ME"/>
        </w:rPr>
        <w:t>.</w:t>
      </w:r>
    </w:p>
    <w:p w:rsidR="003D52D6" w:rsidRPr="00AD3B49" w:rsidRDefault="003D52D6" w:rsidP="003D52D6">
      <w:pPr>
        <w:autoSpaceDE w:val="0"/>
        <w:autoSpaceDN w:val="0"/>
        <w:adjustRightInd w:val="0"/>
        <w:jc w:val="both"/>
        <w:rPr>
          <w:sz w:val="22"/>
          <w:szCs w:val="22"/>
          <w:lang w:val="sr-Latn-ME"/>
        </w:rPr>
      </w:pPr>
    </w:p>
    <w:p w:rsidR="003D52D6" w:rsidRPr="00AD3B49" w:rsidRDefault="003D52D6" w:rsidP="003D52D6">
      <w:pPr>
        <w:autoSpaceDE w:val="0"/>
        <w:autoSpaceDN w:val="0"/>
        <w:adjustRightInd w:val="0"/>
        <w:jc w:val="both"/>
        <w:rPr>
          <w:sz w:val="22"/>
          <w:szCs w:val="22"/>
          <w:lang w:val="sr-Latn-ME"/>
        </w:rPr>
      </w:pPr>
      <w:r w:rsidRPr="00AD3B49">
        <w:rPr>
          <w:sz w:val="22"/>
          <w:szCs w:val="22"/>
          <w:lang w:val="sr-Latn-ME"/>
        </w:rPr>
        <w:t xml:space="preserve">Nakon 12 nedjelja i nakon 24 nedjelje, Ped ACR 30 postignut je kod 93,5% i kod 90,0% ispitanika, uz primjenu pristupa zabilježenih podataka. Odnos ispitanika sa Ped ACR 50/70/90 nakon 12 nedjelja, nakon 24 nedjelje bio je: 90,3% /61,3% /38,7% , odnosno 83,3% /73,3% /36,7%. Među onima koji su odgovorili na terapiju (Ped ACR 30) u 24 nedjelji (n=27, od 30 pacijenata), Ped ACR 30 odgovor zadržani su do 60 nedjelja u otvorenoj produženoj fazi studije kod pacijenata koji su primali </w:t>
      </w:r>
      <w:r w:rsidR="00C10995" w:rsidRPr="00AD3B49">
        <w:rPr>
          <w:sz w:val="22"/>
          <w:szCs w:val="22"/>
          <w:lang w:val="sr-Latn-ME"/>
        </w:rPr>
        <w:t xml:space="preserve">lijek </w:t>
      </w:r>
      <w:r w:rsidRPr="00AD3B49">
        <w:rPr>
          <w:sz w:val="22"/>
          <w:szCs w:val="22"/>
          <w:lang w:val="sr-Latn-ME"/>
        </w:rPr>
        <w:t>Humir</w:t>
      </w:r>
      <w:r w:rsidR="00C10995" w:rsidRPr="00AD3B49">
        <w:rPr>
          <w:sz w:val="22"/>
          <w:szCs w:val="22"/>
          <w:lang w:val="sr-Latn-ME"/>
        </w:rPr>
        <w:t>a</w:t>
      </w:r>
      <w:r w:rsidRPr="00AD3B49">
        <w:rPr>
          <w:sz w:val="22"/>
          <w:szCs w:val="22"/>
          <w:lang w:val="sr-Latn-ME"/>
        </w:rPr>
        <w:t xml:space="preserve"> u ovom vremenskom periodu. Ukupno 20 ispitanika je liječeno 60 nedjelja ili duže. </w:t>
      </w:r>
    </w:p>
    <w:p w:rsidR="003E60CE" w:rsidRPr="00AD3B49" w:rsidRDefault="003E60CE" w:rsidP="00D74125">
      <w:pPr>
        <w:autoSpaceDE w:val="0"/>
        <w:autoSpaceDN w:val="0"/>
        <w:adjustRightInd w:val="0"/>
        <w:rPr>
          <w:sz w:val="22"/>
          <w:szCs w:val="22"/>
          <w:u w:val="single"/>
          <w:lang w:val="sr-Latn-ME"/>
        </w:rPr>
      </w:pPr>
    </w:p>
    <w:p w:rsidR="00DD5431" w:rsidRPr="00AD3B49" w:rsidRDefault="00D74125" w:rsidP="00D74125">
      <w:pPr>
        <w:autoSpaceDE w:val="0"/>
        <w:autoSpaceDN w:val="0"/>
        <w:adjustRightInd w:val="0"/>
        <w:rPr>
          <w:sz w:val="22"/>
          <w:szCs w:val="22"/>
          <w:u w:val="single"/>
          <w:lang w:val="sr-Latn-ME"/>
        </w:rPr>
      </w:pPr>
      <w:r w:rsidRPr="00AD3B49">
        <w:rPr>
          <w:sz w:val="22"/>
          <w:szCs w:val="22"/>
          <w:u w:val="single"/>
          <w:lang w:val="sr-Latn-ME"/>
        </w:rPr>
        <w:t xml:space="preserve">Aksijalni spondiloartritis </w:t>
      </w:r>
    </w:p>
    <w:p w:rsidR="00C477C3" w:rsidRPr="00AD3B49" w:rsidRDefault="00C477C3" w:rsidP="00D74125">
      <w:pPr>
        <w:autoSpaceDE w:val="0"/>
        <w:autoSpaceDN w:val="0"/>
        <w:adjustRightInd w:val="0"/>
        <w:rPr>
          <w:sz w:val="22"/>
          <w:szCs w:val="22"/>
          <w:u w:val="single"/>
          <w:lang w:val="sr-Latn-ME"/>
        </w:rPr>
      </w:pPr>
    </w:p>
    <w:p w:rsidR="00D74125" w:rsidRPr="00AD3B49" w:rsidRDefault="0004490B" w:rsidP="00D74125">
      <w:pPr>
        <w:autoSpaceDE w:val="0"/>
        <w:autoSpaceDN w:val="0"/>
        <w:adjustRightInd w:val="0"/>
        <w:rPr>
          <w:i/>
          <w:sz w:val="22"/>
          <w:szCs w:val="22"/>
          <w:u w:val="single"/>
          <w:lang w:val="sr-Latn-ME"/>
        </w:rPr>
      </w:pPr>
      <w:r w:rsidRPr="00AD3B49">
        <w:rPr>
          <w:i/>
          <w:sz w:val="22"/>
          <w:szCs w:val="22"/>
          <w:u w:val="single"/>
          <w:lang w:val="sr-Latn-ME"/>
        </w:rPr>
        <w:t xml:space="preserve">Ankilozirajući </w:t>
      </w:r>
      <w:r w:rsidR="00D74125" w:rsidRPr="00AD3B49">
        <w:rPr>
          <w:i/>
          <w:sz w:val="22"/>
          <w:szCs w:val="22"/>
          <w:u w:val="single"/>
          <w:lang w:val="sr-Latn-ME"/>
        </w:rPr>
        <w:t>spondilitis (AS)</w:t>
      </w:r>
    </w:p>
    <w:p w:rsidR="00D74125" w:rsidRPr="00AD3B49" w:rsidRDefault="002635BA" w:rsidP="00D74125">
      <w:pPr>
        <w:autoSpaceDE w:val="0"/>
        <w:autoSpaceDN w:val="0"/>
        <w:adjustRightInd w:val="0"/>
        <w:jc w:val="both"/>
        <w:rPr>
          <w:sz w:val="22"/>
          <w:szCs w:val="22"/>
          <w:lang w:val="sr-Latn-ME"/>
        </w:rPr>
      </w:pPr>
      <w:r w:rsidRPr="00AD3B49">
        <w:rPr>
          <w:sz w:val="22"/>
          <w:szCs w:val="22"/>
          <w:lang w:val="sr-Latn-ME"/>
        </w:rPr>
        <w:t>Efikasnost</w:t>
      </w:r>
      <w:r w:rsidR="00D74125" w:rsidRPr="00AD3B49">
        <w:rPr>
          <w:sz w:val="22"/>
          <w:szCs w:val="22"/>
          <w:lang w:val="sr-Latn-ME"/>
        </w:rPr>
        <w:t xml:space="preserve"> </w:t>
      </w:r>
      <w:r w:rsidR="0082613A" w:rsidRPr="00AD3B49">
        <w:rPr>
          <w:sz w:val="22"/>
          <w:szCs w:val="22"/>
          <w:lang w:val="sr-Latn-ME"/>
        </w:rPr>
        <w:t xml:space="preserve">lijeka </w:t>
      </w:r>
      <w:r w:rsidR="00D74125" w:rsidRPr="00AD3B49">
        <w:rPr>
          <w:sz w:val="22"/>
          <w:szCs w:val="22"/>
          <w:lang w:val="sr-Latn-ME"/>
        </w:rPr>
        <w:t>Humir</w:t>
      </w:r>
      <w:r w:rsidR="0082613A" w:rsidRPr="00AD3B49">
        <w:rPr>
          <w:sz w:val="22"/>
          <w:szCs w:val="22"/>
          <w:lang w:val="sr-Latn-ME"/>
        </w:rPr>
        <w:t>a</w:t>
      </w:r>
      <w:r w:rsidR="00D74125" w:rsidRPr="00AD3B49">
        <w:rPr>
          <w:sz w:val="22"/>
          <w:szCs w:val="22"/>
          <w:lang w:val="sr-Latn-ME"/>
        </w:rPr>
        <w:t xml:space="preserve"> u dozi od 40 mg svake druge </w:t>
      </w:r>
      <w:r w:rsidR="000B016F" w:rsidRPr="00AD3B49">
        <w:rPr>
          <w:sz w:val="22"/>
          <w:szCs w:val="22"/>
          <w:lang w:val="sr-Latn-ME"/>
        </w:rPr>
        <w:t>nedjelje</w:t>
      </w:r>
      <w:r w:rsidR="00D74125" w:rsidRPr="00AD3B49">
        <w:rPr>
          <w:sz w:val="22"/>
          <w:szCs w:val="22"/>
          <w:lang w:val="sr-Latn-ME"/>
        </w:rPr>
        <w:t xml:space="preserve"> ispitivana je kod 393 pacijenta u dvije dvo</w:t>
      </w:r>
      <w:r w:rsidR="00DD5431" w:rsidRPr="00AD3B49">
        <w:rPr>
          <w:sz w:val="22"/>
          <w:szCs w:val="22"/>
          <w:lang w:val="sr-Latn-ME"/>
        </w:rPr>
        <w:t>struko slijepe placebo kontrolis</w:t>
      </w:r>
      <w:r w:rsidR="00D74125" w:rsidRPr="00AD3B49">
        <w:rPr>
          <w:sz w:val="22"/>
          <w:szCs w:val="22"/>
          <w:lang w:val="sr-Latn-ME"/>
        </w:rPr>
        <w:t xml:space="preserve">ane studije kroz period od 24 </w:t>
      </w:r>
      <w:r w:rsidR="000B016F" w:rsidRPr="00AD3B49">
        <w:rPr>
          <w:sz w:val="22"/>
          <w:szCs w:val="22"/>
          <w:lang w:val="sr-Latn-ME"/>
        </w:rPr>
        <w:t>nedjelje</w:t>
      </w:r>
      <w:r w:rsidR="00D74125" w:rsidRPr="00AD3B49">
        <w:rPr>
          <w:sz w:val="22"/>
          <w:szCs w:val="22"/>
          <w:lang w:val="sr-Latn-ME"/>
        </w:rPr>
        <w:t xml:space="preserve"> kod pacijen</w:t>
      </w:r>
      <w:r w:rsidR="00E7771F" w:rsidRPr="00AD3B49">
        <w:rPr>
          <w:sz w:val="22"/>
          <w:szCs w:val="22"/>
          <w:lang w:val="sr-Latn-ME"/>
        </w:rPr>
        <w:t>a</w:t>
      </w:r>
      <w:r w:rsidR="00D74125" w:rsidRPr="00AD3B49">
        <w:rPr>
          <w:sz w:val="22"/>
          <w:szCs w:val="22"/>
          <w:lang w:val="sr-Latn-ME"/>
        </w:rPr>
        <w:t xml:space="preserve">ta sa aktivnim </w:t>
      </w:r>
      <w:r w:rsidR="0004490B" w:rsidRPr="00AD3B49">
        <w:rPr>
          <w:sz w:val="22"/>
          <w:szCs w:val="22"/>
          <w:lang w:val="sr-Latn-ME"/>
        </w:rPr>
        <w:t xml:space="preserve">ankilozirajućim </w:t>
      </w:r>
      <w:r w:rsidR="00D74125" w:rsidRPr="00AD3B49">
        <w:rPr>
          <w:sz w:val="22"/>
          <w:szCs w:val="22"/>
          <w:lang w:val="sr-Latn-ME"/>
        </w:rPr>
        <w:t xml:space="preserve">spondilitisom (srednja početna aktivnost bolesti [Bath indeks aktivnosti bolesti za </w:t>
      </w:r>
      <w:r w:rsidR="0004490B" w:rsidRPr="00AD3B49">
        <w:rPr>
          <w:sz w:val="22"/>
          <w:szCs w:val="22"/>
          <w:lang w:val="sr-Latn-ME"/>
        </w:rPr>
        <w:t xml:space="preserve">ankilozirajući </w:t>
      </w:r>
      <w:r w:rsidR="00D74125" w:rsidRPr="00AD3B49">
        <w:rPr>
          <w:sz w:val="22"/>
          <w:szCs w:val="22"/>
          <w:lang w:val="sr-Latn-ME"/>
        </w:rPr>
        <w:t xml:space="preserve">spondilitis (BASDAI)] bio je 6,3 kod svih grupa) kod kojih nije ostvaren adekvatan odgovor konvencionalnim liječenjem. Sedamdeset devet (20,1%) pacijenta istovremeno je liječeno antireumatskim ljekovima </w:t>
      </w:r>
      <w:r w:rsidR="00D74125" w:rsidRPr="00AD3B49">
        <w:rPr>
          <w:iCs/>
          <w:sz w:val="22"/>
          <w:szCs w:val="22"/>
          <w:lang w:val="sr-Latn-ME"/>
        </w:rPr>
        <w:t>koji modifikuju</w:t>
      </w:r>
      <w:r w:rsidR="00D74125" w:rsidRPr="00AD3B49">
        <w:rPr>
          <w:sz w:val="22"/>
          <w:szCs w:val="22"/>
          <w:lang w:val="sr-Latn-ME"/>
        </w:rPr>
        <w:t xml:space="preserve"> tok bolesti, dok je 37 (9,4%) pacijenta liječeno glukokortikoidima. Nakon slijepe faze uslijedila je otvorena faza ispitivanja tokom koje su pacijenti primali </w:t>
      </w:r>
      <w:r w:rsidR="00C10995" w:rsidRPr="00AD3B49">
        <w:rPr>
          <w:sz w:val="22"/>
          <w:szCs w:val="22"/>
          <w:lang w:val="sr-Latn-ME"/>
        </w:rPr>
        <w:t xml:space="preserve">lijek </w:t>
      </w:r>
      <w:r w:rsidR="00D74125" w:rsidRPr="00AD3B49">
        <w:rPr>
          <w:sz w:val="22"/>
          <w:szCs w:val="22"/>
          <w:lang w:val="sr-Latn-ME"/>
        </w:rPr>
        <w:t>Humir</w:t>
      </w:r>
      <w:r w:rsidR="00C10995" w:rsidRPr="00AD3B49">
        <w:rPr>
          <w:sz w:val="22"/>
          <w:szCs w:val="22"/>
          <w:lang w:val="sr-Latn-ME"/>
        </w:rPr>
        <w:t>a</w:t>
      </w:r>
      <w:r w:rsidR="00D74125" w:rsidRPr="00AD3B49">
        <w:rPr>
          <w:sz w:val="22"/>
          <w:szCs w:val="22"/>
          <w:lang w:val="sr-Latn-ME"/>
        </w:rPr>
        <w:t xml:space="preserve"> u dozi od 40 mg svake druge </w:t>
      </w:r>
      <w:r w:rsidR="000B016F" w:rsidRPr="00AD3B49">
        <w:rPr>
          <w:sz w:val="22"/>
          <w:szCs w:val="22"/>
          <w:lang w:val="sr-Latn-ME"/>
        </w:rPr>
        <w:t>nedjelje</w:t>
      </w:r>
      <w:r w:rsidR="00D74125" w:rsidRPr="00AD3B49">
        <w:rPr>
          <w:sz w:val="22"/>
          <w:szCs w:val="22"/>
          <w:lang w:val="sr-Latn-ME"/>
        </w:rPr>
        <w:t xml:space="preserve"> supkutano tokom dodatnih 28 </w:t>
      </w:r>
      <w:r w:rsidR="000B016F" w:rsidRPr="00AD3B49">
        <w:rPr>
          <w:sz w:val="22"/>
          <w:szCs w:val="22"/>
          <w:lang w:val="sr-Latn-ME"/>
        </w:rPr>
        <w:t>nedjelja</w:t>
      </w:r>
      <w:r w:rsidR="00D74125" w:rsidRPr="00AD3B49">
        <w:rPr>
          <w:sz w:val="22"/>
          <w:szCs w:val="22"/>
          <w:lang w:val="sr-Latn-ME"/>
        </w:rPr>
        <w:t xml:space="preserve">. Pacijenti (n=215, 54.7%) kod kojih nije postignut ASAS 20 u 12. </w:t>
      </w:r>
      <w:r w:rsidR="000B016F" w:rsidRPr="00AD3B49">
        <w:rPr>
          <w:sz w:val="22"/>
          <w:szCs w:val="22"/>
          <w:lang w:val="sr-Latn-ME"/>
        </w:rPr>
        <w:t>nedjelji</w:t>
      </w:r>
      <w:r w:rsidR="00D74125" w:rsidRPr="00AD3B49">
        <w:rPr>
          <w:sz w:val="22"/>
          <w:szCs w:val="22"/>
          <w:lang w:val="sr-Latn-ME"/>
        </w:rPr>
        <w:t>, odnosno 16 ili 20 ranije su prebačen</w:t>
      </w:r>
      <w:r w:rsidR="00DD5431" w:rsidRPr="00AD3B49">
        <w:rPr>
          <w:sz w:val="22"/>
          <w:szCs w:val="22"/>
          <w:lang w:val="sr-Latn-ME"/>
        </w:rPr>
        <w:t>i u otvoreni dio studije i dobij</w:t>
      </w:r>
      <w:r w:rsidR="00D74125" w:rsidRPr="00AD3B49">
        <w:rPr>
          <w:sz w:val="22"/>
          <w:szCs w:val="22"/>
          <w:lang w:val="sr-Latn-ME"/>
        </w:rPr>
        <w:t xml:space="preserve">ali su adalimumab 40 mg supkutano svake druge </w:t>
      </w:r>
      <w:r w:rsidR="000B016F" w:rsidRPr="00AD3B49">
        <w:rPr>
          <w:sz w:val="22"/>
          <w:szCs w:val="22"/>
          <w:lang w:val="sr-Latn-ME"/>
        </w:rPr>
        <w:t>nedjelje</w:t>
      </w:r>
      <w:r w:rsidR="00D74125" w:rsidRPr="00AD3B49">
        <w:rPr>
          <w:sz w:val="22"/>
          <w:szCs w:val="22"/>
          <w:lang w:val="sr-Latn-ME"/>
        </w:rPr>
        <w:t xml:space="preserve">, te su nakon toga smatrani pacijentima kod kojih nije postignut terapijski odgovor u okviru dvostruko slijepih statističkih analiza. </w:t>
      </w:r>
    </w:p>
    <w:p w:rsidR="00D74125" w:rsidRPr="00AD3B49" w:rsidRDefault="00D74125" w:rsidP="00D74125">
      <w:pPr>
        <w:autoSpaceDE w:val="0"/>
        <w:autoSpaceDN w:val="0"/>
        <w:adjustRightInd w:val="0"/>
        <w:rPr>
          <w:sz w:val="22"/>
          <w:szCs w:val="22"/>
          <w:lang w:val="sr-Latn-ME"/>
        </w:rPr>
      </w:pPr>
    </w:p>
    <w:p w:rsidR="00D74125" w:rsidRPr="00AD3B49" w:rsidRDefault="00D74125" w:rsidP="00D74125">
      <w:pPr>
        <w:autoSpaceDE w:val="0"/>
        <w:autoSpaceDN w:val="0"/>
        <w:adjustRightInd w:val="0"/>
        <w:jc w:val="both"/>
        <w:rPr>
          <w:sz w:val="22"/>
          <w:szCs w:val="22"/>
          <w:lang w:val="sr-Latn-ME"/>
        </w:rPr>
      </w:pPr>
      <w:r w:rsidRPr="00AD3B49">
        <w:rPr>
          <w:sz w:val="22"/>
          <w:szCs w:val="22"/>
          <w:lang w:val="sr-Latn-ME"/>
        </w:rPr>
        <w:t xml:space="preserve">U okviru opsežnijeg AS ispitivanja I, u kojem je učestvovalo 315 pacijenta, rezultati su pokazali statistički značajno poboljšanje znakova i simptoma </w:t>
      </w:r>
      <w:r w:rsidR="0004490B" w:rsidRPr="00AD3B49">
        <w:rPr>
          <w:sz w:val="22"/>
          <w:szCs w:val="22"/>
          <w:lang w:val="sr-Latn-ME"/>
        </w:rPr>
        <w:t xml:space="preserve">ankilozirajućeg </w:t>
      </w:r>
      <w:r w:rsidRPr="00AD3B49">
        <w:rPr>
          <w:sz w:val="22"/>
          <w:szCs w:val="22"/>
          <w:lang w:val="sr-Latn-ME"/>
        </w:rPr>
        <w:t xml:space="preserve">spondilitisa kod pacijenta koji su liječeni </w:t>
      </w:r>
      <w:r w:rsidR="00884C20" w:rsidRPr="00AD3B49">
        <w:rPr>
          <w:sz w:val="22"/>
          <w:szCs w:val="22"/>
          <w:lang w:val="sr-Latn-ME"/>
        </w:rPr>
        <w:t xml:space="preserve">lijekom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u poređenju sa pacijentima koji su primali placebo. Zna</w:t>
      </w:r>
      <w:r w:rsidR="00E7771F" w:rsidRPr="00AD3B49">
        <w:rPr>
          <w:sz w:val="22"/>
          <w:szCs w:val="22"/>
          <w:lang w:val="sr-Latn-ME"/>
        </w:rPr>
        <w:t>čajan odgovor uočen je prvo u 2</w:t>
      </w:r>
      <w:r w:rsidRPr="00AD3B49">
        <w:rPr>
          <w:sz w:val="22"/>
          <w:szCs w:val="22"/>
          <w:lang w:val="sr-Latn-ME"/>
        </w:rPr>
        <w:t xml:space="preserve"> </w:t>
      </w:r>
      <w:r w:rsidR="000B016F" w:rsidRPr="00AD3B49">
        <w:rPr>
          <w:sz w:val="22"/>
          <w:szCs w:val="22"/>
          <w:lang w:val="sr-Latn-ME"/>
        </w:rPr>
        <w:t>nedjelji</w:t>
      </w:r>
      <w:r w:rsidRPr="00AD3B49">
        <w:rPr>
          <w:sz w:val="22"/>
          <w:szCs w:val="22"/>
          <w:lang w:val="sr-Latn-ME"/>
        </w:rPr>
        <w:t xml:space="preserve">, a to poboljšanje se održalo tokom 24 </w:t>
      </w:r>
      <w:r w:rsidR="000B016F" w:rsidRPr="00AD3B49">
        <w:rPr>
          <w:sz w:val="22"/>
          <w:szCs w:val="22"/>
          <w:lang w:val="sr-Latn-ME"/>
        </w:rPr>
        <w:t>nedjelje</w:t>
      </w:r>
      <w:r w:rsidRPr="00AD3B49">
        <w:rPr>
          <w:sz w:val="22"/>
          <w:szCs w:val="22"/>
          <w:lang w:val="sr-Latn-ME"/>
        </w:rPr>
        <w:t xml:space="preserve"> (Tabela 9). </w:t>
      </w:r>
    </w:p>
    <w:p w:rsidR="00D74125" w:rsidRPr="00AD3B49" w:rsidRDefault="00D74125" w:rsidP="00D74125">
      <w:pPr>
        <w:autoSpaceDE w:val="0"/>
        <w:autoSpaceDN w:val="0"/>
        <w:adjustRightInd w:val="0"/>
        <w:rPr>
          <w:sz w:val="22"/>
          <w:szCs w:val="22"/>
          <w:lang w:val="sr-Latn-ME"/>
        </w:rPr>
      </w:pPr>
    </w:p>
    <w:p w:rsidR="00D74125" w:rsidRPr="00AD3B49" w:rsidRDefault="00D74125" w:rsidP="006B0826">
      <w:pPr>
        <w:autoSpaceDE w:val="0"/>
        <w:autoSpaceDN w:val="0"/>
        <w:adjustRightInd w:val="0"/>
        <w:jc w:val="center"/>
        <w:rPr>
          <w:b/>
          <w:sz w:val="22"/>
          <w:szCs w:val="22"/>
          <w:lang w:val="sr-Latn-ME"/>
        </w:rPr>
      </w:pPr>
      <w:r w:rsidRPr="00AD3B49">
        <w:rPr>
          <w:b/>
          <w:sz w:val="22"/>
          <w:szCs w:val="22"/>
          <w:lang w:val="sr-Latn-ME"/>
        </w:rPr>
        <w:lastRenderedPageBreak/>
        <w:t>Tabela 9 –</w:t>
      </w:r>
    </w:p>
    <w:p w:rsidR="00D74125" w:rsidRPr="00AD3B49" w:rsidRDefault="00D74125" w:rsidP="006B0826">
      <w:pPr>
        <w:autoSpaceDE w:val="0"/>
        <w:autoSpaceDN w:val="0"/>
        <w:adjustRightInd w:val="0"/>
        <w:jc w:val="center"/>
        <w:rPr>
          <w:b/>
          <w:sz w:val="22"/>
          <w:szCs w:val="22"/>
          <w:lang w:val="sr-Latn-ME"/>
        </w:rPr>
      </w:pPr>
      <w:r w:rsidRPr="00AD3B49">
        <w:rPr>
          <w:b/>
          <w:sz w:val="22"/>
          <w:szCs w:val="22"/>
          <w:lang w:val="sr-Latn-ME"/>
        </w:rPr>
        <w:t>Terapijski o</w:t>
      </w:r>
      <w:r w:rsidR="007E6D20" w:rsidRPr="00AD3B49">
        <w:rPr>
          <w:b/>
          <w:sz w:val="22"/>
          <w:szCs w:val="22"/>
          <w:lang w:val="sr-Latn-ME"/>
        </w:rPr>
        <w:t>dgovor u odnosu na efikasnost u placebo kontrolisanom</w:t>
      </w:r>
      <w:r w:rsidRPr="00AD3B49">
        <w:rPr>
          <w:b/>
          <w:sz w:val="22"/>
          <w:szCs w:val="22"/>
          <w:lang w:val="sr-Latn-ME"/>
        </w:rPr>
        <w:t xml:space="preserve"> AS ispitivanju – </w:t>
      </w:r>
      <w:r w:rsidR="00AA6A9B" w:rsidRPr="00AD3B49">
        <w:rPr>
          <w:b/>
          <w:sz w:val="22"/>
          <w:szCs w:val="22"/>
          <w:lang w:val="sr-Latn-ME"/>
        </w:rPr>
        <w:t xml:space="preserve">Studija </w:t>
      </w:r>
      <w:r w:rsidRPr="00AD3B49">
        <w:rPr>
          <w:b/>
          <w:sz w:val="22"/>
          <w:szCs w:val="22"/>
          <w:lang w:val="sr-Latn-ME"/>
        </w:rPr>
        <w:t>I</w:t>
      </w:r>
    </w:p>
    <w:p w:rsidR="00D74125" w:rsidRPr="00AD3B49" w:rsidRDefault="00D74125" w:rsidP="009D2E75">
      <w:pPr>
        <w:autoSpaceDE w:val="0"/>
        <w:autoSpaceDN w:val="0"/>
        <w:adjustRightInd w:val="0"/>
        <w:jc w:val="center"/>
        <w:rPr>
          <w:color w:val="FF0000"/>
          <w:sz w:val="22"/>
          <w:szCs w:val="22"/>
          <w:lang w:val="sr-Latn-ME"/>
        </w:rPr>
      </w:pPr>
      <w:r w:rsidRPr="00AD3B49">
        <w:rPr>
          <w:b/>
          <w:sz w:val="22"/>
          <w:szCs w:val="22"/>
          <w:lang w:val="sr-Latn-ME"/>
        </w:rPr>
        <w:t>Smanjenje znakova i simptoma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3093"/>
        <w:gridCol w:w="3094"/>
      </w:tblGrid>
      <w:tr w:rsidR="00D74125" w:rsidRPr="00AD3B49" w:rsidTr="00DD5431">
        <w:tc>
          <w:tcPr>
            <w:tcW w:w="3093" w:type="dxa"/>
            <w:shd w:val="clear" w:color="auto" w:fill="auto"/>
          </w:tcPr>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Odgovor</w:t>
            </w:r>
          </w:p>
        </w:tc>
        <w:tc>
          <w:tcPr>
            <w:tcW w:w="3093" w:type="dxa"/>
            <w:shd w:val="clear" w:color="auto" w:fill="auto"/>
          </w:tcPr>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Placebo</w:t>
            </w:r>
          </w:p>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N = 107</w:t>
            </w:r>
          </w:p>
        </w:tc>
        <w:tc>
          <w:tcPr>
            <w:tcW w:w="3094" w:type="dxa"/>
            <w:shd w:val="clear" w:color="auto" w:fill="auto"/>
          </w:tcPr>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Humira</w:t>
            </w:r>
          </w:p>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N = 208</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ASAS</w:t>
            </w:r>
            <w:r w:rsidRPr="00AD3B49">
              <w:rPr>
                <w:sz w:val="22"/>
                <w:szCs w:val="22"/>
                <w:vertAlign w:val="superscript"/>
                <w:lang w:val="sr-Latn-ME"/>
              </w:rPr>
              <w:t>a</w:t>
            </w:r>
            <w:r w:rsidRPr="00AD3B49">
              <w:rPr>
                <w:sz w:val="22"/>
                <w:szCs w:val="22"/>
                <w:lang w:val="sr-Latn-ME"/>
              </w:rPr>
              <w:t xml:space="preserve"> 20</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2</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16%</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42% ***</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12</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21%</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58%***</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24</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19%</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51%***</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 xml:space="preserve">ASAS 50 </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2</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3%</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16%***</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12</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10%</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38%***</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24</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11%</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35%***</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 xml:space="preserve">ASAS 70 </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2</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0%</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7%**</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12</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5%</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23%***</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24</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8%</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24%***</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BASDAI</w:t>
            </w:r>
            <w:r w:rsidRPr="00AD3B49">
              <w:rPr>
                <w:sz w:val="22"/>
                <w:szCs w:val="22"/>
                <w:vertAlign w:val="superscript"/>
                <w:lang w:val="sr-Latn-ME"/>
              </w:rPr>
              <w:t>b</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2</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4%</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20%***</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12</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16%</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45%***</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24</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15%</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42%***</w:t>
            </w:r>
          </w:p>
        </w:tc>
      </w:tr>
    </w:tbl>
    <w:p w:rsidR="00D74125" w:rsidRPr="009D2E75" w:rsidRDefault="00D74125" w:rsidP="00D74125">
      <w:pPr>
        <w:autoSpaceDE w:val="0"/>
        <w:autoSpaceDN w:val="0"/>
        <w:adjustRightInd w:val="0"/>
        <w:rPr>
          <w:sz w:val="20"/>
          <w:szCs w:val="20"/>
          <w:lang w:val="sr-Latn-ME"/>
        </w:rPr>
      </w:pPr>
      <w:r w:rsidRPr="009D2E75">
        <w:rPr>
          <w:sz w:val="20"/>
          <w:szCs w:val="20"/>
          <w:lang w:val="sr-Latn-ME"/>
        </w:rPr>
        <w:t xml:space="preserve">***,** statistički značajan za p &lt; 0,001, &lt; 0,01 za sva poređenja </w:t>
      </w:r>
      <w:r w:rsidR="0082613A" w:rsidRPr="009D2E75">
        <w:rPr>
          <w:sz w:val="20"/>
          <w:szCs w:val="20"/>
          <w:lang w:val="sr-Latn-ME"/>
        </w:rPr>
        <w:t xml:space="preserve">lijeka </w:t>
      </w:r>
      <w:r w:rsidRPr="009D2E75">
        <w:rPr>
          <w:sz w:val="20"/>
          <w:szCs w:val="20"/>
          <w:lang w:val="sr-Latn-ME"/>
        </w:rPr>
        <w:t>Humir</w:t>
      </w:r>
      <w:r w:rsidR="0082613A" w:rsidRPr="009D2E75">
        <w:rPr>
          <w:sz w:val="20"/>
          <w:szCs w:val="20"/>
          <w:lang w:val="sr-Latn-ME"/>
        </w:rPr>
        <w:t>a</w:t>
      </w:r>
      <w:r w:rsidRPr="009D2E75">
        <w:rPr>
          <w:sz w:val="20"/>
          <w:szCs w:val="20"/>
          <w:lang w:val="sr-Latn-ME"/>
        </w:rPr>
        <w:t xml:space="preserve"> s placebom u 2, 12. i 24. </w:t>
      </w:r>
      <w:r w:rsidR="000B016F" w:rsidRPr="009D2E75">
        <w:rPr>
          <w:sz w:val="20"/>
          <w:szCs w:val="20"/>
          <w:lang w:val="sr-Latn-ME"/>
        </w:rPr>
        <w:t>nedjelji</w:t>
      </w:r>
      <w:r w:rsidRPr="009D2E75">
        <w:rPr>
          <w:sz w:val="20"/>
          <w:szCs w:val="20"/>
          <w:lang w:val="sr-Latn-ME"/>
        </w:rPr>
        <w:t xml:space="preserve"> </w:t>
      </w:r>
    </w:p>
    <w:p w:rsidR="00D74125" w:rsidRPr="009D2E75" w:rsidRDefault="00D74125" w:rsidP="00D74125">
      <w:pPr>
        <w:autoSpaceDE w:val="0"/>
        <w:autoSpaceDN w:val="0"/>
        <w:adjustRightInd w:val="0"/>
        <w:rPr>
          <w:sz w:val="20"/>
          <w:szCs w:val="20"/>
          <w:lang w:val="sr-Latn-ME"/>
        </w:rPr>
      </w:pPr>
      <w:r w:rsidRPr="009D2E75">
        <w:rPr>
          <w:sz w:val="20"/>
          <w:szCs w:val="20"/>
          <w:vertAlign w:val="superscript"/>
          <w:lang w:val="sr-Latn-ME"/>
        </w:rPr>
        <w:t>a</w:t>
      </w:r>
      <w:r w:rsidRPr="009D2E75">
        <w:rPr>
          <w:sz w:val="20"/>
          <w:szCs w:val="20"/>
          <w:lang w:val="sr-Latn-ME"/>
        </w:rPr>
        <w:t xml:space="preserve"> Procjena kod </w:t>
      </w:r>
      <w:r w:rsidR="0004490B" w:rsidRPr="009D2E75">
        <w:rPr>
          <w:sz w:val="20"/>
          <w:szCs w:val="20"/>
          <w:lang w:val="sr-Latn-ME"/>
        </w:rPr>
        <w:t xml:space="preserve">ankilozirajućeg </w:t>
      </w:r>
      <w:r w:rsidRPr="009D2E75">
        <w:rPr>
          <w:sz w:val="20"/>
          <w:szCs w:val="20"/>
          <w:lang w:val="sr-Latn-ME"/>
        </w:rPr>
        <w:t>spondilitisa</w:t>
      </w:r>
    </w:p>
    <w:p w:rsidR="00D74125" w:rsidRPr="009D2E75" w:rsidRDefault="00D74125" w:rsidP="00D74125">
      <w:pPr>
        <w:autoSpaceDE w:val="0"/>
        <w:autoSpaceDN w:val="0"/>
        <w:adjustRightInd w:val="0"/>
        <w:rPr>
          <w:sz w:val="20"/>
          <w:szCs w:val="20"/>
          <w:lang w:val="sr-Latn-ME"/>
        </w:rPr>
      </w:pPr>
      <w:r w:rsidRPr="009D2E75">
        <w:rPr>
          <w:sz w:val="20"/>
          <w:szCs w:val="20"/>
          <w:vertAlign w:val="superscript"/>
          <w:lang w:val="sr-Latn-ME"/>
        </w:rPr>
        <w:t>b</w:t>
      </w:r>
      <w:r w:rsidRPr="009D2E75">
        <w:rPr>
          <w:sz w:val="20"/>
          <w:szCs w:val="20"/>
          <w:lang w:val="sr-Latn-ME"/>
        </w:rPr>
        <w:t xml:space="preserve"> Bath indeks aktivnosti bolesti za </w:t>
      </w:r>
      <w:r w:rsidR="0004490B" w:rsidRPr="009D2E75">
        <w:rPr>
          <w:sz w:val="20"/>
          <w:szCs w:val="20"/>
          <w:lang w:val="sr-Latn-ME"/>
        </w:rPr>
        <w:t xml:space="preserve">ankilozirajući </w:t>
      </w:r>
      <w:r w:rsidRPr="009D2E75">
        <w:rPr>
          <w:sz w:val="20"/>
          <w:szCs w:val="20"/>
          <w:lang w:val="sr-Latn-ME"/>
        </w:rPr>
        <w:t xml:space="preserve">spondilitis </w:t>
      </w:r>
    </w:p>
    <w:p w:rsidR="00D74125" w:rsidRPr="00AD3B49" w:rsidRDefault="00D74125" w:rsidP="00D74125">
      <w:pPr>
        <w:autoSpaceDE w:val="0"/>
        <w:autoSpaceDN w:val="0"/>
        <w:adjustRightInd w:val="0"/>
        <w:jc w:val="both"/>
        <w:rPr>
          <w:sz w:val="22"/>
          <w:szCs w:val="22"/>
          <w:lang w:val="sr-Latn-ME"/>
        </w:rPr>
      </w:pPr>
    </w:p>
    <w:p w:rsidR="00D74125" w:rsidRPr="00AD3B49" w:rsidRDefault="00D74125" w:rsidP="00D74125">
      <w:pPr>
        <w:autoSpaceDE w:val="0"/>
        <w:autoSpaceDN w:val="0"/>
        <w:adjustRightInd w:val="0"/>
        <w:jc w:val="both"/>
        <w:rPr>
          <w:sz w:val="22"/>
          <w:szCs w:val="22"/>
          <w:lang w:val="sr-Latn-ME"/>
        </w:rPr>
      </w:pPr>
      <w:r w:rsidRPr="00AD3B49">
        <w:rPr>
          <w:sz w:val="22"/>
          <w:szCs w:val="22"/>
          <w:lang w:val="sr-Latn-ME"/>
        </w:rPr>
        <w:t xml:space="preserve">Pacijenti liječeni </w:t>
      </w:r>
      <w:r w:rsidR="00884C20" w:rsidRPr="00AD3B49">
        <w:rPr>
          <w:sz w:val="22"/>
          <w:szCs w:val="22"/>
          <w:lang w:val="sr-Latn-ME"/>
        </w:rPr>
        <w:t xml:space="preserve">lijekom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su pokazali značajno poboljšanje u 12. </w:t>
      </w:r>
      <w:r w:rsidR="000B016F" w:rsidRPr="00AD3B49">
        <w:rPr>
          <w:sz w:val="22"/>
          <w:szCs w:val="22"/>
          <w:lang w:val="sr-Latn-ME"/>
        </w:rPr>
        <w:t>nedjelji</w:t>
      </w:r>
      <w:r w:rsidRPr="00AD3B49">
        <w:rPr>
          <w:sz w:val="22"/>
          <w:szCs w:val="22"/>
          <w:lang w:val="sr-Latn-ME"/>
        </w:rPr>
        <w:t xml:space="preserve"> koje se održalo kroz 24 </w:t>
      </w:r>
      <w:r w:rsidR="000B016F" w:rsidRPr="00AD3B49">
        <w:rPr>
          <w:sz w:val="22"/>
          <w:szCs w:val="22"/>
          <w:lang w:val="sr-Latn-ME"/>
        </w:rPr>
        <w:t>nedjelje</w:t>
      </w:r>
      <w:r w:rsidRPr="00AD3B49">
        <w:rPr>
          <w:sz w:val="22"/>
          <w:szCs w:val="22"/>
          <w:lang w:val="sr-Latn-ME"/>
        </w:rPr>
        <w:t xml:space="preserve"> i prema SF36 i prema Upitniku za ocjenu </w:t>
      </w:r>
      <w:r w:rsidR="00DD5431" w:rsidRPr="00AD3B49">
        <w:rPr>
          <w:sz w:val="22"/>
          <w:szCs w:val="22"/>
          <w:lang w:val="sr-Latn-ME"/>
        </w:rPr>
        <w:t>kvaliteta</w:t>
      </w:r>
      <w:r w:rsidRPr="00AD3B49">
        <w:rPr>
          <w:sz w:val="22"/>
          <w:szCs w:val="22"/>
          <w:lang w:val="sr-Latn-ME"/>
        </w:rPr>
        <w:t xml:space="preserve"> života kod pacijen</w:t>
      </w:r>
      <w:r w:rsidR="007E6D20" w:rsidRPr="00AD3B49">
        <w:rPr>
          <w:sz w:val="22"/>
          <w:szCs w:val="22"/>
          <w:lang w:val="sr-Latn-ME"/>
        </w:rPr>
        <w:t>a</w:t>
      </w:r>
      <w:r w:rsidRPr="00AD3B49">
        <w:rPr>
          <w:sz w:val="22"/>
          <w:szCs w:val="22"/>
          <w:lang w:val="sr-Latn-ME"/>
        </w:rPr>
        <w:t xml:space="preserve">ta s </w:t>
      </w:r>
      <w:r w:rsidR="0004490B" w:rsidRPr="00AD3B49">
        <w:rPr>
          <w:sz w:val="22"/>
          <w:szCs w:val="22"/>
          <w:lang w:val="sr-Latn-ME"/>
        </w:rPr>
        <w:t xml:space="preserve">ankilozirajućim </w:t>
      </w:r>
      <w:r w:rsidRPr="00AD3B49">
        <w:rPr>
          <w:sz w:val="22"/>
          <w:szCs w:val="22"/>
          <w:lang w:val="sr-Latn-ME"/>
        </w:rPr>
        <w:t>spondilitisom (ASQoL).</w:t>
      </w:r>
    </w:p>
    <w:p w:rsidR="00D74125" w:rsidRPr="00AD3B49" w:rsidRDefault="00D74125" w:rsidP="00D74125">
      <w:pPr>
        <w:autoSpaceDE w:val="0"/>
        <w:autoSpaceDN w:val="0"/>
        <w:adjustRightInd w:val="0"/>
        <w:jc w:val="both"/>
        <w:rPr>
          <w:sz w:val="22"/>
          <w:szCs w:val="22"/>
          <w:lang w:val="sr-Latn-ME"/>
        </w:rPr>
      </w:pPr>
    </w:p>
    <w:p w:rsidR="00D74125" w:rsidRPr="00AD3B49" w:rsidRDefault="00D74125" w:rsidP="00D74125">
      <w:pPr>
        <w:autoSpaceDE w:val="0"/>
        <w:autoSpaceDN w:val="0"/>
        <w:adjustRightInd w:val="0"/>
        <w:jc w:val="both"/>
        <w:rPr>
          <w:sz w:val="22"/>
          <w:szCs w:val="22"/>
          <w:lang w:val="sr-Latn-ME"/>
        </w:rPr>
      </w:pPr>
      <w:r w:rsidRPr="00AD3B49">
        <w:rPr>
          <w:sz w:val="22"/>
          <w:szCs w:val="22"/>
          <w:lang w:val="sr-Latn-ME"/>
        </w:rPr>
        <w:t xml:space="preserve">Slični trendovi (od kojih nisu svi </w:t>
      </w:r>
      <w:r w:rsidR="00E7771F" w:rsidRPr="00AD3B49">
        <w:rPr>
          <w:sz w:val="22"/>
          <w:szCs w:val="22"/>
          <w:lang w:val="sr-Latn-ME"/>
        </w:rPr>
        <w:t>bili statistički značajni) prim</w:t>
      </w:r>
      <w:r w:rsidRPr="00AD3B49">
        <w:rPr>
          <w:sz w:val="22"/>
          <w:szCs w:val="22"/>
          <w:lang w:val="sr-Latn-ME"/>
        </w:rPr>
        <w:t xml:space="preserve">jećeni su u manjem </w:t>
      </w:r>
      <w:r w:rsidR="004E2AC9" w:rsidRPr="00AD3B49">
        <w:rPr>
          <w:sz w:val="22"/>
          <w:szCs w:val="22"/>
          <w:lang w:val="sr-Latn-ME"/>
        </w:rPr>
        <w:t>randomizovanom</w:t>
      </w:r>
      <w:r w:rsidRPr="00AD3B49">
        <w:rPr>
          <w:sz w:val="22"/>
          <w:szCs w:val="22"/>
          <w:lang w:val="sr-Latn-ME"/>
        </w:rPr>
        <w:t>, dvost</w:t>
      </w:r>
      <w:r w:rsidR="00DD5431" w:rsidRPr="00AD3B49">
        <w:rPr>
          <w:sz w:val="22"/>
          <w:szCs w:val="22"/>
          <w:lang w:val="sr-Latn-ME"/>
        </w:rPr>
        <w:t>ruko slijepom, placebo kontrolis</w:t>
      </w:r>
      <w:r w:rsidRPr="00AD3B49">
        <w:rPr>
          <w:sz w:val="22"/>
          <w:szCs w:val="22"/>
          <w:lang w:val="sr-Latn-ME"/>
        </w:rPr>
        <w:t xml:space="preserve">anom AS ispitivanju II koje je uključivalo 82 odrasla pacijenta sa aktivnim </w:t>
      </w:r>
      <w:r w:rsidR="0004490B" w:rsidRPr="00AD3B49">
        <w:rPr>
          <w:sz w:val="22"/>
          <w:szCs w:val="22"/>
          <w:lang w:val="sr-Latn-ME"/>
        </w:rPr>
        <w:t xml:space="preserve">ankilozirajućim </w:t>
      </w:r>
      <w:r w:rsidRPr="00AD3B49">
        <w:rPr>
          <w:sz w:val="22"/>
          <w:szCs w:val="22"/>
          <w:lang w:val="sr-Latn-ME"/>
        </w:rPr>
        <w:t xml:space="preserve">spondilitisom. </w:t>
      </w:r>
    </w:p>
    <w:p w:rsidR="00D74125" w:rsidRPr="00AD3B49" w:rsidRDefault="00D74125" w:rsidP="00D74125">
      <w:pPr>
        <w:autoSpaceDE w:val="0"/>
        <w:autoSpaceDN w:val="0"/>
        <w:adjustRightInd w:val="0"/>
        <w:jc w:val="both"/>
        <w:rPr>
          <w:sz w:val="22"/>
          <w:szCs w:val="22"/>
          <w:lang w:val="sr-Latn-ME"/>
        </w:rPr>
      </w:pPr>
    </w:p>
    <w:p w:rsidR="00D74125" w:rsidRPr="00AD3B49" w:rsidRDefault="00D74125" w:rsidP="00D74125">
      <w:pPr>
        <w:autoSpaceDE w:val="0"/>
        <w:autoSpaceDN w:val="0"/>
        <w:adjustRightInd w:val="0"/>
        <w:jc w:val="both"/>
        <w:rPr>
          <w:i/>
          <w:sz w:val="22"/>
          <w:szCs w:val="22"/>
          <w:u w:val="single"/>
          <w:lang w:val="sr-Latn-ME"/>
        </w:rPr>
      </w:pPr>
      <w:r w:rsidRPr="00AD3B49">
        <w:rPr>
          <w:i/>
          <w:sz w:val="22"/>
          <w:szCs w:val="22"/>
          <w:u w:val="single"/>
          <w:lang w:val="sr-Latn-ME"/>
        </w:rPr>
        <w:t>Aksijalni spondiloartritis bez radiološkog nalaza AS-a</w:t>
      </w:r>
    </w:p>
    <w:p w:rsidR="00D74125" w:rsidRPr="00AD3B49" w:rsidRDefault="00E7771F" w:rsidP="00D74125">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Efikasnost</w:t>
      </w:r>
      <w:r w:rsidR="00D74125" w:rsidRPr="00AD3B49">
        <w:rPr>
          <w:rFonts w:ascii="Times New Roman" w:hAnsi="Times New Roman" w:cs="Times New Roman"/>
          <w:color w:val="auto"/>
          <w:sz w:val="22"/>
          <w:szCs w:val="22"/>
          <w:lang w:val="sr-Latn-ME"/>
        </w:rPr>
        <w:t xml:space="preserve"> </w:t>
      </w:r>
      <w:r w:rsidR="0082613A" w:rsidRPr="00AD3B49">
        <w:rPr>
          <w:rFonts w:ascii="Times New Roman" w:hAnsi="Times New Roman" w:cs="Times New Roman"/>
          <w:color w:val="auto"/>
          <w:sz w:val="22"/>
          <w:szCs w:val="22"/>
          <w:lang w:val="sr-Latn-ME"/>
        </w:rPr>
        <w:t xml:space="preserve">lijeka </w:t>
      </w:r>
      <w:r w:rsidR="00D74125"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00D74125" w:rsidRPr="00AD3B49">
        <w:rPr>
          <w:rFonts w:ascii="Times New Roman" w:hAnsi="Times New Roman" w:cs="Times New Roman"/>
          <w:color w:val="auto"/>
          <w:sz w:val="22"/>
          <w:szCs w:val="22"/>
          <w:lang w:val="sr-Latn-ME"/>
        </w:rPr>
        <w:t xml:space="preserve"> u dozi od 40 mg svake druge </w:t>
      </w:r>
      <w:r w:rsidR="000B016F" w:rsidRPr="00AD3B49">
        <w:rPr>
          <w:rFonts w:ascii="Times New Roman" w:hAnsi="Times New Roman" w:cs="Times New Roman"/>
          <w:color w:val="auto"/>
          <w:sz w:val="22"/>
          <w:szCs w:val="22"/>
          <w:lang w:val="sr-Latn-ME"/>
        </w:rPr>
        <w:t>nedjelje</w:t>
      </w:r>
      <w:r w:rsidR="00D74125" w:rsidRPr="00AD3B49">
        <w:rPr>
          <w:rFonts w:ascii="Times New Roman" w:hAnsi="Times New Roman" w:cs="Times New Roman"/>
          <w:color w:val="auto"/>
          <w:sz w:val="22"/>
          <w:szCs w:val="22"/>
          <w:lang w:val="sr-Latn-ME"/>
        </w:rPr>
        <w:t xml:space="preserve"> ispitivana je kod 185 pacijenta u jednoj dvos</w:t>
      </w:r>
      <w:r w:rsidRPr="00AD3B49">
        <w:rPr>
          <w:rFonts w:ascii="Times New Roman" w:hAnsi="Times New Roman" w:cs="Times New Roman"/>
          <w:color w:val="auto"/>
          <w:sz w:val="22"/>
          <w:szCs w:val="22"/>
          <w:lang w:val="sr-Latn-ME"/>
        </w:rPr>
        <w:t>truko slijepoj placebo kontrolis</w:t>
      </w:r>
      <w:r w:rsidR="00D74125" w:rsidRPr="00AD3B49">
        <w:rPr>
          <w:rFonts w:ascii="Times New Roman" w:hAnsi="Times New Roman" w:cs="Times New Roman"/>
          <w:color w:val="auto"/>
          <w:sz w:val="22"/>
          <w:szCs w:val="22"/>
          <w:lang w:val="sr-Latn-ME"/>
        </w:rPr>
        <w:t xml:space="preserve">anoj studiji kroz period od 12 </w:t>
      </w:r>
      <w:r w:rsidR="000B016F" w:rsidRPr="00AD3B49">
        <w:rPr>
          <w:rFonts w:ascii="Times New Roman" w:hAnsi="Times New Roman" w:cs="Times New Roman"/>
          <w:color w:val="auto"/>
          <w:sz w:val="22"/>
          <w:szCs w:val="22"/>
          <w:lang w:val="sr-Latn-ME"/>
        </w:rPr>
        <w:t>nedjelja</w:t>
      </w:r>
      <w:r w:rsidR="00D74125" w:rsidRPr="00AD3B49">
        <w:rPr>
          <w:rFonts w:ascii="Times New Roman" w:hAnsi="Times New Roman" w:cs="Times New Roman"/>
          <w:color w:val="auto"/>
          <w:sz w:val="22"/>
          <w:szCs w:val="22"/>
          <w:lang w:val="sr-Latn-ME"/>
        </w:rPr>
        <w:t xml:space="preserve"> kod pacijenta sa aktivnim aksijalnim spondiloartritisom bez radiološkog nalaza (srednji početni rezultat aktivnosti bolesti [Bath indeks aktivnosti bolesti za </w:t>
      </w:r>
      <w:r w:rsidR="0004490B" w:rsidRPr="00AD3B49">
        <w:rPr>
          <w:rFonts w:ascii="Times New Roman" w:hAnsi="Times New Roman" w:cs="Times New Roman"/>
          <w:color w:val="auto"/>
          <w:sz w:val="22"/>
          <w:szCs w:val="22"/>
          <w:lang w:val="sr-Latn-ME"/>
        </w:rPr>
        <w:t xml:space="preserve">ankilozirajući </w:t>
      </w:r>
      <w:r w:rsidR="00D74125" w:rsidRPr="00AD3B49">
        <w:rPr>
          <w:rFonts w:ascii="Times New Roman" w:hAnsi="Times New Roman" w:cs="Times New Roman"/>
          <w:color w:val="auto"/>
          <w:sz w:val="22"/>
          <w:szCs w:val="22"/>
          <w:lang w:val="sr-Latn-ME"/>
        </w:rPr>
        <w:t xml:space="preserve">spondilitis (BASDAI)] bio je 6,4 kod pacijenta liječenih </w:t>
      </w:r>
      <w:r w:rsidR="00884C20" w:rsidRPr="00AD3B49">
        <w:rPr>
          <w:rFonts w:ascii="Times New Roman" w:hAnsi="Times New Roman" w:cs="Times New Roman"/>
          <w:color w:val="auto"/>
          <w:sz w:val="22"/>
          <w:szCs w:val="22"/>
          <w:lang w:val="sr-Latn-ME"/>
        </w:rPr>
        <w:t xml:space="preserve">lijekom </w:t>
      </w:r>
      <w:r w:rsidR="00D74125" w:rsidRPr="00AD3B49">
        <w:rPr>
          <w:rFonts w:ascii="Times New Roman" w:hAnsi="Times New Roman" w:cs="Times New Roman"/>
          <w:color w:val="auto"/>
          <w:sz w:val="22"/>
          <w:szCs w:val="22"/>
          <w:lang w:val="sr-Latn-ME"/>
        </w:rPr>
        <w:t>Humir</w:t>
      </w:r>
      <w:r w:rsidR="00884C20" w:rsidRPr="00AD3B49">
        <w:rPr>
          <w:rFonts w:ascii="Times New Roman" w:hAnsi="Times New Roman" w:cs="Times New Roman"/>
          <w:color w:val="auto"/>
          <w:sz w:val="22"/>
          <w:szCs w:val="22"/>
          <w:lang w:val="sr-Latn-ME"/>
        </w:rPr>
        <w:t>a</w:t>
      </w:r>
      <w:r w:rsidR="00D74125" w:rsidRPr="00AD3B49">
        <w:rPr>
          <w:rFonts w:ascii="Times New Roman" w:hAnsi="Times New Roman" w:cs="Times New Roman"/>
          <w:color w:val="auto"/>
          <w:sz w:val="22"/>
          <w:szCs w:val="22"/>
          <w:lang w:val="sr-Latn-ME"/>
        </w:rPr>
        <w:t>, a 6,5 kod pacijent</w:t>
      </w:r>
      <w:r w:rsidR="00DD5431" w:rsidRPr="00AD3B49">
        <w:rPr>
          <w:rFonts w:ascii="Times New Roman" w:hAnsi="Times New Roman" w:cs="Times New Roman"/>
          <w:color w:val="auto"/>
          <w:sz w:val="22"/>
          <w:szCs w:val="22"/>
          <w:lang w:val="sr-Latn-ME"/>
        </w:rPr>
        <w:t>a koji su dobij</w:t>
      </w:r>
      <w:r w:rsidR="00D74125" w:rsidRPr="00AD3B49">
        <w:rPr>
          <w:rFonts w:ascii="Times New Roman" w:hAnsi="Times New Roman" w:cs="Times New Roman"/>
          <w:color w:val="auto"/>
          <w:sz w:val="22"/>
          <w:szCs w:val="22"/>
          <w:lang w:val="sr-Latn-ME"/>
        </w:rPr>
        <w:t xml:space="preserve">ali placebo) kod kojih nije ostvaren adekvatan terapijski odgovor ili koji su pokazali nepodnošljivost na ≥ 1 NSAID, odnosno kontraindikacije kod primjene NSAID. </w:t>
      </w:r>
    </w:p>
    <w:p w:rsidR="00D74125" w:rsidRPr="00AD3B49" w:rsidRDefault="00D74125" w:rsidP="009D2E75">
      <w:pPr>
        <w:pStyle w:val="Default"/>
        <w:jc w:val="both"/>
        <w:rPr>
          <w:sz w:val="22"/>
          <w:szCs w:val="22"/>
          <w:lang w:val="sr-Latn-ME"/>
        </w:rPr>
      </w:pPr>
      <w:r w:rsidRPr="00AD3B49">
        <w:rPr>
          <w:rFonts w:ascii="Times New Roman" w:hAnsi="Times New Roman" w:cs="Times New Roman"/>
          <w:color w:val="auto"/>
          <w:sz w:val="22"/>
          <w:szCs w:val="22"/>
          <w:lang w:val="sr-Latn-ME"/>
        </w:rPr>
        <w:t xml:space="preserve">Trideset tri (18%) pacijenta istovremeno je liječeno antireumatskim ljekovima koji modifikuju tok bolesti, dok je 146 (79%) pacijenta liječeno NSAID u uvodnoj fazi. Nakon dvostruko slijepe faze uslijedila je otvorena faza ispitivanja tokom koje su pacijenti primali </w:t>
      </w:r>
      <w:r w:rsidR="00C10995" w:rsidRPr="00AD3B49">
        <w:rPr>
          <w:rFonts w:ascii="Times New Roman" w:hAnsi="Times New Roman" w:cs="Times New Roman"/>
          <w:color w:val="auto"/>
          <w:sz w:val="22"/>
          <w:szCs w:val="22"/>
          <w:lang w:val="sr-Latn-ME"/>
        </w:rPr>
        <w:t xml:space="preserve">lijek </w:t>
      </w:r>
      <w:r w:rsidRPr="00AD3B49">
        <w:rPr>
          <w:rFonts w:ascii="Times New Roman" w:hAnsi="Times New Roman" w:cs="Times New Roman"/>
          <w:color w:val="auto"/>
          <w:sz w:val="22"/>
          <w:szCs w:val="22"/>
          <w:lang w:val="sr-Latn-ME"/>
        </w:rPr>
        <w:t>Humir</w:t>
      </w:r>
      <w:r w:rsidR="00C10995"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u dozi od 40 mg svake druge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supkutano tokom naredne 144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Rezultati dobijeni u 12. </w:t>
      </w:r>
      <w:r w:rsidR="000B016F" w:rsidRPr="00AD3B49">
        <w:rPr>
          <w:rFonts w:ascii="Times New Roman" w:hAnsi="Times New Roman" w:cs="Times New Roman"/>
          <w:color w:val="auto"/>
          <w:sz w:val="22"/>
          <w:szCs w:val="22"/>
          <w:lang w:val="sr-Latn-ME"/>
        </w:rPr>
        <w:t>nedjelji</w:t>
      </w:r>
      <w:r w:rsidRPr="00AD3B49">
        <w:rPr>
          <w:rFonts w:ascii="Times New Roman" w:hAnsi="Times New Roman" w:cs="Times New Roman"/>
          <w:color w:val="auto"/>
          <w:sz w:val="22"/>
          <w:szCs w:val="22"/>
          <w:lang w:val="sr-Latn-ME"/>
        </w:rPr>
        <w:t xml:space="preserve"> pokazali su statistički značajno poboljšanje znakova i simptoma aktivnog aksijalnog spondiloartritisa bez radiološkog nalaza kod pacijenta koji su liječeni </w:t>
      </w:r>
      <w:r w:rsidR="00884C20" w:rsidRPr="00AD3B49">
        <w:rPr>
          <w:rFonts w:ascii="Times New Roman" w:hAnsi="Times New Roman" w:cs="Times New Roman"/>
          <w:color w:val="auto"/>
          <w:sz w:val="22"/>
          <w:szCs w:val="22"/>
          <w:lang w:val="sr-Latn-ME"/>
        </w:rPr>
        <w:t xml:space="preserve">lijekom </w:t>
      </w:r>
      <w:r w:rsidRPr="00AD3B49">
        <w:rPr>
          <w:rFonts w:ascii="Times New Roman" w:hAnsi="Times New Roman" w:cs="Times New Roman"/>
          <w:color w:val="auto"/>
          <w:sz w:val="22"/>
          <w:szCs w:val="22"/>
          <w:lang w:val="sr-Latn-ME"/>
        </w:rPr>
        <w:t>Humir</w:t>
      </w:r>
      <w:r w:rsidR="00884C2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u poređenju sa pacijenti</w:t>
      </w:r>
      <w:r w:rsidR="00DD5431" w:rsidRPr="00AD3B49">
        <w:rPr>
          <w:rFonts w:ascii="Times New Roman" w:hAnsi="Times New Roman" w:cs="Times New Roman"/>
          <w:color w:val="auto"/>
          <w:sz w:val="22"/>
          <w:szCs w:val="22"/>
          <w:lang w:val="sr-Latn-ME"/>
        </w:rPr>
        <w:t>ma koji su dobij</w:t>
      </w:r>
      <w:r w:rsidRPr="00AD3B49">
        <w:rPr>
          <w:rFonts w:ascii="Times New Roman" w:hAnsi="Times New Roman" w:cs="Times New Roman"/>
          <w:color w:val="auto"/>
          <w:sz w:val="22"/>
          <w:szCs w:val="22"/>
          <w:lang w:val="sr-Latn-ME"/>
        </w:rPr>
        <w:t>ali placebo. (Tabela 10).</w:t>
      </w:r>
    </w:p>
    <w:p w:rsidR="00D74125" w:rsidRPr="00AD3B49" w:rsidRDefault="00D74125" w:rsidP="006B0826">
      <w:pPr>
        <w:autoSpaceDE w:val="0"/>
        <w:autoSpaceDN w:val="0"/>
        <w:adjustRightInd w:val="0"/>
        <w:jc w:val="center"/>
        <w:rPr>
          <w:b/>
          <w:sz w:val="22"/>
          <w:szCs w:val="22"/>
          <w:lang w:val="sr-Latn-ME"/>
        </w:rPr>
      </w:pPr>
      <w:r w:rsidRPr="00AD3B49">
        <w:rPr>
          <w:b/>
          <w:sz w:val="22"/>
          <w:szCs w:val="22"/>
          <w:lang w:val="sr-Latn-ME"/>
        </w:rPr>
        <w:lastRenderedPageBreak/>
        <w:t>Tabela 10</w:t>
      </w:r>
    </w:p>
    <w:p w:rsidR="006C08AF" w:rsidRPr="00AD3B49" w:rsidRDefault="00D74125" w:rsidP="006B0826">
      <w:pPr>
        <w:autoSpaceDE w:val="0"/>
        <w:autoSpaceDN w:val="0"/>
        <w:adjustRightInd w:val="0"/>
        <w:jc w:val="center"/>
        <w:rPr>
          <w:b/>
          <w:sz w:val="22"/>
          <w:szCs w:val="22"/>
          <w:lang w:val="sr-Latn-ME"/>
        </w:rPr>
      </w:pPr>
      <w:r w:rsidRPr="00AD3B49">
        <w:rPr>
          <w:b/>
          <w:sz w:val="22"/>
          <w:szCs w:val="22"/>
          <w:lang w:val="sr-Latn-ME"/>
        </w:rPr>
        <w:t>Terapijski o</w:t>
      </w:r>
      <w:r w:rsidR="00E7771F" w:rsidRPr="00AD3B49">
        <w:rPr>
          <w:b/>
          <w:sz w:val="22"/>
          <w:szCs w:val="22"/>
          <w:lang w:val="sr-Latn-ME"/>
        </w:rPr>
        <w:t>dgovor u odnosu na efikasnost u placebo kontrolis</w:t>
      </w:r>
      <w:r w:rsidRPr="00AD3B49">
        <w:rPr>
          <w:b/>
          <w:sz w:val="22"/>
          <w:szCs w:val="22"/>
          <w:lang w:val="sr-Latn-ME"/>
        </w:rPr>
        <w:t>anom ispitivanju aksijalnog SpA - Smanjenje znakova i simptoma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3093"/>
        <w:gridCol w:w="3094"/>
      </w:tblGrid>
      <w:tr w:rsidR="00D74125" w:rsidRPr="00AD3B49" w:rsidTr="00DD5431">
        <w:tc>
          <w:tcPr>
            <w:tcW w:w="3093" w:type="dxa"/>
            <w:shd w:val="clear" w:color="auto" w:fill="auto"/>
          </w:tcPr>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Dvostruko slijepo ispitivanje</w:t>
            </w:r>
          </w:p>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 xml:space="preserve">Odgovor u 12. </w:t>
            </w:r>
            <w:r w:rsidR="000B016F" w:rsidRPr="00AD3B49">
              <w:rPr>
                <w:b/>
                <w:sz w:val="22"/>
                <w:szCs w:val="22"/>
                <w:lang w:val="sr-Latn-ME"/>
              </w:rPr>
              <w:t>nedjelji</w:t>
            </w:r>
            <w:r w:rsidRPr="00AD3B49">
              <w:rPr>
                <w:b/>
                <w:sz w:val="22"/>
                <w:szCs w:val="22"/>
                <w:lang w:val="sr-Latn-ME"/>
              </w:rPr>
              <w:t xml:space="preserve"> </w:t>
            </w:r>
          </w:p>
        </w:tc>
        <w:tc>
          <w:tcPr>
            <w:tcW w:w="3093" w:type="dxa"/>
            <w:shd w:val="clear" w:color="auto" w:fill="auto"/>
          </w:tcPr>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Placebo</w:t>
            </w:r>
          </w:p>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N = 94</w:t>
            </w:r>
          </w:p>
        </w:tc>
        <w:tc>
          <w:tcPr>
            <w:tcW w:w="3094" w:type="dxa"/>
            <w:shd w:val="clear" w:color="auto" w:fill="auto"/>
          </w:tcPr>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Humira</w:t>
            </w:r>
          </w:p>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N = 91</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ASAS</w:t>
            </w:r>
            <w:r w:rsidRPr="00AD3B49">
              <w:rPr>
                <w:sz w:val="22"/>
                <w:szCs w:val="22"/>
                <w:vertAlign w:val="superscript"/>
                <w:lang w:val="sr-Latn-ME"/>
              </w:rPr>
              <w:t>a</w:t>
            </w:r>
            <w:r w:rsidRPr="00AD3B49">
              <w:rPr>
                <w:sz w:val="22"/>
                <w:szCs w:val="22"/>
                <w:lang w:val="sr-Latn-ME"/>
              </w:rPr>
              <w:t xml:space="preserve"> 40</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15%</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36% ***</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 xml:space="preserve">ASAS 20 </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31%</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52%**</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 xml:space="preserve">ASAS 5/6 </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6%</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31%***</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 xml:space="preserve">ASAS djelimična remisija </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5%</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16%***</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BASDAI</w:t>
            </w:r>
            <w:r w:rsidRPr="00AD3B49">
              <w:rPr>
                <w:sz w:val="22"/>
                <w:szCs w:val="22"/>
                <w:vertAlign w:val="superscript"/>
                <w:lang w:val="sr-Latn-ME"/>
              </w:rPr>
              <w:t xml:space="preserve">b </w:t>
            </w:r>
            <w:r w:rsidRPr="00AD3B49">
              <w:rPr>
                <w:sz w:val="22"/>
                <w:szCs w:val="22"/>
                <w:lang w:val="sr-Latn-ME"/>
              </w:rPr>
              <w:t>50</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15%</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35%**</w:t>
            </w:r>
          </w:p>
        </w:tc>
      </w:tr>
    </w:tbl>
    <w:p w:rsidR="00D74125" w:rsidRPr="00373282" w:rsidRDefault="00D74125" w:rsidP="00D74125">
      <w:pPr>
        <w:autoSpaceDE w:val="0"/>
        <w:autoSpaceDN w:val="0"/>
        <w:adjustRightInd w:val="0"/>
        <w:rPr>
          <w:sz w:val="20"/>
          <w:szCs w:val="20"/>
          <w:lang w:val="sr-Latn-ME"/>
        </w:rPr>
      </w:pPr>
      <w:r w:rsidRPr="00373282">
        <w:rPr>
          <w:sz w:val="20"/>
          <w:szCs w:val="20"/>
          <w:vertAlign w:val="superscript"/>
          <w:lang w:val="sr-Latn-ME"/>
        </w:rPr>
        <w:t>a</w:t>
      </w:r>
      <w:r w:rsidRPr="00373282">
        <w:rPr>
          <w:sz w:val="20"/>
          <w:szCs w:val="20"/>
          <w:lang w:val="sr-Latn-ME"/>
        </w:rPr>
        <w:t xml:space="preserve"> ASAS = Ispitivanja u okviru Međunarodne radne grupe za procjenu spondiloartritisa</w:t>
      </w:r>
    </w:p>
    <w:p w:rsidR="00D74125" w:rsidRPr="00373282" w:rsidRDefault="00D74125" w:rsidP="00D74125">
      <w:pPr>
        <w:autoSpaceDE w:val="0"/>
        <w:autoSpaceDN w:val="0"/>
        <w:adjustRightInd w:val="0"/>
        <w:rPr>
          <w:sz w:val="20"/>
          <w:szCs w:val="20"/>
          <w:lang w:val="sr-Latn-ME"/>
        </w:rPr>
      </w:pPr>
      <w:r w:rsidRPr="00373282">
        <w:rPr>
          <w:sz w:val="20"/>
          <w:szCs w:val="20"/>
          <w:vertAlign w:val="superscript"/>
          <w:lang w:val="sr-Latn-ME"/>
        </w:rPr>
        <w:t>b</w:t>
      </w:r>
      <w:r w:rsidRPr="00373282">
        <w:rPr>
          <w:sz w:val="20"/>
          <w:szCs w:val="20"/>
          <w:lang w:val="sr-Latn-ME"/>
        </w:rPr>
        <w:t xml:space="preserve"> Bath indeks aktivnosti bolesti za </w:t>
      </w:r>
      <w:r w:rsidR="0004490B" w:rsidRPr="00373282">
        <w:rPr>
          <w:sz w:val="20"/>
          <w:szCs w:val="20"/>
          <w:lang w:val="sr-Latn-ME"/>
        </w:rPr>
        <w:t xml:space="preserve">ankilozirajući </w:t>
      </w:r>
      <w:r w:rsidRPr="00373282">
        <w:rPr>
          <w:sz w:val="20"/>
          <w:szCs w:val="20"/>
          <w:lang w:val="sr-Latn-ME"/>
        </w:rPr>
        <w:t>spondilitis</w:t>
      </w:r>
    </w:p>
    <w:p w:rsidR="00D74125" w:rsidRPr="00373282" w:rsidRDefault="00D74125" w:rsidP="00D74125">
      <w:pPr>
        <w:autoSpaceDE w:val="0"/>
        <w:autoSpaceDN w:val="0"/>
        <w:adjustRightInd w:val="0"/>
        <w:rPr>
          <w:sz w:val="20"/>
          <w:szCs w:val="20"/>
          <w:lang w:val="sr-Latn-ME"/>
        </w:rPr>
      </w:pPr>
      <w:r w:rsidRPr="00373282">
        <w:rPr>
          <w:sz w:val="20"/>
          <w:szCs w:val="20"/>
          <w:lang w:val="sr-Latn-ME"/>
        </w:rPr>
        <w:t xml:space="preserve">***, **, * Statistički značajno za p &lt; 0,001, &lt; 0,01, odnosno </w:t>
      </w:r>
    </w:p>
    <w:p w:rsidR="00D74125" w:rsidRPr="00373282" w:rsidRDefault="00D74125" w:rsidP="00D74125">
      <w:pPr>
        <w:autoSpaceDE w:val="0"/>
        <w:autoSpaceDN w:val="0"/>
        <w:adjustRightInd w:val="0"/>
        <w:rPr>
          <w:sz w:val="20"/>
          <w:szCs w:val="20"/>
          <w:lang w:val="sr-Latn-ME"/>
        </w:rPr>
      </w:pPr>
      <w:r w:rsidRPr="00373282">
        <w:rPr>
          <w:sz w:val="20"/>
          <w:szCs w:val="20"/>
          <w:lang w:val="sr-Latn-ME"/>
        </w:rPr>
        <w:t xml:space="preserve">&lt; 0.05, za sva poređenja </w:t>
      </w:r>
      <w:r w:rsidR="0082613A" w:rsidRPr="00373282">
        <w:rPr>
          <w:sz w:val="20"/>
          <w:szCs w:val="20"/>
          <w:lang w:val="sr-Latn-ME"/>
        </w:rPr>
        <w:t xml:space="preserve">lijeka </w:t>
      </w:r>
      <w:r w:rsidRPr="00373282">
        <w:rPr>
          <w:sz w:val="20"/>
          <w:szCs w:val="20"/>
          <w:lang w:val="sr-Latn-ME"/>
        </w:rPr>
        <w:t>Humir</w:t>
      </w:r>
      <w:r w:rsidR="0082613A" w:rsidRPr="00373282">
        <w:rPr>
          <w:sz w:val="20"/>
          <w:szCs w:val="20"/>
          <w:lang w:val="sr-Latn-ME"/>
        </w:rPr>
        <w:t>a</w:t>
      </w:r>
      <w:r w:rsidRPr="00373282">
        <w:rPr>
          <w:sz w:val="20"/>
          <w:szCs w:val="20"/>
          <w:lang w:val="sr-Latn-ME"/>
        </w:rPr>
        <w:t>sa placebom.</w:t>
      </w:r>
    </w:p>
    <w:p w:rsidR="00D74125" w:rsidRPr="00AD3B49" w:rsidRDefault="00D74125" w:rsidP="00D74125">
      <w:pPr>
        <w:autoSpaceDE w:val="0"/>
        <w:autoSpaceDN w:val="0"/>
        <w:adjustRightInd w:val="0"/>
        <w:rPr>
          <w:sz w:val="10"/>
          <w:szCs w:val="10"/>
          <w:lang w:val="sr-Latn-ME"/>
        </w:rPr>
      </w:pPr>
    </w:p>
    <w:p w:rsidR="00D74125" w:rsidRPr="00AD3B49" w:rsidRDefault="00D74125" w:rsidP="00D74125">
      <w:pPr>
        <w:autoSpaceDE w:val="0"/>
        <w:autoSpaceDN w:val="0"/>
        <w:adjustRightInd w:val="0"/>
        <w:jc w:val="both"/>
        <w:rPr>
          <w:sz w:val="22"/>
          <w:szCs w:val="22"/>
          <w:lang w:val="sr-Latn-ME"/>
        </w:rPr>
      </w:pPr>
      <w:r w:rsidRPr="00AD3B49">
        <w:rPr>
          <w:sz w:val="22"/>
          <w:szCs w:val="22"/>
          <w:lang w:val="sr-Latn-ME"/>
        </w:rPr>
        <w:t xml:space="preserve">Na </w:t>
      </w:r>
      <w:r w:rsidR="00DD5431" w:rsidRPr="00AD3B49">
        <w:rPr>
          <w:sz w:val="22"/>
          <w:szCs w:val="22"/>
          <w:lang w:val="sr-Latn-ME"/>
        </w:rPr>
        <w:t>osnovu</w:t>
      </w:r>
      <w:r w:rsidRPr="00AD3B49">
        <w:rPr>
          <w:sz w:val="22"/>
          <w:szCs w:val="22"/>
          <w:lang w:val="sr-Latn-ME"/>
        </w:rPr>
        <w:t xml:space="preserve"> upitnika HAQ-S i SF-3</w:t>
      </w:r>
      <w:r w:rsidR="00DD5431" w:rsidRPr="00AD3B49">
        <w:rPr>
          <w:sz w:val="22"/>
          <w:szCs w:val="22"/>
          <w:lang w:val="sr-Latn-ME"/>
        </w:rPr>
        <w:t>6 izvršena je procjena kvaliteta</w:t>
      </w:r>
      <w:r w:rsidRPr="00AD3B49">
        <w:rPr>
          <w:sz w:val="22"/>
          <w:szCs w:val="22"/>
          <w:lang w:val="sr-Latn-ME"/>
        </w:rPr>
        <w:t xml:space="preserve"> ž</w:t>
      </w:r>
      <w:r w:rsidR="00DD5431" w:rsidRPr="00AD3B49">
        <w:rPr>
          <w:sz w:val="22"/>
          <w:szCs w:val="22"/>
          <w:lang w:val="sr-Latn-ME"/>
        </w:rPr>
        <w:t>ivota povezana</w:t>
      </w:r>
      <w:r w:rsidRPr="00AD3B49">
        <w:rPr>
          <w:sz w:val="22"/>
          <w:szCs w:val="22"/>
          <w:lang w:val="sr-Latn-ME"/>
        </w:rPr>
        <w:t xml:space="preserve"> sa zdravstvenim stanjem i procjena fizičke funkcije. Pacijenti liječeni </w:t>
      </w:r>
      <w:r w:rsidR="00884C20" w:rsidRPr="00AD3B49">
        <w:rPr>
          <w:sz w:val="22"/>
          <w:szCs w:val="22"/>
          <w:lang w:val="sr-Latn-ME"/>
        </w:rPr>
        <w:t xml:space="preserve">lijekom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postigli su statistički značajno poboljšanje u ukupnom HAQ-S zbiru i SF-36 zbiru fizičkih komponenti (PCS) u poređenju sa pacijenti</w:t>
      </w:r>
      <w:r w:rsidR="00DD5431" w:rsidRPr="00AD3B49">
        <w:rPr>
          <w:sz w:val="22"/>
          <w:szCs w:val="22"/>
          <w:lang w:val="sr-Latn-ME"/>
        </w:rPr>
        <w:t>ma koji su dobij</w:t>
      </w:r>
      <w:r w:rsidRPr="00AD3B49">
        <w:rPr>
          <w:sz w:val="22"/>
          <w:szCs w:val="22"/>
          <w:lang w:val="sr-Latn-ME"/>
        </w:rPr>
        <w:t xml:space="preserve">ali placebo od početka primjene do 12. </w:t>
      </w:r>
      <w:r w:rsidR="000B016F" w:rsidRPr="00AD3B49">
        <w:rPr>
          <w:sz w:val="22"/>
          <w:szCs w:val="22"/>
          <w:lang w:val="sr-Latn-ME"/>
        </w:rPr>
        <w:t>nedjelje</w:t>
      </w:r>
      <w:r w:rsidRPr="00AD3B49">
        <w:rPr>
          <w:sz w:val="22"/>
          <w:szCs w:val="22"/>
          <w:lang w:val="sr-Latn-ME"/>
        </w:rPr>
        <w:t xml:space="preserve"> liječenja. </w:t>
      </w:r>
    </w:p>
    <w:p w:rsidR="00D74125" w:rsidRPr="00AD3B49" w:rsidRDefault="00D74125" w:rsidP="00D74125">
      <w:pPr>
        <w:autoSpaceDE w:val="0"/>
        <w:autoSpaceDN w:val="0"/>
        <w:adjustRightInd w:val="0"/>
        <w:jc w:val="both"/>
        <w:rPr>
          <w:sz w:val="22"/>
          <w:szCs w:val="22"/>
          <w:lang w:val="sr-Latn-ME"/>
        </w:rPr>
      </w:pPr>
    </w:p>
    <w:p w:rsidR="00D74125" w:rsidRPr="00AD3B49" w:rsidRDefault="00D74125" w:rsidP="00D74125">
      <w:pPr>
        <w:autoSpaceDE w:val="0"/>
        <w:autoSpaceDN w:val="0"/>
        <w:adjustRightInd w:val="0"/>
        <w:jc w:val="both"/>
        <w:rPr>
          <w:i/>
          <w:sz w:val="20"/>
          <w:szCs w:val="22"/>
          <w:u w:val="single"/>
          <w:lang w:val="sr-Latn-ME"/>
        </w:rPr>
      </w:pPr>
      <w:r w:rsidRPr="00AD3B49">
        <w:rPr>
          <w:i/>
          <w:sz w:val="22"/>
          <w:u w:val="single"/>
          <w:lang w:val="sr-Latn-ME" w:eastAsia="en-GB"/>
        </w:rPr>
        <w:t>Psorijatični artiritis</w:t>
      </w:r>
    </w:p>
    <w:p w:rsidR="00D74125" w:rsidRPr="00AD3B49" w:rsidRDefault="00D74125" w:rsidP="00D74125">
      <w:pPr>
        <w:autoSpaceDE w:val="0"/>
        <w:autoSpaceDN w:val="0"/>
        <w:adjustRightInd w:val="0"/>
        <w:jc w:val="both"/>
        <w:rPr>
          <w:sz w:val="22"/>
          <w:szCs w:val="22"/>
          <w:lang w:val="sr-Latn-ME"/>
        </w:rPr>
      </w:pPr>
      <w:r w:rsidRPr="00AD3B49">
        <w:rPr>
          <w:sz w:val="22"/>
          <w:szCs w:val="22"/>
          <w:lang w:val="sr-Latn-ME"/>
        </w:rPr>
        <w:t xml:space="preserve">Djelotvornost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u dozi od 40 mg svake druge </w:t>
      </w:r>
      <w:r w:rsidR="000B016F" w:rsidRPr="00AD3B49">
        <w:rPr>
          <w:sz w:val="22"/>
          <w:szCs w:val="22"/>
          <w:lang w:val="sr-Latn-ME"/>
        </w:rPr>
        <w:t>nedjelje</w:t>
      </w:r>
      <w:r w:rsidRPr="00AD3B49">
        <w:rPr>
          <w:sz w:val="22"/>
          <w:szCs w:val="22"/>
          <w:lang w:val="sr-Latn-ME"/>
        </w:rPr>
        <w:t xml:space="preserve"> ispitivana je kod pacijenta sa umjerenim do teškim aktivnim psorijatičnim artiritiso</w:t>
      </w:r>
      <w:r w:rsidR="00E7771F" w:rsidRPr="00AD3B49">
        <w:rPr>
          <w:sz w:val="22"/>
          <w:szCs w:val="22"/>
          <w:lang w:val="sr-Latn-ME"/>
        </w:rPr>
        <w:t>m u okviru dva placebo kontrolis</w:t>
      </w:r>
      <w:r w:rsidRPr="00AD3B49">
        <w:rPr>
          <w:sz w:val="22"/>
          <w:szCs w:val="22"/>
          <w:lang w:val="sr-Latn-ME"/>
        </w:rPr>
        <w:t xml:space="preserve">ana ispitivanja – PsA ispitivanja I i II. PsA ispitivanje I koje je trajalo 24 </w:t>
      </w:r>
      <w:r w:rsidR="000B016F" w:rsidRPr="00AD3B49">
        <w:rPr>
          <w:sz w:val="22"/>
          <w:szCs w:val="22"/>
          <w:lang w:val="sr-Latn-ME"/>
        </w:rPr>
        <w:t>nedjelje</w:t>
      </w:r>
      <w:r w:rsidRPr="00AD3B49">
        <w:rPr>
          <w:sz w:val="22"/>
          <w:szCs w:val="22"/>
          <w:lang w:val="sr-Latn-ME"/>
        </w:rPr>
        <w:t>, obuhvatilo je 313 odraslih pacijenta kod kojih nije postignut odgovarajući odgovo</w:t>
      </w:r>
      <w:r w:rsidR="00E7771F" w:rsidRPr="00AD3B49">
        <w:rPr>
          <w:sz w:val="22"/>
          <w:szCs w:val="22"/>
          <w:lang w:val="sr-Latn-ME"/>
        </w:rPr>
        <w:t xml:space="preserve">r na terapiju nesteroidnim </w:t>
      </w:r>
      <w:r w:rsidR="00082E1C" w:rsidRPr="00AD3B49">
        <w:rPr>
          <w:sz w:val="22"/>
          <w:szCs w:val="22"/>
          <w:lang w:val="sr-Latn-ME"/>
        </w:rPr>
        <w:t xml:space="preserve">antiinflamatornim </w:t>
      </w:r>
      <w:r w:rsidRPr="00AD3B49">
        <w:rPr>
          <w:sz w:val="22"/>
          <w:szCs w:val="22"/>
          <w:lang w:val="sr-Latn-ME"/>
        </w:rPr>
        <w:t xml:space="preserve">ljekovima, od čega je 50% pacijenta uzimalo metotreksat. PsA ispitivanje II u trajanju od 12 </w:t>
      </w:r>
      <w:r w:rsidR="000B016F" w:rsidRPr="00AD3B49">
        <w:rPr>
          <w:sz w:val="22"/>
          <w:szCs w:val="22"/>
          <w:lang w:val="sr-Latn-ME"/>
        </w:rPr>
        <w:t>nedjelja</w:t>
      </w:r>
      <w:r w:rsidRPr="00AD3B49">
        <w:rPr>
          <w:sz w:val="22"/>
          <w:szCs w:val="22"/>
          <w:lang w:val="sr-Latn-ME"/>
        </w:rPr>
        <w:t xml:space="preserve">, obuhvatilo je 100 pacijenta kod kojih nije postignut odgovarajući terapijski odgovor na terapiju DMARD. Po </w:t>
      </w:r>
      <w:r w:rsidR="00E7771F" w:rsidRPr="00AD3B49">
        <w:rPr>
          <w:sz w:val="22"/>
          <w:szCs w:val="22"/>
          <w:lang w:val="sr-Latn-ME"/>
        </w:rPr>
        <w:t>završetku</w:t>
      </w:r>
      <w:r w:rsidRPr="00AD3B49">
        <w:rPr>
          <w:sz w:val="22"/>
          <w:szCs w:val="22"/>
          <w:lang w:val="sr-Latn-ME"/>
        </w:rPr>
        <w:t xml:space="preserve"> oba ispitivanja, 383 pacijenta uključena su u otvoreno produženo ispitivanje, u okviru kojeg su primali dozu od 40 mg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svake druge </w:t>
      </w:r>
      <w:r w:rsidR="000B016F" w:rsidRPr="00AD3B49">
        <w:rPr>
          <w:sz w:val="22"/>
          <w:szCs w:val="22"/>
          <w:lang w:val="sr-Latn-ME"/>
        </w:rPr>
        <w:t>nedjelje</w:t>
      </w:r>
      <w:r w:rsidRPr="00AD3B49">
        <w:rPr>
          <w:sz w:val="22"/>
          <w:szCs w:val="22"/>
          <w:lang w:val="sr-Latn-ME"/>
        </w:rPr>
        <w:t>.</w:t>
      </w:r>
    </w:p>
    <w:p w:rsidR="00D74125" w:rsidRPr="00AD3B49" w:rsidRDefault="00D74125" w:rsidP="00D74125">
      <w:pPr>
        <w:autoSpaceDE w:val="0"/>
        <w:autoSpaceDN w:val="0"/>
        <w:adjustRightInd w:val="0"/>
        <w:jc w:val="both"/>
        <w:rPr>
          <w:sz w:val="22"/>
          <w:szCs w:val="22"/>
          <w:lang w:val="sr-Latn-ME"/>
        </w:rPr>
      </w:pPr>
    </w:p>
    <w:p w:rsidR="00D74125" w:rsidRPr="00AD3B49" w:rsidRDefault="00D74125" w:rsidP="00373282">
      <w:pPr>
        <w:autoSpaceDE w:val="0"/>
        <w:autoSpaceDN w:val="0"/>
        <w:adjustRightInd w:val="0"/>
        <w:jc w:val="both"/>
        <w:rPr>
          <w:sz w:val="10"/>
          <w:szCs w:val="10"/>
          <w:lang w:val="sr-Latn-ME"/>
        </w:rPr>
      </w:pPr>
      <w:r w:rsidRPr="00AD3B49">
        <w:rPr>
          <w:sz w:val="22"/>
          <w:szCs w:val="22"/>
          <w:lang w:val="sr-Latn-ME"/>
        </w:rPr>
        <w:t>Zbog premalo</w:t>
      </w:r>
      <w:r w:rsidR="00E7771F" w:rsidRPr="00AD3B49">
        <w:rPr>
          <w:sz w:val="22"/>
          <w:szCs w:val="22"/>
          <w:lang w:val="sr-Latn-ME"/>
        </w:rPr>
        <w:t>g broja ispitanika efikasnost</w:t>
      </w:r>
      <w:r w:rsidRPr="00AD3B49">
        <w:rPr>
          <w:sz w:val="22"/>
          <w:szCs w:val="22"/>
          <w:lang w:val="sr-Latn-ME"/>
        </w:rPr>
        <w:t xml:space="preserve">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nije dokazana u liječenju pacijen</w:t>
      </w:r>
      <w:r w:rsidR="00B01E03" w:rsidRPr="00AD3B49">
        <w:rPr>
          <w:sz w:val="22"/>
          <w:szCs w:val="22"/>
          <w:lang w:val="sr-Latn-ME"/>
        </w:rPr>
        <w:t>a</w:t>
      </w:r>
      <w:r w:rsidRPr="00AD3B49">
        <w:rPr>
          <w:sz w:val="22"/>
          <w:szCs w:val="22"/>
          <w:lang w:val="sr-Latn-ME"/>
        </w:rPr>
        <w:t xml:space="preserve">ta s psorijatičnom artropatijom sličnoj </w:t>
      </w:r>
      <w:r w:rsidR="0004490B" w:rsidRPr="00AD3B49">
        <w:rPr>
          <w:sz w:val="22"/>
          <w:szCs w:val="22"/>
          <w:lang w:val="sr-Latn-ME"/>
        </w:rPr>
        <w:t xml:space="preserve">ankilozirajućem </w:t>
      </w:r>
      <w:r w:rsidRPr="00AD3B49">
        <w:rPr>
          <w:sz w:val="22"/>
          <w:szCs w:val="22"/>
          <w:lang w:val="sr-Latn-ME"/>
        </w:rPr>
        <w:t xml:space="preserve">spondilitisu. </w:t>
      </w:r>
    </w:p>
    <w:p w:rsidR="00D74125" w:rsidRPr="00AD3B49" w:rsidRDefault="00D74125" w:rsidP="006B0826">
      <w:pPr>
        <w:autoSpaceDE w:val="0"/>
        <w:autoSpaceDN w:val="0"/>
        <w:adjustRightInd w:val="0"/>
        <w:jc w:val="center"/>
        <w:rPr>
          <w:b/>
          <w:sz w:val="22"/>
          <w:szCs w:val="22"/>
          <w:lang w:val="sr-Latn-ME"/>
        </w:rPr>
      </w:pPr>
      <w:r w:rsidRPr="00AD3B49">
        <w:rPr>
          <w:b/>
          <w:sz w:val="22"/>
          <w:szCs w:val="22"/>
          <w:lang w:val="sr-Latn-ME"/>
        </w:rPr>
        <w:t>Tabela 11</w:t>
      </w:r>
    </w:p>
    <w:p w:rsidR="00D74125" w:rsidRPr="00AD3B49" w:rsidRDefault="00D74125" w:rsidP="006B0826">
      <w:pPr>
        <w:autoSpaceDE w:val="0"/>
        <w:autoSpaceDN w:val="0"/>
        <w:adjustRightInd w:val="0"/>
        <w:jc w:val="center"/>
        <w:rPr>
          <w:b/>
          <w:sz w:val="22"/>
          <w:szCs w:val="22"/>
          <w:lang w:val="sr-Latn-ME"/>
        </w:rPr>
      </w:pPr>
      <w:r w:rsidRPr="00AD3B49">
        <w:rPr>
          <w:b/>
          <w:sz w:val="22"/>
          <w:szCs w:val="22"/>
          <w:lang w:val="sr-Latn-ME"/>
        </w:rPr>
        <w:t xml:space="preserve">ACR </w:t>
      </w:r>
      <w:r w:rsidR="00E7771F" w:rsidRPr="00AD3B49">
        <w:rPr>
          <w:b/>
          <w:sz w:val="22"/>
          <w:szCs w:val="22"/>
          <w:lang w:val="sr-Latn-ME"/>
        </w:rPr>
        <w:t>odgovor u placebo kontrolis</w:t>
      </w:r>
      <w:r w:rsidRPr="00AD3B49">
        <w:rPr>
          <w:b/>
          <w:sz w:val="22"/>
          <w:szCs w:val="22"/>
          <w:lang w:val="sr-Latn-ME"/>
        </w:rPr>
        <w:t>anim ispitivanjima psorijatičnog artiritisa</w:t>
      </w:r>
    </w:p>
    <w:p w:rsidR="00B01E03" w:rsidRPr="00AD3B49" w:rsidRDefault="00D74125" w:rsidP="006B0826">
      <w:pPr>
        <w:autoSpaceDE w:val="0"/>
        <w:autoSpaceDN w:val="0"/>
        <w:adjustRightInd w:val="0"/>
        <w:jc w:val="center"/>
        <w:rPr>
          <w:b/>
          <w:sz w:val="22"/>
          <w:szCs w:val="22"/>
          <w:lang w:val="sr-Latn-ME"/>
        </w:rPr>
      </w:pPr>
      <w:r w:rsidRPr="00AD3B49">
        <w:rPr>
          <w:b/>
          <w:sz w:val="22"/>
          <w:szCs w:val="22"/>
          <w:lang w:val="sr-Latn-ME"/>
        </w:rPr>
        <w:t>(Procenat pacijen</w:t>
      </w:r>
      <w:r w:rsidR="00B01E03" w:rsidRPr="00AD3B49">
        <w:rPr>
          <w:b/>
          <w:sz w:val="22"/>
          <w:szCs w:val="22"/>
          <w:lang w:val="sr-Latn-ME"/>
        </w:rPr>
        <w:t>a</w:t>
      </w:r>
      <w:r w:rsidRPr="00AD3B49">
        <w:rPr>
          <w:b/>
          <w:sz w:val="22"/>
          <w:szCs w:val="22"/>
          <w:lang w:val="sr-Latn-ME"/>
        </w:rPr>
        <w:t>ta)</w:t>
      </w:r>
    </w:p>
    <w:p w:rsidR="00D74125" w:rsidRPr="00AD3B49" w:rsidRDefault="00D74125" w:rsidP="00D74125">
      <w:pPr>
        <w:autoSpaceDE w:val="0"/>
        <w:autoSpaceDN w:val="0"/>
        <w:adjustRightInd w:val="0"/>
        <w:rPr>
          <w:sz w:val="10"/>
          <w:szCs w:val="10"/>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94"/>
        <w:gridCol w:w="1194"/>
        <w:gridCol w:w="1194"/>
        <w:gridCol w:w="1195"/>
      </w:tblGrid>
      <w:tr w:rsidR="00D74125" w:rsidRPr="00AD3B49" w:rsidTr="00DD5431">
        <w:trPr>
          <w:jc w:val="center"/>
        </w:trPr>
        <w:tc>
          <w:tcPr>
            <w:tcW w:w="1985" w:type="dxa"/>
            <w:shd w:val="clear" w:color="auto" w:fill="auto"/>
          </w:tcPr>
          <w:p w:rsidR="00D74125" w:rsidRPr="00AD3B49" w:rsidRDefault="00D74125" w:rsidP="00DD5431">
            <w:pPr>
              <w:autoSpaceDE w:val="0"/>
              <w:autoSpaceDN w:val="0"/>
              <w:adjustRightInd w:val="0"/>
              <w:jc w:val="center"/>
              <w:rPr>
                <w:sz w:val="22"/>
                <w:szCs w:val="22"/>
                <w:lang w:val="sr-Latn-ME"/>
              </w:rPr>
            </w:pPr>
          </w:p>
        </w:tc>
        <w:tc>
          <w:tcPr>
            <w:tcW w:w="2388" w:type="dxa"/>
            <w:gridSpan w:val="2"/>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PsA ispitivanje I</w:t>
            </w:r>
          </w:p>
        </w:tc>
        <w:tc>
          <w:tcPr>
            <w:tcW w:w="2389" w:type="dxa"/>
            <w:gridSpan w:val="2"/>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PsA ispitivanje II</w:t>
            </w:r>
          </w:p>
        </w:tc>
      </w:tr>
      <w:tr w:rsidR="00D74125" w:rsidRPr="00AD3B49" w:rsidTr="00DD5431">
        <w:trPr>
          <w:jc w:val="center"/>
        </w:trPr>
        <w:tc>
          <w:tcPr>
            <w:tcW w:w="1985"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Odgovor</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Placebo</w:t>
            </w:r>
          </w:p>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N = 162</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Humira</w:t>
            </w:r>
          </w:p>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N = 151</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Placebo</w:t>
            </w:r>
          </w:p>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N = 49</w:t>
            </w:r>
          </w:p>
        </w:tc>
        <w:tc>
          <w:tcPr>
            <w:tcW w:w="1195"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Humira</w:t>
            </w:r>
          </w:p>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N = 51</w:t>
            </w:r>
          </w:p>
        </w:tc>
      </w:tr>
      <w:tr w:rsidR="00D74125" w:rsidRPr="00AD3B49" w:rsidTr="00DD5431">
        <w:trPr>
          <w:jc w:val="center"/>
        </w:trPr>
        <w:tc>
          <w:tcPr>
            <w:tcW w:w="1985"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 xml:space="preserve">ACR 20 </w:t>
            </w:r>
          </w:p>
        </w:tc>
        <w:tc>
          <w:tcPr>
            <w:tcW w:w="1194" w:type="dxa"/>
            <w:shd w:val="clear" w:color="auto" w:fill="auto"/>
          </w:tcPr>
          <w:p w:rsidR="00D74125" w:rsidRPr="00AD3B49" w:rsidRDefault="00D74125" w:rsidP="00DD5431">
            <w:pPr>
              <w:autoSpaceDE w:val="0"/>
              <w:autoSpaceDN w:val="0"/>
              <w:adjustRightInd w:val="0"/>
              <w:rPr>
                <w:sz w:val="22"/>
                <w:szCs w:val="22"/>
                <w:lang w:val="sr-Latn-ME"/>
              </w:rPr>
            </w:pPr>
          </w:p>
        </w:tc>
        <w:tc>
          <w:tcPr>
            <w:tcW w:w="1194" w:type="dxa"/>
            <w:shd w:val="clear" w:color="auto" w:fill="auto"/>
          </w:tcPr>
          <w:p w:rsidR="00D74125" w:rsidRPr="00AD3B49" w:rsidRDefault="00D74125" w:rsidP="00DD5431">
            <w:pPr>
              <w:autoSpaceDE w:val="0"/>
              <w:autoSpaceDN w:val="0"/>
              <w:adjustRightInd w:val="0"/>
              <w:rPr>
                <w:sz w:val="22"/>
                <w:szCs w:val="22"/>
                <w:lang w:val="sr-Latn-ME"/>
              </w:rPr>
            </w:pPr>
          </w:p>
        </w:tc>
        <w:tc>
          <w:tcPr>
            <w:tcW w:w="1194" w:type="dxa"/>
            <w:shd w:val="clear" w:color="auto" w:fill="auto"/>
          </w:tcPr>
          <w:p w:rsidR="00D74125" w:rsidRPr="00AD3B49" w:rsidRDefault="00D74125" w:rsidP="00DD5431">
            <w:pPr>
              <w:autoSpaceDE w:val="0"/>
              <w:autoSpaceDN w:val="0"/>
              <w:adjustRightInd w:val="0"/>
              <w:rPr>
                <w:sz w:val="22"/>
                <w:szCs w:val="22"/>
                <w:lang w:val="sr-Latn-ME"/>
              </w:rPr>
            </w:pPr>
          </w:p>
        </w:tc>
        <w:tc>
          <w:tcPr>
            <w:tcW w:w="1195" w:type="dxa"/>
            <w:shd w:val="clear" w:color="auto" w:fill="auto"/>
          </w:tcPr>
          <w:p w:rsidR="00D74125" w:rsidRPr="00AD3B49" w:rsidRDefault="00D74125" w:rsidP="00DD5431">
            <w:pPr>
              <w:autoSpaceDE w:val="0"/>
              <w:autoSpaceDN w:val="0"/>
              <w:adjustRightInd w:val="0"/>
              <w:rPr>
                <w:sz w:val="22"/>
                <w:szCs w:val="22"/>
                <w:lang w:val="sr-Latn-ME"/>
              </w:rPr>
            </w:pPr>
          </w:p>
        </w:tc>
      </w:tr>
      <w:tr w:rsidR="00D74125" w:rsidRPr="00AD3B49" w:rsidTr="00DD5431">
        <w:trPr>
          <w:jc w:val="center"/>
        </w:trPr>
        <w:tc>
          <w:tcPr>
            <w:tcW w:w="1985"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12</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14%</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58%***</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16%</w:t>
            </w:r>
          </w:p>
        </w:tc>
        <w:tc>
          <w:tcPr>
            <w:tcW w:w="1195"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39%</w:t>
            </w:r>
            <w:r w:rsidR="00B01E03" w:rsidRPr="00AD3B49">
              <w:rPr>
                <w:sz w:val="22"/>
                <w:szCs w:val="22"/>
                <w:lang w:val="sr-Latn-ME"/>
              </w:rPr>
              <w:t>*</w:t>
            </w:r>
          </w:p>
        </w:tc>
      </w:tr>
      <w:tr w:rsidR="00D74125" w:rsidRPr="00AD3B49" w:rsidTr="00DD5431">
        <w:trPr>
          <w:jc w:val="center"/>
        </w:trPr>
        <w:tc>
          <w:tcPr>
            <w:tcW w:w="1985"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24 </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15%</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57%***</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N/A</w:t>
            </w:r>
          </w:p>
        </w:tc>
        <w:tc>
          <w:tcPr>
            <w:tcW w:w="1195"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N/A</w:t>
            </w:r>
          </w:p>
        </w:tc>
      </w:tr>
      <w:tr w:rsidR="00D74125" w:rsidRPr="00AD3B49" w:rsidTr="00DD5431">
        <w:trPr>
          <w:jc w:val="center"/>
        </w:trPr>
        <w:tc>
          <w:tcPr>
            <w:tcW w:w="1985"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 xml:space="preserve">ACR 50 </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p>
        </w:tc>
        <w:tc>
          <w:tcPr>
            <w:tcW w:w="1195" w:type="dxa"/>
            <w:shd w:val="clear" w:color="auto" w:fill="auto"/>
          </w:tcPr>
          <w:p w:rsidR="00D74125" w:rsidRPr="00AD3B49" w:rsidRDefault="00D74125" w:rsidP="00DD5431">
            <w:pPr>
              <w:autoSpaceDE w:val="0"/>
              <w:autoSpaceDN w:val="0"/>
              <w:adjustRightInd w:val="0"/>
              <w:jc w:val="center"/>
              <w:rPr>
                <w:sz w:val="22"/>
                <w:szCs w:val="22"/>
                <w:lang w:val="sr-Latn-ME"/>
              </w:rPr>
            </w:pPr>
          </w:p>
        </w:tc>
      </w:tr>
      <w:tr w:rsidR="00D74125" w:rsidRPr="00AD3B49" w:rsidTr="00DD5431">
        <w:trPr>
          <w:jc w:val="center"/>
        </w:trPr>
        <w:tc>
          <w:tcPr>
            <w:tcW w:w="1985"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12</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4%</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36%***</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2%</w:t>
            </w:r>
          </w:p>
        </w:tc>
        <w:tc>
          <w:tcPr>
            <w:tcW w:w="1195"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25%</w:t>
            </w:r>
            <w:r w:rsidR="00B01E03" w:rsidRPr="00AD3B49">
              <w:rPr>
                <w:sz w:val="22"/>
                <w:szCs w:val="22"/>
                <w:lang w:val="sr-Latn-ME"/>
              </w:rPr>
              <w:t>***</w:t>
            </w:r>
          </w:p>
        </w:tc>
      </w:tr>
      <w:tr w:rsidR="00D74125" w:rsidRPr="00AD3B49" w:rsidTr="00DD5431">
        <w:trPr>
          <w:jc w:val="center"/>
        </w:trPr>
        <w:tc>
          <w:tcPr>
            <w:tcW w:w="1985"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24 </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6%</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39%***</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N/A</w:t>
            </w:r>
          </w:p>
        </w:tc>
        <w:tc>
          <w:tcPr>
            <w:tcW w:w="1195"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N/A</w:t>
            </w:r>
          </w:p>
        </w:tc>
      </w:tr>
      <w:tr w:rsidR="00D74125" w:rsidRPr="00AD3B49" w:rsidTr="00DD5431">
        <w:trPr>
          <w:jc w:val="center"/>
        </w:trPr>
        <w:tc>
          <w:tcPr>
            <w:tcW w:w="1985"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 xml:space="preserve">ACR 70 </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p>
        </w:tc>
        <w:tc>
          <w:tcPr>
            <w:tcW w:w="1195" w:type="dxa"/>
            <w:shd w:val="clear" w:color="auto" w:fill="auto"/>
          </w:tcPr>
          <w:p w:rsidR="00D74125" w:rsidRPr="00AD3B49" w:rsidRDefault="00D74125" w:rsidP="00DD5431">
            <w:pPr>
              <w:autoSpaceDE w:val="0"/>
              <w:autoSpaceDN w:val="0"/>
              <w:adjustRightInd w:val="0"/>
              <w:jc w:val="center"/>
              <w:rPr>
                <w:sz w:val="22"/>
                <w:szCs w:val="22"/>
                <w:lang w:val="sr-Latn-ME"/>
              </w:rPr>
            </w:pPr>
          </w:p>
        </w:tc>
      </w:tr>
      <w:tr w:rsidR="00D74125" w:rsidRPr="00AD3B49" w:rsidTr="00DD5431">
        <w:trPr>
          <w:jc w:val="center"/>
        </w:trPr>
        <w:tc>
          <w:tcPr>
            <w:tcW w:w="1985"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12</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20%***</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0%</w:t>
            </w:r>
          </w:p>
        </w:tc>
        <w:tc>
          <w:tcPr>
            <w:tcW w:w="1195"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14%</w:t>
            </w:r>
            <w:r w:rsidR="00B01E03" w:rsidRPr="00AD3B49">
              <w:rPr>
                <w:sz w:val="22"/>
                <w:szCs w:val="22"/>
                <w:lang w:val="sr-Latn-ME"/>
              </w:rPr>
              <w:t>*</w:t>
            </w:r>
          </w:p>
        </w:tc>
      </w:tr>
      <w:tr w:rsidR="00D74125" w:rsidRPr="00AD3B49" w:rsidTr="00DD5431">
        <w:trPr>
          <w:jc w:val="center"/>
        </w:trPr>
        <w:tc>
          <w:tcPr>
            <w:tcW w:w="1985" w:type="dxa"/>
            <w:shd w:val="clear" w:color="auto" w:fill="auto"/>
          </w:tcPr>
          <w:p w:rsidR="00D74125" w:rsidRPr="00AD3B49" w:rsidRDefault="00D74125" w:rsidP="00DD5431">
            <w:pPr>
              <w:autoSpaceDE w:val="0"/>
              <w:autoSpaceDN w:val="0"/>
              <w:adjustRightInd w:val="0"/>
              <w:rPr>
                <w:sz w:val="22"/>
                <w:szCs w:val="22"/>
                <w:lang w:val="sr-Latn-ME"/>
              </w:rPr>
            </w:pPr>
            <w:r w:rsidRPr="00AD3B49">
              <w:rPr>
                <w:sz w:val="22"/>
                <w:szCs w:val="22"/>
                <w:lang w:val="sr-Latn-ME"/>
              </w:rPr>
              <w:tab/>
            </w:r>
            <w:r w:rsidR="000B016F" w:rsidRPr="00AD3B49">
              <w:rPr>
                <w:sz w:val="22"/>
                <w:szCs w:val="22"/>
                <w:lang w:val="sr-Latn-ME"/>
              </w:rPr>
              <w:t>Nedjelja</w:t>
            </w:r>
            <w:r w:rsidRPr="00AD3B49">
              <w:rPr>
                <w:sz w:val="22"/>
                <w:szCs w:val="22"/>
                <w:lang w:val="sr-Latn-ME"/>
              </w:rPr>
              <w:t xml:space="preserve"> 24 </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23%***</w:t>
            </w:r>
          </w:p>
        </w:tc>
        <w:tc>
          <w:tcPr>
            <w:tcW w:w="11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N/A</w:t>
            </w:r>
          </w:p>
        </w:tc>
        <w:tc>
          <w:tcPr>
            <w:tcW w:w="1195"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N/A</w:t>
            </w:r>
          </w:p>
        </w:tc>
      </w:tr>
    </w:tbl>
    <w:p w:rsidR="00D74125" w:rsidRPr="00373282" w:rsidRDefault="00D74125" w:rsidP="00D74125">
      <w:pPr>
        <w:autoSpaceDE w:val="0"/>
        <w:autoSpaceDN w:val="0"/>
        <w:adjustRightInd w:val="0"/>
        <w:ind w:left="1440"/>
        <w:rPr>
          <w:sz w:val="18"/>
          <w:szCs w:val="18"/>
          <w:lang w:val="sr-Latn-ME"/>
        </w:rPr>
      </w:pPr>
      <w:r w:rsidRPr="00373282">
        <w:rPr>
          <w:sz w:val="18"/>
          <w:szCs w:val="18"/>
          <w:lang w:val="sr-Latn-ME"/>
        </w:rPr>
        <w:t xml:space="preserve">*** p &lt; 0,001 za sva poređenja između </w:t>
      </w:r>
      <w:r w:rsidR="0082613A" w:rsidRPr="00373282">
        <w:rPr>
          <w:sz w:val="18"/>
          <w:szCs w:val="18"/>
          <w:lang w:val="sr-Latn-ME"/>
        </w:rPr>
        <w:t xml:space="preserve">lijeka </w:t>
      </w:r>
      <w:r w:rsidRPr="00373282">
        <w:rPr>
          <w:sz w:val="18"/>
          <w:szCs w:val="18"/>
          <w:lang w:val="sr-Latn-ME"/>
        </w:rPr>
        <w:t>Humir</w:t>
      </w:r>
      <w:r w:rsidR="0082613A" w:rsidRPr="00373282">
        <w:rPr>
          <w:sz w:val="18"/>
          <w:szCs w:val="18"/>
          <w:lang w:val="sr-Latn-ME"/>
        </w:rPr>
        <w:t>a</w:t>
      </w:r>
      <w:r w:rsidRPr="00373282">
        <w:rPr>
          <w:sz w:val="18"/>
          <w:szCs w:val="18"/>
          <w:lang w:val="sr-Latn-ME"/>
        </w:rPr>
        <w:t xml:space="preserve"> i placeba</w:t>
      </w:r>
    </w:p>
    <w:p w:rsidR="00D74125" w:rsidRPr="00373282" w:rsidRDefault="00D74125" w:rsidP="00D74125">
      <w:pPr>
        <w:autoSpaceDE w:val="0"/>
        <w:autoSpaceDN w:val="0"/>
        <w:adjustRightInd w:val="0"/>
        <w:ind w:left="1440"/>
        <w:rPr>
          <w:sz w:val="18"/>
          <w:szCs w:val="18"/>
          <w:lang w:val="sr-Latn-ME"/>
        </w:rPr>
      </w:pPr>
      <w:r w:rsidRPr="00373282">
        <w:rPr>
          <w:sz w:val="18"/>
          <w:szCs w:val="18"/>
          <w:lang w:val="sr-Latn-ME"/>
        </w:rPr>
        <w:t xml:space="preserve">* p &lt; 0,05 za sva poređenja između </w:t>
      </w:r>
      <w:r w:rsidR="0082613A" w:rsidRPr="00373282">
        <w:rPr>
          <w:sz w:val="18"/>
          <w:szCs w:val="18"/>
          <w:lang w:val="sr-Latn-ME"/>
        </w:rPr>
        <w:t xml:space="preserve">lijeka </w:t>
      </w:r>
      <w:r w:rsidRPr="00373282">
        <w:rPr>
          <w:sz w:val="18"/>
          <w:szCs w:val="18"/>
          <w:lang w:val="sr-Latn-ME"/>
        </w:rPr>
        <w:t>Humir</w:t>
      </w:r>
      <w:r w:rsidR="0082613A" w:rsidRPr="00373282">
        <w:rPr>
          <w:sz w:val="18"/>
          <w:szCs w:val="18"/>
          <w:lang w:val="sr-Latn-ME"/>
        </w:rPr>
        <w:t>a</w:t>
      </w:r>
      <w:r w:rsidRPr="00373282">
        <w:rPr>
          <w:sz w:val="18"/>
          <w:szCs w:val="18"/>
          <w:lang w:val="sr-Latn-ME"/>
        </w:rPr>
        <w:t xml:space="preserve"> i placeba</w:t>
      </w:r>
    </w:p>
    <w:p w:rsidR="00D74125" w:rsidRPr="00373282" w:rsidRDefault="00D74125" w:rsidP="00D74125">
      <w:pPr>
        <w:autoSpaceDE w:val="0"/>
        <w:autoSpaceDN w:val="0"/>
        <w:adjustRightInd w:val="0"/>
        <w:ind w:left="1440"/>
        <w:rPr>
          <w:sz w:val="18"/>
          <w:szCs w:val="18"/>
          <w:lang w:val="sr-Latn-ME"/>
        </w:rPr>
      </w:pPr>
      <w:r w:rsidRPr="00373282">
        <w:rPr>
          <w:sz w:val="18"/>
          <w:szCs w:val="18"/>
          <w:lang w:val="sr-Latn-ME"/>
        </w:rPr>
        <w:t xml:space="preserve">N/A neprimjenjivo </w:t>
      </w:r>
    </w:p>
    <w:p w:rsidR="00D74125" w:rsidRPr="00AD3B49" w:rsidRDefault="00D74125" w:rsidP="00D74125">
      <w:pPr>
        <w:autoSpaceDE w:val="0"/>
        <w:autoSpaceDN w:val="0"/>
        <w:adjustRightInd w:val="0"/>
        <w:jc w:val="both"/>
        <w:rPr>
          <w:sz w:val="22"/>
          <w:szCs w:val="22"/>
          <w:lang w:val="sr-Latn-ME"/>
        </w:rPr>
      </w:pPr>
      <w:r w:rsidRPr="00AD3B49">
        <w:rPr>
          <w:sz w:val="22"/>
          <w:szCs w:val="22"/>
          <w:lang w:val="sr-Latn-ME"/>
        </w:rPr>
        <w:lastRenderedPageBreak/>
        <w:t xml:space="preserve">ACR odgovori u PsA ispitivanju I bili su slični sa i bez istovremene primjene terapije metotreksatom. </w:t>
      </w:r>
    </w:p>
    <w:p w:rsidR="00D74125" w:rsidRPr="00AD3B49" w:rsidRDefault="00D74125" w:rsidP="00D74125">
      <w:pPr>
        <w:autoSpaceDE w:val="0"/>
        <w:autoSpaceDN w:val="0"/>
        <w:adjustRightInd w:val="0"/>
        <w:jc w:val="both"/>
        <w:rPr>
          <w:sz w:val="22"/>
          <w:szCs w:val="22"/>
          <w:lang w:val="sr-Latn-ME"/>
        </w:rPr>
      </w:pPr>
      <w:r w:rsidRPr="00AD3B49">
        <w:rPr>
          <w:sz w:val="22"/>
          <w:szCs w:val="22"/>
          <w:lang w:val="sr-Latn-ME"/>
        </w:rPr>
        <w:t xml:space="preserve">ACR odgovori su održani i u okviru otvorenog produženog ispitivanja kroz 136 </w:t>
      </w:r>
      <w:r w:rsidR="000B016F" w:rsidRPr="00AD3B49">
        <w:rPr>
          <w:sz w:val="22"/>
          <w:szCs w:val="22"/>
          <w:lang w:val="sr-Latn-ME"/>
        </w:rPr>
        <w:t>nedjelja</w:t>
      </w:r>
      <w:r w:rsidRPr="00AD3B49">
        <w:rPr>
          <w:sz w:val="22"/>
          <w:szCs w:val="22"/>
          <w:lang w:val="sr-Latn-ME"/>
        </w:rPr>
        <w:t>.</w:t>
      </w:r>
    </w:p>
    <w:p w:rsidR="00D74125" w:rsidRPr="00AD3B49" w:rsidRDefault="00D74125" w:rsidP="00D74125">
      <w:pPr>
        <w:autoSpaceDE w:val="0"/>
        <w:autoSpaceDN w:val="0"/>
        <w:adjustRightInd w:val="0"/>
        <w:jc w:val="both"/>
        <w:rPr>
          <w:sz w:val="22"/>
          <w:szCs w:val="22"/>
          <w:lang w:val="sr-Latn-ME"/>
        </w:rPr>
      </w:pPr>
    </w:p>
    <w:p w:rsidR="00D74125" w:rsidRPr="00AD3B49" w:rsidRDefault="00D74125" w:rsidP="00D74125">
      <w:pPr>
        <w:autoSpaceDE w:val="0"/>
        <w:autoSpaceDN w:val="0"/>
        <w:adjustRightInd w:val="0"/>
        <w:jc w:val="both"/>
        <w:rPr>
          <w:sz w:val="22"/>
          <w:szCs w:val="22"/>
          <w:lang w:val="sr-Latn-ME"/>
        </w:rPr>
      </w:pPr>
      <w:r w:rsidRPr="00AD3B49">
        <w:rPr>
          <w:sz w:val="22"/>
          <w:szCs w:val="22"/>
          <w:lang w:val="sr-Latn-ME"/>
        </w:rPr>
        <w:t>U okviru ispitivanja pacijenta s psorijatičnim artiritisom ispitivane su radiološke promjene. Radiogrami ruku, šake i stopa</w:t>
      </w:r>
      <w:r w:rsidR="00DD5431" w:rsidRPr="00AD3B49">
        <w:rPr>
          <w:sz w:val="22"/>
          <w:szCs w:val="22"/>
          <w:lang w:val="sr-Latn-ME"/>
        </w:rPr>
        <w:t>la dobij</w:t>
      </w:r>
      <w:r w:rsidRPr="00AD3B49">
        <w:rPr>
          <w:sz w:val="22"/>
          <w:szCs w:val="22"/>
          <w:lang w:val="sr-Latn-ME"/>
        </w:rPr>
        <w:t xml:space="preserve">eni su u uvodnoj fazi ispitivanja i u 24. </w:t>
      </w:r>
      <w:r w:rsidR="000B016F" w:rsidRPr="00AD3B49">
        <w:rPr>
          <w:sz w:val="22"/>
          <w:szCs w:val="22"/>
          <w:lang w:val="sr-Latn-ME"/>
        </w:rPr>
        <w:t>nedjelji</w:t>
      </w:r>
      <w:r w:rsidRPr="00AD3B49">
        <w:rPr>
          <w:sz w:val="22"/>
          <w:szCs w:val="22"/>
          <w:lang w:val="sr-Latn-ME"/>
        </w:rPr>
        <w:t xml:space="preserve"> tokom dvostruko slijepog dijela ispitivanja, kada su pacijenti primali </w:t>
      </w:r>
      <w:r w:rsidR="00C10995" w:rsidRPr="00AD3B49">
        <w:rPr>
          <w:sz w:val="22"/>
          <w:szCs w:val="22"/>
          <w:lang w:val="sr-Latn-ME"/>
        </w:rPr>
        <w:t xml:space="preserve">lijek </w:t>
      </w:r>
      <w:r w:rsidRPr="00AD3B49">
        <w:rPr>
          <w:sz w:val="22"/>
          <w:szCs w:val="22"/>
          <w:lang w:val="sr-Latn-ME"/>
        </w:rPr>
        <w:t>Humir</w:t>
      </w:r>
      <w:r w:rsidR="00C10995" w:rsidRPr="00AD3B49">
        <w:rPr>
          <w:sz w:val="22"/>
          <w:szCs w:val="22"/>
          <w:lang w:val="sr-Latn-ME"/>
        </w:rPr>
        <w:t>a</w:t>
      </w:r>
      <w:r w:rsidRPr="00AD3B49">
        <w:rPr>
          <w:sz w:val="22"/>
          <w:szCs w:val="22"/>
          <w:lang w:val="sr-Latn-ME"/>
        </w:rPr>
        <w:t xml:space="preserve">, odnosno placebo, te u 48. </w:t>
      </w:r>
      <w:r w:rsidR="000B016F" w:rsidRPr="00AD3B49">
        <w:rPr>
          <w:sz w:val="22"/>
          <w:szCs w:val="22"/>
          <w:lang w:val="sr-Latn-ME"/>
        </w:rPr>
        <w:t>nedjelji</w:t>
      </w:r>
      <w:r w:rsidRPr="00AD3B49">
        <w:rPr>
          <w:sz w:val="22"/>
          <w:szCs w:val="22"/>
          <w:lang w:val="sr-Latn-ME"/>
        </w:rPr>
        <w:t xml:space="preserve"> kada su svi pacijenti primali </w:t>
      </w:r>
      <w:r w:rsidR="00C10995" w:rsidRPr="00AD3B49">
        <w:rPr>
          <w:sz w:val="22"/>
          <w:szCs w:val="22"/>
          <w:lang w:val="sr-Latn-ME"/>
        </w:rPr>
        <w:t xml:space="preserve">lijek </w:t>
      </w:r>
      <w:r w:rsidRPr="00AD3B49">
        <w:rPr>
          <w:sz w:val="22"/>
          <w:szCs w:val="22"/>
          <w:lang w:val="sr-Latn-ME"/>
        </w:rPr>
        <w:t>Humir</w:t>
      </w:r>
      <w:r w:rsidR="00C10995" w:rsidRPr="00AD3B49">
        <w:rPr>
          <w:sz w:val="22"/>
          <w:szCs w:val="22"/>
          <w:lang w:val="sr-Latn-ME"/>
        </w:rPr>
        <w:t>a</w:t>
      </w:r>
      <w:r w:rsidRPr="00AD3B49">
        <w:rPr>
          <w:sz w:val="22"/>
          <w:szCs w:val="22"/>
          <w:lang w:val="sr-Latn-ME"/>
        </w:rPr>
        <w:t xml:space="preserve"> u okviru otvorene faze ispitivanja. Korišten je ukupni</w:t>
      </w:r>
      <w:r w:rsidR="00DD5431" w:rsidRPr="00AD3B49">
        <w:rPr>
          <w:sz w:val="22"/>
          <w:szCs w:val="22"/>
          <w:lang w:val="sr-Latn-ME"/>
        </w:rPr>
        <w:t xml:space="preserve"> zbir bodova po modifikov</w:t>
      </w:r>
      <w:r w:rsidRPr="00AD3B49">
        <w:rPr>
          <w:sz w:val="22"/>
          <w:szCs w:val="22"/>
          <w:lang w:val="sr-Latn-ME"/>
        </w:rPr>
        <w:t>anom Sharpu (</w:t>
      </w:r>
      <w:r w:rsidRPr="00AD3B49">
        <w:rPr>
          <w:i/>
          <w:sz w:val="22"/>
          <w:szCs w:val="22"/>
          <w:lang w:val="sr-Latn-ME"/>
        </w:rPr>
        <w:t>modified</w:t>
      </w:r>
      <w:r w:rsidRPr="00AD3B49">
        <w:rPr>
          <w:sz w:val="22"/>
          <w:szCs w:val="22"/>
          <w:lang w:val="sr-Latn-ME"/>
        </w:rPr>
        <w:t xml:space="preserve"> </w:t>
      </w:r>
      <w:r w:rsidRPr="00AD3B49">
        <w:rPr>
          <w:i/>
          <w:sz w:val="22"/>
          <w:szCs w:val="22"/>
          <w:lang w:val="sr-Latn-ME"/>
        </w:rPr>
        <w:t>Total Sharp Score</w:t>
      </w:r>
      <w:r w:rsidRPr="00AD3B49">
        <w:rPr>
          <w:sz w:val="22"/>
          <w:szCs w:val="22"/>
          <w:lang w:val="sr-Latn-ME"/>
        </w:rPr>
        <w:t xml:space="preserve"> - mTSS), što je uključivalo i distalne interfalangealne zglobove (odnosno, nije istovjetan TSS-u koji je korišten kod reumatoidnog artritisa). </w:t>
      </w:r>
    </w:p>
    <w:p w:rsidR="00D74125" w:rsidRPr="00AD3B49" w:rsidRDefault="00D74125" w:rsidP="00D74125">
      <w:pPr>
        <w:autoSpaceDE w:val="0"/>
        <w:autoSpaceDN w:val="0"/>
        <w:adjustRightInd w:val="0"/>
        <w:jc w:val="both"/>
        <w:rPr>
          <w:sz w:val="22"/>
          <w:szCs w:val="22"/>
          <w:lang w:val="sr-Latn-ME"/>
        </w:rPr>
      </w:pPr>
      <w:r w:rsidRPr="00AD3B49">
        <w:rPr>
          <w:sz w:val="22"/>
          <w:szCs w:val="22"/>
          <w:lang w:val="sr-Latn-ME"/>
        </w:rPr>
        <w:t xml:space="preserve"> </w:t>
      </w:r>
    </w:p>
    <w:p w:rsidR="00D74125" w:rsidRPr="00AD3B49" w:rsidRDefault="00D74125" w:rsidP="00C477C3">
      <w:pPr>
        <w:autoSpaceDE w:val="0"/>
        <w:autoSpaceDN w:val="0"/>
        <w:adjustRightInd w:val="0"/>
        <w:jc w:val="both"/>
        <w:rPr>
          <w:sz w:val="22"/>
          <w:szCs w:val="22"/>
          <w:lang w:val="sr-Latn-ME"/>
        </w:rPr>
      </w:pPr>
      <w:r w:rsidRPr="00AD3B49">
        <w:rPr>
          <w:sz w:val="22"/>
          <w:szCs w:val="22"/>
          <w:lang w:val="sr-Latn-ME"/>
        </w:rPr>
        <w:t xml:space="preserve">Liječenje </w:t>
      </w:r>
      <w:r w:rsidR="00884C20" w:rsidRPr="00AD3B49">
        <w:rPr>
          <w:sz w:val="22"/>
          <w:szCs w:val="22"/>
          <w:lang w:val="sr-Latn-ME"/>
        </w:rPr>
        <w:t xml:space="preserve">lijekom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smanjilo je stopu progresije oštećenja perifernih zglobova u odnosu na liječenje placebom, što je izmjereno promjenom mTSS-a u odnosu na osnovne vrijednosti (srednji ± standardna devijacija) 0,8 ± 2,5 u placebo grupi (u 24. </w:t>
      </w:r>
      <w:r w:rsidR="000B016F" w:rsidRPr="00AD3B49">
        <w:rPr>
          <w:sz w:val="22"/>
          <w:szCs w:val="22"/>
          <w:lang w:val="sr-Latn-ME"/>
        </w:rPr>
        <w:t>nedjelji</w:t>
      </w:r>
      <w:r w:rsidRPr="00AD3B49">
        <w:rPr>
          <w:sz w:val="22"/>
          <w:szCs w:val="22"/>
          <w:lang w:val="sr-Latn-ME"/>
        </w:rPr>
        <w:t xml:space="preserve">), u odnosu na 0,0 ± 1,9 (p&lt; 0.001) u grupi pacijenta koji su liječeni </w:t>
      </w:r>
      <w:r w:rsidR="00884C20" w:rsidRPr="00AD3B49">
        <w:rPr>
          <w:sz w:val="22"/>
          <w:szCs w:val="22"/>
          <w:lang w:val="sr-Latn-ME"/>
        </w:rPr>
        <w:t xml:space="preserve">lijekom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(u 48. </w:t>
      </w:r>
      <w:r w:rsidR="000B016F" w:rsidRPr="00AD3B49">
        <w:rPr>
          <w:sz w:val="22"/>
          <w:szCs w:val="22"/>
          <w:lang w:val="sr-Latn-ME"/>
        </w:rPr>
        <w:t>nedjelji</w:t>
      </w:r>
      <w:r w:rsidRPr="00AD3B49">
        <w:rPr>
          <w:sz w:val="22"/>
          <w:szCs w:val="22"/>
          <w:lang w:val="sr-Latn-ME"/>
        </w:rPr>
        <w:t xml:space="preserve">). </w:t>
      </w:r>
    </w:p>
    <w:p w:rsidR="00FB6DAE" w:rsidRPr="00AD3B49" w:rsidRDefault="00FB6DAE" w:rsidP="00C477C3">
      <w:pPr>
        <w:autoSpaceDE w:val="0"/>
        <w:autoSpaceDN w:val="0"/>
        <w:adjustRightInd w:val="0"/>
        <w:jc w:val="both"/>
        <w:rPr>
          <w:sz w:val="22"/>
          <w:szCs w:val="22"/>
          <w:lang w:val="sr-Latn-ME"/>
        </w:rPr>
      </w:pPr>
    </w:p>
    <w:p w:rsidR="00D74125" w:rsidRPr="00AD3B49" w:rsidRDefault="00D74125" w:rsidP="00D74125">
      <w:pPr>
        <w:autoSpaceDE w:val="0"/>
        <w:autoSpaceDN w:val="0"/>
        <w:adjustRightInd w:val="0"/>
        <w:jc w:val="both"/>
        <w:rPr>
          <w:sz w:val="22"/>
          <w:szCs w:val="22"/>
          <w:lang w:val="sr-Latn-ME"/>
        </w:rPr>
      </w:pPr>
      <w:r w:rsidRPr="00AD3B49">
        <w:rPr>
          <w:sz w:val="22"/>
          <w:szCs w:val="22"/>
          <w:lang w:val="sr-Latn-ME"/>
        </w:rPr>
        <w:t xml:space="preserve">U grupi pacijenta liječenih </w:t>
      </w:r>
      <w:r w:rsidR="00884C20" w:rsidRPr="00AD3B49">
        <w:rPr>
          <w:sz w:val="22"/>
          <w:szCs w:val="22"/>
          <w:lang w:val="sr-Latn-ME"/>
        </w:rPr>
        <w:t xml:space="preserve">lijekom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kod kojih se nije javila radiološka progresija od početka ispitivanja do 48. </w:t>
      </w:r>
      <w:r w:rsidR="000B016F" w:rsidRPr="00AD3B49">
        <w:rPr>
          <w:sz w:val="22"/>
          <w:szCs w:val="22"/>
          <w:lang w:val="sr-Latn-ME"/>
        </w:rPr>
        <w:t>nedjelje</w:t>
      </w:r>
      <w:r w:rsidRPr="00AD3B49">
        <w:rPr>
          <w:sz w:val="22"/>
          <w:szCs w:val="22"/>
          <w:lang w:val="sr-Latn-ME"/>
        </w:rPr>
        <w:t xml:space="preserve"> (n=102), kod njih 84% je ovo stanje bez radiološke progresije održano i nakon 144 </w:t>
      </w:r>
      <w:r w:rsidR="000B016F" w:rsidRPr="00AD3B49">
        <w:rPr>
          <w:sz w:val="22"/>
          <w:szCs w:val="22"/>
          <w:lang w:val="sr-Latn-ME"/>
        </w:rPr>
        <w:t>nedjelje</w:t>
      </w:r>
      <w:r w:rsidRPr="00AD3B49">
        <w:rPr>
          <w:sz w:val="22"/>
          <w:szCs w:val="22"/>
          <w:lang w:val="sr-Latn-ME"/>
        </w:rPr>
        <w:t xml:space="preserve"> liječenja.</w:t>
      </w:r>
    </w:p>
    <w:p w:rsidR="00D74125" w:rsidRPr="00AD3B49" w:rsidRDefault="00D74125" w:rsidP="00D74125">
      <w:pPr>
        <w:autoSpaceDE w:val="0"/>
        <w:autoSpaceDN w:val="0"/>
        <w:adjustRightInd w:val="0"/>
        <w:jc w:val="both"/>
        <w:rPr>
          <w:sz w:val="22"/>
          <w:szCs w:val="22"/>
          <w:lang w:val="sr-Latn-ME"/>
        </w:rPr>
      </w:pPr>
    </w:p>
    <w:p w:rsidR="00D74125" w:rsidRPr="00AD3B49" w:rsidRDefault="002C157C" w:rsidP="00D74125">
      <w:pPr>
        <w:autoSpaceDE w:val="0"/>
        <w:autoSpaceDN w:val="0"/>
        <w:adjustRightInd w:val="0"/>
        <w:jc w:val="both"/>
        <w:rPr>
          <w:sz w:val="22"/>
          <w:szCs w:val="22"/>
          <w:lang w:val="sr-Latn-ME"/>
        </w:rPr>
      </w:pPr>
      <w:r w:rsidRPr="00AD3B49">
        <w:rPr>
          <w:sz w:val="22"/>
          <w:szCs w:val="22"/>
          <w:lang w:val="sr-Latn-ME"/>
        </w:rPr>
        <w:t>Kod</w:t>
      </w:r>
      <w:r w:rsidR="00D74125" w:rsidRPr="00AD3B49">
        <w:rPr>
          <w:sz w:val="22"/>
          <w:szCs w:val="22"/>
          <w:lang w:val="sr-Latn-ME"/>
        </w:rPr>
        <w:t xml:space="preserve"> pacijen</w:t>
      </w:r>
      <w:r w:rsidR="008A691D" w:rsidRPr="00AD3B49">
        <w:rPr>
          <w:sz w:val="22"/>
          <w:szCs w:val="22"/>
          <w:lang w:val="sr-Latn-ME"/>
        </w:rPr>
        <w:t>a</w:t>
      </w:r>
      <w:r w:rsidR="00D74125" w:rsidRPr="00AD3B49">
        <w:rPr>
          <w:sz w:val="22"/>
          <w:szCs w:val="22"/>
          <w:lang w:val="sr-Latn-ME"/>
        </w:rPr>
        <w:t xml:space="preserve">ta liječenih </w:t>
      </w:r>
      <w:r w:rsidR="00884C20" w:rsidRPr="00AD3B49">
        <w:rPr>
          <w:sz w:val="22"/>
          <w:szCs w:val="22"/>
          <w:lang w:val="sr-Latn-ME"/>
        </w:rPr>
        <w:t xml:space="preserve">lijekom </w:t>
      </w:r>
      <w:r w:rsidR="00D74125" w:rsidRPr="00AD3B49">
        <w:rPr>
          <w:sz w:val="22"/>
          <w:szCs w:val="22"/>
          <w:lang w:val="sr-Latn-ME"/>
        </w:rPr>
        <w:t>Humir</w:t>
      </w:r>
      <w:r w:rsidR="00884C20" w:rsidRPr="00AD3B49">
        <w:rPr>
          <w:sz w:val="22"/>
          <w:szCs w:val="22"/>
          <w:lang w:val="sr-Latn-ME"/>
        </w:rPr>
        <w:t>a</w:t>
      </w:r>
      <w:r w:rsidR="00D74125" w:rsidRPr="00AD3B49">
        <w:rPr>
          <w:sz w:val="22"/>
          <w:szCs w:val="22"/>
          <w:lang w:val="sr-Latn-ME"/>
        </w:rPr>
        <w:t xml:space="preserve"> zabilježeno je statistički značajno poboljšanje funkcionalne sposobnosti prema procjeni koja je izvršena na osnovu HAQ-a i Kratke zdravstvene ankete (SF 36) u poređenju sa pacijenti</w:t>
      </w:r>
      <w:r w:rsidR="00E7771F" w:rsidRPr="00AD3B49">
        <w:rPr>
          <w:sz w:val="22"/>
          <w:szCs w:val="22"/>
          <w:lang w:val="sr-Latn-ME"/>
        </w:rPr>
        <w:t>ma koji su dobij</w:t>
      </w:r>
      <w:r w:rsidR="00D74125" w:rsidRPr="00AD3B49">
        <w:rPr>
          <w:sz w:val="22"/>
          <w:szCs w:val="22"/>
          <w:lang w:val="sr-Latn-ME"/>
        </w:rPr>
        <w:t xml:space="preserve">ali placebo tokom 24 </w:t>
      </w:r>
      <w:r w:rsidR="000B016F" w:rsidRPr="00AD3B49">
        <w:rPr>
          <w:sz w:val="22"/>
          <w:szCs w:val="22"/>
          <w:lang w:val="sr-Latn-ME"/>
        </w:rPr>
        <w:t>nedjelje</w:t>
      </w:r>
      <w:r w:rsidR="00D74125" w:rsidRPr="00AD3B49">
        <w:rPr>
          <w:sz w:val="22"/>
          <w:szCs w:val="22"/>
          <w:lang w:val="sr-Latn-ME"/>
        </w:rPr>
        <w:t xml:space="preserve">. Poboljšana funkcionalna sposobnost održana je do 136. </w:t>
      </w:r>
      <w:r w:rsidR="000B016F" w:rsidRPr="00AD3B49">
        <w:rPr>
          <w:sz w:val="22"/>
          <w:szCs w:val="22"/>
          <w:lang w:val="sr-Latn-ME"/>
        </w:rPr>
        <w:t>nedjelje</w:t>
      </w:r>
      <w:r w:rsidR="00D74125" w:rsidRPr="00AD3B49">
        <w:rPr>
          <w:sz w:val="22"/>
          <w:szCs w:val="22"/>
          <w:lang w:val="sr-Latn-ME"/>
        </w:rPr>
        <w:t xml:space="preserve"> tokom produženog otvorenog ispitivanja. </w:t>
      </w:r>
    </w:p>
    <w:p w:rsidR="00D74125" w:rsidRPr="00AD3B49" w:rsidRDefault="00D74125" w:rsidP="00D74125">
      <w:pPr>
        <w:autoSpaceDE w:val="0"/>
        <w:autoSpaceDN w:val="0"/>
        <w:adjustRightInd w:val="0"/>
        <w:jc w:val="both"/>
        <w:rPr>
          <w:sz w:val="22"/>
          <w:szCs w:val="22"/>
          <w:lang w:val="sr-Latn-ME"/>
        </w:rPr>
      </w:pPr>
    </w:p>
    <w:p w:rsidR="00D74125" w:rsidRPr="00AD3B49" w:rsidRDefault="00D74125" w:rsidP="00D74125">
      <w:pPr>
        <w:autoSpaceDE w:val="0"/>
        <w:autoSpaceDN w:val="0"/>
        <w:adjustRightInd w:val="0"/>
        <w:jc w:val="both"/>
        <w:rPr>
          <w:i/>
          <w:sz w:val="22"/>
          <w:szCs w:val="22"/>
          <w:u w:val="single"/>
          <w:lang w:val="sr-Latn-ME"/>
        </w:rPr>
      </w:pPr>
      <w:r w:rsidRPr="00AD3B49">
        <w:rPr>
          <w:i/>
          <w:sz w:val="22"/>
          <w:szCs w:val="22"/>
          <w:u w:val="single"/>
          <w:lang w:val="sr-Latn-ME"/>
        </w:rPr>
        <w:t xml:space="preserve">Psorijaza </w:t>
      </w:r>
    </w:p>
    <w:p w:rsidR="00D74125" w:rsidRPr="00AD3B49" w:rsidRDefault="00665B53" w:rsidP="00D74125">
      <w:pPr>
        <w:autoSpaceDE w:val="0"/>
        <w:autoSpaceDN w:val="0"/>
        <w:adjustRightInd w:val="0"/>
        <w:jc w:val="both"/>
        <w:rPr>
          <w:sz w:val="22"/>
          <w:szCs w:val="22"/>
          <w:lang w:val="sr-Latn-ME"/>
        </w:rPr>
      </w:pPr>
      <w:r w:rsidRPr="00AD3B49">
        <w:rPr>
          <w:sz w:val="22"/>
          <w:szCs w:val="22"/>
          <w:lang w:val="sr-Latn-ME"/>
        </w:rPr>
        <w:t xml:space="preserve">Bezbjednost </w:t>
      </w:r>
      <w:r w:rsidR="00E7771F" w:rsidRPr="00AD3B49">
        <w:rPr>
          <w:sz w:val="22"/>
          <w:szCs w:val="22"/>
          <w:lang w:val="sr-Latn-ME"/>
        </w:rPr>
        <w:t>i efikasnost</w:t>
      </w:r>
      <w:r w:rsidR="00D74125" w:rsidRPr="00AD3B49">
        <w:rPr>
          <w:sz w:val="22"/>
          <w:szCs w:val="22"/>
          <w:lang w:val="sr-Latn-ME"/>
        </w:rPr>
        <w:t xml:space="preserve"> </w:t>
      </w:r>
      <w:r w:rsidRPr="00AD3B49">
        <w:rPr>
          <w:sz w:val="22"/>
          <w:szCs w:val="22"/>
          <w:lang w:val="sr-Latn-ME"/>
        </w:rPr>
        <w:t xml:space="preserve">primjene </w:t>
      </w:r>
      <w:r w:rsidR="0082613A" w:rsidRPr="00AD3B49">
        <w:rPr>
          <w:sz w:val="22"/>
          <w:szCs w:val="22"/>
          <w:lang w:val="sr-Latn-ME"/>
        </w:rPr>
        <w:t xml:space="preserve">lijeka </w:t>
      </w:r>
      <w:r w:rsidR="00D74125" w:rsidRPr="00AD3B49">
        <w:rPr>
          <w:sz w:val="22"/>
          <w:szCs w:val="22"/>
          <w:lang w:val="sr-Latn-ME"/>
        </w:rPr>
        <w:t>Humir</w:t>
      </w:r>
      <w:r w:rsidR="0082613A" w:rsidRPr="00AD3B49">
        <w:rPr>
          <w:sz w:val="22"/>
          <w:szCs w:val="22"/>
          <w:lang w:val="sr-Latn-ME"/>
        </w:rPr>
        <w:t>a</w:t>
      </w:r>
      <w:r w:rsidR="00D74125" w:rsidRPr="00AD3B49">
        <w:rPr>
          <w:sz w:val="22"/>
          <w:szCs w:val="22"/>
          <w:lang w:val="sr-Latn-ME"/>
        </w:rPr>
        <w:t xml:space="preserve"> ispitivana je </w:t>
      </w:r>
      <w:r w:rsidR="00DD5431" w:rsidRPr="00AD3B49">
        <w:rPr>
          <w:sz w:val="22"/>
          <w:szCs w:val="22"/>
          <w:lang w:val="sr-Latn-ME"/>
        </w:rPr>
        <w:t>kod</w:t>
      </w:r>
      <w:r w:rsidR="00D74125" w:rsidRPr="00AD3B49">
        <w:rPr>
          <w:sz w:val="22"/>
          <w:szCs w:val="22"/>
          <w:lang w:val="sr-Latn-ME"/>
        </w:rPr>
        <w:t xml:space="preserve"> odraslih pacijenta s hroničnom plak psorijazom (zahvaćeno ≥10% tjelesne površine (BSA) i Indeks zahvaćene površine i težine psorijaze (PASI) ≥ 12 ili ≥ 10) koji su bili kandidati za sistemsku terapiju ili fototerapiju u randomiz</w:t>
      </w:r>
      <w:r w:rsidR="003B16E4" w:rsidRPr="00AD3B49">
        <w:rPr>
          <w:sz w:val="22"/>
          <w:szCs w:val="22"/>
          <w:lang w:val="sr-Latn-ME"/>
        </w:rPr>
        <w:t>ovanim</w:t>
      </w:r>
      <w:r w:rsidR="00D74125" w:rsidRPr="00AD3B49">
        <w:rPr>
          <w:sz w:val="22"/>
          <w:szCs w:val="22"/>
          <w:lang w:val="sr-Latn-ME"/>
        </w:rPr>
        <w:t xml:space="preserve">, dvostruko slijepim ispitivanjima. 73% pacijenta s psorijazom koji su obuhvaćeni ispitivanjima I i II prethodno je primalo sistemsku terapiju ili fototerapiju. </w:t>
      </w:r>
    </w:p>
    <w:p w:rsidR="00D74125" w:rsidRPr="00AD3B49" w:rsidRDefault="00D74125" w:rsidP="00D74125">
      <w:pPr>
        <w:autoSpaceDE w:val="0"/>
        <w:autoSpaceDN w:val="0"/>
        <w:adjustRightInd w:val="0"/>
        <w:jc w:val="both"/>
        <w:rPr>
          <w:sz w:val="22"/>
          <w:szCs w:val="22"/>
          <w:lang w:val="sr-Latn-ME"/>
        </w:rPr>
      </w:pPr>
    </w:p>
    <w:p w:rsidR="00D74125" w:rsidRPr="00AD3B49" w:rsidRDefault="00D74125" w:rsidP="00D74125">
      <w:pPr>
        <w:autoSpaceDE w:val="0"/>
        <w:autoSpaceDN w:val="0"/>
        <w:adjustRightInd w:val="0"/>
        <w:jc w:val="both"/>
        <w:rPr>
          <w:sz w:val="22"/>
          <w:szCs w:val="22"/>
          <w:lang w:val="sr-Latn-ME"/>
        </w:rPr>
      </w:pPr>
      <w:r w:rsidRPr="00AD3B49">
        <w:rPr>
          <w:sz w:val="22"/>
          <w:szCs w:val="22"/>
          <w:lang w:val="sr-Latn-ME"/>
        </w:rPr>
        <w:t>Ispitivanjem I pacijen</w:t>
      </w:r>
      <w:r w:rsidR="00C830DF" w:rsidRPr="00AD3B49">
        <w:rPr>
          <w:sz w:val="22"/>
          <w:szCs w:val="22"/>
          <w:lang w:val="sr-Latn-ME"/>
        </w:rPr>
        <w:t>a</w:t>
      </w:r>
      <w:r w:rsidRPr="00AD3B49">
        <w:rPr>
          <w:sz w:val="22"/>
          <w:szCs w:val="22"/>
          <w:lang w:val="sr-Latn-ME"/>
        </w:rPr>
        <w:t>ta s psorijazom (REVEAL) ocijenjeno je 1.212 pacijenta u okviru tri razdoblja liječenja. U razdoblju A, pacijenti</w:t>
      </w:r>
      <w:r w:rsidR="00DD5431" w:rsidRPr="00AD3B49">
        <w:rPr>
          <w:sz w:val="22"/>
          <w:szCs w:val="22"/>
          <w:lang w:val="sr-Latn-ME"/>
        </w:rPr>
        <w:t xml:space="preserve"> su dobij</w:t>
      </w:r>
      <w:r w:rsidRPr="00AD3B49">
        <w:rPr>
          <w:sz w:val="22"/>
          <w:szCs w:val="22"/>
          <w:lang w:val="sr-Latn-ME"/>
        </w:rPr>
        <w:t xml:space="preserve">ali placebo, odnosno </w:t>
      </w:r>
      <w:r w:rsidR="00884C20" w:rsidRPr="00AD3B49">
        <w:rPr>
          <w:sz w:val="22"/>
          <w:szCs w:val="22"/>
          <w:lang w:val="sr-Latn-ME"/>
        </w:rPr>
        <w:t xml:space="preserve">lijek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u početnoj dozi od 80 mg, a zatim u dozi od 40 mg svake druge </w:t>
      </w:r>
      <w:r w:rsidR="000B016F" w:rsidRPr="00AD3B49">
        <w:rPr>
          <w:sz w:val="22"/>
          <w:szCs w:val="22"/>
          <w:lang w:val="sr-Latn-ME"/>
        </w:rPr>
        <w:t>nedjelje</w:t>
      </w:r>
      <w:r w:rsidRPr="00AD3B49">
        <w:rPr>
          <w:sz w:val="22"/>
          <w:szCs w:val="22"/>
          <w:lang w:val="sr-Latn-ME"/>
        </w:rPr>
        <w:t xml:space="preserve">, po okončanju jedne </w:t>
      </w:r>
      <w:r w:rsidR="000B016F" w:rsidRPr="00AD3B49">
        <w:rPr>
          <w:sz w:val="22"/>
          <w:szCs w:val="22"/>
          <w:lang w:val="sr-Latn-ME"/>
        </w:rPr>
        <w:t>nedjelje</w:t>
      </w:r>
      <w:r w:rsidRPr="00AD3B49">
        <w:rPr>
          <w:sz w:val="22"/>
          <w:szCs w:val="22"/>
          <w:lang w:val="sr-Latn-ME"/>
        </w:rPr>
        <w:t xml:space="preserve"> nakon početne doze. Nakon 16 </w:t>
      </w:r>
      <w:r w:rsidR="000B016F" w:rsidRPr="00AD3B49">
        <w:rPr>
          <w:sz w:val="22"/>
          <w:szCs w:val="22"/>
          <w:lang w:val="sr-Latn-ME"/>
        </w:rPr>
        <w:t>nedjelja</w:t>
      </w:r>
      <w:r w:rsidRPr="00AD3B49">
        <w:rPr>
          <w:sz w:val="22"/>
          <w:szCs w:val="22"/>
          <w:lang w:val="sr-Latn-ME"/>
        </w:rPr>
        <w:t xml:space="preserve"> liječenja, pacijenti kod kojih je postignut najmanje PASI 75 odgovor (poboljšanje PASI indeksa od najmanje 75% u odnosu na početno stanje), ušli su u razdoblje B i primali </w:t>
      </w:r>
      <w:r w:rsidR="00884C20" w:rsidRPr="00AD3B49">
        <w:rPr>
          <w:sz w:val="22"/>
          <w:szCs w:val="22"/>
          <w:lang w:val="sr-Latn-ME"/>
        </w:rPr>
        <w:t xml:space="preserve">lijek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u dozi od 40 mg svake druge </w:t>
      </w:r>
      <w:r w:rsidR="000B016F" w:rsidRPr="00AD3B49">
        <w:rPr>
          <w:sz w:val="22"/>
          <w:szCs w:val="22"/>
          <w:lang w:val="sr-Latn-ME"/>
        </w:rPr>
        <w:t>nedjelje</w:t>
      </w:r>
      <w:r w:rsidRPr="00AD3B49">
        <w:rPr>
          <w:sz w:val="22"/>
          <w:szCs w:val="22"/>
          <w:lang w:val="sr-Latn-ME"/>
        </w:rPr>
        <w:t xml:space="preserve"> u okviru otvorenog ispitivanja. Pacijenti kod koji je do 33. </w:t>
      </w:r>
      <w:r w:rsidR="000B016F" w:rsidRPr="00AD3B49">
        <w:rPr>
          <w:sz w:val="22"/>
          <w:szCs w:val="22"/>
          <w:lang w:val="sr-Latn-ME"/>
        </w:rPr>
        <w:t>nedjelje</w:t>
      </w:r>
      <w:r w:rsidRPr="00AD3B49">
        <w:rPr>
          <w:sz w:val="22"/>
          <w:szCs w:val="22"/>
          <w:lang w:val="sr-Latn-ME"/>
        </w:rPr>
        <w:t xml:space="preserve"> održan veći ili jednak PASI 75 odgovor, a koji su prvobitno bili randomiz</w:t>
      </w:r>
      <w:r w:rsidR="002C157C" w:rsidRPr="00AD3B49">
        <w:rPr>
          <w:sz w:val="22"/>
          <w:szCs w:val="22"/>
          <w:lang w:val="sr-Latn-ME"/>
        </w:rPr>
        <w:t>ovani</w:t>
      </w:r>
      <w:r w:rsidRPr="00AD3B49">
        <w:rPr>
          <w:sz w:val="22"/>
          <w:szCs w:val="22"/>
          <w:lang w:val="sr-Latn-ME"/>
        </w:rPr>
        <w:t xml:space="preserve"> na terapiju aktivnim lijekom u razdoblju A, ponovno su randomiz</w:t>
      </w:r>
      <w:r w:rsidR="002C157C" w:rsidRPr="00AD3B49">
        <w:rPr>
          <w:sz w:val="22"/>
          <w:szCs w:val="22"/>
          <w:lang w:val="sr-Latn-ME"/>
        </w:rPr>
        <w:t>ovani</w:t>
      </w:r>
      <w:r w:rsidRPr="00AD3B49">
        <w:rPr>
          <w:sz w:val="22"/>
          <w:szCs w:val="22"/>
          <w:lang w:val="sr-Latn-ME"/>
        </w:rPr>
        <w:t xml:space="preserve"> u razdoblju C, tako da su tokom dodatnih 19 </w:t>
      </w:r>
      <w:r w:rsidR="000B016F" w:rsidRPr="00AD3B49">
        <w:rPr>
          <w:sz w:val="22"/>
          <w:szCs w:val="22"/>
          <w:lang w:val="sr-Latn-ME"/>
        </w:rPr>
        <w:t>nedjelja</w:t>
      </w:r>
      <w:r w:rsidRPr="00AD3B49">
        <w:rPr>
          <w:sz w:val="22"/>
          <w:szCs w:val="22"/>
          <w:lang w:val="sr-Latn-ME"/>
        </w:rPr>
        <w:t xml:space="preserve"> primali ili </w:t>
      </w:r>
      <w:r w:rsidR="00884C20" w:rsidRPr="00AD3B49">
        <w:rPr>
          <w:sz w:val="22"/>
          <w:szCs w:val="22"/>
          <w:lang w:val="sr-Latn-ME"/>
        </w:rPr>
        <w:t xml:space="preserve">lijek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u dozi od 40 mg svake druge </w:t>
      </w:r>
      <w:r w:rsidR="000B016F" w:rsidRPr="00AD3B49">
        <w:rPr>
          <w:sz w:val="22"/>
          <w:szCs w:val="22"/>
          <w:lang w:val="sr-Latn-ME"/>
        </w:rPr>
        <w:t>nedjelje</w:t>
      </w:r>
      <w:r w:rsidRPr="00AD3B49">
        <w:rPr>
          <w:sz w:val="22"/>
          <w:szCs w:val="22"/>
          <w:lang w:val="sr-Latn-ME"/>
        </w:rPr>
        <w:t xml:space="preserve"> ili placebo. U svim terapijskim grupama, srednji početni PASI zbir bio je 18,9 dok se rezultat prema ljestvici </w:t>
      </w:r>
      <w:r w:rsidR="00DD5431" w:rsidRPr="00AD3B49">
        <w:rPr>
          <w:sz w:val="22"/>
          <w:szCs w:val="22"/>
          <w:lang w:val="sr-Latn-ME"/>
        </w:rPr>
        <w:t>Opšte</w:t>
      </w:r>
      <w:r w:rsidRPr="00AD3B49">
        <w:rPr>
          <w:sz w:val="22"/>
          <w:szCs w:val="22"/>
          <w:lang w:val="sr-Latn-ME"/>
        </w:rPr>
        <w:t xml:space="preserve"> procjene ljekara (PGA) kretao od „umjerenog“ (53% od uključenih pacijenta) preko “teškog” (41%) do “veoma teškog” (6%).</w:t>
      </w:r>
    </w:p>
    <w:p w:rsidR="00D74125" w:rsidRPr="00AD3B49" w:rsidRDefault="00D74125" w:rsidP="00D74125">
      <w:pPr>
        <w:autoSpaceDE w:val="0"/>
        <w:autoSpaceDN w:val="0"/>
        <w:adjustRightInd w:val="0"/>
        <w:jc w:val="both"/>
        <w:rPr>
          <w:sz w:val="22"/>
          <w:szCs w:val="22"/>
          <w:lang w:val="sr-Latn-ME"/>
        </w:rPr>
      </w:pPr>
    </w:p>
    <w:p w:rsidR="00D74125" w:rsidRPr="00AD3B49" w:rsidRDefault="00D74125" w:rsidP="00D74125">
      <w:pPr>
        <w:autoSpaceDE w:val="0"/>
        <w:autoSpaceDN w:val="0"/>
        <w:adjustRightInd w:val="0"/>
        <w:jc w:val="both"/>
        <w:rPr>
          <w:sz w:val="22"/>
          <w:szCs w:val="22"/>
          <w:lang w:val="sr-Latn-ME"/>
        </w:rPr>
      </w:pPr>
      <w:r w:rsidRPr="00AD3B49">
        <w:rPr>
          <w:sz w:val="22"/>
          <w:szCs w:val="22"/>
          <w:lang w:val="sr-Latn-ME"/>
        </w:rPr>
        <w:t>Ispitivanjem II pacijen</w:t>
      </w:r>
      <w:r w:rsidR="00C830DF" w:rsidRPr="00AD3B49">
        <w:rPr>
          <w:sz w:val="22"/>
          <w:szCs w:val="22"/>
          <w:lang w:val="sr-Latn-ME"/>
        </w:rPr>
        <w:t>a</w:t>
      </w:r>
      <w:r w:rsidRPr="00AD3B49">
        <w:rPr>
          <w:sz w:val="22"/>
          <w:szCs w:val="22"/>
          <w:lang w:val="sr-Latn-ME"/>
        </w:rPr>
        <w:t xml:space="preserve">ta s psorijazom (CHAMPION) poređena je </w:t>
      </w:r>
      <w:r w:rsidR="00DD5431" w:rsidRPr="00AD3B49">
        <w:rPr>
          <w:sz w:val="22"/>
          <w:szCs w:val="22"/>
          <w:lang w:val="sr-Latn-ME"/>
        </w:rPr>
        <w:t>efikasnost</w:t>
      </w:r>
      <w:r w:rsidRPr="00AD3B49">
        <w:rPr>
          <w:sz w:val="22"/>
          <w:szCs w:val="22"/>
          <w:lang w:val="sr-Latn-ME"/>
        </w:rPr>
        <w:t xml:space="preserve"> i </w:t>
      </w:r>
      <w:r w:rsidR="00C830DF" w:rsidRPr="00AD3B49">
        <w:rPr>
          <w:sz w:val="22"/>
          <w:szCs w:val="22"/>
          <w:lang w:val="sr-Latn-ME"/>
        </w:rPr>
        <w:t xml:space="preserve">bezbjednost </w:t>
      </w:r>
      <w:r w:rsidRPr="00AD3B49">
        <w:rPr>
          <w:sz w:val="22"/>
          <w:szCs w:val="22"/>
          <w:lang w:val="sr-Latn-ME"/>
        </w:rPr>
        <w:t xml:space="preserve">primjene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u odnosu na metotreksat i placebo </w:t>
      </w:r>
      <w:r w:rsidR="003B260B" w:rsidRPr="00AD3B49">
        <w:rPr>
          <w:sz w:val="22"/>
          <w:szCs w:val="22"/>
          <w:lang w:val="sr-Latn-ME"/>
        </w:rPr>
        <w:t>kod</w:t>
      </w:r>
      <w:r w:rsidRPr="00AD3B49">
        <w:rPr>
          <w:sz w:val="22"/>
          <w:szCs w:val="22"/>
          <w:lang w:val="sr-Latn-ME"/>
        </w:rPr>
        <w:t xml:space="preserve"> 271 pacijen</w:t>
      </w:r>
      <w:r w:rsidR="008A691D" w:rsidRPr="00AD3B49">
        <w:rPr>
          <w:sz w:val="22"/>
          <w:szCs w:val="22"/>
          <w:lang w:val="sr-Latn-ME"/>
        </w:rPr>
        <w:t>a</w:t>
      </w:r>
      <w:r w:rsidRPr="00AD3B49">
        <w:rPr>
          <w:sz w:val="22"/>
          <w:szCs w:val="22"/>
          <w:lang w:val="sr-Latn-ME"/>
        </w:rPr>
        <w:t>ta. Pacijenti</w:t>
      </w:r>
      <w:r w:rsidR="00DD5431" w:rsidRPr="00AD3B49">
        <w:rPr>
          <w:sz w:val="22"/>
          <w:szCs w:val="22"/>
          <w:lang w:val="sr-Latn-ME"/>
        </w:rPr>
        <w:t xml:space="preserve"> su dobij</w:t>
      </w:r>
      <w:r w:rsidRPr="00AD3B49">
        <w:rPr>
          <w:sz w:val="22"/>
          <w:szCs w:val="22"/>
          <w:lang w:val="sr-Latn-ME"/>
        </w:rPr>
        <w:t xml:space="preserve">ali placebo, MTX u početnoj dozi od 7,5 mg, nakon čega se doza povećavala sve do 12. </w:t>
      </w:r>
      <w:r w:rsidR="000B016F" w:rsidRPr="00AD3B49">
        <w:rPr>
          <w:sz w:val="22"/>
          <w:szCs w:val="22"/>
          <w:lang w:val="sr-Latn-ME"/>
        </w:rPr>
        <w:t>nedjelje</w:t>
      </w:r>
      <w:r w:rsidRPr="00AD3B49">
        <w:rPr>
          <w:sz w:val="22"/>
          <w:szCs w:val="22"/>
          <w:lang w:val="sr-Latn-ME"/>
        </w:rPr>
        <w:t xml:space="preserve">, do maksimalne doze od 25 mg, odnosno primali su </w:t>
      </w:r>
      <w:r w:rsidR="00884C20" w:rsidRPr="00AD3B49">
        <w:rPr>
          <w:sz w:val="22"/>
          <w:szCs w:val="22"/>
          <w:lang w:val="sr-Latn-ME"/>
        </w:rPr>
        <w:t xml:space="preserve">lijek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u početnoj dozi od 80 mg, a zatim 40 mg svake druge </w:t>
      </w:r>
      <w:r w:rsidR="000B016F" w:rsidRPr="00AD3B49">
        <w:rPr>
          <w:sz w:val="22"/>
          <w:szCs w:val="22"/>
          <w:lang w:val="sr-Latn-ME"/>
        </w:rPr>
        <w:t>nedjelje</w:t>
      </w:r>
      <w:r w:rsidRPr="00AD3B49">
        <w:rPr>
          <w:sz w:val="22"/>
          <w:szCs w:val="22"/>
          <w:lang w:val="sr-Latn-ME"/>
        </w:rPr>
        <w:t xml:space="preserve"> (po okončanju jedne </w:t>
      </w:r>
      <w:r w:rsidR="000B016F" w:rsidRPr="00AD3B49">
        <w:rPr>
          <w:sz w:val="22"/>
          <w:szCs w:val="22"/>
          <w:lang w:val="sr-Latn-ME"/>
        </w:rPr>
        <w:t>nedjelje</w:t>
      </w:r>
      <w:r w:rsidRPr="00AD3B49">
        <w:rPr>
          <w:sz w:val="22"/>
          <w:szCs w:val="22"/>
          <w:lang w:val="sr-Latn-ME"/>
        </w:rPr>
        <w:t xml:space="preserve"> nakon početne doze) tokom 16 </w:t>
      </w:r>
      <w:r w:rsidR="000B016F" w:rsidRPr="00AD3B49">
        <w:rPr>
          <w:sz w:val="22"/>
          <w:szCs w:val="22"/>
          <w:lang w:val="sr-Latn-ME"/>
        </w:rPr>
        <w:t>nedjelja</w:t>
      </w:r>
      <w:r w:rsidRPr="00AD3B49">
        <w:rPr>
          <w:sz w:val="22"/>
          <w:szCs w:val="22"/>
          <w:lang w:val="sr-Latn-ME"/>
        </w:rPr>
        <w:t xml:space="preserve">. Ne postoje podaci o </w:t>
      </w:r>
      <w:r w:rsidRPr="00AD3B49">
        <w:rPr>
          <w:sz w:val="22"/>
          <w:szCs w:val="22"/>
          <w:lang w:val="sr-Latn-ME"/>
        </w:rPr>
        <w:lastRenderedPageBreak/>
        <w:t xml:space="preserve">poređenju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i MTX-a za razdoblje nakon 16 </w:t>
      </w:r>
      <w:r w:rsidR="000B016F" w:rsidRPr="00AD3B49">
        <w:rPr>
          <w:sz w:val="22"/>
          <w:szCs w:val="22"/>
          <w:lang w:val="sr-Latn-ME"/>
        </w:rPr>
        <w:t>nedjelja</w:t>
      </w:r>
      <w:r w:rsidRPr="00AD3B49">
        <w:rPr>
          <w:sz w:val="22"/>
          <w:szCs w:val="22"/>
          <w:lang w:val="sr-Latn-ME"/>
        </w:rPr>
        <w:t xml:space="preserve"> liječenja. Kod pacijenta koji su primali MTX i kod kojih je ostvaren veći ili jednak PASI 50 odgovor u 8, odnosno 12. </w:t>
      </w:r>
      <w:r w:rsidR="000B016F" w:rsidRPr="00AD3B49">
        <w:rPr>
          <w:sz w:val="22"/>
          <w:szCs w:val="22"/>
          <w:lang w:val="sr-Latn-ME"/>
        </w:rPr>
        <w:t>nedjelji</w:t>
      </w:r>
      <w:r w:rsidRPr="00AD3B49">
        <w:rPr>
          <w:sz w:val="22"/>
          <w:szCs w:val="22"/>
          <w:lang w:val="sr-Latn-ME"/>
        </w:rPr>
        <w:t xml:space="preserve">, doza se naknadno nije povećavala. U svim terapijskim grupama, srednji početni PASI zbir je bio 19,7, dok se početni PGA rezultat kretao od “blagog” (&lt;1%), preko “umjerenog” (48%) i “teškog” (46%) </w:t>
      </w:r>
      <w:r w:rsidR="00C830DF" w:rsidRPr="00AD3B49">
        <w:rPr>
          <w:sz w:val="22"/>
          <w:szCs w:val="22"/>
          <w:lang w:val="sr-Latn-ME"/>
        </w:rPr>
        <w:t>d</w:t>
      </w:r>
      <w:r w:rsidRPr="00AD3B49">
        <w:rPr>
          <w:sz w:val="22"/>
          <w:szCs w:val="22"/>
          <w:lang w:val="sr-Latn-ME"/>
        </w:rPr>
        <w:t>o “veoma teškog” (6%).</w:t>
      </w:r>
    </w:p>
    <w:p w:rsidR="00D74125" w:rsidRPr="00AD3B49" w:rsidRDefault="00D74125" w:rsidP="00D74125">
      <w:pPr>
        <w:autoSpaceDE w:val="0"/>
        <w:autoSpaceDN w:val="0"/>
        <w:adjustRightInd w:val="0"/>
        <w:jc w:val="both"/>
        <w:rPr>
          <w:sz w:val="22"/>
          <w:szCs w:val="22"/>
          <w:lang w:val="sr-Latn-ME"/>
        </w:rPr>
      </w:pPr>
    </w:p>
    <w:p w:rsidR="00D74125" w:rsidRPr="00AD3B49" w:rsidRDefault="00D74125" w:rsidP="00D74125">
      <w:pPr>
        <w:autoSpaceDE w:val="0"/>
        <w:autoSpaceDN w:val="0"/>
        <w:adjustRightInd w:val="0"/>
        <w:jc w:val="both"/>
        <w:rPr>
          <w:sz w:val="22"/>
          <w:szCs w:val="22"/>
          <w:lang w:val="sr-Latn-ME"/>
        </w:rPr>
      </w:pPr>
      <w:r w:rsidRPr="00AD3B49">
        <w:rPr>
          <w:sz w:val="22"/>
          <w:szCs w:val="22"/>
          <w:lang w:val="sr-Latn-ME"/>
        </w:rPr>
        <w:t>Pacijenti koji su učestvovali u svim ispitivanjima psorijaze faze 2 i faze 3 kvalifi</w:t>
      </w:r>
      <w:r w:rsidR="00DD5431" w:rsidRPr="00AD3B49">
        <w:rPr>
          <w:sz w:val="22"/>
          <w:szCs w:val="22"/>
          <w:lang w:val="sr-Latn-ME"/>
        </w:rPr>
        <w:t>kovali</w:t>
      </w:r>
      <w:r w:rsidRPr="00AD3B49">
        <w:rPr>
          <w:sz w:val="22"/>
          <w:szCs w:val="22"/>
          <w:lang w:val="sr-Latn-ME"/>
        </w:rPr>
        <w:t xml:space="preserve"> su se za uključivanje u produženo otvoreno ispitivanje, u okviru kojeg su primali</w:t>
      </w:r>
      <w:r w:rsidR="00884C20" w:rsidRPr="00AD3B49">
        <w:rPr>
          <w:sz w:val="22"/>
          <w:szCs w:val="22"/>
          <w:lang w:val="sr-Latn-ME"/>
        </w:rPr>
        <w:t xml:space="preserve"> lijek</w:t>
      </w:r>
      <w:r w:rsidRPr="00AD3B49">
        <w:rPr>
          <w:sz w:val="22"/>
          <w:szCs w:val="22"/>
          <w:lang w:val="sr-Latn-ME"/>
        </w:rPr>
        <w:t xml:space="preserve"> Humir</w:t>
      </w:r>
      <w:r w:rsidR="00884C20" w:rsidRPr="00AD3B49">
        <w:rPr>
          <w:sz w:val="22"/>
          <w:szCs w:val="22"/>
          <w:lang w:val="sr-Latn-ME"/>
        </w:rPr>
        <w:t>a</w:t>
      </w:r>
      <w:r w:rsidRPr="00AD3B49">
        <w:rPr>
          <w:sz w:val="22"/>
          <w:szCs w:val="22"/>
          <w:lang w:val="sr-Latn-ME"/>
        </w:rPr>
        <w:t xml:space="preserve"> još najmanje 108 </w:t>
      </w:r>
      <w:r w:rsidR="000B016F" w:rsidRPr="00AD3B49">
        <w:rPr>
          <w:sz w:val="22"/>
          <w:szCs w:val="22"/>
          <w:lang w:val="sr-Latn-ME"/>
        </w:rPr>
        <w:t>nedjelja</w:t>
      </w:r>
      <w:r w:rsidRPr="00AD3B49">
        <w:rPr>
          <w:sz w:val="22"/>
          <w:szCs w:val="22"/>
          <w:lang w:val="sr-Latn-ME"/>
        </w:rPr>
        <w:t xml:space="preserve">. </w:t>
      </w:r>
    </w:p>
    <w:p w:rsidR="00D74125" w:rsidRPr="00AD3B49" w:rsidRDefault="00D74125" w:rsidP="00D74125">
      <w:pPr>
        <w:autoSpaceDE w:val="0"/>
        <w:autoSpaceDN w:val="0"/>
        <w:adjustRightInd w:val="0"/>
        <w:rPr>
          <w:sz w:val="22"/>
          <w:szCs w:val="22"/>
          <w:lang w:val="sr-Latn-ME"/>
        </w:rPr>
      </w:pPr>
    </w:p>
    <w:p w:rsidR="00D74125" w:rsidRPr="00AD3B49" w:rsidRDefault="00D74125" w:rsidP="00D74125">
      <w:pPr>
        <w:autoSpaceDE w:val="0"/>
        <w:autoSpaceDN w:val="0"/>
        <w:adjustRightInd w:val="0"/>
        <w:rPr>
          <w:sz w:val="22"/>
          <w:szCs w:val="22"/>
          <w:lang w:val="sr-Latn-ME"/>
        </w:rPr>
      </w:pPr>
      <w:r w:rsidRPr="00AD3B49">
        <w:rPr>
          <w:sz w:val="22"/>
          <w:szCs w:val="22"/>
          <w:lang w:val="sr-Latn-ME"/>
        </w:rPr>
        <w:t>U ispitivanjima I i II pacijen</w:t>
      </w:r>
      <w:r w:rsidR="00C830DF" w:rsidRPr="00AD3B49">
        <w:rPr>
          <w:sz w:val="22"/>
          <w:szCs w:val="22"/>
          <w:lang w:val="sr-Latn-ME"/>
        </w:rPr>
        <w:t>a</w:t>
      </w:r>
      <w:r w:rsidRPr="00AD3B49">
        <w:rPr>
          <w:sz w:val="22"/>
          <w:szCs w:val="22"/>
          <w:lang w:val="sr-Latn-ME"/>
        </w:rPr>
        <w:t xml:space="preserve">ta s psorijazom, primarna krajnja tačka je bio </w:t>
      </w:r>
      <w:r w:rsidR="003B260B" w:rsidRPr="00AD3B49">
        <w:rPr>
          <w:sz w:val="22"/>
          <w:szCs w:val="22"/>
          <w:lang w:val="sr-Latn-ME"/>
        </w:rPr>
        <w:t>odnos</w:t>
      </w:r>
      <w:r w:rsidRPr="00AD3B49">
        <w:rPr>
          <w:sz w:val="22"/>
          <w:szCs w:val="22"/>
          <w:lang w:val="sr-Latn-ME"/>
        </w:rPr>
        <w:t xml:space="preserve"> pacijen</w:t>
      </w:r>
      <w:r w:rsidR="003B260B" w:rsidRPr="00AD3B49">
        <w:rPr>
          <w:sz w:val="22"/>
          <w:szCs w:val="22"/>
          <w:lang w:val="sr-Latn-ME"/>
        </w:rPr>
        <w:t>a</w:t>
      </w:r>
      <w:r w:rsidRPr="00AD3B49">
        <w:rPr>
          <w:sz w:val="22"/>
          <w:szCs w:val="22"/>
          <w:lang w:val="sr-Latn-ME"/>
        </w:rPr>
        <w:t xml:space="preserve">ta kod kojih je postignut PASI 75 odgovor u 16. </w:t>
      </w:r>
      <w:r w:rsidR="000B016F" w:rsidRPr="00AD3B49">
        <w:rPr>
          <w:sz w:val="22"/>
          <w:szCs w:val="22"/>
          <w:lang w:val="sr-Latn-ME"/>
        </w:rPr>
        <w:t>nedjelji</w:t>
      </w:r>
      <w:r w:rsidRPr="00AD3B49">
        <w:rPr>
          <w:sz w:val="22"/>
          <w:szCs w:val="22"/>
          <w:lang w:val="sr-Latn-ME"/>
        </w:rPr>
        <w:t xml:space="preserve"> u odnosu na početno stanje (vidjeti Tabelu 12 i Tabelu 13). </w:t>
      </w:r>
    </w:p>
    <w:p w:rsidR="00D74125" w:rsidRPr="00AD3B49" w:rsidRDefault="00D74125" w:rsidP="00D74125">
      <w:pPr>
        <w:autoSpaceDE w:val="0"/>
        <w:autoSpaceDN w:val="0"/>
        <w:adjustRightInd w:val="0"/>
        <w:jc w:val="center"/>
        <w:rPr>
          <w:b/>
          <w:sz w:val="22"/>
          <w:szCs w:val="22"/>
          <w:lang w:val="sr-Latn-ME"/>
        </w:rPr>
      </w:pPr>
      <w:r w:rsidRPr="00AD3B49">
        <w:rPr>
          <w:b/>
          <w:sz w:val="22"/>
          <w:szCs w:val="22"/>
          <w:lang w:val="sr-Latn-ME"/>
        </w:rPr>
        <w:t>Tabela 12</w:t>
      </w:r>
    </w:p>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 xml:space="preserve">Ps studija I (REVEAL) – Rezultati </w:t>
      </w:r>
      <w:r w:rsidR="003B260B" w:rsidRPr="00AD3B49">
        <w:rPr>
          <w:b/>
          <w:sz w:val="22"/>
          <w:szCs w:val="22"/>
          <w:lang w:val="sr-Latn-ME"/>
        </w:rPr>
        <w:t>efikasnosti</w:t>
      </w:r>
      <w:r w:rsidRPr="00AD3B49">
        <w:rPr>
          <w:b/>
          <w:sz w:val="22"/>
          <w:szCs w:val="22"/>
          <w:lang w:val="sr-Latn-ME"/>
        </w:rPr>
        <w:t xml:space="preserve"> nakon 16 </w:t>
      </w:r>
      <w:r w:rsidR="000B016F" w:rsidRPr="00AD3B49">
        <w:rPr>
          <w:b/>
          <w:sz w:val="22"/>
          <w:szCs w:val="22"/>
          <w:lang w:val="sr-Latn-ME"/>
        </w:rPr>
        <w:t>nedjelja</w:t>
      </w:r>
      <w:r w:rsidRPr="00AD3B49">
        <w:rPr>
          <w:b/>
          <w:sz w:val="22"/>
          <w:szCs w:val="22"/>
          <w:lang w:val="sr-Latn-ME"/>
        </w:rPr>
        <w:t xml:space="preserve"> </w:t>
      </w:r>
    </w:p>
    <w:p w:rsidR="00C830DF" w:rsidRPr="00AD3B49" w:rsidRDefault="00C830DF" w:rsidP="00DD5431">
      <w:pPr>
        <w:autoSpaceDE w:val="0"/>
        <w:autoSpaceDN w:val="0"/>
        <w:adjustRightInd w:val="0"/>
        <w:jc w:val="center"/>
        <w:rPr>
          <w:b/>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3093"/>
        <w:gridCol w:w="3094"/>
      </w:tblGrid>
      <w:tr w:rsidR="00D74125" w:rsidRPr="00AD3B49" w:rsidTr="00DD5431">
        <w:tc>
          <w:tcPr>
            <w:tcW w:w="3093" w:type="dxa"/>
            <w:shd w:val="clear" w:color="auto" w:fill="auto"/>
          </w:tcPr>
          <w:p w:rsidR="00D74125" w:rsidRPr="00AD3B49" w:rsidRDefault="00D74125" w:rsidP="00DD5431">
            <w:pPr>
              <w:autoSpaceDE w:val="0"/>
              <w:autoSpaceDN w:val="0"/>
              <w:adjustRightInd w:val="0"/>
              <w:rPr>
                <w:b/>
                <w:sz w:val="22"/>
                <w:szCs w:val="22"/>
                <w:lang w:val="sr-Latn-ME"/>
              </w:rPr>
            </w:pPr>
          </w:p>
        </w:tc>
        <w:tc>
          <w:tcPr>
            <w:tcW w:w="3093" w:type="dxa"/>
            <w:shd w:val="clear" w:color="auto" w:fill="auto"/>
          </w:tcPr>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Placebo</w:t>
            </w:r>
          </w:p>
          <w:p w:rsidR="00C830DF" w:rsidRPr="00AD3B49" w:rsidRDefault="00C830DF" w:rsidP="00DD5431">
            <w:pPr>
              <w:autoSpaceDE w:val="0"/>
              <w:autoSpaceDN w:val="0"/>
              <w:adjustRightInd w:val="0"/>
              <w:jc w:val="center"/>
              <w:rPr>
                <w:b/>
                <w:sz w:val="22"/>
                <w:szCs w:val="22"/>
                <w:lang w:val="sr-Latn-ME"/>
              </w:rPr>
            </w:pPr>
          </w:p>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N=398</w:t>
            </w:r>
          </w:p>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n (%)</w:t>
            </w:r>
          </w:p>
        </w:tc>
        <w:tc>
          <w:tcPr>
            <w:tcW w:w="3094" w:type="dxa"/>
            <w:shd w:val="clear" w:color="auto" w:fill="auto"/>
          </w:tcPr>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Humira</w:t>
            </w:r>
            <w:r w:rsidR="00C830DF" w:rsidRPr="00AD3B49">
              <w:rPr>
                <w:b/>
                <w:sz w:val="22"/>
                <w:szCs w:val="22"/>
                <w:lang w:val="sr-Latn-ME"/>
              </w:rPr>
              <w:t xml:space="preserve"> 40</w:t>
            </w:r>
            <w:r w:rsidR="006E72AF" w:rsidRPr="00AD3B49">
              <w:rPr>
                <w:b/>
                <w:sz w:val="22"/>
                <w:szCs w:val="22"/>
                <w:lang w:val="sr-Latn-ME"/>
              </w:rPr>
              <w:t xml:space="preserve"> </w:t>
            </w:r>
            <w:r w:rsidR="00C830DF" w:rsidRPr="00AD3B49">
              <w:rPr>
                <w:b/>
                <w:sz w:val="22"/>
                <w:szCs w:val="22"/>
                <w:lang w:val="sr-Latn-ME"/>
              </w:rPr>
              <w:t>mg svake druge nedjelje</w:t>
            </w:r>
          </w:p>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N=814</w:t>
            </w:r>
          </w:p>
          <w:p w:rsidR="00D74125" w:rsidRPr="00AD3B49" w:rsidRDefault="00D74125" w:rsidP="00DD5431">
            <w:pPr>
              <w:autoSpaceDE w:val="0"/>
              <w:autoSpaceDN w:val="0"/>
              <w:adjustRightInd w:val="0"/>
              <w:jc w:val="center"/>
              <w:rPr>
                <w:b/>
                <w:sz w:val="22"/>
                <w:szCs w:val="22"/>
                <w:lang w:val="sr-Latn-ME"/>
              </w:rPr>
            </w:pPr>
            <w:r w:rsidRPr="00AD3B49">
              <w:rPr>
                <w:b/>
                <w:sz w:val="22"/>
                <w:szCs w:val="22"/>
                <w:lang w:val="sr-Latn-ME"/>
              </w:rPr>
              <w:t>n (%)</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b/>
                <w:sz w:val="22"/>
                <w:szCs w:val="22"/>
                <w:lang w:val="sr-Latn-ME"/>
              </w:rPr>
            </w:pPr>
            <w:r w:rsidRPr="00AD3B49">
              <w:rPr>
                <w:b/>
                <w:sz w:val="22"/>
                <w:szCs w:val="22"/>
                <w:lang w:val="sr-Latn-ME"/>
              </w:rPr>
              <w:t>≥PASI 75</w:t>
            </w:r>
            <w:r w:rsidRPr="00AD3B49">
              <w:rPr>
                <w:b/>
                <w:sz w:val="22"/>
                <w:szCs w:val="22"/>
                <w:vertAlign w:val="superscript"/>
                <w:lang w:val="sr-Latn-ME"/>
              </w:rPr>
              <w:t>a</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26 (6,5)</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578 (70,9)</w:t>
            </w:r>
            <w:r w:rsidRPr="00AD3B49">
              <w:rPr>
                <w:sz w:val="22"/>
                <w:szCs w:val="22"/>
                <w:vertAlign w:val="superscript"/>
                <w:lang w:val="sr-Latn-ME"/>
              </w:rPr>
              <w:t>b</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b/>
                <w:sz w:val="22"/>
                <w:szCs w:val="22"/>
                <w:lang w:val="sr-Latn-ME"/>
              </w:rPr>
            </w:pPr>
            <w:r w:rsidRPr="00AD3B49">
              <w:rPr>
                <w:b/>
                <w:sz w:val="22"/>
                <w:szCs w:val="22"/>
                <w:lang w:val="sr-Latn-ME"/>
              </w:rPr>
              <w:t xml:space="preserve">PASI 100 </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 xml:space="preserve">3 (0,8) </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163 (20,0)</w:t>
            </w:r>
            <w:r w:rsidRPr="00AD3B49">
              <w:rPr>
                <w:sz w:val="22"/>
                <w:szCs w:val="22"/>
                <w:vertAlign w:val="superscript"/>
                <w:lang w:val="sr-Latn-ME"/>
              </w:rPr>
              <w:t>b</w:t>
            </w:r>
          </w:p>
        </w:tc>
      </w:tr>
      <w:tr w:rsidR="00D74125" w:rsidRPr="00AD3B49" w:rsidTr="00DD5431">
        <w:tc>
          <w:tcPr>
            <w:tcW w:w="3093" w:type="dxa"/>
            <w:shd w:val="clear" w:color="auto" w:fill="auto"/>
          </w:tcPr>
          <w:p w:rsidR="00D74125" w:rsidRPr="00AD3B49" w:rsidRDefault="00D74125" w:rsidP="00DD5431">
            <w:pPr>
              <w:autoSpaceDE w:val="0"/>
              <w:autoSpaceDN w:val="0"/>
              <w:adjustRightInd w:val="0"/>
              <w:rPr>
                <w:b/>
                <w:sz w:val="22"/>
                <w:szCs w:val="22"/>
                <w:lang w:val="sr-Latn-ME"/>
              </w:rPr>
            </w:pPr>
            <w:r w:rsidRPr="00AD3B49">
              <w:rPr>
                <w:b/>
                <w:sz w:val="22"/>
                <w:szCs w:val="22"/>
                <w:lang w:val="sr-Latn-ME"/>
              </w:rPr>
              <w:t xml:space="preserve">PGA: uredan/minimalan </w:t>
            </w:r>
          </w:p>
        </w:tc>
        <w:tc>
          <w:tcPr>
            <w:tcW w:w="3093"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 xml:space="preserve">17 (4,3) </w:t>
            </w:r>
          </w:p>
        </w:tc>
        <w:tc>
          <w:tcPr>
            <w:tcW w:w="3094" w:type="dxa"/>
            <w:shd w:val="clear" w:color="auto" w:fill="auto"/>
          </w:tcPr>
          <w:p w:rsidR="00D74125" w:rsidRPr="00AD3B49" w:rsidRDefault="00D74125" w:rsidP="00DD5431">
            <w:pPr>
              <w:autoSpaceDE w:val="0"/>
              <w:autoSpaceDN w:val="0"/>
              <w:adjustRightInd w:val="0"/>
              <w:jc w:val="center"/>
              <w:rPr>
                <w:sz w:val="22"/>
                <w:szCs w:val="22"/>
                <w:lang w:val="sr-Latn-ME"/>
              </w:rPr>
            </w:pPr>
            <w:r w:rsidRPr="00AD3B49">
              <w:rPr>
                <w:sz w:val="22"/>
                <w:szCs w:val="22"/>
                <w:lang w:val="sr-Latn-ME"/>
              </w:rPr>
              <w:t>506 (62,2)</w:t>
            </w:r>
            <w:r w:rsidRPr="00AD3B49">
              <w:rPr>
                <w:sz w:val="22"/>
                <w:szCs w:val="22"/>
                <w:vertAlign w:val="superscript"/>
                <w:lang w:val="sr-Latn-ME"/>
              </w:rPr>
              <w:t>b</w:t>
            </w:r>
          </w:p>
        </w:tc>
      </w:tr>
      <w:tr w:rsidR="00D74125" w:rsidRPr="00AD3B49" w:rsidTr="00DD5431">
        <w:trPr>
          <w:trHeight w:val="504"/>
        </w:trPr>
        <w:tc>
          <w:tcPr>
            <w:tcW w:w="9280" w:type="dxa"/>
            <w:gridSpan w:val="3"/>
            <w:shd w:val="clear" w:color="auto" w:fill="auto"/>
          </w:tcPr>
          <w:p w:rsidR="00D74125" w:rsidRPr="00373282" w:rsidRDefault="00D74125" w:rsidP="00DD5431">
            <w:pPr>
              <w:autoSpaceDE w:val="0"/>
              <w:autoSpaceDN w:val="0"/>
              <w:adjustRightInd w:val="0"/>
              <w:rPr>
                <w:sz w:val="20"/>
                <w:szCs w:val="20"/>
                <w:lang w:val="sr-Latn-ME"/>
              </w:rPr>
            </w:pPr>
            <w:r w:rsidRPr="00373282">
              <w:rPr>
                <w:sz w:val="20"/>
                <w:szCs w:val="20"/>
                <w:vertAlign w:val="superscript"/>
                <w:lang w:val="sr-Latn-ME"/>
              </w:rPr>
              <w:t xml:space="preserve">a </w:t>
            </w:r>
            <w:r w:rsidRPr="00373282">
              <w:rPr>
                <w:sz w:val="20"/>
                <w:szCs w:val="20"/>
                <w:lang w:val="sr-Latn-ME"/>
              </w:rPr>
              <w:t xml:space="preserve">procenat pacijenta kod kojih je postignut odgovor PASI 75 izračunat je </w:t>
            </w:r>
            <w:r w:rsidR="00D102BE" w:rsidRPr="00373282">
              <w:rPr>
                <w:sz w:val="20"/>
                <w:szCs w:val="20"/>
                <w:lang w:val="sr-Latn-ME"/>
              </w:rPr>
              <w:t xml:space="preserve">kao </w:t>
            </w:r>
            <w:r w:rsidRPr="00373282">
              <w:rPr>
                <w:sz w:val="20"/>
                <w:szCs w:val="20"/>
                <w:lang w:val="sr-Latn-ME"/>
              </w:rPr>
              <w:t xml:space="preserve">stopa prilagođena istraživačkom centru </w:t>
            </w:r>
          </w:p>
          <w:p w:rsidR="00D74125" w:rsidRPr="00373282" w:rsidRDefault="00D74125" w:rsidP="00DD5431">
            <w:pPr>
              <w:autoSpaceDE w:val="0"/>
              <w:autoSpaceDN w:val="0"/>
              <w:adjustRightInd w:val="0"/>
              <w:rPr>
                <w:sz w:val="20"/>
                <w:szCs w:val="20"/>
                <w:lang w:val="sr-Latn-ME"/>
              </w:rPr>
            </w:pPr>
            <w:r w:rsidRPr="00373282">
              <w:rPr>
                <w:sz w:val="20"/>
                <w:szCs w:val="20"/>
                <w:vertAlign w:val="superscript"/>
                <w:lang w:val="sr-Latn-ME"/>
              </w:rPr>
              <w:t xml:space="preserve">b </w:t>
            </w:r>
            <w:r w:rsidRPr="00373282">
              <w:rPr>
                <w:sz w:val="20"/>
                <w:szCs w:val="20"/>
                <w:lang w:val="sr-Latn-ME"/>
              </w:rPr>
              <w:t xml:space="preserve">p&lt;0,001, Humira u odnosu na placebo </w:t>
            </w:r>
          </w:p>
        </w:tc>
      </w:tr>
    </w:tbl>
    <w:p w:rsidR="00D102BE" w:rsidRDefault="00D102BE" w:rsidP="00D5052A">
      <w:pPr>
        <w:autoSpaceDE w:val="0"/>
        <w:autoSpaceDN w:val="0"/>
        <w:adjustRightInd w:val="0"/>
        <w:jc w:val="center"/>
        <w:rPr>
          <w:b/>
          <w:sz w:val="22"/>
          <w:szCs w:val="22"/>
          <w:lang w:val="sr-Latn-ME"/>
        </w:rPr>
      </w:pPr>
    </w:p>
    <w:p w:rsidR="00373282" w:rsidRDefault="00373282" w:rsidP="00D5052A">
      <w:pPr>
        <w:autoSpaceDE w:val="0"/>
        <w:autoSpaceDN w:val="0"/>
        <w:adjustRightInd w:val="0"/>
        <w:jc w:val="center"/>
        <w:rPr>
          <w:b/>
          <w:sz w:val="22"/>
          <w:szCs w:val="22"/>
          <w:lang w:val="sr-Latn-ME"/>
        </w:rPr>
      </w:pPr>
    </w:p>
    <w:p w:rsidR="00637D9A" w:rsidRPr="00AD3B49" w:rsidRDefault="00637D9A" w:rsidP="00D5052A">
      <w:pPr>
        <w:autoSpaceDE w:val="0"/>
        <w:autoSpaceDN w:val="0"/>
        <w:adjustRightInd w:val="0"/>
        <w:jc w:val="center"/>
        <w:rPr>
          <w:b/>
          <w:sz w:val="22"/>
          <w:szCs w:val="22"/>
          <w:lang w:val="sr-Latn-ME"/>
        </w:rPr>
      </w:pPr>
    </w:p>
    <w:p w:rsidR="00D5052A" w:rsidRPr="00AD3B49" w:rsidRDefault="00D5052A" w:rsidP="00D5052A">
      <w:pPr>
        <w:autoSpaceDE w:val="0"/>
        <w:autoSpaceDN w:val="0"/>
        <w:adjustRightInd w:val="0"/>
        <w:jc w:val="center"/>
        <w:rPr>
          <w:b/>
          <w:sz w:val="22"/>
          <w:szCs w:val="22"/>
          <w:lang w:val="sr-Latn-ME"/>
        </w:rPr>
      </w:pPr>
      <w:r w:rsidRPr="00AD3B49">
        <w:rPr>
          <w:b/>
          <w:sz w:val="22"/>
          <w:szCs w:val="22"/>
          <w:lang w:val="sr-Latn-ME"/>
        </w:rPr>
        <w:t>Tabela 13</w:t>
      </w:r>
    </w:p>
    <w:p w:rsidR="00D5052A" w:rsidRPr="00AD3B49" w:rsidRDefault="00D5052A" w:rsidP="00D5052A">
      <w:pPr>
        <w:autoSpaceDE w:val="0"/>
        <w:autoSpaceDN w:val="0"/>
        <w:adjustRightInd w:val="0"/>
        <w:jc w:val="center"/>
        <w:rPr>
          <w:b/>
          <w:sz w:val="22"/>
          <w:szCs w:val="22"/>
          <w:lang w:val="sr-Latn-ME"/>
        </w:rPr>
      </w:pPr>
      <w:r w:rsidRPr="00AD3B49">
        <w:rPr>
          <w:b/>
          <w:sz w:val="22"/>
          <w:szCs w:val="22"/>
          <w:lang w:val="sr-Latn-ME"/>
        </w:rPr>
        <w:t xml:space="preserve">Ps studija II (CHAMPION) Rezultati </w:t>
      </w:r>
      <w:r w:rsidR="003B260B" w:rsidRPr="00AD3B49">
        <w:rPr>
          <w:b/>
          <w:sz w:val="22"/>
          <w:szCs w:val="22"/>
          <w:lang w:val="sr-Latn-ME"/>
        </w:rPr>
        <w:t>efikasnosti</w:t>
      </w:r>
      <w:r w:rsidRPr="00AD3B49">
        <w:rPr>
          <w:b/>
          <w:sz w:val="22"/>
          <w:szCs w:val="22"/>
          <w:lang w:val="sr-Latn-ME"/>
        </w:rPr>
        <w:t xml:space="preserve"> nakon 16 </w:t>
      </w:r>
      <w:r w:rsidR="000B016F" w:rsidRPr="00AD3B49">
        <w:rPr>
          <w:b/>
          <w:sz w:val="22"/>
          <w:szCs w:val="22"/>
          <w:lang w:val="sr-Latn-ME"/>
        </w:rPr>
        <w:t>nedjelja</w:t>
      </w:r>
    </w:p>
    <w:p w:rsidR="00D5052A" w:rsidRPr="00AD3B49" w:rsidRDefault="00D5052A" w:rsidP="00D5052A">
      <w:pPr>
        <w:autoSpaceDE w:val="0"/>
        <w:autoSpaceDN w:val="0"/>
        <w:adjustRightInd w:val="0"/>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D5052A" w:rsidRPr="00AD3B49" w:rsidTr="00C86F3F">
        <w:tc>
          <w:tcPr>
            <w:tcW w:w="2320" w:type="dxa"/>
            <w:shd w:val="clear" w:color="auto" w:fill="auto"/>
          </w:tcPr>
          <w:p w:rsidR="00D5052A" w:rsidRPr="00AD3B49" w:rsidRDefault="00D5052A" w:rsidP="00C86F3F">
            <w:pPr>
              <w:autoSpaceDE w:val="0"/>
              <w:autoSpaceDN w:val="0"/>
              <w:adjustRightInd w:val="0"/>
              <w:jc w:val="center"/>
              <w:rPr>
                <w:sz w:val="22"/>
                <w:szCs w:val="22"/>
                <w:lang w:val="sr-Latn-ME"/>
              </w:rPr>
            </w:pPr>
          </w:p>
        </w:tc>
        <w:tc>
          <w:tcPr>
            <w:tcW w:w="2320" w:type="dxa"/>
            <w:shd w:val="clear" w:color="auto" w:fill="auto"/>
          </w:tcPr>
          <w:p w:rsidR="00D5052A" w:rsidRPr="00AD3B49" w:rsidRDefault="00D5052A" w:rsidP="00C86F3F">
            <w:pPr>
              <w:autoSpaceDE w:val="0"/>
              <w:autoSpaceDN w:val="0"/>
              <w:adjustRightInd w:val="0"/>
              <w:jc w:val="center"/>
              <w:rPr>
                <w:b/>
                <w:sz w:val="22"/>
                <w:szCs w:val="22"/>
                <w:lang w:val="sr-Latn-ME"/>
              </w:rPr>
            </w:pPr>
            <w:r w:rsidRPr="00AD3B49">
              <w:rPr>
                <w:b/>
                <w:sz w:val="22"/>
                <w:szCs w:val="22"/>
                <w:lang w:val="sr-Latn-ME"/>
              </w:rPr>
              <w:t>Placebo</w:t>
            </w:r>
          </w:p>
          <w:p w:rsidR="006E72AF" w:rsidRPr="00AD3B49" w:rsidRDefault="006E72AF" w:rsidP="00C86F3F">
            <w:pPr>
              <w:autoSpaceDE w:val="0"/>
              <w:autoSpaceDN w:val="0"/>
              <w:adjustRightInd w:val="0"/>
              <w:jc w:val="center"/>
              <w:rPr>
                <w:b/>
                <w:sz w:val="22"/>
                <w:szCs w:val="22"/>
                <w:lang w:val="sr-Latn-ME"/>
              </w:rPr>
            </w:pPr>
          </w:p>
          <w:p w:rsidR="00D5052A" w:rsidRPr="00AD3B49" w:rsidRDefault="00D5052A" w:rsidP="00C86F3F">
            <w:pPr>
              <w:autoSpaceDE w:val="0"/>
              <w:autoSpaceDN w:val="0"/>
              <w:adjustRightInd w:val="0"/>
              <w:jc w:val="center"/>
              <w:rPr>
                <w:b/>
                <w:sz w:val="22"/>
                <w:szCs w:val="22"/>
                <w:lang w:val="sr-Latn-ME"/>
              </w:rPr>
            </w:pPr>
            <w:r w:rsidRPr="00AD3B49">
              <w:rPr>
                <w:b/>
                <w:sz w:val="22"/>
                <w:szCs w:val="22"/>
                <w:lang w:val="sr-Latn-ME"/>
              </w:rPr>
              <w:t>N=53</w:t>
            </w:r>
          </w:p>
          <w:p w:rsidR="00D5052A" w:rsidRPr="00AD3B49" w:rsidRDefault="00D5052A" w:rsidP="00C86F3F">
            <w:pPr>
              <w:autoSpaceDE w:val="0"/>
              <w:autoSpaceDN w:val="0"/>
              <w:adjustRightInd w:val="0"/>
              <w:jc w:val="center"/>
              <w:rPr>
                <w:sz w:val="22"/>
                <w:szCs w:val="22"/>
                <w:lang w:val="sr-Latn-ME"/>
              </w:rPr>
            </w:pPr>
            <w:r w:rsidRPr="00AD3B49">
              <w:rPr>
                <w:b/>
                <w:sz w:val="22"/>
                <w:szCs w:val="22"/>
                <w:lang w:val="sr-Latn-ME"/>
              </w:rPr>
              <w:t>n (%)</w:t>
            </w:r>
          </w:p>
        </w:tc>
        <w:tc>
          <w:tcPr>
            <w:tcW w:w="2320" w:type="dxa"/>
            <w:shd w:val="clear" w:color="auto" w:fill="auto"/>
          </w:tcPr>
          <w:p w:rsidR="00D5052A" w:rsidRPr="00AD3B49" w:rsidRDefault="00D5052A" w:rsidP="00C86F3F">
            <w:pPr>
              <w:autoSpaceDE w:val="0"/>
              <w:autoSpaceDN w:val="0"/>
              <w:adjustRightInd w:val="0"/>
              <w:jc w:val="center"/>
              <w:rPr>
                <w:b/>
                <w:sz w:val="22"/>
                <w:szCs w:val="22"/>
                <w:lang w:val="sr-Latn-ME"/>
              </w:rPr>
            </w:pPr>
            <w:r w:rsidRPr="00AD3B49">
              <w:rPr>
                <w:b/>
                <w:sz w:val="22"/>
                <w:szCs w:val="22"/>
                <w:lang w:val="sr-Latn-ME"/>
              </w:rPr>
              <w:t>MTX</w:t>
            </w:r>
          </w:p>
          <w:p w:rsidR="006E72AF" w:rsidRPr="00AD3B49" w:rsidRDefault="006E72AF" w:rsidP="00C86F3F">
            <w:pPr>
              <w:autoSpaceDE w:val="0"/>
              <w:autoSpaceDN w:val="0"/>
              <w:adjustRightInd w:val="0"/>
              <w:jc w:val="center"/>
              <w:rPr>
                <w:b/>
                <w:sz w:val="22"/>
                <w:szCs w:val="22"/>
                <w:lang w:val="sr-Latn-ME"/>
              </w:rPr>
            </w:pPr>
          </w:p>
          <w:p w:rsidR="00D5052A" w:rsidRPr="00AD3B49" w:rsidRDefault="00D5052A" w:rsidP="00C86F3F">
            <w:pPr>
              <w:autoSpaceDE w:val="0"/>
              <w:autoSpaceDN w:val="0"/>
              <w:adjustRightInd w:val="0"/>
              <w:jc w:val="center"/>
              <w:rPr>
                <w:b/>
                <w:sz w:val="22"/>
                <w:szCs w:val="22"/>
                <w:lang w:val="sr-Latn-ME"/>
              </w:rPr>
            </w:pPr>
            <w:r w:rsidRPr="00AD3B49">
              <w:rPr>
                <w:b/>
                <w:sz w:val="22"/>
                <w:szCs w:val="22"/>
                <w:lang w:val="sr-Latn-ME"/>
              </w:rPr>
              <w:t>N = 110</w:t>
            </w:r>
          </w:p>
          <w:p w:rsidR="00D5052A" w:rsidRPr="00AD3B49" w:rsidRDefault="00D5052A" w:rsidP="00C86F3F">
            <w:pPr>
              <w:autoSpaceDE w:val="0"/>
              <w:autoSpaceDN w:val="0"/>
              <w:adjustRightInd w:val="0"/>
              <w:jc w:val="center"/>
              <w:rPr>
                <w:sz w:val="22"/>
                <w:szCs w:val="22"/>
                <w:lang w:val="sr-Latn-ME"/>
              </w:rPr>
            </w:pPr>
            <w:r w:rsidRPr="00AD3B49">
              <w:rPr>
                <w:b/>
                <w:sz w:val="22"/>
                <w:szCs w:val="22"/>
                <w:lang w:val="sr-Latn-ME"/>
              </w:rPr>
              <w:t>n (%)</w:t>
            </w:r>
          </w:p>
        </w:tc>
        <w:tc>
          <w:tcPr>
            <w:tcW w:w="2320" w:type="dxa"/>
            <w:shd w:val="clear" w:color="auto" w:fill="auto"/>
          </w:tcPr>
          <w:p w:rsidR="00D5052A" w:rsidRPr="00AD3B49" w:rsidRDefault="00D5052A" w:rsidP="00C86F3F">
            <w:pPr>
              <w:autoSpaceDE w:val="0"/>
              <w:autoSpaceDN w:val="0"/>
              <w:adjustRightInd w:val="0"/>
              <w:jc w:val="center"/>
              <w:rPr>
                <w:b/>
                <w:sz w:val="22"/>
                <w:szCs w:val="22"/>
                <w:lang w:val="sr-Latn-ME"/>
              </w:rPr>
            </w:pPr>
            <w:r w:rsidRPr="00AD3B49">
              <w:rPr>
                <w:b/>
                <w:sz w:val="22"/>
                <w:szCs w:val="22"/>
                <w:lang w:val="sr-Latn-ME"/>
              </w:rPr>
              <w:t>Humira</w:t>
            </w:r>
            <w:r w:rsidR="006E72AF" w:rsidRPr="00AD3B49">
              <w:rPr>
                <w:b/>
                <w:sz w:val="22"/>
                <w:szCs w:val="22"/>
                <w:lang w:val="sr-Latn-ME"/>
              </w:rPr>
              <w:t xml:space="preserve"> 40 mg svake druge nedjelje</w:t>
            </w:r>
          </w:p>
          <w:p w:rsidR="00D5052A" w:rsidRPr="00AD3B49" w:rsidRDefault="00D5052A" w:rsidP="00C86F3F">
            <w:pPr>
              <w:autoSpaceDE w:val="0"/>
              <w:autoSpaceDN w:val="0"/>
              <w:adjustRightInd w:val="0"/>
              <w:jc w:val="center"/>
              <w:rPr>
                <w:b/>
                <w:sz w:val="22"/>
                <w:szCs w:val="22"/>
                <w:lang w:val="sr-Latn-ME"/>
              </w:rPr>
            </w:pPr>
            <w:r w:rsidRPr="00AD3B49">
              <w:rPr>
                <w:b/>
                <w:sz w:val="22"/>
                <w:szCs w:val="22"/>
                <w:lang w:val="sr-Latn-ME"/>
              </w:rPr>
              <w:t>N=108</w:t>
            </w:r>
          </w:p>
          <w:p w:rsidR="00D5052A" w:rsidRPr="00AD3B49" w:rsidRDefault="00D5052A" w:rsidP="00C86F3F">
            <w:pPr>
              <w:autoSpaceDE w:val="0"/>
              <w:autoSpaceDN w:val="0"/>
              <w:adjustRightInd w:val="0"/>
              <w:jc w:val="center"/>
              <w:rPr>
                <w:sz w:val="22"/>
                <w:szCs w:val="22"/>
                <w:lang w:val="sr-Latn-ME"/>
              </w:rPr>
            </w:pPr>
            <w:r w:rsidRPr="00AD3B49">
              <w:rPr>
                <w:b/>
                <w:sz w:val="22"/>
                <w:szCs w:val="22"/>
                <w:lang w:val="sr-Latn-ME"/>
              </w:rPr>
              <w:t>n (%)</w:t>
            </w:r>
          </w:p>
        </w:tc>
      </w:tr>
      <w:tr w:rsidR="00D5052A" w:rsidRPr="00AD3B49" w:rsidTr="00C86F3F">
        <w:tc>
          <w:tcPr>
            <w:tcW w:w="2320" w:type="dxa"/>
            <w:shd w:val="clear" w:color="auto" w:fill="auto"/>
          </w:tcPr>
          <w:p w:rsidR="00D5052A" w:rsidRPr="00AD3B49" w:rsidRDefault="00D5052A" w:rsidP="00C86F3F">
            <w:pPr>
              <w:autoSpaceDE w:val="0"/>
              <w:autoSpaceDN w:val="0"/>
              <w:adjustRightInd w:val="0"/>
              <w:rPr>
                <w:b/>
                <w:sz w:val="22"/>
                <w:szCs w:val="22"/>
                <w:lang w:val="sr-Latn-ME"/>
              </w:rPr>
            </w:pPr>
            <w:r w:rsidRPr="00AD3B49">
              <w:rPr>
                <w:b/>
                <w:sz w:val="22"/>
                <w:szCs w:val="22"/>
                <w:lang w:val="sr-Latn-ME"/>
              </w:rPr>
              <w:t>≥PASI 75</w:t>
            </w:r>
          </w:p>
        </w:tc>
        <w:tc>
          <w:tcPr>
            <w:tcW w:w="2320" w:type="dxa"/>
            <w:shd w:val="clear" w:color="auto" w:fill="auto"/>
          </w:tcPr>
          <w:p w:rsidR="00D5052A" w:rsidRPr="00AD3B49" w:rsidRDefault="00D5052A" w:rsidP="00C86F3F">
            <w:pPr>
              <w:autoSpaceDE w:val="0"/>
              <w:autoSpaceDN w:val="0"/>
              <w:adjustRightInd w:val="0"/>
              <w:jc w:val="center"/>
              <w:rPr>
                <w:sz w:val="22"/>
                <w:szCs w:val="22"/>
                <w:lang w:val="sr-Latn-ME"/>
              </w:rPr>
            </w:pPr>
            <w:r w:rsidRPr="00AD3B49">
              <w:rPr>
                <w:sz w:val="22"/>
                <w:szCs w:val="22"/>
                <w:lang w:val="sr-Latn-ME"/>
              </w:rPr>
              <w:t>10 (18,9)</w:t>
            </w:r>
          </w:p>
        </w:tc>
        <w:tc>
          <w:tcPr>
            <w:tcW w:w="2320" w:type="dxa"/>
            <w:shd w:val="clear" w:color="auto" w:fill="auto"/>
          </w:tcPr>
          <w:p w:rsidR="00D5052A" w:rsidRPr="00AD3B49" w:rsidRDefault="00D5052A" w:rsidP="00C86F3F">
            <w:pPr>
              <w:autoSpaceDE w:val="0"/>
              <w:autoSpaceDN w:val="0"/>
              <w:adjustRightInd w:val="0"/>
              <w:jc w:val="center"/>
              <w:rPr>
                <w:sz w:val="22"/>
                <w:szCs w:val="22"/>
                <w:lang w:val="sr-Latn-ME"/>
              </w:rPr>
            </w:pPr>
            <w:r w:rsidRPr="00AD3B49">
              <w:rPr>
                <w:sz w:val="22"/>
                <w:szCs w:val="22"/>
                <w:lang w:val="sr-Latn-ME"/>
              </w:rPr>
              <w:t>39 (35,5)</w:t>
            </w:r>
          </w:p>
        </w:tc>
        <w:tc>
          <w:tcPr>
            <w:tcW w:w="2320" w:type="dxa"/>
            <w:shd w:val="clear" w:color="auto" w:fill="auto"/>
          </w:tcPr>
          <w:p w:rsidR="00D5052A" w:rsidRPr="00AD3B49" w:rsidRDefault="00D5052A" w:rsidP="00C86F3F">
            <w:pPr>
              <w:autoSpaceDE w:val="0"/>
              <w:autoSpaceDN w:val="0"/>
              <w:adjustRightInd w:val="0"/>
              <w:jc w:val="center"/>
              <w:rPr>
                <w:sz w:val="22"/>
                <w:szCs w:val="22"/>
                <w:lang w:val="sr-Latn-ME"/>
              </w:rPr>
            </w:pPr>
            <w:r w:rsidRPr="00AD3B49">
              <w:rPr>
                <w:sz w:val="22"/>
                <w:szCs w:val="22"/>
                <w:lang w:val="sr-Latn-ME"/>
              </w:rPr>
              <w:t>86 (79,6)</w:t>
            </w:r>
            <w:r w:rsidRPr="00AD3B49">
              <w:rPr>
                <w:sz w:val="22"/>
                <w:szCs w:val="22"/>
                <w:vertAlign w:val="superscript"/>
                <w:lang w:val="sr-Latn-ME"/>
              </w:rPr>
              <w:t xml:space="preserve"> a,b</w:t>
            </w:r>
          </w:p>
        </w:tc>
      </w:tr>
      <w:tr w:rsidR="00D5052A" w:rsidRPr="00AD3B49" w:rsidTr="00C86F3F">
        <w:tc>
          <w:tcPr>
            <w:tcW w:w="2320" w:type="dxa"/>
            <w:shd w:val="clear" w:color="auto" w:fill="auto"/>
          </w:tcPr>
          <w:p w:rsidR="00D5052A" w:rsidRPr="00AD3B49" w:rsidRDefault="00D5052A" w:rsidP="00C86F3F">
            <w:pPr>
              <w:autoSpaceDE w:val="0"/>
              <w:autoSpaceDN w:val="0"/>
              <w:adjustRightInd w:val="0"/>
              <w:rPr>
                <w:b/>
                <w:sz w:val="22"/>
                <w:szCs w:val="22"/>
                <w:lang w:val="sr-Latn-ME"/>
              </w:rPr>
            </w:pPr>
            <w:r w:rsidRPr="00AD3B49">
              <w:rPr>
                <w:b/>
                <w:sz w:val="22"/>
                <w:szCs w:val="22"/>
                <w:lang w:val="sr-Latn-ME"/>
              </w:rPr>
              <w:t xml:space="preserve">PASI 100 </w:t>
            </w:r>
          </w:p>
        </w:tc>
        <w:tc>
          <w:tcPr>
            <w:tcW w:w="2320" w:type="dxa"/>
            <w:shd w:val="clear" w:color="auto" w:fill="auto"/>
          </w:tcPr>
          <w:p w:rsidR="00D5052A" w:rsidRPr="00AD3B49" w:rsidRDefault="00D5052A" w:rsidP="00C86F3F">
            <w:pPr>
              <w:autoSpaceDE w:val="0"/>
              <w:autoSpaceDN w:val="0"/>
              <w:adjustRightInd w:val="0"/>
              <w:jc w:val="center"/>
              <w:rPr>
                <w:sz w:val="22"/>
                <w:szCs w:val="22"/>
                <w:lang w:val="sr-Latn-ME"/>
              </w:rPr>
            </w:pPr>
            <w:r w:rsidRPr="00AD3B49">
              <w:rPr>
                <w:sz w:val="22"/>
                <w:szCs w:val="22"/>
                <w:lang w:val="sr-Latn-ME"/>
              </w:rPr>
              <w:t>1 (1,9)</w:t>
            </w:r>
          </w:p>
        </w:tc>
        <w:tc>
          <w:tcPr>
            <w:tcW w:w="2320" w:type="dxa"/>
            <w:shd w:val="clear" w:color="auto" w:fill="auto"/>
          </w:tcPr>
          <w:p w:rsidR="00D5052A" w:rsidRPr="00AD3B49" w:rsidRDefault="00D5052A" w:rsidP="00C86F3F">
            <w:pPr>
              <w:autoSpaceDE w:val="0"/>
              <w:autoSpaceDN w:val="0"/>
              <w:adjustRightInd w:val="0"/>
              <w:jc w:val="center"/>
              <w:rPr>
                <w:sz w:val="22"/>
                <w:szCs w:val="22"/>
                <w:lang w:val="sr-Latn-ME"/>
              </w:rPr>
            </w:pPr>
            <w:r w:rsidRPr="00AD3B49">
              <w:rPr>
                <w:sz w:val="22"/>
                <w:szCs w:val="22"/>
                <w:lang w:val="sr-Latn-ME"/>
              </w:rPr>
              <w:t>8 (7,3)</w:t>
            </w:r>
          </w:p>
        </w:tc>
        <w:tc>
          <w:tcPr>
            <w:tcW w:w="2320" w:type="dxa"/>
            <w:shd w:val="clear" w:color="auto" w:fill="auto"/>
          </w:tcPr>
          <w:p w:rsidR="00D5052A" w:rsidRPr="00AD3B49" w:rsidRDefault="00D5052A" w:rsidP="00C86F3F">
            <w:pPr>
              <w:autoSpaceDE w:val="0"/>
              <w:autoSpaceDN w:val="0"/>
              <w:adjustRightInd w:val="0"/>
              <w:jc w:val="center"/>
              <w:rPr>
                <w:sz w:val="22"/>
                <w:szCs w:val="22"/>
                <w:lang w:val="sr-Latn-ME"/>
              </w:rPr>
            </w:pPr>
            <w:r w:rsidRPr="00AD3B49">
              <w:rPr>
                <w:sz w:val="22"/>
                <w:szCs w:val="22"/>
                <w:lang w:val="sr-Latn-ME"/>
              </w:rPr>
              <w:t>18 (16,7)</w:t>
            </w:r>
            <w:r w:rsidRPr="00AD3B49">
              <w:rPr>
                <w:sz w:val="22"/>
                <w:szCs w:val="22"/>
                <w:vertAlign w:val="superscript"/>
                <w:lang w:val="sr-Latn-ME"/>
              </w:rPr>
              <w:t xml:space="preserve"> c,d</w:t>
            </w:r>
          </w:p>
        </w:tc>
      </w:tr>
      <w:tr w:rsidR="00D5052A" w:rsidRPr="00AD3B49" w:rsidTr="00C86F3F">
        <w:tc>
          <w:tcPr>
            <w:tcW w:w="2320" w:type="dxa"/>
            <w:shd w:val="clear" w:color="auto" w:fill="auto"/>
          </w:tcPr>
          <w:p w:rsidR="00D5052A" w:rsidRPr="00AD3B49" w:rsidRDefault="00D5052A" w:rsidP="00C86F3F">
            <w:pPr>
              <w:autoSpaceDE w:val="0"/>
              <w:autoSpaceDN w:val="0"/>
              <w:adjustRightInd w:val="0"/>
              <w:rPr>
                <w:b/>
                <w:sz w:val="22"/>
                <w:szCs w:val="22"/>
                <w:lang w:val="sr-Latn-ME"/>
              </w:rPr>
            </w:pPr>
            <w:r w:rsidRPr="00AD3B49">
              <w:rPr>
                <w:b/>
                <w:sz w:val="22"/>
                <w:szCs w:val="22"/>
                <w:lang w:val="sr-Latn-ME"/>
              </w:rPr>
              <w:t xml:space="preserve">PGA: uredan/minimalan </w:t>
            </w:r>
          </w:p>
        </w:tc>
        <w:tc>
          <w:tcPr>
            <w:tcW w:w="2320" w:type="dxa"/>
            <w:shd w:val="clear" w:color="auto" w:fill="auto"/>
          </w:tcPr>
          <w:p w:rsidR="00D5052A" w:rsidRPr="00AD3B49" w:rsidRDefault="00D5052A" w:rsidP="00C86F3F">
            <w:pPr>
              <w:autoSpaceDE w:val="0"/>
              <w:autoSpaceDN w:val="0"/>
              <w:adjustRightInd w:val="0"/>
              <w:jc w:val="center"/>
              <w:rPr>
                <w:sz w:val="22"/>
                <w:szCs w:val="22"/>
                <w:lang w:val="sr-Latn-ME"/>
              </w:rPr>
            </w:pPr>
            <w:r w:rsidRPr="00AD3B49">
              <w:rPr>
                <w:sz w:val="22"/>
                <w:szCs w:val="22"/>
                <w:lang w:val="sr-Latn-ME"/>
              </w:rPr>
              <w:t>6 (11,3)</w:t>
            </w:r>
          </w:p>
        </w:tc>
        <w:tc>
          <w:tcPr>
            <w:tcW w:w="2320" w:type="dxa"/>
            <w:shd w:val="clear" w:color="auto" w:fill="auto"/>
          </w:tcPr>
          <w:p w:rsidR="00D5052A" w:rsidRPr="00AD3B49" w:rsidRDefault="00D5052A" w:rsidP="00C86F3F">
            <w:pPr>
              <w:autoSpaceDE w:val="0"/>
              <w:autoSpaceDN w:val="0"/>
              <w:adjustRightInd w:val="0"/>
              <w:jc w:val="center"/>
              <w:rPr>
                <w:sz w:val="22"/>
                <w:szCs w:val="22"/>
                <w:lang w:val="sr-Latn-ME"/>
              </w:rPr>
            </w:pPr>
            <w:r w:rsidRPr="00AD3B49">
              <w:rPr>
                <w:sz w:val="22"/>
                <w:szCs w:val="22"/>
                <w:lang w:val="sr-Latn-ME"/>
              </w:rPr>
              <w:t>33 (30,0)</w:t>
            </w:r>
          </w:p>
        </w:tc>
        <w:tc>
          <w:tcPr>
            <w:tcW w:w="2320" w:type="dxa"/>
            <w:shd w:val="clear" w:color="auto" w:fill="auto"/>
          </w:tcPr>
          <w:p w:rsidR="00D5052A" w:rsidRPr="00AD3B49" w:rsidRDefault="00D5052A" w:rsidP="00C86F3F">
            <w:pPr>
              <w:autoSpaceDE w:val="0"/>
              <w:autoSpaceDN w:val="0"/>
              <w:adjustRightInd w:val="0"/>
              <w:jc w:val="center"/>
              <w:rPr>
                <w:sz w:val="22"/>
                <w:szCs w:val="22"/>
                <w:lang w:val="sr-Latn-ME"/>
              </w:rPr>
            </w:pPr>
            <w:r w:rsidRPr="00AD3B49">
              <w:rPr>
                <w:sz w:val="22"/>
                <w:szCs w:val="22"/>
                <w:lang w:val="sr-Latn-ME"/>
              </w:rPr>
              <w:t xml:space="preserve">79 (73,1) </w:t>
            </w:r>
            <w:r w:rsidRPr="00AD3B49">
              <w:rPr>
                <w:sz w:val="22"/>
                <w:szCs w:val="22"/>
                <w:vertAlign w:val="superscript"/>
                <w:lang w:val="sr-Latn-ME"/>
              </w:rPr>
              <w:t>a,b</w:t>
            </w:r>
          </w:p>
        </w:tc>
      </w:tr>
      <w:tr w:rsidR="00D5052A" w:rsidRPr="00AD3B49" w:rsidTr="00C86F3F">
        <w:trPr>
          <w:trHeight w:val="848"/>
        </w:trPr>
        <w:tc>
          <w:tcPr>
            <w:tcW w:w="9280" w:type="dxa"/>
            <w:gridSpan w:val="4"/>
            <w:shd w:val="clear" w:color="auto" w:fill="auto"/>
          </w:tcPr>
          <w:p w:rsidR="00D5052A" w:rsidRPr="00373282" w:rsidRDefault="00D5052A" w:rsidP="00C86F3F">
            <w:pPr>
              <w:autoSpaceDE w:val="0"/>
              <w:autoSpaceDN w:val="0"/>
              <w:adjustRightInd w:val="0"/>
              <w:rPr>
                <w:sz w:val="20"/>
                <w:szCs w:val="20"/>
                <w:lang w:val="sr-Latn-ME"/>
              </w:rPr>
            </w:pPr>
            <w:r w:rsidRPr="00373282">
              <w:rPr>
                <w:sz w:val="20"/>
                <w:szCs w:val="20"/>
                <w:vertAlign w:val="superscript"/>
                <w:lang w:val="sr-Latn-ME"/>
              </w:rPr>
              <w:t xml:space="preserve">a </w:t>
            </w:r>
            <w:r w:rsidRPr="00373282">
              <w:rPr>
                <w:sz w:val="20"/>
                <w:szCs w:val="20"/>
                <w:lang w:val="sr-Latn-ME"/>
              </w:rPr>
              <w:t>p&lt;0.001 Humira u odnosu na placebo</w:t>
            </w:r>
          </w:p>
          <w:p w:rsidR="00D5052A" w:rsidRPr="00373282" w:rsidRDefault="00D5052A" w:rsidP="00C86F3F">
            <w:pPr>
              <w:autoSpaceDE w:val="0"/>
              <w:autoSpaceDN w:val="0"/>
              <w:adjustRightInd w:val="0"/>
              <w:rPr>
                <w:sz w:val="20"/>
                <w:szCs w:val="20"/>
                <w:lang w:val="sr-Latn-ME"/>
              </w:rPr>
            </w:pPr>
            <w:r w:rsidRPr="00373282">
              <w:rPr>
                <w:sz w:val="20"/>
                <w:szCs w:val="20"/>
                <w:vertAlign w:val="superscript"/>
                <w:lang w:val="sr-Latn-ME"/>
              </w:rPr>
              <w:t>b</w:t>
            </w:r>
            <w:r w:rsidRPr="00373282">
              <w:rPr>
                <w:sz w:val="20"/>
                <w:szCs w:val="20"/>
                <w:lang w:val="sr-Latn-ME"/>
              </w:rPr>
              <w:t xml:space="preserve"> p&lt;0.001 Humira u odnosu na metotreksat</w:t>
            </w:r>
          </w:p>
          <w:p w:rsidR="00D5052A" w:rsidRPr="00373282" w:rsidRDefault="00D5052A" w:rsidP="00C86F3F">
            <w:pPr>
              <w:autoSpaceDE w:val="0"/>
              <w:autoSpaceDN w:val="0"/>
              <w:adjustRightInd w:val="0"/>
              <w:rPr>
                <w:sz w:val="20"/>
                <w:szCs w:val="20"/>
                <w:lang w:val="sr-Latn-ME"/>
              </w:rPr>
            </w:pPr>
            <w:r w:rsidRPr="00373282">
              <w:rPr>
                <w:sz w:val="20"/>
                <w:szCs w:val="20"/>
                <w:vertAlign w:val="superscript"/>
                <w:lang w:val="sr-Latn-ME"/>
              </w:rPr>
              <w:t xml:space="preserve">c </w:t>
            </w:r>
            <w:r w:rsidRPr="00373282">
              <w:rPr>
                <w:sz w:val="20"/>
                <w:szCs w:val="20"/>
                <w:lang w:val="sr-Latn-ME"/>
              </w:rPr>
              <w:t>p&lt;0.01 Humira u odnosu na placebo</w:t>
            </w:r>
          </w:p>
          <w:p w:rsidR="00D5052A" w:rsidRPr="00373282" w:rsidRDefault="00D5052A" w:rsidP="00C86F3F">
            <w:pPr>
              <w:autoSpaceDE w:val="0"/>
              <w:autoSpaceDN w:val="0"/>
              <w:adjustRightInd w:val="0"/>
              <w:rPr>
                <w:sz w:val="20"/>
                <w:szCs w:val="20"/>
                <w:lang w:val="sr-Latn-ME"/>
              </w:rPr>
            </w:pPr>
            <w:r w:rsidRPr="00373282">
              <w:rPr>
                <w:sz w:val="20"/>
                <w:szCs w:val="20"/>
                <w:vertAlign w:val="superscript"/>
                <w:lang w:val="sr-Latn-ME"/>
              </w:rPr>
              <w:t>d</w:t>
            </w:r>
            <w:r w:rsidRPr="00373282">
              <w:rPr>
                <w:sz w:val="20"/>
                <w:szCs w:val="20"/>
                <w:lang w:val="sr-Latn-ME"/>
              </w:rPr>
              <w:t xml:space="preserve"> p&lt;0.05 Humira u odnosu na metotreksat</w:t>
            </w:r>
          </w:p>
        </w:tc>
      </w:tr>
    </w:tbl>
    <w:p w:rsidR="00D5052A" w:rsidRPr="00AD3B49" w:rsidRDefault="00D5052A" w:rsidP="00D5052A">
      <w:pPr>
        <w:autoSpaceDE w:val="0"/>
        <w:autoSpaceDN w:val="0"/>
        <w:adjustRightInd w:val="0"/>
        <w:jc w:val="both"/>
        <w:rPr>
          <w:sz w:val="22"/>
          <w:szCs w:val="22"/>
          <w:lang w:val="sr-Latn-ME"/>
        </w:rPr>
      </w:pPr>
    </w:p>
    <w:p w:rsidR="00637D9A" w:rsidRDefault="00637D9A" w:rsidP="00D5052A">
      <w:pPr>
        <w:autoSpaceDE w:val="0"/>
        <w:autoSpaceDN w:val="0"/>
        <w:adjustRightInd w:val="0"/>
        <w:jc w:val="both"/>
        <w:rPr>
          <w:sz w:val="22"/>
          <w:szCs w:val="22"/>
          <w:lang w:val="sr-Latn-ME"/>
        </w:rPr>
      </w:pPr>
    </w:p>
    <w:p w:rsidR="00D5052A" w:rsidRPr="00AD3B49" w:rsidRDefault="00D5052A" w:rsidP="00D5052A">
      <w:pPr>
        <w:autoSpaceDE w:val="0"/>
        <w:autoSpaceDN w:val="0"/>
        <w:adjustRightInd w:val="0"/>
        <w:jc w:val="both"/>
        <w:rPr>
          <w:sz w:val="22"/>
          <w:szCs w:val="22"/>
          <w:lang w:val="sr-Latn-ME"/>
        </w:rPr>
      </w:pPr>
      <w:r w:rsidRPr="00AD3B49">
        <w:rPr>
          <w:sz w:val="22"/>
          <w:szCs w:val="22"/>
          <w:lang w:val="sr-Latn-ME"/>
        </w:rPr>
        <w:t xml:space="preserve">U ispitivanju I pacijenata s psorijazom, 28 % pacijenata s PASI 75 odgovorom, koji su nakon 33. </w:t>
      </w:r>
      <w:r w:rsidR="000B016F" w:rsidRPr="00AD3B49">
        <w:rPr>
          <w:sz w:val="22"/>
          <w:szCs w:val="22"/>
          <w:lang w:val="sr-Latn-ME"/>
        </w:rPr>
        <w:t>nedjelje</w:t>
      </w:r>
      <w:r w:rsidRPr="00AD3B49">
        <w:rPr>
          <w:sz w:val="22"/>
          <w:szCs w:val="22"/>
          <w:lang w:val="sr-Latn-ME"/>
        </w:rPr>
        <w:t xml:space="preserve"> pri ponovnoj randomizaciji primali placebo, u poređenju sa 5 % pacijenata koji su nastavili uzimati </w:t>
      </w:r>
      <w:r w:rsidR="00884C20" w:rsidRPr="00AD3B49">
        <w:rPr>
          <w:sz w:val="22"/>
          <w:szCs w:val="22"/>
          <w:lang w:val="sr-Latn-ME"/>
        </w:rPr>
        <w:t xml:space="preserve">lijek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p&lt;0,001, uočen je „gubitak primjerenog odgovora“ (PASI zbir nakon 33. </w:t>
      </w:r>
      <w:r w:rsidR="000B016F" w:rsidRPr="00AD3B49">
        <w:rPr>
          <w:sz w:val="22"/>
          <w:szCs w:val="22"/>
          <w:lang w:val="sr-Latn-ME"/>
        </w:rPr>
        <w:lastRenderedPageBreak/>
        <w:t>nedjelje</w:t>
      </w:r>
      <w:r w:rsidRPr="00AD3B49">
        <w:rPr>
          <w:sz w:val="22"/>
          <w:szCs w:val="22"/>
          <w:lang w:val="sr-Latn-ME"/>
        </w:rPr>
        <w:t xml:space="preserve"> i u ili prije 52. </w:t>
      </w:r>
      <w:r w:rsidR="000B016F" w:rsidRPr="00AD3B49">
        <w:rPr>
          <w:sz w:val="22"/>
          <w:szCs w:val="22"/>
          <w:lang w:val="sr-Latn-ME"/>
        </w:rPr>
        <w:t>nedjelje</w:t>
      </w:r>
      <w:r w:rsidRPr="00AD3B49">
        <w:rPr>
          <w:sz w:val="22"/>
          <w:szCs w:val="22"/>
          <w:lang w:val="sr-Latn-ME"/>
        </w:rPr>
        <w:t xml:space="preserve"> koji je rezultirao s &lt; PASI 50 odgovorom u odnosu na početno stanje, uz porast PASI zbira za najmanje 6 bodova u odnosu na 33. </w:t>
      </w:r>
      <w:r w:rsidR="00C75E09" w:rsidRPr="00AD3B49">
        <w:rPr>
          <w:sz w:val="22"/>
          <w:szCs w:val="22"/>
          <w:lang w:val="sr-Latn-ME"/>
        </w:rPr>
        <w:t>nedjelju</w:t>
      </w:r>
      <w:r w:rsidRPr="00AD3B49">
        <w:rPr>
          <w:sz w:val="22"/>
          <w:szCs w:val="22"/>
          <w:lang w:val="sr-Latn-ME"/>
        </w:rPr>
        <w:t xml:space="preserve">). Među pacijentima kod kojih je nastupio gubitak primjerenog odgovora nakon ponovne randomizacije u grupu koja je primala placebo, a koji su zatim uključeni u otvoreno produženo ispitivanje, PASI 75 odgovor nakon 12 </w:t>
      </w:r>
      <w:r w:rsidR="000B016F" w:rsidRPr="00AD3B49">
        <w:rPr>
          <w:sz w:val="22"/>
          <w:szCs w:val="22"/>
          <w:lang w:val="sr-Latn-ME"/>
        </w:rPr>
        <w:t>nedjelja</w:t>
      </w:r>
      <w:r w:rsidRPr="00AD3B49">
        <w:rPr>
          <w:sz w:val="22"/>
          <w:szCs w:val="22"/>
          <w:lang w:val="sr-Latn-ME"/>
        </w:rPr>
        <w:t xml:space="preserve"> terapije ponovno je postignut kod 38 % (25/66) pacijenata, a nakon 24 </w:t>
      </w:r>
      <w:r w:rsidR="000B016F" w:rsidRPr="00AD3B49">
        <w:rPr>
          <w:sz w:val="22"/>
          <w:szCs w:val="22"/>
          <w:lang w:val="sr-Latn-ME"/>
        </w:rPr>
        <w:t>nedjelje</w:t>
      </w:r>
      <w:r w:rsidRPr="00AD3B49">
        <w:rPr>
          <w:sz w:val="22"/>
          <w:szCs w:val="22"/>
          <w:lang w:val="sr-Latn-ME"/>
        </w:rPr>
        <w:t xml:space="preserve"> terapije kod 55 % (36/66) pacijenata. </w:t>
      </w:r>
    </w:p>
    <w:p w:rsidR="00D5052A" w:rsidRPr="00AD3B49" w:rsidRDefault="00D5052A" w:rsidP="00D5052A">
      <w:pPr>
        <w:autoSpaceDE w:val="0"/>
        <w:autoSpaceDN w:val="0"/>
        <w:adjustRightInd w:val="0"/>
        <w:jc w:val="both"/>
        <w:rPr>
          <w:sz w:val="22"/>
          <w:szCs w:val="22"/>
          <w:lang w:val="sr-Latn-ME"/>
        </w:rPr>
      </w:pPr>
    </w:p>
    <w:p w:rsidR="00D5052A" w:rsidRPr="00AD3B49" w:rsidRDefault="00D5052A" w:rsidP="00D5052A">
      <w:pPr>
        <w:autoSpaceDE w:val="0"/>
        <w:autoSpaceDN w:val="0"/>
        <w:adjustRightInd w:val="0"/>
        <w:jc w:val="both"/>
        <w:rPr>
          <w:sz w:val="22"/>
          <w:szCs w:val="22"/>
          <w:lang w:val="sr-Latn-ME"/>
        </w:rPr>
      </w:pPr>
      <w:r w:rsidRPr="00AD3B49">
        <w:rPr>
          <w:sz w:val="22"/>
          <w:szCs w:val="22"/>
          <w:lang w:val="sr-Latn-ME"/>
        </w:rPr>
        <w:t xml:space="preserve">Ukupno 233 pacijenata, u okviru ispitivanja I pacijenata s psorijazom, kod kojih je u 16. i 33. </w:t>
      </w:r>
      <w:r w:rsidR="000B016F" w:rsidRPr="00AD3B49">
        <w:rPr>
          <w:sz w:val="22"/>
          <w:szCs w:val="22"/>
          <w:lang w:val="sr-Latn-ME"/>
        </w:rPr>
        <w:t>nedjelji</w:t>
      </w:r>
      <w:r w:rsidR="003619C8" w:rsidRPr="00AD3B49">
        <w:rPr>
          <w:sz w:val="22"/>
          <w:szCs w:val="22"/>
          <w:lang w:val="sr-Latn-ME"/>
        </w:rPr>
        <w:t xml:space="preserve"> </w:t>
      </w:r>
      <w:r w:rsidRPr="00AD3B49">
        <w:rPr>
          <w:sz w:val="22"/>
          <w:szCs w:val="22"/>
          <w:lang w:val="sr-Latn-ME"/>
        </w:rPr>
        <w:t xml:space="preserve">ostvaren PASI 75 odgovor primilo je kontinuiranu terapiju </w:t>
      </w:r>
      <w:r w:rsidR="00884C20" w:rsidRPr="00AD3B49">
        <w:rPr>
          <w:sz w:val="22"/>
          <w:szCs w:val="22"/>
          <w:lang w:val="sr-Latn-ME"/>
        </w:rPr>
        <w:t xml:space="preserve">lijekom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tokom 52 </w:t>
      </w:r>
      <w:r w:rsidR="000B016F" w:rsidRPr="00AD3B49">
        <w:rPr>
          <w:sz w:val="22"/>
          <w:szCs w:val="22"/>
          <w:lang w:val="sr-Latn-ME"/>
        </w:rPr>
        <w:t>nedjelje</w:t>
      </w:r>
      <w:r w:rsidRPr="00AD3B49">
        <w:rPr>
          <w:sz w:val="22"/>
          <w:szCs w:val="22"/>
          <w:lang w:val="sr-Latn-ME"/>
        </w:rPr>
        <w:t xml:space="preserve">, te nastavilo primati </w:t>
      </w:r>
      <w:r w:rsidR="00884C20" w:rsidRPr="00AD3B49">
        <w:rPr>
          <w:sz w:val="22"/>
          <w:szCs w:val="22"/>
          <w:lang w:val="sr-Latn-ME"/>
        </w:rPr>
        <w:t xml:space="preserve">lijek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u okviru otvorenog</w:t>
      </w:r>
      <w:r w:rsidRPr="00AD3B49">
        <w:rPr>
          <w:color w:val="00B0F0"/>
          <w:sz w:val="22"/>
          <w:szCs w:val="22"/>
          <w:lang w:val="sr-Latn-ME"/>
        </w:rPr>
        <w:t xml:space="preserve"> </w:t>
      </w:r>
      <w:r w:rsidRPr="00AD3B49">
        <w:rPr>
          <w:sz w:val="22"/>
          <w:szCs w:val="22"/>
          <w:lang w:val="sr-Latn-ME"/>
        </w:rPr>
        <w:t xml:space="preserve">produženog ispitivanja. PASI 75 i PGA odgovori “uredno” i “minimalno” su kod tih pacijenata bili 74,7%, odnosno 59,0% nakon dodatnih 108 </w:t>
      </w:r>
      <w:r w:rsidR="000B016F" w:rsidRPr="00AD3B49">
        <w:rPr>
          <w:sz w:val="22"/>
          <w:szCs w:val="22"/>
          <w:lang w:val="sr-Latn-ME"/>
        </w:rPr>
        <w:t>nedjelja</w:t>
      </w:r>
      <w:r w:rsidRPr="00AD3B49">
        <w:rPr>
          <w:sz w:val="22"/>
          <w:szCs w:val="22"/>
          <w:lang w:val="sr-Latn-ME"/>
        </w:rPr>
        <w:t xml:space="preserve"> otvorene terapije (ukupno 160 </w:t>
      </w:r>
      <w:r w:rsidR="000B016F" w:rsidRPr="00AD3B49">
        <w:rPr>
          <w:sz w:val="22"/>
          <w:szCs w:val="22"/>
          <w:lang w:val="sr-Latn-ME"/>
        </w:rPr>
        <w:t>nedjelja</w:t>
      </w:r>
      <w:r w:rsidRPr="00AD3B49">
        <w:rPr>
          <w:sz w:val="22"/>
          <w:szCs w:val="22"/>
          <w:lang w:val="sr-Latn-ME"/>
        </w:rPr>
        <w:t xml:space="preserve">). Svi pacijenti koji su izašli iz ispitivanja zbog </w:t>
      </w:r>
      <w:r w:rsidR="003619C8" w:rsidRPr="00AD3B49">
        <w:rPr>
          <w:sz w:val="22"/>
          <w:szCs w:val="22"/>
          <w:lang w:val="sr-Latn-ME"/>
        </w:rPr>
        <w:t>neželjenih djelovanja</w:t>
      </w:r>
      <w:r w:rsidRPr="00AD3B49">
        <w:rPr>
          <w:sz w:val="22"/>
          <w:szCs w:val="22"/>
          <w:lang w:val="sr-Latn-ME"/>
        </w:rPr>
        <w:t xml:space="preserve"> ili nedostatka </w:t>
      </w:r>
      <w:r w:rsidR="003619C8" w:rsidRPr="00AD3B49">
        <w:rPr>
          <w:sz w:val="22"/>
          <w:szCs w:val="22"/>
          <w:lang w:val="sr-Latn-ME"/>
        </w:rPr>
        <w:t>efikasnosti</w:t>
      </w:r>
      <w:r w:rsidRPr="00AD3B49">
        <w:rPr>
          <w:sz w:val="22"/>
          <w:szCs w:val="22"/>
          <w:lang w:val="sr-Latn-ME"/>
        </w:rPr>
        <w:t xml:space="preserve"> ili kojima je doza povećavana, smatrani su pacijentima kod kojih nije bilo odgovora na terapiju. Za njih je analiza PASI 75 i PGA odgovora „uredno“ ili „minimalno“ nakon dodatnih 108 </w:t>
      </w:r>
      <w:r w:rsidR="000B016F" w:rsidRPr="00AD3B49">
        <w:rPr>
          <w:sz w:val="22"/>
          <w:szCs w:val="22"/>
          <w:lang w:val="sr-Latn-ME"/>
        </w:rPr>
        <w:t>nedjelja</w:t>
      </w:r>
      <w:r w:rsidRPr="00AD3B49">
        <w:rPr>
          <w:sz w:val="22"/>
          <w:szCs w:val="22"/>
          <w:lang w:val="sr-Latn-ME"/>
        </w:rPr>
        <w:t xml:space="preserve"> otvorene terapije (ukupno 160 </w:t>
      </w:r>
      <w:r w:rsidR="000B016F" w:rsidRPr="00AD3B49">
        <w:rPr>
          <w:sz w:val="22"/>
          <w:szCs w:val="22"/>
          <w:lang w:val="sr-Latn-ME"/>
        </w:rPr>
        <w:t>nedjelja</w:t>
      </w:r>
      <w:r w:rsidRPr="00AD3B49">
        <w:rPr>
          <w:sz w:val="22"/>
          <w:szCs w:val="22"/>
          <w:lang w:val="sr-Latn-ME"/>
        </w:rPr>
        <w:t>) dala rezultate 69,6%, odnosno 55,7%.</w:t>
      </w:r>
    </w:p>
    <w:p w:rsidR="00D5052A" w:rsidRPr="00AD3B49" w:rsidRDefault="00D5052A" w:rsidP="00D5052A">
      <w:pPr>
        <w:autoSpaceDE w:val="0"/>
        <w:autoSpaceDN w:val="0"/>
        <w:adjustRightInd w:val="0"/>
        <w:jc w:val="both"/>
        <w:rPr>
          <w:sz w:val="22"/>
          <w:szCs w:val="22"/>
          <w:lang w:val="sr-Latn-ME"/>
        </w:rPr>
      </w:pPr>
    </w:p>
    <w:p w:rsidR="00D5052A" w:rsidRPr="00AD3B49" w:rsidRDefault="00D5052A" w:rsidP="003619C8">
      <w:pPr>
        <w:autoSpaceDE w:val="0"/>
        <w:autoSpaceDN w:val="0"/>
        <w:adjustRightInd w:val="0"/>
        <w:jc w:val="both"/>
        <w:rPr>
          <w:sz w:val="22"/>
          <w:szCs w:val="22"/>
          <w:lang w:val="sr-Latn-ME"/>
        </w:rPr>
      </w:pPr>
      <w:r w:rsidRPr="00AD3B49">
        <w:rPr>
          <w:sz w:val="22"/>
          <w:szCs w:val="22"/>
          <w:lang w:val="sr-Latn-ME"/>
        </w:rPr>
        <w:t>Ukupno je 347 pacijenata sa stabilnim odgovorom na terapiju učestvovalo u otvorenom produženom ispitivanj</w:t>
      </w:r>
      <w:r w:rsidR="00397257" w:rsidRPr="00AD3B49">
        <w:rPr>
          <w:sz w:val="22"/>
          <w:szCs w:val="22"/>
          <w:lang w:val="sr-Latn-ME"/>
        </w:rPr>
        <w:t>u</w:t>
      </w:r>
      <w:r w:rsidRPr="00AD3B49">
        <w:rPr>
          <w:sz w:val="22"/>
          <w:szCs w:val="22"/>
          <w:lang w:val="sr-Latn-ME"/>
        </w:rPr>
        <w:t xml:space="preserve"> u procjeni ukidanja i ponovnog uvođenja terapije. U vremenu kada je terapija bila ukinuta, simptomi psorijaze su se vra</w:t>
      </w:r>
      <w:r w:rsidR="003B7B9F" w:rsidRPr="00AD3B49">
        <w:rPr>
          <w:sz w:val="22"/>
          <w:szCs w:val="22"/>
          <w:lang w:val="sr-Latn-ME"/>
        </w:rPr>
        <w:t>tili s</w:t>
      </w:r>
      <w:r w:rsidR="00397257" w:rsidRPr="00AD3B49">
        <w:rPr>
          <w:sz w:val="22"/>
          <w:szCs w:val="22"/>
          <w:lang w:val="sr-Latn-ME"/>
        </w:rPr>
        <w:t>a</w:t>
      </w:r>
      <w:r w:rsidR="003B7B9F" w:rsidRPr="00AD3B49">
        <w:rPr>
          <w:sz w:val="22"/>
          <w:szCs w:val="22"/>
          <w:lang w:val="sr-Latn-ME"/>
        </w:rPr>
        <w:t xml:space="preserve"> srednjim vremenom do pojave recidiva od oko 5 mjeseci (smanjenje do umjerenog ili lošeg</w:t>
      </w:r>
      <w:r w:rsidRPr="00AD3B49">
        <w:rPr>
          <w:sz w:val="22"/>
          <w:szCs w:val="22"/>
          <w:lang w:val="sr-Latn-ME"/>
        </w:rPr>
        <w:t xml:space="preserve"> PGA). Međutim, niti jedan od pacijenata nije doživio pogoršanje osnovne bolesti, odnosno “</w:t>
      </w:r>
      <w:r w:rsidRPr="00AD3B49">
        <w:rPr>
          <w:i/>
          <w:sz w:val="22"/>
          <w:szCs w:val="22"/>
          <w:lang w:val="sr-Latn-ME"/>
        </w:rPr>
        <w:t>rebound</w:t>
      </w:r>
      <w:r w:rsidRPr="00AD3B49">
        <w:rPr>
          <w:sz w:val="22"/>
          <w:szCs w:val="22"/>
          <w:lang w:val="sr-Latn-ME"/>
        </w:rPr>
        <w:t>” bolesti. Ukupno je 76,5% (218/285) pacijenata</w:t>
      </w:r>
      <w:r w:rsidR="003B7B9F" w:rsidRPr="00AD3B49">
        <w:rPr>
          <w:sz w:val="22"/>
          <w:szCs w:val="22"/>
          <w:lang w:val="sr-Latn-ME"/>
        </w:rPr>
        <w:t xml:space="preserve"> kojima je liječenje ponovo</w:t>
      </w:r>
      <w:r w:rsidRPr="00AD3B49">
        <w:rPr>
          <w:sz w:val="22"/>
          <w:szCs w:val="22"/>
          <w:lang w:val="sr-Latn-ME"/>
        </w:rPr>
        <w:t xml:space="preserve"> uvedeno imalo PGA odgovor “uredno” ili “minimalno” nakon 16 </w:t>
      </w:r>
      <w:r w:rsidR="000B016F" w:rsidRPr="00AD3B49">
        <w:rPr>
          <w:sz w:val="22"/>
          <w:szCs w:val="22"/>
          <w:lang w:val="sr-Latn-ME"/>
        </w:rPr>
        <w:t>nedjelja</w:t>
      </w:r>
      <w:r w:rsidRPr="00AD3B49">
        <w:rPr>
          <w:sz w:val="22"/>
          <w:szCs w:val="22"/>
          <w:lang w:val="sr-Latn-ME"/>
        </w:rPr>
        <w:t xml:space="preserve"> liječenja, bez obzira da li </w:t>
      </w:r>
      <w:r w:rsidR="003B7B9F" w:rsidRPr="00AD3B49">
        <w:rPr>
          <w:sz w:val="22"/>
          <w:szCs w:val="22"/>
          <w:lang w:val="sr-Latn-ME"/>
        </w:rPr>
        <w:t>im se relaps ponov</w:t>
      </w:r>
      <w:r w:rsidRPr="00AD3B49">
        <w:rPr>
          <w:sz w:val="22"/>
          <w:szCs w:val="22"/>
          <w:lang w:val="sr-Latn-ME"/>
        </w:rPr>
        <w:t xml:space="preserve">o javio u periodu kada je </w:t>
      </w:r>
      <w:r w:rsidR="003B7B9F" w:rsidRPr="00AD3B49">
        <w:rPr>
          <w:sz w:val="22"/>
          <w:szCs w:val="22"/>
          <w:lang w:val="sr-Latn-ME"/>
        </w:rPr>
        <w:t>liječenje bilo pre</w:t>
      </w:r>
      <w:r w:rsidRPr="00AD3B49">
        <w:rPr>
          <w:sz w:val="22"/>
          <w:szCs w:val="22"/>
          <w:lang w:val="sr-Latn-ME"/>
        </w:rPr>
        <w:t>kin</w:t>
      </w:r>
      <w:r w:rsidR="003B7B9F" w:rsidRPr="00AD3B49">
        <w:rPr>
          <w:sz w:val="22"/>
          <w:szCs w:val="22"/>
          <w:lang w:val="sr-Latn-ME"/>
        </w:rPr>
        <w:t>uto (69,1%</w:t>
      </w:r>
      <w:r w:rsidR="00397257" w:rsidRPr="00AD3B49">
        <w:rPr>
          <w:sz w:val="22"/>
          <w:szCs w:val="22"/>
          <w:lang w:val="sr-Latn-ME"/>
        </w:rPr>
        <w:t xml:space="preserve"> </w:t>
      </w:r>
      <w:r w:rsidR="003B7B9F" w:rsidRPr="00AD3B49">
        <w:rPr>
          <w:sz w:val="22"/>
          <w:szCs w:val="22"/>
          <w:lang w:val="sr-Latn-ME"/>
        </w:rPr>
        <w:t>[123/178] za pacijente</w:t>
      </w:r>
      <w:r w:rsidRPr="00AD3B49">
        <w:rPr>
          <w:sz w:val="22"/>
          <w:szCs w:val="22"/>
          <w:lang w:val="sr-Latn-ME"/>
        </w:rPr>
        <w:t xml:space="preserve"> s relapsom, odn</w:t>
      </w:r>
      <w:r w:rsidR="003B7B9F" w:rsidRPr="00AD3B49">
        <w:rPr>
          <w:sz w:val="22"/>
          <w:szCs w:val="22"/>
          <w:lang w:val="sr-Latn-ME"/>
        </w:rPr>
        <w:t>osno 88,8% [95/107] za pacijente</w:t>
      </w:r>
      <w:r w:rsidRPr="00AD3B49">
        <w:rPr>
          <w:sz w:val="22"/>
          <w:szCs w:val="22"/>
          <w:lang w:val="sr-Latn-ME"/>
        </w:rPr>
        <w:t xml:space="preserve"> bez relapsa). Uočen je </w:t>
      </w:r>
      <w:r w:rsidR="003B7B9F" w:rsidRPr="00AD3B49">
        <w:rPr>
          <w:sz w:val="22"/>
          <w:szCs w:val="22"/>
          <w:lang w:val="sr-Latn-ME"/>
        </w:rPr>
        <w:t xml:space="preserve">sličan profil </w:t>
      </w:r>
      <w:r w:rsidR="00E307E8" w:rsidRPr="00AD3B49">
        <w:rPr>
          <w:sz w:val="22"/>
          <w:szCs w:val="22"/>
          <w:lang w:val="sr-Latn-ME"/>
        </w:rPr>
        <w:t xml:space="preserve">bezbjednosti </w:t>
      </w:r>
      <w:r w:rsidR="003B7B9F" w:rsidRPr="00AD3B49">
        <w:rPr>
          <w:sz w:val="22"/>
          <w:szCs w:val="22"/>
          <w:lang w:val="sr-Latn-ME"/>
        </w:rPr>
        <w:t>ponovo</w:t>
      </w:r>
      <w:r w:rsidRPr="00AD3B49">
        <w:rPr>
          <w:sz w:val="22"/>
          <w:szCs w:val="22"/>
          <w:lang w:val="sr-Latn-ME"/>
        </w:rPr>
        <w:t xml:space="preserve"> uvedenog liječenja u odnosu na liječenje prije </w:t>
      </w:r>
      <w:r w:rsidR="003B7B9F" w:rsidRPr="00AD3B49">
        <w:rPr>
          <w:sz w:val="22"/>
          <w:szCs w:val="22"/>
          <w:lang w:val="sr-Latn-ME"/>
        </w:rPr>
        <w:t>pre</w:t>
      </w:r>
      <w:r w:rsidRPr="00AD3B49">
        <w:rPr>
          <w:sz w:val="22"/>
          <w:szCs w:val="22"/>
          <w:lang w:val="sr-Latn-ME"/>
        </w:rPr>
        <w:t>kidanja.</w:t>
      </w:r>
    </w:p>
    <w:p w:rsidR="00D5052A" w:rsidRPr="00AD3B49" w:rsidRDefault="00D5052A" w:rsidP="00D5052A">
      <w:pPr>
        <w:autoSpaceDE w:val="0"/>
        <w:autoSpaceDN w:val="0"/>
        <w:adjustRightInd w:val="0"/>
        <w:jc w:val="both"/>
        <w:rPr>
          <w:sz w:val="22"/>
          <w:szCs w:val="22"/>
          <w:lang w:val="sr-Latn-ME"/>
        </w:rPr>
      </w:pPr>
    </w:p>
    <w:p w:rsidR="00D5052A" w:rsidRPr="00AD3B49" w:rsidRDefault="00D5052A" w:rsidP="00D5052A">
      <w:pPr>
        <w:autoSpaceDE w:val="0"/>
        <w:autoSpaceDN w:val="0"/>
        <w:adjustRightInd w:val="0"/>
        <w:jc w:val="both"/>
        <w:rPr>
          <w:sz w:val="22"/>
          <w:szCs w:val="22"/>
          <w:lang w:val="sr-Latn-ME"/>
        </w:rPr>
      </w:pPr>
      <w:r w:rsidRPr="00AD3B49">
        <w:rPr>
          <w:sz w:val="22"/>
          <w:szCs w:val="22"/>
          <w:lang w:val="sr-Latn-ME"/>
        </w:rPr>
        <w:t xml:space="preserve">Nakon 16 </w:t>
      </w:r>
      <w:r w:rsidR="000B016F" w:rsidRPr="00AD3B49">
        <w:rPr>
          <w:sz w:val="22"/>
          <w:szCs w:val="22"/>
          <w:lang w:val="sr-Latn-ME"/>
        </w:rPr>
        <w:t>nedjelja</w:t>
      </w:r>
      <w:r w:rsidRPr="00AD3B49">
        <w:rPr>
          <w:sz w:val="22"/>
          <w:szCs w:val="22"/>
          <w:lang w:val="sr-Latn-ME"/>
        </w:rPr>
        <w:t xml:space="preserve"> terapije postignuto je značajno poboljšanje u odnosu na početno stanje, mjereno indeksom DLQI (</w:t>
      </w:r>
      <w:r w:rsidRPr="00AD3B49">
        <w:rPr>
          <w:i/>
          <w:sz w:val="22"/>
          <w:szCs w:val="22"/>
          <w:lang w:val="sr-Latn-ME"/>
        </w:rPr>
        <w:t>Dermatology Life Quality Index</w:t>
      </w:r>
      <w:r w:rsidRPr="00AD3B49">
        <w:rPr>
          <w:sz w:val="22"/>
          <w:szCs w:val="22"/>
          <w:lang w:val="sr-Latn-ME"/>
        </w:rPr>
        <w:t>) u poređenju sa placebom (ispitivanje I i II) i u poređenju sa MTX (ispitivanje II). U ispitivanju I uočeno je i značajno poboljšanje fizičkih i mentalnih komponenata zbirnog rezultata SF-36 u poređenju sa placebom.</w:t>
      </w:r>
    </w:p>
    <w:p w:rsidR="00D5052A" w:rsidRPr="00AD3B49" w:rsidRDefault="00D5052A" w:rsidP="00D5052A">
      <w:pPr>
        <w:autoSpaceDE w:val="0"/>
        <w:autoSpaceDN w:val="0"/>
        <w:adjustRightInd w:val="0"/>
        <w:jc w:val="both"/>
        <w:rPr>
          <w:sz w:val="22"/>
          <w:szCs w:val="22"/>
          <w:lang w:val="sr-Latn-ME"/>
        </w:rPr>
      </w:pPr>
    </w:p>
    <w:p w:rsidR="00D5052A" w:rsidRPr="00AD3B49" w:rsidRDefault="00D5052A" w:rsidP="00D5052A">
      <w:pPr>
        <w:autoSpaceDE w:val="0"/>
        <w:autoSpaceDN w:val="0"/>
        <w:adjustRightInd w:val="0"/>
        <w:jc w:val="both"/>
        <w:rPr>
          <w:sz w:val="22"/>
          <w:szCs w:val="22"/>
          <w:lang w:val="sr-Latn-ME"/>
        </w:rPr>
      </w:pPr>
      <w:r w:rsidRPr="00AD3B49">
        <w:rPr>
          <w:sz w:val="22"/>
          <w:szCs w:val="22"/>
          <w:lang w:val="sr-Latn-ME"/>
        </w:rPr>
        <w:t xml:space="preserve">U okviru otvorenog produženog ispitivanja, kod pacijenata čija je doza zbog PASI zbira manjeg od 50% povećana sa 40 mg svake dvije </w:t>
      </w:r>
      <w:r w:rsidR="000B016F" w:rsidRPr="00AD3B49">
        <w:rPr>
          <w:sz w:val="22"/>
          <w:szCs w:val="22"/>
          <w:lang w:val="sr-Latn-ME"/>
        </w:rPr>
        <w:t>nedjelje</w:t>
      </w:r>
      <w:r w:rsidRPr="00AD3B49">
        <w:rPr>
          <w:sz w:val="22"/>
          <w:szCs w:val="22"/>
          <w:lang w:val="sr-Latn-ME"/>
        </w:rPr>
        <w:t xml:space="preserve"> na 40 mg svake </w:t>
      </w:r>
      <w:r w:rsidR="00331C8C" w:rsidRPr="00AD3B49">
        <w:rPr>
          <w:sz w:val="22"/>
          <w:szCs w:val="22"/>
          <w:lang w:val="sr-Latn-ME"/>
        </w:rPr>
        <w:t>nedjelje</w:t>
      </w:r>
      <w:r w:rsidRPr="00AD3B49">
        <w:rPr>
          <w:sz w:val="22"/>
          <w:szCs w:val="22"/>
          <w:lang w:val="sr-Latn-ME"/>
        </w:rPr>
        <w:t xml:space="preserve">, a koji su ocijenjeni 12 </w:t>
      </w:r>
      <w:r w:rsidR="000B016F" w:rsidRPr="00AD3B49">
        <w:rPr>
          <w:sz w:val="22"/>
          <w:szCs w:val="22"/>
          <w:lang w:val="sr-Latn-ME"/>
        </w:rPr>
        <w:t>nedjelja</w:t>
      </w:r>
      <w:r w:rsidRPr="00AD3B49">
        <w:rPr>
          <w:sz w:val="22"/>
          <w:szCs w:val="22"/>
          <w:lang w:val="sr-Latn-ME"/>
        </w:rPr>
        <w:t xml:space="preserve"> nakon povećanja doze, u 93/349 pacijenata (26,6 %) postignut je PASI 75 odgovor. </w:t>
      </w:r>
    </w:p>
    <w:p w:rsidR="00A31DD9" w:rsidRPr="00AD3B49" w:rsidRDefault="00A31DD9" w:rsidP="00D5052A">
      <w:pPr>
        <w:autoSpaceDE w:val="0"/>
        <w:autoSpaceDN w:val="0"/>
        <w:adjustRightInd w:val="0"/>
        <w:jc w:val="both"/>
        <w:rPr>
          <w:sz w:val="22"/>
          <w:szCs w:val="22"/>
          <w:lang w:val="sr-Latn-ME"/>
        </w:rPr>
      </w:pPr>
    </w:p>
    <w:p w:rsidR="00A31DD9" w:rsidRPr="00AD3B49" w:rsidRDefault="00A31DD9" w:rsidP="00A31DD9">
      <w:pPr>
        <w:autoSpaceDE w:val="0"/>
        <w:autoSpaceDN w:val="0"/>
        <w:adjustRightInd w:val="0"/>
        <w:jc w:val="both"/>
        <w:rPr>
          <w:i/>
          <w:sz w:val="22"/>
          <w:szCs w:val="22"/>
          <w:u w:val="single"/>
          <w:lang w:val="sr-Latn-ME"/>
        </w:rPr>
      </w:pPr>
      <w:r w:rsidRPr="00AD3B49">
        <w:rPr>
          <w:i/>
          <w:sz w:val="22"/>
          <w:szCs w:val="22"/>
          <w:u w:val="single"/>
          <w:lang w:val="sr-Latn-ME"/>
        </w:rPr>
        <w:t xml:space="preserve">Chronova bolest </w:t>
      </w:r>
    </w:p>
    <w:p w:rsidR="00E307E8" w:rsidRPr="00AD3B49" w:rsidRDefault="00E307E8" w:rsidP="00A31DD9">
      <w:pPr>
        <w:autoSpaceDE w:val="0"/>
        <w:autoSpaceDN w:val="0"/>
        <w:adjustRightInd w:val="0"/>
        <w:jc w:val="both"/>
        <w:rPr>
          <w:i/>
          <w:sz w:val="22"/>
          <w:szCs w:val="22"/>
          <w:u w:val="single"/>
          <w:lang w:val="sr-Latn-ME"/>
        </w:rPr>
      </w:pPr>
    </w:p>
    <w:p w:rsidR="00A31DD9" w:rsidRPr="00AD3B49" w:rsidRDefault="00A31DD9" w:rsidP="00A31DD9">
      <w:pPr>
        <w:autoSpaceDE w:val="0"/>
        <w:autoSpaceDN w:val="0"/>
        <w:adjustRightInd w:val="0"/>
        <w:jc w:val="both"/>
        <w:rPr>
          <w:sz w:val="22"/>
          <w:szCs w:val="22"/>
          <w:lang w:val="sr-Latn-ME"/>
        </w:rPr>
      </w:pPr>
      <w:r w:rsidRPr="00AD3B49">
        <w:rPr>
          <w:sz w:val="22"/>
          <w:szCs w:val="22"/>
          <w:lang w:val="sr-Latn-ME"/>
        </w:rPr>
        <w:t xml:space="preserve">Efikasnost i </w:t>
      </w:r>
      <w:r w:rsidR="00E307E8" w:rsidRPr="00AD3B49">
        <w:rPr>
          <w:sz w:val="22"/>
          <w:szCs w:val="22"/>
          <w:lang w:val="sr-Latn-ME"/>
        </w:rPr>
        <w:t xml:space="preserve">bezbjednost </w:t>
      </w:r>
      <w:r w:rsidRPr="00AD3B49">
        <w:rPr>
          <w:sz w:val="22"/>
          <w:szCs w:val="22"/>
          <w:lang w:val="sr-Latn-ME"/>
        </w:rPr>
        <w:t xml:space="preserve">primjene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ispitivani su u randomizovanim, dvostruko slijepim, placebo kontrolisanim ispitivanjima na preko 1.500 pacijenata s umjereno do izrazito aktivnom Crohnovom bolešću (Indeks aktivnosti Crohnove bolesti (CDAI) ≥ 220 i ≤ 450). Istovremena primjena aminosalicilata, kortikosteroida i/ili </w:t>
      </w:r>
      <w:r w:rsidR="00E307E8" w:rsidRPr="00AD3B49">
        <w:rPr>
          <w:sz w:val="22"/>
          <w:szCs w:val="22"/>
          <w:lang w:val="sr-Latn-ME"/>
        </w:rPr>
        <w:t xml:space="preserve">imunomodulatornih </w:t>
      </w:r>
      <w:r w:rsidRPr="00AD3B49">
        <w:rPr>
          <w:sz w:val="22"/>
          <w:szCs w:val="22"/>
          <w:lang w:val="sr-Latn-ME"/>
        </w:rPr>
        <w:t>ljekova u stabilnim dozama bila je dozvoljena, te je 80% pacijenata nastavilo uzimati najmanje jedan od ovih ljekova.</w:t>
      </w:r>
    </w:p>
    <w:p w:rsidR="00A31DD9" w:rsidRPr="00AD3B49" w:rsidRDefault="00A31DD9" w:rsidP="00A31DD9">
      <w:pPr>
        <w:autoSpaceDE w:val="0"/>
        <w:autoSpaceDN w:val="0"/>
        <w:adjustRightInd w:val="0"/>
        <w:jc w:val="both"/>
        <w:rPr>
          <w:sz w:val="22"/>
          <w:szCs w:val="22"/>
          <w:lang w:val="sr-Latn-ME"/>
        </w:rPr>
      </w:pPr>
    </w:p>
    <w:p w:rsidR="00A31DD9" w:rsidRPr="00AD3B49" w:rsidRDefault="00A31DD9" w:rsidP="00A31DD9">
      <w:pPr>
        <w:autoSpaceDE w:val="0"/>
        <w:autoSpaceDN w:val="0"/>
        <w:adjustRightInd w:val="0"/>
        <w:jc w:val="both"/>
        <w:rPr>
          <w:sz w:val="22"/>
          <w:szCs w:val="22"/>
          <w:lang w:val="sr-Latn-ME"/>
        </w:rPr>
      </w:pPr>
      <w:r w:rsidRPr="00AD3B49">
        <w:rPr>
          <w:sz w:val="22"/>
          <w:szCs w:val="22"/>
          <w:lang w:val="sr-Latn-ME"/>
        </w:rPr>
        <w:t>Indukcija kliničke remisije (defini</w:t>
      </w:r>
      <w:r w:rsidR="00F01513" w:rsidRPr="00AD3B49">
        <w:rPr>
          <w:sz w:val="22"/>
          <w:szCs w:val="22"/>
          <w:lang w:val="sr-Latn-ME"/>
        </w:rPr>
        <w:t>s</w:t>
      </w:r>
      <w:r w:rsidRPr="00AD3B49">
        <w:rPr>
          <w:sz w:val="22"/>
          <w:szCs w:val="22"/>
          <w:lang w:val="sr-Latn-ME"/>
        </w:rPr>
        <w:t xml:space="preserve">ana kao CDAI &lt; 150) ispitivana je u dva ispitivanja, CD I (CLASSIC I) i CD II (GAIN). U ispitivanju CD I, 299 pacijenata koji nikad nisu primali terapiju antagonistom TNF-a randomizovani su u jednu od 4 terapijske grupe: placebo u </w:t>
      </w:r>
      <w:r w:rsidR="00573E52" w:rsidRPr="00AD3B49">
        <w:rPr>
          <w:sz w:val="22"/>
          <w:szCs w:val="22"/>
          <w:lang w:val="sr-Latn-ME"/>
        </w:rPr>
        <w:t>n</w:t>
      </w:r>
      <w:r w:rsidR="000B016F" w:rsidRPr="00AD3B49">
        <w:rPr>
          <w:sz w:val="22"/>
          <w:szCs w:val="22"/>
          <w:lang w:val="sr-Latn-ME"/>
        </w:rPr>
        <w:t>edjelji</w:t>
      </w:r>
      <w:r w:rsidRPr="00AD3B49">
        <w:rPr>
          <w:sz w:val="22"/>
          <w:szCs w:val="22"/>
          <w:lang w:val="sr-Latn-ME"/>
        </w:rPr>
        <w:t xml:space="preserve"> 0 i u </w:t>
      </w:r>
      <w:r w:rsidR="00573E52" w:rsidRPr="00AD3B49">
        <w:rPr>
          <w:sz w:val="22"/>
          <w:szCs w:val="22"/>
          <w:lang w:val="sr-Latn-ME"/>
        </w:rPr>
        <w:t>n</w:t>
      </w:r>
      <w:r w:rsidR="000B016F" w:rsidRPr="00AD3B49">
        <w:rPr>
          <w:sz w:val="22"/>
          <w:szCs w:val="22"/>
          <w:lang w:val="sr-Latn-ME"/>
        </w:rPr>
        <w:t>edjelji</w:t>
      </w:r>
      <w:r w:rsidRPr="00AD3B49">
        <w:rPr>
          <w:sz w:val="22"/>
          <w:szCs w:val="22"/>
          <w:lang w:val="sr-Latn-ME"/>
        </w:rPr>
        <w:t xml:space="preserve"> 2, Humira 160 mg u </w:t>
      </w:r>
      <w:r w:rsidR="00573E52" w:rsidRPr="00AD3B49">
        <w:rPr>
          <w:sz w:val="22"/>
          <w:szCs w:val="22"/>
          <w:lang w:val="sr-Latn-ME"/>
        </w:rPr>
        <w:t>n</w:t>
      </w:r>
      <w:r w:rsidR="000B016F" w:rsidRPr="00AD3B49">
        <w:rPr>
          <w:sz w:val="22"/>
          <w:szCs w:val="22"/>
          <w:lang w:val="sr-Latn-ME"/>
        </w:rPr>
        <w:t>edjelji</w:t>
      </w:r>
      <w:r w:rsidRPr="00AD3B49">
        <w:rPr>
          <w:sz w:val="22"/>
          <w:szCs w:val="22"/>
          <w:lang w:val="sr-Latn-ME"/>
        </w:rPr>
        <w:t xml:space="preserve"> 0 i 80 mg u </w:t>
      </w:r>
      <w:r w:rsidR="00573E52" w:rsidRPr="00AD3B49">
        <w:rPr>
          <w:sz w:val="22"/>
          <w:szCs w:val="22"/>
          <w:lang w:val="sr-Latn-ME"/>
        </w:rPr>
        <w:t>n</w:t>
      </w:r>
      <w:r w:rsidR="000B016F" w:rsidRPr="00AD3B49">
        <w:rPr>
          <w:sz w:val="22"/>
          <w:szCs w:val="22"/>
          <w:lang w:val="sr-Latn-ME"/>
        </w:rPr>
        <w:t>edjelji</w:t>
      </w:r>
      <w:r w:rsidRPr="00AD3B49">
        <w:rPr>
          <w:sz w:val="22"/>
          <w:szCs w:val="22"/>
          <w:lang w:val="sr-Latn-ME"/>
        </w:rPr>
        <w:t xml:space="preserve"> 2, Humira 80 mg u </w:t>
      </w:r>
      <w:r w:rsidR="00573E52" w:rsidRPr="00AD3B49">
        <w:rPr>
          <w:sz w:val="22"/>
          <w:szCs w:val="22"/>
          <w:lang w:val="sr-Latn-ME"/>
        </w:rPr>
        <w:t>n</w:t>
      </w:r>
      <w:r w:rsidR="000B016F" w:rsidRPr="00AD3B49">
        <w:rPr>
          <w:sz w:val="22"/>
          <w:szCs w:val="22"/>
          <w:lang w:val="sr-Latn-ME"/>
        </w:rPr>
        <w:t>edjelji</w:t>
      </w:r>
      <w:r w:rsidRPr="00AD3B49">
        <w:rPr>
          <w:sz w:val="22"/>
          <w:szCs w:val="22"/>
          <w:lang w:val="sr-Latn-ME"/>
        </w:rPr>
        <w:t xml:space="preserve"> 0 i 40 mg u </w:t>
      </w:r>
      <w:r w:rsidR="00573E52" w:rsidRPr="00AD3B49">
        <w:rPr>
          <w:sz w:val="22"/>
          <w:szCs w:val="22"/>
          <w:lang w:val="sr-Latn-ME"/>
        </w:rPr>
        <w:t>n</w:t>
      </w:r>
      <w:r w:rsidR="000B016F" w:rsidRPr="00AD3B49">
        <w:rPr>
          <w:sz w:val="22"/>
          <w:szCs w:val="22"/>
          <w:lang w:val="sr-Latn-ME"/>
        </w:rPr>
        <w:t>edjelji</w:t>
      </w:r>
      <w:r w:rsidRPr="00AD3B49">
        <w:rPr>
          <w:sz w:val="22"/>
          <w:szCs w:val="22"/>
          <w:lang w:val="sr-Latn-ME"/>
        </w:rPr>
        <w:t xml:space="preserve"> 2, Humira 40 mg u </w:t>
      </w:r>
      <w:r w:rsidR="00573E52" w:rsidRPr="00AD3B49">
        <w:rPr>
          <w:sz w:val="22"/>
          <w:szCs w:val="22"/>
          <w:lang w:val="sr-Latn-ME"/>
        </w:rPr>
        <w:t>n</w:t>
      </w:r>
      <w:r w:rsidR="000B016F" w:rsidRPr="00AD3B49">
        <w:rPr>
          <w:sz w:val="22"/>
          <w:szCs w:val="22"/>
          <w:lang w:val="sr-Latn-ME"/>
        </w:rPr>
        <w:t>edjelji</w:t>
      </w:r>
      <w:r w:rsidRPr="00AD3B49">
        <w:rPr>
          <w:sz w:val="22"/>
          <w:szCs w:val="22"/>
          <w:lang w:val="sr-Latn-ME"/>
        </w:rPr>
        <w:t xml:space="preserve"> 0 i 20 mg u </w:t>
      </w:r>
      <w:r w:rsidR="00573E52" w:rsidRPr="00AD3B49">
        <w:rPr>
          <w:sz w:val="22"/>
          <w:szCs w:val="22"/>
          <w:lang w:val="sr-Latn-ME"/>
        </w:rPr>
        <w:t>n</w:t>
      </w:r>
      <w:r w:rsidR="000B016F" w:rsidRPr="00AD3B49">
        <w:rPr>
          <w:sz w:val="22"/>
          <w:szCs w:val="22"/>
          <w:lang w:val="sr-Latn-ME"/>
        </w:rPr>
        <w:t>edjelji</w:t>
      </w:r>
      <w:r w:rsidRPr="00AD3B49">
        <w:rPr>
          <w:sz w:val="22"/>
          <w:szCs w:val="22"/>
          <w:lang w:val="sr-Latn-ME"/>
        </w:rPr>
        <w:t xml:space="preserve"> 2. U ispitivanju CD II, 325 pacijenata koji su izgubili </w:t>
      </w:r>
      <w:r w:rsidRPr="00AD3B49">
        <w:rPr>
          <w:sz w:val="22"/>
          <w:szCs w:val="22"/>
          <w:lang w:val="sr-Latn-ME"/>
        </w:rPr>
        <w:lastRenderedPageBreak/>
        <w:t xml:space="preserve">odgovor ili nisu podnosili terapiju infliksimabom randomizovani su ili u grupu koja je primala 160 mg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u </w:t>
      </w:r>
      <w:r w:rsidR="00573E52" w:rsidRPr="00AD3B49">
        <w:rPr>
          <w:sz w:val="22"/>
          <w:szCs w:val="22"/>
          <w:lang w:val="sr-Latn-ME"/>
        </w:rPr>
        <w:t>n</w:t>
      </w:r>
      <w:r w:rsidR="000B016F" w:rsidRPr="00AD3B49">
        <w:rPr>
          <w:sz w:val="22"/>
          <w:szCs w:val="22"/>
          <w:lang w:val="sr-Latn-ME"/>
        </w:rPr>
        <w:t>edjelji</w:t>
      </w:r>
      <w:r w:rsidRPr="00AD3B49">
        <w:rPr>
          <w:sz w:val="22"/>
          <w:szCs w:val="22"/>
          <w:lang w:val="sr-Latn-ME"/>
        </w:rPr>
        <w:t xml:space="preserve"> 0 i 80 mg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w:t>
      </w:r>
      <w:r w:rsidR="00E307E8" w:rsidRPr="00AD3B49">
        <w:rPr>
          <w:sz w:val="22"/>
          <w:szCs w:val="22"/>
          <w:lang w:val="sr-Latn-ME"/>
        </w:rPr>
        <w:t xml:space="preserve">u </w:t>
      </w:r>
      <w:r w:rsidR="00573E52" w:rsidRPr="00AD3B49">
        <w:rPr>
          <w:sz w:val="22"/>
          <w:szCs w:val="22"/>
          <w:lang w:val="sr-Latn-ME"/>
        </w:rPr>
        <w:t>n</w:t>
      </w:r>
      <w:r w:rsidR="000B016F" w:rsidRPr="00AD3B49">
        <w:rPr>
          <w:sz w:val="22"/>
          <w:szCs w:val="22"/>
          <w:lang w:val="sr-Latn-ME"/>
        </w:rPr>
        <w:t>edjelji</w:t>
      </w:r>
      <w:r w:rsidRPr="00AD3B49">
        <w:rPr>
          <w:sz w:val="22"/>
          <w:szCs w:val="22"/>
          <w:lang w:val="sr-Latn-ME"/>
        </w:rPr>
        <w:t xml:space="preserve"> 2 ili u grupu koja je primala placebo u </w:t>
      </w:r>
      <w:r w:rsidR="00573E52" w:rsidRPr="00AD3B49">
        <w:rPr>
          <w:sz w:val="22"/>
          <w:szCs w:val="22"/>
          <w:lang w:val="sr-Latn-ME"/>
        </w:rPr>
        <w:t>n</w:t>
      </w:r>
      <w:r w:rsidR="000B016F" w:rsidRPr="00AD3B49">
        <w:rPr>
          <w:sz w:val="22"/>
          <w:szCs w:val="22"/>
          <w:lang w:val="sr-Latn-ME"/>
        </w:rPr>
        <w:t>edjelji</w:t>
      </w:r>
      <w:r w:rsidRPr="00AD3B49">
        <w:rPr>
          <w:sz w:val="22"/>
          <w:szCs w:val="22"/>
          <w:lang w:val="sr-Latn-ME"/>
        </w:rPr>
        <w:t xml:space="preserve"> 0, odnosno u </w:t>
      </w:r>
      <w:r w:rsidR="00573E52" w:rsidRPr="00AD3B49">
        <w:rPr>
          <w:sz w:val="22"/>
          <w:szCs w:val="22"/>
          <w:lang w:val="sr-Latn-ME"/>
        </w:rPr>
        <w:t>n</w:t>
      </w:r>
      <w:r w:rsidR="000B016F" w:rsidRPr="00AD3B49">
        <w:rPr>
          <w:sz w:val="22"/>
          <w:szCs w:val="22"/>
          <w:lang w:val="sr-Latn-ME"/>
        </w:rPr>
        <w:t>edjelji</w:t>
      </w:r>
      <w:r w:rsidRPr="00AD3B49">
        <w:rPr>
          <w:sz w:val="22"/>
          <w:szCs w:val="22"/>
          <w:lang w:val="sr-Latn-ME"/>
        </w:rPr>
        <w:t xml:space="preserve"> 2. Pacijenti kod kojih nije postignut odgovor nakon prve doze isključeni su iz daljnjeg toka istraživanja.</w:t>
      </w:r>
    </w:p>
    <w:p w:rsidR="00A31DD9" w:rsidRPr="00AD3B49" w:rsidRDefault="00A31DD9" w:rsidP="00A31DD9">
      <w:pPr>
        <w:autoSpaceDE w:val="0"/>
        <w:autoSpaceDN w:val="0"/>
        <w:adjustRightInd w:val="0"/>
        <w:jc w:val="both"/>
        <w:rPr>
          <w:sz w:val="22"/>
          <w:szCs w:val="22"/>
          <w:lang w:val="sr-Latn-ME"/>
        </w:rPr>
      </w:pPr>
    </w:p>
    <w:p w:rsidR="00A31DD9" w:rsidRPr="00AD3B49" w:rsidRDefault="00A31DD9" w:rsidP="00A31DD9">
      <w:pPr>
        <w:autoSpaceDE w:val="0"/>
        <w:autoSpaceDN w:val="0"/>
        <w:adjustRightInd w:val="0"/>
        <w:jc w:val="both"/>
        <w:rPr>
          <w:sz w:val="22"/>
          <w:szCs w:val="22"/>
          <w:lang w:val="sr-Latn-ME"/>
        </w:rPr>
      </w:pPr>
      <w:r w:rsidRPr="00AD3B49">
        <w:rPr>
          <w:sz w:val="22"/>
          <w:szCs w:val="22"/>
          <w:lang w:val="sr-Latn-ME"/>
        </w:rPr>
        <w:t xml:space="preserve">Održavanje kliničke remisije ocjenjivano je u ispitivanju CD III (CHARM). U ovom otvorenom ispitivanju, 854 pacijenata primilo je 80 mg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u </w:t>
      </w:r>
      <w:r w:rsidR="00573E52" w:rsidRPr="00AD3B49">
        <w:rPr>
          <w:sz w:val="22"/>
          <w:szCs w:val="22"/>
          <w:lang w:val="sr-Latn-ME"/>
        </w:rPr>
        <w:t>n</w:t>
      </w:r>
      <w:r w:rsidR="000B016F" w:rsidRPr="00AD3B49">
        <w:rPr>
          <w:sz w:val="22"/>
          <w:szCs w:val="22"/>
          <w:lang w:val="sr-Latn-ME"/>
        </w:rPr>
        <w:t>edjelji</w:t>
      </w:r>
      <w:r w:rsidRPr="00AD3B49">
        <w:rPr>
          <w:sz w:val="22"/>
          <w:szCs w:val="22"/>
          <w:lang w:val="sr-Latn-ME"/>
        </w:rPr>
        <w:t xml:space="preserve"> 0, a 40 mg u </w:t>
      </w:r>
      <w:r w:rsidR="00573E52" w:rsidRPr="00AD3B49">
        <w:rPr>
          <w:sz w:val="22"/>
          <w:szCs w:val="22"/>
          <w:lang w:val="sr-Latn-ME"/>
        </w:rPr>
        <w:t>n</w:t>
      </w:r>
      <w:r w:rsidR="000B016F" w:rsidRPr="00AD3B49">
        <w:rPr>
          <w:sz w:val="22"/>
          <w:szCs w:val="22"/>
          <w:lang w:val="sr-Latn-ME"/>
        </w:rPr>
        <w:t>edjelji</w:t>
      </w:r>
      <w:r w:rsidRPr="00AD3B49">
        <w:rPr>
          <w:sz w:val="22"/>
          <w:szCs w:val="22"/>
          <w:lang w:val="sr-Latn-ME"/>
        </w:rPr>
        <w:t xml:space="preserve"> 2. U četvrtoj </w:t>
      </w:r>
      <w:r w:rsidR="000B016F" w:rsidRPr="00AD3B49">
        <w:rPr>
          <w:sz w:val="22"/>
          <w:szCs w:val="22"/>
          <w:lang w:val="sr-Latn-ME"/>
        </w:rPr>
        <w:t>nedjelji</w:t>
      </w:r>
      <w:r w:rsidRPr="00AD3B49">
        <w:rPr>
          <w:sz w:val="22"/>
          <w:szCs w:val="22"/>
          <w:lang w:val="sr-Latn-ME"/>
        </w:rPr>
        <w:t xml:space="preserve"> pacijenti su randomizovani u grupe koje su primale 40 mg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svake </w:t>
      </w:r>
      <w:r w:rsidR="000B016F" w:rsidRPr="00AD3B49">
        <w:rPr>
          <w:sz w:val="22"/>
          <w:szCs w:val="22"/>
          <w:lang w:val="sr-Latn-ME"/>
        </w:rPr>
        <w:t>nedjelje</w:t>
      </w:r>
      <w:r w:rsidRPr="00AD3B49">
        <w:rPr>
          <w:sz w:val="22"/>
          <w:szCs w:val="22"/>
          <w:lang w:val="sr-Latn-ME"/>
        </w:rPr>
        <w:t xml:space="preserve">, 40 mg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svake druge </w:t>
      </w:r>
      <w:r w:rsidR="000B016F" w:rsidRPr="00AD3B49">
        <w:rPr>
          <w:sz w:val="22"/>
          <w:szCs w:val="22"/>
          <w:lang w:val="sr-Latn-ME"/>
        </w:rPr>
        <w:t>nedjelje</w:t>
      </w:r>
      <w:r w:rsidRPr="00AD3B49">
        <w:rPr>
          <w:sz w:val="22"/>
          <w:szCs w:val="22"/>
          <w:lang w:val="sr-Latn-ME"/>
        </w:rPr>
        <w:t xml:space="preserve"> ili placebo tokom ukupnog perioda trajanja ispitivanja od 56 </w:t>
      </w:r>
      <w:r w:rsidR="000B016F" w:rsidRPr="00AD3B49">
        <w:rPr>
          <w:sz w:val="22"/>
          <w:szCs w:val="22"/>
          <w:lang w:val="sr-Latn-ME"/>
        </w:rPr>
        <w:t>nedjelja</w:t>
      </w:r>
      <w:r w:rsidRPr="00AD3B49">
        <w:rPr>
          <w:sz w:val="22"/>
          <w:szCs w:val="22"/>
          <w:lang w:val="sr-Latn-ME"/>
        </w:rPr>
        <w:t xml:space="preserve">. Pacijenti s kliničkim odgovorom (smanjenje CDAI ≥ 70) u 4. </w:t>
      </w:r>
      <w:r w:rsidR="000B016F" w:rsidRPr="00AD3B49">
        <w:rPr>
          <w:sz w:val="22"/>
          <w:szCs w:val="22"/>
          <w:lang w:val="sr-Latn-ME"/>
        </w:rPr>
        <w:t>nedjelji</w:t>
      </w:r>
      <w:r w:rsidRPr="00AD3B49">
        <w:rPr>
          <w:sz w:val="22"/>
          <w:szCs w:val="22"/>
          <w:lang w:val="sr-Latn-ME"/>
        </w:rPr>
        <w:t xml:space="preserve">  su </w:t>
      </w:r>
      <w:r w:rsidR="002C4575" w:rsidRPr="00AD3B49">
        <w:rPr>
          <w:sz w:val="22"/>
          <w:szCs w:val="22"/>
          <w:lang w:val="sr-Latn-ME"/>
        </w:rPr>
        <w:t>pod</w:t>
      </w:r>
      <w:r w:rsidR="00E307E8" w:rsidRPr="00AD3B49">
        <w:rPr>
          <w:sz w:val="22"/>
          <w:szCs w:val="22"/>
          <w:lang w:val="sr-Latn-ME"/>
        </w:rPr>
        <w:t>i</w:t>
      </w:r>
      <w:r w:rsidR="002C4575" w:rsidRPr="00AD3B49">
        <w:rPr>
          <w:sz w:val="22"/>
          <w:szCs w:val="22"/>
          <w:lang w:val="sr-Latn-ME"/>
        </w:rPr>
        <w:t>jeljeni</w:t>
      </w:r>
      <w:r w:rsidRPr="00AD3B49">
        <w:rPr>
          <w:sz w:val="22"/>
          <w:szCs w:val="22"/>
          <w:lang w:val="sr-Latn-ME"/>
        </w:rPr>
        <w:t xml:space="preserve"> i analizirani odvojeno od pacijenata bez kliničkog odgovora u 4-toj </w:t>
      </w:r>
      <w:r w:rsidR="000B016F" w:rsidRPr="00AD3B49">
        <w:rPr>
          <w:sz w:val="22"/>
          <w:szCs w:val="22"/>
          <w:lang w:val="sr-Latn-ME"/>
        </w:rPr>
        <w:t>nedjelji</w:t>
      </w:r>
      <w:r w:rsidRPr="00AD3B49">
        <w:rPr>
          <w:sz w:val="22"/>
          <w:szCs w:val="22"/>
          <w:lang w:val="sr-Latn-ME"/>
        </w:rPr>
        <w:t xml:space="preserve">. Dozvoljeno je smanjenje doze kortikosteroida nakon 8 </w:t>
      </w:r>
      <w:r w:rsidR="000B016F" w:rsidRPr="00AD3B49">
        <w:rPr>
          <w:sz w:val="22"/>
          <w:szCs w:val="22"/>
          <w:lang w:val="sr-Latn-ME"/>
        </w:rPr>
        <w:t>nedjelja</w:t>
      </w:r>
      <w:r w:rsidRPr="00AD3B49">
        <w:rPr>
          <w:sz w:val="22"/>
          <w:szCs w:val="22"/>
          <w:lang w:val="sr-Latn-ME"/>
        </w:rPr>
        <w:t xml:space="preserve">. </w:t>
      </w:r>
    </w:p>
    <w:p w:rsidR="00A31DD9" w:rsidRPr="00AD3B49" w:rsidRDefault="00A31DD9" w:rsidP="00A31DD9">
      <w:pPr>
        <w:autoSpaceDE w:val="0"/>
        <w:autoSpaceDN w:val="0"/>
        <w:adjustRightInd w:val="0"/>
        <w:jc w:val="both"/>
        <w:rPr>
          <w:sz w:val="22"/>
          <w:szCs w:val="22"/>
          <w:lang w:val="sr-Latn-ME"/>
        </w:rPr>
      </w:pPr>
    </w:p>
    <w:p w:rsidR="00637D9A" w:rsidRDefault="00637D9A" w:rsidP="00A31DD9">
      <w:pPr>
        <w:autoSpaceDE w:val="0"/>
        <w:autoSpaceDN w:val="0"/>
        <w:adjustRightInd w:val="0"/>
        <w:jc w:val="both"/>
        <w:rPr>
          <w:sz w:val="22"/>
          <w:szCs w:val="22"/>
          <w:lang w:val="sr-Latn-ME"/>
        </w:rPr>
      </w:pPr>
    </w:p>
    <w:p w:rsidR="00A31DD9" w:rsidRPr="00AD3B49" w:rsidRDefault="00A31DD9" w:rsidP="00A31DD9">
      <w:pPr>
        <w:autoSpaceDE w:val="0"/>
        <w:autoSpaceDN w:val="0"/>
        <w:adjustRightInd w:val="0"/>
        <w:jc w:val="both"/>
        <w:rPr>
          <w:sz w:val="22"/>
          <w:szCs w:val="22"/>
          <w:lang w:val="sr-Latn-ME"/>
        </w:rPr>
      </w:pPr>
      <w:r w:rsidRPr="00AD3B49">
        <w:rPr>
          <w:sz w:val="22"/>
          <w:szCs w:val="22"/>
          <w:lang w:val="sr-Latn-ME"/>
        </w:rPr>
        <w:t xml:space="preserve">Indukcija remisije i stopa kliničkog odgovora ispitivanja CD I i II prikazani su u Tabeli 14. </w:t>
      </w:r>
    </w:p>
    <w:p w:rsidR="00A31DD9" w:rsidRPr="00AD3B49" w:rsidRDefault="00A31DD9" w:rsidP="00A31DD9">
      <w:pPr>
        <w:autoSpaceDE w:val="0"/>
        <w:autoSpaceDN w:val="0"/>
        <w:adjustRightInd w:val="0"/>
        <w:jc w:val="both"/>
        <w:rPr>
          <w:sz w:val="22"/>
          <w:szCs w:val="22"/>
          <w:lang w:val="sr-Latn-ME"/>
        </w:rPr>
      </w:pPr>
    </w:p>
    <w:p w:rsidR="00A31DD9" w:rsidRPr="00AD3B49" w:rsidRDefault="00A31DD9" w:rsidP="006B0826">
      <w:pPr>
        <w:autoSpaceDE w:val="0"/>
        <w:autoSpaceDN w:val="0"/>
        <w:adjustRightInd w:val="0"/>
        <w:jc w:val="center"/>
        <w:rPr>
          <w:b/>
          <w:sz w:val="22"/>
          <w:szCs w:val="22"/>
          <w:lang w:val="sr-Latn-ME"/>
        </w:rPr>
      </w:pPr>
      <w:r w:rsidRPr="00AD3B49">
        <w:rPr>
          <w:b/>
          <w:sz w:val="22"/>
          <w:szCs w:val="22"/>
          <w:lang w:val="sr-Latn-ME"/>
        </w:rPr>
        <w:t>Tabela 14</w:t>
      </w:r>
    </w:p>
    <w:p w:rsidR="00A31DD9" w:rsidRPr="00AD3B49" w:rsidRDefault="00A31DD9" w:rsidP="006B0826">
      <w:pPr>
        <w:autoSpaceDE w:val="0"/>
        <w:autoSpaceDN w:val="0"/>
        <w:adjustRightInd w:val="0"/>
        <w:jc w:val="center"/>
        <w:rPr>
          <w:b/>
          <w:sz w:val="22"/>
          <w:szCs w:val="22"/>
          <w:lang w:val="sr-Latn-ME"/>
        </w:rPr>
      </w:pPr>
      <w:r w:rsidRPr="00AD3B49">
        <w:rPr>
          <w:b/>
          <w:sz w:val="22"/>
          <w:szCs w:val="22"/>
          <w:lang w:val="sr-Latn-ME"/>
        </w:rPr>
        <w:t>Indukcija kliničke remisije i kliničkog odgovora</w:t>
      </w:r>
    </w:p>
    <w:p w:rsidR="00A31DD9" w:rsidRPr="00AD3B49" w:rsidRDefault="00A31DD9" w:rsidP="006B0826">
      <w:pPr>
        <w:autoSpaceDE w:val="0"/>
        <w:autoSpaceDN w:val="0"/>
        <w:adjustRightInd w:val="0"/>
        <w:jc w:val="center"/>
        <w:rPr>
          <w:b/>
          <w:sz w:val="22"/>
          <w:szCs w:val="22"/>
          <w:lang w:val="sr-Latn-ME"/>
        </w:rPr>
      </w:pPr>
      <w:r w:rsidRPr="00AD3B49">
        <w:rPr>
          <w:b/>
          <w:sz w:val="22"/>
          <w:szCs w:val="22"/>
          <w:lang w:val="sr-Latn-ME"/>
        </w:rPr>
        <w:t>(Procenat pacijenata)</w:t>
      </w:r>
    </w:p>
    <w:p w:rsidR="00A31DD9" w:rsidRPr="00AD3B49" w:rsidRDefault="00A31DD9" w:rsidP="00A31DD9">
      <w:pPr>
        <w:autoSpaceDE w:val="0"/>
        <w:autoSpaceDN w:val="0"/>
        <w:adjustRightInd w:val="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417"/>
        <w:gridCol w:w="1418"/>
        <w:gridCol w:w="1417"/>
        <w:gridCol w:w="1418"/>
        <w:gridCol w:w="1375"/>
      </w:tblGrid>
      <w:tr w:rsidR="00A31DD9" w:rsidRPr="00AD3B49" w:rsidTr="00C86F3F">
        <w:tc>
          <w:tcPr>
            <w:tcW w:w="2235" w:type="dxa"/>
            <w:shd w:val="clear" w:color="auto" w:fill="auto"/>
          </w:tcPr>
          <w:p w:rsidR="00A31DD9" w:rsidRPr="00AD3B49" w:rsidRDefault="00A31DD9" w:rsidP="00C86F3F">
            <w:pPr>
              <w:autoSpaceDE w:val="0"/>
              <w:autoSpaceDN w:val="0"/>
              <w:adjustRightInd w:val="0"/>
              <w:jc w:val="both"/>
              <w:rPr>
                <w:sz w:val="22"/>
                <w:szCs w:val="22"/>
                <w:lang w:val="sr-Latn-ME"/>
              </w:rPr>
            </w:pPr>
          </w:p>
        </w:tc>
        <w:tc>
          <w:tcPr>
            <w:tcW w:w="4252" w:type="dxa"/>
            <w:gridSpan w:val="3"/>
            <w:shd w:val="clear" w:color="auto" w:fill="auto"/>
          </w:tcPr>
          <w:p w:rsidR="00A31DD9" w:rsidRPr="00AD3B49" w:rsidRDefault="00A31DD9" w:rsidP="00C86F3F">
            <w:pPr>
              <w:autoSpaceDE w:val="0"/>
              <w:autoSpaceDN w:val="0"/>
              <w:adjustRightInd w:val="0"/>
              <w:rPr>
                <w:rFonts w:ascii="TimesNewRomanPS-BoldMT" w:hAnsi="TimesNewRomanPS-BoldMT" w:cs="TimesNewRomanPS-BoldMT"/>
                <w:b/>
                <w:bCs/>
                <w:sz w:val="22"/>
                <w:szCs w:val="22"/>
                <w:lang w:val="sr-Latn-ME"/>
              </w:rPr>
            </w:pPr>
            <w:r w:rsidRPr="00AD3B49">
              <w:rPr>
                <w:rFonts w:ascii="TimesNewRomanPS-BoldMT" w:hAnsi="TimesNewRomanPS-BoldMT" w:cs="TimesNewRomanPS-BoldMT"/>
                <w:b/>
                <w:bCs/>
                <w:sz w:val="22"/>
                <w:szCs w:val="22"/>
                <w:lang w:val="sr-Latn-ME"/>
              </w:rPr>
              <w:t xml:space="preserve">CD I: pacijenti koji prethodno nisu uzimali </w:t>
            </w:r>
            <w:r w:rsidR="00E307E8" w:rsidRPr="00AD3B49">
              <w:rPr>
                <w:rFonts w:ascii="TimesNewRomanPS-BoldMT" w:hAnsi="TimesNewRomanPS-BoldMT" w:cs="TimesNewRomanPS-BoldMT"/>
                <w:b/>
                <w:bCs/>
                <w:sz w:val="22"/>
                <w:szCs w:val="22"/>
                <w:lang w:val="sr-Latn-ME"/>
              </w:rPr>
              <w:t>i</w:t>
            </w:r>
            <w:r w:rsidRPr="00AD3B49">
              <w:rPr>
                <w:rFonts w:ascii="TimesNewRomanPS-BoldMT" w:hAnsi="TimesNewRomanPS-BoldMT" w:cs="TimesNewRomanPS-BoldMT"/>
                <w:b/>
                <w:bCs/>
                <w:sz w:val="22"/>
                <w:szCs w:val="22"/>
                <w:lang w:val="sr-Latn-ME"/>
              </w:rPr>
              <w:t>nfliksimab</w:t>
            </w:r>
          </w:p>
        </w:tc>
        <w:tc>
          <w:tcPr>
            <w:tcW w:w="2793" w:type="dxa"/>
            <w:gridSpan w:val="2"/>
            <w:shd w:val="clear" w:color="auto" w:fill="auto"/>
          </w:tcPr>
          <w:p w:rsidR="00A31DD9" w:rsidRPr="00AD3B49" w:rsidRDefault="00A31DD9" w:rsidP="00E307E8">
            <w:pPr>
              <w:autoSpaceDE w:val="0"/>
              <w:autoSpaceDN w:val="0"/>
              <w:adjustRightInd w:val="0"/>
              <w:rPr>
                <w:sz w:val="22"/>
                <w:szCs w:val="22"/>
                <w:lang w:val="sr-Latn-ME"/>
              </w:rPr>
            </w:pPr>
            <w:r w:rsidRPr="00AD3B49">
              <w:rPr>
                <w:rFonts w:ascii="TimesNewRomanPS-BoldMT" w:hAnsi="TimesNewRomanPS-BoldMT" w:cs="TimesNewRomanPS-BoldMT"/>
                <w:b/>
                <w:bCs/>
                <w:sz w:val="22"/>
                <w:szCs w:val="22"/>
                <w:lang w:val="sr-Latn-ME"/>
              </w:rPr>
              <w:t xml:space="preserve">CD II: pacijenti koji su uzimali </w:t>
            </w:r>
            <w:r w:rsidR="00E307E8" w:rsidRPr="00AD3B49">
              <w:rPr>
                <w:rFonts w:ascii="TimesNewRomanPS-BoldMT" w:hAnsi="TimesNewRomanPS-BoldMT" w:cs="TimesNewRomanPS-BoldMT"/>
                <w:b/>
                <w:bCs/>
                <w:sz w:val="22"/>
                <w:szCs w:val="22"/>
                <w:lang w:val="sr-Latn-ME"/>
              </w:rPr>
              <w:t>i</w:t>
            </w:r>
            <w:r w:rsidRPr="00AD3B49">
              <w:rPr>
                <w:rFonts w:ascii="TimesNewRomanPS-BoldMT" w:hAnsi="TimesNewRomanPS-BoldMT" w:cs="TimesNewRomanPS-BoldMT"/>
                <w:b/>
                <w:bCs/>
                <w:sz w:val="22"/>
                <w:szCs w:val="22"/>
                <w:lang w:val="sr-Latn-ME"/>
              </w:rPr>
              <w:t>nfliksimab</w:t>
            </w:r>
          </w:p>
        </w:tc>
      </w:tr>
      <w:tr w:rsidR="00A31DD9" w:rsidRPr="00AD3B49" w:rsidTr="00C86F3F">
        <w:tc>
          <w:tcPr>
            <w:tcW w:w="2235" w:type="dxa"/>
            <w:shd w:val="clear" w:color="auto" w:fill="auto"/>
          </w:tcPr>
          <w:p w:rsidR="00A31DD9" w:rsidRPr="00AD3B49" w:rsidRDefault="00A31DD9" w:rsidP="00C86F3F">
            <w:pPr>
              <w:autoSpaceDE w:val="0"/>
              <w:autoSpaceDN w:val="0"/>
              <w:adjustRightInd w:val="0"/>
              <w:jc w:val="both"/>
              <w:rPr>
                <w:sz w:val="22"/>
                <w:szCs w:val="22"/>
                <w:lang w:val="sr-Latn-ME"/>
              </w:rPr>
            </w:pPr>
          </w:p>
        </w:tc>
        <w:tc>
          <w:tcPr>
            <w:tcW w:w="1417" w:type="dxa"/>
            <w:shd w:val="clear" w:color="auto" w:fill="auto"/>
          </w:tcPr>
          <w:p w:rsidR="00A31DD9" w:rsidRPr="00AD3B49" w:rsidRDefault="00A31DD9" w:rsidP="00C86F3F">
            <w:pPr>
              <w:autoSpaceDE w:val="0"/>
              <w:autoSpaceDN w:val="0"/>
              <w:adjustRightInd w:val="0"/>
              <w:rPr>
                <w:rFonts w:ascii="TimesNewRomanPS-BoldMT" w:hAnsi="TimesNewRomanPS-BoldMT" w:cs="TimesNewRomanPS-BoldMT"/>
                <w:b/>
                <w:bCs/>
                <w:sz w:val="22"/>
                <w:szCs w:val="22"/>
                <w:lang w:val="sr-Latn-ME"/>
              </w:rPr>
            </w:pPr>
            <w:r w:rsidRPr="00AD3B49">
              <w:rPr>
                <w:rFonts w:ascii="TimesNewRomanPS-BoldMT" w:hAnsi="TimesNewRomanPS-BoldMT" w:cs="TimesNewRomanPS-BoldMT"/>
                <w:b/>
                <w:bCs/>
                <w:sz w:val="22"/>
                <w:szCs w:val="22"/>
                <w:lang w:val="sr-Latn-ME"/>
              </w:rPr>
              <w:t>Placebo</w:t>
            </w:r>
          </w:p>
          <w:p w:rsidR="00A31DD9" w:rsidRPr="00AD3B49" w:rsidRDefault="00A31DD9" w:rsidP="00C86F3F">
            <w:pPr>
              <w:autoSpaceDE w:val="0"/>
              <w:autoSpaceDN w:val="0"/>
              <w:adjustRightInd w:val="0"/>
              <w:rPr>
                <w:sz w:val="22"/>
                <w:szCs w:val="22"/>
                <w:lang w:val="sr-Latn-ME"/>
              </w:rPr>
            </w:pPr>
            <w:r w:rsidRPr="00AD3B49">
              <w:rPr>
                <w:rFonts w:ascii="TimesNewRomanPS-BoldMT" w:hAnsi="TimesNewRomanPS-BoldMT" w:cs="TimesNewRomanPS-BoldMT"/>
                <w:b/>
                <w:bCs/>
                <w:sz w:val="22"/>
                <w:szCs w:val="22"/>
                <w:lang w:val="sr-Latn-ME"/>
              </w:rPr>
              <w:t>N=74</w:t>
            </w:r>
          </w:p>
        </w:tc>
        <w:tc>
          <w:tcPr>
            <w:tcW w:w="1418" w:type="dxa"/>
            <w:shd w:val="clear" w:color="auto" w:fill="auto"/>
          </w:tcPr>
          <w:p w:rsidR="00A31DD9" w:rsidRPr="00AD3B49" w:rsidRDefault="00A31DD9" w:rsidP="00C86F3F">
            <w:pPr>
              <w:autoSpaceDE w:val="0"/>
              <w:autoSpaceDN w:val="0"/>
              <w:adjustRightInd w:val="0"/>
              <w:rPr>
                <w:rFonts w:ascii="TimesNewRomanPS-BoldMT" w:hAnsi="TimesNewRomanPS-BoldMT" w:cs="TimesNewRomanPS-BoldMT"/>
                <w:b/>
                <w:bCs/>
                <w:sz w:val="22"/>
                <w:szCs w:val="22"/>
                <w:lang w:val="sr-Latn-ME"/>
              </w:rPr>
            </w:pPr>
            <w:r w:rsidRPr="00AD3B49">
              <w:rPr>
                <w:rFonts w:ascii="TimesNewRomanPS-BoldMT" w:hAnsi="TimesNewRomanPS-BoldMT" w:cs="TimesNewRomanPS-BoldMT"/>
                <w:b/>
                <w:bCs/>
                <w:sz w:val="22"/>
                <w:szCs w:val="22"/>
                <w:lang w:val="sr-Latn-ME"/>
              </w:rPr>
              <w:t>Humira</w:t>
            </w:r>
          </w:p>
          <w:p w:rsidR="00A31DD9" w:rsidRPr="00AD3B49" w:rsidRDefault="00A31DD9" w:rsidP="00C86F3F">
            <w:pPr>
              <w:autoSpaceDE w:val="0"/>
              <w:autoSpaceDN w:val="0"/>
              <w:adjustRightInd w:val="0"/>
              <w:rPr>
                <w:rFonts w:ascii="TimesNewRomanPS-BoldMT" w:hAnsi="TimesNewRomanPS-BoldMT" w:cs="TimesNewRomanPS-BoldMT"/>
                <w:b/>
                <w:bCs/>
                <w:sz w:val="22"/>
                <w:szCs w:val="22"/>
                <w:lang w:val="sr-Latn-ME"/>
              </w:rPr>
            </w:pPr>
            <w:r w:rsidRPr="00AD3B49">
              <w:rPr>
                <w:rFonts w:ascii="TimesNewRomanPS-BoldMT" w:hAnsi="TimesNewRomanPS-BoldMT" w:cs="TimesNewRomanPS-BoldMT"/>
                <w:b/>
                <w:bCs/>
                <w:sz w:val="22"/>
                <w:szCs w:val="22"/>
                <w:lang w:val="sr-Latn-ME"/>
              </w:rPr>
              <w:t>80/40 mg</w:t>
            </w:r>
          </w:p>
          <w:p w:rsidR="00A31DD9" w:rsidRPr="00AD3B49" w:rsidRDefault="00A31DD9" w:rsidP="00C86F3F">
            <w:pPr>
              <w:autoSpaceDE w:val="0"/>
              <w:autoSpaceDN w:val="0"/>
              <w:adjustRightInd w:val="0"/>
              <w:rPr>
                <w:sz w:val="22"/>
                <w:szCs w:val="22"/>
                <w:lang w:val="sr-Latn-ME"/>
              </w:rPr>
            </w:pPr>
            <w:r w:rsidRPr="00AD3B49">
              <w:rPr>
                <w:rFonts w:ascii="TimesNewRomanPS-BoldMT" w:hAnsi="TimesNewRomanPS-BoldMT" w:cs="TimesNewRomanPS-BoldMT"/>
                <w:b/>
                <w:bCs/>
                <w:sz w:val="22"/>
                <w:szCs w:val="22"/>
                <w:lang w:val="sr-Latn-ME"/>
              </w:rPr>
              <w:t>N = 75</w:t>
            </w:r>
          </w:p>
        </w:tc>
        <w:tc>
          <w:tcPr>
            <w:tcW w:w="1417" w:type="dxa"/>
            <w:shd w:val="clear" w:color="auto" w:fill="auto"/>
          </w:tcPr>
          <w:p w:rsidR="00A31DD9" w:rsidRPr="00AD3B49" w:rsidRDefault="00A31DD9" w:rsidP="00C86F3F">
            <w:pPr>
              <w:autoSpaceDE w:val="0"/>
              <w:autoSpaceDN w:val="0"/>
              <w:adjustRightInd w:val="0"/>
              <w:rPr>
                <w:rFonts w:ascii="TimesNewRomanPS-BoldMT" w:hAnsi="TimesNewRomanPS-BoldMT" w:cs="TimesNewRomanPS-BoldMT"/>
                <w:b/>
                <w:bCs/>
                <w:sz w:val="22"/>
                <w:szCs w:val="22"/>
                <w:lang w:val="sr-Latn-ME"/>
              </w:rPr>
            </w:pPr>
            <w:r w:rsidRPr="00AD3B49">
              <w:rPr>
                <w:rFonts w:ascii="TimesNewRomanPS-BoldMT" w:hAnsi="TimesNewRomanPS-BoldMT" w:cs="TimesNewRomanPS-BoldMT"/>
                <w:b/>
                <w:bCs/>
                <w:sz w:val="22"/>
                <w:szCs w:val="22"/>
                <w:lang w:val="sr-Latn-ME"/>
              </w:rPr>
              <w:t>Humira</w:t>
            </w:r>
          </w:p>
          <w:p w:rsidR="00A31DD9" w:rsidRPr="00AD3B49" w:rsidRDefault="00A31DD9" w:rsidP="00C86F3F">
            <w:pPr>
              <w:autoSpaceDE w:val="0"/>
              <w:autoSpaceDN w:val="0"/>
              <w:adjustRightInd w:val="0"/>
              <w:rPr>
                <w:rFonts w:ascii="TimesNewRomanPS-BoldMT" w:hAnsi="TimesNewRomanPS-BoldMT" w:cs="TimesNewRomanPS-BoldMT"/>
                <w:b/>
                <w:bCs/>
                <w:sz w:val="22"/>
                <w:szCs w:val="22"/>
                <w:lang w:val="sr-Latn-ME"/>
              </w:rPr>
            </w:pPr>
            <w:r w:rsidRPr="00AD3B49">
              <w:rPr>
                <w:rFonts w:ascii="TimesNewRomanPS-BoldMT" w:hAnsi="TimesNewRomanPS-BoldMT" w:cs="TimesNewRomanPS-BoldMT"/>
                <w:b/>
                <w:bCs/>
                <w:sz w:val="22"/>
                <w:szCs w:val="22"/>
                <w:lang w:val="sr-Latn-ME"/>
              </w:rPr>
              <w:t>160/80 mg</w:t>
            </w:r>
          </w:p>
          <w:p w:rsidR="00A31DD9" w:rsidRPr="00AD3B49" w:rsidRDefault="00A31DD9" w:rsidP="00C86F3F">
            <w:pPr>
              <w:autoSpaceDE w:val="0"/>
              <w:autoSpaceDN w:val="0"/>
              <w:adjustRightInd w:val="0"/>
              <w:rPr>
                <w:sz w:val="22"/>
                <w:szCs w:val="22"/>
                <w:lang w:val="sr-Latn-ME"/>
              </w:rPr>
            </w:pPr>
            <w:r w:rsidRPr="00AD3B49">
              <w:rPr>
                <w:rFonts w:ascii="TimesNewRomanPS-BoldMT" w:hAnsi="TimesNewRomanPS-BoldMT" w:cs="TimesNewRomanPS-BoldMT"/>
                <w:b/>
                <w:bCs/>
                <w:sz w:val="22"/>
                <w:szCs w:val="22"/>
                <w:lang w:val="sr-Latn-ME"/>
              </w:rPr>
              <w:t>N=76</w:t>
            </w:r>
          </w:p>
        </w:tc>
        <w:tc>
          <w:tcPr>
            <w:tcW w:w="1418" w:type="dxa"/>
            <w:shd w:val="clear" w:color="auto" w:fill="auto"/>
          </w:tcPr>
          <w:p w:rsidR="00A31DD9" w:rsidRPr="00AD3B49" w:rsidRDefault="00A31DD9" w:rsidP="00C86F3F">
            <w:pPr>
              <w:autoSpaceDE w:val="0"/>
              <w:autoSpaceDN w:val="0"/>
              <w:adjustRightInd w:val="0"/>
              <w:rPr>
                <w:rFonts w:ascii="TimesNewRomanPS-BoldMT" w:hAnsi="TimesNewRomanPS-BoldMT" w:cs="TimesNewRomanPS-BoldMT"/>
                <w:b/>
                <w:bCs/>
                <w:sz w:val="22"/>
                <w:szCs w:val="22"/>
                <w:lang w:val="sr-Latn-ME"/>
              </w:rPr>
            </w:pPr>
            <w:r w:rsidRPr="00AD3B49">
              <w:rPr>
                <w:rFonts w:ascii="TimesNewRomanPS-BoldMT" w:hAnsi="TimesNewRomanPS-BoldMT" w:cs="TimesNewRomanPS-BoldMT"/>
                <w:b/>
                <w:bCs/>
                <w:sz w:val="22"/>
                <w:szCs w:val="22"/>
                <w:lang w:val="sr-Latn-ME"/>
              </w:rPr>
              <w:t>Placebo</w:t>
            </w:r>
          </w:p>
          <w:p w:rsidR="00A31DD9" w:rsidRPr="00AD3B49" w:rsidRDefault="00A31DD9" w:rsidP="00C86F3F">
            <w:pPr>
              <w:autoSpaceDE w:val="0"/>
              <w:autoSpaceDN w:val="0"/>
              <w:adjustRightInd w:val="0"/>
              <w:rPr>
                <w:sz w:val="22"/>
                <w:szCs w:val="22"/>
                <w:lang w:val="sr-Latn-ME"/>
              </w:rPr>
            </w:pPr>
            <w:r w:rsidRPr="00AD3B49">
              <w:rPr>
                <w:rFonts w:ascii="TimesNewRomanPS-BoldMT" w:hAnsi="TimesNewRomanPS-BoldMT" w:cs="TimesNewRomanPS-BoldMT"/>
                <w:b/>
                <w:bCs/>
                <w:sz w:val="22"/>
                <w:szCs w:val="22"/>
                <w:lang w:val="sr-Latn-ME"/>
              </w:rPr>
              <w:t>N=166</w:t>
            </w:r>
          </w:p>
        </w:tc>
        <w:tc>
          <w:tcPr>
            <w:tcW w:w="1375" w:type="dxa"/>
            <w:shd w:val="clear" w:color="auto" w:fill="auto"/>
          </w:tcPr>
          <w:p w:rsidR="00A31DD9" w:rsidRPr="00AD3B49" w:rsidRDefault="00A31DD9" w:rsidP="00C86F3F">
            <w:pPr>
              <w:autoSpaceDE w:val="0"/>
              <w:autoSpaceDN w:val="0"/>
              <w:adjustRightInd w:val="0"/>
              <w:rPr>
                <w:rFonts w:ascii="TimesNewRomanPS-BoldMT" w:hAnsi="TimesNewRomanPS-BoldMT" w:cs="TimesNewRomanPS-BoldMT"/>
                <w:b/>
                <w:bCs/>
                <w:sz w:val="22"/>
                <w:szCs w:val="22"/>
                <w:lang w:val="sr-Latn-ME"/>
              </w:rPr>
            </w:pPr>
            <w:r w:rsidRPr="00AD3B49">
              <w:rPr>
                <w:rFonts w:ascii="TimesNewRomanPS-BoldMT" w:hAnsi="TimesNewRomanPS-BoldMT" w:cs="TimesNewRomanPS-BoldMT"/>
                <w:b/>
                <w:bCs/>
                <w:sz w:val="22"/>
                <w:szCs w:val="22"/>
                <w:lang w:val="sr-Latn-ME"/>
              </w:rPr>
              <w:t>Humira</w:t>
            </w:r>
          </w:p>
          <w:p w:rsidR="00A31DD9" w:rsidRPr="00AD3B49" w:rsidRDefault="00A31DD9" w:rsidP="00C86F3F">
            <w:pPr>
              <w:autoSpaceDE w:val="0"/>
              <w:autoSpaceDN w:val="0"/>
              <w:adjustRightInd w:val="0"/>
              <w:rPr>
                <w:rFonts w:ascii="TimesNewRomanPS-BoldMT" w:hAnsi="TimesNewRomanPS-BoldMT" w:cs="TimesNewRomanPS-BoldMT"/>
                <w:b/>
                <w:bCs/>
                <w:sz w:val="22"/>
                <w:szCs w:val="22"/>
                <w:lang w:val="sr-Latn-ME"/>
              </w:rPr>
            </w:pPr>
            <w:r w:rsidRPr="00AD3B49">
              <w:rPr>
                <w:rFonts w:ascii="TimesNewRomanPS-BoldMT" w:hAnsi="TimesNewRomanPS-BoldMT" w:cs="TimesNewRomanPS-BoldMT"/>
                <w:b/>
                <w:bCs/>
                <w:sz w:val="22"/>
                <w:szCs w:val="22"/>
                <w:lang w:val="sr-Latn-ME"/>
              </w:rPr>
              <w:t>160/80 mg</w:t>
            </w:r>
          </w:p>
          <w:p w:rsidR="00A31DD9" w:rsidRPr="00AD3B49" w:rsidRDefault="00A31DD9" w:rsidP="00C86F3F">
            <w:pPr>
              <w:autoSpaceDE w:val="0"/>
              <w:autoSpaceDN w:val="0"/>
              <w:adjustRightInd w:val="0"/>
              <w:rPr>
                <w:sz w:val="22"/>
                <w:szCs w:val="22"/>
                <w:lang w:val="sr-Latn-ME"/>
              </w:rPr>
            </w:pPr>
            <w:r w:rsidRPr="00AD3B49">
              <w:rPr>
                <w:rFonts w:ascii="TimesNewRomanPS-BoldMT" w:hAnsi="TimesNewRomanPS-BoldMT" w:cs="TimesNewRomanPS-BoldMT"/>
                <w:b/>
                <w:bCs/>
                <w:sz w:val="22"/>
                <w:szCs w:val="22"/>
                <w:lang w:val="sr-Latn-ME"/>
              </w:rPr>
              <w:t>N=159</w:t>
            </w:r>
          </w:p>
        </w:tc>
      </w:tr>
      <w:tr w:rsidR="00A31DD9" w:rsidRPr="00AD3B49" w:rsidTr="00C86F3F">
        <w:tc>
          <w:tcPr>
            <w:tcW w:w="2235" w:type="dxa"/>
            <w:shd w:val="clear" w:color="auto" w:fill="auto"/>
          </w:tcPr>
          <w:p w:rsidR="00A31DD9" w:rsidRPr="00AD3B49" w:rsidRDefault="000B016F" w:rsidP="00C86F3F">
            <w:pPr>
              <w:autoSpaceDE w:val="0"/>
              <w:autoSpaceDN w:val="0"/>
              <w:adjustRightInd w:val="0"/>
              <w:jc w:val="both"/>
              <w:rPr>
                <w:sz w:val="22"/>
                <w:szCs w:val="22"/>
                <w:lang w:val="sr-Latn-ME"/>
              </w:rPr>
            </w:pPr>
            <w:r w:rsidRPr="00AD3B49">
              <w:rPr>
                <w:sz w:val="22"/>
                <w:szCs w:val="22"/>
                <w:lang w:val="sr-Latn-ME"/>
              </w:rPr>
              <w:t>Nedjelja</w:t>
            </w:r>
            <w:r w:rsidR="00A31DD9" w:rsidRPr="00AD3B49">
              <w:rPr>
                <w:sz w:val="22"/>
                <w:szCs w:val="22"/>
                <w:lang w:val="sr-Latn-ME"/>
              </w:rPr>
              <w:t xml:space="preserve"> 4 </w:t>
            </w:r>
          </w:p>
        </w:tc>
        <w:tc>
          <w:tcPr>
            <w:tcW w:w="1417" w:type="dxa"/>
            <w:shd w:val="clear" w:color="auto" w:fill="auto"/>
          </w:tcPr>
          <w:p w:rsidR="00A31DD9" w:rsidRPr="00AD3B49" w:rsidRDefault="00A31DD9" w:rsidP="00C86F3F">
            <w:pPr>
              <w:autoSpaceDE w:val="0"/>
              <w:autoSpaceDN w:val="0"/>
              <w:adjustRightInd w:val="0"/>
              <w:jc w:val="center"/>
              <w:rPr>
                <w:sz w:val="22"/>
                <w:szCs w:val="22"/>
                <w:lang w:val="sr-Latn-ME"/>
              </w:rPr>
            </w:pPr>
          </w:p>
        </w:tc>
        <w:tc>
          <w:tcPr>
            <w:tcW w:w="1418" w:type="dxa"/>
            <w:shd w:val="clear" w:color="auto" w:fill="auto"/>
          </w:tcPr>
          <w:p w:rsidR="00A31DD9" w:rsidRPr="00AD3B49" w:rsidRDefault="00A31DD9" w:rsidP="00C86F3F">
            <w:pPr>
              <w:autoSpaceDE w:val="0"/>
              <w:autoSpaceDN w:val="0"/>
              <w:adjustRightInd w:val="0"/>
              <w:jc w:val="center"/>
              <w:rPr>
                <w:sz w:val="22"/>
                <w:szCs w:val="22"/>
                <w:lang w:val="sr-Latn-ME"/>
              </w:rPr>
            </w:pPr>
          </w:p>
        </w:tc>
        <w:tc>
          <w:tcPr>
            <w:tcW w:w="1417" w:type="dxa"/>
            <w:shd w:val="clear" w:color="auto" w:fill="auto"/>
          </w:tcPr>
          <w:p w:rsidR="00A31DD9" w:rsidRPr="00AD3B49" w:rsidRDefault="00A31DD9" w:rsidP="00C86F3F">
            <w:pPr>
              <w:autoSpaceDE w:val="0"/>
              <w:autoSpaceDN w:val="0"/>
              <w:adjustRightInd w:val="0"/>
              <w:jc w:val="center"/>
              <w:rPr>
                <w:sz w:val="22"/>
                <w:szCs w:val="22"/>
                <w:lang w:val="sr-Latn-ME"/>
              </w:rPr>
            </w:pPr>
          </w:p>
        </w:tc>
        <w:tc>
          <w:tcPr>
            <w:tcW w:w="1418" w:type="dxa"/>
            <w:shd w:val="clear" w:color="auto" w:fill="auto"/>
          </w:tcPr>
          <w:p w:rsidR="00A31DD9" w:rsidRPr="00AD3B49" w:rsidRDefault="00A31DD9" w:rsidP="00C86F3F">
            <w:pPr>
              <w:autoSpaceDE w:val="0"/>
              <w:autoSpaceDN w:val="0"/>
              <w:adjustRightInd w:val="0"/>
              <w:jc w:val="center"/>
              <w:rPr>
                <w:sz w:val="22"/>
                <w:szCs w:val="22"/>
                <w:lang w:val="sr-Latn-ME"/>
              </w:rPr>
            </w:pPr>
          </w:p>
        </w:tc>
        <w:tc>
          <w:tcPr>
            <w:tcW w:w="1375" w:type="dxa"/>
            <w:shd w:val="clear" w:color="auto" w:fill="auto"/>
          </w:tcPr>
          <w:p w:rsidR="00A31DD9" w:rsidRPr="00AD3B49" w:rsidRDefault="00A31DD9" w:rsidP="00C86F3F">
            <w:pPr>
              <w:autoSpaceDE w:val="0"/>
              <w:autoSpaceDN w:val="0"/>
              <w:adjustRightInd w:val="0"/>
              <w:jc w:val="center"/>
              <w:rPr>
                <w:sz w:val="22"/>
                <w:szCs w:val="22"/>
                <w:lang w:val="sr-Latn-ME"/>
              </w:rPr>
            </w:pPr>
          </w:p>
        </w:tc>
      </w:tr>
      <w:tr w:rsidR="00A31DD9" w:rsidRPr="00AD3B49" w:rsidTr="00C86F3F">
        <w:tc>
          <w:tcPr>
            <w:tcW w:w="2235" w:type="dxa"/>
            <w:shd w:val="clear" w:color="auto" w:fill="auto"/>
          </w:tcPr>
          <w:p w:rsidR="00A31DD9" w:rsidRPr="00AD3B49" w:rsidRDefault="00A31DD9" w:rsidP="00C86F3F">
            <w:pPr>
              <w:autoSpaceDE w:val="0"/>
              <w:autoSpaceDN w:val="0"/>
              <w:adjustRightInd w:val="0"/>
              <w:jc w:val="both"/>
              <w:rPr>
                <w:sz w:val="22"/>
                <w:szCs w:val="22"/>
                <w:lang w:val="sr-Latn-ME"/>
              </w:rPr>
            </w:pPr>
            <w:r w:rsidRPr="00AD3B49">
              <w:rPr>
                <w:sz w:val="22"/>
                <w:szCs w:val="22"/>
                <w:lang w:val="sr-Latn-ME"/>
              </w:rPr>
              <w:t xml:space="preserve">Klinička remisija </w:t>
            </w:r>
          </w:p>
        </w:tc>
        <w:tc>
          <w:tcPr>
            <w:tcW w:w="1417"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12%</w:t>
            </w:r>
          </w:p>
        </w:tc>
        <w:tc>
          <w:tcPr>
            <w:tcW w:w="1418"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24%</w:t>
            </w:r>
          </w:p>
        </w:tc>
        <w:tc>
          <w:tcPr>
            <w:tcW w:w="1417"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36%*</w:t>
            </w:r>
          </w:p>
        </w:tc>
        <w:tc>
          <w:tcPr>
            <w:tcW w:w="1418"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7%</w:t>
            </w:r>
          </w:p>
        </w:tc>
        <w:tc>
          <w:tcPr>
            <w:tcW w:w="1375"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21%*</w:t>
            </w:r>
          </w:p>
        </w:tc>
      </w:tr>
      <w:tr w:rsidR="00A31DD9" w:rsidRPr="00AD3B49" w:rsidTr="00C86F3F">
        <w:tc>
          <w:tcPr>
            <w:tcW w:w="2235"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Klinički odgovor (CR-</w:t>
            </w:r>
          </w:p>
          <w:p w:rsidR="00A31DD9" w:rsidRPr="00AD3B49" w:rsidRDefault="00A31DD9" w:rsidP="00C86F3F">
            <w:pPr>
              <w:autoSpaceDE w:val="0"/>
              <w:autoSpaceDN w:val="0"/>
              <w:adjustRightInd w:val="0"/>
              <w:jc w:val="both"/>
              <w:rPr>
                <w:sz w:val="22"/>
                <w:szCs w:val="22"/>
                <w:lang w:val="sr-Latn-ME"/>
              </w:rPr>
            </w:pPr>
            <w:r w:rsidRPr="00AD3B49">
              <w:rPr>
                <w:sz w:val="22"/>
                <w:szCs w:val="22"/>
                <w:lang w:val="sr-Latn-ME"/>
              </w:rPr>
              <w:t>100)</w:t>
            </w:r>
          </w:p>
        </w:tc>
        <w:tc>
          <w:tcPr>
            <w:tcW w:w="1417"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24%</w:t>
            </w:r>
          </w:p>
        </w:tc>
        <w:tc>
          <w:tcPr>
            <w:tcW w:w="1418"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37%</w:t>
            </w:r>
          </w:p>
        </w:tc>
        <w:tc>
          <w:tcPr>
            <w:tcW w:w="1417"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49%**</w:t>
            </w:r>
          </w:p>
        </w:tc>
        <w:tc>
          <w:tcPr>
            <w:tcW w:w="1418"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25%</w:t>
            </w:r>
          </w:p>
        </w:tc>
        <w:tc>
          <w:tcPr>
            <w:tcW w:w="1375"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38%**</w:t>
            </w:r>
          </w:p>
        </w:tc>
      </w:tr>
    </w:tbl>
    <w:p w:rsidR="00A31DD9" w:rsidRPr="00AD3B49" w:rsidRDefault="00A31DD9" w:rsidP="00A31DD9">
      <w:pPr>
        <w:autoSpaceDE w:val="0"/>
        <w:autoSpaceDN w:val="0"/>
        <w:adjustRightInd w:val="0"/>
        <w:rPr>
          <w:sz w:val="20"/>
          <w:szCs w:val="20"/>
          <w:lang w:val="sr-Latn-ME"/>
        </w:rPr>
      </w:pPr>
      <w:r w:rsidRPr="00AD3B49">
        <w:rPr>
          <w:sz w:val="20"/>
          <w:szCs w:val="20"/>
          <w:lang w:val="sr-Latn-ME"/>
        </w:rPr>
        <w:t xml:space="preserve">Sve p vrijednosti date u parovima odnose se na poređenje odnosa </w:t>
      </w:r>
      <w:r w:rsidR="0082613A" w:rsidRPr="00AD3B49">
        <w:rPr>
          <w:sz w:val="20"/>
          <w:szCs w:val="20"/>
          <w:lang w:val="sr-Latn-ME"/>
        </w:rPr>
        <w:t xml:space="preserve">lijeka </w:t>
      </w:r>
      <w:r w:rsidRPr="00AD3B49">
        <w:rPr>
          <w:sz w:val="20"/>
          <w:szCs w:val="20"/>
          <w:lang w:val="sr-Latn-ME"/>
        </w:rPr>
        <w:t>Humir</w:t>
      </w:r>
      <w:r w:rsidR="0082613A" w:rsidRPr="00AD3B49">
        <w:rPr>
          <w:sz w:val="20"/>
          <w:szCs w:val="20"/>
          <w:lang w:val="sr-Latn-ME"/>
        </w:rPr>
        <w:t>a</w:t>
      </w:r>
      <w:r w:rsidRPr="00AD3B49">
        <w:rPr>
          <w:sz w:val="20"/>
          <w:szCs w:val="20"/>
          <w:lang w:val="sr-Latn-ME"/>
        </w:rPr>
        <w:t xml:space="preserve"> i placeba </w:t>
      </w:r>
    </w:p>
    <w:p w:rsidR="00A31DD9" w:rsidRPr="00AD3B49" w:rsidRDefault="00A31DD9" w:rsidP="00A31DD9">
      <w:pPr>
        <w:autoSpaceDE w:val="0"/>
        <w:autoSpaceDN w:val="0"/>
        <w:adjustRightInd w:val="0"/>
        <w:rPr>
          <w:sz w:val="20"/>
          <w:szCs w:val="20"/>
          <w:lang w:val="sr-Latn-ME"/>
        </w:rPr>
      </w:pPr>
      <w:r w:rsidRPr="00AD3B49">
        <w:rPr>
          <w:sz w:val="20"/>
          <w:szCs w:val="20"/>
          <w:lang w:val="sr-Latn-ME"/>
        </w:rPr>
        <w:t>*   p &lt; 0,001</w:t>
      </w:r>
    </w:p>
    <w:p w:rsidR="00A31DD9" w:rsidRPr="00AD3B49" w:rsidRDefault="00A31DD9" w:rsidP="00A31DD9">
      <w:pPr>
        <w:autoSpaceDE w:val="0"/>
        <w:autoSpaceDN w:val="0"/>
        <w:adjustRightInd w:val="0"/>
        <w:rPr>
          <w:sz w:val="20"/>
          <w:szCs w:val="20"/>
          <w:lang w:val="sr-Latn-ME"/>
        </w:rPr>
      </w:pPr>
      <w:r w:rsidRPr="00AD3B49">
        <w:rPr>
          <w:sz w:val="20"/>
          <w:szCs w:val="20"/>
          <w:lang w:val="sr-Latn-ME"/>
        </w:rPr>
        <w:t>** p &lt; 0,01</w:t>
      </w:r>
    </w:p>
    <w:p w:rsidR="00A31DD9" w:rsidRPr="00AD3B49" w:rsidRDefault="00A31DD9" w:rsidP="00A31DD9">
      <w:pPr>
        <w:autoSpaceDE w:val="0"/>
        <w:autoSpaceDN w:val="0"/>
        <w:adjustRightInd w:val="0"/>
        <w:jc w:val="center"/>
        <w:rPr>
          <w:b/>
          <w:lang w:val="sr-Latn-ME"/>
        </w:rPr>
      </w:pPr>
    </w:p>
    <w:p w:rsidR="00A31DD9" w:rsidRPr="00AD3B49" w:rsidRDefault="00A31DD9" w:rsidP="00A31DD9">
      <w:pPr>
        <w:autoSpaceDE w:val="0"/>
        <w:autoSpaceDN w:val="0"/>
        <w:adjustRightInd w:val="0"/>
        <w:jc w:val="both"/>
        <w:rPr>
          <w:sz w:val="22"/>
          <w:szCs w:val="22"/>
          <w:lang w:val="sr-Latn-ME"/>
        </w:rPr>
      </w:pPr>
      <w:r w:rsidRPr="00AD3B49">
        <w:rPr>
          <w:sz w:val="22"/>
          <w:szCs w:val="22"/>
          <w:lang w:val="sr-Latn-ME"/>
        </w:rPr>
        <w:t xml:space="preserve">Slične stope remisije do 8. </w:t>
      </w:r>
      <w:r w:rsidR="000B016F" w:rsidRPr="00AD3B49">
        <w:rPr>
          <w:sz w:val="22"/>
          <w:szCs w:val="22"/>
          <w:lang w:val="sr-Latn-ME"/>
        </w:rPr>
        <w:t>nedjelje</w:t>
      </w:r>
      <w:r w:rsidRPr="00AD3B49">
        <w:rPr>
          <w:sz w:val="22"/>
          <w:szCs w:val="22"/>
          <w:lang w:val="sr-Latn-ME"/>
        </w:rPr>
        <w:t xml:space="preserve"> uočene su za grupe pacijenata koji su uzimali </w:t>
      </w:r>
      <w:r w:rsidR="00884C20" w:rsidRPr="00AD3B49">
        <w:rPr>
          <w:sz w:val="22"/>
          <w:szCs w:val="22"/>
          <w:lang w:val="sr-Latn-ME"/>
        </w:rPr>
        <w:t xml:space="preserve">lijek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160/80 mg i </w:t>
      </w:r>
      <w:r w:rsidR="00884C20" w:rsidRPr="00AD3B49">
        <w:rPr>
          <w:sz w:val="22"/>
          <w:szCs w:val="22"/>
          <w:lang w:val="sr-Latn-ME"/>
        </w:rPr>
        <w:t xml:space="preserve">lijek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80/40 mg, a stopa pojavljivanja nežel</w:t>
      </w:r>
      <w:r w:rsidR="000C4AD4" w:rsidRPr="00AD3B49">
        <w:rPr>
          <w:sz w:val="22"/>
          <w:szCs w:val="22"/>
          <w:lang w:val="sr-Latn-ME"/>
        </w:rPr>
        <w:t>j</w:t>
      </w:r>
      <w:r w:rsidRPr="00AD3B49">
        <w:rPr>
          <w:sz w:val="22"/>
          <w:szCs w:val="22"/>
          <w:lang w:val="sr-Latn-ME"/>
        </w:rPr>
        <w:t>enih dejst</w:t>
      </w:r>
      <w:r w:rsidR="002C4575" w:rsidRPr="00AD3B49">
        <w:rPr>
          <w:sz w:val="22"/>
          <w:szCs w:val="22"/>
          <w:lang w:val="sr-Latn-ME"/>
        </w:rPr>
        <w:t>a</w:t>
      </w:r>
      <w:r w:rsidRPr="00AD3B49">
        <w:rPr>
          <w:sz w:val="22"/>
          <w:szCs w:val="22"/>
          <w:lang w:val="sr-Latn-ME"/>
        </w:rPr>
        <w:t xml:space="preserve">va bila je veća u grupi koja je uzimala </w:t>
      </w:r>
      <w:r w:rsidR="00884C20" w:rsidRPr="00AD3B49">
        <w:rPr>
          <w:sz w:val="22"/>
          <w:szCs w:val="22"/>
          <w:lang w:val="sr-Latn-ME"/>
        </w:rPr>
        <w:t xml:space="preserve">lijek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160/80 mg.</w:t>
      </w:r>
    </w:p>
    <w:p w:rsidR="00A31DD9" w:rsidRPr="00AD3B49" w:rsidRDefault="00A31DD9" w:rsidP="00A31DD9">
      <w:pPr>
        <w:autoSpaceDE w:val="0"/>
        <w:autoSpaceDN w:val="0"/>
        <w:adjustRightInd w:val="0"/>
        <w:jc w:val="both"/>
        <w:rPr>
          <w:sz w:val="22"/>
          <w:szCs w:val="22"/>
          <w:lang w:val="sr-Latn-ME"/>
        </w:rPr>
      </w:pPr>
    </w:p>
    <w:p w:rsidR="00A31DD9" w:rsidRPr="00AD3B49" w:rsidRDefault="00A31DD9" w:rsidP="00A31DD9">
      <w:pPr>
        <w:autoSpaceDE w:val="0"/>
        <w:autoSpaceDN w:val="0"/>
        <w:adjustRightInd w:val="0"/>
        <w:jc w:val="both"/>
        <w:rPr>
          <w:sz w:val="22"/>
          <w:szCs w:val="22"/>
          <w:lang w:val="sr-Latn-ME"/>
        </w:rPr>
      </w:pPr>
      <w:r w:rsidRPr="00AD3B49">
        <w:rPr>
          <w:sz w:val="22"/>
          <w:szCs w:val="22"/>
          <w:lang w:val="sr-Latn-ME"/>
        </w:rPr>
        <w:t xml:space="preserve">U ispitivanju CD III, u 4. </w:t>
      </w:r>
      <w:r w:rsidR="000B016F" w:rsidRPr="00AD3B49">
        <w:rPr>
          <w:sz w:val="22"/>
          <w:szCs w:val="22"/>
          <w:lang w:val="sr-Latn-ME"/>
        </w:rPr>
        <w:t>nedjelji</w:t>
      </w:r>
      <w:r w:rsidRPr="00AD3B49">
        <w:rPr>
          <w:sz w:val="22"/>
          <w:szCs w:val="22"/>
          <w:lang w:val="sr-Latn-ME"/>
        </w:rPr>
        <w:t xml:space="preserve">, 58% pacijenata (499/854) imalo je klinički odgovor i uvršteni su u primarnu analizu. Od ovih pacijenata sa kliničkim odgovorom  u 4-toj </w:t>
      </w:r>
      <w:r w:rsidR="000B016F" w:rsidRPr="00AD3B49">
        <w:rPr>
          <w:sz w:val="22"/>
          <w:szCs w:val="22"/>
          <w:lang w:val="sr-Latn-ME"/>
        </w:rPr>
        <w:t>nedjelji</w:t>
      </w:r>
      <w:r w:rsidRPr="00AD3B49">
        <w:rPr>
          <w:sz w:val="22"/>
          <w:szCs w:val="22"/>
          <w:lang w:val="sr-Latn-ME"/>
        </w:rPr>
        <w:t>, 48% pacijenata je već ranije koristilo neki drugi antagonist TNF-a. Održanje remisije i stopa kliničko</w:t>
      </w:r>
      <w:r w:rsidR="002C1631" w:rsidRPr="00AD3B49">
        <w:rPr>
          <w:sz w:val="22"/>
          <w:szCs w:val="22"/>
          <w:lang w:val="sr-Latn-ME"/>
        </w:rPr>
        <w:t>g odgovora nalaze se u Tabeli 15</w:t>
      </w:r>
      <w:r w:rsidRPr="00AD3B49">
        <w:rPr>
          <w:sz w:val="22"/>
          <w:szCs w:val="22"/>
          <w:lang w:val="sr-Latn-ME"/>
        </w:rPr>
        <w:t>. Rezultati kliničke remisije su se relativno održali bez obzira na prethodno liječenje antagonistima TNF-a.</w:t>
      </w:r>
    </w:p>
    <w:p w:rsidR="00A31DD9" w:rsidRPr="00AD3B49" w:rsidRDefault="00A31DD9" w:rsidP="00A31DD9">
      <w:pPr>
        <w:autoSpaceDE w:val="0"/>
        <w:autoSpaceDN w:val="0"/>
        <w:adjustRightInd w:val="0"/>
        <w:jc w:val="both"/>
        <w:rPr>
          <w:sz w:val="22"/>
          <w:szCs w:val="22"/>
          <w:lang w:val="sr-Latn-ME"/>
        </w:rPr>
      </w:pPr>
    </w:p>
    <w:p w:rsidR="00A31DD9" w:rsidRPr="00AD3B49" w:rsidRDefault="00A31DD9" w:rsidP="00A31DD9">
      <w:pPr>
        <w:autoSpaceDE w:val="0"/>
        <w:autoSpaceDN w:val="0"/>
        <w:adjustRightInd w:val="0"/>
        <w:jc w:val="both"/>
        <w:rPr>
          <w:sz w:val="22"/>
          <w:szCs w:val="22"/>
          <w:lang w:val="sr-Latn-ME"/>
        </w:rPr>
      </w:pPr>
      <w:r w:rsidRPr="00AD3B49">
        <w:rPr>
          <w:sz w:val="22"/>
          <w:szCs w:val="22"/>
          <w:lang w:val="sr-Latn-ME"/>
        </w:rPr>
        <w:t xml:space="preserve">U 56. </w:t>
      </w:r>
      <w:r w:rsidR="000B016F" w:rsidRPr="00AD3B49">
        <w:rPr>
          <w:sz w:val="22"/>
          <w:szCs w:val="22"/>
          <w:lang w:val="sr-Latn-ME"/>
        </w:rPr>
        <w:t>nedjelji</w:t>
      </w:r>
      <w:r w:rsidRPr="00AD3B49">
        <w:rPr>
          <w:sz w:val="22"/>
          <w:szCs w:val="22"/>
          <w:lang w:val="sr-Latn-ME"/>
        </w:rPr>
        <w:t xml:space="preserve"> terapije broj hospitalizacija i operacija povezanih s bolešću statistički je značajno smanjen kod pacijenata koji su primali adalimumab u odnosu na grupu pacijenata koja je primala placebo.</w:t>
      </w:r>
    </w:p>
    <w:p w:rsidR="00A31DD9" w:rsidRPr="00AD3B49" w:rsidRDefault="00A31DD9" w:rsidP="00A31DD9">
      <w:pPr>
        <w:autoSpaceDE w:val="0"/>
        <w:autoSpaceDN w:val="0"/>
        <w:adjustRightInd w:val="0"/>
        <w:jc w:val="both"/>
        <w:rPr>
          <w:sz w:val="22"/>
          <w:szCs w:val="22"/>
          <w:lang w:val="sr-Latn-ME"/>
        </w:rPr>
      </w:pPr>
    </w:p>
    <w:p w:rsidR="00637D9A" w:rsidRDefault="00637D9A" w:rsidP="006B0826">
      <w:pPr>
        <w:autoSpaceDE w:val="0"/>
        <w:autoSpaceDN w:val="0"/>
        <w:adjustRightInd w:val="0"/>
        <w:jc w:val="center"/>
        <w:rPr>
          <w:b/>
          <w:sz w:val="22"/>
          <w:szCs w:val="22"/>
          <w:lang w:val="sr-Latn-ME"/>
        </w:rPr>
      </w:pPr>
    </w:p>
    <w:p w:rsidR="00637D9A" w:rsidRDefault="00637D9A" w:rsidP="006B0826">
      <w:pPr>
        <w:autoSpaceDE w:val="0"/>
        <w:autoSpaceDN w:val="0"/>
        <w:adjustRightInd w:val="0"/>
        <w:jc w:val="center"/>
        <w:rPr>
          <w:b/>
          <w:sz w:val="22"/>
          <w:szCs w:val="22"/>
          <w:lang w:val="sr-Latn-ME"/>
        </w:rPr>
      </w:pPr>
    </w:p>
    <w:p w:rsidR="00A31DD9" w:rsidRPr="00AD3B49" w:rsidRDefault="00A31DD9" w:rsidP="006B0826">
      <w:pPr>
        <w:autoSpaceDE w:val="0"/>
        <w:autoSpaceDN w:val="0"/>
        <w:adjustRightInd w:val="0"/>
        <w:jc w:val="center"/>
        <w:rPr>
          <w:b/>
          <w:sz w:val="22"/>
          <w:szCs w:val="22"/>
          <w:lang w:val="sr-Latn-ME"/>
        </w:rPr>
      </w:pPr>
      <w:r w:rsidRPr="00AD3B49">
        <w:rPr>
          <w:b/>
          <w:sz w:val="22"/>
          <w:szCs w:val="22"/>
          <w:lang w:val="sr-Latn-ME"/>
        </w:rPr>
        <w:lastRenderedPageBreak/>
        <w:t>Tabela 15.</w:t>
      </w:r>
    </w:p>
    <w:p w:rsidR="00A31DD9" w:rsidRPr="00AD3B49" w:rsidRDefault="00A31DD9" w:rsidP="006B0826">
      <w:pPr>
        <w:autoSpaceDE w:val="0"/>
        <w:autoSpaceDN w:val="0"/>
        <w:adjustRightInd w:val="0"/>
        <w:jc w:val="center"/>
        <w:rPr>
          <w:b/>
          <w:sz w:val="22"/>
          <w:szCs w:val="22"/>
          <w:lang w:val="sr-Latn-ME"/>
        </w:rPr>
      </w:pPr>
      <w:r w:rsidRPr="00AD3B49">
        <w:rPr>
          <w:rFonts w:ascii="TimesNewRomanPS-BoldMT" w:hAnsi="TimesNewRomanPS-BoldMT" w:cs="TimesNewRomanPS-BoldMT"/>
          <w:b/>
          <w:bCs/>
          <w:sz w:val="22"/>
          <w:szCs w:val="22"/>
          <w:lang w:val="sr-Latn-ME"/>
        </w:rPr>
        <w:t>Održavanje kliničke remisije i kliničkog odgovora</w:t>
      </w:r>
    </w:p>
    <w:p w:rsidR="00A31DD9" w:rsidRPr="00AD3B49" w:rsidRDefault="00A31DD9" w:rsidP="006B0826">
      <w:pPr>
        <w:autoSpaceDE w:val="0"/>
        <w:autoSpaceDN w:val="0"/>
        <w:adjustRightInd w:val="0"/>
        <w:jc w:val="center"/>
        <w:rPr>
          <w:b/>
          <w:sz w:val="22"/>
          <w:szCs w:val="22"/>
          <w:lang w:val="sr-Latn-ME"/>
        </w:rPr>
      </w:pPr>
      <w:r w:rsidRPr="00AD3B49">
        <w:rPr>
          <w:b/>
          <w:sz w:val="22"/>
          <w:szCs w:val="22"/>
          <w:lang w:val="sr-Latn-ME"/>
        </w:rPr>
        <w:t>(procenat pacijenata)</w:t>
      </w:r>
    </w:p>
    <w:p w:rsidR="00E307E8" w:rsidRPr="00AD3B49" w:rsidRDefault="00E307E8" w:rsidP="00A31DD9">
      <w:pPr>
        <w:autoSpaceDE w:val="0"/>
        <w:autoSpaceDN w:val="0"/>
        <w:adjustRightInd w:val="0"/>
        <w:rPr>
          <w:b/>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A31DD9" w:rsidRPr="00AD3B49" w:rsidTr="00C86F3F">
        <w:tc>
          <w:tcPr>
            <w:tcW w:w="2320" w:type="dxa"/>
            <w:shd w:val="clear" w:color="auto" w:fill="auto"/>
          </w:tcPr>
          <w:p w:rsidR="00A31DD9" w:rsidRPr="00AD3B49" w:rsidRDefault="00A31DD9" w:rsidP="00C86F3F">
            <w:pPr>
              <w:autoSpaceDE w:val="0"/>
              <w:autoSpaceDN w:val="0"/>
              <w:adjustRightInd w:val="0"/>
              <w:rPr>
                <w:sz w:val="22"/>
                <w:szCs w:val="22"/>
                <w:lang w:val="sr-Latn-ME"/>
              </w:rPr>
            </w:pPr>
          </w:p>
        </w:tc>
        <w:tc>
          <w:tcPr>
            <w:tcW w:w="2320" w:type="dxa"/>
            <w:shd w:val="clear" w:color="auto" w:fill="auto"/>
          </w:tcPr>
          <w:p w:rsidR="00A31DD9" w:rsidRPr="00AD3B49" w:rsidRDefault="00A31DD9" w:rsidP="00C86F3F">
            <w:pPr>
              <w:autoSpaceDE w:val="0"/>
              <w:autoSpaceDN w:val="0"/>
              <w:adjustRightInd w:val="0"/>
              <w:rPr>
                <w:b/>
                <w:sz w:val="22"/>
                <w:szCs w:val="22"/>
                <w:lang w:val="sr-Latn-ME"/>
              </w:rPr>
            </w:pPr>
            <w:r w:rsidRPr="00AD3B49">
              <w:rPr>
                <w:b/>
                <w:sz w:val="22"/>
                <w:szCs w:val="22"/>
                <w:lang w:val="sr-Latn-ME"/>
              </w:rPr>
              <w:t>Placebo</w:t>
            </w:r>
          </w:p>
        </w:tc>
        <w:tc>
          <w:tcPr>
            <w:tcW w:w="2320" w:type="dxa"/>
            <w:shd w:val="clear" w:color="auto" w:fill="auto"/>
          </w:tcPr>
          <w:p w:rsidR="00A31DD9" w:rsidRPr="00AD3B49" w:rsidRDefault="00A31DD9" w:rsidP="00C86F3F">
            <w:pPr>
              <w:autoSpaceDE w:val="0"/>
              <w:autoSpaceDN w:val="0"/>
              <w:adjustRightInd w:val="0"/>
              <w:rPr>
                <w:b/>
                <w:sz w:val="22"/>
                <w:szCs w:val="22"/>
                <w:lang w:val="sr-Latn-ME"/>
              </w:rPr>
            </w:pPr>
            <w:r w:rsidRPr="00AD3B49">
              <w:rPr>
                <w:b/>
                <w:sz w:val="22"/>
                <w:szCs w:val="22"/>
                <w:lang w:val="sr-Latn-ME"/>
              </w:rPr>
              <w:t xml:space="preserve">Humira 40 mg svake druge </w:t>
            </w:r>
            <w:r w:rsidR="000B016F" w:rsidRPr="00AD3B49">
              <w:rPr>
                <w:b/>
                <w:sz w:val="22"/>
                <w:szCs w:val="22"/>
                <w:lang w:val="sr-Latn-ME"/>
              </w:rPr>
              <w:t>nedjelje</w:t>
            </w:r>
          </w:p>
        </w:tc>
        <w:tc>
          <w:tcPr>
            <w:tcW w:w="2320" w:type="dxa"/>
            <w:shd w:val="clear" w:color="auto" w:fill="auto"/>
          </w:tcPr>
          <w:p w:rsidR="00A31DD9" w:rsidRPr="00AD3B49" w:rsidRDefault="00A31DD9" w:rsidP="00C86F3F">
            <w:pPr>
              <w:autoSpaceDE w:val="0"/>
              <w:autoSpaceDN w:val="0"/>
              <w:adjustRightInd w:val="0"/>
              <w:rPr>
                <w:b/>
                <w:sz w:val="22"/>
                <w:szCs w:val="22"/>
                <w:lang w:val="sr-Latn-ME"/>
              </w:rPr>
            </w:pPr>
            <w:r w:rsidRPr="00AD3B49">
              <w:rPr>
                <w:b/>
                <w:sz w:val="22"/>
                <w:szCs w:val="22"/>
                <w:lang w:val="sr-Latn-ME"/>
              </w:rPr>
              <w:t xml:space="preserve">Humira 40 mg svake </w:t>
            </w:r>
            <w:r w:rsidR="000B016F" w:rsidRPr="00AD3B49">
              <w:rPr>
                <w:b/>
                <w:sz w:val="22"/>
                <w:szCs w:val="22"/>
                <w:lang w:val="sr-Latn-ME"/>
              </w:rPr>
              <w:t>nedjelje</w:t>
            </w:r>
          </w:p>
        </w:tc>
      </w:tr>
      <w:tr w:rsidR="00A31DD9" w:rsidRPr="00AD3B49" w:rsidTr="00C86F3F">
        <w:tc>
          <w:tcPr>
            <w:tcW w:w="2320" w:type="dxa"/>
            <w:shd w:val="clear" w:color="auto" w:fill="auto"/>
          </w:tcPr>
          <w:p w:rsidR="00A31DD9" w:rsidRPr="00AD3B49" w:rsidRDefault="00A31DD9" w:rsidP="00C86F3F">
            <w:pPr>
              <w:autoSpaceDE w:val="0"/>
              <w:autoSpaceDN w:val="0"/>
              <w:adjustRightInd w:val="0"/>
              <w:rPr>
                <w:b/>
                <w:sz w:val="22"/>
                <w:szCs w:val="22"/>
                <w:lang w:val="sr-Latn-ME"/>
              </w:rPr>
            </w:pPr>
            <w:r w:rsidRPr="00AD3B49">
              <w:rPr>
                <w:b/>
                <w:sz w:val="22"/>
                <w:szCs w:val="22"/>
                <w:lang w:val="sr-Latn-ME"/>
              </w:rPr>
              <w:t xml:space="preserve">26. </w:t>
            </w:r>
            <w:r w:rsidR="000B016F" w:rsidRPr="00AD3B49">
              <w:rPr>
                <w:b/>
                <w:sz w:val="22"/>
                <w:szCs w:val="22"/>
                <w:lang w:val="sr-Latn-ME"/>
              </w:rPr>
              <w:t>nedjelja</w:t>
            </w:r>
          </w:p>
        </w:tc>
        <w:tc>
          <w:tcPr>
            <w:tcW w:w="2320" w:type="dxa"/>
            <w:shd w:val="clear" w:color="auto" w:fill="auto"/>
          </w:tcPr>
          <w:p w:rsidR="00A31DD9" w:rsidRPr="00AD3B49" w:rsidRDefault="00A31DD9" w:rsidP="00C86F3F">
            <w:pPr>
              <w:autoSpaceDE w:val="0"/>
              <w:autoSpaceDN w:val="0"/>
              <w:adjustRightInd w:val="0"/>
              <w:rPr>
                <w:b/>
                <w:sz w:val="22"/>
                <w:szCs w:val="22"/>
                <w:lang w:val="sr-Latn-ME"/>
              </w:rPr>
            </w:pPr>
            <w:r w:rsidRPr="00AD3B49">
              <w:rPr>
                <w:b/>
                <w:sz w:val="22"/>
                <w:szCs w:val="22"/>
                <w:lang w:val="sr-Latn-ME"/>
              </w:rPr>
              <w:t>N=170</w:t>
            </w:r>
          </w:p>
        </w:tc>
        <w:tc>
          <w:tcPr>
            <w:tcW w:w="2320" w:type="dxa"/>
            <w:shd w:val="clear" w:color="auto" w:fill="auto"/>
          </w:tcPr>
          <w:p w:rsidR="00A31DD9" w:rsidRPr="00AD3B49" w:rsidRDefault="00A31DD9" w:rsidP="00C86F3F">
            <w:pPr>
              <w:autoSpaceDE w:val="0"/>
              <w:autoSpaceDN w:val="0"/>
              <w:adjustRightInd w:val="0"/>
              <w:rPr>
                <w:b/>
                <w:sz w:val="22"/>
                <w:szCs w:val="22"/>
                <w:lang w:val="sr-Latn-ME"/>
              </w:rPr>
            </w:pPr>
            <w:r w:rsidRPr="00AD3B49">
              <w:rPr>
                <w:b/>
                <w:sz w:val="22"/>
                <w:szCs w:val="22"/>
                <w:lang w:val="sr-Latn-ME"/>
              </w:rPr>
              <w:t>N=172</w:t>
            </w:r>
          </w:p>
        </w:tc>
        <w:tc>
          <w:tcPr>
            <w:tcW w:w="2320" w:type="dxa"/>
            <w:shd w:val="clear" w:color="auto" w:fill="auto"/>
          </w:tcPr>
          <w:p w:rsidR="00A31DD9" w:rsidRPr="00AD3B49" w:rsidRDefault="00A31DD9" w:rsidP="00C86F3F">
            <w:pPr>
              <w:autoSpaceDE w:val="0"/>
              <w:autoSpaceDN w:val="0"/>
              <w:adjustRightInd w:val="0"/>
              <w:rPr>
                <w:b/>
                <w:sz w:val="22"/>
                <w:szCs w:val="22"/>
                <w:lang w:val="sr-Latn-ME"/>
              </w:rPr>
            </w:pPr>
            <w:r w:rsidRPr="00AD3B49">
              <w:rPr>
                <w:b/>
                <w:sz w:val="22"/>
                <w:szCs w:val="22"/>
                <w:lang w:val="sr-Latn-ME"/>
              </w:rPr>
              <w:t>N=157</w:t>
            </w:r>
          </w:p>
        </w:tc>
      </w:tr>
      <w:tr w:rsidR="00A31DD9" w:rsidRPr="00AD3B49" w:rsidTr="00C86F3F">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 xml:space="preserve">Klinička remisija </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17%</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40%*</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47%*</w:t>
            </w:r>
          </w:p>
        </w:tc>
      </w:tr>
      <w:tr w:rsidR="00A31DD9" w:rsidRPr="00AD3B49" w:rsidTr="00C86F3F">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Klinički odgovor (CR-100)</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27%</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52%*</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52%*</w:t>
            </w:r>
          </w:p>
        </w:tc>
      </w:tr>
      <w:tr w:rsidR="00A31DD9" w:rsidRPr="00AD3B49" w:rsidTr="00C86F3F">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Pacijenti u remisiji bez upotrebe steroida &gt;= 90 dana</w:t>
            </w:r>
            <w:r w:rsidRPr="00AD3B49">
              <w:rPr>
                <w:sz w:val="22"/>
                <w:szCs w:val="22"/>
                <w:vertAlign w:val="superscript"/>
                <w:lang w:val="sr-Latn-ME"/>
              </w:rPr>
              <w:t>a</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3% (2/66)</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19% (11/58)**</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15% (11/74)**</w:t>
            </w:r>
          </w:p>
        </w:tc>
      </w:tr>
      <w:tr w:rsidR="00A31DD9" w:rsidRPr="00AD3B49" w:rsidTr="00C86F3F">
        <w:tc>
          <w:tcPr>
            <w:tcW w:w="2320" w:type="dxa"/>
            <w:shd w:val="clear" w:color="auto" w:fill="auto"/>
          </w:tcPr>
          <w:p w:rsidR="00A31DD9" w:rsidRPr="00AD3B49" w:rsidRDefault="00A31DD9" w:rsidP="00C86F3F">
            <w:pPr>
              <w:autoSpaceDE w:val="0"/>
              <w:autoSpaceDN w:val="0"/>
              <w:adjustRightInd w:val="0"/>
              <w:rPr>
                <w:b/>
                <w:sz w:val="22"/>
                <w:szCs w:val="22"/>
                <w:lang w:val="sr-Latn-ME"/>
              </w:rPr>
            </w:pPr>
            <w:r w:rsidRPr="00AD3B49">
              <w:rPr>
                <w:b/>
                <w:sz w:val="22"/>
                <w:szCs w:val="22"/>
                <w:lang w:val="sr-Latn-ME"/>
              </w:rPr>
              <w:t xml:space="preserve">56. </w:t>
            </w:r>
            <w:r w:rsidR="000B016F" w:rsidRPr="00AD3B49">
              <w:rPr>
                <w:b/>
                <w:sz w:val="22"/>
                <w:szCs w:val="22"/>
                <w:lang w:val="sr-Latn-ME"/>
              </w:rPr>
              <w:t>nedjelja</w:t>
            </w:r>
          </w:p>
        </w:tc>
        <w:tc>
          <w:tcPr>
            <w:tcW w:w="2320" w:type="dxa"/>
            <w:shd w:val="clear" w:color="auto" w:fill="auto"/>
          </w:tcPr>
          <w:p w:rsidR="00A31DD9" w:rsidRPr="00AD3B49" w:rsidRDefault="00A31DD9" w:rsidP="00C86F3F">
            <w:pPr>
              <w:autoSpaceDE w:val="0"/>
              <w:autoSpaceDN w:val="0"/>
              <w:adjustRightInd w:val="0"/>
              <w:rPr>
                <w:b/>
                <w:sz w:val="22"/>
                <w:szCs w:val="22"/>
                <w:lang w:val="sr-Latn-ME"/>
              </w:rPr>
            </w:pPr>
            <w:r w:rsidRPr="00AD3B49">
              <w:rPr>
                <w:b/>
                <w:sz w:val="22"/>
                <w:szCs w:val="22"/>
                <w:lang w:val="sr-Latn-ME"/>
              </w:rPr>
              <w:t>N=170</w:t>
            </w:r>
          </w:p>
        </w:tc>
        <w:tc>
          <w:tcPr>
            <w:tcW w:w="2320" w:type="dxa"/>
            <w:shd w:val="clear" w:color="auto" w:fill="auto"/>
          </w:tcPr>
          <w:p w:rsidR="00A31DD9" w:rsidRPr="00AD3B49" w:rsidRDefault="00A31DD9" w:rsidP="00C86F3F">
            <w:pPr>
              <w:autoSpaceDE w:val="0"/>
              <w:autoSpaceDN w:val="0"/>
              <w:adjustRightInd w:val="0"/>
              <w:rPr>
                <w:b/>
                <w:sz w:val="22"/>
                <w:szCs w:val="22"/>
                <w:lang w:val="sr-Latn-ME"/>
              </w:rPr>
            </w:pPr>
            <w:r w:rsidRPr="00AD3B49">
              <w:rPr>
                <w:b/>
                <w:sz w:val="22"/>
                <w:szCs w:val="22"/>
                <w:lang w:val="sr-Latn-ME"/>
              </w:rPr>
              <w:t>N=172</w:t>
            </w:r>
          </w:p>
        </w:tc>
        <w:tc>
          <w:tcPr>
            <w:tcW w:w="2320" w:type="dxa"/>
            <w:shd w:val="clear" w:color="auto" w:fill="auto"/>
          </w:tcPr>
          <w:p w:rsidR="00A31DD9" w:rsidRPr="00AD3B49" w:rsidRDefault="00A31DD9" w:rsidP="00C86F3F">
            <w:pPr>
              <w:autoSpaceDE w:val="0"/>
              <w:autoSpaceDN w:val="0"/>
              <w:adjustRightInd w:val="0"/>
              <w:rPr>
                <w:b/>
                <w:sz w:val="22"/>
                <w:szCs w:val="22"/>
                <w:lang w:val="sr-Latn-ME"/>
              </w:rPr>
            </w:pPr>
            <w:r w:rsidRPr="00AD3B49">
              <w:rPr>
                <w:b/>
                <w:sz w:val="22"/>
                <w:szCs w:val="22"/>
                <w:lang w:val="sr-Latn-ME"/>
              </w:rPr>
              <w:t>N=157</w:t>
            </w:r>
          </w:p>
        </w:tc>
      </w:tr>
      <w:tr w:rsidR="00A31DD9" w:rsidRPr="00AD3B49" w:rsidTr="00C86F3F">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 xml:space="preserve">Klinička remisija </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12%</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36%*</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41%*</w:t>
            </w:r>
          </w:p>
        </w:tc>
      </w:tr>
      <w:tr w:rsidR="00A31DD9" w:rsidRPr="00AD3B49" w:rsidTr="00C86F3F">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Klinički odgovor (CR-100)</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17%</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41%*</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48%*</w:t>
            </w:r>
          </w:p>
        </w:tc>
      </w:tr>
      <w:tr w:rsidR="00A31DD9" w:rsidRPr="00AD3B49" w:rsidTr="00C86F3F">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Pacijenti u remisiji bez upotrebe steroida &gt;= 90 dana</w:t>
            </w:r>
            <w:r w:rsidRPr="00AD3B49">
              <w:rPr>
                <w:sz w:val="22"/>
                <w:szCs w:val="22"/>
                <w:vertAlign w:val="superscript"/>
                <w:lang w:val="sr-Latn-ME"/>
              </w:rPr>
              <w:t>a</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 xml:space="preserve">5% (3/66) </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29% (17/58)*</w:t>
            </w:r>
          </w:p>
        </w:tc>
        <w:tc>
          <w:tcPr>
            <w:tcW w:w="2320" w:type="dxa"/>
            <w:shd w:val="clear" w:color="auto" w:fill="auto"/>
          </w:tcPr>
          <w:p w:rsidR="00A31DD9" w:rsidRPr="00AD3B49" w:rsidRDefault="00A31DD9" w:rsidP="00C86F3F">
            <w:pPr>
              <w:autoSpaceDE w:val="0"/>
              <w:autoSpaceDN w:val="0"/>
              <w:adjustRightInd w:val="0"/>
              <w:rPr>
                <w:sz w:val="22"/>
                <w:szCs w:val="22"/>
                <w:lang w:val="sr-Latn-ME"/>
              </w:rPr>
            </w:pPr>
            <w:r w:rsidRPr="00AD3B49">
              <w:rPr>
                <w:sz w:val="22"/>
                <w:szCs w:val="22"/>
                <w:lang w:val="sr-Latn-ME"/>
              </w:rPr>
              <w:t>20% (15/74)**</w:t>
            </w:r>
          </w:p>
        </w:tc>
      </w:tr>
    </w:tbl>
    <w:p w:rsidR="00A31DD9" w:rsidRPr="00AD3B49" w:rsidRDefault="00A31DD9" w:rsidP="00A31DD9">
      <w:pPr>
        <w:autoSpaceDE w:val="0"/>
        <w:autoSpaceDN w:val="0"/>
        <w:adjustRightInd w:val="0"/>
        <w:rPr>
          <w:sz w:val="22"/>
          <w:szCs w:val="22"/>
          <w:lang w:val="sr-Latn-ME"/>
        </w:rPr>
      </w:pPr>
      <w:r w:rsidRPr="00AD3B49">
        <w:rPr>
          <w:sz w:val="22"/>
          <w:szCs w:val="22"/>
          <w:lang w:val="sr-Latn-ME"/>
        </w:rPr>
        <w:t xml:space="preserve">* p &lt; 0,001 za poređenje odnosa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i placeba u parovima </w:t>
      </w:r>
    </w:p>
    <w:p w:rsidR="00A31DD9" w:rsidRPr="00AD3B49" w:rsidRDefault="00A31DD9" w:rsidP="00A31DD9">
      <w:pPr>
        <w:autoSpaceDE w:val="0"/>
        <w:autoSpaceDN w:val="0"/>
        <w:adjustRightInd w:val="0"/>
        <w:rPr>
          <w:sz w:val="22"/>
          <w:szCs w:val="22"/>
          <w:lang w:val="sr-Latn-ME"/>
        </w:rPr>
      </w:pPr>
      <w:r w:rsidRPr="00AD3B49">
        <w:rPr>
          <w:sz w:val="22"/>
          <w:szCs w:val="22"/>
          <w:lang w:val="sr-Latn-ME"/>
        </w:rPr>
        <w:t xml:space="preserve">** p &lt; 0,02 za poređenje odnosa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i placeba u parovima </w:t>
      </w:r>
    </w:p>
    <w:p w:rsidR="00A31DD9" w:rsidRPr="00AD3B49" w:rsidRDefault="00A31DD9" w:rsidP="00A31DD9">
      <w:pPr>
        <w:autoSpaceDE w:val="0"/>
        <w:autoSpaceDN w:val="0"/>
        <w:adjustRightInd w:val="0"/>
        <w:rPr>
          <w:sz w:val="22"/>
          <w:szCs w:val="22"/>
          <w:lang w:val="sr-Latn-ME"/>
        </w:rPr>
      </w:pPr>
      <w:r w:rsidRPr="00AD3B49">
        <w:rPr>
          <w:sz w:val="22"/>
          <w:szCs w:val="22"/>
          <w:vertAlign w:val="superscript"/>
          <w:lang w:val="sr-Latn-ME"/>
        </w:rPr>
        <w:t>a</w:t>
      </w:r>
      <w:r w:rsidRPr="00AD3B49">
        <w:rPr>
          <w:sz w:val="22"/>
          <w:szCs w:val="22"/>
          <w:lang w:val="sr-Latn-ME"/>
        </w:rPr>
        <w:t xml:space="preserve"> od onih koji su na početku uzimali kortikosteroide</w:t>
      </w:r>
    </w:p>
    <w:p w:rsidR="00A31DD9" w:rsidRPr="00AD3B49" w:rsidRDefault="00A31DD9" w:rsidP="00A31DD9">
      <w:pPr>
        <w:autoSpaceDE w:val="0"/>
        <w:autoSpaceDN w:val="0"/>
        <w:adjustRightInd w:val="0"/>
        <w:rPr>
          <w:sz w:val="22"/>
          <w:szCs w:val="22"/>
          <w:lang w:val="sr-Latn-ME"/>
        </w:rPr>
      </w:pPr>
    </w:p>
    <w:p w:rsidR="00A31DD9" w:rsidRPr="00AD3B49" w:rsidRDefault="00A31DD9" w:rsidP="00A31DD9">
      <w:pPr>
        <w:autoSpaceDE w:val="0"/>
        <w:autoSpaceDN w:val="0"/>
        <w:adjustRightInd w:val="0"/>
        <w:jc w:val="both"/>
        <w:rPr>
          <w:sz w:val="22"/>
          <w:szCs w:val="22"/>
          <w:lang w:val="sr-Latn-ME"/>
        </w:rPr>
      </w:pPr>
      <w:r w:rsidRPr="00AD3B49">
        <w:rPr>
          <w:sz w:val="22"/>
          <w:szCs w:val="22"/>
          <w:lang w:val="sr-Latn-ME"/>
        </w:rPr>
        <w:t>Među pacijent</w:t>
      </w:r>
      <w:r w:rsidR="002C4575" w:rsidRPr="00AD3B49">
        <w:rPr>
          <w:sz w:val="22"/>
          <w:szCs w:val="22"/>
          <w:lang w:val="sr-Latn-ME"/>
        </w:rPr>
        <w:t>ima</w:t>
      </w:r>
      <w:r w:rsidRPr="00AD3B49">
        <w:rPr>
          <w:sz w:val="22"/>
          <w:szCs w:val="22"/>
          <w:lang w:val="sr-Latn-ME"/>
        </w:rPr>
        <w:t xml:space="preserve"> kod kojih u 4. </w:t>
      </w:r>
      <w:r w:rsidR="000B016F" w:rsidRPr="00AD3B49">
        <w:rPr>
          <w:sz w:val="22"/>
          <w:szCs w:val="22"/>
          <w:lang w:val="sr-Latn-ME"/>
        </w:rPr>
        <w:t>nedjelji</w:t>
      </w:r>
      <w:r w:rsidRPr="00AD3B49">
        <w:rPr>
          <w:sz w:val="22"/>
          <w:szCs w:val="22"/>
          <w:lang w:val="sr-Latn-ME"/>
        </w:rPr>
        <w:t xml:space="preserve"> nije ostvaren klinički odgovor, 43% pacijenata na terapiji održavanja imalo je klinički odgovor do 12. </w:t>
      </w:r>
      <w:r w:rsidR="000B016F" w:rsidRPr="00AD3B49">
        <w:rPr>
          <w:sz w:val="22"/>
          <w:szCs w:val="22"/>
          <w:lang w:val="sr-Latn-ME"/>
        </w:rPr>
        <w:t>nedjelje</w:t>
      </w:r>
      <w:r w:rsidRPr="00AD3B49">
        <w:rPr>
          <w:sz w:val="22"/>
          <w:szCs w:val="22"/>
          <w:lang w:val="sr-Latn-ME"/>
        </w:rPr>
        <w:t xml:space="preserve">, u odnosu na 30% u grupi pacijenata koji su dobijali placebo. Ovi rezultati pokazuju da neki pacijenti, koji ne ostvare terapijski odgovor do 4. </w:t>
      </w:r>
      <w:r w:rsidR="000B016F" w:rsidRPr="00AD3B49">
        <w:rPr>
          <w:sz w:val="22"/>
          <w:szCs w:val="22"/>
          <w:lang w:val="sr-Latn-ME"/>
        </w:rPr>
        <w:t>nedjelje</w:t>
      </w:r>
      <w:r w:rsidRPr="00AD3B49">
        <w:rPr>
          <w:sz w:val="22"/>
          <w:szCs w:val="22"/>
          <w:lang w:val="sr-Latn-ME"/>
        </w:rPr>
        <w:t xml:space="preserve">, imaju koristi ukoliko se terapija nastavi do 12. </w:t>
      </w:r>
      <w:r w:rsidR="000B016F" w:rsidRPr="00AD3B49">
        <w:rPr>
          <w:sz w:val="22"/>
          <w:szCs w:val="22"/>
          <w:lang w:val="sr-Latn-ME"/>
        </w:rPr>
        <w:t>nedjelje</w:t>
      </w:r>
      <w:r w:rsidRPr="00AD3B49">
        <w:rPr>
          <w:sz w:val="22"/>
          <w:szCs w:val="22"/>
          <w:lang w:val="sr-Latn-ME"/>
        </w:rPr>
        <w:t xml:space="preserve">. Nastavak terapije nakon 12 </w:t>
      </w:r>
      <w:r w:rsidR="000B016F" w:rsidRPr="00AD3B49">
        <w:rPr>
          <w:sz w:val="22"/>
          <w:szCs w:val="22"/>
          <w:lang w:val="sr-Latn-ME"/>
        </w:rPr>
        <w:t>nedjelja</w:t>
      </w:r>
      <w:r w:rsidRPr="00AD3B49">
        <w:rPr>
          <w:sz w:val="22"/>
          <w:szCs w:val="22"/>
          <w:lang w:val="sr-Latn-ME"/>
        </w:rPr>
        <w:t xml:space="preserve"> nije dao bitno veći procenat odgovora (vidjeti odjeljak 4.2).</w:t>
      </w:r>
    </w:p>
    <w:p w:rsidR="00A31DD9" w:rsidRPr="00AD3B49" w:rsidRDefault="00A31DD9" w:rsidP="00A31DD9">
      <w:pPr>
        <w:autoSpaceDE w:val="0"/>
        <w:autoSpaceDN w:val="0"/>
        <w:adjustRightInd w:val="0"/>
        <w:jc w:val="both"/>
        <w:rPr>
          <w:sz w:val="22"/>
          <w:szCs w:val="22"/>
          <w:lang w:val="sr-Latn-ME"/>
        </w:rPr>
      </w:pPr>
    </w:p>
    <w:p w:rsidR="00A31DD9" w:rsidRPr="00AD3B49" w:rsidRDefault="00A31DD9" w:rsidP="00A31DD9">
      <w:pPr>
        <w:autoSpaceDE w:val="0"/>
        <w:autoSpaceDN w:val="0"/>
        <w:adjustRightInd w:val="0"/>
        <w:jc w:val="both"/>
        <w:rPr>
          <w:sz w:val="22"/>
          <w:szCs w:val="22"/>
          <w:lang w:val="sr-Latn-ME"/>
        </w:rPr>
      </w:pPr>
      <w:r w:rsidRPr="00AD3B49">
        <w:rPr>
          <w:sz w:val="22"/>
          <w:szCs w:val="22"/>
          <w:lang w:val="sr-Latn-ME"/>
        </w:rPr>
        <w:t>117/276 pacijenata iz ispitivanja CD I i 272/777 pacijenata iz ispitivanja CD II i III su praćeni najmanje 3 godine u otvorenom dijelu terapije adalimumabom. 88, odnosno 189 pacijenata je nastavilo biti u kliničkoj remisiji. Klinički odgovor (CR-100) je održan kod 102, odnosno 233 pacijenta.</w:t>
      </w:r>
    </w:p>
    <w:p w:rsidR="00A31DD9" w:rsidRPr="00AD3B49" w:rsidRDefault="00A31DD9" w:rsidP="00A31DD9">
      <w:pPr>
        <w:autoSpaceDE w:val="0"/>
        <w:autoSpaceDN w:val="0"/>
        <w:adjustRightInd w:val="0"/>
        <w:jc w:val="both"/>
        <w:rPr>
          <w:sz w:val="22"/>
          <w:szCs w:val="22"/>
          <w:lang w:val="sr-Latn-ME"/>
        </w:rPr>
      </w:pPr>
    </w:p>
    <w:p w:rsidR="00A31DD9" w:rsidRPr="00AD3B49" w:rsidRDefault="00A31DD9" w:rsidP="00A31DD9">
      <w:pPr>
        <w:autoSpaceDE w:val="0"/>
        <w:autoSpaceDN w:val="0"/>
        <w:adjustRightInd w:val="0"/>
        <w:jc w:val="both"/>
        <w:rPr>
          <w:sz w:val="22"/>
          <w:szCs w:val="22"/>
          <w:u w:val="single"/>
          <w:lang w:val="sr-Latn-ME"/>
        </w:rPr>
      </w:pPr>
      <w:r w:rsidRPr="00AD3B49">
        <w:rPr>
          <w:sz w:val="22"/>
          <w:szCs w:val="22"/>
          <w:u w:val="single"/>
          <w:lang w:val="sr-Latn-ME"/>
        </w:rPr>
        <w:t>Kvalitet života</w:t>
      </w:r>
    </w:p>
    <w:p w:rsidR="00A31DD9" w:rsidRPr="00AD3B49" w:rsidRDefault="00A31DD9" w:rsidP="002C1631">
      <w:pPr>
        <w:snapToGrid w:val="0"/>
        <w:jc w:val="both"/>
        <w:rPr>
          <w:sz w:val="22"/>
          <w:szCs w:val="22"/>
          <w:lang w:val="sr-Latn-ME"/>
        </w:rPr>
      </w:pPr>
      <w:r w:rsidRPr="00AD3B49">
        <w:rPr>
          <w:sz w:val="22"/>
          <w:szCs w:val="22"/>
          <w:lang w:val="sr-Latn-ME"/>
        </w:rPr>
        <w:t xml:space="preserve">U ispitivanjima CD I i CD II, u 4. </w:t>
      </w:r>
      <w:r w:rsidR="000B016F" w:rsidRPr="00AD3B49">
        <w:rPr>
          <w:sz w:val="22"/>
          <w:szCs w:val="22"/>
          <w:lang w:val="sr-Latn-ME"/>
        </w:rPr>
        <w:t>nedjelji</w:t>
      </w:r>
      <w:r w:rsidRPr="00AD3B49">
        <w:rPr>
          <w:sz w:val="22"/>
          <w:szCs w:val="22"/>
          <w:lang w:val="sr-Latn-ME"/>
        </w:rPr>
        <w:t xml:space="preserve"> kod pacijenata koji su uzimali </w:t>
      </w:r>
      <w:r w:rsidR="00884C20" w:rsidRPr="00AD3B49">
        <w:rPr>
          <w:sz w:val="22"/>
          <w:szCs w:val="22"/>
          <w:lang w:val="sr-Latn-ME"/>
        </w:rPr>
        <w:t xml:space="preserve">lijek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80/40 mg i </w:t>
      </w:r>
      <w:r w:rsidR="00884C20" w:rsidRPr="00AD3B49">
        <w:rPr>
          <w:sz w:val="22"/>
          <w:szCs w:val="22"/>
          <w:lang w:val="sr-Latn-ME"/>
        </w:rPr>
        <w:t xml:space="preserve">lijek </w:t>
      </w:r>
      <w:r w:rsidRPr="00AD3B49">
        <w:rPr>
          <w:sz w:val="22"/>
          <w:szCs w:val="22"/>
          <w:lang w:val="sr-Latn-ME"/>
        </w:rPr>
        <w:t>Humir</w:t>
      </w:r>
      <w:r w:rsidR="00884C20" w:rsidRPr="00AD3B49">
        <w:rPr>
          <w:sz w:val="22"/>
          <w:szCs w:val="22"/>
          <w:lang w:val="sr-Latn-ME"/>
        </w:rPr>
        <w:t>a</w:t>
      </w:r>
      <w:r w:rsidRPr="00AD3B49">
        <w:rPr>
          <w:sz w:val="22"/>
          <w:szCs w:val="22"/>
          <w:lang w:val="sr-Latn-ME"/>
        </w:rPr>
        <w:t xml:space="preserve"> 160/80 mg došlo je do statistički značajnog poboljšanja u rezultatima prema Upitniku o upalnim bolestima crijeva (IBDQ) u odnosu na grupu pacijenata koji su uzimali placebo. U ispitivanju CD III grupe pacijenata koje su uzimale adalimumab imale su, u 26. i 56. </w:t>
      </w:r>
      <w:r w:rsidR="000B016F" w:rsidRPr="00AD3B49">
        <w:rPr>
          <w:sz w:val="22"/>
          <w:szCs w:val="22"/>
          <w:lang w:val="sr-Latn-ME"/>
        </w:rPr>
        <w:t>nedjelji</w:t>
      </w:r>
      <w:r w:rsidRPr="00AD3B49">
        <w:rPr>
          <w:sz w:val="22"/>
          <w:szCs w:val="22"/>
          <w:lang w:val="sr-Latn-ME"/>
        </w:rPr>
        <w:t>, bolje rezultate od grupe koja je uzimala placebo.</w:t>
      </w:r>
    </w:p>
    <w:p w:rsidR="00D5052A" w:rsidRPr="00AD3B49" w:rsidRDefault="00D5052A" w:rsidP="005D003D">
      <w:pPr>
        <w:pStyle w:val="Default"/>
        <w:jc w:val="both"/>
        <w:rPr>
          <w:rFonts w:ascii="Times New Roman" w:hAnsi="Times New Roman" w:cs="Times New Roman"/>
          <w:i/>
          <w:color w:val="auto"/>
          <w:sz w:val="22"/>
          <w:szCs w:val="22"/>
          <w:u w:val="single"/>
          <w:lang w:val="sr-Latn-ME"/>
        </w:rPr>
      </w:pPr>
    </w:p>
    <w:p w:rsidR="005D003D" w:rsidRPr="00AD3B49" w:rsidRDefault="005D003D" w:rsidP="005D003D">
      <w:pPr>
        <w:pStyle w:val="Default"/>
        <w:jc w:val="both"/>
        <w:rPr>
          <w:rFonts w:ascii="Times New Roman" w:hAnsi="Times New Roman" w:cs="Times New Roman"/>
          <w:i/>
          <w:color w:val="auto"/>
          <w:sz w:val="22"/>
          <w:szCs w:val="22"/>
          <w:u w:val="single"/>
          <w:lang w:val="sr-Latn-ME"/>
        </w:rPr>
      </w:pPr>
      <w:r w:rsidRPr="00AD3B49">
        <w:rPr>
          <w:rFonts w:ascii="Times New Roman" w:hAnsi="Times New Roman" w:cs="Times New Roman"/>
          <w:i/>
          <w:color w:val="auto"/>
          <w:sz w:val="22"/>
          <w:szCs w:val="22"/>
          <w:u w:val="single"/>
          <w:lang w:val="sr-Latn-ME"/>
        </w:rPr>
        <w:t>Chronova bol</w:t>
      </w:r>
      <w:r w:rsidR="001E4AB9" w:rsidRPr="00AD3B49">
        <w:rPr>
          <w:rFonts w:ascii="Times New Roman" w:hAnsi="Times New Roman" w:cs="Times New Roman"/>
          <w:i/>
          <w:color w:val="auto"/>
          <w:sz w:val="22"/>
          <w:szCs w:val="22"/>
          <w:u w:val="single"/>
          <w:lang w:val="sr-Latn-ME"/>
        </w:rPr>
        <w:t>est kod pedijatrijskih pacijenata</w:t>
      </w:r>
    </w:p>
    <w:p w:rsidR="005D003D" w:rsidRPr="00AD3B49" w:rsidRDefault="005D003D" w:rsidP="005D003D">
      <w:pPr>
        <w:tabs>
          <w:tab w:val="left" w:pos="172"/>
          <w:tab w:val="left" w:pos="1344"/>
        </w:tabs>
        <w:snapToGrid w:val="0"/>
        <w:jc w:val="both"/>
        <w:rPr>
          <w:sz w:val="22"/>
          <w:szCs w:val="22"/>
          <w:lang w:val="sr-Latn-ME"/>
        </w:rPr>
      </w:pPr>
      <w:r w:rsidRPr="00AD3B49">
        <w:rPr>
          <w:sz w:val="22"/>
          <w:szCs w:val="22"/>
          <w:lang w:val="sr-Latn-ME"/>
        </w:rPr>
        <w:t xml:space="preserve">Humira je ispitivana u multicentričnoj, </w:t>
      </w:r>
      <w:r w:rsidR="0011658F" w:rsidRPr="00AD3B49">
        <w:rPr>
          <w:sz w:val="22"/>
          <w:szCs w:val="22"/>
          <w:lang w:val="sr-Latn-ME"/>
        </w:rPr>
        <w:t>randomizovanoj</w:t>
      </w:r>
      <w:r w:rsidRPr="00AD3B49">
        <w:rPr>
          <w:sz w:val="22"/>
          <w:szCs w:val="22"/>
          <w:lang w:val="sr-Latn-ME"/>
        </w:rPr>
        <w:t xml:space="preserve">, dvostruko-slijepoj kliničkoj studiji, dizajniranoj za evaluaciju efikasnosti i bezbjednosti indukcione terapije i terapije održavanja, u dozi koja zavisi od tjelesne težine (&lt; od 40 kg ili ≥ od 40 kg) kod 192 </w:t>
      </w:r>
      <w:r w:rsidR="001E4AB9" w:rsidRPr="00AD3B49">
        <w:rPr>
          <w:sz w:val="22"/>
          <w:szCs w:val="22"/>
          <w:lang w:val="sr-Latn-ME"/>
        </w:rPr>
        <w:t>pedijatrijsk</w:t>
      </w:r>
      <w:r w:rsidR="00FD68B8" w:rsidRPr="00AD3B49">
        <w:rPr>
          <w:sz w:val="22"/>
          <w:szCs w:val="22"/>
          <w:lang w:val="sr-Latn-ME"/>
        </w:rPr>
        <w:t>a</w:t>
      </w:r>
      <w:r w:rsidR="001E4AB9" w:rsidRPr="00AD3B49">
        <w:rPr>
          <w:sz w:val="22"/>
          <w:szCs w:val="22"/>
          <w:lang w:val="sr-Latn-ME"/>
        </w:rPr>
        <w:t xml:space="preserve"> </w:t>
      </w:r>
      <w:r w:rsidR="000C4AD4" w:rsidRPr="00AD3B49">
        <w:rPr>
          <w:sz w:val="22"/>
          <w:szCs w:val="22"/>
          <w:lang w:val="sr-Latn-ME"/>
        </w:rPr>
        <w:t>pacijen</w:t>
      </w:r>
      <w:r w:rsidR="001E4AB9" w:rsidRPr="00AD3B49">
        <w:rPr>
          <w:sz w:val="22"/>
          <w:szCs w:val="22"/>
          <w:lang w:val="sr-Latn-ME"/>
        </w:rPr>
        <w:t>ta</w:t>
      </w:r>
      <w:r w:rsidRPr="00AD3B49">
        <w:rPr>
          <w:sz w:val="22"/>
          <w:szCs w:val="22"/>
          <w:lang w:val="sr-Latn-ME"/>
        </w:rPr>
        <w:t xml:space="preserve">, starosti između 6 i 17 godina, sa umjerenim do teškim oblikom Crohnove bolesti, definisanim sa Pediatric Crohn’s Disease Activity Index-om (PCDAI) &gt;30. Ispitanici su prethodno morali imati neadekvatan odgovor na konvencionalnu terapiju u liječenju Crohnove bolesti (uključujući kortikosteroide i / ili imunomodulator). Ispitanici su mogli imati slabiji odgovor na infliksimab ili ga nisu podnosili. </w:t>
      </w:r>
    </w:p>
    <w:p w:rsidR="005D003D" w:rsidRPr="00AD3B49" w:rsidRDefault="005D003D" w:rsidP="001E4AB9">
      <w:pPr>
        <w:tabs>
          <w:tab w:val="left" w:pos="172"/>
          <w:tab w:val="left" w:pos="1344"/>
        </w:tabs>
        <w:snapToGrid w:val="0"/>
        <w:jc w:val="both"/>
        <w:rPr>
          <w:sz w:val="22"/>
          <w:szCs w:val="22"/>
          <w:lang w:val="sr-Latn-ME"/>
        </w:rPr>
      </w:pPr>
      <w:r w:rsidRPr="00AD3B49">
        <w:rPr>
          <w:sz w:val="22"/>
          <w:szCs w:val="22"/>
          <w:lang w:val="sr-Latn-ME"/>
        </w:rPr>
        <w:lastRenderedPageBreak/>
        <w:t>Svi ispitanici su primili indukcionu terapiju u dozi u odnosu n</w:t>
      </w:r>
      <w:r w:rsidR="001E4AB9" w:rsidRPr="00AD3B49">
        <w:rPr>
          <w:sz w:val="22"/>
          <w:szCs w:val="22"/>
          <w:lang w:val="sr-Latn-ME"/>
        </w:rPr>
        <w:t xml:space="preserve">a svoju tjelesnu masu: </w:t>
      </w:r>
      <w:r w:rsidR="00E34552" w:rsidRPr="00AD3B49">
        <w:rPr>
          <w:sz w:val="22"/>
          <w:szCs w:val="22"/>
          <w:lang w:val="sr-Latn-ME"/>
        </w:rPr>
        <w:t>pacijen</w:t>
      </w:r>
      <w:r w:rsidR="001E4AB9" w:rsidRPr="00AD3B49">
        <w:rPr>
          <w:sz w:val="22"/>
          <w:szCs w:val="22"/>
          <w:lang w:val="sr-Latn-ME"/>
        </w:rPr>
        <w:t>ti</w:t>
      </w:r>
      <w:r w:rsidRPr="00AD3B49">
        <w:rPr>
          <w:sz w:val="22"/>
          <w:szCs w:val="22"/>
          <w:lang w:val="sr-Latn-ME"/>
        </w:rPr>
        <w:t xml:space="preserve"> sa tjelesnom težinom ≥ od 40 kg primili su 160 mg u </w:t>
      </w:r>
      <w:r w:rsidR="000C4AD4" w:rsidRPr="00AD3B49">
        <w:rPr>
          <w:sz w:val="22"/>
          <w:szCs w:val="22"/>
          <w:lang w:val="sr-Latn-ME"/>
        </w:rPr>
        <w:t>n</w:t>
      </w:r>
      <w:r w:rsidR="000B016F" w:rsidRPr="00AD3B49">
        <w:rPr>
          <w:sz w:val="22"/>
          <w:szCs w:val="22"/>
          <w:lang w:val="sr-Latn-ME"/>
        </w:rPr>
        <w:t>edjelji</w:t>
      </w:r>
      <w:r w:rsidRPr="00AD3B49">
        <w:rPr>
          <w:sz w:val="22"/>
          <w:szCs w:val="22"/>
          <w:lang w:val="sr-Latn-ME"/>
        </w:rPr>
        <w:t xml:space="preserve"> 0 i 80 mg u </w:t>
      </w:r>
      <w:r w:rsidR="000C4AD4" w:rsidRPr="00AD3B49">
        <w:rPr>
          <w:sz w:val="22"/>
          <w:szCs w:val="22"/>
          <w:lang w:val="sr-Latn-ME"/>
        </w:rPr>
        <w:t>n</w:t>
      </w:r>
      <w:r w:rsidR="000B016F" w:rsidRPr="00AD3B49">
        <w:rPr>
          <w:sz w:val="22"/>
          <w:szCs w:val="22"/>
          <w:lang w:val="sr-Latn-ME"/>
        </w:rPr>
        <w:t>edjelji</w:t>
      </w:r>
      <w:r w:rsidRPr="00AD3B49">
        <w:rPr>
          <w:sz w:val="22"/>
          <w:szCs w:val="22"/>
          <w:lang w:val="sr-Latn-ME"/>
        </w:rPr>
        <w:t xml:space="preserve"> 2 , a </w:t>
      </w:r>
      <w:r w:rsidR="001E4AB9" w:rsidRPr="00AD3B49">
        <w:rPr>
          <w:sz w:val="22"/>
          <w:szCs w:val="22"/>
          <w:lang w:val="sr-Latn-ME"/>
        </w:rPr>
        <w:t>pacijenti</w:t>
      </w:r>
      <w:r w:rsidRPr="00AD3B49">
        <w:rPr>
          <w:sz w:val="22"/>
          <w:szCs w:val="22"/>
          <w:lang w:val="sr-Latn-ME"/>
        </w:rPr>
        <w:t xml:space="preserve"> sa tjelesnom težinom &lt; od 40 kg primili su 80 mg u </w:t>
      </w:r>
      <w:r w:rsidR="000C4AD4" w:rsidRPr="00AD3B49">
        <w:rPr>
          <w:sz w:val="22"/>
          <w:szCs w:val="22"/>
          <w:lang w:val="sr-Latn-ME"/>
        </w:rPr>
        <w:t>n</w:t>
      </w:r>
      <w:r w:rsidR="000B016F" w:rsidRPr="00AD3B49">
        <w:rPr>
          <w:sz w:val="22"/>
          <w:szCs w:val="22"/>
          <w:lang w:val="sr-Latn-ME"/>
        </w:rPr>
        <w:t>edjelji</w:t>
      </w:r>
      <w:r w:rsidR="000C4AD4" w:rsidRPr="00AD3B49">
        <w:rPr>
          <w:sz w:val="22"/>
          <w:szCs w:val="22"/>
          <w:lang w:val="sr-Latn-ME"/>
        </w:rPr>
        <w:t xml:space="preserve"> 0 i 40 mg u n</w:t>
      </w:r>
      <w:r w:rsidR="000B016F" w:rsidRPr="00AD3B49">
        <w:rPr>
          <w:sz w:val="22"/>
          <w:szCs w:val="22"/>
          <w:lang w:val="sr-Latn-ME"/>
        </w:rPr>
        <w:t>edjelji</w:t>
      </w:r>
      <w:r w:rsidRPr="00AD3B49">
        <w:rPr>
          <w:sz w:val="22"/>
          <w:szCs w:val="22"/>
          <w:lang w:val="sr-Latn-ME"/>
        </w:rPr>
        <w:t xml:space="preserve"> 2.</w:t>
      </w:r>
    </w:p>
    <w:p w:rsidR="005D003D" w:rsidRPr="00AD3B49" w:rsidRDefault="005D003D" w:rsidP="005D003D">
      <w:pPr>
        <w:tabs>
          <w:tab w:val="center" w:pos="4536"/>
          <w:tab w:val="right" w:pos="9072"/>
        </w:tabs>
        <w:jc w:val="both"/>
        <w:rPr>
          <w:bCs/>
          <w:sz w:val="22"/>
          <w:szCs w:val="22"/>
          <w:lang w:val="sr-Latn-ME"/>
        </w:rPr>
      </w:pPr>
    </w:p>
    <w:p w:rsidR="005D003D" w:rsidRPr="00AD3B49" w:rsidRDefault="005D003D" w:rsidP="005D003D">
      <w:pPr>
        <w:tabs>
          <w:tab w:val="center" w:pos="4536"/>
          <w:tab w:val="right" w:pos="9072"/>
        </w:tabs>
        <w:jc w:val="both"/>
        <w:rPr>
          <w:bCs/>
          <w:sz w:val="22"/>
          <w:szCs w:val="22"/>
          <w:lang w:val="sr-Latn-ME"/>
        </w:rPr>
      </w:pPr>
      <w:r w:rsidRPr="00AD3B49">
        <w:rPr>
          <w:bCs/>
          <w:sz w:val="22"/>
          <w:szCs w:val="22"/>
          <w:lang w:val="sr-Latn-ME"/>
        </w:rPr>
        <w:t xml:space="preserve">U </w:t>
      </w:r>
      <w:r w:rsidR="000C4AD4" w:rsidRPr="00AD3B49">
        <w:rPr>
          <w:bCs/>
          <w:sz w:val="22"/>
          <w:szCs w:val="22"/>
          <w:lang w:val="sr-Latn-ME"/>
        </w:rPr>
        <w:t>n</w:t>
      </w:r>
      <w:r w:rsidR="000B016F" w:rsidRPr="00AD3B49">
        <w:rPr>
          <w:bCs/>
          <w:sz w:val="22"/>
          <w:szCs w:val="22"/>
          <w:lang w:val="sr-Latn-ME"/>
        </w:rPr>
        <w:t>edjelji</w:t>
      </w:r>
      <w:r w:rsidRPr="00AD3B49">
        <w:rPr>
          <w:bCs/>
          <w:sz w:val="22"/>
          <w:szCs w:val="22"/>
          <w:lang w:val="sr-Latn-ME"/>
        </w:rPr>
        <w:t xml:space="preserve"> 4, ispitanici su randomizovani 1:1 u odnosu na tjelesnu masu da bi nastavili da primaju nižu dozu ili standardnu dozu u terapiji održavanja, kao što je prikazano u tabeli</w:t>
      </w:r>
      <w:r w:rsidR="002C1631" w:rsidRPr="00AD3B49">
        <w:rPr>
          <w:bCs/>
          <w:sz w:val="22"/>
          <w:szCs w:val="22"/>
          <w:lang w:val="sr-Latn-ME"/>
        </w:rPr>
        <w:t xml:space="preserve"> 16</w:t>
      </w:r>
      <w:r w:rsidRPr="00AD3B49">
        <w:rPr>
          <w:bCs/>
          <w:sz w:val="22"/>
          <w:szCs w:val="22"/>
          <w:lang w:val="sr-Latn-ME"/>
        </w:rPr>
        <w:t>.</w:t>
      </w:r>
    </w:p>
    <w:p w:rsidR="005D003D" w:rsidRPr="00AD3B49" w:rsidRDefault="005D003D" w:rsidP="005D003D">
      <w:pPr>
        <w:tabs>
          <w:tab w:val="left" w:pos="172"/>
          <w:tab w:val="left" w:pos="1344"/>
        </w:tabs>
        <w:snapToGrid w:val="0"/>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3290"/>
        <w:gridCol w:w="3078"/>
      </w:tblGrid>
      <w:tr w:rsidR="005D003D" w:rsidRPr="00AD3B49" w:rsidTr="00E34552">
        <w:trPr>
          <w:trHeight w:val="270"/>
        </w:trPr>
        <w:tc>
          <w:tcPr>
            <w:tcW w:w="9120" w:type="dxa"/>
            <w:gridSpan w:val="3"/>
            <w:shd w:val="clear" w:color="auto" w:fill="auto"/>
          </w:tcPr>
          <w:p w:rsidR="005D003D" w:rsidRPr="00AD3B49" w:rsidRDefault="002C1631" w:rsidP="006B0826">
            <w:pPr>
              <w:tabs>
                <w:tab w:val="center" w:pos="4536"/>
                <w:tab w:val="right" w:pos="9072"/>
              </w:tabs>
              <w:jc w:val="center"/>
              <w:rPr>
                <w:bCs/>
                <w:sz w:val="22"/>
                <w:szCs w:val="22"/>
                <w:lang w:val="sr-Latn-ME"/>
              </w:rPr>
            </w:pPr>
            <w:r w:rsidRPr="00AD3B49">
              <w:rPr>
                <w:b/>
                <w:bCs/>
                <w:sz w:val="22"/>
                <w:szCs w:val="22"/>
                <w:lang w:val="sr-Latn-ME"/>
              </w:rPr>
              <w:t>Tabela 16</w:t>
            </w:r>
            <w:r w:rsidR="005D003D" w:rsidRPr="00AD3B49">
              <w:rPr>
                <w:b/>
                <w:bCs/>
                <w:sz w:val="22"/>
                <w:szCs w:val="22"/>
                <w:lang w:val="sr-Latn-ME"/>
              </w:rPr>
              <w:t>.</w:t>
            </w:r>
            <w:r w:rsidR="005D003D" w:rsidRPr="00AD3B49">
              <w:rPr>
                <w:bCs/>
                <w:sz w:val="22"/>
                <w:szCs w:val="22"/>
                <w:lang w:val="sr-Latn-ME"/>
              </w:rPr>
              <w:t xml:space="preserve"> </w:t>
            </w:r>
            <w:r w:rsidR="005D003D" w:rsidRPr="00AD3B49">
              <w:rPr>
                <w:b/>
                <w:bCs/>
                <w:sz w:val="22"/>
                <w:szCs w:val="22"/>
                <w:lang w:val="sr-Latn-ME"/>
              </w:rPr>
              <w:t>Terapija održavanja</w:t>
            </w:r>
          </w:p>
        </w:tc>
      </w:tr>
      <w:tr w:rsidR="005D003D" w:rsidRPr="00AD3B49" w:rsidTr="00E34552">
        <w:trPr>
          <w:trHeight w:val="519"/>
        </w:trPr>
        <w:tc>
          <w:tcPr>
            <w:tcW w:w="2753"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Tjelesna težina pacijenta</w:t>
            </w:r>
          </w:p>
        </w:tc>
        <w:tc>
          <w:tcPr>
            <w:tcW w:w="3290"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Niska doza</w:t>
            </w:r>
          </w:p>
        </w:tc>
        <w:tc>
          <w:tcPr>
            <w:tcW w:w="3078"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Standardna doza</w:t>
            </w:r>
          </w:p>
        </w:tc>
      </w:tr>
      <w:tr w:rsidR="005D003D" w:rsidRPr="00AD3B49" w:rsidTr="00E34552">
        <w:trPr>
          <w:trHeight w:val="270"/>
        </w:trPr>
        <w:tc>
          <w:tcPr>
            <w:tcW w:w="2753" w:type="dxa"/>
            <w:shd w:val="clear" w:color="auto" w:fill="auto"/>
          </w:tcPr>
          <w:p w:rsidR="005D003D" w:rsidRPr="00AD3B49" w:rsidRDefault="005D003D" w:rsidP="005D003D">
            <w:pPr>
              <w:tabs>
                <w:tab w:val="center" w:pos="4536"/>
                <w:tab w:val="right" w:pos="9072"/>
              </w:tabs>
              <w:rPr>
                <w:bCs/>
                <w:sz w:val="22"/>
                <w:szCs w:val="22"/>
                <w:lang w:val="sr-Latn-ME"/>
              </w:rPr>
            </w:pPr>
            <w:r w:rsidRPr="00AD3B49">
              <w:rPr>
                <w:sz w:val="22"/>
                <w:szCs w:val="22"/>
                <w:lang w:val="sr-Latn-ME"/>
              </w:rPr>
              <w:t>&lt; od 40 kg</w:t>
            </w:r>
          </w:p>
        </w:tc>
        <w:tc>
          <w:tcPr>
            <w:tcW w:w="329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 xml:space="preserve">10 mg svake druge </w:t>
            </w:r>
            <w:r w:rsidR="000B016F" w:rsidRPr="00AD3B49">
              <w:rPr>
                <w:bCs/>
                <w:sz w:val="22"/>
                <w:szCs w:val="22"/>
                <w:lang w:val="sr-Latn-ME"/>
              </w:rPr>
              <w:t>nedjelje</w:t>
            </w:r>
          </w:p>
        </w:tc>
        <w:tc>
          <w:tcPr>
            <w:tcW w:w="3078"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 xml:space="preserve">20 mg svake druge </w:t>
            </w:r>
            <w:r w:rsidR="000B016F" w:rsidRPr="00AD3B49">
              <w:rPr>
                <w:bCs/>
                <w:sz w:val="22"/>
                <w:szCs w:val="22"/>
                <w:lang w:val="sr-Latn-ME"/>
              </w:rPr>
              <w:t>nedjelje</w:t>
            </w:r>
          </w:p>
        </w:tc>
      </w:tr>
      <w:tr w:rsidR="005D003D" w:rsidRPr="00AD3B49" w:rsidTr="00E34552">
        <w:trPr>
          <w:trHeight w:val="260"/>
        </w:trPr>
        <w:tc>
          <w:tcPr>
            <w:tcW w:w="2753" w:type="dxa"/>
            <w:shd w:val="clear" w:color="auto" w:fill="auto"/>
          </w:tcPr>
          <w:p w:rsidR="005D003D" w:rsidRPr="00AD3B49" w:rsidRDefault="005D003D" w:rsidP="005D003D">
            <w:pPr>
              <w:tabs>
                <w:tab w:val="center" w:pos="4536"/>
                <w:tab w:val="right" w:pos="9072"/>
              </w:tabs>
              <w:rPr>
                <w:bCs/>
                <w:sz w:val="22"/>
                <w:szCs w:val="22"/>
                <w:lang w:val="sr-Latn-ME"/>
              </w:rPr>
            </w:pPr>
            <w:r w:rsidRPr="00AD3B49">
              <w:rPr>
                <w:sz w:val="22"/>
                <w:szCs w:val="22"/>
                <w:lang w:val="sr-Latn-ME"/>
              </w:rPr>
              <w:t>≥ od 40 kg</w:t>
            </w:r>
          </w:p>
        </w:tc>
        <w:tc>
          <w:tcPr>
            <w:tcW w:w="329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 xml:space="preserve">20 mg svake druge </w:t>
            </w:r>
            <w:r w:rsidRPr="00AD3B49">
              <w:rPr>
                <w:sz w:val="22"/>
                <w:szCs w:val="22"/>
                <w:lang w:val="sr-Latn-ME"/>
              </w:rPr>
              <w:t xml:space="preserve"> </w:t>
            </w:r>
            <w:r w:rsidR="000B016F" w:rsidRPr="00AD3B49">
              <w:rPr>
                <w:bCs/>
                <w:sz w:val="22"/>
                <w:szCs w:val="22"/>
                <w:lang w:val="sr-Latn-ME"/>
              </w:rPr>
              <w:t>nedjelje</w:t>
            </w:r>
          </w:p>
        </w:tc>
        <w:tc>
          <w:tcPr>
            <w:tcW w:w="3078"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 xml:space="preserve">40 mg svake druge </w:t>
            </w:r>
            <w:r w:rsidR="000B016F" w:rsidRPr="00AD3B49">
              <w:rPr>
                <w:bCs/>
                <w:sz w:val="22"/>
                <w:szCs w:val="22"/>
                <w:lang w:val="sr-Latn-ME"/>
              </w:rPr>
              <w:t>nedjelje</w:t>
            </w:r>
          </w:p>
        </w:tc>
      </w:tr>
    </w:tbl>
    <w:p w:rsidR="005D003D" w:rsidRPr="00AD3B49" w:rsidRDefault="005D003D" w:rsidP="005D003D">
      <w:pPr>
        <w:tabs>
          <w:tab w:val="left" w:pos="172"/>
          <w:tab w:val="left" w:pos="1344"/>
        </w:tabs>
        <w:snapToGrid w:val="0"/>
        <w:rPr>
          <w:sz w:val="22"/>
          <w:szCs w:val="22"/>
          <w:lang w:val="sr-Latn-ME"/>
        </w:rPr>
      </w:pPr>
    </w:p>
    <w:p w:rsidR="005D003D" w:rsidRPr="00AD3B49" w:rsidRDefault="005D003D" w:rsidP="005D003D">
      <w:pPr>
        <w:tabs>
          <w:tab w:val="center" w:pos="4536"/>
          <w:tab w:val="right" w:pos="9072"/>
        </w:tabs>
        <w:jc w:val="both"/>
        <w:rPr>
          <w:bCs/>
          <w:i/>
          <w:sz w:val="22"/>
          <w:szCs w:val="22"/>
          <w:lang w:val="sr-Latn-ME"/>
        </w:rPr>
      </w:pPr>
      <w:r w:rsidRPr="00AD3B49">
        <w:rPr>
          <w:bCs/>
          <w:i/>
          <w:sz w:val="22"/>
          <w:szCs w:val="22"/>
          <w:lang w:val="sr-Latn-ME"/>
        </w:rPr>
        <w:t>Rezultati efikasnosti</w:t>
      </w:r>
    </w:p>
    <w:p w:rsidR="005D003D" w:rsidRPr="00AD3B49" w:rsidRDefault="005D003D" w:rsidP="005D003D">
      <w:pPr>
        <w:tabs>
          <w:tab w:val="center" w:pos="4536"/>
          <w:tab w:val="right" w:pos="9072"/>
        </w:tabs>
        <w:jc w:val="both"/>
        <w:rPr>
          <w:sz w:val="22"/>
          <w:szCs w:val="22"/>
          <w:lang w:val="sr-Latn-ME"/>
        </w:rPr>
      </w:pPr>
      <w:r w:rsidRPr="00AD3B49">
        <w:rPr>
          <w:bCs/>
          <w:sz w:val="22"/>
          <w:szCs w:val="22"/>
          <w:lang w:val="sr-Latn-ME"/>
        </w:rPr>
        <w:t>Primarni cilj s</w:t>
      </w:r>
      <w:r w:rsidR="000C4AD4" w:rsidRPr="00AD3B49">
        <w:rPr>
          <w:bCs/>
          <w:sz w:val="22"/>
          <w:szCs w:val="22"/>
          <w:lang w:val="sr-Latn-ME"/>
        </w:rPr>
        <w:t>tudije bio je klinička remisija</w:t>
      </w:r>
      <w:r w:rsidRPr="00AD3B49">
        <w:rPr>
          <w:bCs/>
          <w:sz w:val="22"/>
          <w:szCs w:val="22"/>
          <w:lang w:val="sr-Latn-ME"/>
        </w:rPr>
        <w:t xml:space="preserve"> u 26-toj </w:t>
      </w:r>
      <w:r w:rsidR="000B016F" w:rsidRPr="00AD3B49">
        <w:rPr>
          <w:bCs/>
          <w:sz w:val="22"/>
          <w:szCs w:val="22"/>
          <w:lang w:val="sr-Latn-ME"/>
        </w:rPr>
        <w:t>nedjelji</w:t>
      </w:r>
      <w:r w:rsidRPr="00AD3B49">
        <w:rPr>
          <w:bCs/>
          <w:sz w:val="22"/>
          <w:szCs w:val="22"/>
          <w:lang w:val="sr-Latn-ME"/>
        </w:rPr>
        <w:t xml:space="preserve">,  definisana  kao  PCDAI   </w:t>
      </w:r>
      <w:r w:rsidR="00220AFF" w:rsidRPr="00AD3B49">
        <w:rPr>
          <w:bCs/>
          <w:sz w:val="22"/>
          <w:szCs w:val="22"/>
          <w:lang w:val="sr-Latn-ME"/>
        </w:rPr>
        <w:t>zbi</w:t>
      </w:r>
      <w:r w:rsidR="00FD68B8" w:rsidRPr="00AD3B49">
        <w:rPr>
          <w:bCs/>
          <w:sz w:val="22"/>
          <w:szCs w:val="22"/>
          <w:lang w:val="sr-Latn-ME"/>
        </w:rPr>
        <w:t xml:space="preserve">r </w:t>
      </w:r>
      <w:r w:rsidRPr="00AD3B49">
        <w:rPr>
          <w:sz w:val="22"/>
          <w:szCs w:val="22"/>
          <w:lang w:val="sr-Latn-ME"/>
        </w:rPr>
        <w:t>≤ 10. Klinička remisija i klinički odgovor (definisan kao redukcija PCDAI</w:t>
      </w:r>
      <w:r w:rsidR="000C4AD4" w:rsidRPr="00AD3B49">
        <w:rPr>
          <w:sz w:val="22"/>
          <w:szCs w:val="22"/>
          <w:lang w:val="sr-Latn-ME"/>
        </w:rPr>
        <w:t xml:space="preserve"> </w:t>
      </w:r>
      <w:r w:rsidR="00220AFF" w:rsidRPr="00AD3B49">
        <w:rPr>
          <w:sz w:val="22"/>
          <w:szCs w:val="22"/>
          <w:lang w:val="sr-Latn-ME"/>
        </w:rPr>
        <w:t>zbi</w:t>
      </w:r>
      <w:r w:rsidR="00FD68B8" w:rsidRPr="00AD3B49">
        <w:rPr>
          <w:sz w:val="22"/>
          <w:szCs w:val="22"/>
          <w:lang w:val="sr-Latn-ME"/>
        </w:rPr>
        <w:t xml:space="preserve">ra </w:t>
      </w:r>
      <w:r w:rsidR="000C4AD4" w:rsidRPr="00AD3B49">
        <w:rPr>
          <w:sz w:val="22"/>
          <w:szCs w:val="22"/>
          <w:lang w:val="sr-Latn-ME"/>
        </w:rPr>
        <w:t xml:space="preserve">za najmanje 15 bodova od </w:t>
      </w:r>
      <w:r w:rsidRPr="00AD3B49">
        <w:rPr>
          <w:sz w:val="22"/>
          <w:szCs w:val="22"/>
          <w:lang w:val="sr-Latn-ME"/>
        </w:rPr>
        <w:t>početne vrije</w:t>
      </w:r>
      <w:r w:rsidR="002C1631" w:rsidRPr="00AD3B49">
        <w:rPr>
          <w:sz w:val="22"/>
          <w:szCs w:val="22"/>
          <w:lang w:val="sr-Latn-ME"/>
        </w:rPr>
        <w:t>dnosti) prikazani su u tabeli 17</w:t>
      </w:r>
      <w:r w:rsidR="000C4AD4" w:rsidRPr="00AD3B49">
        <w:rPr>
          <w:sz w:val="22"/>
          <w:szCs w:val="22"/>
          <w:lang w:val="sr-Latn-ME"/>
        </w:rPr>
        <w:t xml:space="preserve">. </w:t>
      </w:r>
      <w:r w:rsidRPr="00AD3B49">
        <w:rPr>
          <w:sz w:val="22"/>
          <w:szCs w:val="22"/>
          <w:lang w:val="sr-Latn-ME"/>
        </w:rPr>
        <w:t>Stepen prekida upotrebe kortikosteroida i imunomo</w:t>
      </w:r>
      <w:r w:rsidR="002C1631" w:rsidRPr="00AD3B49">
        <w:rPr>
          <w:sz w:val="22"/>
          <w:szCs w:val="22"/>
          <w:lang w:val="sr-Latn-ME"/>
        </w:rPr>
        <w:t>dulatora prikazan je u tabeli 18</w:t>
      </w:r>
      <w:r w:rsidRPr="00AD3B49">
        <w:rPr>
          <w:sz w:val="22"/>
          <w:szCs w:val="22"/>
          <w:lang w:val="sr-Latn-ME"/>
        </w:rPr>
        <w:t>.</w:t>
      </w:r>
    </w:p>
    <w:p w:rsidR="005D003D" w:rsidRPr="00AD3B49" w:rsidRDefault="005D003D" w:rsidP="005D003D">
      <w:pPr>
        <w:tabs>
          <w:tab w:val="center" w:pos="4536"/>
          <w:tab w:val="right" w:pos="9072"/>
        </w:tabs>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970"/>
        <w:gridCol w:w="2700"/>
        <w:gridCol w:w="1535"/>
      </w:tblGrid>
      <w:tr w:rsidR="005D003D" w:rsidRPr="00AD3B49" w:rsidTr="005D003D">
        <w:tc>
          <w:tcPr>
            <w:tcW w:w="9180" w:type="dxa"/>
            <w:gridSpan w:val="4"/>
            <w:shd w:val="clear" w:color="auto" w:fill="auto"/>
          </w:tcPr>
          <w:p w:rsidR="005D003D" w:rsidRPr="00AD3B49" w:rsidRDefault="00DD5431" w:rsidP="006B0826">
            <w:pPr>
              <w:tabs>
                <w:tab w:val="center" w:pos="4536"/>
                <w:tab w:val="right" w:pos="9072"/>
              </w:tabs>
              <w:jc w:val="center"/>
              <w:rPr>
                <w:b/>
                <w:bCs/>
                <w:sz w:val="22"/>
                <w:szCs w:val="22"/>
                <w:lang w:val="sr-Latn-ME"/>
              </w:rPr>
            </w:pPr>
            <w:r w:rsidRPr="00AD3B49">
              <w:rPr>
                <w:b/>
                <w:bCs/>
                <w:sz w:val="22"/>
                <w:szCs w:val="22"/>
                <w:lang w:val="sr-Latn-ME"/>
              </w:rPr>
              <w:t>Tabela 1</w:t>
            </w:r>
            <w:r w:rsidR="002C1631" w:rsidRPr="00AD3B49">
              <w:rPr>
                <w:b/>
                <w:bCs/>
                <w:sz w:val="22"/>
                <w:szCs w:val="22"/>
                <w:lang w:val="sr-Latn-ME"/>
              </w:rPr>
              <w:t>7</w:t>
            </w:r>
            <w:r w:rsidRPr="00AD3B49">
              <w:rPr>
                <w:b/>
                <w:bCs/>
                <w:sz w:val="22"/>
                <w:szCs w:val="22"/>
                <w:lang w:val="sr-Latn-ME"/>
              </w:rPr>
              <w:t>.</w:t>
            </w:r>
            <w:r w:rsidR="005D003D" w:rsidRPr="00AD3B49">
              <w:rPr>
                <w:b/>
                <w:bCs/>
                <w:sz w:val="22"/>
                <w:szCs w:val="22"/>
                <w:lang w:val="sr-Latn-ME"/>
              </w:rPr>
              <w:t xml:space="preserve"> Pedijatrijska CD studija</w:t>
            </w:r>
          </w:p>
          <w:p w:rsidR="005D003D" w:rsidRPr="00AD3B49" w:rsidRDefault="005D003D" w:rsidP="006B0826">
            <w:pPr>
              <w:tabs>
                <w:tab w:val="center" w:pos="4536"/>
                <w:tab w:val="right" w:pos="9072"/>
              </w:tabs>
              <w:jc w:val="center"/>
              <w:rPr>
                <w:bCs/>
                <w:sz w:val="22"/>
                <w:szCs w:val="22"/>
                <w:lang w:val="sr-Latn-ME"/>
              </w:rPr>
            </w:pPr>
            <w:r w:rsidRPr="00AD3B49">
              <w:rPr>
                <w:b/>
                <w:bCs/>
                <w:sz w:val="22"/>
                <w:szCs w:val="22"/>
                <w:lang w:val="sr-Latn-ME"/>
              </w:rPr>
              <w:t>PCDAI klinička remisija i odgovor</w:t>
            </w:r>
          </w:p>
        </w:tc>
      </w:tr>
      <w:tr w:rsidR="005D003D" w:rsidRPr="00AD3B49" w:rsidTr="005D003D">
        <w:tc>
          <w:tcPr>
            <w:tcW w:w="1975" w:type="dxa"/>
            <w:shd w:val="clear" w:color="auto" w:fill="auto"/>
          </w:tcPr>
          <w:p w:rsidR="005D003D" w:rsidRPr="00AD3B49" w:rsidRDefault="005D003D" w:rsidP="005D003D">
            <w:pPr>
              <w:tabs>
                <w:tab w:val="center" w:pos="4536"/>
                <w:tab w:val="right" w:pos="9072"/>
              </w:tabs>
              <w:rPr>
                <w:bCs/>
                <w:sz w:val="22"/>
                <w:szCs w:val="22"/>
                <w:lang w:val="sr-Latn-ME"/>
              </w:rPr>
            </w:pPr>
          </w:p>
        </w:tc>
        <w:tc>
          <w:tcPr>
            <w:tcW w:w="2970"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 xml:space="preserve">Standardna doza: 40/20 mg svake druge </w:t>
            </w:r>
            <w:r w:rsidR="000B016F" w:rsidRPr="00AD3B49">
              <w:rPr>
                <w:b/>
                <w:bCs/>
                <w:sz w:val="22"/>
                <w:szCs w:val="22"/>
                <w:lang w:val="sr-Latn-ME"/>
              </w:rPr>
              <w:t>nedjelje</w:t>
            </w:r>
            <w:r w:rsidRPr="00AD3B49">
              <w:rPr>
                <w:b/>
                <w:bCs/>
                <w:sz w:val="22"/>
                <w:szCs w:val="22"/>
                <w:lang w:val="sr-Latn-ME"/>
              </w:rPr>
              <w:t xml:space="preserve"> </w:t>
            </w:r>
          </w:p>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N=93</w:t>
            </w:r>
          </w:p>
        </w:tc>
        <w:tc>
          <w:tcPr>
            <w:tcW w:w="2700"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 xml:space="preserve">Niska doza: 20/10 mg svake druge </w:t>
            </w:r>
            <w:r w:rsidR="000B016F" w:rsidRPr="00AD3B49">
              <w:rPr>
                <w:b/>
                <w:bCs/>
                <w:sz w:val="22"/>
                <w:szCs w:val="22"/>
                <w:lang w:val="sr-Latn-ME"/>
              </w:rPr>
              <w:t>nedjelje</w:t>
            </w:r>
          </w:p>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N=95</w:t>
            </w:r>
          </w:p>
        </w:tc>
        <w:tc>
          <w:tcPr>
            <w:tcW w:w="1535"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P* vrijednost</w:t>
            </w:r>
          </w:p>
        </w:tc>
      </w:tr>
      <w:tr w:rsidR="005D003D" w:rsidRPr="00AD3B49" w:rsidTr="005D003D">
        <w:tc>
          <w:tcPr>
            <w:tcW w:w="1975"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 xml:space="preserve">26 </w:t>
            </w:r>
            <w:r w:rsidR="000B016F" w:rsidRPr="00AD3B49">
              <w:rPr>
                <w:b/>
                <w:bCs/>
                <w:sz w:val="22"/>
                <w:szCs w:val="22"/>
                <w:lang w:val="sr-Latn-ME"/>
              </w:rPr>
              <w:t>nedjelja</w:t>
            </w:r>
          </w:p>
        </w:tc>
        <w:tc>
          <w:tcPr>
            <w:tcW w:w="2970" w:type="dxa"/>
            <w:shd w:val="clear" w:color="auto" w:fill="auto"/>
          </w:tcPr>
          <w:p w:rsidR="005D003D" w:rsidRPr="00AD3B49" w:rsidRDefault="005D003D" w:rsidP="005D003D">
            <w:pPr>
              <w:tabs>
                <w:tab w:val="center" w:pos="4536"/>
                <w:tab w:val="right" w:pos="9072"/>
              </w:tabs>
              <w:rPr>
                <w:bCs/>
                <w:sz w:val="22"/>
                <w:szCs w:val="22"/>
                <w:lang w:val="sr-Latn-ME"/>
              </w:rPr>
            </w:pPr>
          </w:p>
        </w:tc>
        <w:tc>
          <w:tcPr>
            <w:tcW w:w="2700" w:type="dxa"/>
            <w:shd w:val="clear" w:color="auto" w:fill="auto"/>
          </w:tcPr>
          <w:p w:rsidR="005D003D" w:rsidRPr="00AD3B49" w:rsidRDefault="005D003D" w:rsidP="005D003D">
            <w:pPr>
              <w:tabs>
                <w:tab w:val="center" w:pos="4536"/>
                <w:tab w:val="right" w:pos="9072"/>
              </w:tabs>
              <w:rPr>
                <w:bCs/>
                <w:sz w:val="22"/>
                <w:szCs w:val="22"/>
                <w:lang w:val="sr-Latn-ME"/>
              </w:rPr>
            </w:pPr>
          </w:p>
        </w:tc>
        <w:tc>
          <w:tcPr>
            <w:tcW w:w="1535" w:type="dxa"/>
            <w:shd w:val="clear" w:color="auto" w:fill="auto"/>
          </w:tcPr>
          <w:p w:rsidR="005D003D" w:rsidRPr="00AD3B49" w:rsidRDefault="005D003D" w:rsidP="005D003D">
            <w:pPr>
              <w:tabs>
                <w:tab w:val="center" w:pos="4536"/>
                <w:tab w:val="right" w:pos="9072"/>
              </w:tabs>
              <w:rPr>
                <w:bCs/>
                <w:sz w:val="22"/>
                <w:szCs w:val="22"/>
                <w:lang w:val="sr-Latn-ME"/>
              </w:rPr>
            </w:pPr>
          </w:p>
        </w:tc>
      </w:tr>
      <w:tr w:rsidR="005D003D" w:rsidRPr="00AD3B49" w:rsidTr="005D003D">
        <w:tc>
          <w:tcPr>
            <w:tcW w:w="1975"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Klinička remisija</w:t>
            </w:r>
          </w:p>
        </w:tc>
        <w:tc>
          <w:tcPr>
            <w:tcW w:w="297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38,7%</w:t>
            </w:r>
          </w:p>
        </w:tc>
        <w:tc>
          <w:tcPr>
            <w:tcW w:w="270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28,4%</w:t>
            </w:r>
          </w:p>
        </w:tc>
        <w:tc>
          <w:tcPr>
            <w:tcW w:w="1535"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0.075</w:t>
            </w:r>
          </w:p>
        </w:tc>
      </w:tr>
      <w:tr w:rsidR="005D003D" w:rsidRPr="00AD3B49" w:rsidTr="005D003D">
        <w:tc>
          <w:tcPr>
            <w:tcW w:w="1975"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Klinički odgovor</w:t>
            </w:r>
          </w:p>
        </w:tc>
        <w:tc>
          <w:tcPr>
            <w:tcW w:w="297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59,1%</w:t>
            </w:r>
          </w:p>
        </w:tc>
        <w:tc>
          <w:tcPr>
            <w:tcW w:w="270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48,4%</w:t>
            </w:r>
          </w:p>
        </w:tc>
        <w:tc>
          <w:tcPr>
            <w:tcW w:w="1535"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0.073</w:t>
            </w:r>
          </w:p>
        </w:tc>
      </w:tr>
      <w:tr w:rsidR="005D003D" w:rsidRPr="00AD3B49" w:rsidTr="005D003D">
        <w:tc>
          <w:tcPr>
            <w:tcW w:w="1975"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 xml:space="preserve">52 </w:t>
            </w:r>
            <w:r w:rsidR="000B016F" w:rsidRPr="00AD3B49">
              <w:rPr>
                <w:b/>
                <w:bCs/>
                <w:sz w:val="22"/>
                <w:szCs w:val="22"/>
                <w:lang w:val="sr-Latn-ME"/>
              </w:rPr>
              <w:t>nedjelja</w:t>
            </w:r>
          </w:p>
        </w:tc>
        <w:tc>
          <w:tcPr>
            <w:tcW w:w="2970" w:type="dxa"/>
            <w:shd w:val="clear" w:color="auto" w:fill="auto"/>
          </w:tcPr>
          <w:p w:rsidR="005D003D" w:rsidRPr="00AD3B49" w:rsidRDefault="005D003D" w:rsidP="005D003D">
            <w:pPr>
              <w:tabs>
                <w:tab w:val="center" w:pos="4536"/>
                <w:tab w:val="right" w:pos="9072"/>
              </w:tabs>
              <w:jc w:val="center"/>
              <w:rPr>
                <w:bCs/>
                <w:sz w:val="22"/>
                <w:szCs w:val="22"/>
                <w:lang w:val="sr-Latn-ME"/>
              </w:rPr>
            </w:pPr>
          </w:p>
        </w:tc>
        <w:tc>
          <w:tcPr>
            <w:tcW w:w="2700" w:type="dxa"/>
            <w:shd w:val="clear" w:color="auto" w:fill="auto"/>
          </w:tcPr>
          <w:p w:rsidR="005D003D" w:rsidRPr="00AD3B49" w:rsidRDefault="005D003D" w:rsidP="005D003D">
            <w:pPr>
              <w:tabs>
                <w:tab w:val="center" w:pos="4536"/>
                <w:tab w:val="right" w:pos="9072"/>
              </w:tabs>
              <w:jc w:val="center"/>
              <w:rPr>
                <w:bCs/>
                <w:sz w:val="22"/>
                <w:szCs w:val="22"/>
                <w:lang w:val="sr-Latn-ME"/>
              </w:rPr>
            </w:pPr>
          </w:p>
        </w:tc>
        <w:tc>
          <w:tcPr>
            <w:tcW w:w="1535" w:type="dxa"/>
            <w:shd w:val="clear" w:color="auto" w:fill="auto"/>
          </w:tcPr>
          <w:p w:rsidR="005D003D" w:rsidRPr="00AD3B49" w:rsidRDefault="005D003D" w:rsidP="005D003D">
            <w:pPr>
              <w:tabs>
                <w:tab w:val="center" w:pos="4536"/>
                <w:tab w:val="right" w:pos="9072"/>
              </w:tabs>
              <w:jc w:val="center"/>
              <w:rPr>
                <w:bCs/>
                <w:sz w:val="22"/>
                <w:szCs w:val="22"/>
                <w:lang w:val="sr-Latn-ME"/>
              </w:rPr>
            </w:pPr>
          </w:p>
        </w:tc>
      </w:tr>
      <w:tr w:rsidR="005D003D" w:rsidRPr="00AD3B49" w:rsidTr="005D003D">
        <w:tc>
          <w:tcPr>
            <w:tcW w:w="1975"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Klinička remisija</w:t>
            </w:r>
          </w:p>
        </w:tc>
        <w:tc>
          <w:tcPr>
            <w:tcW w:w="297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33,3%</w:t>
            </w:r>
          </w:p>
        </w:tc>
        <w:tc>
          <w:tcPr>
            <w:tcW w:w="270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23,2%</w:t>
            </w:r>
          </w:p>
        </w:tc>
        <w:tc>
          <w:tcPr>
            <w:tcW w:w="1535"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0.100</w:t>
            </w:r>
          </w:p>
        </w:tc>
      </w:tr>
      <w:tr w:rsidR="005D003D" w:rsidRPr="00AD3B49" w:rsidTr="005D003D">
        <w:tc>
          <w:tcPr>
            <w:tcW w:w="1975"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Klinički odgovor</w:t>
            </w:r>
          </w:p>
        </w:tc>
        <w:tc>
          <w:tcPr>
            <w:tcW w:w="297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41,9%</w:t>
            </w:r>
          </w:p>
        </w:tc>
        <w:tc>
          <w:tcPr>
            <w:tcW w:w="270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28,4%</w:t>
            </w:r>
          </w:p>
        </w:tc>
        <w:tc>
          <w:tcPr>
            <w:tcW w:w="1535"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0.038</w:t>
            </w:r>
          </w:p>
        </w:tc>
      </w:tr>
      <w:tr w:rsidR="005D003D" w:rsidRPr="00AD3B49" w:rsidTr="005D003D">
        <w:tc>
          <w:tcPr>
            <w:tcW w:w="9180" w:type="dxa"/>
            <w:gridSpan w:val="4"/>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*p vrijednost poređenja standardne doze u odnosu na nisku dozu</w:t>
            </w:r>
          </w:p>
        </w:tc>
      </w:tr>
    </w:tbl>
    <w:p w:rsidR="005D003D" w:rsidRPr="00AD3B49" w:rsidRDefault="005D003D" w:rsidP="005D003D">
      <w:pPr>
        <w:tabs>
          <w:tab w:val="center" w:pos="4536"/>
          <w:tab w:val="right" w:pos="9072"/>
        </w:tabs>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1980"/>
        <w:gridCol w:w="2700"/>
        <w:gridCol w:w="1530"/>
      </w:tblGrid>
      <w:tr w:rsidR="005D003D" w:rsidRPr="00AD3B49" w:rsidTr="005D003D">
        <w:tc>
          <w:tcPr>
            <w:tcW w:w="9175" w:type="dxa"/>
            <w:gridSpan w:val="4"/>
            <w:shd w:val="clear" w:color="auto" w:fill="auto"/>
          </w:tcPr>
          <w:p w:rsidR="005D003D" w:rsidRPr="00AD3B49" w:rsidRDefault="002C1631" w:rsidP="006B0826">
            <w:pPr>
              <w:tabs>
                <w:tab w:val="center" w:pos="4536"/>
                <w:tab w:val="right" w:pos="9072"/>
              </w:tabs>
              <w:jc w:val="center"/>
              <w:rPr>
                <w:b/>
                <w:bCs/>
                <w:sz w:val="22"/>
                <w:szCs w:val="22"/>
                <w:lang w:val="sr-Latn-ME"/>
              </w:rPr>
            </w:pPr>
            <w:r w:rsidRPr="00AD3B49">
              <w:rPr>
                <w:b/>
                <w:bCs/>
                <w:sz w:val="22"/>
                <w:szCs w:val="22"/>
                <w:lang w:val="sr-Latn-ME"/>
              </w:rPr>
              <w:t>Tabela 18</w:t>
            </w:r>
            <w:r w:rsidR="005D003D" w:rsidRPr="00AD3B49">
              <w:rPr>
                <w:b/>
                <w:bCs/>
                <w:sz w:val="22"/>
                <w:szCs w:val="22"/>
                <w:lang w:val="sr-Latn-ME"/>
              </w:rPr>
              <w:t>. Pedijatrijska CD studija</w:t>
            </w:r>
          </w:p>
          <w:p w:rsidR="005D003D" w:rsidRPr="00AD3B49" w:rsidRDefault="005D003D" w:rsidP="006B0826">
            <w:pPr>
              <w:tabs>
                <w:tab w:val="center" w:pos="4536"/>
                <w:tab w:val="right" w:pos="9072"/>
              </w:tabs>
              <w:jc w:val="center"/>
              <w:rPr>
                <w:bCs/>
                <w:sz w:val="22"/>
                <w:szCs w:val="22"/>
                <w:lang w:val="sr-Latn-ME"/>
              </w:rPr>
            </w:pPr>
            <w:r w:rsidRPr="00AD3B49">
              <w:rPr>
                <w:b/>
                <w:bCs/>
                <w:sz w:val="22"/>
                <w:szCs w:val="22"/>
                <w:lang w:val="sr-Latn-ME"/>
              </w:rPr>
              <w:t>Prekid upotrebe kortikosteroida i imunomodulatora i remisija fistula</w:t>
            </w:r>
          </w:p>
        </w:tc>
      </w:tr>
      <w:tr w:rsidR="005D003D" w:rsidRPr="00AD3B49" w:rsidTr="005D003D">
        <w:tc>
          <w:tcPr>
            <w:tcW w:w="2965" w:type="dxa"/>
            <w:shd w:val="clear" w:color="auto" w:fill="auto"/>
          </w:tcPr>
          <w:p w:rsidR="005D003D" w:rsidRPr="00AD3B49" w:rsidRDefault="005D003D" w:rsidP="005D003D">
            <w:pPr>
              <w:tabs>
                <w:tab w:val="center" w:pos="4536"/>
                <w:tab w:val="right" w:pos="9072"/>
              </w:tabs>
              <w:rPr>
                <w:bCs/>
                <w:sz w:val="22"/>
                <w:szCs w:val="22"/>
                <w:lang w:val="sr-Latn-ME"/>
              </w:rPr>
            </w:pPr>
          </w:p>
        </w:tc>
        <w:tc>
          <w:tcPr>
            <w:tcW w:w="1980"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 xml:space="preserve">Standardna doza: 40/20 mg svake druge </w:t>
            </w:r>
            <w:r w:rsidR="000B016F" w:rsidRPr="00AD3B49">
              <w:rPr>
                <w:b/>
                <w:bCs/>
                <w:sz w:val="22"/>
                <w:szCs w:val="22"/>
                <w:lang w:val="sr-Latn-ME"/>
              </w:rPr>
              <w:t>nedjelje</w:t>
            </w:r>
            <w:r w:rsidRPr="00AD3B49">
              <w:rPr>
                <w:b/>
                <w:bCs/>
                <w:sz w:val="22"/>
                <w:szCs w:val="22"/>
                <w:lang w:val="sr-Latn-ME"/>
              </w:rPr>
              <w:t xml:space="preserve"> </w:t>
            </w:r>
          </w:p>
        </w:tc>
        <w:tc>
          <w:tcPr>
            <w:tcW w:w="2700"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 xml:space="preserve">Niska doza: 20/10 mg svake druge </w:t>
            </w:r>
            <w:r w:rsidR="000B016F" w:rsidRPr="00AD3B49">
              <w:rPr>
                <w:b/>
                <w:bCs/>
                <w:sz w:val="22"/>
                <w:szCs w:val="22"/>
                <w:lang w:val="sr-Latn-ME"/>
              </w:rPr>
              <w:t>nedjelje</w:t>
            </w:r>
          </w:p>
        </w:tc>
        <w:tc>
          <w:tcPr>
            <w:tcW w:w="1530"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P¹ vrijednost</w:t>
            </w:r>
          </w:p>
        </w:tc>
      </w:tr>
      <w:tr w:rsidR="005D003D" w:rsidRPr="00AD3B49" w:rsidTr="005D003D">
        <w:tc>
          <w:tcPr>
            <w:tcW w:w="2965"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Prekid kortikosteroida</w:t>
            </w:r>
          </w:p>
        </w:tc>
        <w:tc>
          <w:tcPr>
            <w:tcW w:w="1980"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N=33</w:t>
            </w:r>
          </w:p>
        </w:tc>
        <w:tc>
          <w:tcPr>
            <w:tcW w:w="2700"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N=38</w:t>
            </w:r>
          </w:p>
        </w:tc>
        <w:tc>
          <w:tcPr>
            <w:tcW w:w="1530" w:type="dxa"/>
            <w:shd w:val="clear" w:color="auto" w:fill="auto"/>
          </w:tcPr>
          <w:p w:rsidR="005D003D" w:rsidRPr="00AD3B49" w:rsidRDefault="005D003D" w:rsidP="005D003D">
            <w:pPr>
              <w:tabs>
                <w:tab w:val="center" w:pos="4536"/>
                <w:tab w:val="right" w:pos="9072"/>
              </w:tabs>
              <w:jc w:val="center"/>
              <w:rPr>
                <w:bCs/>
                <w:sz w:val="22"/>
                <w:szCs w:val="22"/>
                <w:lang w:val="sr-Latn-ME"/>
              </w:rPr>
            </w:pPr>
          </w:p>
        </w:tc>
      </w:tr>
      <w:tr w:rsidR="005D003D" w:rsidRPr="00AD3B49" w:rsidTr="005D003D">
        <w:tc>
          <w:tcPr>
            <w:tcW w:w="2965"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26</w:t>
            </w:r>
            <w:r w:rsidRPr="00AD3B49">
              <w:rPr>
                <w:sz w:val="22"/>
                <w:szCs w:val="22"/>
                <w:lang w:val="sr-Latn-ME"/>
              </w:rPr>
              <w:t xml:space="preserve"> </w:t>
            </w:r>
            <w:r w:rsidR="000B016F" w:rsidRPr="00AD3B49">
              <w:rPr>
                <w:bCs/>
                <w:sz w:val="22"/>
                <w:szCs w:val="22"/>
                <w:lang w:val="sr-Latn-ME"/>
              </w:rPr>
              <w:t>nedjelja</w:t>
            </w:r>
          </w:p>
        </w:tc>
        <w:tc>
          <w:tcPr>
            <w:tcW w:w="198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84,8%</w:t>
            </w:r>
          </w:p>
        </w:tc>
        <w:tc>
          <w:tcPr>
            <w:tcW w:w="270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65,8%</w:t>
            </w:r>
          </w:p>
        </w:tc>
        <w:tc>
          <w:tcPr>
            <w:tcW w:w="153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0.066</w:t>
            </w:r>
          </w:p>
        </w:tc>
      </w:tr>
      <w:tr w:rsidR="005D003D" w:rsidRPr="00AD3B49" w:rsidTr="005D003D">
        <w:tc>
          <w:tcPr>
            <w:tcW w:w="2965"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52</w:t>
            </w:r>
            <w:r w:rsidRPr="00AD3B49">
              <w:rPr>
                <w:sz w:val="22"/>
                <w:szCs w:val="22"/>
                <w:lang w:val="sr-Latn-ME"/>
              </w:rPr>
              <w:t xml:space="preserve"> </w:t>
            </w:r>
            <w:r w:rsidR="000B016F" w:rsidRPr="00AD3B49">
              <w:rPr>
                <w:bCs/>
                <w:sz w:val="22"/>
                <w:szCs w:val="22"/>
                <w:lang w:val="sr-Latn-ME"/>
              </w:rPr>
              <w:t>nedjelja</w:t>
            </w:r>
          </w:p>
        </w:tc>
        <w:tc>
          <w:tcPr>
            <w:tcW w:w="198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69,7%</w:t>
            </w:r>
          </w:p>
        </w:tc>
        <w:tc>
          <w:tcPr>
            <w:tcW w:w="270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60,5%</w:t>
            </w:r>
          </w:p>
        </w:tc>
        <w:tc>
          <w:tcPr>
            <w:tcW w:w="153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0.420</w:t>
            </w:r>
          </w:p>
        </w:tc>
      </w:tr>
      <w:tr w:rsidR="005D003D" w:rsidRPr="00AD3B49" w:rsidTr="005D003D">
        <w:tc>
          <w:tcPr>
            <w:tcW w:w="2965"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Prekid imunomodulatora²</w:t>
            </w:r>
          </w:p>
        </w:tc>
        <w:tc>
          <w:tcPr>
            <w:tcW w:w="1980"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N=60</w:t>
            </w:r>
          </w:p>
        </w:tc>
        <w:tc>
          <w:tcPr>
            <w:tcW w:w="2700"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N=57</w:t>
            </w:r>
          </w:p>
        </w:tc>
        <w:tc>
          <w:tcPr>
            <w:tcW w:w="1530" w:type="dxa"/>
            <w:shd w:val="clear" w:color="auto" w:fill="auto"/>
          </w:tcPr>
          <w:p w:rsidR="005D003D" w:rsidRPr="00AD3B49" w:rsidRDefault="005D003D" w:rsidP="005D003D">
            <w:pPr>
              <w:tabs>
                <w:tab w:val="center" w:pos="4536"/>
                <w:tab w:val="right" w:pos="9072"/>
              </w:tabs>
              <w:jc w:val="center"/>
              <w:rPr>
                <w:bCs/>
                <w:sz w:val="22"/>
                <w:szCs w:val="22"/>
                <w:lang w:val="sr-Latn-ME"/>
              </w:rPr>
            </w:pPr>
          </w:p>
        </w:tc>
      </w:tr>
      <w:tr w:rsidR="005D003D" w:rsidRPr="00AD3B49" w:rsidTr="005D003D">
        <w:tc>
          <w:tcPr>
            <w:tcW w:w="2965"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52</w:t>
            </w:r>
            <w:r w:rsidRPr="00AD3B49">
              <w:rPr>
                <w:sz w:val="22"/>
                <w:szCs w:val="22"/>
                <w:lang w:val="sr-Latn-ME"/>
              </w:rPr>
              <w:t xml:space="preserve"> </w:t>
            </w:r>
            <w:r w:rsidR="000B016F" w:rsidRPr="00AD3B49">
              <w:rPr>
                <w:bCs/>
                <w:sz w:val="22"/>
                <w:szCs w:val="22"/>
                <w:lang w:val="sr-Latn-ME"/>
              </w:rPr>
              <w:t>nedjelja</w:t>
            </w:r>
          </w:p>
        </w:tc>
        <w:tc>
          <w:tcPr>
            <w:tcW w:w="198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30,0%</w:t>
            </w:r>
          </w:p>
        </w:tc>
        <w:tc>
          <w:tcPr>
            <w:tcW w:w="270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29,8%</w:t>
            </w:r>
          </w:p>
        </w:tc>
        <w:tc>
          <w:tcPr>
            <w:tcW w:w="153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0.983</w:t>
            </w:r>
          </w:p>
        </w:tc>
      </w:tr>
      <w:tr w:rsidR="005D003D" w:rsidRPr="00AD3B49" w:rsidTr="005D003D">
        <w:tc>
          <w:tcPr>
            <w:tcW w:w="2965"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Remisija fistula³</w:t>
            </w:r>
          </w:p>
        </w:tc>
        <w:tc>
          <w:tcPr>
            <w:tcW w:w="1980"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N=15</w:t>
            </w:r>
          </w:p>
        </w:tc>
        <w:tc>
          <w:tcPr>
            <w:tcW w:w="2700" w:type="dxa"/>
            <w:shd w:val="clear" w:color="auto" w:fill="auto"/>
          </w:tcPr>
          <w:p w:rsidR="005D003D" w:rsidRPr="00AD3B49" w:rsidRDefault="005D003D" w:rsidP="005D003D">
            <w:pPr>
              <w:tabs>
                <w:tab w:val="center" w:pos="4536"/>
                <w:tab w:val="right" w:pos="9072"/>
              </w:tabs>
              <w:rPr>
                <w:b/>
                <w:bCs/>
                <w:sz w:val="22"/>
                <w:szCs w:val="22"/>
                <w:lang w:val="sr-Latn-ME"/>
              </w:rPr>
            </w:pPr>
            <w:r w:rsidRPr="00AD3B49">
              <w:rPr>
                <w:b/>
                <w:bCs/>
                <w:sz w:val="22"/>
                <w:szCs w:val="22"/>
                <w:lang w:val="sr-Latn-ME"/>
              </w:rPr>
              <w:t>N=21</w:t>
            </w:r>
          </w:p>
        </w:tc>
        <w:tc>
          <w:tcPr>
            <w:tcW w:w="1530" w:type="dxa"/>
            <w:shd w:val="clear" w:color="auto" w:fill="auto"/>
          </w:tcPr>
          <w:p w:rsidR="005D003D" w:rsidRPr="00AD3B49" w:rsidRDefault="005D003D" w:rsidP="005D003D">
            <w:pPr>
              <w:tabs>
                <w:tab w:val="center" w:pos="4536"/>
                <w:tab w:val="right" w:pos="9072"/>
              </w:tabs>
              <w:jc w:val="center"/>
              <w:rPr>
                <w:bCs/>
                <w:sz w:val="22"/>
                <w:szCs w:val="22"/>
                <w:lang w:val="sr-Latn-ME"/>
              </w:rPr>
            </w:pPr>
          </w:p>
        </w:tc>
      </w:tr>
      <w:tr w:rsidR="005D003D" w:rsidRPr="00AD3B49" w:rsidTr="005D003D">
        <w:tc>
          <w:tcPr>
            <w:tcW w:w="2965"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26</w:t>
            </w:r>
            <w:r w:rsidRPr="00AD3B49">
              <w:rPr>
                <w:sz w:val="22"/>
                <w:szCs w:val="22"/>
                <w:lang w:val="sr-Latn-ME"/>
              </w:rPr>
              <w:t xml:space="preserve"> </w:t>
            </w:r>
            <w:r w:rsidR="000B016F" w:rsidRPr="00AD3B49">
              <w:rPr>
                <w:bCs/>
                <w:sz w:val="22"/>
                <w:szCs w:val="22"/>
                <w:lang w:val="sr-Latn-ME"/>
              </w:rPr>
              <w:t>nedjelja</w:t>
            </w:r>
          </w:p>
        </w:tc>
        <w:tc>
          <w:tcPr>
            <w:tcW w:w="198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46,7%</w:t>
            </w:r>
          </w:p>
        </w:tc>
        <w:tc>
          <w:tcPr>
            <w:tcW w:w="270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38,1%</w:t>
            </w:r>
          </w:p>
        </w:tc>
        <w:tc>
          <w:tcPr>
            <w:tcW w:w="153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0.608</w:t>
            </w:r>
          </w:p>
        </w:tc>
      </w:tr>
      <w:tr w:rsidR="005D003D" w:rsidRPr="00AD3B49" w:rsidTr="005D003D">
        <w:tc>
          <w:tcPr>
            <w:tcW w:w="2965"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52</w:t>
            </w:r>
            <w:r w:rsidRPr="00AD3B49">
              <w:rPr>
                <w:sz w:val="22"/>
                <w:szCs w:val="22"/>
                <w:lang w:val="sr-Latn-ME"/>
              </w:rPr>
              <w:t xml:space="preserve"> </w:t>
            </w:r>
            <w:r w:rsidR="000B016F" w:rsidRPr="00AD3B49">
              <w:rPr>
                <w:bCs/>
                <w:sz w:val="22"/>
                <w:szCs w:val="22"/>
                <w:lang w:val="sr-Latn-ME"/>
              </w:rPr>
              <w:t>nedjelja</w:t>
            </w:r>
          </w:p>
        </w:tc>
        <w:tc>
          <w:tcPr>
            <w:tcW w:w="198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40,0%</w:t>
            </w:r>
          </w:p>
        </w:tc>
        <w:tc>
          <w:tcPr>
            <w:tcW w:w="270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23,8%</w:t>
            </w:r>
          </w:p>
        </w:tc>
        <w:tc>
          <w:tcPr>
            <w:tcW w:w="1530" w:type="dxa"/>
            <w:shd w:val="clear" w:color="auto" w:fill="auto"/>
          </w:tcPr>
          <w:p w:rsidR="005D003D" w:rsidRPr="00AD3B49" w:rsidRDefault="005D003D" w:rsidP="005D003D">
            <w:pPr>
              <w:tabs>
                <w:tab w:val="center" w:pos="4536"/>
                <w:tab w:val="right" w:pos="9072"/>
              </w:tabs>
              <w:rPr>
                <w:bCs/>
                <w:sz w:val="22"/>
                <w:szCs w:val="22"/>
                <w:lang w:val="sr-Latn-ME"/>
              </w:rPr>
            </w:pPr>
            <w:r w:rsidRPr="00AD3B49">
              <w:rPr>
                <w:bCs/>
                <w:sz w:val="22"/>
                <w:szCs w:val="22"/>
                <w:lang w:val="sr-Latn-ME"/>
              </w:rPr>
              <w:t>0.303</w:t>
            </w:r>
          </w:p>
        </w:tc>
      </w:tr>
    </w:tbl>
    <w:p w:rsidR="005D003D" w:rsidRPr="00AD3B49" w:rsidRDefault="005D003D" w:rsidP="00E34552">
      <w:pPr>
        <w:tabs>
          <w:tab w:val="center" w:pos="4536"/>
          <w:tab w:val="right" w:pos="9072"/>
        </w:tabs>
        <w:jc w:val="both"/>
        <w:rPr>
          <w:bCs/>
          <w:sz w:val="20"/>
          <w:szCs w:val="20"/>
          <w:lang w:val="sr-Latn-ME"/>
        </w:rPr>
      </w:pPr>
      <w:r w:rsidRPr="00AD3B49">
        <w:rPr>
          <w:bCs/>
          <w:sz w:val="20"/>
          <w:szCs w:val="20"/>
          <w:lang w:val="sr-Latn-ME"/>
        </w:rPr>
        <w:t>¹p vrijednost za standardnu dozu u odnosu na nisku dozu</w:t>
      </w:r>
    </w:p>
    <w:p w:rsidR="005D003D" w:rsidRPr="00AD3B49" w:rsidRDefault="005D003D" w:rsidP="00E34552">
      <w:pPr>
        <w:tabs>
          <w:tab w:val="center" w:pos="4536"/>
          <w:tab w:val="right" w:pos="9072"/>
        </w:tabs>
        <w:jc w:val="both"/>
        <w:rPr>
          <w:bCs/>
          <w:sz w:val="20"/>
          <w:szCs w:val="20"/>
          <w:lang w:val="sr-Latn-ME"/>
        </w:rPr>
      </w:pPr>
      <w:r w:rsidRPr="00AD3B49">
        <w:rPr>
          <w:bCs/>
          <w:sz w:val="20"/>
          <w:szCs w:val="20"/>
          <w:lang w:val="sr-Latn-ME"/>
        </w:rPr>
        <w:t>²imunosupresivna terapija mogla je biti prekinuta samo u 26</w:t>
      </w:r>
      <w:r w:rsidRPr="00AD3B49">
        <w:rPr>
          <w:sz w:val="20"/>
          <w:szCs w:val="20"/>
          <w:lang w:val="sr-Latn-ME"/>
        </w:rPr>
        <w:t xml:space="preserve"> </w:t>
      </w:r>
      <w:r w:rsidR="000B016F" w:rsidRPr="00AD3B49">
        <w:rPr>
          <w:bCs/>
          <w:sz w:val="20"/>
          <w:szCs w:val="20"/>
          <w:lang w:val="sr-Latn-ME"/>
        </w:rPr>
        <w:t>nedjelji</w:t>
      </w:r>
      <w:r w:rsidRPr="00AD3B49">
        <w:rPr>
          <w:bCs/>
          <w:sz w:val="20"/>
          <w:szCs w:val="20"/>
          <w:lang w:val="sr-Latn-ME"/>
        </w:rPr>
        <w:t xml:space="preserve"> ili nakon 26 </w:t>
      </w:r>
      <w:r w:rsidR="000B016F" w:rsidRPr="00AD3B49">
        <w:rPr>
          <w:bCs/>
          <w:sz w:val="20"/>
          <w:szCs w:val="20"/>
          <w:lang w:val="sr-Latn-ME"/>
        </w:rPr>
        <w:t>nedjelj</w:t>
      </w:r>
      <w:r w:rsidR="002640B4" w:rsidRPr="00AD3B49">
        <w:rPr>
          <w:bCs/>
          <w:sz w:val="20"/>
          <w:szCs w:val="20"/>
          <w:lang w:val="sr-Latn-ME"/>
        </w:rPr>
        <w:t>a</w:t>
      </w:r>
      <w:r w:rsidRPr="00AD3B49">
        <w:rPr>
          <w:bCs/>
          <w:sz w:val="20"/>
          <w:szCs w:val="20"/>
          <w:lang w:val="sr-Latn-ME"/>
        </w:rPr>
        <w:t xml:space="preserve"> ukoliko je kod ispitanika ispunjen kriterijum za klinički odgovor</w:t>
      </w:r>
    </w:p>
    <w:p w:rsidR="005D003D" w:rsidRPr="00AD3B49" w:rsidRDefault="005D003D" w:rsidP="00E34552">
      <w:pPr>
        <w:tabs>
          <w:tab w:val="center" w:pos="4536"/>
          <w:tab w:val="right" w:pos="9072"/>
        </w:tabs>
        <w:jc w:val="both"/>
        <w:rPr>
          <w:bCs/>
          <w:sz w:val="20"/>
          <w:szCs w:val="20"/>
          <w:lang w:val="sr-Latn-ME"/>
        </w:rPr>
      </w:pPr>
      <w:r w:rsidRPr="00AD3B49">
        <w:rPr>
          <w:bCs/>
          <w:sz w:val="20"/>
          <w:szCs w:val="20"/>
          <w:lang w:val="sr-Latn-ME"/>
        </w:rPr>
        <w:lastRenderedPageBreak/>
        <w:t>³definisana kao zatvaranje svih fistula koje su bile drenirane na početku studije, tokom najmanje 2 uzastopne posjete nakon početka liječenja.</w:t>
      </w:r>
    </w:p>
    <w:p w:rsidR="005D003D" w:rsidRPr="00AD3B49" w:rsidRDefault="005D003D" w:rsidP="005D003D">
      <w:pPr>
        <w:tabs>
          <w:tab w:val="center" w:pos="4536"/>
          <w:tab w:val="right" w:pos="9072"/>
        </w:tabs>
        <w:rPr>
          <w:bCs/>
          <w:lang w:val="sr-Latn-ME"/>
        </w:rPr>
      </w:pPr>
    </w:p>
    <w:p w:rsidR="005D003D" w:rsidRPr="00AD3B49" w:rsidRDefault="005D003D" w:rsidP="005D003D">
      <w:pPr>
        <w:tabs>
          <w:tab w:val="center" w:pos="4536"/>
          <w:tab w:val="right" w:pos="9072"/>
        </w:tabs>
        <w:jc w:val="both"/>
        <w:rPr>
          <w:bCs/>
          <w:sz w:val="22"/>
          <w:szCs w:val="22"/>
          <w:lang w:val="sr-Latn-ME"/>
        </w:rPr>
      </w:pPr>
      <w:r w:rsidRPr="00AD3B49">
        <w:rPr>
          <w:bCs/>
          <w:sz w:val="22"/>
          <w:szCs w:val="22"/>
          <w:lang w:val="sr-Latn-ME"/>
        </w:rPr>
        <w:t>Statistički značajno povećanje (poboljšanje) indeksa tjelesne mase i brzine rasta, u odnosu na početne vrijednosti, uočeno je u obje grupe ispitanika, u 26-toj</w:t>
      </w:r>
      <w:r w:rsidRPr="00AD3B49">
        <w:rPr>
          <w:sz w:val="22"/>
          <w:szCs w:val="22"/>
          <w:lang w:val="sr-Latn-ME"/>
        </w:rPr>
        <w:t xml:space="preserve"> </w:t>
      </w:r>
      <w:r w:rsidR="000C4AD4" w:rsidRPr="00AD3B49">
        <w:rPr>
          <w:bCs/>
          <w:sz w:val="22"/>
          <w:szCs w:val="22"/>
          <w:lang w:val="sr-Latn-ME"/>
        </w:rPr>
        <w:t>n</w:t>
      </w:r>
      <w:r w:rsidR="000B016F" w:rsidRPr="00AD3B49">
        <w:rPr>
          <w:bCs/>
          <w:sz w:val="22"/>
          <w:szCs w:val="22"/>
          <w:lang w:val="sr-Latn-ME"/>
        </w:rPr>
        <w:t>edjelji</w:t>
      </w:r>
      <w:r w:rsidRPr="00AD3B49">
        <w:rPr>
          <w:bCs/>
          <w:sz w:val="22"/>
          <w:szCs w:val="22"/>
          <w:lang w:val="sr-Latn-ME"/>
        </w:rPr>
        <w:t xml:space="preserve"> i u 52-oj</w:t>
      </w:r>
      <w:r w:rsidRPr="00AD3B49">
        <w:rPr>
          <w:sz w:val="22"/>
          <w:szCs w:val="22"/>
          <w:lang w:val="sr-Latn-ME"/>
        </w:rPr>
        <w:t xml:space="preserve"> </w:t>
      </w:r>
      <w:r w:rsidR="000C4AD4" w:rsidRPr="00AD3B49">
        <w:rPr>
          <w:bCs/>
          <w:sz w:val="22"/>
          <w:szCs w:val="22"/>
          <w:lang w:val="sr-Latn-ME"/>
        </w:rPr>
        <w:t>n</w:t>
      </w:r>
      <w:r w:rsidR="000B016F" w:rsidRPr="00AD3B49">
        <w:rPr>
          <w:bCs/>
          <w:sz w:val="22"/>
          <w:szCs w:val="22"/>
          <w:lang w:val="sr-Latn-ME"/>
        </w:rPr>
        <w:t>edjelji</w:t>
      </w:r>
      <w:r w:rsidRPr="00AD3B49">
        <w:rPr>
          <w:bCs/>
          <w:sz w:val="22"/>
          <w:szCs w:val="22"/>
          <w:lang w:val="sr-Latn-ME"/>
        </w:rPr>
        <w:t>.</w:t>
      </w:r>
    </w:p>
    <w:p w:rsidR="005D003D" w:rsidRPr="00AD3B49" w:rsidRDefault="005D003D" w:rsidP="005D003D">
      <w:pPr>
        <w:tabs>
          <w:tab w:val="center" w:pos="4536"/>
          <w:tab w:val="right" w:pos="9072"/>
        </w:tabs>
        <w:jc w:val="both"/>
        <w:rPr>
          <w:bCs/>
          <w:sz w:val="22"/>
          <w:szCs w:val="22"/>
          <w:lang w:val="sr-Latn-ME"/>
        </w:rPr>
      </w:pPr>
      <w:r w:rsidRPr="00AD3B49">
        <w:rPr>
          <w:bCs/>
          <w:sz w:val="22"/>
          <w:szCs w:val="22"/>
          <w:lang w:val="sr-Latn-ME"/>
        </w:rPr>
        <w:t>Statistički i klinički značajno poboljšanje parametara kvaliteta života (uključujući IMPACT III), u odnosu</w:t>
      </w:r>
      <w:r w:rsidR="00E34552" w:rsidRPr="00AD3B49">
        <w:rPr>
          <w:bCs/>
          <w:sz w:val="22"/>
          <w:szCs w:val="22"/>
          <w:lang w:val="sr-Latn-ME"/>
        </w:rPr>
        <w:t xml:space="preserve"> na početne vrijednosti, takođe</w:t>
      </w:r>
      <w:r w:rsidRPr="00AD3B49">
        <w:rPr>
          <w:bCs/>
          <w:sz w:val="22"/>
          <w:szCs w:val="22"/>
          <w:lang w:val="sr-Latn-ME"/>
        </w:rPr>
        <w:t xml:space="preserve"> je primjećeno u</w:t>
      </w:r>
      <w:r w:rsidR="001E4AB9" w:rsidRPr="00AD3B49">
        <w:rPr>
          <w:bCs/>
          <w:sz w:val="22"/>
          <w:szCs w:val="22"/>
          <w:lang w:val="sr-Latn-ME"/>
        </w:rPr>
        <w:t xml:space="preserve"> obje ispitivane grupe pacijenata</w:t>
      </w:r>
      <w:r w:rsidRPr="00AD3B49">
        <w:rPr>
          <w:bCs/>
          <w:sz w:val="22"/>
          <w:szCs w:val="22"/>
          <w:lang w:val="sr-Latn-ME"/>
        </w:rPr>
        <w:t>.</w:t>
      </w:r>
    </w:p>
    <w:p w:rsidR="005D003D" w:rsidRPr="00AD3B49" w:rsidRDefault="005D003D" w:rsidP="005D003D">
      <w:pPr>
        <w:pStyle w:val="Default"/>
        <w:jc w:val="both"/>
        <w:rPr>
          <w:rFonts w:ascii="Times New Roman" w:hAnsi="Times New Roman" w:cs="Times New Roman"/>
          <w:color w:val="auto"/>
          <w:sz w:val="22"/>
          <w:szCs w:val="22"/>
          <w:lang w:val="sr-Latn-ME"/>
        </w:rPr>
      </w:pPr>
    </w:p>
    <w:p w:rsidR="002C1631" w:rsidRPr="00AD3B49" w:rsidRDefault="002C1631" w:rsidP="002C1631">
      <w:pPr>
        <w:pStyle w:val="Default"/>
        <w:jc w:val="both"/>
        <w:rPr>
          <w:rFonts w:ascii="Times New Roman" w:hAnsi="Times New Roman" w:cs="Times New Roman"/>
          <w:i/>
          <w:color w:val="auto"/>
          <w:sz w:val="22"/>
          <w:u w:val="single"/>
          <w:lang w:val="sr-Latn-ME"/>
        </w:rPr>
      </w:pPr>
      <w:r w:rsidRPr="00AD3B49">
        <w:rPr>
          <w:rFonts w:ascii="Times New Roman" w:hAnsi="Times New Roman" w:cs="Times New Roman"/>
          <w:i/>
          <w:color w:val="auto"/>
          <w:sz w:val="22"/>
          <w:u w:val="single"/>
          <w:lang w:val="sr-Latn-ME"/>
        </w:rPr>
        <w:t>Ulcerozni kolitis</w:t>
      </w:r>
    </w:p>
    <w:p w:rsidR="002C1631" w:rsidRPr="00AD3B49" w:rsidRDefault="002C1631"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Efikasnost i </w:t>
      </w:r>
      <w:r w:rsidR="00987445" w:rsidRPr="00AD3B49">
        <w:rPr>
          <w:rFonts w:ascii="Times New Roman" w:hAnsi="Times New Roman" w:cs="Times New Roman"/>
          <w:color w:val="auto"/>
          <w:sz w:val="22"/>
          <w:szCs w:val="22"/>
          <w:lang w:val="sr-Latn-ME"/>
        </w:rPr>
        <w:t>bezbjedno</w:t>
      </w:r>
      <w:r w:rsidRPr="00AD3B49">
        <w:rPr>
          <w:rFonts w:ascii="Times New Roman" w:hAnsi="Times New Roman" w:cs="Times New Roman"/>
          <w:color w:val="auto"/>
          <w:sz w:val="22"/>
          <w:szCs w:val="22"/>
          <w:lang w:val="sr-Latn-ME"/>
        </w:rPr>
        <w:t xml:space="preserve">st primjene višestrukih doza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ispitivana je kod odraslih </w:t>
      </w:r>
      <w:r w:rsidR="00B90FA9" w:rsidRPr="00AD3B49">
        <w:rPr>
          <w:rFonts w:ascii="Times New Roman" w:hAnsi="Times New Roman" w:cs="Times New Roman"/>
          <w:color w:val="auto"/>
          <w:sz w:val="22"/>
          <w:szCs w:val="22"/>
          <w:lang w:val="sr-Latn-ME"/>
        </w:rPr>
        <w:t>pacijenata</w:t>
      </w:r>
      <w:r w:rsidRPr="00AD3B49">
        <w:rPr>
          <w:rFonts w:ascii="Times New Roman" w:hAnsi="Times New Roman" w:cs="Times New Roman"/>
          <w:color w:val="auto"/>
          <w:sz w:val="22"/>
          <w:szCs w:val="22"/>
          <w:lang w:val="sr-Latn-ME"/>
        </w:rPr>
        <w:t xml:space="preserve"> sa umjerenim do teškim aktivnim ulceroznim kolitisom (sa Mayo zbirom 6 do 12 uz endoskopski podzbir od 2 do 3) u </w:t>
      </w:r>
      <w:r w:rsidR="00D44E2B" w:rsidRPr="00AD3B49">
        <w:rPr>
          <w:rFonts w:ascii="Times New Roman" w:hAnsi="Times New Roman" w:cs="Times New Roman"/>
          <w:color w:val="auto"/>
          <w:sz w:val="22"/>
          <w:szCs w:val="22"/>
          <w:lang w:val="sr-Latn-ME"/>
        </w:rPr>
        <w:t>randomizovanom</w:t>
      </w:r>
      <w:r w:rsidRPr="00AD3B49">
        <w:rPr>
          <w:rFonts w:ascii="Times New Roman" w:hAnsi="Times New Roman" w:cs="Times New Roman"/>
          <w:color w:val="auto"/>
          <w:sz w:val="22"/>
          <w:szCs w:val="22"/>
          <w:lang w:val="sr-Latn-ME"/>
        </w:rPr>
        <w:t xml:space="preserve">, dvostruko slijepom, placebo </w:t>
      </w:r>
      <w:r w:rsidR="00D44E2B" w:rsidRPr="00AD3B49">
        <w:rPr>
          <w:rFonts w:ascii="Times New Roman" w:hAnsi="Times New Roman" w:cs="Times New Roman"/>
          <w:color w:val="auto"/>
          <w:sz w:val="22"/>
          <w:szCs w:val="22"/>
          <w:lang w:val="sr-Latn-ME"/>
        </w:rPr>
        <w:t xml:space="preserve">kontrolisanom </w:t>
      </w:r>
      <w:r w:rsidRPr="00AD3B49">
        <w:rPr>
          <w:rFonts w:ascii="Times New Roman" w:hAnsi="Times New Roman" w:cs="Times New Roman"/>
          <w:color w:val="auto"/>
          <w:sz w:val="22"/>
          <w:szCs w:val="22"/>
          <w:lang w:val="sr-Latn-ME"/>
        </w:rPr>
        <w:t xml:space="preserve">ispitivanju. </w:t>
      </w:r>
    </w:p>
    <w:p w:rsidR="002C1631" w:rsidRPr="00AD3B49" w:rsidRDefault="002C1631" w:rsidP="002C1631">
      <w:pPr>
        <w:pStyle w:val="Default"/>
        <w:jc w:val="both"/>
        <w:rPr>
          <w:rFonts w:ascii="Times New Roman" w:hAnsi="Times New Roman" w:cs="Times New Roman"/>
          <w:color w:val="auto"/>
          <w:lang w:val="sr-Latn-ME"/>
        </w:rPr>
      </w:pPr>
    </w:p>
    <w:p w:rsidR="002C1631" w:rsidRPr="00AD3B49" w:rsidRDefault="002C1631"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U UC-I ispitivanju, 390 </w:t>
      </w:r>
      <w:r w:rsidR="00B90FA9" w:rsidRPr="00AD3B49">
        <w:rPr>
          <w:rFonts w:ascii="Times New Roman" w:hAnsi="Times New Roman" w:cs="Times New Roman"/>
          <w:color w:val="auto"/>
          <w:sz w:val="22"/>
          <w:szCs w:val="22"/>
          <w:lang w:val="sr-Latn-ME"/>
        </w:rPr>
        <w:t>pacijenata</w:t>
      </w:r>
      <w:r w:rsidRPr="00AD3B49">
        <w:rPr>
          <w:rFonts w:ascii="Times New Roman" w:hAnsi="Times New Roman" w:cs="Times New Roman"/>
          <w:color w:val="auto"/>
          <w:sz w:val="22"/>
          <w:szCs w:val="22"/>
          <w:lang w:val="sr-Latn-ME"/>
        </w:rPr>
        <w:t xml:space="preserve"> koji nikada nisu koristili TNF antagoniste su randomi</w:t>
      </w:r>
      <w:r w:rsidR="00B90FA9" w:rsidRPr="00AD3B49">
        <w:rPr>
          <w:rFonts w:ascii="Times New Roman" w:hAnsi="Times New Roman" w:cs="Times New Roman"/>
          <w:color w:val="auto"/>
          <w:sz w:val="22"/>
          <w:szCs w:val="22"/>
          <w:lang w:val="sr-Latn-ME"/>
        </w:rPr>
        <w:t>zovani</w:t>
      </w:r>
      <w:r w:rsidRPr="00AD3B49">
        <w:rPr>
          <w:rFonts w:ascii="Times New Roman" w:hAnsi="Times New Roman" w:cs="Times New Roman"/>
          <w:color w:val="auto"/>
          <w:sz w:val="22"/>
          <w:szCs w:val="22"/>
          <w:lang w:val="sr-Latn-ME"/>
        </w:rPr>
        <w:t xml:space="preserve"> ili u grupu koja je primala placebo u nultoj </w:t>
      </w:r>
      <w:r w:rsidR="000B016F" w:rsidRPr="00AD3B49">
        <w:rPr>
          <w:rFonts w:ascii="Times New Roman" w:hAnsi="Times New Roman" w:cs="Times New Roman"/>
          <w:color w:val="auto"/>
          <w:sz w:val="22"/>
          <w:szCs w:val="22"/>
          <w:lang w:val="sr-Latn-ME"/>
        </w:rPr>
        <w:t>nedjelji</w:t>
      </w:r>
      <w:r w:rsidRPr="00AD3B49">
        <w:rPr>
          <w:rFonts w:ascii="Times New Roman" w:hAnsi="Times New Roman" w:cs="Times New Roman"/>
          <w:color w:val="auto"/>
          <w:sz w:val="22"/>
          <w:szCs w:val="22"/>
          <w:lang w:val="sr-Latn-ME"/>
        </w:rPr>
        <w:t xml:space="preserve"> i dvije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nakon toga, ili u grupu koja je primala 160 mg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u nultoj </w:t>
      </w:r>
      <w:r w:rsidR="000B016F" w:rsidRPr="00AD3B49">
        <w:rPr>
          <w:rFonts w:ascii="Times New Roman" w:hAnsi="Times New Roman" w:cs="Times New Roman"/>
          <w:color w:val="auto"/>
          <w:sz w:val="22"/>
          <w:szCs w:val="22"/>
          <w:lang w:val="sr-Latn-ME"/>
        </w:rPr>
        <w:t>nedjelji</w:t>
      </w:r>
      <w:r w:rsidRPr="00AD3B49">
        <w:rPr>
          <w:rFonts w:ascii="Times New Roman" w:hAnsi="Times New Roman" w:cs="Times New Roman"/>
          <w:color w:val="auto"/>
          <w:sz w:val="22"/>
          <w:szCs w:val="22"/>
          <w:lang w:val="sr-Latn-ME"/>
        </w:rPr>
        <w:t xml:space="preserve">, a zatim 80 mg nakon dvije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odnosno u grupu koja je primala 80 mg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u nultoj </w:t>
      </w:r>
      <w:r w:rsidR="000B016F" w:rsidRPr="00AD3B49">
        <w:rPr>
          <w:rFonts w:ascii="Times New Roman" w:hAnsi="Times New Roman" w:cs="Times New Roman"/>
          <w:color w:val="auto"/>
          <w:sz w:val="22"/>
          <w:szCs w:val="22"/>
          <w:lang w:val="sr-Latn-ME"/>
        </w:rPr>
        <w:t>nedjelji</w:t>
      </w:r>
      <w:r w:rsidRPr="00AD3B49">
        <w:rPr>
          <w:rFonts w:ascii="Times New Roman" w:hAnsi="Times New Roman" w:cs="Times New Roman"/>
          <w:color w:val="auto"/>
          <w:sz w:val="22"/>
          <w:szCs w:val="22"/>
          <w:lang w:val="sr-Latn-ME"/>
        </w:rPr>
        <w:t xml:space="preserve">, a zatim 40 mg dvije </w:t>
      </w:r>
      <w:r w:rsidR="000B016F" w:rsidRPr="00AD3B49">
        <w:rPr>
          <w:rFonts w:ascii="Times New Roman" w:hAnsi="Times New Roman" w:cs="Times New Roman"/>
          <w:color w:val="auto"/>
          <w:sz w:val="22"/>
          <w:szCs w:val="22"/>
          <w:lang w:val="sr-Latn-ME"/>
        </w:rPr>
        <w:t>nedjelje</w:t>
      </w:r>
      <w:r w:rsidR="000C4AD4" w:rsidRPr="00AD3B49">
        <w:rPr>
          <w:rFonts w:ascii="Times New Roman" w:hAnsi="Times New Roman" w:cs="Times New Roman"/>
          <w:color w:val="auto"/>
          <w:sz w:val="22"/>
          <w:szCs w:val="22"/>
          <w:lang w:val="sr-Latn-ME"/>
        </w:rPr>
        <w:t xml:space="preserve"> kasnije. Nakon 2</w:t>
      </w:r>
      <w:r w:rsidRPr="00AD3B49">
        <w:rPr>
          <w:rFonts w:ascii="Times New Roman" w:hAnsi="Times New Roman" w:cs="Times New Roman"/>
          <w:color w:val="auto"/>
          <w:sz w:val="22"/>
          <w:szCs w:val="22"/>
          <w:lang w:val="sr-Latn-ME"/>
        </w:rPr>
        <w:t xml:space="preserv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pacijenti iz obje grupe koji su primali adalimumab, primali su dozu od 40 mg svake druge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Klinička remisija (definisana kao Mayo zbir ≤ 2, bez po</w:t>
      </w:r>
      <w:r w:rsidR="000C4AD4" w:rsidRPr="00AD3B49">
        <w:rPr>
          <w:rFonts w:ascii="Times New Roman" w:hAnsi="Times New Roman" w:cs="Times New Roman"/>
          <w:color w:val="auto"/>
          <w:sz w:val="22"/>
          <w:szCs w:val="22"/>
          <w:lang w:val="sr-Latn-ME"/>
        </w:rPr>
        <w:t>dzbira &gt; 1) procijenjena je u 8</w:t>
      </w:r>
      <w:r w:rsidRPr="00AD3B49">
        <w:rPr>
          <w:rFonts w:ascii="Times New Roman" w:hAnsi="Times New Roman" w:cs="Times New Roman"/>
          <w:color w:val="auto"/>
          <w:sz w:val="22"/>
          <w:szCs w:val="22"/>
          <w:lang w:val="sr-Latn-ME"/>
        </w:rPr>
        <w:t xml:space="preserve"> </w:t>
      </w:r>
      <w:r w:rsidR="000B016F" w:rsidRPr="00AD3B49">
        <w:rPr>
          <w:rFonts w:ascii="Times New Roman" w:hAnsi="Times New Roman" w:cs="Times New Roman"/>
          <w:color w:val="auto"/>
          <w:sz w:val="22"/>
          <w:szCs w:val="22"/>
          <w:lang w:val="sr-Latn-ME"/>
        </w:rPr>
        <w:t>nedjelji</w:t>
      </w:r>
      <w:r w:rsidRPr="00AD3B49">
        <w:rPr>
          <w:rFonts w:ascii="Times New Roman" w:hAnsi="Times New Roman" w:cs="Times New Roman"/>
          <w:color w:val="auto"/>
          <w:sz w:val="22"/>
          <w:szCs w:val="22"/>
          <w:lang w:val="sr-Latn-ME"/>
        </w:rPr>
        <w:t xml:space="preserve">. </w:t>
      </w:r>
    </w:p>
    <w:p w:rsidR="002C1631" w:rsidRPr="00AD3B49" w:rsidRDefault="002C1631" w:rsidP="002C1631">
      <w:pPr>
        <w:pStyle w:val="Default"/>
        <w:jc w:val="both"/>
        <w:rPr>
          <w:rFonts w:ascii="Times New Roman" w:hAnsi="Times New Roman" w:cs="Times New Roman"/>
          <w:color w:val="auto"/>
          <w:sz w:val="22"/>
          <w:szCs w:val="22"/>
          <w:lang w:val="sr-Latn-ME"/>
        </w:rPr>
      </w:pPr>
    </w:p>
    <w:p w:rsidR="002C1631" w:rsidRPr="00AD3B49" w:rsidRDefault="002C1631"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U UC-II ispitivanju, 248 pacijenata primil</w:t>
      </w:r>
      <w:r w:rsidR="009C2995" w:rsidRPr="00AD3B49">
        <w:rPr>
          <w:rFonts w:ascii="Times New Roman" w:hAnsi="Times New Roman" w:cs="Times New Roman"/>
          <w:color w:val="auto"/>
          <w:sz w:val="22"/>
          <w:szCs w:val="22"/>
          <w:lang w:val="sr-Latn-ME"/>
        </w:rPr>
        <w:t>o</w:t>
      </w:r>
      <w:r w:rsidRPr="00AD3B49">
        <w:rPr>
          <w:rFonts w:ascii="Times New Roman" w:hAnsi="Times New Roman" w:cs="Times New Roman"/>
          <w:color w:val="auto"/>
          <w:sz w:val="22"/>
          <w:szCs w:val="22"/>
          <w:lang w:val="sr-Latn-ME"/>
        </w:rPr>
        <w:t xml:space="preserve"> </w:t>
      </w:r>
      <w:r w:rsidR="009C2995" w:rsidRPr="00AD3B49">
        <w:rPr>
          <w:rFonts w:ascii="Times New Roman" w:hAnsi="Times New Roman" w:cs="Times New Roman"/>
          <w:color w:val="auto"/>
          <w:sz w:val="22"/>
          <w:szCs w:val="22"/>
          <w:lang w:val="sr-Latn-ME"/>
        </w:rPr>
        <w:t>je</w:t>
      </w:r>
      <w:r w:rsidRPr="00AD3B49">
        <w:rPr>
          <w:rFonts w:ascii="Times New Roman" w:hAnsi="Times New Roman" w:cs="Times New Roman"/>
          <w:color w:val="auto"/>
          <w:sz w:val="22"/>
          <w:szCs w:val="22"/>
          <w:lang w:val="sr-Latn-ME"/>
        </w:rPr>
        <w:t xml:space="preserve"> 160 mg </w:t>
      </w:r>
      <w:r w:rsidR="0082613A" w:rsidRPr="00AD3B49">
        <w:rPr>
          <w:rFonts w:ascii="Times New Roman" w:hAnsi="Times New Roman" w:cs="Times New Roman"/>
          <w:color w:val="auto"/>
          <w:sz w:val="22"/>
          <w:szCs w:val="22"/>
          <w:lang w:val="sr-Latn-ME"/>
        </w:rPr>
        <w:t xml:space="preserve">lijeka </w:t>
      </w:r>
      <w:r w:rsidRPr="00AD3B49">
        <w:rPr>
          <w:rFonts w:ascii="Times New Roman" w:hAnsi="Times New Roman" w:cs="Times New Roman"/>
          <w:color w:val="auto"/>
          <w:sz w:val="22"/>
          <w:szCs w:val="22"/>
          <w:lang w:val="sr-Latn-ME"/>
        </w:rPr>
        <w:t>Humir</w:t>
      </w:r>
      <w:r w:rsidR="0082613A"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 u nultoj </w:t>
      </w:r>
      <w:r w:rsidR="000B016F" w:rsidRPr="00AD3B49">
        <w:rPr>
          <w:rFonts w:ascii="Times New Roman" w:hAnsi="Times New Roman" w:cs="Times New Roman"/>
          <w:color w:val="auto"/>
          <w:sz w:val="22"/>
          <w:szCs w:val="22"/>
          <w:lang w:val="sr-Latn-ME"/>
        </w:rPr>
        <w:t>nedjelji</w:t>
      </w:r>
      <w:r w:rsidRPr="00AD3B49">
        <w:rPr>
          <w:rFonts w:ascii="Times New Roman" w:hAnsi="Times New Roman" w:cs="Times New Roman"/>
          <w:color w:val="auto"/>
          <w:sz w:val="22"/>
          <w:szCs w:val="22"/>
          <w:lang w:val="sr-Latn-ME"/>
        </w:rPr>
        <w:t xml:space="preserve">, a zatim 80 mg nakon dvije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te 40 mg svake druge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xml:space="preserve"> nakon toga, dok je </w:t>
      </w:r>
      <w:r w:rsidR="009C2995" w:rsidRPr="00AD3B49">
        <w:rPr>
          <w:rFonts w:ascii="Times New Roman" w:hAnsi="Times New Roman" w:cs="Times New Roman"/>
          <w:color w:val="auto"/>
          <w:sz w:val="22"/>
          <w:szCs w:val="22"/>
          <w:lang w:val="sr-Latn-ME"/>
        </w:rPr>
        <w:t>2</w:t>
      </w:r>
      <w:r w:rsidRPr="00AD3B49">
        <w:rPr>
          <w:rFonts w:ascii="Times New Roman" w:hAnsi="Times New Roman" w:cs="Times New Roman"/>
          <w:color w:val="auto"/>
          <w:sz w:val="22"/>
          <w:szCs w:val="22"/>
          <w:lang w:val="sr-Latn-ME"/>
        </w:rPr>
        <w:t>46 pacijenata primilo placebo. Klinički rezultati su procijenjeni u o</w:t>
      </w:r>
      <w:r w:rsidR="000C4AD4" w:rsidRPr="00AD3B49">
        <w:rPr>
          <w:rFonts w:ascii="Times New Roman" w:hAnsi="Times New Roman" w:cs="Times New Roman"/>
          <w:color w:val="auto"/>
          <w:sz w:val="22"/>
          <w:szCs w:val="22"/>
          <w:lang w:val="sr-Latn-ME"/>
        </w:rPr>
        <w:t>dnosu na indukciju remisije u 8</w:t>
      </w:r>
      <w:r w:rsidRPr="00AD3B49">
        <w:rPr>
          <w:rFonts w:ascii="Times New Roman" w:hAnsi="Times New Roman" w:cs="Times New Roman"/>
          <w:color w:val="auto"/>
          <w:sz w:val="22"/>
          <w:szCs w:val="22"/>
          <w:lang w:val="sr-Latn-ME"/>
        </w:rPr>
        <w:t xml:space="preserve"> </w:t>
      </w:r>
      <w:r w:rsidR="000B016F" w:rsidRPr="00AD3B49">
        <w:rPr>
          <w:rFonts w:ascii="Times New Roman" w:hAnsi="Times New Roman" w:cs="Times New Roman"/>
          <w:color w:val="auto"/>
          <w:sz w:val="22"/>
          <w:szCs w:val="22"/>
          <w:lang w:val="sr-Latn-ME"/>
        </w:rPr>
        <w:t>nedjelji</w:t>
      </w:r>
      <w:r w:rsidRPr="00AD3B49">
        <w:rPr>
          <w:rFonts w:ascii="Times New Roman" w:hAnsi="Times New Roman" w:cs="Times New Roman"/>
          <w:color w:val="auto"/>
          <w:sz w:val="22"/>
          <w:szCs w:val="22"/>
          <w:lang w:val="sr-Latn-ME"/>
        </w:rPr>
        <w:t>, a u odnosu na održavanje pacijenata u remisiji</w:t>
      </w:r>
      <w:r w:rsidR="000C4AD4" w:rsidRPr="00AD3B49">
        <w:rPr>
          <w:rFonts w:ascii="Times New Roman" w:hAnsi="Times New Roman" w:cs="Times New Roman"/>
          <w:color w:val="auto"/>
          <w:sz w:val="22"/>
          <w:szCs w:val="22"/>
          <w:lang w:val="sr-Latn-ME"/>
        </w:rPr>
        <w:t xml:space="preserve"> u 52</w:t>
      </w:r>
      <w:r w:rsidRPr="00AD3B49">
        <w:rPr>
          <w:rFonts w:ascii="Times New Roman" w:hAnsi="Times New Roman" w:cs="Times New Roman"/>
          <w:color w:val="auto"/>
          <w:sz w:val="22"/>
          <w:szCs w:val="22"/>
          <w:lang w:val="sr-Latn-ME"/>
        </w:rPr>
        <w:t xml:space="preserve"> </w:t>
      </w:r>
      <w:r w:rsidR="000B016F" w:rsidRPr="00AD3B49">
        <w:rPr>
          <w:rFonts w:ascii="Times New Roman" w:hAnsi="Times New Roman" w:cs="Times New Roman"/>
          <w:color w:val="auto"/>
          <w:sz w:val="22"/>
          <w:szCs w:val="22"/>
          <w:lang w:val="sr-Latn-ME"/>
        </w:rPr>
        <w:t>nedjelji</w:t>
      </w:r>
      <w:r w:rsidRPr="00AD3B49">
        <w:rPr>
          <w:rFonts w:ascii="Times New Roman" w:hAnsi="Times New Roman" w:cs="Times New Roman"/>
          <w:color w:val="auto"/>
          <w:sz w:val="22"/>
          <w:szCs w:val="22"/>
          <w:lang w:val="sr-Latn-ME"/>
        </w:rPr>
        <w:t xml:space="preserve">. </w:t>
      </w:r>
    </w:p>
    <w:p w:rsidR="002C1631" w:rsidRPr="00AD3B49" w:rsidRDefault="002C1631" w:rsidP="002C1631">
      <w:pPr>
        <w:pStyle w:val="Default"/>
        <w:jc w:val="both"/>
        <w:rPr>
          <w:rFonts w:ascii="Times New Roman" w:hAnsi="Times New Roman" w:cs="Times New Roman"/>
          <w:color w:val="auto"/>
          <w:sz w:val="22"/>
          <w:szCs w:val="22"/>
          <w:lang w:val="sr-Latn-ME"/>
        </w:rPr>
      </w:pPr>
    </w:p>
    <w:p w:rsidR="002C1631" w:rsidRPr="00AD3B49" w:rsidRDefault="000C4AD4"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Kod p</w:t>
      </w:r>
      <w:r w:rsidR="00B90FA9"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cijenata koji su primali indukcionu dozu lijeka Humira od 160/80 mg u 8</w:t>
      </w:r>
      <w:r w:rsidR="00D37AC6" w:rsidRPr="00AD3B49">
        <w:rPr>
          <w:rFonts w:ascii="Times New Roman" w:hAnsi="Times New Roman" w:cs="Times New Roman"/>
          <w:color w:val="auto"/>
          <w:sz w:val="22"/>
          <w:szCs w:val="22"/>
          <w:lang w:val="sr-Latn-ME"/>
        </w:rPr>
        <w:t>.</w:t>
      </w:r>
      <w:r w:rsidR="002C1631" w:rsidRPr="00AD3B49">
        <w:rPr>
          <w:rFonts w:ascii="Times New Roman" w:hAnsi="Times New Roman" w:cs="Times New Roman"/>
          <w:color w:val="auto"/>
          <w:sz w:val="22"/>
          <w:szCs w:val="22"/>
          <w:lang w:val="sr-Latn-ME"/>
        </w:rPr>
        <w:t xml:space="preserve"> </w:t>
      </w:r>
      <w:r w:rsidR="000B016F" w:rsidRPr="00AD3B49">
        <w:rPr>
          <w:rFonts w:ascii="Times New Roman" w:hAnsi="Times New Roman" w:cs="Times New Roman"/>
          <w:color w:val="auto"/>
          <w:sz w:val="22"/>
          <w:szCs w:val="22"/>
          <w:lang w:val="sr-Latn-ME"/>
        </w:rPr>
        <w:t>nedjelji</w:t>
      </w:r>
      <w:r w:rsidR="002C1631" w:rsidRPr="00AD3B49">
        <w:rPr>
          <w:rFonts w:ascii="Times New Roman" w:hAnsi="Times New Roman" w:cs="Times New Roman"/>
          <w:color w:val="auto"/>
          <w:sz w:val="22"/>
          <w:szCs w:val="22"/>
          <w:lang w:val="sr-Latn-ME"/>
        </w:rPr>
        <w:t xml:space="preserve"> terapije postig</w:t>
      </w:r>
      <w:r w:rsidR="00D37AC6" w:rsidRPr="00AD3B49">
        <w:rPr>
          <w:rFonts w:ascii="Times New Roman" w:hAnsi="Times New Roman" w:cs="Times New Roman"/>
          <w:color w:val="auto"/>
          <w:sz w:val="22"/>
          <w:szCs w:val="22"/>
          <w:lang w:val="sr-Latn-ME"/>
        </w:rPr>
        <w:t>nuta je</w:t>
      </w:r>
      <w:r w:rsidR="002C1631" w:rsidRPr="00AD3B49">
        <w:rPr>
          <w:rFonts w:ascii="Times New Roman" w:hAnsi="Times New Roman" w:cs="Times New Roman"/>
          <w:color w:val="auto"/>
          <w:sz w:val="22"/>
          <w:szCs w:val="22"/>
          <w:lang w:val="sr-Latn-ME"/>
        </w:rPr>
        <w:t xml:space="preserve"> kliničk</w:t>
      </w:r>
      <w:r w:rsidR="00D37AC6" w:rsidRPr="00AD3B49">
        <w:rPr>
          <w:rFonts w:ascii="Times New Roman" w:hAnsi="Times New Roman" w:cs="Times New Roman"/>
          <w:color w:val="auto"/>
          <w:sz w:val="22"/>
          <w:szCs w:val="22"/>
          <w:lang w:val="sr-Latn-ME"/>
        </w:rPr>
        <w:t>a</w:t>
      </w:r>
      <w:r w:rsidR="002C1631" w:rsidRPr="00AD3B49">
        <w:rPr>
          <w:rFonts w:ascii="Times New Roman" w:hAnsi="Times New Roman" w:cs="Times New Roman"/>
          <w:color w:val="auto"/>
          <w:sz w:val="22"/>
          <w:szCs w:val="22"/>
          <w:lang w:val="sr-Latn-ME"/>
        </w:rPr>
        <w:t xml:space="preserve"> remisij</w:t>
      </w:r>
      <w:r w:rsidR="00D37AC6" w:rsidRPr="00AD3B49">
        <w:rPr>
          <w:rFonts w:ascii="Times New Roman" w:hAnsi="Times New Roman" w:cs="Times New Roman"/>
          <w:color w:val="auto"/>
          <w:sz w:val="22"/>
          <w:szCs w:val="22"/>
          <w:lang w:val="sr-Latn-ME"/>
        </w:rPr>
        <w:t>a</w:t>
      </w:r>
      <w:r w:rsidR="002C1631" w:rsidRPr="00AD3B49">
        <w:rPr>
          <w:rFonts w:ascii="Times New Roman" w:hAnsi="Times New Roman" w:cs="Times New Roman"/>
          <w:color w:val="auto"/>
          <w:sz w:val="22"/>
          <w:szCs w:val="22"/>
          <w:lang w:val="sr-Latn-ME"/>
        </w:rPr>
        <w:t xml:space="preserve"> u statistički značajno većem procentu u odnosu na placebo u okviru UC-I ispitivanja (18% u odnosu na 9%, p=0,031), i u okviru UC-II ispitivanja (17% u odnosu na 9%, p=0,019). U okviru ispitivanja UC-II među onima koji su liječeni </w:t>
      </w:r>
      <w:r w:rsidR="00E409B0" w:rsidRPr="00AD3B49">
        <w:rPr>
          <w:rFonts w:ascii="Times New Roman" w:hAnsi="Times New Roman" w:cs="Times New Roman"/>
          <w:color w:val="auto"/>
          <w:sz w:val="22"/>
          <w:szCs w:val="22"/>
          <w:lang w:val="sr-Latn-ME"/>
        </w:rPr>
        <w:t xml:space="preserve">lijekom </w:t>
      </w:r>
      <w:r w:rsidR="002C1631" w:rsidRPr="00AD3B49">
        <w:rPr>
          <w:rFonts w:ascii="Times New Roman" w:hAnsi="Times New Roman" w:cs="Times New Roman"/>
          <w:color w:val="auto"/>
          <w:sz w:val="22"/>
          <w:szCs w:val="22"/>
          <w:lang w:val="sr-Latn-ME"/>
        </w:rPr>
        <w:t>Humir</w:t>
      </w:r>
      <w:r w:rsidR="00E409B0"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a koji su bili u remisiji u 8</w:t>
      </w:r>
      <w:r w:rsidR="001E47B3" w:rsidRPr="00AD3B49">
        <w:rPr>
          <w:rFonts w:ascii="Times New Roman" w:hAnsi="Times New Roman" w:cs="Times New Roman"/>
          <w:color w:val="auto"/>
          <w:sz w:val="22"/>
          <w:szCs w:val="22"/>
          <w:lang w:val="sr-Latn-ME"/>
        </w:rPr>
        <w:t>.</w:t>
      </w:r>
      <w:r w:rsidR="002C1631" w:rsidRPr="00AD3B49">
        <w:rPr>
          <w:rFonts w:ascii="Times New Roman" w:hAnsi="Times New Roman" w:cs="Times New Roman"/>
          <w:color w:val="auto"/>
          <w:sz w:val="22"/>
          <w:szCs w:val="22"/>
          <w:lang w:val="sr-Latn-ME"/>
        </w:rPr>
        <w:t xml:space="preserve"> </w:t>
      </w:r>
      <w:r w:rsidR="000B016F" w:rsidRPr="00AD3B49">
        <w:rPr>
          <w:rFonts w:ascii="Times New Roman" w:hAnsi="Times New Roman" w:cs="Times New Roman"/>
          <w:color w:val="auto"/>
          <w:sz w:val="22"/>
          <w:szCs w:val="22"/>
          <w:lang w:val="sr-Latn-ME"/>
        </w:rPr>
        <w:t>nedjelji</w:t>
      </w:r>
      <w:r w:rsidR="002C1631" w:rsidRPr="00AD3B49">
        <w:rPr>
          <w:rFonts w:ascii="Times New Roman" w:hAnsi="Times New Roman" w:cs="Times New Roman"/>
          <w:color w:val="auto"/>
          <w:sz w:val="22"/>
          <w:szCs w:val="22"/>
          <w:lang w:val="sr-Latn-ME"/>
        </w:rPr>
        <w:t xml:space="preserve">, 21/41 </w:t>
      </w:r>
      <w:r w:rsidRPr="00AD3B49">
        <w:rPr>
          <w:rFonts w:ascii="Times New Roman" w:hAnsi="Times New Roman" w:cs="Times New Roman"/>
          <w:color w:val="auto"/>
          <w:sz w:val="22"/>
          <w:szCs w:val="22"/>
          <w:lang w:val="sr-Latn-ME"/>
        </w:rPr>
        <w:t>(51%) je bilo u remisiji i u 52</w:t>
      </w:r>
      <w:r w:rsidR="00610699" w:rsidRPr="00AD3B49">
        <w:rPr>
          <w:rFonts w:ascii="Times New Roman" w:hAnsi="Times New Roman" w:cs="Times New Roman"/>
          <w:color w:val="auto"/>
          <w:sz w:val="22"/>
          <w:szCs w:val="22"/>
          <w:lang w:val="sr-Latn-ME"/>
        </w:rPr>
        <w:t>.</w:t>
      </w:r>
      <w:r w:rsidR="002C1631" w:rsidRPr="00AD3B49">
        <w:rPr>
          <w:rFonts w:ascii="Times New Roman" w:hAnsi="Times New Roman" w:cs="Times New Roman"/>
          <w:color w:val="auto"/>
          <w:sz w:val="22"/>
          <w:szCs w:val="22"/>
          <w:lang w:val="sr-Latn-ME"/>
        </w:rPr>
        <w:t xml:space="preserve"> </w:t>
      </w:r>
      <w:r w:rsidR="000B016F" w:rsidRPr="00AD3B49">
        <w:rPr>
          <w:rFonts w:ascii="Times New Roman" w:hAnsi="Times New Roman" w:cs="Times New Roman"/>
          <w:color w:val="auto"/>
          <w:sz w:val="22"/>
          <w:szCs w:val="22"/>
          <w:lang w:val="sr-Latn-ME"/>
        </w:rPr>
        <w:t>nedjelji</w:t>
      </w:r>
      <w:r w:rsidR="002C1631" w:rsidRPr="00AD3B49">
        <w:rPr>
          <w:rFonts w:ascii="Times New Roman" w:hAnsi="Times New Roman" w:cs="Times New Roman"/>
          <w:color w:val="auto"/>
          <w:sz w:val="22"/>
          <w:szCs w:val="22"/>
          <w:lang w:val="sr-Latn-ME"/>
        </w:rPr>
        <w:t xml:space="preserve">. </w:t>
      </w:r>
    </w:p>
    <w:p w:rsidR="002C1631" w:rsidRDefault="002C1631"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Rezultati ukupnog broja ispitanika u okviru UC-II ispitivanja prikazani su u Tabeli 19. </w:t>
      </w:r>
    </w:p>
    <w:p w:rsidR="00634F67" w:rsidRPr="00AD3B49" w:rsidRDefault="00634F67" w:rsidP="002C1631">
      <w:pPr>
        <w:pStyle w:val="Default"/>
        <w:jc w:val="both"/>
        <w:rPr>
          <w:rFonts w:ascii="Times New Roman" w:hAnsi="Times New Roman" w:cs="Times New Roman"/>
          <w:color w:val="auto"/>
          <w:lang w:val="sr-Latn-ME"/>
        </w:rPr>
      </w:pPr>
    </w:p>
    <w:p w:rsidR="002C1631" w:rsidRPr="00AD3B49" w:rsidRDefault="002C1631" w:rsidP="006B0826">
      <w:pPr>
        <w:autoSpaceDE w:val="0"/>
        <w:autoSpaceDN w:val="0"/>
        <w:adjustRightInd w:val="0"/>
        <w:jc w:val="center"/>
        <w:rPr>
          <w:b/>
          <w:sz w:val="22"/>
          <w:szCs w:val="22"/>
          <w:lang w:val="sr-Latn-ME"/>
        </w:rPr>
      </w:pPr>
      <w:r w:rsidRPr="00AD3B49">
        <w:rPr>
          <w:b/>
          <w:sz w:val="22"/>
          <w:szCs w:val="22"/>
          <w:lang w:val="sr-Latn-ME"/>
        </w:rPr>
        <w:t>Tabela 19.</w:t>
      </w:r>
    </w:p>
    <w:p w:rsidR="002C1631" w:rsidRPr="00AD3B49" w:rsidRDefault="002C1631" w:rsidP="006B0826">
      <w:pPr>
        <w:autoSpaceDE w:val="0"/>
        <w:autoSpaceDN w:val="0"/>
        <w:adjustRightInd w:val="0"/>
        <w:jc w:val="center"/>
        <w:rPr>
          <w:b/>
          <w:sz w:val="22"/>
          <w:szCs w:val="22"/>
          <w:lang w:val="sr-Latn-ME"/>
        </w:rPr>
      </w:pPr>
      <w:r w:rsidRPr="00AD3B49">
        <w:rPr>
          <w:b/>
          <w:sz w:val="22"/>
          <w:szCs w:val="22"/>
          <w:lang w:val="sr-Latn-ME"/>
        </w:rPr>
        <w:t xml:space="preserve">Odgovor, remisija i </w:t>
      </w:r>
      <w:r w:rsidR="00FC6077" w:rsidRPr="00AD3B49">
        <w:rPr>
          <w:b/>
          <w:sz w:val="22"/>
          <w:szCs w:val="22"/>
          <w:lang w:val="sr-Latn-ME"/>
        </w:rPr>
        <w:t>zarastanje</w:t>
      </w:r>
      <w:r w:rsidRPr="00AD3B49">
        <w:rPr>
          <w:b/>
          <w:sz w:val="22"/>
          <w:szCs w:val="22"/>
          <w:lang w:val="sr-Latn-ME"/>
        </w:rPr>
        <w:t xml:space="preserve"> sluznice u UC-II ispitivanju</w:t>
      </w:r>
    </w:p>
    <w:p w:rsidR="004838AF" w:rsidRPr="00AD3B49" w:rsidRDefault="002C1631" w:rsidP="00637D9A">
      <w:pPr>
        <w:autoSpaceDE w:val="0"/>
        <w:autoSpaceDN w:val="0"/>
        <w:adjustRightInd w:val="0"/>
        <w:jc w:val="center"/>
        <w:rPr>
          <w:b/>
          <w:sz w:val="22"/>
          <w:szCs w:val="22"/>
          <w:lang w:val="sr-Latn-ME"/>
        </w:rPr>
      </w:pPr>
      <w:r w:rsidRPr="00AD3B49">
        <w:rPr>
          <w:b/>
          <w:sz w:val="22"/>
          <w:szCs w:val="22"/>
          <w:lang w:val="sr-Latn-ME"/>
        </w:rPr>
        <w:t>(Procenat bolesnika)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559"/>
        <w:gridCol w:w="2084"/>
      </w:tblGrid>
      <w:tr w:rsidR="002C1631" w:rsidRPr="00AD3B49" w:rsidTr="00C86F3F">
        <w:tc>
          <w:tcPr>
            <w:tcW w:w="5637" w:type="dxa"/>
            <w:shd w:val="clear" w:color="auto" w:fill="auto"/>
          </w:tcPr>
          <w:p w:rsidR="002C1631" w:rsidRPr="00AD3B49" w:rsidRDefault="002C1631" w:rsidP="00C86F3F">
            <w:pPr>
              <w:autoSpaceDE w:val="0"/>
              <w:autoSpaceDN w:val="0"/>
              <w:adjustRightInd w:val="0"/>
              <w:rPr>
                <w:b/>
                <w:sz w:val="22"/>
                <w:szCs w:val="22"/>
                <w:lang w:val="sr-Latn-ME"/>
              </w:rPr>
            </w:pPr>
          </w:p>
        </w:tc>
        <w:tc>
          <w:tcPr>
            <w:tcW w:w="1559" w:type="dxa"/>
            <w:shd w:val="clear" w:color="auto" w:fill="auto"/>
          </w:tcPr>
          <w:p w:rsidR="002C1631" w:rsidRPr="00AD3B49" w:rsidRDefault="002C1631" w:rsidP="00C86F3F">
            <w:pPr>
              <w:autoSpaceDE w:val="0"/>
              <w:autoSpaceDN w:val="0"/>
              <w:adjustRightInd w:val="0"/>
              <w:rPr>
                <w:b/>
                <w:sz w:val="22"/>
                <w:szCs w:val="22"/>
                <w:lang w:val="sr-Latn-ME"/>
              </w:rPr>
            </w:pPr>
            <w:r w:rsidRPr="00AD3B49">
              <w:rPr>
                <w:b/>
                <w:sz w:val="22"/>
                <w:szCs w:val="22"/>
                <w:lang w:val="sr-Latn-ME"/>
              </w:rPr>
              <w:t xml:space="preserve">Placebo </w:t>
            </w:r>
          </w:p>
        </w:tc>
        <w:tc>
          <w:tcPr>
            <w:tcW w:w="2084" w:type="dxa"/>
            <w:shd w:val="clear" w:color="auto" w:fill="auto"/>
          </w:tcPr>
          <w:p w:rsidR="002C1631" w:rsidRPr="00AD3B49" w:rsidRDefault="002C1631" w:rsidP="00C86F3F">
            <w:pPr>
              <w:autoSpaceDE w:val="0"/>
              <w:autoSpaceDN w:val="0"/>
              <w:adjustRightInd w:val="0"/>
              <w:rPr>
                <w:b/>
                <w:sz w:val="22"/>
                <w:szCs w:val="22"/>
                <w:lang w:val="sr-Latn-ME"/>
              </w:rPr>
            </w:pPr>
            <w:r w:rsidRPr="00AD3B49">
              <w:rPr>
                <w:b/>
                <w:sz w:val="22"/>
                <w:szCs w:val="22"/>
                <w:lang w:val="sr-Latn-ME"/>
              </w:rPr>
              <w:t xml:space="preserve">HUMIRA 40 mg </w:t>
            </w:r>
          </w:p>
          <w:p w:rsidR="002C1631" w:rsidRPr="00AD3B49" w:rsidRDefault="002C1631" w:rsidP="00FC6077">
            <w:pPr>
              <w:autoSpaceDE w:val="0"/>
              <w:autoSpaceDN w:val="0"/>
              <w:adjustRightInd w:val="0"/>
              <w:rPr>
                <w:b/>
                <w:sz w:val="22"/>
                <w:szCs w:val="22"/>
                <w:lang w:val="sr-Latn-ME"/>
              </w:rPr>
            </w:pPr>
            <w:r w:rsidRPr="00AD3B49">
              <w:rPr>
                <w:b/>
                <w:sz w:val="22"/>
                <w:szCs w:val="22"/>
                <w:lang w:val="sr-Latn-ME"/>
              </w:rPr>
              <w:t xml:space="preserve">svake druge </w:t>
            </w:r>
            <w:r w:rsidR="000B016F" w:rsidRPr="00AD3B49">
              <w:rPr>
                <w:b/>
                <w:sz w:val="22"/>
                <w:szCs w:val="22"/>
                <w:lang w:val="sr-Latn-ME"/>
              </w:rPr>
              <w:t>nedjelje</w:t>
            </w:r>
            <w:r w:rsidRPr="00AD3B49">
              <w:rPr>
                <w:b/>
                <w:sz w:val="22"/>
                <w:szCs w:val="22"/>
                <w:lang w:val="sr-Latn-ME"/>
              </w:rPr>
              <w:t xml:space="preserve"> </w:t>
            </w:r>
          </w:p>
        </w:tc>
      </w:tr>
      <w:tr w:rsidR="002C1631" w:rsidRPr="00AD3B49" w:rsidTr="00C86F3F">
        <w:tc>
          <w:tcPr>
            <w:tcW w:w="5637" w:type="dxa"/>
            <w:shd w:val="clear" w:color="auto" w:fill="auto"/>
          </w:tcPr>
          <w:p w:rsidR="002C1631" w:rsidRPr="00AD3B49" w:rsidRDefault="000B016F" w:rsidP="00C86F3F">
            <w:pPr>
              <w:autoSpaceDE w:val="0"/>
              <w:autoSpaceDN w:val="0"/>
              <w:adjustRightInd w:val="0"/>
              <w:rPr>
                <w:b/>
                <w:sz w:val="22"/>
                <w:szCs w:val="22"/>
                <w:lang w:val="sr-Latn-ME"/>
              </w:rPr>
            </w:pPr>
            <w:r w:rsidRPr="00AD3B49">
              <w:rPr>
                <w:b/>
                <w:sz w:val="22"/>
                <w:szCs w:val="22"/>
                <w:lang w:val="sr-Latn-ME"/>
              </w:rPr>
              <w:t>Nedjelja</w:t>
            </w:r>
            <w:r w:rsidR="002C1631" w:rsidRPr="00AD3B49">
              <w:rPr>
                <w:b/>
                <w:sz w:val="22"/>
                <w:szCs w:val="22"/>
                <w:lang w:val="sr-Latn-ME"/>
              </w:rPr>
              <w:t xml:space="preserve"> 52</w:t>
            </w:r>
          </w:p>
        </w:tc>
        <w:tc>
          <w:tcPr>
            <w:tcW w:w="1559" w:type="dxa"/>
            <w:shd w:val="clear" w:color="auto" w:fill="auto"/>
          </w:tcPr>
          <w:p w:rsidR="002C1631" w:rsidRPr="00AD3B49" w:rsidRDefault="002C1631" w:rsidP="00C86F3F">
            <w:pPr>
              <w:autoSpaceDE w:val="0"/>
              <w:autoSpaceDN w:val="0"/>
              <w:adjustRightInd w:val="0"/>
              <w:rPr>
                <w:b/>
                <w:sz w:val="22"/>
                <w:szCs w:val="22"/>
                <w:lang w:val="sr-Latn-ME"/>
              </w:rPr>
            </w:pPr>
            <w:r w:rsidRPr="00AD3B49">
              <w:rPr>
                <w:b/>
                <w:sz w:val="22"/>
                <w:szCs w:val="22"/>
                <w:lang w:val="sr-Latn-ME"/>
              </w:rPr>
              <w:t>N=246</w:t>
            </w:r>
          </w:p>
        </w:tc>
        <w:tc>
          <w:tcPr>
            <w:tcW w:w="2084" w:type="dxa"/>
            <w:shd w:val="clear" w:color="auto" w:fill="auto"/>
          </w:tcPr>
          <w:p w:rsidR="002C1631" w:rsidRPr="00AD3B49" w:rsidRDefault="002C1631" w:rsidP="00C86F3F">
            <w:pPr>
              <w:autoSpaceDE w:val="0"/>
              <w:autoSpaceDN w:val="0"/>
              <w:adjustRightInd w:val="0"/>
              <w:rPr>
                <w:b/>
                <w:sz w:val="22"/>
                <w:szCs w:val="22"/>
                <w:lang w:val="sr-Latn-ME"/>
              </w:rPr>
            </w:pPr>
            <w:r w:rsidRPr="00AD3B49">
              <w:rPr>
                <w:b/>
                <w:sz w:val="22"/>
                <w:szCs w:val="22"/>
                <w:lang w:val="sr-Latn-ME"/>
              </w:rPr>
              <w:t>N=248</w:t>
            </w:r>
          </w:p>
        </w:tc>
      </w:tr>
      <w:tr w:rsidR="002C1631" w:rsidRPr="00AD3B49" w:rsidTr="00C86F3F">
        <w:tc>
          <w:tcPr>
            <w:tcW w:w="5637"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 xml:space="preserve">Klinički odgovor </w:t>
            </w:r>
          </w:p>
        </w:tc>
        <w:tc>
          <w:tcPr>
            <w:tcW w:w="1559"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18%</w:t>
            </w:r>
          </w:p>
        </w:tc>
        <w:tc>
          <w:tcPr>
            <w:tcW w:w="2084"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30%*</w:t>
            </w:r>
          </w:p>
        </w:tc>
      </w:tr>
      <w:tr w:rsidR="002C1631" w:rsidRPr="00AD3B49" w:rsidTr="00C86F3F">
        <w:tc>
          <w:tcPr>
            <w:tcW w:w="5637"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 xml:space="preserve">Klinička remisija </w:t>
            </w:r>
          </w:p>
        </w:tc>
        <w:tc>
          <w:tcPr>
            <w:tcW w:w="1559"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9%</w:t>
            </w:r>
          </w:p>
        </w:tc>
        <w:tc>
          <w:tcPr>
            <w:tcW w:w="2084"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17%*</w:t>
            </w:r>
          </w:p>
        </w:tc>
      </w:tr>
      <w:tr w:rsidR="002C1631" w:rsidRPr="00AD3B49" w:rsidTr="00C86F3F">
        <w:tc>
          <w:tcPr>
            <w:tcW w:w="5637" w:type="dxa"/>
            <w:shd w:val="clear" w:color="auto" w:fill="auto"/>
          </w:tcPr>
          <w:p w:rsidR="002C1631" w:rsidRPr="00AD3B49" w:rsidRDefault="00FC6077" w:rsidP="00C86F3F">
            <w:pPr>
              <w:autoSpaceDE w:val="0"/>
              <w:autoSpaceDN w:val="0"/>
              <w:adjustRightInd w:val="0"/>
              <w:rPr>
                <w:sz w:val="22"/>
                <w:szCs w:val="22"/>
                <w:lang w:val="sr-Latn-ME"/>
              </w:rPr>
            </w:pPr>
            <w:r w:rsidRPr="00AD3B49">
              <w:rPr>
                <w:sz w:val="22"/>
                <w:szCs w:val="22"/>
                <w:lang w:val="sr-Latn-ME"/>
              </w:rPr>
              <w:t>Zarastanje</w:t>
            </w:r>
            <w:r w:rsidR="002C1631" w:rsidRPr="00AD3B49">
              <w:rPr>
                <w:sz w:val="22"/>
                <w:szCs w:val="22"/>
                <w:lang w:val="sr-Latn-ME"/>
              </w:rPr>
              <w:t xml:space="preserve"> sluznice </w:t>
            </w:r>
          </w:p>
        </w:tc>
        <w:tc>
          <w:tcPr>
            <w:tcW w:w="1559"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15%</w:t>
            </w:r>
          </w:p>
        </w:tc>
        <w:tc>
          <w:tcPr>
            <w:tcW w:w="2084"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25%*</w:t>
            </w:r>
          </w:p>
        </w:tc>
      </w:tr>
      <w:tr w:rsidR="002C1631" w:rsidRPr="00AD3B49" w:rsidTr="00C86F3F">
        <w:tc>
          <w:tcPr>
            <w:tcW w:w="5637"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 xml:space="preserve">Bolesnici u remisiji bez upotrebe steroida </w:t>
            </w:r>
            <w:r w:rsidR="004838AF" w:rsidRPr="00AD3B49">
              <w:rPr>
                <w:sz w:val="22"/>
                <w:szCs w:val="22"/>
                <w:lang w:val="sr-Latn-ME"/>
              </w:rPr>
              <w:t>≥</w:t>
            </w:r>
            <w:r w:rsidRPr="00AD3B49">
              <w:rPr>
                <w:sz w:val="22"/>
                <w:szCs w:val="22"/>
                <w:lang w:val="sr-Latn-ME"/>
              </w:rPr>
              <w:t xml:space="preserve"> 90 dana</w:t>
            </w:r>
            <w:r w:rsidRPr="00AD3B49">
              <w:rPr>
                <w:sz w:val="22"/>
                <w:szCs w:val="22"/>
                <w:vertAlign w:val="superscript"/>
                <w:lang w:val="sr-Latn-ME"/>
              </w:rPr>
              <w:t>a</w:t>
            </w:r>
          </w:p>
        </w:tc>
        <w:tc>
          <w:tcPr>
            <w:tcW w:w="1559"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6%</w:t>
            </w:r>
          </w:p>
        </w:tc>
        <w:tc>
          <w:tcPr>
            <w:tcW w:w="2084"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13%*</w:t>
            </w:r>
          </w:p>
        </w:tc>
      </w:tr>
      <w:tr w:rsidR="002C1631" w:rsidRPr="00AD3B49" w:rsidTr="00C86F3F">
        <w:tc>
          <w:tcPr>
            <w:tcW w:w="5637" w:type="dxa"/>
            <w:shd w:val="clear" w:color="auto" w:fill="auto"/>
          </w:tcPr>
          <w:p w:rsidR="002C1631" w:rsidRPr="00AD3B49" w:rsidRDefault="002C1631" w:rsidP="00C86F3F">
            <w:pPr>
              <w:autoSpaceDE w:val="0"/>
              <w:autoSpaceDN w:val="0"/>
              <w:adjustRightInd w:val="0"/>
              <w:rPr>
                <w:sz w:val="22"/>
                <w:szCs w:val="22"/>
                <w:lang w:val="sr-Latn-ME"/>
              </w:rPr>
            </w:pPr>
          </w:p>
        </w:tc>
        <w:tc>
          <w:tcPr>
            <w:tcW w:w="1559"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(N=140)</w:t>
            </w:r>
          </w:p>
        </w:tc>
        <w:tc>
          <w:tcPr>
            <w:tcW w:w="2084"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 xml:space="preserve">(N=150) </w:t>
            </w:r>
          </w:p>
        </w:tc>
      </w:tr>
      <w:tr w:rsidR="002C1631" w:rsidRPr="00AD3B49" w:rsidTr="00C86F3F">
        <w:tc>
          <w:tcPr>
            <w:tcW w:w="5637" w:type="dxa"/>
            <w:shd w:val="clear" w:color="auto" w:fill="auto"/>
          </w:tcPr>
          <w:p w:rsidR="002C1631" w:rsidRPr="00AD3B49" w:rsidRDefault="000B016F" w:rsidP="00C86F3F">
            <w:pPr>
              <w:autoSpaceDE w:val="0"/>
              <w:autoSpaceDN w:val="0"/>
              <w:adjustRightInd w:val="0"/>
              <w:rPr>
                <w:b/>
                <w:sz w:val="22"/>
                <w:szCs w:val="22"/>
                <w:lang w:val="sr-Latn-ME"/>
              </w:rPr>
            </w:pPr>
            <w:r w:rsidRPr="00AD3B49">
              <w:rPr>
                <w:b/>
                <w:sz w:val="22"/>
                <w:szCs w:val="22"/>
                <w:lang w:val="sr-Latn-ME"/>
              </w:rPr>
              <w:t>Nedjelja</w:t>
            </w:r>
            <w:r w:rsidR="002C1631" w:rsidRPr="00AD3B49">
              <w:rPr>
                <w:b/>
                <w:sz w:val="22"/>
                <w:szCs w:val="22"/>
                <w:lang w:val="sr-Latn-ME"/>
              </w:rPr>
              <w:t xml:space="preserve"> 8 i 52 </w:t>
            </w:r>
          </w:p>
        </w:tc>
        <w:tc>
          <w:tcPr>
            <w:tcW w:w="1559" w:type="dxa"/>
            <w:shd w:val="clear" w:color="auto" w:fill="auto"/>
          </w:tcPr>
          <w:p w:rsidR="002C1631" w:rsidRPr="00AD3B49" w:rsidRDefault="002C1631" w:rsidP="00C86F3F">
            <w:pPr>
              <w:autoSpaceDE w:val="0"/>
              <w:autoSpaceDN w:val="0"/>
              <w:adjustRightInd w:val="0"/>
              <w:rPr>
                <w:sz w:val="22"/>
                <w:szCs w:val="22"/>
                <w:lang w:val="sr-Latn-ME"/>
              </w:rPr>
            </w:pPr>
          </w:p>
        </w:tc>
        <w:tc>
          <w:tcPr>
            <w:tcW w:w="2084" w:type="dxa"/>
            <w:shd w:val="clear" w:color="auto" w:fill="auto"/>
          </w:tcPr>
          <w:p w:rsidR="002C1631" w:rsidRPr="00AD3B49" w:rsidRDefault="002C1631" w:rsidP="00C86F3F">
            <w:pPr>
              <w:autoSpaceDE w:val="0"/>
              <w:autoSpaceDN w:val="0"/>
              <w:adjustRightInd w:val="0"/>
              <w:rPr>
                <w:sz w:val="22"/>
                <w:szCs w:val="22"/>
                <w:lang w:val="sr-Latn-ME"/>
              </w:rPr>
            </w:pPr>
          </w:p>
        </w:tc>
      </w:tr>
      <w:tr w:rsidR="002C1631" w:rsidRPr="00AD3B49" w:rsidTr="00C86F3F">
        <w:tc>
          <w:tcPr>
            <w:tcW w:w="5637"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 xml:space="preserve">Održani odgovor </w:t>
            </w:r>
          </w:p>
        </w:tc>
        <w:tc>
          <w:tcPr>
            <w:tcW w:w="1559"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12</w:t>
            </w:r>
            <w:r w:rsidR="003A3541" w:rsidRPr="00AD3B49">
              <w:rPr>
                <w:sz w:val="22"/>
                <w:szCs w:val="22"/>
                <w:lang w:val="sr-Latn-ME"/>
              </w:rPr>
              <w:t>%</w:t>
            </w:r>
          </w:p>
        </w:tc>
        <w:tc>
          <w:tcPr>
            <w:tcW w:w="2084"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24%**</w:t>
            </w:r>
          </w:p>
        </w:tc>
      </w:tr>
      <w:tr w:rsidR="002C1631" w:rsidRPr="00AD3B49" w:rsidTr="00C86F3F">
        <w:tc>
          <w:tcPr>
            <w:tcW w:w="5637"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 xml:space="preserve">Održana remisija </w:t>
            </w:r>
          </w:p>
        </w:tc>
        <w:tc>
          <w:tcPr>
            <w:tcW w:w="1559"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4</w:t>
            </w:r>
            <w:r w:rsidR="003A3541" w:rsidRPr="00AD3B49">
              <w:rPr>
                <w:sz w:val="22"/>
                <w:szCs w:val="22"/>
                <w:lang w:val="sr-Latn-ME"/>
              </w:rPr>
              <w:t>%</w:t>
            </w:r>
          </w:p>
        </w:tc>
        <w:tc>
          <w:tcPr>
            <w:tcW w:w="2084"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8%*</w:t>
            </w:r>
          </w:p>
        </w:tc>
      </w:tr>
      <w:tr w:rsidR="002C1631" w:rsidRPr="00AD3B49" w:rsidTr="00C86F3F">
        <w:tc>
          <w:tcPr>
            <w:tcW w:w="5637" w:type="dxa"/>
            <w:shd w:val="clear" w:color="auto" w:fill="auto"/>
          </w:tcPr>
          <w:p w:rsidR="002C1631" w:rsidRPr="00AD3B49" w:rsidRDefault="00D930DB" w:rsidP="00C86F3F">
            <w:pPr>
              <w:autoSpaceDE w:val="0"/>
              <w:autoSpaceDN w:val="0"/>
              <w:adjustRightInd w:val="0"/>
              <w:rPr>
                <w:sz w:val="22"/>
                <w:szCs w:val="22"/>
                <w:lang w:val="sr-Latn-ME"/>
              </w:rPr>
            </w:pPr>
            <w:r w:rsidRPr="00AD3B49">
              <w:rPr>
                <w:sz w:val="22"/>
                <w:szCs w:val="22"/>
                <w:lang w:val="sr-Latn-ME"/>
              </w:rPr>
              <w:t xml:space="preserve">Održano zarastanje </w:t>
            </w:r>
            <w:r w:rsidR="002C1631" w:rsidRPr="00AD3B49">
              <w:rPr>
                <w:sz w:val="22"/>
                <w:szCs w:val="22"/>
                <w:lang w:val="sr-Latn-ME"/>
              </w:rPr>
              <w:t xml:space="preserve">sluznice </w:t>
            </w:r>
          </w:p>
        </w:tc>
        <w:tc>
          <w:tcPr>
            <w:tcW w:w="1559"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11</w:t>
            </w:r>
            <w:r w:rsidR="003A3541" w:rsidRPr="00AD3B49">
              <w:rPr>
                <w:sz w:val="22"/>
                <w:szCs w:val="22"/>
                <w:lang w:val="sr-Latn-ME"/>
              </w:rPr>
              <w:t>%</w:t>
            </w:r>
          </w:p>
        </w:tc>
        <w:tc>
          <w:tcPr>
            <w:tcW w:w="2084" w:type="dxa"/>
            <w:shd w:val="clear" w:color="auto" w:fill="auto"/>
          </w:tcPr>
          <w:p w:rsidR="002C1631" w:rsidRPr="00AD3B49" w:rsidRDefault="002C1631" w:rsidP="00C86F3F">
            <w:pPr>
              <w:autoSpaceDE w:val="0"/>
              <w:autoSpaceDN w:val="0"/>
              <w:adjustRightInd w:val="0"/>
              <w:rPr>
                <w:sz w:val="22"/>
                <w:szCs w:val="22"/>
                <w:lang w:val="sr-Latn-ME"/>
              </w:rPr>
            </w:pPr>
            <w:r w:rsidRPr="00AD3B49">
              <w:rPr>
                <w:sz w:val="22"/>
                <w:szCs w:val="22"/>
                <w:lang w:val="sr-Latn-ME"/>
              </w:rPr>
              <w:t>19%*</w:t>
            </w:r>
          </w:p>
        </w:tc>
      </w:tr>
    </w:tbl>
    <w:p w:rsidR="002C1631" w:rsidRPr="00634F67" w:rsidRDefault="002C1631" w:rsidP="002C1631">
      <w:pPr>
        <w:autoSpaceDE w:val="0"/>
        <w:autoSpaceDN w:val="0"/>
        <w:adjustRightInd w:val="0"/>
        <w:rPr>
          <w:sz w:val="20"/>
          <w:szCs w:val="20"/>
          <w:lang w:val="sr-Latn-ME"/>
        </w:rPr>
      </w:pPr>
      <w:r w:rsidRPr="00634F67">
        <w:rPr>
          <w:sz w:val="20"/>
          <w:szCs w:val="20"/>
          <w:lang w:val="sr-Latn-ME"/>
        </w:rPr>
        <w:t>Klinička remisija je Mayo zbir ≤ 2 bez podzbira &gt; 1;</w:t>
      </w:r>
    </w:p>
    <w:p w:rsidR="002C1631" w:rsidRPr="00634F67" w:rsidRDefault="002C1631" w:rsidP="002C1631">
      <w:pPr>
        <w:autoSpaceDE w:val="0"/>
        <w:autoSpaceDN w:val="0"/>
        <w:adjustRightInd w:val="0"/>
        <w:rPr>
          <w:sz w:val="20"/>
          <w:szCs w:val="20"/>
          <w:lang w:val="sr-Latn-ME"/>
        </w:rPr>
      </w:pPr>
      <w:r w:rsidRPr="00634F67">
        <w:rPr>
          <w:sz w:val="20"/>
          <w:szCs w:val="20"/>
          <w:lang w:val="sr-Latn-ME"/>
        </w:rPr>
        <w:lastRenderedPageBreak/>
        <w:t xml:space="preserve">*p&lt;0,05 za poređenje </w:t>
      </w:r>
      <w:r w:rsidR="00C477C3" w:rsidRPr="00634F67">
        <w:rPr>
          <w:sz w:val="20"/>
          <w:szCs w:val="20"/>
          <w:lang w:val="sr-Latn-ME"/>
        </w:rPr>
        <w:t>odnosa</w:t>
      </w:r>
      <w:r w:rsidRPr="00634F67">
        <w:rPr>
          <w:sz w:val="20"/>
          <w:szCs w:val="20"/>
          <w:lang w:val="sr-Latn-ME"/>
        </w:rPr>
        <w:t xml:space="preserve"> </w:t>
      </w:r>
      <w:r w:rsidR="0082613A" w:rsidRPr="00634F67">
        <w:rPr>
          <w:sz w:val="20"/>
          <w:szCs w:val="20"/>
          <w:lang w:val="sr-Latn-ME"/>
        </w:rPr>
        <w:t xml:space="preserve">lijeka </w:t>
      </w:r>
      <w:r w:rsidRPr="00634F67">
        <w:rPr>
          <w:sz w:val="20"/>
          <w:szCs w:val="20"/>
          <w:lang w:val="sr-Latn-ME"/>
        </w:rPr>
        <w:t>Humir</w:t>
      </w:r>
      <w:r w:rsidR="0082613A" w:rsidRPr="00634F67">
        <w:rPr>
          <w:sz w:val="20"/>
          <w:szCs w:val="20"/>
          <w:lang w:val="sr-Latn-ME"/>
        </w:rPr>
        <w:t>a</w:t>
      </w:r>
      <w:r w:rsidRPr="00634F67">
        <w:rPr>
          <w:sz w:val="20"/>
          <w:szCs w:val="20"/>
          <w:lang w:val="sr-Latn-ME"/>
        </w:rPr>
        <w:t xml:space="preserve"> i placeba u parovima </w:t>
      </w:r>
    </w:p>
    <w:p w:rsidR="00E361D6" w:rsidRPr="00634F67" w:rsidRDefault="002C1631" w:rsidP="00C477C3">
      <w:pPr>
        <w:autoSpaceDE w:val="0"/>
        <w:autoSpaceDN w:val="0"/>
        <w:adjustRightInd w:val="0"/>
        <w:rPr>
          <w:sz w:val="20"/>
          <w:szCs w:val="20"/>
          <w:lang w:val="sr-Latn-ME"/>
        </w:rPr>
      </w:pPr>
      <w:r w:rsidRPr="00634F67">
        <w:rPr>
          <w:sz w:val="20"/>
          <w:szCs w:val="20"/>
          <w:lang w:val="sr-Latn-ME"/>
        </w:rPr>
        <w:t xml:space="preserve">**p&lt;0,001 za poređenje </w:t>
      </w:r>
      <w:r w:rsidR="00C477C3" w:rsidRPr="00634F67">
        <w:rPr>
          <w:sz w:val="20"/>
          <w:szCs w:val="20"/>
          <w:lang w:val="sr-Latn-ME"/>
        </w:rPr>
        <w:t xml:space="preserve"> odnosa</w:t>
      </w:r>
      <w:r w:rsidRPr="00634F67">
        <w:rPr>
          <w:sz w:val="20"/>
          <w:szCs w:val="20"/>
          <w:lang w:val="sr-Latn-ME"/>
        </w:rPr>
        <w:t xml:space="preserve"> </w:t>
      </w:r>
      <w:r w:rsidR="00B90FA9" w:rsidRPr="00634F67">
        <w:rPr>
          <w:sz w:val="20"/>
          <w:szCs w:val="20"/>
          <w:lang w:val="sr-Latn-ME"/>
        </w:rPr>
        <w:t xml:space="preserve"> </w:t>
      </w:r>
      <w:r w:rsidR="0082613A" w:rsidRPr="00634F67">
        <w:rPr>
          <w:sz w:val="20"/>
          <w:szCs w:val="20"/>
          <w:lang w:val="sr-Latn-ME"/>
        </w:rPr>
        <w:t xml:space="preserve">lijeka </w:t>
      </w:r>
      <w:r w:rsidRPr="00634F67">
        <w:rPr>
          <w:sz w:val="20"/>
          <w:szCs w:val="20"/>
          <w:lang w:val="sr-Latn-ME"/>
        </w:rPr>
        <w:t>Humir</w:t>
      </w:r>
      <w:r w:rsidR="0082613A" w:rsidRPr="00634F67">
        <w:rPr>
          <w:sz w:val="20"/>
          <w:szCs w:val="20"/>
          <w:lang w:val="sr-Latn-ME"/>
        </w:rPr>
        <w:t>a</w:t>
      </w:r>
      <w:r w:rsidRPr="00634F67">
        <w:rPr>
          <w:sz w:val="20"/>
          <w:szCs w:val="20"/>
          <w:lang w:val="sr-Latn-ME"/>
        </w:rPr>
        <w:t xml:space="preserve"> i placeba u parovima</w:t>
      </w:r>
      <w:r w:rsidR="00C477C3" w:rsidRPr="00634F67">
        <w:rPr>
          <w:sz w:val="20"/>
          <w:szCs w:val="20"/>
          <w:lang w:val="sr-Latn-ME"/>
        </w:rPr>
        <w:t xml:space="preserve"> </w:t>
      </w:r>
    </w:p>
    <w:p w:rsidR="002C1631" w:rsidRPr="00634F67" w:rsidRDefault="002C1631" w:rsidP="00C477C3">
      <w:pPr>
        <w:autoSpaceDE w:val="0"/>
        <w:autoSpaceDN w:val="0"/>
        <w:adjustRightInd w:val="0"/>
        <w:rPr>
          <w:sz w:val="20"/>
          <w:szCs w:val="20"/>
          <w:lang w:val="sr-Latn-ME"/>
        </w:rPr>
      </w:pPr>
      <w:r w:rsidRPr="00634F67">
        <w:rPr>
          <w:sz w:val="20"/>
          <w:szCs w:val="20"/>
          <w:vertAlign w:val="superscript"/>
          <w:lang w:val="sr-Latn-ME"/>
        </w:rPr>
        <w:t>a</w:t>
      </w:r>
      <w:r w:rsidRPr="00634F67">
        <w:rPr>
          <w:sz w:val="20"/>
          <w:szCs w:val="20"/>
          <w:lang w:val="sr-Latn-ME"/>
        </w:rPr>
        <w:t xml:space="preserve"> od onih koji su na početku uzimali kortikosteroide</w:t>
      </w:r>
    </w:p>
    <w:p w:rsidR="002C1631" w:rsidRPr="00AD3B49" w:rsidRDefault="002C1631" w:rsidP="002C1631">
      <w:pPr>
        <w:pStyle w:val="Default"/>
        <w:jc w:val="both"/>
        <w:rPr>
          <w:rFonts w:ascii="Times New Roman" w:hAnsi="Times New Roman" w:cs="Times New Roman"/>
          <w:color w:val="auto"/>
          <w:lang w:val="sr-Latn-ME"/>
        </w:rPr>
      </w:pPr>
    </w:p>
    <w:p w:rsidR="002C1631" w:rsidRPr="00AD3B49" w:rsidRDefault="002C1631"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Kod oko 40% </w:t>
      </w:r>
      <w:r w:rsidR="00FC6077" w:rsidRPr="00AD3B49">
        <w:rPr>
          <w:rFonts w:ascii="Times New Roman" w:hAnsi="Times New Roman" w:cs="Times New Roman"/>
          <w:color w:val="auto"/>
          <w:sz w:val="22"/>
          <w:szCs w:val="22"/>
          <w:lang w:val="sr-Latn-ME"/>
        </w:rPr>
        <w:t>pacijenata</w:t>
      </w:r>
      <w:r w:rsidRPr="00AD3B49">
        <w:rPr>
          <w:rFonts w:ascii="Times New Roman" w:hAnsi="Times New Roman" w:cs="Times New Roman"/>
          <w:color w:val="auto"/>
          <w:sz w:val="22"/>
          <w:szCs w:val="22"/>
          <w:lang w:val="sr-Latn-ME"/>
        </w:rPr>
        <w:t xml:space="preserve"> u UC-II ispitivanju prethodna anti-TNF terapija infliksimabom nije bila uspješna. </w:t>
      </w:r>
      <w:r w:rsidR="00B90FA9" w:rsidRPr="00AD3B49">
        <w:rPr>
          <w:rFonts w:ascii="Times New Roman" w:hAnsi="Times New Roman" w:cs="Times New Roman"/>
          <w:color w:val="auto"/>
          <w:sz w:val="22"/>
          <w:szCs w:val="22"/>
          <w:lang w:val="sr-Latn-ME"/>
        </w:rPr>
        <w:t>Efikasnost</w:t>
      </w:r>
      <w:r w:rsidRPr="00AD3B49">
        <w:rPr>
          <w:rFonts w:ascii="Times New Roman" w:hAnsi="Times New Roman" w:cs="Times New Roman"/>
          <w:color w:val="auto"/>
          <w:sz w:val="22"/>
          <w:szCs w:val="22"/>
          <w:lang w:val="sr-Latn-ME"/>
        </w:rPr>
        <w:t xml:space="preserve"> adalimumaba kod ovih </w:t>
      </w:r>
      <w:r w:rsidR="00FC6077" w:rsidRPr="00AD3B49">
        <w:rPr>
          <w:rFonts w:ascii="Times New Roman" w:hAnsi="Times New Roman" w:cs="Times New Roman"/>
          <w:color w:val="auto"/>
          <w:sz w:val="22"/>
          <w:szCs w:val="22"/>
          <w:lang w:val="sr-Latn-ME"/>
        </w:rPr>
        <w:t>pacijenata</w:t>
      </w:r>
      <w:r w:rsidRPr="00AD3B49">
        <w:rPr>
          <w:rFonts w:ascii="Times New Roman" w:hAnsi="Times New Roman" w:cs="Times New Roman"/>
          <w:color w:val="auto"/>
          <w:sz w:val="22"/>
          <w:szCs w:val="22"/>
          <w:lang w:val="sr-Latn-ME"/>
        </w:rPr>
        <w:t xml:space="preserve"> je bila manja u poređenju sa </w:t>
      </w:r>
      <w:r w:rsidR="00FC6077" w:rsidRPr="00AD3B49">
        <w:rPr>
          <w:rFonts w:ascii="Times New Roman" w:hAnsi="Times New Roman" w:cs="Times New Roman"/>
          <w:color w:val="auto"/>
          <w:sz w:val="22"/>
          <w:szCs w:val="22"/>
          <w:lang w:val="sr-Latn-ME"/>
        </w:rPr>
        <w:t>pacijentima</w:t>
      </w:r>
      <w:r w:rsidRPr="00AD3B49">
        <w:rPr>
          <w:rFonts w:ascii="Times New Roman" w:hAnsi="Times New Roman" w:cs="Times New Roman"/>
          <w:color w:val="auto"/>
          <w:sz w:val="22"/>
          <w:szCs w:val="22"/>
          <w:lang w:val="sr-Latn-ME"/>
        </w:rPr>
        <w:t xml:space="preserve"> koji nikada nisu primali anti-TNF terapiju. Među </w:t>
      </w:r>
      <w:r w:rsidR="00FC6077" w:rsidRPr="00AD3B49">
        <w:rPr>
          <w:rFonts w:ascii="Times New Roman" w:hAnsi="Times New Roman" w:cs="Times New Roman"/>
          <w:color w:val="auto"/>
          <w:sz w:val="22"/>
          <w:szCs w:val="22"/>
          <w:lang w:val="sr-Latn-ME"/>
        </w:rPr>
        <w:t>pacijentima</w:t>
      </w:r>
      <w:r w:rsidRPr="00AD3B49">
        <w:rPr>
          <w:rFonts w:ascii="Times New Roman" w:hAnsi="Times New Roman" w:cs="Times New Roman"/>
          <w:color w:val="auto"/>
          <w:sz w:val="22"/>
          <w:szCs w:val="22"/>
          <w:lang w:val="sr-Latn-ME"/>
        </w:rPr>
        <w:t xml:space="preserve"> kod kojih prethodna anti-TNF terapija nije bila uspješna, remisiju u 52</w:t>
      </w:r>
      <w:r w:rsidR="005750DB" w:rsidRPr="00AD3B49">
        <w:rPr>
          <w:rFonts w:ascii="Times New Roman" w:hAnsi="Times New Roman" w:cs="Times New Roman"/>
          <w:color w:val="auto"/>
          <w:sz w:val="22"/>
          <w:szCs w:val="22"/>
          <w:lang w:val="sr-Latn-ME"/>
        </w:rPr>
        <w:t>.</w:t>
      </w:r>
      <w:r w:rsidRPr="00AD3B49">
        <w:rPr>
          <w:rFonts w:ascii="Times New Roman" w:hAnsi="Times New Roman" w:cs="Times New Roman"/>
          <w:color w:val="auto"/>
          <w:sz w:val="22"/>
          <w:szCs w:val="22"/>
          <w:lang w:val="sr-Latn-ME"/>
        </w:rPr>
        <w:t xml:space="preserve"> </w:t>
      </w:r>
      <w:r w:rsidR="000B016F" w:rsidRPr="00AD3B49">
        <w:rPr>
          <w:rFonts w:ascii="Times New Roman" w:hAnsi="Times New Roman" w:cs="Times New Roman"/>
          <w:color w:val="auto"/>
          <w:sz w:val="22"/>
          <w:szCs w:val="22"/>
          <w:lang w:val="sr-Latn-ME"/>
        </w:rPr>
        <w:t>nedjelji</w:t>
      </w:r>
      <w:r w:rsidRPr="00AD3B49">
        <w:rPr>
          <w:rFonts w:ascii="Times New Roman" w:hAnsi="Times New Roman" w:cs="Times New Roman"/>
          <w:color w:val="auto"/>
          <w:sz w:val="22"/>
          <w:szCs w:val="22"/>
          <w:lang w:val="sr-Latn-ME"/>
        </w:rPr>
        <w:t xml:space="preserve"> je ostvarilo 3% onih koji su primali placebo, a 10% onih na adalimumabu.</w:t>
      </w:r>
    </w:p>
    <w:p w:rsidR="002C1631" w:rsidRPr="00AD3B49" w:rsidRDefault="002C1631" w:rsidP="002C1631">
      <w:pPr>
        <w:pStyle w:val="Default"/>
        <w:jc w:val="both"/>
        <w:rPr>
          <w:rFonts w:ascii="Times New Roman" w:hAnsi="Times New Roman" w:cs="Times New Roman"/>
          <w:color w:val="auto"/>
          <w:sz w:val="22"/>
          <w:szCs w:val="22"/>
          <w:lang w:val="sr-Latn-ME"/>
        </w:rPr>
      </w:pPr>
    </w:p>
    <w:p w:rsidR="002C1631" w:rsidRPr="00AD3B49" w:rsidRDefault="00FC6077"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Pacijenti</w:t>
      </w:r>
      <w:r w:rsidR="002C1631" w:rsidRPr="00AD3B49">
        <w:rPr>
          <w:rFonts w:ascii="Times New Roman" w:hAnsi="Times New Roman" w:cs="Times New Roman"/>
          <w:color w:val="auto"/>
          <w:sz w:val="22"/>
          <w:szCs w:val="22"/>
          <w:lang w:val="sr-Latn-ME"/>
        </w:rPr>
        <w:t xml:space="preserve"> iz UC I i II ispitivanja su imali mogućnost da se uključe u otvoreno dugoročno produženo ispitivanje. </w:t>
      </w:r>
      <w:r w:rsidRPr="00AD3B49">
        <w:rPr>
          <w:rFonts w:ascii="Times New Roman" w:hAnsi="Times New Roman" w:cs="Times New Roman"/>
          <w:color w:val="auto"/>
          <w:sz w:val="22"/>
          <w:szCs w:val="22"/>
          <w:lang w:val="sr-Latn-ME"/>
        </w:rPr>
        <w:t>Pacijenti</w:t>
      </w:r>
      <w:r w:rsidR="002C1631" w:rsidRPr="00AD3B49">
        <w:rPr>
          <w:rFonts w:ascii="Times New Roman" w:hAnsi="Times New Roman" w:cs="Times New Roman"/>
          <w:color w:val="auto"/>
          <w:sz w:val="22"/>
          <w:szCs w:val="22"/>
          <w:lang w:val="sr-Latn-ME"/>
        </w:rPr>
        <w:t xml:space="preserve">, kod kojih je terapijski odgovor nestao nakon jedne godine liječenja ili nakon toga, su mogli imati koristi od povećanja učestalosti doziranja na 40 mg </w:t>
      </w:r>
      <w:r w:rsidRPr="00AD3B49">
        <w:rPr>
          <w:rFonts w:ascii="Times New Roman" w:hAnsi="Times New Roman" w:cs="Times New Roman"/>
          <w:color w:val="auto"/>
          <w:sz w:val="22"/>
          <w:szCs w:val="22"/>
          <w:lang w:val="sr-Latn-ME"/>
        </w:rPr>
        <w:t>ned</w:t>
      </w:r>
      <w:r w:rsidR="00B90FA9" w:rsidRPr="00AD3B49">
        <w:rPr>
          <w:rFonts w:ascii="Times New Roman" w:hAnsi="Times New Roman" w:cs="Times New Roman"/>
          <w:color w:val="auto"/>
          <w:sz w:val="22"/>
          <w:szCs w:val="22"/>
          <w:lang w:val="sr-Latn-ME"/>
        </w:rPr>
        <w:t>j</w:t>
      </w:r>
      <w:r w:rsidRPr="00AD3B49">
        <w:rPr>
          <w:rFonts w:ascii="Times New Roman" w:hAnsi="Times New Roman" w:cs="Times New Roman"/>
          <w:color w:val="auto"/>
          <w:sz w:val="22"/>
          <w:szCs w:val="22"/>
          <w:lang w:val="sr-Latn-ME"/>
        </w:rPr>
        <w:t>eljno (vidjeti od</w:t>
      </w:r>
      <w:r w:rsidR="00D930DB" w:rsidRPr="00AD3B49">
        <w:rPr>
          <w:rFonts w:ascii="Times New Roman" w:hAnsi="Times New Roman" w:cs="Times New Roman"/>
          <w:color w:val="auto"/>
          <w:sz w:val="22"/>
          <w:szCs w:val="22"/>
          <w:lang w:val="sr-Latn-ME"/>
        </w:rPr>
        <w:t>j</w:t>
      </w:r>
      <w:r w:rsidRPr="00AD3B49">
        <w:rPr>
          <w:rFonts w:ascii="Times New Roman" w:hAnsi="Times New Roman" w:cs="Times New Roman"/>
          <w:color w:val="auto"/>
          <w:sz w:val="22"/>
          <w:szCs w:val="22"/>
          <w:lang w:val="sr-Latn-ME"/>
        </w:rPr>
        <w:t>eljak</w:t>
      </w:r>
      <w:r w:rsidR="002C1631" w:rsidRPr="00AD3B49">
        <w:rPr>
          <w:rFonts w:ascii="Times New Roman" w:hAnsi="Times New Roman" w:cs="Times New Roman"/>
          <w:color w:val="auto"/>
          <w:sz w:val="22"/>
          <w:szCs w:val="22"/>
          <w:lang w:val="sr-Latn-ME"/>
        </w:rPr>
        <w:t xml:space="preserve"> 4.2). </w:t>
      </w:r>
    </w:p>
    <w:p w:rsidR="002C1631" w:rsidRPr="00AD3B49" w:rsidRDefault="002C1631" w:rsidP="002C1631">
      <w:pPr>
        <w:pStyle w:val="Default"/>
        <w:jc w:val="both"/>
        <w:rPr>
          <w:rFonts w:ascii="Times New Roman" w:hAnsi="Times New Roman" w:cs="Times New Roman"/>
          <w:color w:val="auto"/>
          <w:sz w:val="22"/>
          <w:szCs w:val="22"/>
          <w:lang w:val="sr-Latn-ME"/>
        </w:rPr>
      </w:pPr>
    </w:p>
    <w:p w:rsidR="002C1631" w:rsidRPr="00AD3B49" w:rsidRDefault="002C1631" w:rsidP="002C1631">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Imunogenost</w:t>
      </w:r>
    </w:p>
    <w:p w:rsidR="002C1631" w:rsidRPr="00AD3B49" w:rsidRDefault="002C1631"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Stvaranje anti-adalimumab antitijela povezano je s bržim uklanjanjem</w:t>
      </w:r>
      <w:r w:rsidR="00D930DB" w:rsidRPr="00AD3B49">
        <w:rPr>
          <w:rFonts w:ascii="Times New Roman" w:hAnsi="Times New Roman" w:cs="Times New Roman"/>
          <w:color w:val="auto"/>
          <w:sz w:val="22"/>
          <w:szCs w:val="22"/>
          <w:lang w:val="sr-Latn-ME"/>
        </w:rPr>
        <w:t xml:space="preserve"> i slabijim </w:t>
      </w:r>
      <w:r w:rsidR="000072C0" w:rsidRPr="00AD3B49">
        <w:rPr>
          <w:rFonts w:ascii="Times New Roman" w:hAnsi="Times New Roman" w:cs="Times New Roman"/>
          <w:color w:val="auto"/>
          <w:sz w:val="22"/>
          <w:szCs w:val="22"/>
          <w:lang w:val="sr-Latn-ME"/>
        </w:rPr>
        <w:t xml:space="preserve">terapijskim </w:t>
      </w:r>
      <w:r w:rsidR="00D930DB" w:rsidRPr="00AD3B49">
        <w:rPr>
          <w:rFonts w:ascii="Times New Roman" w:hAnsi="Times New Roman" w:cs="Times New Roman"/>
          <w:color w:val="auto"/>
          <w:sz w:val="22"/>
          <w:szCs w:val="22"/>
          <w:lang w:val="sr-Latn-ME"/>
        </w:rPr>
        <w:t>efektom</w:t>
      </w:r>
      <w:r w:rsidRPr="00AD3B49">
        <w:rPr>
          <w:rFonts w:ascii="Times New Roman" w:hAnsi="Times New Roman" w:cs="Times New Roman"/>
          <w:color w:val="auto"/>
          <w:sz w:val="22"/>
          <w:szCs w:val="22"/>
          <w:lang w:val="sr-Latn-ME"/>
        </w:rPr>
        <w:t xml:space="preserve"> adalimumaba. Prisutnost antitijela na adalimumab nije povezana sa stopom pojav</w:t>
      </w:r>
      <w:r w:rsidR="00FC6077" w:rsidRPr="00AD3B49">
        <w:rPr>
          <w:rFonts w:ascii="Times New Roman" w:hAnsi="Times New Roman" w:cs="Times New Roman"/>
          <w:color w:val="auto"/>
          <w:sz w:val="22"/>
          <w:szCs w:val="22"/>
          <w:lang w:val="sr-Latn-ME"/>
        </w:rPr>
        <w:t>e neželjenih dejstava</w:t>
      </w:r>
      <w:r w:rsidRPr="00AD3B49">
        <w:rPr>
          <w:rFonts w:ascii="Times New Roman" w:hAnsi="Times New Roman" w:cs="Times New Roman"/>
          <w:color w:val="auto"/>
          <w:sz w:val="22"/>
          <w:szCs w:val="22"/>
          <w:lang w:val="sr-Latn-ME"/>
        </w:rPr>
        <w:t>.</w:t>
      </w:r>
    </w:p>
    <w:p w:rsidR="002C1631" w:rsidRPr="00AD3B49" w:rsidRDefault="002C1631" w:rsidP="002C1631">
      <w:pPr>
        <w:pStyle w:val="Default"/>
        <w:jc w:val="both"/>
        <w:rPr>
          <w:rFonts w:ascii="Times New Roman" w:hAnsi="Times New Roman" w:cs="Times New Roman"/>
          <w:color w:val="auto"/>
          <w:sz w:val="22"/>
          <w:szCs w:val="22"/>
          <w:lang w:val="sr-Latn-ME"/>
        </w:rPr>
      </w:pPr>
    </w:p>
    <w:p w:rsidR="002C1631" w:rsidRPr="00AD3B49" w:rsidRDefault="00FC6077"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Kod pacijenata</w:t>
      </w:r>
      <w:r w:rsidR="002C1631" w:rsidRPr="00AD3B49">
        <w:rPr>
          <w:rFonts w:ascii="Times New Roman" w:hAnsi="Times New Roman" w:cs="Times New Roman"/>
          <w:color w:val="auto"/>
          <w:sz w:val="22"/>
          <w:szCs w:val="22"/>
          <w:lang w:val="sr-Latn-ME"/>
        </w:rPr>
        <w:t xml:space="preserve"> u Ispitivanjima RA I, II i III između 6. i 12. mjeseca terapije u više navrata vršene su pretrage kako bi se utvrdila prisutnost anti-adalimu</w:t>
      </w:r>
      <w:r w:rsidR="00D930DB" w:rsidRPr="00AD3B49">
        <w:rPr>
          <w:rFonts w:ascii="Times New Roman" w:hAnsi="Times New Roman" w:cs="Times New Roman"/>
          <w:color w:val="auto"/>
          <w:sz w:val="22"/>
          <w:szCs w:val="22"/>
          <w:lang w:val="sr-Latn-ME"/>
        </w:rPr>
        <w:t>mab antitijela. U pivotalnim</w:t>
      </w:r>
      <w:r w:rsidR="002C1631" w:rsidRPr="00AD3B49">
        <w:rPr>
          <w:rFonts w:ascii="Times New Roman" w:hAnsi="Times New Roman" w:cs="Times New Roman"/>
          <w:color w:val="auto"/>
          <w:sz w:val="22"/>
          <w:szCs w:val="22"/>
          <w:lang w:val="sr-Latn-ME"/>
        </w:rPr>
        <w:t xml:space="preserve"> kliničkim ispitivanjima anti-adalimumab antitijela nađena su u 58 od 1053 </w:t>
      </w:r>
      <w:r w:rsidRPr="00AD3B49">
        <w:rPr>
          <w:rFonts w:ascii="Times New Roman" w:hAnsi="Times New Roman" w:cs="Times New Roman"/>
          <w:color w:val="auto"/>
          <w:sz w:val="22"/>
          <w:szCs w:val="22"/>
          <w:lang w:val="sr-Latn-ME"/>
        </w:rPr>
        <w:t>pacijenata</w:t>
      </w:r>
      <w:r w:rsidR="002C1631" w:rsidRPr="00AD3B49">
        <w:rPr>
          <w:rFonts w:ascii="Times New Roman" w:hAnsi="Times New Roman" w:cs="Times New Roman"/>
          <w:color w:val="auto"/>
          <w:sz w:val="22"/>
          <w:szCs w:val="22"/>
          <w:lang w:val="sr-Latn-ME"/>
        </w:rPr>
        <w:t xml:space="preserve"> (5,5%) koji su</w:t>
      </w:r>
      <w:r w:rsidR="002C1631" w:rsidRPr="00AD3B49">
        <w:rPr>
          <w:rFonts w:ascii="Times New Roman" w:hAnsi="Times New Roman" w:cs="Times New Roman"/>
          <w:color w:val="auto"/>
          <w:lang w:val="sr-Latn-ME"/>
        </w:rPr>
        <w:t xml:space="preserve"> </w:t>
      </w:r>
      <w:r w:rsidR="002C1631" w:rsidRPr="00AD3B49">
        <w:rPr>
          <w:rFonts w:ascii="Times New Roman" w:hAnsi="Times New Roman" w:cs="Times New Roman"/>
          <w:color w:val="auto"/>
          <w:sz w:val="22"/>
          <w:szCs w:val="22"/>
          <w:lang w:val="sr-Latn-ME"/>
        </w:rPr>
        <w:t xml:space="preserve">uzimali adalimumab, u odnosu na 2 </w:t>
      </w:r>
      <w:r w:rsidRPr="00AD3B49">
        <w:rPr>
          <w:rFonts w:ascii="Times New Roman" w:hAnsi="Times New Roman" w:cs="Times New Roman"/>
          <w:color w:val="auto"/>
          <w:sz w:val="22"/>
          <w:szCs w:val="22"/>
          <w:lang w:val="sr-Latn-ME"/>
        </w:rPr>
        <w:t>pacijenta</w:t>
      </w:r>
      <w:r w:rsidR="002C1631" w:rsidRPr="00AD3B49">
        <w:rPr>
          <w:rFonts w:ascii="Times New Roman" w:hAnsi="Times New Roman" w:cs="Times New Roman"/>
          <w:color w:val="auto"/>
          <w:sz w:val="22"/>
          <w:szCs w:val="22"/>
          <w:lang w:val="sr-Latn-ME"/>
        </w:rPr>
        <w:t xml:space="preserve"> od 370 (0,5%) koji su uzimali placebo. </w:t>
      </w:r>
      <w:r w:rsidRPr="00AD3B49">
        <w:rPr>
          <w:rFonts w:ascii="Times New Roman" w:hAnsi="Times New Roman" w:cs="Times New Roman"/>
          <w:color w:val="auto"/>
          <w:sz w:val="22"/>
          <w:szCs w:val="22"/>
          <w:lang w:val="sr-Latn-ME"/>
        </w:rPr>
        <w:t>Kod pacijenata</w:t>
      </w:r>
      <w:r w:rsidR="002C1631" w:rsidRPr="00AD3B49">
        <w:rPr>
          <w:rFonts w:ascii="Times New Roman" w:hAnsi="Times New Roman" w:cs="Times New Roman"/>
          <w:color w:val="auto"/>
          <w:sz w:val="22"/>
          <w:szCs w:val="22"/>
          <w:lang w:val="sr-Latn-ME"/>
        </w:rPr>
        <w:t xml:space="preserve"> koji istovremeno ni</w:t>
      </w:r>
      <w:r w:rsidRPr="00AD3B49">
        <w:rPr>
          <w:rFonts w:ascii="Times New Roman" w:hAnsi="Times New Roman" w:cs="Times New Roman"/>
          <w:color w:val="auto"/>
          <w:sz w:val="22"/>
          <w:szCs w:val="22"/>
          <w:lang w:val="sr-Latn-ME"/>
        </w:rPr>
        <w:t>su primali metotreksat pojava</w:t>
      </w:r>
      <w:r w:rsidR="002C1631" w:rsidRPr="00AD3B49">
        <w:rPr>
          <w:rFonts w:ascii="Times New Roman" w:hAnsi="Times New Roman" w:cs="Times New Roman"/>
          <w:color w:val="auto"/>
          <w:sz w:val="22"/>
          <w:szCs w:val="22"/>
          <w:lang w:val="sr-Latn-ME"/>
        </w:rPr>
        <w:t xml:space="preserve"> anti-adalimumab antitijela bila je 12,4% u odnosu na 0,6% u grupi </w:t>
      </w:r>
      <w:r w:rsidRPr="00AD3B49">
        <w:rPr>
          <w:rFonts w:ascii="Times New Roman" w:hAnsi="Times New Roman" w:cs="Times New Roman"/>
          <w:color w:val="auto"/>
          <w:sz w:val="22"/>
          <w:szCs w:val="22"/>
          <w:lang w:val="sr-Latn-ME"/>
        </w:rPr>
        <w:t>pacijenata</w:t>
      </w:r>
      <w:r w:rsidR="002C1631" w:rsidRPr="00AD3B49">
        <w:rPr>
          <w:rFonts w:ascii="Times New Roman" w:hAnsi="Times New Roman" w:cs="Times New Roman"/>
          <w:color w:val="auto"/>
          <w:sz w:val="22"/>
          <w:szCs w:val="22"/>
          <w:lang w:val="sr-Latn-ME"/>
        </w:rPr>
        <w:t xml:space="preserve"> koji su primali metotreksat uz adalimumab.</w:t>
      </w:r>
    </w:p>
    <w:p w:rsidR="002C1631" w:rsidRPr="00AD3B49" w:rsidRDefault="002C1631" w:rsidP="002C1631">
      <w:pPr>
        <w:pStyle w:val="Default"/>
        <w:jc w:val="both"/>
        <w:rPr>
          <w:rFonts w:ascii="Times New Roman" w:hAnsi="Times New Roman" w:cs="Times New Roman"/>
          <w:color w:val="auto"/>
          <w:sz w:val="22"/>
          <w:szCs w:val="22"/>
          <w:lang w:val="sr-Latn-ME"/>
        </w:rPr>
      </w:pPr>
    </w:p>
    <w:p w:rsidR="002C1631" w:rsidRPr="00AD3B49" w:rsidRDefault="00FC6077"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Kod pacijenata</w:t>
      </w:r>
      <w:r w:rsidR="002C1631" w:rsidRPr="00AD3B49">
        <w:rPr>
          <w:rFonts w:ascii="Times New Roman" w:hAnsi="Times New Roman" w:cs="Times New Roman"/>
          <w:color w:val="auto"/>
          <w:sz w:val="22"/>
          <w:szCs w:val="22"/>
          <w:lang w:val="sr-Latn-ME"/>
        </w:rPr>
        <w:t xml:space="preserve"> s poliartikularnim juvenilnim idiopatskim artritisom, anti-adalimumab antitijela su identi</w:t>
      </w:r>
      <w:r w:rsidR="00C71ACB" w:rsidRPr="00AD3B49">
        <w:rPr>
          <w:rFonts w:ascii="Times New Roman" w:hAnsi="Times New Roman" w:cs="Times New Roman"/>
          <w:color w:val="auto"/>
          <w:sz w:val="22"/>
          <w:szCs w:val="22"/>
          <w:lang w:val="sr-Latn-ME"/>
        </w:rPr>
        <w:t>fikovana</w:t>
      </w:r>
      <w:r w:rsidR="002C1631" w:rsidRPr="00AD3B49">
        <w:rPr>
          <w:rFonts w:ascii="Times New Roman" w:hAnsi="Times New Roman" w:cs="Times New Roman"/>
          <w:color w:val="auto"/>
          <w:sz w:val="22"/>
          <w:szCs w:val="22"/>
          <w:lang w:val="sr-Latn-ME"/>
        </w:rPr>
        <w:t xml:space="preserve"> </w:t>
      </w:r>
      <w:r w:rsidR="00C71ACB" w:rsidRPr="00AD3B49">
        <w:rPr>
          <w:rFonts w:ascii="Times New Roman" w:hAnsi="Times New Roman" w:cs="Times New Roman"/>
          <w:color w:val="auto"/>
          <w:sz w:val="22"/>
          <w:szCs w:val="22"/>
          <w:lang w:val="sr-Latn-ME"/>
        </w:rPr>
        <w:t>kod</w:t>
      </w:r>
      <w:r w:rsidR="002C1631" w:rsidRPr="00AD3B49">
        <w:rPr>
          <w:rFonts w:ascii="Times New Roman" w:hAnsi="Times New Roman" w:cs="Times New Roman"/>
          <w:color w:val="auto"/>
          <w:sz w:val="22"/>
          <w:szCs w:val="22"/>
          <w:lang w:val="sr-Latn-ME"/>
        </w:rPr>
        <w:t xml:space="preserve"> 27/171 </w:t>
      </w:r>
      <w:r w:rsidRPr="00AD3B49">
        <w:rPr>
          <w:rFonts w:ascii="Times New Roman" w:hAnsi="Times New Roman" w:cs="Times New Roman"/>
          <w:color w:val="auto"/>
          <w:sz w:val="22"/>
          <w:szCs w:val="22"/>
          <w:lang w:val="sr-Latn-ME"/>
        </w:rPr>
        <w:t>pacijenta</w:t>
      </w:r>
      <w:r w:rsidR="002C1631" w:rsidRPr="00AD3B49">
        <w:rPr>
          <w:rFonts w:ascii="Times New Roman" w:hAnsi="Times New Roman" w:cs="Times New Roman"/>
          <w:color w:val="auto"/>
          <w:sz w:val="22"/>
          <w:szCs w:val="22"/>
          <w:lang w:val="sr-Latn-ME"/>
        </w:rPr>
        <w:t xml:space="preserve"> (15,8%) liječenih adalimumabom. </w:t>
      </w:r>
      <w:r w:rsidRPr="00AD3B49">
        <w:rPr>
          <w:rFonts w:ascii="Times New Roman" w:hAnsi="Times New Roman" w:cs="Times New Roman"/>
          <w:color w:val="auto"/>
          <w:sz w:val="22"/>
          <w:szCs w:val="22"/>
          <w:lang w:val="sr-Latn-ME"/>
        </w:rPr>
        <w:t>Kod pacijenata</w:t>
      </w:r>
      <w:r w:rsidR="002C1631" w:rsidRPr="00AD3B49">
        <w:rPr>
          <w:rFonts w:ascii="Times New Roman" w:hAnsi="Times New Roman" w:cs="Times New Roman"/>
          <w:color w:val="auto"/>
          <w:sz w:val="22"/>
          <w:szCs w:val="22"/>
          <w:lang w:val="sr-Latn-ME"/>
        </w:rPr>
        <w:t xml:space="preserve"> koji nisu primili </w:t>
      </w:r>
      <w:r w:rsidR="00477ABF" w:rsidRPr="00AD3B49">
        <w:rPr>
          <w:rFonts w:ascii="Times New Roman" w:hAnsi="Times New Roman" w:cs="Times New Roman"/>
          <w:color w:val="auto"/>
          <w:sz w:val="22"/>
          <w:szCs w:val="22"/>
          <w:lang w:val="sr-Latn-ME"/>
        </w:rPr>
        <w:t xml:space="preserve">i </w:t>
      </w:r>
      <w:r w:rsidR="002C1631" w:rsidRPr="00AD3B49">
        <w:rPr>
          <w:rFonts w:ascii="Times New Roman" w:hAnsi="Times New Roman" w:cs="Times New Roman"/>
          <w:color w:val="auto"/>
          <w:sz w:val="22"/>
          <w:szCs w:val="22"/>
          <w:lang w:val="sr-Latn-ME"/>
        </w:rPr>
        <w:t xml:space="preserve">metotreksat incidencija antitijela bila je 22/86 (25,6%), u poređenju sa 5/85 (5,9%) </w:t>
      </w:r>
      <w:r w:rsidRPr="00AD3B49">
        <w:rPr>
          <w:rFonts w:ascii="Times New Roman" w:hAnsi="Times New Roman" w:cs="Times New Roman"/>
          <w:color w:val="auto"/>
          <w:sz w:val="22"/>
          <w:szCs w:val="22"/>
          <w:lang w:val="sr-Latn-ME"/>
        </w:rPr>
        <w:t>kod pacijenata</w:t>
      </w:r>
      <w:r w:rsidR="002C1631" w:rsidRPr="00AD3B49">
        <w:rPr>
          <w:rFonts w:ascii="Times New Roman" w:hAnsi="Times New Roman" w:cs="Times New Roman"/>
          <w:color w:val="auto"/>
          <w:sz w:val="22"/>
          <w:szCs w:val="22"/>
          <w:lang w:val="sr-Latn-ME"/>
        </w:rPr>
        <w:t xml:space="preserve"> koji su primali i metotreksat.</w:t>
      </w:r>
    </w:p>
    <w:p w:rsidR="002C1631" w:rsidRPr="00AD3B49" w:rsidRDefault="002C1631" w:rsidP="002C1631">
      <w:pPr>
        <w:pStyle w:val="Default"/>
        <w:jc w:val="both"/>
        <w:rPr>
          <w:rFonts w:ascii="Times New Roman" w:hAnsi="Times New Roman" w:cs="Times New Roman"/>
          <w:color w:val="auto"/>
          <w:sz w:val="22"/>
          <w:szCs w:val="22"/>
          <w:lang w:val="sr-Latn-ME"/>
        </w:rPr>
      </w:pPr>
    </w:p>
    <w:p w:rsidR="002C1631" w:rsidRPr="00AD3B49" w:rsidRDefault="00FC6077"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Kod pacijenata</w:t>
      </w:r>
      <w:r w:rsidR="002C1631" w:rsidRPr="00AD3B49">
        <w:rPr>
          <w:rFonts w:ascii="Times New Roman" w:hAnsi="Times New Roman" w:cs="Times New Roman"/>
          <w:color w:val="auto"/>
          <w:sz w:val="22"/>
          <w:szCs w:val="22"/>
          <w:lang w:val="sr-Latn-ME"/>
        </w:rPr>
        <w:t xml:space="preserve"> sa psorijatičnim artritisom, anti-adalimumab antitijela nađena su </w:t>
      </w:r>
      <w:r w:rsidR="00C71ACB" w:rsidRPr="00AD3B49">
        <w:rPr>
          <w:rFonts w:ascii="Times New Roman" w:hAnsi="Times New Roman" w:cs="Times New Roman"/>
          <w:color w:val="auto"/>
          <w:sz w:val="22"/>
          <w:szCs w:val="22"/>
          <w:lang w:val="sr-Latn-ME"/>
        </w:rPr>
        <w:t>kod</w:t>
      </w:r>
      <w:r w:rsidR="002C1631" w:rsidRPr="00AD3B49">
        <w:rPr>
          <w:rFonts w:ascii="Times New Roman" w:hAnsi="Times New Roman" w:cs="Times New Roman"/>
          <w:color w:val="auto"/>
          <w:sz w:val="22"/>
          <w:szCs w:val="22"/>
          <w:lang w:val="sr-Latn-ME"/>
        </w:rPr>
        <w:t xml:space="preserve"> 38/376 </w:t>
      </w:r>
      <w:r w:rsidRPr="00AD3B49">
        <w:rPr>
          <w:rFonts w:ascii="Times New Roman" w:hAnsi="Times New Roman" w:cs="Times New Roman"/>
          <w:color w:val="auto"/>
          <w:sz w:val="22"/>
          <w:szCs w:val="22"/>
          <w:lang w:val="sr-Latn-ME"/>
        </w:rPr>
        <w:t>pacijenata</w:t>
      </w:r>
      <w:r w:rsidR="002C1631" w:rsidRPr="00AD3B49">
        <w:rPr>
          <w:rFonts w:ascii="Times New Roman" w:hAnsi="Times New Roman" w:cs="Times New Roman"/>
          <w:color w:val="auto"/>
          <w:sz w:val="22"/>
          <w:szCs w:val="22"/>
          <w:lang w:val="sr-Latn-ME"/>
        </w:rPr>
        <w:t xml:space="preserve"> (10%) liječenih adalimumabom. </w:t>
      </w:r>
      <w:r w:rsidRPr="00AD3B49">
        <w:rPr>
          <w:rFonts w:ascii="Times New Roman" w:hAnsi="Times New Roman" w:cs="Times New Roman"/>
          <w:color w:val="auto"/>
          <w:sz w:val="22"/>
          <w:szCs w:val="22"/>
          <w:lang w:val="sr-Latn-ME"/>
        </w:rPr>
        <w:t>Kod pacijenata</w:t>
      </w:r>
      <w:r w:rsidR="002C1631" w:rsidRPr="00AD3B49">
        <w:rPr>
          <w:rFonts w:ascii="Times New Roman" w:hAnsi="Times New Roman" w:cs="Times New Roman"/>
          <w:color w:val="auto"/>
          <w:sz w:val="22"/>
          <w:szCs w:val="22"/>
          <w:lang w:val="sr-Latn-ME"/>
        </w:rPr>
        <w:t xml:space="preserve"> koji nisu istovreme</w:t>
      </w:r>
      <w:r w:rsidRPr="00AD3B49">
        <w:rPr>
          <w:rFonts w:ascii="Times New Roman" w:hAnsi="Times New Roman" w:cs="Times New Roman"/>
          <w:color w:val="auto"/>
          <w:sz w:val="22"/>
          <w:szCs w:val="22"/>
          <w:lang w:val="sr-Latn-ME"/>
        </w:rPr>
        <w:t>no uzimali metotreksat pojava</w:t>
      </w:r>
      <w:r w:rsidR="002C1631" w:rsidRPr="00AD3B49">
        <w:rPr>
          <w:rFonts w:ascii="Times New Roman" w:hAnsi="Times New Roman" w:cs="Times New Roman"/>
          <w:color w:val="auto"/>
          <w:sz w:val="22"/>
          <w:szCs w:val="22"/>
          <w:lang w:val="sr-Latn-ME"/>
        </w:rPr>
        <w:t xml:space="preserve"> anti-adalimumab antitijela bila je 13,5% (24/178 </w:t>
      </w:r>
      <w:r w:rsidRPr="00AD3B49">
        <w:rPr>
          <w:rFonts w:ascii="Times New Roman" w:hAnsi="Times New Roman" w:cs="Times New Roman"/>
          <w:color w:val="auto"/>
          <w:sz w:val="22"/>
          <w:szCs w:val="22"/>
          <w:lang w:val="sr-Latn-ME"/>
        </w:rPr>
        <w:t>pacijenta</w:t>
      </w:r>
      <w:r w:rsidR="002C1631" w:rsidRPr="00AD3B49">
        <w:rPr>
          <w:rFonts w:ascii="Times New Roman" w:hAnsi="Times New Roman" w:cs="Times New Roman"/>
          <w:color w:val="auto"/>
          <w:sz w:val="22"/>
          <w:szCs w:val="22"/>
          <w:lang w:val="sr-Latn-ME"/>
        </w:rPr>
        <w:t xml:space="preserve">), u poređenju sa 7% (14/198 </w:t>
      </w:r>
      <w:r w:rsidRPr="00AD3B49">
        <w:rPr>
          <w:rFonts w:ascii="Times New Roman" w:hAnsi="Times New Roman" w:cs="Times New Roman"/>
          <w:color w:val="auto"/>
          <w:sz w:val="22"/>
          <w:szCs w:val="22"/>
          <w:lang w:val="sr-Latn-ME"/>
        </w:rPr>
        <w:t>pacijenata</w:t>
      </w:r>
      <w:r w:rsidR="002C1631" w:rsidRPr="00AD3B49">
        <w:rPr>
          <w:rFonts w:ascii="Times New Roman" w:hAnsi="Times New Roman" w:cs="Times New Roman"/>
          <w:color w:val="auto"/>
          <w:sz w:val="22"/>
          <w:szCs w:val="22"/>
          <w:lang w:val="sr-Latn-ME"/>
        </w:rPr>
        <w:t xml:space="preserve">) </w:t>
      </w:r>
      <w:r w:rsidRPr="00AD3B49">
        <w:rPr>
          <w:rFonts w:ascii="Times New Roman" w:hAnsi="Times New Roman" w:cs="Times New Roman"/>
          <w:color w:val="auto"/>
          <w:sz w:val="22"/>
          <w:szCs w:val="22"/>
          <w:lang w:val="sr-Latn-ME"/>
        </w:rPr>
        <w:t>kod pacijenata</w:t>
      </w:r>
      <w:r w:rsidR="002C1631" w:rsidRPr="00AD3B49">
        <w:rPr>
          <w:rFonts w:ascii="Times New Roman" w:hAnsi="Times New Roman" w:cs="Times New Roman"/>
          <w:color w:val="auto"/>
          <w:sz w:val="22"/>
          <w:szCs w:val="22"/>
          <w:lang w:val="sr-Latn-ME"/>
        </w:rPr>
        <w:t xml:space="preserve"> koji su uzimali adalimumab uz metotreksat. </w:t>
      </w:r>
    </w:p>
    <w:p w:rsidR="002C1631" w:rsidRPr="00AD3B49" w:rsidRDefault="002C1631" w:rsidP="002C1631">
      <w:pPr>
        <w:pStyle w:val="Default"/>
        <w:jc w:val="both"/>
        <w:rPr>
          <w:rFonts w:ascii="Times New Roman" w:hAnsi="Times New Roman" w:cs="Times New Roman"/>
          <w:color w:val="auto"/>
          <w:sz w:val="22"/>
          <w:szCs w:val="22"/>
          <w:lang w:val="sr-Latn-ME"/>
        </w:rPr>
      </w:pPr>
    </w:p>
    <w:p w:rsidR="002C1631" w:rsidRPr="00AD3B49" w:rsidRDefault="00FC6077"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Kod pacijenata</w:t>
      </w:r>
      <w:r w:rsidR="002C1631" w:rsidRPr="00AD3B49">
        <w:rPr>
          <w:rFonts w:ascii="Times New Roman" w:hAnsi="Times New Roman" w:cs="Times New Roman"/>
          <w:color w:val="auto"/>
          <w:sz w:val="22"/>
          <w:szCs w:val="22"/>
          <w:lang w:val="sr-Latn-ME"/>
        </w:rPr>
        <w:t xml:space="preserve"> s </w:t>
      </w:r>
      <w:r w:rsidR="0004490B" w:rsidRPr="00AD3B49">
        <w:rPr>
          <w:rFonts w:ascii="Times New Roman" w:hAnsi="Times New Roman" w:cs="Times New Roman"/>
          <w:color w:val="auto"/>
          <w:sz w:val="22"/>
          <w:szCs w:val="22"/>
          <w:lang w:val="sr-Latn-ME"/>
        </w:rPr>
        <w:t xml:space="preserve">ankilozirajućim </w:t>
      </w:r>
      <w:r w:rsidR="002C1631" w:rsidRPr="00AD3B49">
        <w:rPr>
          <w:rFonts w:ascii="Times New Roman" w:hAnsi="Times New Roman" w:cs="Times New Roman"/>
          <w:color w:val="auto"/>
          <w:sz w:val="22"/>
          <w:szCs w:val="22"/>
          <w:lang w:val="sr-Latn-ME"/>
        </w:rPr>
        <w:t>spondilitisom, anti-a</w:t>
      </w:r>
      <w:r w:rsidR="00D930DB" w:rsidRPr="00AD3B49">
        <w:rPr>
          <w:rFonts w:ascii="Times New Roman" w:hAnsi="Times New Roman" w:cs="Times New Roman"/>
          <w:color w:val="auto"/>
          <w:sz w:val="22"/>
          <w:szCs w:val="22"/>
          <w:lang w:val="sr-Latn-ME"/>
        </w:rPr>
        <w:t>dalimumab antitijela su nađena kod</w:t>
      </w:r>
      <w:r w:rsidR="002C1631" w:rsidRPr="00AD3B49">
        <w:rPr>
          <w:rFonts w:ascii="Times New Roman" w:hAnsi="Times New Roman" w:cs="Times New Roman"/>
          <w:color w:val="auto"/>
          <w:sz w:val="22"/>
          <w:szCs w:val="22"/>
          <w:lang w:val="sr-Latn-ME"/>
        </w:rPr>
        <w:t xml:space="preserve"> 17/204 (8,3%) </w:t>
      </w:r>
      <w:r w:rsidRPr="00AD3B49">
        <w:rPr>
          <w:rFonts w:ascii="Times New Roman" w:hAnsi="Times New Roman" w:cs="Times New Roman"/>
          <w:color w:val="auto"/>
          <w:sz w:val="22"/>
          <w:szCs w:val="22"/>
          <w:lang w:val="sr-Latn-ME"/>
        </w:rPr>
        <w:t>pacijenta</w:t>
      </w:r>
      <w:r w:rsidR="002C1631" w:rsidRPr="00AD3B49">
        <w:rPr>
          <w:rFonts w:ascii="Times New Roman" w:hAnsi="Times New Roman" w:cs="Times New Roman"/>
          <w:color w:val="auto"/>
          <w:sz w:val="22"/>
          <w:szCs w:val="22"/>
          <w:lang w:val="sr-Latn-ME"/>
        </w:rPr>
        <w:t xml:space="preserve"> koji su uzimali adalimumab. </w:t>
      </w:r>
      <w:r w:rsidRPr="00AD3B49">
        <w:rPr>
          <w:rFonts w:ascii="Times New Roman" w:hAnsi="Times New Roman" w:cs="Times New Roman"/>
          <w:color w:val="auto"/>
          <w:sz w:val="22"/>
          <w:szCs w:val="22"/>
          <w:lang w:val="sr-Latn-ME"/>
        </w:rPr>
        <w:t>Kod pacijenata</w:t>
      </w:r>
      <w:r w:rsidR="002C1631" w:rsidRPr="00AD3B49">
        <w:rPr>
          <w:rFonts w:ascii="Times New Roman" w:hAnsi="Times New Roman" w:cs="Times New Roman"/>
          <w:color w:val="auto"/>
          <w:sz w:val="22"/>
          <w:szCs w:val="22"/>
          <w:lang w:val="sr-Latn-ME"/>
        </w:rPr>
        <w:t xml:space="preserve"> koji nisu primali </w:t>
      </w:r>
      <w:r w:rsidR="000B36DB" w:rsidRPr="00AD3B49">
        <w:rPr>
          <w:rFonts w:ascii="Times New Roman" w:hAnsi="Times New Roman" w:cs="Times New Roman"/>
          <w:color w:val="auto"/>
          <w:sz w:val="22"/>
          <w:szCs w:val="22"/>
          <w:lang w:val="sr-Latn-ME"/>
        </w:rPr>
        <w:t xml:space="preserve">i </w:t>
      </w:r>
      <w:r w:rsidR="002C1631" w:rsidRPr="00AD3B49">
        <w:rPr>
          <w:rFonts w:ascii="Times New Roman" w:hAnsi="Times New Roman" w:cs="Times New Roman"/>
          <w:color w:val="auto"/>
          <w:sz w:val="22"/>
          <w:szCs w:val="22"/>
          <w:lang w:val="sr-Latn-ME"/>
        </w:rPr>
        <w:t>meto</w:t>
      </w:r>
      <w:r w:rsidRPr="00AD3B49">
        <w:rPr>
          <w:rFonts w:ascii="Times New Roman" w:hAnsi="Times New Roman" w:cs="Times New Roman"/>
          <w:color w:val="auto"/>
          <w:sz w:val="22"/>
          <w:szCs w:val="22"/>
          <w:lang w:val="sr-Latn-ME"/>
        </w:rPr>
        <w:t>treksat pojava</w:t>
      </w:r>
      <w:r w:rsidR="002C1631" w:rsidRPr="00AD3B49">
        <w:rPr>
          <w:rFonts w:ascii="Times New Roman" w:hAnsi="Times New Roman" w:cs="Times New Roman"/>
          <w:color w:val="auto"/>
          <w:sz w:val="22"/>
          <w:szCs w:val="22"/>
          <w:lang w:val="sr-Latn-ME"/>
        </w:rPr>
        <w:t xml:space="preserve"> anti</w:t>
      </w:r>
      <w:r w:rsidR="000B36DB" w:rsidRPr="00AD3B49">
        <w:rPr>
          <w:rFonts w:ascii="Times New Roman" w:hAnsi="Times New Roman" w:cs="Times New Roman"/>
          <w:color w:val="auto"/>
          <w:sz w:val="22"/>
          <w:szCs w:val="22"/>
          <w:lang w:val="sr-Latn-ME"/>
        </w:rPr>
        <w:t>-</w:t>
      </w:r>
      <w:r w:rsidR="002C1631" w:rsidRPr="00AD3B49">
        <w:rPr>
          <w:rFonts w:ascii="Times New Roman" w:hAnsi="Times New Roman" w:cs="Times New Roman"/>
          <w:color w:val="auto"/>
          <w:sz w:val="22"/>
          <w:szCs w:val="22"/>
          <w:lang w:val="sr-Latn-ME"/>
        </w:rPr>
        <w:t xml:space="preserve">adalimumab antitijela bila je 16/185 (8,6%), u poređenju sa 1/19 (5,3%) </w:t>
      </w:r>
      <w:r w:rsidRPr="00AD3B49">
        <w:rPr>
          <w:rFonts w:ascii="Times New Roman" w:hAnsi="Times New Roman" w:cs="Times New Roman"/>
          <w:color w:val="auto"/>
          <w:sz w:val="22"/>
          <w:szCs w:val="22"/>
          <w:lang w:val="sr-Latn-ME"/>
        </w:rPr>
        <w:t>pacijenta</w:t>
      </w:r>
      <w:r w:rsidR="002C1631" w:rsidRPr="00AD3B49">
        <w:rPr>
          <w:rFonts w:ascii="Times New Roman" w:hAnsi="Times New Roman" w:cs="Times New Roman"/>
          <w:color w:val="auto"/>
          <w:sz w:val="22"/>
          <w:szCs w:val="22"/>
          <w:lang w:val="sr-Latn-ME"/>
        </w:rPr>
        <w:t xml:space="preserve"> koji su primali adalimumab uz metotreksat. </w:t>
      </w:r>
    </w:p>
    <w:p w:rsidR="002C1631" w:rsidRPr="00AD3B49" w:rsidRDefault="002C1631" w:rsidP="002C1631">
      <w:pPr>
        <w:pStyle w:val="Default"/>
        <w:jc w:val="both"/>
        <w:rPr>
          <w:rFonts w:ascii="Times New Roman" w:hAnsi="Times New Roman" w:cs="Times New Roman"/>
          <w:color w:val="auto"/>
          <w:sz w:val="22"/>
          <w:szCs w:val="22"/>
          <w:lang w:val="sr-Latn-ME"/>
        </w:rPr>
      </w:pPr>
    </w:p>
    <w:p w:rsidR="002C1631" w:rsidRPr="00AD3B49" w:rsidRDefault="00FC6077"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Kod pacijenata</w:t>
      </w:r>
      <w:r w:rsidR="002C1631" w:rsidRPr="00AD3B49">
        <w:rPr>
          <w:rFonts w:ascii="Times New Roman" w:hAnsi="Times New Roman" w:cs="Times New Roman"/>
          <w:color w:val="auto"/>
          <w:sz w:val="22"/>
          <w:szCs w:val="22"/>
          <w:lang w:val="sr-Latn-ME"/>
        </w:rPr>
        <w:t xml:space="preserve"> s Crohnovom bolešću, anti-adalimumab antitijela su nađena </w:t>
      </w:r>
      <w:r w:rsidR="000B36DB" w:rsidRPr="00AD3B49">
        <w:rPr>
          <w:rFonts w:ascii="Times New Roman" w:hAnsi="Times New Roman" w:cs="Times New Roman"/>
          <w:color w:val="auto"/>
          <w:sz w:val="22"/>
          <w:szCs w:val="22"/>
          <w:lang w:val="sr-Latn-ME"/>
        </w:rPr>
        <w:t>kod</w:t>
      </w:r>
      <w:r w:rsidR="002C1631" w:rsidRPr="00AD3B49">
        <w:rPr>
          <w:rFonts w:ascii="Times New Roman" w:hAnsi="Times New Roman" w:cs="Times New Roman"/>
          <w:color w:val="auto"/>
          <w:sz w:val="22"/>
          <w:szCs w:val="22"/>
          <w:lang w:val="sr-Latn-ME"/>
        </w:rPr>
        <w:t xml:space="preserve"> </w:t>
      </w:r>
      <w:r w:rsidR="000B36DB" w:rsidRPr="00AD3B49">
        <w:rPr>
          <w:rFonts w:ascii="Times New Roman" w:hAnsi="Times New Roman" w:cs="Times New Roman"/>
          <w:color w:val="auto"/>
          <w:sz w:val="22"/>
          <w:szCs w:val="22"/>
          <w:lang w:val="sr-Latn-ME"/>
        </w:rPr>
        <w:t>7/269 (</w:t>
      </w:r>
      <w:r w:rsidR="002C1631" w:rsidRPr="00AD3B49">
        <w:rPr>
          <w:rFonts w:ascii="Times New Roman" w:hAnsi="Times New Roman" w:cs="Times New Roman"/>
          <w:color w:val="auto"/>
          <w:sz w:val="22"/>
          <w:szCs w:val="22"/>
          <w:lang w:val="sr-Latn-ME"/>
        </w:rPr>
        <w:t>2,6%</w:t>
      </w:r>
      <w:r w:rsidR="000B36DB" w:rsidRPr="00AD3B49">
        <w:rPr>
          <w:rFonts w:ascii="Times New Roman" w:hAnsi="Times New Roman" w:cs="Times New Roman"/>
          <w:color w:val="auto"/>
          <w:sz w:val="22"/>
          <w:szCs w:val="22"/>
          <w:lang w:val="sr-Latn-ME"/>
        </w:rPr>
        <w:t>)</w:t>
      </w:r>
      <w:r w:rsidR="002C1631" w:rsidRPr="00AD3B49">
        <w:rPr>
          <w:rFonts w:ascii="Times New Roman" w:hAnsi="Times New Roman" w:cs="Times New Roman"/>
          <w:color w:val="auto"/>
          <w:sz w:val="22"/>
          <w:szCs w:val="22"/>
          <w:lang w:val="sr-Latn-ME"/>
        </w:rPr>
        <w:t xml:space="preserve">  </w:t>
      </w:r>
      <w:r w:rsidRPr="00AD3B49">
        <w:rPr>
          <w:rFonts w:ascii="Times New Roman" w:hAnsi="Times New Roman" w:cs="Times New Roman"/>
          <w:color w:val="auto"/>
          <w:sz w:val="22"/>
          <w:szCs w:val="22"/>
          <w:lang w:val="sr-Latn-ME"/>
        </w:rPr>
        <w:t>pacijenta</w:t>
      </w:r>
      <w:r w:rsidR="002C1631" w:rsidRPr="00AD3B49">
        <w:rPr>
          <w:rFonts w:ascii="Times New Roman" w:hAnsi="Times New Roman" w:cs="Times New Roman"/>
          <w:color w:val="auto"/>
          <w:sz w:val="22"/>
          <w:szCs w:val="22"/>
          <w:lang w:val="sr-Latn-ME"/>
        </w:rPr>
        <w:t xml:space="preserve">, a </w:t>
      </w:r>
      <w:r w:rsidRPr="00AD3B49">
        <w:rPr>
          <w:rFonts w:ascii="Times New Roman" w:hAnsi="Times New Roman" w:cs="Times New Roman"/>
          <w:color w:val="auto"/>
          <w:sz w:val="22"/>
          <w:szCs w:val="22"/>
          <w:lang w:val="sr-Latn-ME"/>
        </w:rPr>
        <w:t>kod pacijenata</w:t>
      </w:r>
      <w:r w:rsidR="002C1631" w:rsidRPr="00AD3B49">
        <w:rPr>
          <w:rFonts w:ascii="Times New Roman" w:hAnsi="Times New Roman" w:cs="Times New Roman"/>
          <w:color w:val="auto"/>
          <w:sz w:val="22"/>
          <w:szCs w:val="22"/>
          <w:lang w:val="sr-Latn-ME"/>
        </w:rPr>
        <w:t xml:space="preserve"> sa ulceroznim kolitisom </w:t>
      </w:r>
      <w:r w:rsidR="000B36DB" w:rsidRPr="00AD3B49">
        <w:rPr>
          <w:rFonts w:ascii="Times New Roman" w:hAnsi="Times New Roman" w:cs="Times New Roman"/>
          <w:color w:val="auto"/>
          <w:sz w:val="22"/>
          <w:szCs w:val="22"/>
          <w:lang w:val="sr-Latn-ME"/>
        </w:rPr>
        <w:t>nađena su kod 19/487 (</w:t>
      </w:r>
      <w:r w:rsidR="002C1631" w:rsidRPr="00AD3B49">
        <w:rPr>
          <w:rFonts w:ascii="Times New Roman" w:hAnsi="Times New Roman" w:cs="Times New Roman"/>
          <w:color w:val="auto"/>
          <w:sz w:val="22"/>
          <w:szCs w:val="22"/>
          <w:lang w:val="sr-Latn-ME"/>
        </w:rPr>
        <w:t xml:space="preserve">3,9%).   </w:t>
      </w:r>
    </w:p>
    <w:p w:rsidR="002C1631" w:rsidRPr="00AD3B49" w:rsidRDefault="002C1631" w:rsidP="002C1631">
      <w:pPr>
        <w:pStyle w:val="Default"/>
        <w:jc w:val="both"/>
        <w:rPr>
          <w:rFonts w:ascii="Times New Roman" w:hAnsi="Times New Roman" w:cs="Times New Roman"/>
          <w:color w:val="auto"/>
          <w:sz w:val="22"/>
          <w:szCs w:val="22"/>
          <w:lang w:val="sr-Latn-ME"/>
        </w:rPr>
      </w:pPr>
    </w:p>
    <w:p w:rsidR="002C1631" w:rsidRPr="00AD3B49" w:rsidRDefault="00FC6077"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Kod pacijenata</w:t>
      </w:r>
      <w:r w:rsidR="002C1631" w:rsidRPr="00AD3B49">
        <w:rPr>
          <w:rFonts w:ascii="Times New Roman" w:hAnsi="Times New Roman" w:cs="Times New Roman"/>
          <w:color w:val="auto"/>
          <w:sz w:val="22"/>
          <w:szCs w:val="22"/>
          <w:lang w:val="sr-Latn-ME"/>
        </w:rPr>
        <w:t xml:space="preserve"> sa psorijazom, anti-adalimumab antitijela su nađena </w:t>
      </w:r>
      <w:r w:rsidR="004811E1" w:rsidRPr="00AD3B49">
        <w:rPr>
          <w:rFonts w:ascii="Times New Roman" w:hAnsi="Times New Roman" w:cs="Times New Roman"/>
          <w:color w:val="auto"/>
          <w:sz w:val="22"/>
          <w:szCs w:val="22"/>
          <w:lang w:val="sr-Latn-ME"/>
        </w:rPr>
        <w:t>kod</w:t>
      </w:r>
      <w:r w:rsidR="002C1631" w:rsidRPr="00AD3B49">
        <w:rPr>
          <w:rFonts w:ascii="Times New Roman" w:hAnsi="Times New Roman" w:cs="Times New Roman"/>
          <w:color w:val="auto"/>
          <w:sz w:val="22"/>
          <w:szCs w:val="22"/>
          <w:lang w:val="sr-Latn-ME"/>
        </w:rPr>
        <w:t xml:space="preserve"> 77/920 (8,4%) </w:t>
      </w:r>
      <w:r w:rsidRPr="00AD3B49">
        <w:rPr>
          <w:rFonts w:ascii="Times New Roman" w:hAnsi="Times New Roman" w:cs="Times New Roman"/>
          <w:color w:val="auto"/>
          <w:sz w:val="22"/>
          <w:szCs w:val="22"/>
          <w:lang w:val="sr-Latn-ME"/>
        </w:rPr>
        <w:t>pacijen</w:t>
      </w:r>
      <w:r w:rsidR="004811E1" w:rsidRPr="00AD3B49">
        <w:rPr>
          <w:rFonts w:ascii="Times New Roman" w:hAnsi="Times New Roman" w:cs="Times New Roman"/>
          <w:color w:val="auto"/>
          <w:sz w:val="22"/>
          <w:szCs w:val="22"/>
          <w:lang w:val="sr-Latn-ME"/>
        </w:rPr>
        <w:t>a</w:t>
      </w:r>
      <w:r w:rsidRPr="00AD3B49">
        <w:rPr>
          <w:rFonts w:ascii="Times New Roman" w:hAnsi="Times New Roman" w:cs="Times New Roman"/>
          <w:color w:val="auto"/>
          <w:sz w:val="22"/>
          <w:szCs w:val="22"/>
          <w:lang w:val="sr-Latn-ME"/>
        </w:rPr>
        <w:t xml:space="preserve">ta </w:t>
      </w:r>
      <w:r w:rsidR="002C1631" w:rsidRPr="00AD3B49">
        <w:rPr>
          <w:rFonts w:ascii="Times New Roman" w:hAnsi="Times New Roman" w:cs="Times New Roman"/>
          <w:color w:val="auto"/>
          <w:sz w:val="22"/>
          <w:szCs w:val="22"/>
          <w:lang w:val="sr-Latn-ME"/>
        </w:rPr>
        <w:t>liječenih</w:t>
      </w:r>
      <w:r w:rsidRPr="00AD3B49">
        <w:rPr>
          <w:rFonts w:ascii="Times New Roman" w:hAnsi="Times New Roman" w:cs="Times New Roman"/>
          <w:color w:val="auto"/>
          <w:sz w:val="22"/>
          <w:szCs w:val="22"/>
          <w:lang w:val="sr-Latn-ME"/>
        </w:rPr>
        <w:t xml:space="preserve"> </w:t>
      </w:r>
      <w:r w:rsidR="002C1631" w:rsidRPr="00AD3B49">
        <w:rPr>
          <w:rFonts w:ascii="Times New Roman" w:hAnsi="Times New Roman" w:cs="Times New Roman"/>
          <w:color w:val="auto"/>
          <w:sz w:val="22"/>
          <w:szCs w:val="22"/>
          <w:lang w:val="sr-Latn-ME"/>
        </w:rPr>
        <w:t xml:space="preserve">adalimumabom kao monoterapijom. </w:t>
      </w:r>
    </w:p>
    <w:p w:rsidR="002C1631" w:rsidRPr="00AD3B49" w:rsidRDefault="002C1631" w:rsidP="002C1631">
      <w:pPr>
        <w:pStyle w:val="Default"/>
        <w:jc w:val="both"/>
        <w:rPr>
          <w:rFonts w:ascii="Times New Roman" w:hAnsi="Times New Roman" w:cs="Times New Roman"/>
          <w:color w:val="auto"/>
          <w:sz w:val="22"/>
          <w:szCs w:val="22"/>
          <w:lang w:val="sr-Latn-ME"/>
        </w:rPr>
      </w:pPr>
    </w:p>
    <w:p w:rsidR="002C1631" w:rsidRPr="00AD3B49" w:rsidRDefault="00FC6077"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Kod pacijenata</w:t>
      </w:r>
      <w:r w:rsidR="002C1631" w:rsidRPr="00AD3B49">
        <w:rPr>
          <w:rFonts w:ascii="Times New Roman" w:hAnsi="Times New Roman" w:cs="Times New Roman"/>
          <w:color w:val="auto"/>
          <w:sz w:val="22"/>
          <w:szCs w:val="22"/>
          <w:lang w:val="sr-Latn-ME"/>
        </w:rPr>
        <w:t xml:space="preserve"> s plak psorijazom dugotrajno liječenih monoterapijom adalimumabom koji su učestvovali u ispitiv</w:t>
      </w:r>
      <w:r w:rsidR="00D930DB" w:rsidRPr="00AD3B49">
        <w:rPr>
          <w:rFonts w:ascii="Times New Roman" w:hAnsi="Times New Roman" w:cs="Times New Roman"/>
          <w:color w:val="auto"/>
          <w:sz w:val="22"/>
          <w:szCs w:val="22"/>
          <w:lang w:val="sr-Latn-ME"/>
        </w:rPr>
        <w:t>anju prekida terapije i ponovnog</w:t>
      </w:r>
      <w:r w:rsidR="002C1631" w:rsidRPr="00AD3B49">
        <w:rPr>
          <w:rFonts w:ascii="Times New Roman" w:hAnsi="Times New Roman" w:cs="Times New Roman"/>
          <w:color w:val="auto"/>
          <w:sz w:val="22"/>
          <w:szCs w:val="22"/>
          <w:lang w:val="sr-Latn-ME"/>
        </w:rPr>
        <w:t xml:space="preserve"> uvođenja, nivo antitij</w:t>
      </w:r>
      <w:r w:rsidR="00D930DB" w:rsidRPr="00AD3B49">
        <w:rPr>
          <w:rFonts w:ascii="Times New Roman" w:hAnsi="Times New Roman" w:cs="Times New Roman"/>
          <w:color w:val="auto"/>
          <w:sz w:val="22"/>
          <w:szCs w:val="22"/>
          <w:lang w:val="sr-Latn-ME"/>
        </w:rPr>
        <w:t xml:space="preserve">ela na adalimumab nakon </w:t>
      </w:r>
      <w:r w:rsidR="00D930DB" w:rsidRPr="00AD3B49">
        <w:rPr>
          <w:rFonts w:ascii="Times New Roman" w:hAnsi="Times New Roman" w:cs="Times New Roman"/>
          <w:color w:val="auto"/>
          <w:sz w:val="22"/>
          <w:szCs w:val="22"/>
          <w:lang w:val="sr-Latn-ME"/>
        </w:rPr>
        <w:lastRenderedPageBreak/>
        <w:t>ponovnog</w:t>
      </w:r>
      <w:r w:rsidR="002C1631" w:rsidRPr="00AD3B49">
        <w:rPr>
          <w:rFonts w:ascii="Times New Roman" w:hAnsi="Times New Roman" w:cs="Times New Roman"/>
          <w:color w:val="auto"/>
          <w:sz w:val="22"/>
          <w:szCs w:val="22"/>
          <w:lang w:val="sr-Latn-ME"/>
        </w:rPr>
        <w:t xml:space="preserve"> uvođenja terapije (11 od 482 ispitanika, 2,3%) bio je sličan nivou zabilježenom prije prekida terapije (11 od 590 ispitanika, 1,9%). </w:t>
      </w:r>
    </w:p>
    <w:p w:rsidR="002C1631" w:rsidRPr="00AD3B49" w:rsidRDefault="002C1631" w:rsidP="002C1631">
      <w:pPr>
        <w:pStyle w:val="Default"/>
        <w:jc w:val="both"/>
        <w:rPr>
          <w:rFonts w:ascii="Times New Roman" w:hAnsi="Times New Roman" w:cs="Times New Roman"/>
          <w:color w:val="auto"/>
          <w:sz w:val="22"/>
          <w:szCs w:val="22"/>
          <w:lang w:val="sr-Latn-ME"/>
        </w:rPr>
      </w:pPr>
    </w:p>
    <w:p w:rsidR="002C1631" w:rsidRPr="00AD3B49" w:rsidRDefault="002C1631"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Zbog toga što je analiza imunogenosti specifičn</w:t>
      </w:r>
      <w:r w:rsidR="00D930DB" w:rsidRPr="00AD3B49">
        <w:rPr>
          <w:rFonts w:ascii="Times New Roman" w:hAnsi="Times New Roman" w:cs="Times New Roman"/>
          <w:color w:val="auto"/>
          <w:sz w:val="22"/>
          <w:szCs w:val="22"/>
          <w:lang w:val="sr-Latn-ME"/>
        </w:rPr>
        <w:t>a za svaki lijek, nije adekvatno</w:t>
      </w:r>
      <w:r w:rsidRPr="00AD3B49">
        <w:rPr>
          <w:rFonts w:ascii="Times New Roman" w:hAnsi="Times New Roman" w:cs="Times New Roman"/>
          <w:color w:val="auto"/>
          <w:sz w:val="22"/>
          <w:szCs w:val="22"/>
          <w:lang w:val="sr-Latn-ME"/>
        </w:rPr>
        <w:t xml:space="preserve"> porediti ni</w:t>
      </w:r>
      <w:r w:rsidR="00FC6077" w:rsidRPr="00AD3B49">
        <w:rPr>
          <w:rFonts w:ascii="Times New Roman" w:hAnsi="Times New Roman" w:cs="Times New Roman"/>
          <w:color w:val="auto"/>
          <w:sz w:val="22"/>
          <w:szCs w:val="22"/>
          <w:lang w:val="sr-Latn-ME"/>
        </w:rPr>
        <w:t>voe antitijela kod različitih l</w:t>
      </w:r>
      <w:r w:rsidRPr="00AD3B49">
        <w:rPr>
          <w:rFonts w:ascii="Times New Roman" w:hAnsi="Times New Roman" w:cs="Times New Roman"/>
          <w:color w:val="auto"/>
          <w:sz w:val="22"/>
          <w:szCs w:val="22"/>
          <w:lang w:val="sr-Latn-ME"/>
        </w:rPr>
        <w:t>jekova.</w:t>
      </w:r>
    </w:p>
    <w:p w:rsidR="002C1631" w:rsidRPr="00AD3B49" w:rsidRDefault="002C1631" w:rsidP="002C1631">
      <w:pPr>
        <w:pStyle w:val="Default"/>
        <w:jc w:val="both"/>
        <w:rPr>
          <w:rFonts w:ascii="Times New Roman" w:hAnsi="Times New Roman" w:cs="Times New Roman"/>
          <w:color w:val="auto"/>
          <w:sz w:val="22"/>
          <w:szCs w:val="22"/>
          <w:lang w:val="sr-Latn-ME"/>
        </w:rPr>
      </w:pPr>
    </w:p>
    <w:p w:rsidR="002305CB" w:rsidRPr="00AD3B49" w:rsidRDefault="002305CB" w:rsidP="002C1631">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Pedijatrijska populacija</w:t>
      </w:r>
    </w:p>
    <w:p w:rsidR="002305CB" w:rsidRPr="00AD3B49" w:rsidRDefault="002305CB" w:rsidP="002C1631">
      <w:pPr>
        <w:pStyle w:val="Default"/>
        <w:jc w:val="both"/>
        <w:rPr>
          <w:rFonts w:ascii="Times New Roman" w:hAnsi="Times New Roman" w:cs="Times New Roman"/>
          <w:color w:val="auto"/>
          <w:sz w:val="22"/>
          <w:szCs w:val="22"/>
          <w:lang w:val="sr-Latn-ME"/>
        </w:rPr>
      </w:pPr>
    </w:p>
    <w:p w:rsidR="002C1631" w:rsidRPr="00AD3B49" w:rsidRDefault="00FC6077" w:rsidP="002C1631">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Evropska agencija za l</w:t>
      </w:r>
      <w:r w:rsidR="002C1631" w:rsidRPr="00AD3B49">
        <w:rPr>
          <w:rFonts w:ascii="Times New Roman" w:hAnsi="Times New Roman" w:cs="Times New Roman"/>
          <w:color w:val="auto"/>
          <w:sz w:val="22"/>
          <w:szCs w:val="22"/>
          <w:lang w:val="sr-Latn-ME"/>
        </w:rPr>
        <w:t>jekove je dopustila da se izostavi ob</w:t>
      </w:r>
      <w:r w:rsidR="00C71ACB" w:rsidRPr="00AD3B49">
        <w:rPr>
          <w:rFonts w:ascii="Times New Roman" w:hAnsi="Times New Roman" w:cs="Times New Roman"/>
          <w:color w:val="auto"/>
          <w:sz w:val="22"/>
          <w:szCs w:val="22"/>
          <w:lang w:val="sr-Latn-ME"/>
        </w:rPr>
        <w:t>a</w:t>
      </w:r>
      <w:r w:rsidR="002C1631" w:rsidRPr="00AD3B49">
        <w:rPr>
          <w:rFonts w:ascii="Times New Roman" w:hAnsi="Times New Roman" w:cs="Times New Roman"/>
          <w:color w:val="auto"/>
          <w:sz w:val="22"/>
          <w:szCs w:val="22"/>
          <w:lang w:val="sr-Latn-ME"/>
        </w:rPr>
        <w:t xml:space="preserve">veza predaje rezultata </w:t>
      </w:r>
      <w:r w:rsidR="001C1968" w:rsidRPr="00AD3B49">
        <w:rPr>
          <w:rFonts w:ascii="Times New Roman" w:hAnsi="Times New Roman" w:cs="Times New Roman"/>
          <w:color w:val="auto"/>
          <w:sz w:val="22"/>
          <w:szCs w:val="22"/>
          <w:lang w:val="sr-Latn-ME"/>
        </w:rPr>
        <w:t>ispitivanja s lijekom Humira na svim podgrupama</w:t>
      </w:r>
      <w:r w:rsidR="002C1631" w:rsidRPr="00AD3B49">
        <w:rPr>
          <w:rFonts w:ascii="Times New Roman" w:hAnsi="Times New Roman" w:cs="Times New Roman"/>
          <w:color w:val="auto"/>
          <w:sz w:val="22"/>
          <w:szCs w:val="22"/>
          <w:lang w:val="sr-Latn-ME"/>
        </w:rPr>
        <w:t xml:space="preserve"> pedijatrijsk</w:t>
      </w:r>
      <w:r w:rsidR="001C1968" w:rsidRPr="00AD3B49">
        <w:rPr>
          <w:rFonts w:ascii="Times New Roman" w:hAnsi="Times New Roman" w:cs="Times New Roman"/>
          <w:color w:val="auto"/>
          <w:sz w:val="22"/>
          <w:szCs w:val="22"/>
          <w:lang w:val="sr-Latn-ME"/>
        </w:rPr>
        <w:t>e</w:t>
      </w:r>
      <w:r w:rsidR="002C1631" w:rsidRPr="00AD3B49">
        <w:rPr>
          <w:rFonts w:ascii="Times New Roman" w:hAnsi="Times New Roman" w:cs="Times New Roman"/>
          <w:color w:val="auto"/>
          <w:sz w:val="22"/>
          <w:szCs w:val="22"/>
          <w:lang w:val="sr-Latn-ME"/>
        </w:rPr>
        <w:t xml:space="preserve"> populacij</w:t>
      </w:r>
      <w:r w:rsidR="001C1968" w:rsidRPr="00AD3B49">
        <w:rPr>
          <w:rFonts w:ascii="Times New Roman" w:hAnsi="Times New Roman" w:cs="Times New Roman"/>
          <w:color w:val="auto"/>
          <w:sz w:val="22"/>
          <w:szCs w:val="22"/>
          <w:lang w:val="sr-Latn-ME"/>
        </w:rPr>
        <w:t>e</w:t>
      </w:r>
      <w:r w:rsidR="002C1631" w:rsidRPr="00AD3B49">
        <w:rPr>
          <w:rFonts w:ascii="Times New Roman" w:hAnsi="Times New Roman" w:cs="Times New Roman"/>
          <w:color w:val="auto"/>
          <w:sz w:val="22"/>
          <w:szCs w:val="22"/>
          <w:lang w:val="sr-Latn-ME"/>
        </w:rPr>
        <w:t xml:space="preserve"> </w:t>
      </w:r>
      <w:r w:rsidR="00D930DB" w:rsidRPr="00AD3B49">
        <w:rPr>
          <w:rFonts w:ascii="Times New Roman" w:hAnsi="Times New Roman" w:cs="Times New Roman"/>
          <w:color w:val="auto"/>
          <w:sz w:val="22"/>
          <w:szCs w:val="22"/>
          <w:lang w:val="sr-Latn-ME"/>
        </w:rPr>
        <w:t>kod</w:t>
      </w:r>
      <w:r w:rsidR="002C1631" w:rsidRPr="00AD3B49">
        <w:rPr>
          <w:rFonts w:ascii="Times New Roman" w:hAnsi="Times New Roman" w:cs="Times New Roman"/>
          <w:color w:val="auto"/>
          <w:sz w:val="22"/>
          <w:szCs w:val="22"/>
          <w:lang w:val="sr-Latn-ME"/>
        </w:rPr>
        <w:t xml:space="preserve"> reumatoidnog artritisa, </w:t>
      </w:r>
      <w:r w:rsidR="002305CB" w:rsidRPr="00AD3B49">
        <w:rPr>
          <w:rFonts w:ascii="Times New Roman" w:hAnsi="Times New Roman" w:cs="Times New Roman"/>
          <w:color w:val="auto"/>
          <w:sz w:val="22"/>
          <w:szCs w:val="22"/>
          <w:lang w:val="sr-Latn-ME"/>
        </w:rPr>
        <w:t xml:space="preserve">psorijatičnog artiritisa i </w:t>
      </w:r>
      <w:r w:rsidR="0004490B" w:rsidRPr="00AD3B49">
        <w:rPr>
          <w:rFonts w:ascii="Times New Roman" w:hAnsi="Times New Roman" w:cs="Times New Roman"/>
          <w:color w:val="auto"/>
          <w:sz w:val="22"/>
          <w:szCs w:val="22"/>
          <w:lang w:val="sr-Latn-ME"/>
        </w:rPr>
        <w:t xml:space="preserve">ankilozirajućeg </w:t>
      </w:r>
      <w:r w:rsidR="002C1631" w:rsidRPr="00AD3B49">
        <w:rPr>
          <w:rFonts w:ascii="Times New Roman" w:hAnsi="Times New Roman" w:cs="Times New Roman"/>
          <w:color w:val="auto"/>
          <w:sz w:val="22"/>
          <w:szCs w:val="22"/>
          <w:lang w:val="sr-Latn-ME"/>
        </w:rPr>
        <w:t>spondilitisa</w:t>
      </w:r>
      <w:r w:rsidR="002305CB" w:rsidRPr="00AD3B49">
        <w:rPr>
          <w:rFonts w:ascii="Times New Roman" w:hAnsi="Times New Roman" w:cs="Times New Roman"/>
          <w:color w:val="auto"/>
          <w:sz w:val="22"/>
          <w:szCs w:val="22"/>
          <w:lang w:val="sr-Latn-ME"/>
        </w:rPr>
        <w:t xml:space="preserve"> </w:t>
      </w:r>
      <w:r w:rsidR="002C1631" w:rsidRPr="00AD3B49">
        <w:rPr>
          <w:rFonts w:ascii="Times New Roman" w:hAnsi="Times New Roman" w:cs="Times New Roman"/>
          <w:color w:val="auto"/>
          <w:sz w:val="22"/>
          <w:szCs w:val="22"/>
          <w:lang w:val="sr-Latn-ME"/>
        </w:rPr>
        <w:t>(vidjeti dio 4.2 za informacije o</w:t>
      </w:r>
      <w:r w:rsidR="00D930DB" w:rsidRPr="00AD3B49">
        <w:rPr>
          <w:rFonts w:ascii="Times New Roman" w:hAnsi="Times New Roman" w:cs="Times New Roman"/>
          <w:color w:val="auto"/>
          <w:sz w:val="22"/>
          <w:szCs w:val="22"/>
          <w:lang w:val="sr-Latn-ME"/>
        </w:rPr>
        <w:t xml:space="preserve"> primjeni lijeka kod pedijatrijske populacije</w:t>
      </w:r>
      <w:r w:rsidR="002C1631" w:rsidRPr="00AD3B49">
        <w:rPr>
          <w:rFonts w:ascii="Times New Roman" w:hAnsi="Times New Roman" w:cs="Times New Roman"/>
          <w:color w:val="auto"/>
          <w:sz w:val="22"/>
          <w:szCs w:val="22"/>
          <w:lang w:val="sr-Latn-ME"/>
        </w:rPr>
        <w:t>).</w:t>
      </w:r>
    </w:p>
    <w:p w:rsidR="00C71ACB" w:rsidRPr="00AD3B49" w:rsidRDefault="00C71ACB" w:rsidP="00480FB1">
      <w:pPr>
        <w:tabs>
          <w:tab w:val="left" w:pos="540"/>
          <w:tab w:val="left" w:pos="569"/>
        </w:tabs>
        <w:rPr>
          <w:b/>
          <w:bCs/>
          <w:sz w:val="22"/>
          <w:szCs w:val="22"/>
          <w:lang w:val="sr-Latn-ME"/>
        </w:rPr>
      </w:pPr>
    </w:p>
    <w:p w:rsidR="001C1968" w:rsidRPr="00AD3B49" w:rsidRDefault="001C1968" w:rsidP="006B0826">
      <w:pPr>
        <w:tabs>
          <w:tab w:val="left" w:pos="540"/>
          <w:tab w:val="left" w:pos="569"/>
        </w:tabs>
        <w:jc w:val="both"/>
        <w:rPr>
          <w:b/>
          <w:bCs/>
          <w:sz w:val="22"/>
          <w:szCs w:val="22"/>
          <w:lang w:val="sr-Latn-ME"/>
        </w:rPr>
      </w:pPr>
      <w:r w:rsidRPr="00AD3B49">
        <w:rPr>
          <w:sz w:val="22"/>
          <w:szCs w:val="22"/>
          <w:lang w:val="sr-Latn-ME"/>
        </w:rPr>
        <w:t xml:space="preserve">Evropska agencija za ljekove je </w:t>
      </w:r>
      <w:r w:rsidR="001159B7" w:rsidRPr="00AD3B49">
        <w:rPr>
          <w:sz w:val="22"/>
          <w:szCs w:val="22"/>
          <w:lang w:val="sr-Latn-ME"/>
        </w:rPr>
        <w:t xml:space="preserve">odložila </w:t>
      </w:r>
      <w:r w:rsidRPr="00AD3B49">
        <w:rPr>
          <w:sz w:val="22"/>
          <w:szCs w:val="22"/>
          <w:lang w:val="sr-Latn-ME"/>
        </w:rPr>
        <w:t>oba</w:t>
      </w:r>
      <w:r w:rsidR="001159B7" w:rsidRPr="00AD3B49">
        <w:rPr>
          <w:sz w:val="22"/>
          <w:szCs w:val="22"/>
          <w:lang w:val="sr-Latn-ME"/>
        </w:rPr>
        <w:t>vezu</w:t>
      </w:r>
      <w:r w:rsidRPr="00AD3B49">
        <w:rPr>
          <w:sz w:val="22"/>
          <w:szCs w:val="22"/>
          <w:lang w:val="sr-Latn-ME"/>
        </w:rPr>
        <w:t xml:space="preserve"> predaje rezultata ispitivanja s lijekom Humira </w:t>
      </w:r>
      <w:r w:rsidR="00B2612A" w:rsidRPr="00AD3B49">
        <w:rPr>
          <w:sz w:val="22"/>
          <w:szCs w:val="22"/>
          <w:lang w:val="sr-Latn-ME"/>
        </w:rPr>
        <w:t>na jednoj</w:t>
      </w:r>
      <w:r w:rsidRPr="00AD3B49">
        <w:rPr>
          <w:sz w:val="22"/>
          <w:szCs w:val="22"/>
          <w:lang w:val="sr-Latn-ME"/>
        </w:rPr>
        <w:t xml:space="preserve"> ili više </w:t>
      </w:r>
      <w:r w:rsidR="00B2612A" w:rsidRPr="00AD3B49">
        <w:rPr>
          <w:sz w:val="22"/>
          <w:szCs w:val="22"/>
          <w:lang w:val="sr-Latn-ME"/>
        </w:rPr>
        <w:t>podgrupa pedijatrijske populacije kod ulceroznog kolitisa (vidjeti dio 4.2 za informacije o primjeni lijeka kod pedijatrijske populacije).</w:t>
      </w:r>
    </w:p>
    <w:p w:rsidR="001C1968" w:rsidRPr="00AD3B49" w:rsidRDefault="001C1968" w:rsidP="00480FB1">
      <w:pPr>
        <w:tabs>
          <w:tab w:val="left" w:pos="540"/>
          <w:tab w:val="left" w:pos="569"/>
        </w:tabs>
        <w:rPr>
          <w:b/>
          <w:bCs/>
          <w:sz w:val="22"/>
          <w:szCs w:val="22"/>
          <w:lang w:val="sr-Latn-ME"/>
        </w:rPr>
      </w:pPr>
    </w:p>
    <w:p w:rsidR="0072020E" w:rsidRPr="00AD3B49" w:rsidRDefault="0072020E" w:rsidP="00480FB1">
      <w:pPr>
        <w:tabs>
          <w:tab w:val="left" w:pos="540"/>
          <w:tab w:val="left" w:pos="569"/>
        </w:tabs>
        <w:rPr>
          <w:b/>
          <w:bCs/>
          <w:sz w:val="22"/>
          <w:szCs w:val="22"/>
          <w:lang w:val="sr-Latn-ME"/>
        </w:rPr>
      </w:pPr>
      <w:r w:rsidRPr="00AD3B49">
        <w:rPr>
          <w:b/>
          <w:bCs/>
          <w:sz w:val="22"/>
          <w:szCs w:val="22"/>
          <w:lang w:val="sr-Latn-ME"/>
        </w:rPr>
        <w:t xml:space="preserve">5.2. </w:t>
      </w:r>
      <w:r w:rsidR="00480FB1" w:rsidRPr="00AD3B49">
        <w:rPr>
          <w:b/>
          <w:bCs/>
          <w:sz w:val="22"/>
          <w:szCs w:val="22"/>
          <w:lang w:val="sr-Latn-ME"/>
        </w:rPr>
        <w:tab/>
      </w:r>
      <w:r w:rsidRPr="00AD3B49">
        <w:rPr>
          <w:b/>
          <w:bCs/>
          <w:sz w:val="22"/>
          <w:szCs w:val="22"/>
          <w:lang w:val="sr-Latn-ME"/>
        </w:rPr>
        <w:t>Farmakokinetički podaci</w:t>
      </w:r>
    </w:p>
    <w:p w:rsidR="00892AA9" w:rsidRPr="00AD3B49" w:rsidRDefault="00892AA9" w:rsidP="00892AA9">
      <w:pPr>
        <w:pStyle w:val="Default"/>
        <w:jc w:val="both"/>
        <w:rPr>
          <w:rFonts w:ascii="Times New Roman" w:hAnsi="Times New Roman" w:cs="Times New Roman"/>
          <w:sz w:val="22"/>
          <w:szCs w:val="22"/>
          <w:u w:val="single"/>
          <w:lang w:val="sr-Latn-ME"/>
        </w:rPr>
      </w:pPr>
    </w:p>
    <w:p w:rsidR="00A05A1E" w:rsidRPr="00AD3B49" w:rsidRDefault="00A05A1E" w:rsidP="00892AA9">
      <w:pPr>
        <w:pStyle w:val="Default"/>
        <w:jc w:val="both"/>
        <w:rPr>
          <w:rFonts w:ascii="Times New Roman" w:hAnsi="Times New Roman" w:cs="Times New Roman"/>
          <w:color w:val="auto"/>
          <w:sz w:val="22"/>
          <w:szCs w:val="22"/>
          <w:u w:val="single"/>
          <w:lang w:val="sr-Latn-ME"/>
        </w:rPr>
      </w:pPr>
      <w:r w:rsidRPr="00AD3B49">
        <w:rPr>
          <w:rFonts w:ascii="Times New Roman" w:hAnsi="Times New Roman" w:cs="Times New Roman"/>
          <w:color w:val="auto"/>
          <w:sz w:val="22"/>
          <w:szCs w:val="22"/>
          <w:u w:val="single"/>
          <w:lang w:val="sr-Latn-ME"/>
        </w:rPr>
        <w:t>Resorpcija i distribucija</w:t>
      </w:r>
    </w:p>
    <w:p w:rsidR="00A05A1E" w:rsidRPr="00AD3B49" w:rsidRDefault="00A05A1E" w:rsidP="00892AA9">
      <w:pPr>
        <w:pStyle w:val="Default"/>
        <w:jc w:val="both"/>
        <w:rPr>
          <w:rFonts w:ascii="Times New Roman" w:hAnsi="Times New Roman" w:cs="Times New Roman"/>
          <w:color w:val="auto"/>
          <w:sz w:val="22"/>
          <w:szCs w:val="22"/>
          <w:lang w:val="sr-Latn-ME"/>
        </w:rPr>
      </w:pPr>
    </w:p>
    <w:p w:rsidR="00892AA9" w:rsidRPr="00AD3B49" w:rsidRDefault="00892AA9" w:rsidP="00892AA9">
      <w:pPr>
        <w:pStyle w:val="Default"/>
        <w:jc w:val="both"/>
        <w:rPr>
          <w:rFonts w:ascii="Times New Roman" w:hAnsi="Times New Roman" w:cs="Times New Roman"/>
          <w:sz w:val="22"/>
          <w:szCs w:val="22"/>
          <w:lang w:val="sr-Latn-ME"/>
        </w:rPr>
      </w:pPr>
      <w:r w:rsidRPr="00AD3B49">
        <w:rPr>
          <w:rFonts w:ascii="Times New Roman" w:hAnsi="Times New Roman" w:cs="Times New Roman"/>
          <w:color w:val="auto"/>
          <w:sz w:val="22"/>
          <w:szCs w:val="22"/>
          <w:lang w:val="sr-Latn-ME"/>
        </w:rPr>
        <w:t>Nakon supkutane primjene jednokratne doze od 40 mg,</w:t>
      </w:r>
      <w:r w:rsidR="0011658F" w:rsidRPr="00AD3B49">
        <w:rPr>
          <w:rFonts w:ascii="Times New Roman" w:hAnsi="Times New Roman" w:cs="Times New Roman"/>
          <w:color w:val="auto"/>
          <w:sz w:val="22"/>
          <w:szCs w:val="22"/>
          <w:lang w:val="sr-Latn-ME"/>
        </w:rPr>
        <w:t xml:space="preserve"> adalimumab se sporo </w:t>
      </w:r>
      <w:r w:rsidR="00CF3D5D" w:rsidRPr="00AD3B49">
        <w:rPr>
          <w:rFonts w:ascii="Times New Roman" w:hAnsi="Times New Roman" w:cs="Times New Roman"/>
          <w:color w:val="auto"/>
          <w:sz w:val="22"/>
          <w:szCs w:val="22"/>
          <w:lang w:val="sr-Latn-ME"/>
        </w:rPr>
        <w:t>re</w:t>
      </w:r>
      <w:r w:rsidR="0011658F" w:rsidRPr="00AD3B49">
        <w:rPr>
          <w:rFonts w:ascii="Times New Roman" w:hAnsi="Times New Roman" w:cs="Times New Roman"/>
          <w:color w:val="auto"/>
          <w:sz w:val="22"/>
          <w:szCs w:val="22"/>
          <w:lang w:val="sr-Latn-ME"/>
        </w:rPr>
        <w:t>sorbuje i raspoređ</w:t>
      </w:r>
      <w:r w:rsidRPr="00AD3B49">
        <w:rPr>
          <w:rFonts w:ascii="Times New Roman" w:hAnsi="Times New Roman" w:cs="Times New Roman"/>
          <w:color w:val="auto"/>
          <w:sz w:val="22"/>
          <w:szCs w:val="22"/>
          <w:lang w:val="sr-Latn-ME"/>
        </w:rPr>
        <w:t xml:space="preserve">uje po tkivima, a </w:t>
      </w:r>
      <w:r w:rsidR="00E521F9" w:rsidRPr="00AD3B49">
        <w:rPr>
          <w:rFonts w:ascii="Times New Roman" w:hAnsi="Times New Roman" w:cs="Times New Roman"/>
          <w:color w:val="auto"/>
          <w:sz w:val="22"/>
          <w:szCs w:val="22"/>
          <w:lang w:val="sr-Latn-ME"/>
        </w:rPr>
        <w:t>maksimalne</w:t>
      </w:r>
      <w:r w:rsidRPr="00AD3B49">
        <w:rPr>
          <w:rFonts w:ascii="Times New Roman" w:hAnsi="Times New Roman" w:cs="Times New Roman"/>
          <w:color w:val="auto"/>
          <w:sz w:val="22"/>
          <w:szCs w:val="22"/>
          <w:lang w:val="sr-Latn-ME"/>
        </w:rPr>
        <w:t xml:space="preserve"> koncentracije u serumu postižu se približno 5 dana nakon primjene. Prosječna apsolutna bioraspoloživost adalimumaba nakon primjene jednokratne </w:t>
      </w:r>
      <w:r w:rsidR="00CF3D5D" w:rsidRPr="00AD3B49">
        <w:rPr>
          <w:rFonts w:ascii="Times New Roman" w:hAnsi="Times New Roman" w:cs="Times New Roman"/>
          <w:color w:val="auto"/>
          <w:sz w:val="22"/>
          <w:szCs w:val="22"/>
          <w:lang w:val="sr-Latn-ME"/>
        </w:rPr>
        <w:t xml:space="preserve">supkutane </w:t>
      </w:r>
      <w:r w:rsidRPr="00AD3B49">
        <w:rPr>
          <w:rFonts w:ascii="Times New Roman" w:hAnsi="Times New Roman" w:cs="Times New Roman"/>
          <w:color w:val="auto"/>
          <w:sz w:val="22"/>
          <w:szCs w:val="22"/>
          <w:lang w:val="sr-Latn-ME"/>
        </w:rPr>
        <w:t>doze od 40 mg bila je 64 % u tri ispitivanja. Nakon pojedinačnih intravenskih doza koje su se kretale od 0,25 do 10 mg/kg, koncentracije su bile proporcionalne dozi. Nakon primjene doza od 0,5 mg/kg ( ~40 mg) klirens adalimumaba je bio u rasponu od 11 do 15 ml/sat, a volumen raspodjele (V</w:t>
      </w:r>
      <w:r w:rsidRPr="00AD3B49">
        <w:rPr>
          <w:rFonts w:ascii="Times New Roman" w:hAnsi="Times New Roman" w:cs="Times New Roman"/>
          <w:color w:val="auto"/>
          <w:position w:val="-8"/>
          <w:sz w:val="22"/>
          <w:szCs w:val="22"/>
          <w:vertAlign w:val="subscript"/>
          <w:lang w:val="sr-Latn-ME"/>
        </w:rPr>
        <w:t>ss</w:t>
      </w:r>
      <w:r w:rsidRPr="00AD3B49">
        <w:rPr>
          <w:rFonts w:ascii="Times New Roman" w:hAnsi="Times New Roman" w:cs="Times New Roman"/>
          <w:color w:val="auto"/>
          <w:sz w:val="22"/>
          <w:szCs w:val="22"/>
          <w:lang w:val="sr-Latn-ME"/>
        </w:rPr>
        <w:t xml:space="preserve">) je iznosio od </w:t>
      </w:r>
      <w:r w:rsidR="005909A8" w:rsidRPr="00AD3B49">
        <w:rPr>
          <w:rFonts w:ascii="Times New Roman" w:hAnsi="Times New Roman" w:cs="Times New Roman"/>
          <w:color w:val="auto"/>
          <w:sz w:val="22"/>
          <w:szCs w:val="22"/>
          <w:lang w:val="sr-Latn-ME"/>
        </w:rPr>
        <w:t>5 do 6 litara. Srednje poluvrijeme eliminacije</w:t>
      </w:r>
      <w:r w:rsidRPr="00AD3B49">
        <w:rPr>
          <w:rFonts w:ascii="Times New Roman" w:hAnsi="Times New Roman" w:cs="Times New Roman"/>
          <w:color w:val="auto"/>
          <w:sz w:val="22"/>
          <w:szCs w:val="22"/>
          <w:lang w:val="sr-Latn-ME"/>
        </w:rPr>
        <w:t xml:space="preserve"> u terminalnoj fazi </w:t>
      </w:r>
      <w:r w:rsidR="005909A8" w:rsidRPr="00AD3B49">
        <w:rPr>
          <w:rFonts w:ascii="Times New Roman" w:hAnsi="Times New Roman" w:cs="Times New Roman"/>
          <w:color w:val="auto"/>
          <w:sz w:val="22"/>
          <w:szCs w:val="22"/>
          <w:lang w:val="sr-Latn-ME"/>
        </w:rPr>
        <w:t xml:space="preserve">iznosilo je </w:t>
      </w:r>
      <w:r w:rsidRPr="00AD3B49">
        <w:rPr>
          <w:rFonts w:ascii="Times New Roman" w:hAnsi="Times New Roman" w:cs="Times New Roman"/>
          <w:color w:val="auto"/>
          <w:sz w:val="22"/>
          <w:szCs w:val="22"/>
          <w:lang w:val="sr-Latn-ME"/>
        </w:rPr>
        <w:t xml:space="preserve">približno je dvije </w:t>
      </w:r>
      <w:r w:rsidR="000B016F" w:rsidRPr="00AD3B49">
        <w:rPr>
          <w:rFonts w:ascii="Times New Roman" w:hAnsi="Times New Roman" w:cs="Times New Roman"/>
          <w:color w:val="auto"/>
          <w:sz w:val="22"/>
          <w:szCs w:val="22"/>
          <w:lang w:val="sr-Latn-ME"/>
        </w:rPr>
        <w:t>nedjelje</w:t>
      </w:r>
      <w:r w:rsidRPr="00AD3B49">
        <w:rPr>
          <w:rFonts w:ascii="Times New Roman" w:hAnsi="Times New Roman" w:cs="Times New Roman"/>
          <w:color w:val="auto"/>
          <w:sz w:val="22"/>
          <w:szCs w:val="22"/>
          <w:lang w:val="sr-Latn-ME"/>
        </w:rPr>
        <w:t>. Koncentracije adalimumaba u sinovijalnoj</w:t>
      </w:r>
      <w:r w:rsidRPr="00AD3B49">
        <w:rPr>
          <w:rFonts w:ascii="Times New Roman" w:hAnsi="Times New Roman" w:cs="Times New Roman"/>
          <w:color w:val="FF0000"/>
          <w:sz w:val="22"/>
          <w:szCs w:val="22"/>
          <w:lang w:val="sr-Latn-ME"/>
        </w:rPr>
        <w:t xml:space="preserve"> </w:t>
      </w:r>
      <w:r w:rsidRPr="00AD3B49">
        <w:rPr>
          <w:rFonts w:ascii="Times New Roman" w:hAnsi="Times New Roman" w:cs="Times New Roman"/>
          <w:sz w:val="22"/>
          <w:szCs w:val="22"/>
          <w:lang w:val="sr-Latn-ME"/>
        </w:rPr>
        <w:t>tečnosti nekolicine pacijenata s reumatoidnim artritisom iznosile su 31 % – 96 % koncentracija u serumu.</w:t>
      </w:r>
    </w:p>
    <w:p w:rsidR="00892AA9" w:rsidRPr="00AD3B49" w:rsidRDefault="00892AA9" w:rsidP="00892AA9">
      <w:pPr>
        <w:pStyle w:val="Default"/>
        <w:ind w:left="567" w:hanging="567"/>
        <w:jc w:val="both"/>
        <w:rPr>
          <w:rFonts w:ascii="Times New Roman" w:hAnsi="Times New Roman" w:cs="Times New Roman"/>
          <w:sz w:val="22"/>
          <w:szCs w:val="22"/>
          <w:lang w:val="sr-Latn-ME"/>
        </w:rPr>
      </w:pPr>
    </w:p>
    <w:p w:rsidR="00892AA9" w:rsidRPr="00AD3B49" w:rsidRDefault="00B17FE9" w:rsidP="00892AA9">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Nakon supkutane</w:t>
      </w:r>
      <w:r w:rsidR="00892AA9" w:rsidRPr="00AD3B49">
        <w:rPr>
          <w:rFonts w:ascii="Times New Roman" w:hAnsi="Times New Roman" w:cs="Times New Roman"/>
          <w:sz w:val="22"/>
          <w:szCs w:val="22"/>
          <w:lang w:val="sr-Latn-ME"/>
        </w:rPr>
        <w:t xml:space="preserve"> primjene </w:t>
      </w:r>
      <w:r w:rsidR="0082613A" w:rsidRPr="00AD3B49">
        <w:rPr>
          <w:rFonts w:ascii="Times New Roman" w:hAnsi="Times New Roman" w:cs="Times New Roman"/>
          <w:color w:val="auto"/>
          <w:sz w:val="22"/>
          <w:szCs w:val="22"/>
          <w:lang w:val="sr-Latn-ME"/>
        </w:rPr>
        <w:t xml:space="preserve">lijeka </w:t>
      </w:r>
      <w:r w:rsidR="00892AA9" w:rsidRPr="00AD3B49">
        <w:rPr>
          <w:rFonts w:ascii="Times New Roman" w:hAnsi="Times New Roman" w:cs="Times New Roman"/>
          <w:sz w:val="22"/>
          <w:szCs w:val="22"/>
          <w:lang w:val="sr-Latn-ME"/>
        </w:rPr>
        <w:t>Hu</w:t>
      </w:r>
      <w:r w:rsidRPr="00AD3B49">
        <w:rPr>
          <w:rFonts w:ascii="Times New Roman" w:hAnsi="Times New Roman" w:cs="Times New Roman"/>
          <w:sz w:val="22"/>
          <w:szCs w:val="22"/>
          <w:lang w:val="sr-Latn-ME"/>
        </w:rPr>
        <w:t>mir</w:t>
      </w:r>
      <w:r w:rsidR="0082613A" w:rsidRPr="00AD3B49">
        <w:rPr>
          <w:rFonts w:ascii="Times New Roman" w:hAnsi="Times New Roman" w:cs="Times New Roman"/>
          <w:sz w:val="22"/>
          <w:szCs w:val="22"/>
          <w:lang w:val="sr-Latn-ME"/>
        </w:rPr>
        <w:t>a</w:t>
      </w:r>
      <w:r w:rsidRPr="00AD3B49">
        <w:rPr>
          <w:rFonts w:ascii="Times New Roman" w:hAnsi="Times New Roman" w:cs="Times New Roman"/>
          <w:sz w:val="22"/>
          <w:szCs w:val="22"/>
          <w:lang w:val="sr-Latn-ME"/>
        </w:rPr>
        <w:t xml:space="preserve"> u dozi od 40 mg svake druge</w:t>
      </w:r>
      <w:r w:rsidR="00892AA9" w:rsidRPr="00AD3B49">
        <w:rPr>
          <w:rFonts w:ascii="Times New Roman" w:hAnsi="Times New Roman" w:cs="Times New Roman"/>
          <w:sz w:val="22"/>
          <w:szCs w:val="22"/>
          <w:lang w:val="sr-Latn-ME"/>
        </w:rPr>
        <w:t xml:space="preserve"> </w:t>
      </w:r>
      <w:r w:rsidR="000B016F" w:rsidRPr="00AD3B49">
        <w:rPr>
          <w:rFonts w:ascii="Times New Roman" w:hAnsi="Times New Roman" w:cs="Times New Roman"/>
          <w:sz w:val="22"/>
          <w:szCs w:val="22"/>
          <w:lang w:val="sr-Latn-ME"/>
        </w:rPr>
        <w:t>nedjelje</w:t>
      </w:r>
      <w:r w:rsidR="00892AA9" w:rsidRPr="00AD3B49">
        <w:rPr>
          <w:rFonts w:ascii="Times New Roman" w:hAnsi="Times New Roman" w:cs="Times New Roman"/>
          <w:sz w:val="22"/>
          <w:szCs w:val="22"/>
          <w:lang w:val="sr-Latn-ME"/>
        </w:rPr>
        <w:t xml:space="preserve"> kod odraslih </w:t>
      </w:r>
      <w:r w:rsidR="00F51A30" w:rsidRPr="00AD3B49">
        <w:rPr>
          <w:rFonts w:ascii="Times New Roman" w:hAnsi="Times New Roman" w:cs="Times New Roman"/>
          <w:sz w:val="22"/>
          <w:szCs w:val="22"/>
          <w:lang w:val="sr-Latn-ME"/>
        </w:rPr>
        <w:t>pacijenat</w:t>
      </w:r>
      <w:r w:rsidR="00892AA9" w:rsidRPr="00AD3B49">
        <w:rPr>
          <w:rFonts w:ascii="Times New Roman" w:hAnsi="Times New Roman" w:cs="Times New Roman"/>
          <w:sz w:val="22"/>
          <w:szCs w:val="22"/>
          <w:lang w:val="sr-Latn-ME"/>
        </w:rPr>
        <w:t>a s reumatoidnim artritisom srednje</w:t>
      </w:r>
      <w:r w:rsidRPr="00AD3B49">
        <w:rPr>
          <w:rFonts w:ascii="Times New Roman" w:hAnsi="Times New Roman" w:cs="Times New Roman"/>
          <w:sz w:val="22"/>
          <w:szCs w:val="22"/>
          <w:lang w:val="sr-Latn-ME"/>
        </w:rPr>
        <w:t xml:space="preserve"> vrijednosti</w:t>
      </w:r>
      <w:r w:rsidR="00892AA9" w:rsidRPr="00AD3B49">
        <w:rPr>
          <w:rFonts w:ascii="Times New Roman" w:hAnsi="Times New Roman" w:cs="Times New Roman"/>
          <w:sz w:val="22"/>
          <w:szCs w:val="22"/>
          <w:lang w:val="sr-Latn-ME"/>
        </w:rPr>
        <w:t xml:space="preserve"> najniže koncentracije</w:t>
      </w:r>
      <w:r w:rsidRPr="00AD3B49">
        <w:rPr>
          <w:rFonts w:ascii="Times New Roman" w:hAnsi="Times New Roman" w:cs="Times New Roman"/>
          <w:sz w:val="22"/>
          <w:szCs w:val="22"/>
          <w:lang w:val="sr-Latn-ME"/>
        </w:rPr>
        <w:t xml:space="preserve"> lijeka </w:t>
      </w:r>
      <w:r w:rsidR="00892AA9" w:rsidRPr="00AD3B49">
        <w:rPr>
          <w:rFonts w:ascii="Times New Roman" w:hAnsi="Times New Roman" w:cs="Times New Roman"/>
          <w:sz w:val="22"/>
          <w:szCs w:val="22"/>
          <w:lang w:val="sr-Latn-ME"/>
        </w:rPr>
        <w:t>u stanju dinamičke ravnoteže bile su približno 5 μg /ml (bez istovremene primjene metotreksata), odnosno 8 – 9 μg/ml</w:t>
      </w:r>
      <w:r w:rsidRPr="00AD3B49">
        <w:rPr>
          <w:rFonts w:ascii="Times New Roman" w:hAnsi="Times New Roman" w:cs="Times New Roman"/>
          <w:sz w:val="22"/>
          <w:szCs w:val="22"/>
          <w:lang w:val="sr-Latn-ME"/>
        </w:rPr>
        <w:t xml:space="preserve"> (uz metotreksat). Najniže koncentracije</w:t>
      </w:r>
      <w:r w:rsidR="00892AA9" w:rsidRPr="00AD3B49">
        <w:rPr>
          <w:rFonts w:ascii="Times New Roman" w:hAnsi="Times New Roman" w:cs="Times New Roman"/>
          <w:sz w:val="22"/>
          <w:szCs w:val="22"/>
          <w:lang w:val="sr-Latn-ME"/>
        </w:rPr>
        <w:t xml:space="preserve"> adalimumaba u serumu</w:t>
      </w:r>
      <w:r w:rsidRPr="00AD3B49">
        <w:rPr>
          <w:rFonts w:ascii="Times New Roman" w:hAnsi="Times New Roman" w:cs="Times New Roman"/>
          <w:sz w:val="22"/>
          <w:szCs w:val="22"/>
          <w:lang w:val="sr-Latn-ME"/>
        </w:rPr>
        <w:t>,</w:t>
      </w:r>
      <w:r w:rsidR="00892AA9" w:rsidRPr="00AD3B49">
        <w:rPr>
          <w:rFonts w:ascii="Times New Roman" w:hAnsi="Times New Roman" w:cs="Times New Roman"/>
          <w:sz w:val="22"/>
          <w:szCs w:val="22"/>
          <w:lang w:val="sr-Latn-ME"/>
        </w:rPr>
        <w:t xml:space="preserve"> u stanju dinamičke ravnoteže </w:t>
      </w:r>
      <w:r w:rsidRPr="00AD3B49">
        <w:rPr>
          <w:rFonts w:ascii="Times New Roman" w:hAnsi="Times New Roman" w:cs="Times New Roman"/>
          <w:sz w:val="22"/>
          <w:szCs w:val="22"/>
          <w:lang w:val="sr-Latn-ME"/>
        </w:rPr>
        <w:t xml:space="preserve">povećavale </w:t>
      </w:r>
      <w:r w:rsidR="00892AA9" w:rsidRPr="00AD3B49">
        <w:rPr>
          <w:rFonts w:ascii="Times New Roman" w:hAnsi="Times New Roman" w:cs="Times New Roman"/>
          <w:sz w:val="22"/>
          <w:szCs w:val="22"/>
          <w:lang w:val="sr-Latn-ME"/>
        </w:rPr>
        <w:t xml:space="preserve">su se uglavnom </w:t>
      </w:r>
      <w:r w:rsidR="00F51A30" w:rsidRPr="00AD3B49">
        <w:rPr>
          <w:rFonts w:ascii="Times New Roman" w:hAnsi="Times New Roman" w:cs="Times New Roman"/>
          <w:sz w:val="22"/>
          <w:szCs w:val="22"/>
          <w:lang w:val="sr-Latn-ME"/>
        </w:rPr>
        <w:t>s</w:t>
      </w:r>
      <w:r w:rsidR="00892AA9" w:rsidRPr="00AD3B49">
        <w:rPr>
          <w:rFonts w:ascii="Times New Roman" w:hAnsi="Times New Roman" w:cs="Times New Roman"/>
          <w:sz w:val="22"/>
          <w:szCs w:val="22"/>
          <w:lang w:val="sr-Latn-ME"/>
        </w:rPr>
        <w:t xml:space="preserve">razmjerno dozi nakon potkožne primjene 20, 40 i 80 mg svake </w:t>
      </w:r>
      <w:r w:rsidR="00DF40CA" w:rsidRPr="00AD3B49">
        <w:rPr>
          <w:rFonts w:ascii="Times New Roman" w:hAnsi="Times New Roman" w:cs="Times New Roman"/>
          <w:sz w:val="22"/>
          <w:szCs w:val="22"/>
          <w:lang w:val="sr-Latn-ME"/>
        </w:rPr>
        <w:t xml:space="preserve">druge </w:t>
      </w:r>
      <w:r w:rsidR="000B016F" w:rsidRPr="00AD3B49">
        <w:rPr>
          <w:rFonts w:ascii="Times New Roman" w:hAnsi="Times New Roman" w:cs="Times New Roman"/>
          <w:sz w:val="22"/>
          <w:szCs w:val="22"/>
          <w:lang w:val="sr-Latn-ME"/>
        </w:rPr>
        <w:t>nedjelje</w:t>
      </w:r>
      <w:r w:rsidR="00892AA9" w:rsidRPr="00AD3B49">
        <w:rPr>
          <w:rFonts w:ascii="Times New Roman" w:hAnsi="Times New Roman" w:cs="Times New Roman"/>
          <w:sz w:val="22"/>
          <w:szCs w:val="22"/>
          <w:lang w:val="sr-Latn-ME"/>
        </w:rPr>
        <w:t xml:space="preserve">, odnosno svake </w:t>
      </w:r>
      <w:r w:rsidR="000B016F" w:rsidRPr="00AD3B49">
        <w:rPr>
          <w:rFonts w:ascii="Times New Roman" w:hAnsi="Times New Roman" w:cs="Times New Roman"/>
          <w:sz w:val="22"/>
          <w:szCs w:val="22"/>
          <w:lang w:val="sr-Latn-ME"/>
        </w:rPr>
        <w:t>nedjelje</w:t>
      </w:r>
      <w:r w:rsidR="00892AA9" w:rsidRPr="00AD3B49">
        <w:rPr>
          <w:rFonts w:ascii="Times New Roman" w:hAnsi="Times New Roman" w:cs="Times New Roman"/>
          <w:sz w:val="22"/>
          <w:szCs w:val="22"/>
          <w:lang w:val="sr-Latn-ME"/>
        </w:rPr>
        <w:t>.</w:t>
      </w:r>
    </w:p>
    <w:p w:rsidR="00892AA9" w:rsidRPr="00AD3B49" w:rsidRDefault="00892AA9" w:rsidP="00892AA9">
      <w:pPr>
        <w:pStyle w:val="Default"/>
        <w:jc w:val="both"/>
        <w:rPr>
          <w:rFonts w:ascii="Times New Roman" w:hAnsi="Times New Roman" w:cs="Times New Roman"/>
          <w:sz w:val="22"/>
          <w:szCs w:val="22"/>
          <w:lang w:val="sr-Latn-ME"/>
        </w:rPr>
      </w:pPr>
    </w:p>
    <w:p w:rsidR="00265512" w:rsidRPr="00AD3B49" w:rsidRDefault="00265512" w:rsidP="00265512">
      <w:pPr>
        <w:pStyle w:val="EMEANormal"/>
        <w:tabs>
          <w:tab w:val="clear" w:pos="562"/>
        </w:tabs>
        <w:jc w:val="both"/>
        <w:rPr>
          <w:lang w:val="sr-Latn-ME"/>
        </w:rPr>
      </w:pPr>
      <w:r w:rsidRPr="00AD3B49">
        <w:rPr>
          <w:lang w:val="sr-Latn-ME"/>
        </w:rPr>
        <w:t>Nakon primjene 24 mg/m</w:t>
      </w:r>
      <w:r w:rsidRPr="00AD3B49">
        <w:rPr>
          <w:vertAlign w:val="superscript"/>
          <w:lang w:val="sr-Latn-ME"/>
        </w:rPr>
        <w:t>2</w:t>
      </w:r>
      <w:r w:rsidRPr="00AD3B49">
        <w:rPr>
          <w:lang w:val="sr-Latn-ME"/>
        </w:rPr>
        <w:t xml:space="preserve"> (do maksimalno 40 mg) potkožno svake druge </w:t>
      </w:r>
      <w:r w:rsidR="000B016F" w:rsidRPr="00AD3B49">
        <w:rPr>
          <w:lang w:val="sr-Latn-ME"/>
        </w:rPr>
        <w:t>nedjelje</w:t>
      </w:r>
      <w:r w:rsidRPr="00AD3B49">
        <w:rPr>
          <w:lang w:val="sr-Latn-ME"/>
        </w:rPr>
        <w:t xml:space="preserve"> kod </w:t>
      </w:r>
      <w:r w:rsidR="00B17FE9" w:rsidRPr="00AD3B49">
        <w:rPr>
          <w:lang w:val="sr-Latn-ME"/>
        </w:rPr>
        <w:t>pacijenata</w:t>
      </w:r>
      <w:r w:rsidRPr="00AD3B49">
        <w:rPr>
          <w:lang w:val="sr-Latn-ME"/>
        </w:rPr>
        <w:t xml:space="preserve"> s poliartikularnim juvenilnim idiopatskim artritisom (JIA)</w:t>
      </w:r>
      <w:r w:rsidR="00B17FE9" w:rsidRPr="00AD3B49">
        <w:rPr>
          <w:lang w:val="sr-Latn-ME"/>
        </w:rPr>
        <w:t xml:space="preserve"> u dobi od 4-17 godina</w:t>
      </w:r>
      <w:r w:rsidRPr="00AD3B49">
        <w:rPr>
          <w:lang w:val="sr-Latn-ME"/>
        </w:rPr>
        <w:t xml:space="preserve">, srednja </w:t>
      </w:r>
      <w:r w:rsidR="00B17FE9" w:rsidRPr="00AD3B49">
        <w:rPr>
          <w:lang w:val="sr-Latn-ME"/>
        </w:rPr>
        <w:t>vrijednost najniže</w:t>
      </w:r>
      <w:r w:rsidRPr="00AD3B49">
        <w:rPr>
          <w:lang w:val="sr-Latn-ME"/>
        </w:rPr>
        <w:t xml:space="preserve"> koncentracij</w:t>
      </w:r>
      <w:r w:rsidR="00B17FE9" w:rsidRPr="00AD3B49">
        <w:rPr>
          <w:lang w:val="sr-Latn-ME"/>
        </w:rPr>
        <w:t>e</w:t>
      </w:r>
      <w:r w:rsidRPr="00AD3B49">
        <w:rPr>
          <w:lang w:val="sr-Latn-ME"/>
        </w:rPr>
        <w:t xml:space="preserve"> adalimumaba u serumu u stanju dinamičke ravnoteže (vrijednosti mjerene od 20. do 48. </w:t>
      </w:r>
      <w:r w:rsidR="00F01513" w:rsidRPr="00AD3B49">
        <w:rPr>
          <w:lang w:val="sr-Latn-ME"/>
        </w:rPr>
        <w:t>nedjelje</w:t>
      </w:r>
      <w:r w:rsidRPr="00AD3B49">
        <w:rPr>
          <w:lang w:val="sr-Latn-ME"/>
        </w:rPr>
        <w:t>) bila je 5,6 ± 5,6 µg/ml (102%</w:t>
      </w:r>
      <w:r w:rsidR="00B17FE9" w:rsidRPr="00AD3B49">
        <w:rPr>
          <w:lang w:val="sr-Latn-ME"/>
        </w:rPr>
        <w:t xml:space="preserve"> </w:t>
      </w:r>
      <w:r w:rsidRPr="00AD3B49">
        <w:rPr>
          <w:lang w:val="sr-Latn-ME"/>
        </w:rPr>
        <w:t xml:space="preserve">CV) na monoterapiji </w:t>
      </w:r>
      <w:r w:rsidR="00E409B0" w:rsidRPr="00AD3B49">
        <w:rPr>
          <w:lang w:val="sr-Latn-ME"/>
        </w:rPr>
        <w:t xml:space="preserve">lijekom </w:t>
      </w:r>
      <w:r w:rsidRPr="00AD3B49">
        <w:rPr>
          <w:lang w:val="sr-Latn-ME"/>
        </w:rPr>
        <w:t>Humir</w:t>
      </w:r>
      <w:r w:rsidR="00E409B0" w:rsidRPr="00AD3B49">
        <w:rPr>
          <w:lang w:val="sr-Latn-ME"/>
        </w:rPr>
        <w:t>a</w:t>
      </w:r>
      <w:r w:rsidRPr="00AD3B49">
        <w:rPr>
          <w:lang w:val="sr-Latn-ME"/>
        </w:rPr>
        <w:t xml:space="preserve"> i 10,9 ± 5,2 µg/ml (47,7% CV) s </w:t>
      </w:r>
      <w:r w:rsidR="00B17FE9" w:rsidRPr="00AD3B49">
        <w:rPr>
          <w:lang w:val="sr-Latn-ME"/>
        </w:rPr>
        <w:t>istovremenom primjenom</w:t>
      </w:r>
      <w:r w:rsidRPr="00AD3B49">
        <w:rPr>
          <w:lang w:val="sr-Latn-ME"/>
        </w:rPr>
        <w:t xml:space="preserve"> </w:t>
      </w:r>
      <w:r w:rsidR="00B17FE9" w:rsidRPr="00AD3B49">
        <w:rPr>
          <w:lang w:val="sr-Latn-ME"/>
        </w:rPr>
        <w:t>metotreksata</w:t>
      </w:r>
      <w:r w:rsidRPr="00AD3B49">
        <w:rPr>
          <w:lang w:val="sr-Latn-ME"/>
        </w:rPr>
        <w:t xml:space="preserve">. </w:t>
      </w:r>
    </w:p>
    <w:p w:rsidR="00B17FE9" w:rsidRPr="00AD3B49" w:rsidRDefault="00B17FE9" w:rsidP="00265512">
      <w:pPr>
        <w:pStyle w:val="EMEANormal"/>
        <w:tabs>
          <w:tab w:val="clear" w:pos="562"/>
        </w:tabs>
        <w:jc w:val="both"/>
        <w:rPr>
          <w:lang w:val="sr-Latn-ME"/>
        </w:rPr>
      </w:pPr>
    </w:p>
    <w:p w:rsidR="00B17FE9" w:rsidRPr="00AD3B49" w:rsidRDefault="00B17FE9" w:rsidP="00265512">
      <w:pPr>
        <w:pStyle w:val="EMEANormal"/>
        <w:tabs>
          <w:tab w:val="clear" w:pos="562"/>
        </w:tabs>
        <w:jc w:val="both"/>
        <w:rPr>
          <w:lang w:val="sr-Latn-ME"/>
        </w:rPr>
      </w:pPr>
      <w:r w:rsidRPr="00AD3B49">
        <w:rPr>
          <w:lang w:val="sr-Latn-ME"/>
        </w:rPr>
        <w:t>Kod pacijenata sa JIA starosti od 2 do manje od 4 godine ili starosti od 4 godine i starijih s tjelesnom težinom manjom od 15 kg nakon primjene 24 mg/m</w:t>
      </w:r>
      <w:r w:rsidRPr="00AD3B49">
        <w:rPr>
          <w:vertAlign w:val="superscript"/>
          <w:lang w:val="sr-Latn-ME"/>
        </w:rPr>
        <w:t>2</w:t>
      </w:r>
      <w:r w:rsidRPr="00AD3B49">
        <w:rPr>
          <w:lang w:val="sr-Latn-ME"/>
        </w:rPr>
        <w:t xml:space="preserve"> </w:t>
      </w:r>
      <w:r w:rsidR="0082613A" w:rsidRPr="00AD3B49">
        <w:rPr>
          <w:lang w:val="sr-Latn-ME"/>
        </w:rPr>
        <w:t xml:space="preserve">lijeka </w:t>
      </w:r>
      <w:r w:rsidRPr="00AD3B49">
        <w:rPr>
          <w:lang w:val="sr-Latn-ME"/>
        </w:rPr>
        <w:t>Humir</w:t>
      </w:r>
      <w:r w:rsidR="0082613A" w:rsidRPr="00AD3B49">
        <w:rPr>
          <w:lang w:val="sr-Latn-ME"/>
        </w:rPr>
        <w:t>a</w:t>
      </w:r>
      <w:r w:rsidRPr="00AD3B49">
        <w:rPr>
          <w:lang w:val="sr-Latn-ME"/>
        </w:rPr>
        <w:t xml:space="preserve">, srednja vrijednost najniže koncentracije adalimumaba u serumu u stanju dinamičke ravnoteže bila je 6,0 ± 6,1 µg/ml (101% CV) na monoterapiji </w:t>
      </w:r>
      <w:r w:rsidR="00E409B0" w:rsidRPr="00AD3B49">
        <w:rPr>
          <w:lang w:val="sr-Latn-ME"/>
        </w:rPr>
        <w:t xml:space="preserve">lijekom </w:t>
      </w:r>
      <w:r w:rsidRPr="00AD3B49">
        <w:rPr>
          <w:lang w:val="sr-Latn-ME"/>
        </w:rPr>
        <w:t>Humir</w:t>
      </w:r>
      <w:r w:rsidR="00E409B0" w:rsidRPr="00AD3B49">
        <w:rPr>
          <w:lang w:val="sr-Latn-ME"/>
        </w:rPr>
        <w:t>a</w:t>
      </w:r>
      <w:r w:rsidRPr="00AD3B49">
        <w:rPr>
          <w:lang w:val="sr-Latn-ME"/>
        </w:rPr>
        <w:t xml:space="preserve"> i 7,9 ± 5,6 µg/ml (71,2% CV) s istovremenom primjenom metotreksata.</w:t>
      </w:r>
    </w:p>
    <w:p w:rsidR="00265512" w:rsidRPr="00AD3B49" w:rsidRDefault="00265512" w:rsidP="00265512">
      <w:pPr>
        <w:autoSpaceDE w:val="0"/>
        <w:autoSpaceDN w:val="0"/>
        <w:adjustRightInd w:val="0"/>
        <w:jc w:val="both"/>
        <w:rPr>
          <w:sz w:val="22"/>
          <w:szCs w:val="22"/>
          <w:lang w:val="sr-Latn-ME"/>
        </w:rPr>
      </w:pPr>
      <w:r w:rsidRPr="00AD3B49">
        <w:rPr>
          <w:sz w:val="22"/>
          <w:szCs w:val="22"/>
          <w:lang w:val="sr-Latn-ME"/>
        </w:rPr>
        <w:lastRenderedPageBreak/>
        <w:t>Kod pacijenata sa psorijazom, srednja</w:t>
      </w:r>
      <w:r w:rsidR="00B17FE9" w:rsidRPr="00AD3B49">
        <w:rPr>
          <w:sz w:val="22"/>
          <w:szCs w:val="22"/>
          <w:lang w:val="sr-Latn-ME"/>
        </w:rPr>
        <w:t xml:space="preserve"> vrijednost</w:t>
      </w:r>
      <w:r w:rsidRPr="00AD3B49">
        <w:rPr>
          <w:sz w:val="22"/>
          <w:szCs w:val="22"/>
          <w:lang w:val="sr-Latn-ME"/>
        </w:rPr>
        <w:t xml:space="preserve"> najniž</w:t>
      </w:r>
      <w:r w:rsidR="00B17FE9" w:rsidRPr="00AD3B49">
        <w:rPr>
          <w:sz w:val="22"/>
          <w:szCs w:val="22"/>
          <w:lang w:val="sr-Latn-ME"/>
        </w:rPr>
        <w:t>e koncentracije</w:t>
      </w:r>
      <w:r w:rsidRPr="00AD3B49">
        <w:rPr>
          <w:sz w:val="22"/>
          <w:szCs w:val="22"/>
          <w:lang w:val="sr-Latn-ME"/>
        </w:rPr>
        <w:t xml:space="preserve"> u stanju dinamičke ravnoteže bila je 5 </w:t>
      </w:r>
      <w:r w:rsidR="00B17FE9" w:rsidRPr="00AD3B49">
        <w:rPr>
          <w:sz w:val="22"/>
          <w:szCs w:val="22"/>
          <w:lang w:val="sr-Latn-ME"/>
        </w:rPr>
        <w:t>μg/ml to</w:t>
      </w:r>
      <w:r w:rsidRPr="00AD3B49">
        <w:rPr>
          <w:sz w:val="22"/>
          <w:szCs w:val="22"/>
          <w:lang w:val="sr-Latn-ME"/>
        </w:rPr>
        <w:t xml:space="preserve">kom primjene monoterapije 40 mg adalimumaba svake druge </w:t>
      </w:r>
      <w:r w:rsidR="000B016F" w:rsidRPr="00AD3B49">
        <w:rPr>
          <w:sz w:val="22"/>
          <w:szCs w:val="22"/>
          <w:lang w:val="sr-Latn-ME"/>
        </w:rPr>
        <w:t>nedjelje</w:t>
      </w:r>
      <w:r w:rsidRPr="00AD3B49">
        <w:rPr>
          <w:sz w:val="22"/>
          <w:szCs w:val="22"/>
          <w:lang w:val="sr-Latn-ME"/>
        </w:rPr>
        <w:t>.</w:t>
      </w:r>
    </w:p>
    <w:p w:rsidR="00265512" w:rsidRPr="00AD3B49" w:rsidRDefault="00265512" w:rsidP="00265512">
      <w:pPr>
        <w:autoSpaceDE w:val="0"/>
        <w:autoSpaceDN w:val="0"/>
        <w:adjustRightInd w:val="0"/>
        <w:jc w:val="both"/>
        <w:rPr>
          <w:sz w:val="22"/>
          <w:szCs w:val="22"/>
          <w:lang w:val="sr-Latn-ME"/>
        </w:rPr>
      </w:pPr>
    </w:p>
    <w:p w:rsidR="00265512" w:rsidRPr="00AD3B49" w:rsidRDefault="00265512" w:rsidP="00265512">
      <w:pPr>
        <w:autoSpaceDE w:val="0"/>
        <w:autoSpaceDN w:val="0"/>
        <w:adjustRightInd w:val="0"/>
        <w:jc w:val="both"/>
        <w:rPr>
          <w:sz w:val="22"/>
          <w:szCs w:val="22"/>
          <w:lang w:val="sr-Latn-ME"/>
        </w:rPr>
      </w:pPr>
      <w:r w:rsidRPr="00AD3B49">
        <w:rPr>
          <w:sz w:val="22"/>
          <w:szCs w:val="22"/>
          <w:lang w:val="sr-Latn-ME"/>
        </w:rPr>
        <w:t xml:space="preserve">Tokom perioda indukcije kod pacijenata s Crohnovom bolešću nakon početne doze od 80 mg nulte </w:t>
      </w:r>
      <w:r w:rsidR="000B016F" w:rsidRPr="00AD3B49">
        <w:rPr>
          <w:sz w:val="22"/>
          <w:szCs w:val="22"/>
          <w:lang w:val="sr-Latn-ME"/>
        </w:rPr>
        <w:t>nedjelje</w:t>
      </w:r>
      <w:r w:rsidRPr="00AD3B49">
        <w:rPr>
          <w:sz w:val="22"/>
          <w:szCs w:val="22"/>
          <w:lang w:val="sr-Latn-ME"/>
        </w:rPr>
        <w:t xml:space="preserve"> i druge doze od 40 mg nakon dvije </w:t>
      </w:r>
      <w:r w:rsidR="000B016F" w:rsidRPr="00AD3B49">
        <w:rPr>
          <w:sz w:val="22"/>
          <w:szCs w:val="22"/>
          <w:lang w:val="sr-Latn-ME"/>
        </w:rPr>
        <w:t>nedjelje</w:t>
      </w:r>
      <w:r w:rsidRPr="00AD3B49">
        <w:rPr>
          <w:sz w:val="22"/>
          <w:szCs w:val="22"/>
          <w:lang w:val="sr-Latn-ME"/>
        </w:rPr>
        <w:t xml:space="preserve"> postignute su serumske koncentracije adalimumaba oko 5,5 μg/ml. Tokom perioda indukcije, ukoliko je doza u nultoj </w:t>
      </w:r>
      <w:r w:rsidR="000B016F" w:rsidRPr="00AD3B49">
        <w:rPr>
          <w:sz w:val="22"/>
          <w:szCs w:val="22"/>
          <w:lang w:val="sr-Latn-ME"/>
        </w:rPr>
        <w:t>nedjelji</w:t>
      </w:r>
      <w:r w:rsidRPr="00AD3B49">
        <w:rPr>
          <w:sz w:val="22"/>
          <w:szCs w:val="22"/>
          <w:lang w:val="sr-Latn-ME"/>
        </w:rPr>
        <w:t xml:space="preserve"> bila 160 mg, </w:t>
      </w:r>
      <w:r w:rsidR="00B17FE9" w:rsidRPr="00AD3B49">
        <w:rPr>
          <w:sz w:val="22"/>
          <w:szCs w:val="22"/>
          <w:lang w:val="sr-Latn-ME"/>
        </w:rPr>
        <w:t>iza čega je u 2</w:t>
      </w:r>
      <w:r w:rsidRPr="00AD3B49">
        <w:rPr>
          <w:sz w:val="22"/>
          <w:szCs w:val="22"/>
          <w:lang w:val="sr-Latn-ME"/>
        </w:rPr>
        <w:t xml:space="preserve"> </w:t>
      </w:r>
      <w:r w:rsidR="000B016F" w:rsidRPr="00AD3B49">
        <w:rPr>
          <w:sz w:val="22"/>
          <w:szCs w:val="22"/>
          <w:lang w:val="sr-Latn-ME"/>
        </w:rPr>
        <w:t>nedjelji</w:t>
      </w:r>
      <w:r w:rsidRPr="00AD3B49">
        <w:rPr>
          <w:sz w:val="22"/>
          <w:szCs w:val="22"/>
          <w:lang w:val="sr-Latn-ME"/>
        </w:rPr>
        <w:t xml:space="preserve"> uslijedila doza od 80 mg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postižu se serumske koncentracije adalimumaba oko 12 μg/ml. Kod pacijenata s Crohnovom bolešću koji primaju terapiju održavanja od 40 mg svake druge </w:t>
      </w:r>
      <w:r w:rsidR="000B016F" w:rsidRPr="00AD3B49">
        <w:rPr>
          <w:sz w:val="22"/>
          <w:szCs w:val="22"/>
          <w:lang w:val="sr-Latn-ME"/>
        </w:rPr>
        <w:t>nedjelje</w:t>
      </w:r>
      <w:r w:rsidRPr="00AD3B49">
        <w:rPr>
          <w:sz w:val="22"/>
          <w:szCs w:val="22"/>
          <w:lang w:val="sr-Latn-ME"/>
        </w:rPr>
        <w:t xml:space="preserve"> prosječna najniža koncentracija adalimumaba u serumu u stanju dinamičke ravnoteže je 7 μg/ml.</w:t>
      </w:r>
    </w:p>
    <w:p w:rsidR="00265512" w:rsidRPr="00AD3B49" w:rsidRDefault="00265512" w:rsidP="00265512">
      <w:pPr>
        <w:autoSpaceDE w:val="0"/>
        <w:autoSpaceDN w:val="0"/>
        <w:adjustRightInd w:val="0"/>
        <w:jc w:val="both"/>
        <w:rPr>
          <w:sz w:val="22"/>
          <w:szCs w:val="22"/>
          <w:lang w:val="sr-Latn-ME"/>
        </w:rPr>
      </w:pPr>
    </w:p>
    <w:p w:rsidR="00265512" w:rsidRPr="00AD3B49" w:rsidRDefault="00265512" w:rsidP="00265512">
      <w:pPr>
        <w:autoSpaceDE w:val="0"/>
        <w:autoSpaceDN w:val="0"/>
        <w:adjustRightInd w:val="0"/>
        <w:jc w:val="both"/>
        <w:rPr>
          <w:sz w:val="22"/>
          <w:szCs w:val="22"/>
          <w:lang w:val="sr-Latn-ME"/>
        </w:rPr>
      </w:pPr>
      <w:r w:rsidRPr="00AD3B49">
        <w:rPr>
          <w:sz w:val="22"/>
          <w:szCs w:val="22"/>
          <w:lang w:val="sr-Latn-ME"/>
        </w:rPr>
        <w:t>Kod pedijatrijskih pacijenata sa umjerenim do teškim oblikom Crohn-ove bolesti, indukciona doza u otvorenoj studiji bila je 160/80 mg ili 80/40 mg</w:t>
      </w:r>
      <w:r w:rsidR="00B17FE9" w:rsidRPr="00AD3B49">
        <w:rPr>
          <w:sz w:val="22"/>
          <w:szCs w:val="22"/>
          <w:lang w:val="sr-Latn-ME"/>
        </w:rPr>
        <w:t xml:space="preserve"> u nultoj nedjelji i nedjelji 2</w:t>
      </w:r>
      <w:r w:rsidRPr="00AD3B49">
        <w:rPr>
          <w:sz w:val="22"/>
          <w:szCs w:val="22"/>
          <w:lang w:val="sr-Latn-ME"/>
        </w:rPr>
        <w:t>, u zavisnosti od tjelesne težine (granična vrijednost od 40 kg). Nakon 4 nedjelje, bolesnici su randomiz</w:t>
      </w:r>
      <w:r w:rsidR="00E521F9" w:rsidRPr="00AD3B49">
        <w:rPr>
          <w:sz w:val="22"/>
          <w:szCs w:val="22"/>
          <w:lang w:val="sr-Latn-ME"/>
        </w:rPr>
        <w:t>ov</w:t>
      </w:r>
      <w:r w:rsidRPr="00AD3B49">
        <w:rPr>
          <w:sz w:val="22"/>
          <w:szCs w:val="22"/>
          <w:lang w:val="sr-Latn-ME"/>
        </w:rPr>
        <w:t>ani 1:1, da bi primali ili standardnu dozu održavanja (40/20 mg svake druge nedjelje) ili nisku dozu održavanja (20/10 mg svake druge nedjelje), na osnovu tjelesne težine. Pros</w:t>
      </w:r>
      <w:r w:rsidR="00B17FE9" w:rsidRPr="00AD3B49">
        <w:rPr>
          <w:sz w:val="22"/>
          <w:szCs w:val="22"/>
          <w:lang w:val="sr-Latn-ME"/>
        </w:rPr>
        <w:t>j</w:t>
      </w:r>
      <w:r w:rsidRPr="00AD3B49">
        <w:rPr>
          <w:sz w:val="22"/>
          <w:szCs w:val="22"/>
          <w:lang w:val="sr-Latn-ME"/>
        </w:rPr>
        <w:t>ečna (±SD) koncentracija adalimumaba u ser</w:t>
      </w:r>
      <w:r w:rsidR="00B17FE9" w:rsidRPr="00AD3B49">
        <w:rPr>
          <w:sz w:val="22"/>
          <w:szCs w:val="22"/>
          <w:lang w:val="sr-Latn-ME"/>
        </w:rPr>
        <w:t>umu nakon 4 nedjelje bila je 15,</w:t>
      </w:r>
      <w:r w:rsidRPr="00AD3B49">
        <w:rPr>
          <w:sz w:val="22"/>
          <w:szCs w:val="22"/>
          <w:lang w:val="sr-Latn-ME"/>
        </w:rPr>
        <w:t>7</w:t>
      </w:r>
      <w:r w:rsidR="00B17FE9" w:rsidRPr="00AD3B49">
        <w:rPr>
          <w:sz w:val="22"/>
          <w:szCs w:val="22"/>
          <w:lang w:val="sr-Latn-ME"/>
        </w:rPr>
        <w:t xml:space="preserve"> </w:t>
      </w:r>
      <w:r w:rsidRPr="00AD3B49">
        <w:rPr>
          <w:sz w:val="22"/>
          <w:szCs w:val="22"/>
          <w:lang w:val="sr-Latn-ME"/>
        </w:rPr>
        <w:t>±</w:t>
      </w:r>
      <w:r w:rsidR="00B17FE9" w:rsidRPr="00AD3B49">
        <w:rPr>
          <w:sz w:val="22"/>
          <w:szCs w:val="22"/>
          <w:lang w:val="sr-Latn-ME"/>
        </w:rPr>
        <w:t xml:space="preserve"> 6,</w:t>
      </w:r>
      <w:r w:rsidRPr="00AD3B49">
        <w:rPr>
          <w:sz w:val="22"/>
          <w:szCs w:val="22"/>
          <w:lang w:val="sr-Latn-ME"/>
        </w:rPr>
        <w:t>6 µg/ml kod ispitanika sa tjelesnom težinom ≥40 kg (160/80 mg), i 10.6±6.1 µg/ml kod ispitanika sa tjelesnom težinom &lt;40 kg (80/40 mg).</w:t>
      </w:r>
    </w:p>
    <w:p w:rsidR="00443423" w:rsidRPr="00AD3B49" w:rsidRDefault="00443423" w:rsidP="00265512">
      <w:pPr>
        <w:autoSpaceDE w:val="0"/>
        <w:autoSpaceDN w:val="0"/>
        <w:adjustRightInd w:val="0"/>
        <w:jc w:val="both"/>
        <w:rPr>
          <w:sz w:val="22"/>
          <w:szCs w:val="22"/>
          <w:lang w:val="sr-Latn-ME"/>
        </w:rPr>
      </w:pPr>
    </w:p>
    <w:p w:rsidR="00265512" w:rsidRPr="00AD3B49" w:rsidRDefault="00265512" w:rsidP="00265512">
      <w:pPr>
        <w:autoSpaceDE w:val="0"/>
        <w:autoSpaceDN w:val="0"/>
        <w:adjustRightInd w:val="0"/>
        <w:jc w:val="both"/>
        <w:rPr>
          <w:sz w:val="22"/>
          <w:szCs w:val="22"/>
          <w:lang w:val="sr-Latn-ME"/>
        </w:rPr>
      </w:pPr>
      <w:r w:rsidRPr="00AD3B49">
        <w:rPr>
          <w:sz w:val="22"/>
          <w:szCs w:val="22"/>
          <w:lang w:val="sr-Latn-ME"/>
        </w:rPr>
        <w:t>Kod ispitanika koji su ostali na svojoj randomiz</w:t>
      </w:r>
      <w:r w:rsidR="00E521F9" w:rsidRPr="00AD3B49">
        <w:rPr>
          <w:sz w:val="22"/>
          <w:szCs w:val="22"/>
          <w:lang w:val="sr-Latn-ME"/>
        </w:rPr>
        <w:t>ov</w:t>
      </w:r>
      <w:r w:rsidRPr="00AD3B49">
        <w:rPr>
          <w:sz w:val="22"/>
          <w:szCs w:val="22"/>
          <w:lang w:val="sr-Latn-ME"/>
        </w:rPr>
        <w:t xml:space="preserve">anoj terapiji, prosječne koncentracije adalimumaba u serumu  nakon 52 nedjelje bile su </w:t>
      </w:r>
      <w:r w:rsidR="00B17FE9" w:rsidRPr="00AD3B49">
        <w:rPr>
          <w:sz w:val="22"/>
          <w:szCs w:val="22"/>
          <w:lang w:val="sr-Latn-ME"/>
        </w:rPr>
        <w:t>9,</w:t>
      </w:r>
      <w:r w:rsidRPr="00AD3B49">
        <w:rPr>
          <w:sz w:val="22"/>
          <w:szCs w:val="22"/>
          <w:lang w:val="sr-Latn-ME"/>
        </w:rPr>
        <w:t>5</w:t>
      </w:r>
      <w:r w:rsidR="00B17FE9" w:rsidRPr="00AD3B49">
        <w:rPr>
          <w:sz w:val="22"/>
          <w:szCs w:val="22"/>
          <w:lang w:val="sr-Latn-ME"/>
        </w:rPr>
        <w:t xml:space="preserve"> </w:t>
      </w:r>
      <w:r w:rsidRPr="00AD3B49">
        <w:rPr>
          <w:sz w:val="22"/>
          <w:szCs w:val="22"/>
          <w:lang w:val="sr-Latn-ME"/>
        </w:rPr>
        <w:t>±</w:t>
      </w:r>
      <w:r w:rsidR="00B17FE9" w:rsidRPr="00AD3B49">
        <w:rPr>
          <w:sz w:val="22"/>
          <w:szCs w:val="22"/>
          <w:lang w:val="sr-Latn-ME"/>
        </w:rPr>
        <w:t xml:space="preserve"> 5,</w:t>
      </w:r>
      <w:r w:rsidRPr="00AD3B49">
        <w:rPr>
          <w:sz w:val="22"/>
          <w:szCs w:val="22"/>
          <w:lang w:val="sr-Latn-ME"/>
        </w:rPr>
        <w:t xml:space="preserve">6 µg/ml u grupi koja </w:t>
      </w:r>
      <w:r w:rsidR="00B17FE9" w:rsidRPr="00AD3B49">
        <w:rPr>
          <w:sz w:val="22"/>
          <w:szCs w:val="22"/>
          <w:lang w:val="sr-Latn-ME"/>
        </w:rPr>
        <w:t>je primala standardnu dozu, i 3,</w:t>
      </w:r>
      <w:r w:rsidRPr="00AD3B49">
        <w:rPr>
          <w:sz w:val="22"/>
          <w:szCs w:val="22"/>
          <w:lang w:val="sr-Latn-ME"/>
        </w:rPr>
        <w:t>5</w:t>
      </w:r>
      <w:r w:rsidR="00B17FE9" w:rsidRPr="00AD3B49">
        <w:rPr>
          <w:sz w:val="22"/>
          <w:szCs w:val="22"/>
          <w:lang w:val="sr-Latn-ME"/>
        </w:rPr>
        <w:t xml:space="preserve"> </w:t>
      </w:r>
      <w:r w:rsidRPr="00AD3B49">
        <w:rPr>
          <w:sz w:val="22"/>
          <w:szCs w:val="22"/>
          <w:lang w:val="sr-Latn-ME"/>
        </w:rPr>
        <w:t>±</w:t>
      </w:r>
      <w:r w:rsidR="00B17FE9" w:rsidRPr="00AD3B49">
        <w:rPr>
          <w:sz w:val="22"/>
          <w:szCs w:val="22"/>
          <w:lang w:val="sr-Latn-ME"/>
        </w:rPr>
        <w:t xml:space="preserve"> 2,</w:t>
      </w:r>
      <w:r w:rsidRPr="00AD3B49">
        <w:rPr>
          <w:sz w:val="22"/>
          <w:szCs w:val="22"/>
          <w:lang w:val="sr-Latn-ME"/>
        </w:rPr>
        <w:t>2 µg/ml u grupi koja je primala nisku dozu. Prosječne koncentracije su održane kod pacijenata koji su nastavili da primaju adalimumab terapij</w:t>
      </w:r>
      <w:r w:rsidR="00B17FE9" w:rsidRPr="00AD3B49">
        <w:rPr>
          <w:sz w:val="22"/>
          <w:szCs w:val="22"/>
          <w:lang w:val="sr-Latn-ME"/>
        </w:rPr>
        <w:t>u svake druge nedjelje tokom 52</w:t>
      </w:r>
      <w:r w:rsidRPr="00AD3B49">
        <w:rPr>
          <w:sz w:val="22"/>
          <w:szCs w:val="22"/>
          <w:lang w:val="sr-Latn-ME"/>
        </w:rPr>
        <w:t xml:space="preserve"> nedjelje. Kod ispitanika kod kojih je doza povećana i koji su primali terapiju jednom nedjeljno, prosječna koncentracija adalimumaba u serumu nakon 52 </w:t>
      </w:r>
      <w:r w:rsidR="00E521F9" w:rsidRPr="00AD3B49">
        <w:rPr>
          <w:sz w:val="22"/>
          <w:szCs w:val="22"/>
          <w:lang w:val="sr-Latn-ME"/>
        </w:rPr>
        <w:t>nedjelje</w:t>
      </w:r>
      <w:r w:rsidR="00B17FE9" w:rsidRPr="00AD3B49">
        <w:rPr>
          <w:sz w:val="22"/>
          <w:szCs w:val="22"/>
          <w:lang w:val="sr-Latn-ME"/>
        </w:rPr>
        <w:t xml:space="preserve"> bila je 15,</w:t>
      </w:r>
      <w:r w:rsidRPr="00AD3B49">
        <w:rPr>
          <w:sz w:val="22"/>
          <w:szCs w:val="22"/>
          <w:lang w:val="sr-Latn-ME"/>
        </w:rPr>
        <w:t>3</w:t>
      </w:r>
      <w:r w:rsidR="00B17FE9" w:rsidRPr="00AD3B49">
        <w:rPr>
          <w:sz w:val="22"/>
          <w:szCs w:val="22"/>
          <w:lang w:val="sr-Latn-ME"/>
        </w:rPr>
        <w:t xml:space="preserve"> </w:t>
      </w:r>
      <w:r w:rsidRPr="00AD3B49">
        <w:rPr>
          <w:sz w:val="22"/>
          <w:szCs w:val="22"/>
          <w:lang w:val="sr-Latn-ME"/>
        </w:rPr>
        <w:t>±</w:t>
      </w:r>
      <w:r w:rsidR="00B17FE9" w:rsidRPr="00AD3B49">
        <w:rPr>
          <w:sz w:val="22"/>
          <w:szCs w:val="22"/>
          <w:lang w:val="sr-Latn-ME"/>
        </w:rPr>
        <w:t xml:space="preserve"> 11,</w:t>
      </w:r>
      <w:r w:rsidRPr="00AD3B49">
        <w:rPr>
          <w:sz w:val="22"/>
          <w:szCs w:val="22"/>
          <w:lang w:val="sr-Latn-ME"/>
        </w:rPr>
        <w:t>4</w:t>
      </w:r>
      <w:r w:rsidR="00B17FE9" w:rsidRPr="00AD3B49">
        <w:rPr>
          <w:sz w:val="22"/>
          <w:szCs w:val="22"/>
          <w:lang w:val="sr-Latn-ME"/>
        </w:rPr>
        <w:t xml:space="preserve"> µg/ml (40/20 mg nedjeljno) i 6,</w:t>
      </w:r>
      <w:r w:rsidRPr="00AD3B49">
        <w:rPr>
          <w:sz w:val="22"/>
          <w:szCs w:val="22"/>
          <w:lang w:val="sr-Latn-ME"/>
        </w:rPr>
        <w:t>7</w:t>
      </w:r>
      <w:r w:rsidR="00B17FE9" w:rsidRPr="00AD3B49">
        <w:rPr>
          <w:sz w:val="22"/>
          <w:szCs w:val="22"/>
          <w:lang w:val="sr-Latn-ME"/>
        </w:rPr>
        <w:t xml:space="preserve"> </w:t>
      </w:r>
      <w:r w:rsidRPr="00AD3B49">
        <w:rPr>
          <w:sz w:val="22"/>
          <w:szCs w:val="22"/>
          <w:lang w:val="sr-Latn-ME"/>
        </w:rPr>
        <w:t>±</w:t>
      </w:r>
      <w:r w:rsidR="00B17FE9" w:rsidRPr="00AD3B49">
        <w:rPr>
          <w:sz w:val="22"/>
          <w:szCs w:val="22"/>
          <w:lang w:val="sr-Latn-ME"/>
        </w:rPr>
        <w:t xml:space="preserve"> 3,</w:t>
      </w:r>
      <w:r w:rsidRPr="00AD3B49">
        <w:rPr>
          <w:sz w:val="22"/>
          <w:szCs w:val="22"/>
          <w:lang w:val="sr-Latn-ME"/>
        </w:rPr>
        <w:t>5</w:t>
      </w:r>
      <w:r w:rsidR="00B17FE9" w:rsidRPr="00AD3B49">
        <w:rPr>
          <w:sz w:val="22"/>
          <w:szCs w:val="22"/>
          <w:lang w:val="sr-Latn-ME"/>
        </w:rPr>
        <w:t xml:space="preserve"> </w:t>
      </w:r>
      <w:r w:rsidRPr="00AD3B49">
        <w:rPr>
          <w:sz w:val="22"/>
          <w:szCs w:val="22"/>
          <w:lang w:val="sr-Latn-ME"/>
        </w:rPr>
        <w:t xml:space="preserve"> µg/ml (20/10 mg nedjeljno)</w:t>
      </w:r>
      <w:r w:rsidR="009534DE" w:rsidRPr="00AD3B49">
        <w:rPr>
          <w:sz w:val="22"/>
          <w:szCs w:val="22"/>
          <w:lang w:val="sr-Latn-ME"/>
        </w:rPr>
        <w:t>.</w:t>
      </w:r>
    </w:p>
    <w:p w:rsidR="00265512" w:rsidRPr="00AD3B49" w:rsidRDefault="00265512" w:rsidP="00265512">
      <w:pPr>
        <w:autoSpaceDE w:val="0"/>
        <w:autoSpaceDN w:val="0"/>
        <w:adjustRightInd w:val="0"/>
        <w:jc w:val="both"/>
        <w:rPr>
          <w:sz w:val="22"/>
          <w:szCs w:val="22"/>
          <w:lang w:val="sr-Latn-ME"/>
        </w:rPr>
      </w:pPr>
    </w:p>
    <w:p w:rsidR="00265512" w:rsidRPr="00AD3B49" w:rsidRDefault="00265512" w:rsidP="00265512">
      <w:pPr>
        <w:autoSpaceDE w:val="0"/>
        <w:autoSpaceDN w:val="0"/>
        <w:adjustRightInd w:val="0"/>
        <w:jc w:val="both"/>
        <w:rPr>
          <w:sz w:val="22"/>
          <w:szCs w:val="22"/>
          <w:lang w:val="sr-Latn-ME"/>
        </w:rPr>
      </w:pPr>
      <w:r w:rsidRPr="00AD3B49">
        <w:rPr>
          <w:sz w:val="22"/>
          <w:szCs w:val="22"/>
          <w:lang w:val="sr-Latn-ME"/>
        </w:rPr>
        <w:t>Tokom perioda indukcije kod pacijenata s</w:t>
      </w:r>
      <w:r w:rsidR="00B17FE9" w:rsidRPr="00AD3B49">
        <w:rPr>
          <w:sz w:val="22"/>
          <w:szCs w:val="22"/>
          <w:lang w:val="sr-Latn-ME"/>
        </w:rPr>
        <w:t xml:space="preserve"> ulcerozni</w:t>
      </w:r>
      <w:r w:rsidR="009534DE" w:rsidRPr="00AD3B49">
        <w:rPr>
          <w:sz w:val="22"/>
          <w:szCs w:val="22"/>
          <w:lang w:val="sr-Latn-ME"/>
        </w:rPr>
        <w:t>m</w:t>
      </w:r>
      <w:r w:rsidRPr="00AD3B49">
        <w:rPr>
          <w:sz w:val="22"/>
          <w:szCs w:val="22"/>
          <w:lang w:val="sr-Latn-ME"/>
        </w:rPr>
        <w:t xml:space="preserve"> kolitisom, nakon početne doze od 160 mg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w:t>
      </w:r>
      <w:r w:rsidR="00FC453B" w:rsidRPr="00AD3B49">
        <w:rPr>
          <w:sz w:val="22"/>
          <w:szCs w:val="22"/>
          <w:lang w:val="sr-Latn-ME"/>
        </w:rPr>
        <w:t xml:space="preserve">u nultoj </w:t>
      </w:r>
      <w:r w:rsidR="00B17FE9" w:rsidRPr="00AD3B49">
        <w:rPr>
          <w:sz w:val="22"/>
          <w:szCs w:val="22"/>
          <w:lang w:val="sr-Latn-ME"/>
        </w:rPr>
        <w:t xml:space="preserve">nedjelji </w:t>
      </w:r>
      <w:r w:rsidRPr="00AD3B49">
        <w:rPr>
          <w:sz w:val="22"/>
          <w:szCs w:val="22"/>
          <w:lang w:val="sr-Latn-ME"/>
        </w:rPr>
        <w:t xml:space="preserve"> i druge doze od 80 mg </w:t>
      </w:r>
      <w:r w:rsidR="0082613A" w:rsidRPr="00AD3B49">
        <w:rPr>
          <w:sz w:val="22"/>
          <w:szCs w:val="22"/>
          <w:lang w:val="sr-Latn-ME"/>
        </w:rPr>
        <w:t xml:space="preserve">lijeka </w:t>
      </w:r>
      <w:r w:rsidRPr="00AD3B49">
        <w:rPr>
          <w:sz w:val="22"/>
          <w:szCs w:val="22"/>
          <w:lang w:val="sr-Latn-ME"/>
        </w:rPr>
        <w:t>Humir</w:t>
      </w:r>
      <w:r w:rsidR="0082613A" w:rsidRPr="00AD3B49">
        <w:rPr>
          <w:sz w:val="22"/>
          <w:szCs w:val="22"/>
          <w:lang w:val="sr-Latn-ME"/>
        </w:rPr>
        <w:t>a</w:t>
      </w:r>
      <w:r w:rsidRPr="00AD3B49">
        <w:rPr>
          <w:sz w:val="22"/>
          <w:szCs w:val="22"/>
          <w:lang w:val="sr-Latn-ME"/>
        </w:rPr>
        <w:t xml:space="preserve"> </w:t>
      </w:r>
      <w:r w:rsidR="00B17FE9" w:rsidRPr="00AD3B49">
        <w:rPr>
          <w:sz w:val="22"/>
          <w:szCs w:val="22"/>
          <w:lang w:val="sr-Latn-ME"/>
        </w:rPr>
        <w:t>u</w:t>
      </w:r>
      <w:r w:rsidRPr="00AD3B49">
        <w:rPr>
          <w:sz w:val="22"/>
          <w:szCs w:val="22"/>
          <w:lang w:val="sr-Latn-ME"/>
        </w:rPr>
        <w:t xml:space="preserve"> </w:t>
      </w:r>
      <w:r w:rsidR="00B17FE9" w:rsidRPr="00AD3B49">
        <w:rPr>
          <w:sz w:val="22"/>
          <w:szCs w:val="22"/>
          <w:lang w:val="sr-Latn-ME"/>
        </w:rPr>
        <w:t>nedjelji 2</w:t>
      </w:r>
      <w:r w:rsidR="00CD43D9" w:rsidRPr="00AD3B49">
        <w:rPr>
          <w:sz w:val="22"/>
          <w:szCs w:val="22"/>
          <w:lang w:val="sr-Latn-ME"/>
        </w:rPr>
        <w:t xml:space="preserve"> postignute su najniže</w:t>
      </w:r>
      <w:r w:rsidRPr="00AD3B49">
        <w:rPr>
          <w:sz w:val="22"/>
          <w:szCs w:val="22"/>
          <w:lang w:val="sr-Latn-ME"/>
        </w:rPr>
        <w:t xml:space="preserve"> serumske koncentracije adalimumaba od oko 12 μg/ml. Kod pacijenata s ulcerativnim kolitisom koji primaju terapiju održavanja od 40 mg svake druge </w:t>
      </w:r>
      <w:r w:rsidR="000B016F" w:rsidRPr="00AD3B49">
        <w:rPr>
          <w:sz w:val="22"/>
          <w:szCs w:val="22"/>
          <w:lang w:val="sr-Latn-ME"/>
        </w:rPr>
        <w:t>nedjelje</w:t>
      </w:r>
      <w:r w:rsidRPr="00AD3B49">
        <w:rPr>
          <w:sz w:val="22"/>
          <w:szCs w:val="22"/>
          <w:lang w:val="sr-Latn-ME"/>
        </w:rPr>
        <w:t xml:space="preserve"> </w:t>
      </w:r>
      <w:r w:rsidR="00CD43D9" w:rsidRPr="00AD3B49">
        <w:rPr>
          <w:sz w:val="22"/>
          <w:szCs w:val="22"/>
          <w:lang w:val="sr-Latn-ME"/>
        </w:rPr>
        <w:t>srednja vrijednost najniže</w:t>
      </w:r>
      <w:r w:rsidRPr="00AD3B49">
        <w:rPr>
          <w:sz w:val="22"/>
          <w:szCs w:val="22"/>
          <w:lang w:val="sr-Latn-ME"/>
        </w:rPr>
        <w:t xml:space="preserve"> </w:t>
      </w:r>
      <w:r w:rsidR="00CD43D9" w:rsidRPr="00AD3B49">
        <w:rPr>
          <w:sz w:val="22"/>
          <w:szCs w:val="22"/>
          <w:lang w:val="sr-Latn-ME"/>
        </w:rPr>
        <w:t>koncentracije</w:t>
      </w:r>
      <w:r w:rsidRPr="00AD3B49">
        <w:rPr>
          <w:sz w:val="22"/>
          <w:szCs w:val="22"/>
          <w:lang w:val="sr-Latn-ME"/>
        </w:rPr>
        <w:t xml:space="preserve"> adalimumaba u serumu u stanju dinamičke ravnoteže je</w:t>
      </w:r>
      <w:r w:rsidR="00B3684A" w:rsidRPr="00AD3B49">
        <w:rPr>
          <w:sz w:val="22"/>
          <w:szCs w:val="22"/>
          <w:lang w:val="sr-Latn-ME"/>
        </w:rPr>
        <w:t xml:space="preserve"> oko</w:t>
      </w:r>
      <w:r w:rsidRPr="00AD3B49">
        <w:rPr>
          <w:sz w:val="22"/>
          <w:szCs w:val="22"/>
          <w:lang w:val="sr-Latn-ME"/>
        </w:rPr>
        <w:t xml:space="preserve"> 8 μg/ml. </w:t>
      </w:r>
    </w:p>
    <w:p w:rsidR="00265512" w:rsidRPr="00AD3B49" w:rsidRDefault="00265512" w:rsidP="00892AA9">
      <w:pPr>
        <w:pStyle w:val="Default"/>
        <w:jc w:val="both"/>
        <w:rPr>
          <w:rFonts w:ascii="Times New Roman" w:hAnsi="Times New Roman" w:cs="Times New Roman"/>
          <w:sz w:val="22"/>
          <w:szCs w:val="22"/>
          <w:lang w:val="sr-Latn-ME"/>
        </w:rPr>
      </w:pPr>
    </w:p>
    <w:p w:rsidR="00773918" w:rsidRPr="00AD3B49" w:rsidRDefault="00773918" w:rsidP="00892AA9">
      <w:pPr>
        <w:pStyle w:val="Default"/>
        <w:jc w:val="both"/>
        <w:rPr>
          <w:rFonts w:ascii="Times New Roman" w:hAnsi="Times New Roman" w:cs="Times New Roman"/>
          <w:sz w:val="22"/>
          <w:szCs w:val="22"/>
          <w:u w:val="single"/>
          <w:lang w:val="sr-Latn-ME"/>
        </w:rPr>
      </w:pPr>
      <w:r w:rsidRPr="00AD3B49">
        <w:rPr>
          <w:rFonts w:ascii="Times New Roman" w:hAnsi="Times New Roman" w:cs="Times New Roman"/>
          <w:sz w:val="22"/>
          <w:szCs w:val="22"/>
          <w:u w:val="single"/>
          <w:lang w:val="sr-Latn-ME"/>
        </w:rPr>
        <w:t>Eliminacija</w:t>
      </w:r>
    </w:p>
    <w:p w:rsidR="00773918" w:rsidRPr="00AD3B49" w:rsidRDefault="00773918" w:rsidP="00892AA9">
      <w:pPr>
        <w:pStyle w:val="Default"/>
        <w:jc w:val="both"/>
        <w:rPr>
          <w:rFonts w:ascii="Times New Roman" w:hAnsi="Times New Roman" w:cs="Times New Roman"/>
          <w:sz w:val="22"/>
          <w:szCs w:val="22"/>
          <w:lang w:val="sr-Latn-ME"/>
        </w:rPr>
      </w:pPr>
    </w:p>
    <w:p w:rsidR="00892AA9" w:rsidRPr="00AD3B49" w:rsidRDefault="00892AA9" w:rsidP="00892AA9">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Populacijske farmakokinetičk</w:t>
      </w:r>
      <w:r w:rsidR="00F51A30" w:rsidRPr="00AD3B49">
        <w:rPr>
          <w:rFonts w:ascii="Times New Roman" w:hAnsi="Times New Roman" w:cs="Times New Roman"/>
          <w:sz w:val="22"/>
          <w:szCs w:val="22"/>
          <w:lang w:val="sr-Latn-ME"/>
        </w:rPr>
        <w:t>e analize na osnovu podataka dobij</w:t>
      </w:r>
      <w:r w:rsidRPr="00AD3B49">
        <w:rPr>
          <w:rFonts w:ascii="Times New Roman" w:hAnsi="Times New Roman" w:cs="Times New Roman"/>
          <w:sz w:val="22"/>
          <w:szCs w:val="22"/>
          <w:lang w:val="sr-Latn-ME"/>
        </w:rPr>
        <w:t xml:space="preserve">enih kod više od 1300 pacijenata s reumatoidnim artritisom pokazale su tendenciju da se prividni klirens adalimumaba povećava s </w:t>
      </w:r>
      <w:r w:rsidR="003D3610" w:rsidRPr="00AD3B49">
        <w:rPr>
          <w:rFonts w:ascii="Times New Roman" w:hAnsi="Times New Roman" w:cs="Times New Roman"/>
          <w:sz w:val="22"/>
          <w:szCs w:val="22"/>
          <w:lang w:val="sr-Latn-ME"/>
        </w:rPr>
        <w:t>pacijent</w:t>
      </w:r>
      <w:r w:rsidRPr="00AD3B49">
        <w:rPr>
          <w:rFonts w:ascii="Times New Roman" w:hAnsi="Times New Roman" w:cs="Times New Roman"/>
          <w:sz w:val="22"/>
          <w:szCs w:val="22"/>
          <w:lang w:val="sr-Latn-ME"/>
        </w:rPr>
        <w:t>ovom tjelesnom težinom. Nakon što se uzmu u obzir razlike u tjelesnoj težini, čini</w:t>
      </w:r>
      <w:r w:rsidR="00F51A30" w:rsidRPr="00AD3B49">
        <w:rPr>
          <w:rFonts w:ascii="Times New Roman" w:hAnsi="Times New Roman" w:cs="Times New Roman"/>
          <w:sz w:val="22"/>
          <w:szCs w:val="22"/>
          <w:lang w:val="sr-Latn-ME"/>
        </w:rPr>
        <w:t xml:space="preserve"> se da </w:t>
      </w:r>
      <w:r w:rsidRPr="00AD3B49">
        <w:rPr>
          <w:rFonts w:ascii="Times New Roman" w:hAnsi="Times New Roman" w:cs="Times New Roman"/>
          <w:sz w:val="22"/>
          <w:szCs w:val="22"/>
          <w:lang w:val="sr-Latn-ME"/>
        </w:rPr>
        <w:t xml:space="preserve">pol i starost pacijenata nemaju znatnijeg uticaja na klirens adalimumaba. Primjećeno </w:t>
      </w:r>
      <w:r w:rsidR="00773918" w:rsidRPr="00AD3B49">
        <w:rPr>
          <w:rFonts w:ascii="Times New Roman" w:hAnsi="Times New Roman" w:cs="Times New Roman"/>
          <w:sz w:val="22"/>
          <w:szCs w:val="22"/>
          <w:lang w:val="sr-Latn-ME"/>
        </w:rPr>
        <w:t xml:space="preserve">je da su vrijednosti </w:t>
      </w:r>
      <w:r w:rsidRPr="00AD3B49">
        <w:rPr>
          <w:rFonts w:ascii="Times New Roman" w:hAnsi="Times New Roman" w:cs="Times New Roman"/>
          <w:sz w:val="22"/>
          <w:szCs w:val="22"/>
          <w:lang w:val="sr-Latn-ME"/>
        </w:rPr>
        <w:t>slobodnog adalimumaba u serumu (onoga koji nije vezan za antitij</w:t>
      </w:r>
      <w:r w:rsidR="00F51A30" w:rsidRPr="00AD3B49">
        <w:rPr>
          <w:rFonts w:ascii="Times New Roman" w:hAnsi="Times New Roman" w:cs="Times New Roman"/>
          <w:sz w:val="22"/>
          <w:szCs w:val="22"/>
          <w:lang w:val="sr-Latn-ME"/>
        </w:rPr>
        <w:t xml:space="preserve">ela na adalimumab – AAA) niže kod </w:t>
      </w:r>
      <w:r w:rsidRPr="00AD3B49">
        <w:rPr>
          <w:rFonts w:ascii="Times New Roman" w:hAnsi="Times New Roman" w:cs="Times New Roman"/>
          <w:sz w:val="22"/>
          <w:szCs w:val="22"/>
          <w:lang w:val="sr-Latn-ME"/>
        </w:rPr>
        <w:t xml:space="preserve">pacijenata s mjerljivim </w:t>
      </w:r>
      <w:r w:rsidR="00773918" w:rsidRPr="00AD3B49">
        <w:rPr>
          <w:rFonts w:ascii="Times New Roman" w:hAnsi="Times New Roman" w:cs="Times New Roman"/>
          <w:sz w:val="22"/>
          <w:szCs w:val="22"/>
          <w:lang w:val="sr-Latn-ME"/>
        </w:rPr>
        <w:t>nivoima AAA. Lijek Humira nije ispitivan</w:t>
      </w:r>
      <w:r w:rsidR="00F51A30" w:rsidRPr="00AD3B49">
        <w:rPr>
          <w:rFonts w:ascii="Times New Roman" w:hAnsi="Times New Roman" w:cs="Times New Roman"/>
          <w:sz w:val="22"/>
          <w:szCs w:val="22"/>
          <w:lang w:val="sr-Latn-ME"/>
        </w:rPr>
        <w:t xml:space="preserve"> kod </w:t>
      </w:r>
      <w:r w:rsidRPr="00AD3B49">
        <w:rPr>
          <w:rFonts w:ascii="Times New Roman" w:hAnsi="Times New Roman" w:cs="Times New Roman"/>
          <w:sz w:val="22"/>
          <w:szCs w:val="22"/>
          <w:lang w:val="sr-Latn-ME"/>
        </w:rPr>
        <w:t>pacijenata s narušenom funkcijom bubrega ili jetre.</w:t>
      </w:r>
    </w:p>
    <w:p w:rsidR="00892AA9" w:rsidRPr="00AD3B49" w:rsidRDefault="00892AA9" w:rsidP="00480FB1">
      <w:pPr>
        <w:tabs>
          <w:tab w:val="left" w:pos="540"/>
          <w:tab w:val="left" w:pos="569"/>
        </w:tabs>
        <w:rPr>
          <w:bCs/>
          <w:sz w:val="22"/>
          <w:szCs w:val="22"/>
          <w:lang w:val="sr-Latn-ME"/>
        </w:rPr>
      </w:pPr>
    </w:p>
    <w:p w:rsidR="006C2581" w:rsidRPr="00AD3B49" w:rsidRDefault="006C2581" w:rsidP="00480FB1">
      <w:pPr>
        <w:tabs>
          <w:tab w:val="left" w:pos="540"/>
          <w:tab w:val="left" w:pos="569"/>
        </w:tabs>
        <w:rPr>
          <w:bCs/>
          <w:sz w:val="22"/>
          <w:szCs w:val="22"/>
          <w:u w:val="single"/>
          <w:lang w:val="sr-Latn-ME"/>
        </w:rPr>
      </w:pPr>
      <w:r w:rsidRPr="00AD3B49">
        <w:rPr>
          <w:bCs/>
          <w:sz w:val="22"/>
          <w:szCs w:val="22"/>
          <w:u w:val="single"/>
          <w:lang w:val="sr-Latn-ME"/>
        </w:rPr>
        <w:t>Oštećenje jetre ili bubrega</w:t>
      </w:r>
    </w:p>
    <w:p w:rsidR="00DF40CA" w:rsidRPr="00AD3B49" w:rsidRDefault="00DF40CA" w:rsidP="00480FB1">
      <w:pPr>
        <w:tabs>
          <w:tab w:val="left" w:pos="540"/>
          <w:tab w:val="left" w:pos="569"/>
        </w:tabs>
        <w:rPr>
          <w:bCs/>
          <w:sz w:val="22"/>
          <w:szCs w:val="22"/>
          <w:u w:val="single"/>
          <w:lang w:val="sr-Latn-ME"/>
        </w:rPr>
      </w:pPr>
    </w:p>
    <w:p w:rsidR="006C2581" w:rsidRPr="00AD3B49" w:rsidRDefault="006C2581" w:rsidP="00480FB1">
      <w:pPr>
        <w:tabs>
          <w:tab w:val="left" w:pos="540"/>
          <w:tab w:val="left" w:pos="569"/>
        </w:tabs>
        <w:rPr>
          <w:bCs/>
          <w:sz w:val="22"/>
          <w:szCs w:val="22"/>
          <w:lang w:val="sr-Latn-ME"/>
        </w:rPr>
      </w:pPr>
      <w:r w:rsidRPr="00AD3B49">
        <w:rPr>
          <w:bCs/>
          <w:sz w:val="22"/>
          <w:szCs w:val="22"/>
          <w:lang w:val="sr-Latn-ME"/>
        </w:rPr>
        <w:t>Lijek Humira nije ispitivan kod pacijenata sa oštećenom funkcijom bubrega ili jetre.</w:t>
      </w:r>
    </w:p>
    <w:p w:rsidR="006C2581" w:rsidRPr="00AD3B49" w:rsidRDefault="006C2581" w:rsidP="00480FB1">
      <w:pPr>
        <w:tabs>
          <w:tab w:val="left" w:pos="540"/>
          <w:tab w:val="left" w:pos="569"/>
        </w:tabs>
        <w:rPr>
          <w:bCs/>
          <w:sz w:val="22"/>
          <w:szCs w:val="22"/>
          <w:lang w:val="sr-Latn-ME"/>
        </w:rPr>
      </w:pPr>
    </w:p>
    <w:p w:rsidR="00634F67" w:rsidRDefault="00634F67" w:rsidP="00480FB1">
      <w:pPr>
        <w:tabs>
          <w:tab w:val="left" w:pos="540"/>
          <w:tab w:val="left" w:pos="569"/>
        </w:tabs>
        <w:rPr>
          <w:b/>
          <w:bCs/>
          <w:sz w:val="22"/>
          <w:szCs w:val="22"/>
          <w:lang w:val="sr-Latn-ME"/>
        </w:rPr>
      </w:pPr>
    </w:p>
    <w:p w:rsidR="00634F67" w:rsidRDefault="00634F67" w:rsidP="00480FB1">
      <w:pPr>
        <w:tabs>
          <w:tab w:val="left" w:pos="540"/>
          <w:tab w:val="left" w:pos="569"/>
        </w:tabs>
        <w:rPr>
          <w:b/>
          <w:bCs/>
          <w:sz w:val="22"/>
          <w:szCs w:val="22"/>
          <w:lang w:val="sr-Latn-ME"/>
        </w:rPr>
      </w:pPr>
    </w:p>
    <w:p w:rsidR="0072020E" w:rsidRPr="00AD3B49" w:rsidRDefault="0072020E" w:rsidP="00480FB1">
      <w:pPr>
        <w:tabs>
          <w:tab w:val="left" w:pos="540"/>
          <w:tab w:val="left" w:pos="569"/>
        </w:tabs>
        <w:rPr>
          <w:b/>
          <w:bCs/>
          <w:sz w:val="22"/>
          <w:szCs w:val="22"/>
          <w:lang w:val="sr-Latn-ME"/>
        </w:rPr>
      </w:pPr>
      <w:r w:rsidRPr="00AD3B49">
        <w:rPr>
          <w:b/>
          <w:bCs/>
          <w:sz w:val="22"/>
          <w:szCs w:val="22"/>
          <w:lang w:val="sr-Latn-ME"/>
        </w:rPr>
        <w:lastRenderedPageBreak/>
        <w:t xml:space="preserve">5.3. </w:t>
      </w:r>
      <w:r w:rsidR="00480FB1" w:rsidRPr="00AD3B49">
        <w:rPr>
          <w:b/>
          <w:bCs/>
          <w:sz w:val="22"/>
          <w:szCs w:val="22"/>
          <w:lang w:val="sr-Latn-ME"/>
        </w:rPr>
        <w:tab/>
      </w:r>
      <w:r w:rsidRPr="00AD3B49">
        <w:rPr>
          <w:b/>
          <w:bCs/>
          <w:sz w:val="22"/>
          <w:szCs w:val="22"/>
          <w:lang w:val="sr-Latn-ME"/>
        </w:rPr>
        <w:t xml:space="preserve">Pretklinički podaci o bezbjednosti </w:t>
      </w:r>
    </w:p>
    <w:p w:rsidR="00836B35" w:rsidRPr="00AD3B49" w:rsidRDefault="00836B35" w:rsidP="00480FB1">
      <w:pPr>
        <w:tabs>
          <w:tab w:val="left" w:pos="540"/>
          <w:tab w:val="left" w:pos="569"/>
        </w:tabs>
        <w:rPr>
          <w:bCs/>
          <w:sz w:val="22"/>
          <w:szCs w:val="22"/>
          <w:lang w:val="sr-Latn-ME"/>
        </w:rPr>
      </w:pPr>
    </w:p>
    <w:p w:rsidR="00DE43A5" w:rsidRPr="00AD3B49" w:rsidRDefault="00DE43A5" w:rsidP="00DE43A5">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Pretklinički podaci ne ukazuju na poseban rizik za ljude na osnovu ispitivanja toksičnosti pojedinačne doze, toksičnosti ponovljenih doza i genotoksičnosti.</w:t>
      </w:r>
    </w:p>
    <w:p w:rsidR="00DE43A5" w:rsidRPr="00AD3B49" w:rsidRDefault="00DE43A5" w:rsidP="00DE43A5">
      <w:pPr>
        <w:pStyle w:val="Default"/>
        <w:jc w:val="both"/>
        <w:rPr>
          <w:rFonts w:ascii="Times New Roman" w:hAnsi="Times New Roman" w:cs="Times New Roman"/>
          <w:sz w:val="22"/>
          <w:szCs w:val="22"/>
          <w:lang w:val="sr-Latn-ME"/>
        </w:rPr>
      </w:pPr>
    </w:p>
    <w:p w:rsidR="00DE43A5" w:rsidRPr="00AD3B49" w:rsidRDefault="00DE43A5" w:rsidP="00DE43A5">
      <w:pPr>
        <w:pStyle w:val="Default"/>
        <w:jc w:val="both"/>
        <w:rPr>
          <w:rFonts w:ascii="Times New Roman" w:hAnsi="Times New Roman" w:cs="Times New Roman"/>
          <w:sz w:val="22"/>
          <w:szCs w:val="22"/>
          <w:lang w:val="sr-Latn-ME"/>
        </w:rPr>
      </w:pPr>
      <w:r w:rsidRPr="00AD3B49">
        <w:rPr>
          <w:rFonts w:ascii="Times New Roman" w:hAnsi="Times New Roman" w:cs="Times New Roman"/>
          <w:sz w:val="22"/>
          <w:szCs w:val="22"/>
          <w:lang w:val="sr-Latn-ME"/>
        </w:rPr>
        <w:t xml:space="preserve">Ispitivanja embriofetalne i perinatalne razvojne toksičnosti </w:t>
      </w:r>
      <w:r w:rsidR="00074C8A" w:rsidRPr="00AD3B49">
        <w:rPr>
          <w:rFonts w:ascii="Times New Roman" w:hAnsi="Times New Roman" w:cs="Times New Roman"/>
          <w:sz w:val="22"/>
          <w:szCs w:val="22"/>
          <w:lang w:val="sr-Latn-ME"/>
        </w:rPr>
        <w:t>s</w:t>
      </w:r>
      <w:r w:rsidRPr="00AD3B49">
        <w:rPr>
          <w:rFonts w:ascii="Times New Roman" w:hAnsi="Times New Roman" w:cs="Times New Roman"/>
          <w:sz w:val="22"/>
          <w:szCs w:val="22"/>
          <w:lang w:val="sr-Latn-ME"/>
        </w:rPr>
        <w:t xml:space="preserve">provedena na makaki majmunima s dozama od 0,30 i 100 mg/kg (9 – 17 majmuna u grupi) nisu pokazala znakove oštećenja fetusa usljed primjene adalimumaba. Ispitivanja kancerogenosti te standardna procjena toksičnosti za plodnost i postnatalne toksičnosti nisu </w:t>
      </w:r>
      <w:r w:rsidR="00AF4093" w:rsidRPr="00AD3B49">
        <w:rPr>
          <w:rFonts w:ascii="Times New Roman" w:hAnsi="Times New Roman" w:cs="Times New Roman"/>
          <w:sz w:val="22"/>
          <w:szCs w:val="22"/>
          <w:lang w:val="sr-Latn-ME"/>
        </w:rPr>
        <w:t>s</w:t>
      </w:r>
      <w:r w:rsidRPr="00AD3B49">
        <w:rPr>
          <w:rFonts w:ascii="Times New Roman" w:hAnsi="Times New Roman" w:cs="Times New Roman"/>
          <w:sz w:val="22"/>
          <w:szCs w:val="22"/>
          <w:lang w:val="sr-Latn-ME"/>
        </w:rPr>
        <w:t>provedena s adalimumabom zbog nepostojanja odgovarajućih modela za antitijela s ograničenom unakrsnom</w:t>
      </w:r>
      <w:r w:rsidR="002302AF" w:rsidRPr="00AD3B49">
        <w:rPr>
          <w:rFonts w:ascii="Times New Roman" w:hAnsi="Times New Roman" w:cs="Times New Roman"/>
          <w:sz w:val="22"/>
          <w:szCs w:val="22"/>
          <w:lang w:val="sr-Latn-ME"/>
        </w:rPr>
        <w:t xml:space="preserve"> reaktivnošću s TNF-om glodara</w:t>
      </w:r>
      <w:r w:rsidRPr="00AD3B49">
        <w:rPr>
          <w:rFonts w:ascii="Times New Roman" w:hAnsi="Times New Roman" w:cs="Times New Roman"/>
          <w:sz w:val="22"/>
          <w:szCs w:val="22"/>
          <w:lang w:val="sr-Latn-ME"/>
        </w:rPr>
        <w:t xml:space="preserve">, odnosno stvaranje </w:t>
      </w:r>
      <w:r w:rsidR="00DF40CA" w:rsidRPr="00AD3B49">
        <w:rPr>
          <w:rFonts w:ascii="Times New Roman" w:hAnsi="Times New Roman" w:cs="Times New Roman"/>
          <w:sz w:val="22"/>
          <w:szCs w:val="22"/>
          <w:lang w:val="sr-Latn-ME"/>
        </w:rPr>
        <w:t>neutrališućih</w:t>
      </w:r>
      <w:r w:rsidR="002302AF" w:rsidRPr="00AD3B49">
        <w:rPr>
          <w:rFonts w:ascii="Times New Roman" w:hAnsi="Times New Roman" w:cs="Times New Roman"/>
          <w:sz w:val="22"/>
          <w:szCs w:val="22"/>
          <w:lang w:val="sr-Latn-ME"/>
        </w:rPr>
        <w:t xml:space="preserve"> antitijela kod glodara</w:t>
      </w:r>
      <w:r w:rsidRPr="00AD3B49">
        <w:rPr>
          <w:rFonts w:ascii="Times New Roman" w:hAnsi="Times New Roman" w:cs="Times New Roman"/>
          <w:sz w:val="22"/>
          <w:szCs w:val="22"/>
          <w:lang w:val="sr-Latn-ME"/>
        </w:rPr>
        <w:t>.</w:t>
      </w:r>
    </w:p>
    <w:p w:rsidR="00DE43A5" w:rsidRPr="00AD3B49" w:rsidRDefault="00DE43A5" w:rsidP="00480FB1">
      <w:pPr>
        <w:tabs>
          <w:tab w:val="left" w:pos="540"/>
          <w:tab w:val="left" w:pos="569"/>
        </w:tabs>
        <w:rPr>
          <w:bCs/>
          <w:sz w:val="22"/>
          <w:szCs w:val="22"/>
          <w:lang w:val="sr-Latn-ME"/>
        </w:rPr>
      </w:pPr>
    </w:p>
    <w:p w:rsidR="00396DFD" w:rsidRPr="00AD3B49" w:rsidRDefault="00396DFD" w:rsidP="00480FB1">
      <w:pPr>
        <w:tabs>
          <w:tab w:val="left" w:pos="540"/>
          <w:tab w:val="left" w:pos="569"/>
        </w:tabs>
        <w:rPr>
          <w:b/>
          <w:bCs/>
          <w:sz w:val="22"/>
          <w:szCs w:val="22"/>
          <w:lang w:val="sr-Latn-ME"/>
        </w:rPr>
      </w:pPr>
    </w:p>
    <w:p w:rsidR="0072020E" w:rsidRPr="00AD3B49" w:rsidRDefault="0072020E" w:rsidP="00480FB1">
      <w:pPr>
        <w:tabs>
          <w:tab w:val="left" w:pos="540"/>
          <w:tab w:val="left" w:pos="569"/>
        </w:tabs>
        <w:rPr>
          <w:b/>
          <w:bCs/>
          <w:sz w:val="22"/>
          <w:szCs w:val="22"/>
          <w:lang w:val="sr-Latn-ME"/>
        </w:rPr>
      </w:pPr>
      <w:r w:rsidRPr="00AD3B49">
        <w:rPr>
          <w:b/>
          <w:bCs/>
          <w:sz w:val="22"/>
          <w:szCs w:val="22"/>
          <w:lang w:val="sr-Latn-ME"/>
        </w:rPr>
        <w:t xml:space="preserve">6. </w:t>
      </w:r>
      <w:r w:rsidR="00480FB1" w:rsidRPr="00AD3B49">
        <w:rPr>
          <w:b/>
          <w:bCs/>
          <w:sz w:val="22"/>
          <w:szCs w:val="22"/>
          <w:lang w:val="sr-Latn-ME"/>
        </w:rPr>
        <w:tab/>
      </w:r>
      <w:r w:rsidRPr="00AD3B49">
        <w:rPr>
          <w:b/>
          <w:bCs/>
          <w:sz w:val="22"/>
          <w:szCs w:val="22"/>
          <w:lang w:val="sr-Latn-ME"/>
        </w:rPr>
        <w:t>FARMACEUTSKI PODACI</w:t>
      </w:r>
    </w:p>
    <w:p w:rsidR="00836B35" w:rsidRPr="00AD3B49" w:rsidRDefault="00836B35" w:rsidP="00480FB1">
      <w:pPr>
        <w:tabs>
          <w:tab w:val="left" w:pos="540"/>
          <w:tab w:val="left" w:pos="569"/>
        </w:tabs>
        <w:rPr>
          <w:bCs/>
          <w:sz w:val="22"/>
          <w:szCs w:val="22"/>
          <w:lang w:val="sr-Latn-ME"/>
        </w:rPr>
      </w:pPr>
    </w:p>
    <w:p w:rsidR="0072020E" w:rsidRPr="00AD3B49" w:rsidRDefault="0072020E" w:rsidP="00480FB1">
      <w:pPr>
        <w:tabs>
          <w:tab w:val="left" w:pos="540"/>
          <w:tab w:val="left" w:pos="569"/>
        </w:tabs>
        <w:rPr>
          <w:b/>
          <w:bCs/>
          <w:sz w:val="22"/>
          <w:szCs w:val="22"/>
          <w:lang w:val="sr-Latn-ME"/>
        </w:rPr>
      </w:pPr>
      <w:r w:rsidRPr="00AD3B49">
        <w:rPr>
          <w:b/>
          <w:bCs/>
          <w:sz w:val="22"/>
          <w:szCs w:val="22"/>
          <w:lang w:val="sr-Latn-ME"/>
        </w:rPr>
        <w:t xml:space="preserve">6.1. </w:t>
      </w:r>
      <w:r w:rsidR="00480FB1" w:rsidRPr="00AD3B49">
        <w:rPr>
          <w:b/>
          <w:bCs/>
          <w:sz w:val="22"/>
          <w:szCs w:val="22"/>
          <w:lang w:val="sr-Latn-ME"/>
        </w:rPr>
        <w:tab/>
      </w:r>
      <w:r w:rsidRPr="00AD3B49">
        <w:rPr>
          <w:b/>
          <w:bCs/>
          <w:sz w:val="22"/>
          <w:szCs w:val="22"/>
          <w:lang w:val="sr-Latn-ME"/>
        </w:rPr>
        <w:t>Lista pomoćnih supstanci</w:t>
      </w:r>
    </w:p>
    <w:p w:rsidR="0072020E" w:rsidRPr="00AD3B49" w:rsidRDefault="0072020E" w:rsidP="00480FB1">
      <w:pPr>
        <w:tabs>
          <w:tab w:val="left" w:pos="540"/>
          <w:tab w:val="left" w:pos="569"/>
        </w:tabs>
        <w:rPr>
          <w:bCs/>
          <w:sz w:val="22"/>
          <w:szCs w:val="22"/>
          <w:lang w:val="sr-Latn-ME"/>
        </w:rPr>
      </w:pPr>
    </w:p>
    <w:p w:rsidR="006F0E7D" w:rsidRPr="00AD3B49" w:rsidRDefault="006F0E7D" w:rsidP="00480FB1">
      <w:pPr>
        <w:tabs>
          <w:tab w:val="left" w:pos="540"/>
          <w:tab w:val="left" w:pos="569"/>
        </w:tabs>
        <w:rPr>
          <w:sz w:val="22"/>
          <w:szCs w:val="22"/>
          <w:lang w:val="sr-Latn-ME"/>
        </w:rPr>
      </w:pPr>
      <w:r w:rsidRPr="00AD3B49">
        <w:rPr>
          <w:sz w:val="22"/>
          <w:szCs w:val="22"/>
          <w:lang w:val="sr-Latn-ME"/>
        </w:rPr>
        <w:t>manitol</w:t>
      </w:r>
    </w:p>
    <w:p w:rsidR="006F0E7D" w:rsidRPr="00AD3B49" w:rsidRDefault="006F0E7D" w:rsidP="00480FB1">
      <w:pPr>
        <w:tabs>
          <w:tab w:val="left" w:pos="540"/>
          <w:tab w:val="left" w:pos="569"/>
        </w:tabs>
        <w:rPr>
          <w:sz w:val="22"/>
          <w:szCs w:val="22"/>
          <w:lang w:val="sr-Latn-ME"/>
        </w:rPr>
      </w:pPr>
      <w:r w:rsidRPr="00AD3B49">
        <w:rPr>
          <w:sz w:val="22"/>
          <w:szCs w:val="22"/>
          <w:lang w:val="sr-Latn-ME"/>
        </w:rPr>
        <w:t>limunska kiselina, monohidrat</w:t>
      </w:r>
    </w:p>
    <w:p w:rsidR="006F0E7D" w:rsidRPr="00AD3B49" w:rsidRDefault="006F0E7D" w:rsidP="00480FB1">
      <w:pPr>
        <w:tabs>
          <w:tab w:val="left" w:pos="540"/>
          <w:tab w:val="left" w:pos="569"/>
        </w:tabs>
        <w:rPr>
          <w:sz w:val="22"/>
          <w:szCs w:val="22"/>
          <w:lang w:val="sr-Latn-ME"/>
        </w:rPr>
      </w:pPr>
      <w:r w:rsidRPr="00AD3B49">
        <w:rPr>
          <w:sz w:val="22"/>
          <w:szCs w:val="22"/>
          <w:lang w:val="sr-Latn-ME"/>
        </w:rPr>
        <w:t>natrijum citrat</w:t>
      </w:r>
    </w:p>
    <w:p w:rsidR="006F0E7D" w:rsidRPr="00AD3B49" w:rsidRDefault="006F0E7D" w:rsidP="00480FB1">
      <w:pPr>
        <w:tabs>
          <w:tab w:val="left" w:pos="540"/>
          <w:tab w:val="left" w:pos="569"/>
        </w:tabs>
        <w:rPr>
          <w:sz w:val="22"/>
          <w:szCs w:val="22"/>
          <w:lang w:val="sr-Latn-ME"/>
        </w:rPr>
      </w:pPr>
      <w:r w:rsidRPr="00AD3B49">
        <w:rPr>
          <w:sz w:val="22"/>
          <w:szCs w:val="22"/>
          <w:lang w:val="sr-Latn-ME"/>
        </w:rPr>
        <w:t>natrijum dihi</w:t>
      </w:r>
      <w:r w:rsidR="00771495" w:rsidRPr="00AD3B49">
        <w:rPr>
          <w:sz w:val="22"/>
          <w:szCs w:val="22"/>
          <w:lang w:val="sr-Latn-ME"/>
        </w:rPr>
        <w:t>d</w:t>
      </w:r>
      <w:r w:rsidRPr="00AD3B49">
        <w:rPr>
          <w:sz w:val="22"/>
          <w:szCs w:val="22"/>
          <w:lang w:val="sr-Latn-ME"/>
        </w:rPr>
        <w:t>rogen fosfat, dihidrat</w:t>
      </w:r>
    </w:p>
    <w:p w:rsidR="006F0E7D" w:rsidRPr="00AD3B49" w:rsidRDefault="006F0E7D" w:rsidP="00480FB1">
      <w:pPr>
        <w:tabs>
          <w:tab w:val="left" w:pos="540"/>
          <w:tab w:val="left" w:pos="569"/>
        </w:tabs>
        <w:rPr>
          <w:sz w:val="22"/>
          <w:szCs w:val="22"/>
          <w:lang w:val="sr-Latn-ME"/>
        </w:rPr>
      </w:pPr>
      <w:r w:rsidRPr="00AD3B49">
        <w:rPr>
          <w:sz w:val="22"/>
          <w:szCs w:val="22"/>
          <w:lang w:val="sr-Latn-ME"/>
        </w:rPr>
        <w:t>dinatrijum fosfat, dihidrat</w:t>
      </w:r>
    </w:p>
    <w:p w:rsidR="006F0E7D" w:rsidRPr="00AD3B49" w:rsidRDefault="006F0E7D" w:rsidP="00480FB1">
      <w:pPr>
        <w:tabs>
          <w:tab w:val="left" w:pos="540"/>
          <w:tab w:val="left" w:pos="569"/>
        </w:tabs>
        <w:rPr>
          <w:sz w:val="22"/>
          <w:szCs w:val="22"/>
          <w:lang w:val="sr-Latn-ME"/>
        </w:rPr>
      </w:pPr>
      <w:r w:rsidRPr="00AD3B49">
        <w:rPr>
          <w:sz w:val="22"/>
          <w:szCs w:val="22"/>
          <w:lang w:val="sr-Latn-ME"/>
        </w:rPr>
        <w:t>natrijum hlorid</w:t>
      </w:r>
    </w:p>
    <w:p w:rsidR="006F0E7D" w:rsidRPr="00AD3B49" w:rsidRDefault="006F0E7D" w:rsidP="00480FB1">
      <w:pPr>
        <w:tabs>
          <w:tab w:val="left" w:pos="540"/>
          <w:tab w:val="left" w:pos="569"/>
        </w:tabs>
        <w:rPr>
          <w:sz w:val="22"/>
          <w:szCs w:val="22"/>
          <w:lang w:val="sr-Latn-ME"/>
        </w:rPr>
      </w:pPr>
      <w:r w:rsidRPr="00AD3B49">
        <w:rPr>
          <w:sz w:val="22"/>
          <w:szCs w:val="22"/>
          <w:lang w:val="sr-Latn-ME"/>
        </w:rPr>
        <w:t>polisorbat 80</w:t>
      </w:r>
    </w:p>
    <w:p w:rsidR="006F0E7D" w:rsidRPr="00AD3B49" w:rsidRDefault="006F0E7D" w:rsidP="00480FB1">
      <w:pPr>
        <w:tabs>
          <w:tab w:val="left" w:pos="540"/>
          <w:tab w:val="left" w:pos="569"/>
        </w:tabs>
        <w:rPr>
          <w:sz w:val="22"/>
          <w:szCs w:val="22"/>
          <w:lang w:val="sr-Latn-ME"/>
        </w:rPr>
      </w:pPr>
      <w:r w:rsidRPr="00AD3B49">
        <w:rPr>
          <w:sz w:val="22"/>
          <w:szCs w:val="22"/>
          <w:lang w:val="sr-Latn-ME"/>
        </w:rPr>
        <w:t>natrijum hidoksid</w:t>
      </w:r>
    </w:p>
    <w:p w:rsidR="006F0E7D" w:rsidRPr="00AD3B49" w:rsidRDefault="006F0E7D" w:rsidP="00480FB1">
      <w:pPr>
        <w:tabs>
          <w:tab w:val="left" w:pos="540"/>
          <w:tab w:val="left" w:pos="569"/>
        </w:tabs>
        <w:rPr>
          <w:bCs/>
          <w:sz w:val="22"/>
          <w:szCs w:val="22"/>
          <w:lang w:val="sr-Latn-ME"/>
        </w:rPr>
      </w:pPr>
      <w:r w:rsidRPr="00AD3B49">
        <w:rPr>
          <w:sz w:val="22"/>
          <w:szCs w:val="22"/>
          <w:lang w:val="sr-Latn-ME"/>
        </w:rPr>
        <w:t>voda za injekcije.</w:t>
      </w:r>
    </w:p>
    <w:p w:rsidR="008D1FC7" w:rsidRPr="00AD3B49" w:rsidRDefault="008D1FC7" w:rsidP="008D1FC7">
      <w:pPr>
        <w:tabs>
          <w:tab w:val="left" w:pos="540"/>
          <w:tab w:val="left" w:pos="569"/>
        </w:tabs>
        <w:rPr>
          <w:bCs/>
          <w:sz w:val="22"/>
          <w:szCs w:val="22"/>
          <w:lang w:val="sr-Latn-ME"/>
        </w:rPr>
      </w:pPr>
    </w:p>
    <w:p w:rsidR="0072020E" w:rsidRPr="00AD3B49" w:rsidRDefault="0072020E" w:rsidP="00480FB1">
      <w:pPr>
        <w:tabs>
          <w:tab w:val="left" w:pos="540"/>
          <w:tab w:val="left" w:pos="569"/>
        </w:tabs>
        <w:rPr>
          <w:b/>
          <w:bCs/>
          <w:sz w:val="22"/>
          <w:szCs w:val="22"/>
          <w:lang w:val="sr-Latn-ME"/>
        </w:rPr>
      </w:pPr>
      <w:r w:rsidRPr="00AD3B49">
        <w:rPr>
          <w:b/>
          <w:bCs/>
          <w:sz w:val="22"/>
          <w:szCs w:val="22"/>
          <w:lang w:val="sr-Latn-ME"/>
        </w:rPr>
        <w:t xml:space="preserve">6.2. </w:t>
      </w:r>
      <w:r w:rsidR="00480FB1" w:rsidRPr="00AD3B49">
        <w:rPr>
          <w:b/>
          <w:bCs/>
          <w:sz w:val="22"/>
          <w:szCs w:val="22"/>
          <w:lang w:val="sr-Latn-ME"/>
        </w:rPr>
        <w:tab/>
      </w:r>
      <w:r w:rsidRPr="00AD3B49">
        <w:rPr>
          <w:b/>
          <w:bCs/>
          <w:sz w:val="22"/>
          <w:szCs w:val="22"/>
          <w:lang w:val="sr-Latn-ME"/>
        </w:rPr>
        <w:t>Inkompatibilnost</w:t>
      </w:r>
      <w:r w:rsidR="002846DB" w:rsidRPr="00AD3B49">
        <w:rPr>
          <w:b/>
          <w:bCs/>
          <w:sz w:val="22"/>
          <w:szCs w:val="22"/>
          <w:lang w:val="sr-Latn-ME"/>
        </w:rPr>
        <w:t>i</w:t>
      </w:r>
    </w:p>
    <w:p w:rsidR="0072020E" w:rsidRPr="00AD3B49" w:rsidRDefault="008D1FC7" w:rsidP="008D1FC7">
      <w:pPr>
        <w:tabs>
          <w:tab w:val="left" w:pos="540"/>
        </w:tabs>
        <w:rPr>
          <w:bCs/>
          <w:sz w:val="22"/>
          <w:szCs w:val="22"/>
          <w:lang w:val="sr-Latn-ME"/>
        </w:rPr>
      </w:pPr>
      <w:r w:rsidRPr="00AD3B49">
        <w:rPr>
          <w:bCs/>
          <w:sz w:val="22"/>
          <w:szCs w:val="22"/>
          <w:lang w:val="sr-Latn-ME"/>
        </w:rPr>
        <w:tab/>
      </w:r>
    </w:p>
    <w:p w:rsidR="008D1FC7" w:rsidRPr="00AD3B49" w:rsidRDefault="008D1FC7" w:rsidP="008D1FC7">
      <w:pPr>
        <w:tabs>
          <w:tab w:val="left" w:pos="540"/>
        </w:tabs>
        <w:rPr>
          <w:bCs/>
          <w:sz w:val="22"/>
          <w:szCs w:val="22"/>
          <w:lang w:val="sr-Latn-ME"/>
        </w:rPr>
      </w:pPr>
      <w:r w:rsidRPr="00AD3B49">
        <w:rPr>
          <w:bCs/>
          <w:sz w:val="22"/>
          <w:szCs w:val="22"/>
          <w:lang w:val="sr-Latn-ME"/>
        </w:rPr>
        <w:t>Zbog nedostatka ispitivanja kompatibilnosti, ovaj lijek se ne smije miješati s drugim</w:t>
      </w:r>
      <w:r w:rsidR="002D5061" w:rsidRPr="00AD3B49">
        <w:rPr>
          <w:bCs/>
          <w:sz w:val="22"/>
          <w:szCs w:val="22"/>
          <w:lang w:val="sr-Latn-ME"/>
        </w:rPr>
        <w:t xml:space="preserve"> </w:t>
      </w:r>
      <w:r w:rsidRPr="00AD3B49">
        <w:rPr>
          <w:bCs/>
          <w:sz w:val="22"/>
          <w:szCs w:val="22"/>
          <w:lang w:val="sr-Latn-ME"/>
        </w:rPr>
        <w:t>ljekovima.</w:t>
      </w:r>
    </w:p>
    <w:p w:rsidR="008D1FC7" w:rsidRPr="00AD3B49" w:rsidRDefault="008D1FC7" w:rsidP="008D1FC7">
      <w:pPr>
        <w:tabs>
          <w:tab w:val="left" w:pos="540"/>
        </w:tabs>
        <w:rPr>
          <w:bCs/>
          <w:sz w:val="22"/>
          <w:szCs w:val="22"/>
          <w:lang w:val="sr-Latn-ME"/>
        </w:rPr>
      </w:pPr>
    </w:p>
    <w:p w:rsidR="0072020E" w:rsidRPr="00AD3B49" w:rsidRDefault="0072020E" w:rsidP="00480FB1">
      <w:pPr>
        <w:tabs>
          <w:tab w:val="left" w:pos="540"/>
          <w:tab w:val="left" w:pos="569"/>
        </w:tabs>
        <w:rPr>
          <w:b/>
          <w:bCs/>
          <w:sz w:val="22"/>
          <w:szCs w:val="22"/>
          <w:lang w:val="sr-Latn-ME"/>
        </w:rPr>
      </w:pPr>
      <w:r w:rsidRPr="00AD3B49">
        <w:rPr>
          <w:b/>
          <w:bCs/>
          <w:sz w:val="22"/>
          <w:szCs w:val="22"/>
          <w:lang w:val="sr-Latn-ME"/>
        </w:rPr>
        <w:t>6.3.</w:t>
      </w:r>
      <w:r w:rsidR="00480FB1" w:rsidRPr="00AD3B49">
        <w:rPr>
          <w:b/>
          <w:bCs/>
          <w:sz w:val="22"/>
          <w:szCs w:val="22"/>
          <w:lang w:val="sr-Latn-ME"/>
        </w:rPr>
        <w:tab/>
      </w:r>
      <w:r w:rsidRPr="00AD3B49">
        <w:rPr>
          <w:b/>
          <w:bCs/>
          <w:sz w:val="22"/>
          <w:szCs w:val="22"/>
          <w:lang w:val="sr-Latn-ME"/>
        </w:rPr>
        <w:t>Rok upotrebe</w:t>
      </w:r>
    </w:p>
    <w:p w:rsidR="0072020E" w:rsidRPr="00AD3B49" w:rsidRDefault="0072020E" w:rsidP="00480FB1">
      <w:pPr>
        <w:tabs>
          <w:tab w:val="left" w:pos="540"/>
          <w:tab w:val="left" w:pos="569"/>
        </w:tabs>
        <w:rPr>
          <w:bCs/>
          <w:sz w:val="22"/>
          <w:szCs w:val="22"/>
          <w:lang w:val="sr-Latn-ME"/>
        </w:rPr>
      </w:pPr>
    </w:p>
    <w:p w:rsidR="008D1FC7" w:rsidRPr="00AD3B49" w:rsidRDefault="008D1FC7" w:rsidP="00480FB1">
      <w:pPr>
        <w:tabs>
          <w:tab w:val="left" w:pos="540"/>
          <w:tab w:val="left" w:pos="569"/>
        </w:tabs>
        <w:rPr>
          <w:bCs/>
          <w:sz w:val="22"/>
          <w:szCs w:val="22"/>
          <w:lang w:val="sr-Latn-ME"/>
        </w:rPr>
      </w:pPr>
      <w:r w:rsidRPr="00AD3B49">
        <w:rPr>
          <w:bCs/>
          <w:sz w:val="22"/>
          <w:szCs w:val="22"/>
          <w:lang w:val="sr-Latn-ME"/>
        </w:rPr>
        <w:t>24 mjeseca</w:t>
      </w:r>
      <w:r w:rsidR="00634F67">
        <w:rPr>
          <w:bCs/>
          <w:sz w:val="22"/>
          <w:szCs w:val="22"/>
          <w:lang w:val="sr-Latn-ME"/>
        </w:rPr>
        <w:t>.</w:t>
      </w:r>
    </w:p>
    <w:p w:rsidR="008D1FC7" w:rsidRPr="00AD3B49" w:rsidRDefault="008D1FC7" w:rsidP="00480FB1">
      <w:pPr>
        <w:tabs>
          <w:tab w:val="left" w:pos="540"/>
          <w:tab w:val="left" w:pos="569"/>
        </w:tabs>
        <w:rPr>
          <w:bCs/>
          <w:sz w:val="22"/>
          <w:szCs w:val="22"/>
          <w:lang w:val="sr-Latn-ME"/>
        </w:rPr>
      </w:pPr>
    </w:p>
    <w:p w:rsidR="0072020E" w:rsidRPr="00AD3B49" w:rsidRDefault="0072020E" w:rsidP="00480FB1">
      <w:pPr>
        <w:tabs>
          <w:tab w:val="left" w:pos="540"/>
          <w:tab w:val="left" w:pos="569"/>
        </w:tabs>
        <w:rPr>
          <w:b/>
          <w:bCs/>
          <w:sz w:val="22"/>
          <w:szCs w:val="22"/>
          <w:lang w:val="sr-Latn-ME"/>
        </w:rPr>
      </w:pPr>
      <w:r w:rsidRPr="00AD3B49">
        <w:rPr>
          <w:b/>
          <w:bCs/>
          <w:sz w:val="22"/>
          <w:szCs w:val="22"/>
          <w:lang w:val="sr-Latn-ME"/>
        </w:rPr>
        <w:t xml:space="preserve">6.4. </w:t>
      </w:r>
      <w:r w:rsidR="00480FB1" w:rsidRPr="00AD3B49">
        <w:rPr>
          <w:b/>
          <w:bCs/>
          <w:sz w:val="22"/>
          <w:szCs w:val="22"/>
          <w:lang w:val="sr-Latn-ME"/>
        </w:rPr>
        <w:tab/>
      </w:r>
      <w:r w:rsidRPr="00AD3B49">
        <w:rPr>
          <w:b/>
          <w:bCs/>
          <w:sz w:val="22"/>
          <w:szCs w:val="22"/>
          <w:lang w:val="sr-Latn-ME"/>
        </w:rPr>
        <w:t>Posebne mjere upozorenja pri čuvanju</w:t>
      </w:r>
      <w:r w:rsidR="00F8570A" w:rsidRPr="00AD3B49">
        <w:rPr>
          <w:b/>
          <w:bCs/>
          <w:sz w:val="22"/>
          <w:szCs w:val="22"/>
          <w:lang w:val="sr-Latn-ME"/>
        </w:rPr>
        <w:t xml:space="preserve"> lijeka</w:t>
      </w:r>
    </w:p>
    <w:p w:rsidR="00EC2532" w:rsidRPr="00AD3B49" w:rsidRDefault="00EC2532" w:rsidP="00480FB1">
      <w:pPr>
        <w:tabs>
          <w:tab w:val="left" w:pos="540"/>
          <w:tab w:val="left" w:pos="569"/>
        </w:tabs>
        <w:rPr>
          <w:bCs/>
          <w:sz w:val="22"/>
          <w:szCs w:val="22"/>
          <w:lang w:val="sr-Latn-ME"/>
        </w:rPr>
      </w:pPr>
    </w:p>
    <w:p w:rsidR="00893DAD" w:rsidRPr="00AD3B49" w:rsidRDefault="00893DAD" w:rsidP="00893DAD">
      <w:pPr>
        <w:pStyle w:val="Default"/>
        <w:jc w:val="both"/>
        <w:rPr>
          <w:rFonts w:ascii="Times New Roman" w:hAnsi="Times New Roman" w:cs="Times New Roman"/>
          <w:lang w:val="sr-Latn-ME"/>
        </w:rPr>
      </w:pPr>
      <w:r w:rsidRPr="00AD3B49">
        <w:rPr>
          <w:rFonts w:ascii="Times New Roman" w:hAnsi="Times New Roman" w:cs="Times New Roman"/>
          <w:sz w:val="22"/>
          <w:szCs w:val="22"/>
          <w:lang w:val="sr-Latn-ME"/>
        </w:rPr>
        <w:t xml:space="preserve">Lijek se čuva u originalnom pakovanju </w:t>
      </w:r>
      <w:r w:rsidR="000272E5" w:rsidRPr="00AD3B49">
        <w:rPr>
          <w:rFonts w:ascii="Times New Roman" w:hAnsi="Times New Roman" w:cs="Times New Roman"/>
          <w:sz w:val="22"/>
          <w:szCs w:val="22"/>
          <w:lang w:val="sr-Latn-ME"/>
        </w:rPr>
        <w:t xml:space="preserve">radi zaštite od svijetlosti, </w:t>
      </w:r>
      <w:r w:rsidRPr="00AD3B49">
        <w:rPr>
          <w:rFonts w:ascii="Times New Roman" w:hAnsi="Times New Roman" w:cs="Times New Roman"/>
          <w:sz w:val="22"/>
          <w:szCs w:val="22"/>
          <w:lang w:val="sr-Latn-ME"/>
        </w:rPr>
        <w:t>na temperaturi između 2</w:t>
      </w:r>
      <w:r w:rsidR="00206854" w:rsidRPr="00AD3B49">
        <w:rPr>
          <w:rFonts w:ascii="Times New Roman" w:hAnsi="Times New Roman" w:cs="Times New Roman"/>
          <w:sz w:val="22"/>
          <w:szCs w:val="22"/>
          <w:lang w:val="sr-Latn-ME"/>
        </w:rPr>
        <w:t>-</w:t>
      </w:r>
      <w:r w:rsidRPr="00AD3B49">
        <w:rPr>
          <w:rFonts w:ascii="Times New Roman" w:hAnsi="Times New Roman" w:cs="Times New Roman"/>
          <w:sz w:val="22"/>
          <w:szCs w:val="22"/>
          <w:lang w:val="sr-Latn-ME"/>
        </w:rPr>
        <w:t>8 °C (u frižideru). Ne smije se zamrzavati.</w:t>
      </w:r>
      <w:r w:rsidRPr="00AD3B49">
        <w:rPr>
          <w:rFonts w:ascii="Times New Roman" w:hAnsi="Times New Roman" w:cs="Times New Roman"/>
          <w:lang w:val="sr-Latn-ME"/>
        </w:rPr>
        <w:t xml:space="preserve"> </w:t>
      </w:r>
    </w:p>
    <w:p w:rsidR="00893DAD" w:rsidRPr="00AD3B49" w:rsidRDefault="00893DAD" w:rsidP="00893DAD">
      <w:pPr>
        <w:pStyle w:val="Default"/>
        <w:jc w:val="both"/>
        <w:rPr>
          <w:rFonts w:ascii="Times New Roman" w:hAnsi="Times New Roman" w:cs="Times New Roman"/>
          <w:lang w:val="sr-Latn-ME"/>
        </w:rPr>
      </w:pPr>
    </w:p>
    <w:p w:rsidR="00893DAD" w:rsidRPr="00AD3B49" w:rsidRDefault="009E3AA8" w:rsidP="00893DAD">
      <w:pPr>
        <w:jc w:val="both"/>
        <w:rPr>
          <w:color w:val="000000"/>
          <w:sz w:val="22"/>
          <w:szCs w:val="22"/>
          <w:lang w:val="sr-Latn-ME"/>
        </w:rPr>
      </w:pPr>
      <w:r w:rsidRPr="00AD3B49">
        <w:rPr>
          <w:color w:val="000000"/>
          <w:sz w:val="22"/>
          <w:szCs w:val="22"/>
          <w:lang w:val="sr-Latn-ME"/>
        </w:rPr>
        <w:t xml:space="preserve">Lijek </w:t>
      </w:r>
      <w:r w:rsidR="00893DAD" w:rsidRPr="00AD3B49">
        <w:rPr>
          <w:color w:val="000000"/>
          <w:sz w:val="22"/>
          <w:szCs w:val="22"/>
          <w:lang w:val="sr-Latn-ME"/>
        </w:rPr>
        <w:t xml:space="preserve">Humira, rastvor za injekciju u napunjenom </w:t>
      </w:r>
      <w:r w:rsidR="00206854" w:rsidRPr="00AD3B49">
        <w:rPr>
          <w:color w:val="000000"/>
          <w:sz w:val="22"/>
          <w:szCs w:val="22"/>
          <w:lang w:val="sr-Latn-ME"/>
        </w:rPr>
        <w:t xml:space="preserve">injekcionom </w:t>
      </w:r>
      <w:r w:rsidR="00893DAD" w:rsidRPr="00AD3B49">
        <w:rPr>
          <w:color w:val="000000"/>
          <w:sz w:val="22"/>
          <w:szCs w:val="22"/>
          <w:lang w:val="sr-Latn-ME"/>
        </w:rPr>
        <w:t>špricu se može čuvati izvan frižidera, na temperaturi do 25°C tokom 14 dana, zaštićen od svjetlosti. Ukoliko se napunjen</w:t>
      </w:r>
      <w:r w:rsidR="00206854" w:rsidRPr="00AD3B49">
        <w:rPr>
          <w:color w:val="000000"/>
          <w:sz w:val="22"/>
          <w:szCs w:val="22"/>
          <w:lang w:val="sr-Latn-ME"/>
        </w:rPr>
        <w:t xml:space="preserve"> injekcioni</w:t>
      </w:r>
      <w:r w:rsidR="00893DAD" w:rsidRPr="00AD3B49">
        <w:rPr>
          <w:color w:val="000000"/>
          <w:sz w:val="22"/>
          <w:szCs w:val="22"/>
          <w:lang w:val="sr-Latn-ME"/>
        </w:rPr>
        <w:t xml:space="preserve"> špric ne upotrijebi u toku 14 dana, mora se uništiti.</w:t>
      </w:r>
    </w:p>
    <w:p w:rsidR="008D1FC7" w:rsidRPr="00AD3B49" w:rsidRDefault="008D1FC7" w:rsidP="008D1FC7">
      <w:pPr>
        <w:tabs>
          <w:tab w:val="left" w:pos="540"/>
          <w:tab w:val="left" w:pos="569"/>
        </w:tabs>
        <w:rPr>
          <w:bCs/>
          <w:sz w:val="22"/>
          <w:szCs w:val="22"/>
          <w:lang w:val="sr-Latn-ME"/>
        </w:rPr>
      </w:pPr>
    </w:p>
    <w:p w:rsidR="0072020E" w:rsidRPr="00AD3B49" w:rsidRDefault="0072020E" w:rsidP="00480FB1">
      <w:pPr>
        <w:tabs>
          <w:tab w:val="left" w:pos="540"/>
          <w:tab w:val="left" w:pos="569"/>
        </w:tabs>
        <w:rPr>
          <w:b/>
          <w:bCs/>
          <w:sz w:val="22"/>
          <w:szCs w:val="22"/>
          <w:lang w:val="sr-Latn-ME"/>
        </w:rPr>
      </w:pPr>
      <w:r w:rsidRPr="00AD3B49">
        <w:rPr>
          <w:b/>
          <w:bCs/>
          <w:sz w:val="22"/>
          <w:szCs w:val="22"/>
          <w:lang w:val="sr-Latn-ME"/>
        </w:rPr>
        <w:t xml:space="preserve">6.5. </w:t>
      </w:r>
      <w:r w:rsidR="00480FB1" w:rsidRPr="00AD3B49">
        <w:rPr>
          <w:b/>
          <w:bCs/>
          <w:sz w:val="22"/>
          <w:szCs w:val="22"/>
          <w:lang w:val="sr-Latn-ME"/>
        </w:rPr>
        <w:tab/>
      </w:r>
      <w:r w:rsidR="002846DB" w:rsidRPr="00AD3B49">
        <w:rPr>
          <w:b/>
          <w:bCs/>
          <w:sz w:val="22"/>
          <w:szCs w:val="22"/>
          <w:lang w:val="sr-Latn-ME"/>
        </w:rPr>
        <w:t xml:space="preserve">Vrsta i sadržaj </w:t>
      </w:r>
      <w:r w:rsidR="00F8570A" w:rsidRPr="00AD3B49">
        <w:rPr>
          <w:b/>
          <w:bCs/>
          <w:sz w:val="22"/>
          <w:szCs w:val="22"/>
          <w:lang w:val="sr-Latn-ME"/>
        </w:rPr>
        <w:t>pakovanja</w:t>
      </w:r>
    </w:p>
    <w:p w:rsidR="0072020E" w:rsidRPr="00AD3B49" w:rsidRDefault="0072020E" w:rsidP="00480FB1">
      <w:pPr>
        <w:tabs>
          <w:tab w:val="left" w:pos="540"/>
          <w:tab w:val="left" w:pos="569"/>
        </w:tabs>
        <w:rPr>
          <w:bCs/>
          <w:sz w:val="22"/>
          <w:szCs w:val="22"/>
          <w:lang w:val="sr-Latn-ME"/>
        </w:rPr>
      </w:pPr>
    </w:p>
    <w:p w:rsidR="00893DAD" w:rsidRPr="00AD3B49" w:rsidRDefault="00893DAD" w:rsidP="00893DAD">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Humira 40 mg rastvor za injekciju u napunjenom </w:t>
      </w:r>
      <w:r w:rsidR="009E3AA8" w:rsidRPr="00AD3B49">
        <w:rPr>
          <w:rFonts w:ascii="Times New Roman" w:hAnsi="Times New Roman" w:cs="Times New Roman"/>
          <w:color w:val="auto"/>
          <w:sz w:val="22"/>
          <w:szCs w:val="22"/>
          <w:lang w:val="sr-Latn-ME"/>
        </w:rPr>
        <w:t xml:space="preserve">injekcionom </w:t>
      </w:r>
      <w:r w:rsidRPr="00AD3B49">
        <w:rPr>
          <w:rFonts w:ascii="Times New Roman" w:hAnsi="Times New Roman" w:cs="Times New Roman"/>
          <w:color w:val="auto"/>
          <w:sz w:val="22"/>
          <w:szCs w:val="22"/>
          <w:lang w:val="sr-Latn-ME"/>
        </w:rPr>
        <w:t>špricu za jednokratnu primjenu (staklo tipa I), sa gumenim zatvaračem (brom</w:t>
      </w:r>
      <w:r w:rsidR="006C2581" w:rsidRPr="00AD3B49">
        <w:rPr>
          <w:rFonts w:ascii="Times New Roman" w:hAnsi="Times New Roman" w:cs="Times New Roman"/>
          <w:color w:val="auto"/>
          <w:sz w:val="22"/>
          <w:szCs w:val="22"/>
          <w:lang w:val="sr-Latn-ME"/>
        </w:rPr>
        <w:t>butil guma) i iglom sa zaštitnom</w:t>
      </w:r>
      <w:r w:rsidRPr="00AD3B49">
        <w:rPr>
          <w:rFonts w:ascii="Times New Roman" w:hAnsi="Times New Roman" w:cs="Times New Roman"/>
          <w:color w:val="auto"/>
          <w:sz w:val="22"/>
          <w:szCs w:val="22"/>
          <w:lang w:val="sr-Latn-ME"/>
        </w:rPr>
        <w:t xml:space="preserve"> kapicom (termoplastični e</w:t>
      </w:r>
      <w:r w:rsidR="006C2581" w:rsidRPr="00AD3B49">
        <w:rPr>
          <w:rFonts w:ascii="Times New Roman" w:hAnsi="Times New Roman" w:cs="Times New Roman"/>
          <w:color w:val="auto"/>
          <w:sz w:val="22"/>
          <w:szCs w:val="22"/>
          <w:lang w:val="sr-Latn-ME"/>
        </w:rPr>
        <w:t>lestomer) za upotrebu pacijenata.</w:t>
      </w:r>
    </w:p>
    <w:p w:rsidR="00893DAD" w:rsidRPr="00AD3B49" w:rsidRDefault="00893DAD" w:rsidP="00893DAD">
      <w:pPr>
        <w:pStyle w:val="Default"/>
        <w:rPr>
          <w:rFonts w:ascii="Times New Roman" w:hAnsi="Times New Roman" w:cs="Times New Roman"/>
          <w:color w:val="auto"/>
          <w:sz w:val="22"/>
          <w:szCs w:val="22"/>
          <w:lang w:val="sr-Latn-ME"/>
        </w:rPr>
      </w:pPr>
    </w:p>
    <w:p w:rsidR="00893DAD" w:rsidRPr="00AD3B49" w:rsidRDefault="00893DAD" w:rsidP="00893DAD">
      <w:pPr>
        <w:pStyle w:val="Default"/>
        <w:jc w:val="both"/>
        <w:rPr>
          <w:rFonts w:ascii="Times New Roman" w:hAnsi="Times New Roman" w:cs="Times New Roman"/>
          <w:color w:val="auto"/>
          <w:sz w:val="22"/>
          <w:szCs w:val="22"/>
          <w:lang w:val="sr-Latn-ME"/>
        </w:rPr>
      </w:pPr>
      <w:r w:rsidRPr="00AD3B49">
        <w:rPr>
          <w:rFonts w:ascii="Times New Roman" w:hAnsi="Times New Roman" w:cs="Times New Roman"/>
          <w:color w:val="auto"/>
          <w:sz w:val="22"/>
          <w:szCs w:val="22"/>
          <w:lang w:val="sr-Latn-ME"/>
        </w:rPr>
        <w:t xml:space="preserve">Pakovanje: 2 napunjena </w:t>
      </w:r>
      <w:r w:rsidR="006C2581" w:rsidRPr="00AD3B49">
        <w:rPr>
          <w:rFonts w:ascii="Times New Roman" w:hAnsi="Times New Roman" w:cs="Times New Roman"/>
          <w:color w:val="auto"/>
          <w:sz w:val="22"/>
          <w:szCs w:val="22"/>
          <w:lang w:val="sr-Latn-ME"/>
        </w:rPr>
        <w:t xml:space="preserve">injekciona </w:t>
      </w:r>
      <w:r w:rsidRPr="00AD3B49">
        <w:rPr>
          <w:rFonts w:ascii="Times New Roman" w:hAnsi="Times New Roman" w:cs="Times New Roman"/>
          <w:color w:val="auto"/>
          <w:sz w:val="22"/>
          <w:szCs w:val="22"/>
          <w:lang w:val="sr-Latn-ME"/>
        </w:rPr>
        <w:t>šprica (0,8 ml sterilnog rastvora) svaka sa po 1 alkohol</w:t>
      </w:r>
      <w:r w:rsidR="009E3AA8" w:rsidRPr="00AD3B49">
        <w:rPr>
          <w:rFonts w:ascii="Times New Roman" w:hAnsi="Times New Roman" w:cs="Times New Roman"/>
          <w:color w:val="auto"/>
          <w:sz w:val="22"/>
          <w:szCs w:val="22"/>
          <w:lang w:val="sr-Latn-ME"/>
        </w:rPr>
        <w:t>nim</w:t>
      </w:r>
      <w:r w:rsidRPr="00AD3B49">
        <w:rPr>
          <w:rFonts w:ascii="Times New Roman" w:hAnsi="Times New Roman" w:cs="Times New Roman"/>
          <w:color w:val="auto"/>
          <w:sz w:val="22"/>
          <w:szCs w:val="22"/>
          <w:lang w:val="sr-Latn-ME"/>
        </w:rPr>
        <w:t xml:space="preserve">  tu</w:t>
      </w:r>
      <w:r w:rsidR="009E3AA8" w:rsidRPr="00AD3B49">
        <w:rPr>
          <w:rFonts w:ascii="Times New Roman" w:hAnsi="Times New Roman" w:cs="Times New Roman"/>
          <w:color w:val="auto"/>
          <w:sz w:val="22"/>
          <w:szCs w:val="22"/>
          <w:lang w:val="sr-Latn-ME"/>
        </w:rPr>
        <w:t>p</w:t>
      </w:r>
      <w:r w:rsidRPr="00AD3B49">
        <w:rPr>
          <w:rFonts w:ascii="Times New Roman" w:hAnsi="Times New Roman" w:cs="Times New Roman"/>
          <w:color w:val="auto"/>
          <w:sz w:val="22"/>
          <w:szCs w:val="22"/>
          <w:lang w:val="sr-Latn-ME"/>
        </w:rPr>
        <w:t>ferom u blisteru.</w:t>
      </w:r>
    </w:p>
    <w:p w:rsidR="008D1FC7" w:rsidRPr="00AD3B49" w:rsidRDefault="008D1FC7" w:rsidP="008D1FC7">
      <w:pPr>
        <w:tabs>
          <w:tab w:val="left" w:pos="540"/>
          <w:tab w:val="left" w:pos="569"/>
        </w:tabs>
        <w:rPr>
          <w:bCs/>
          <w:sz w:val="22"/>
          <w:szCs w:val="22"/>
          <w:lang w:val="sr-Latn-ME"/>
        </w:rPr>
      </w:pPr>
    </w:p>
    <w:p w:rsidR="002846DB" w:rsidRPr="00AD3B49" w:rsidRDefault="0072020E" w:rsidP="00480FB1">
      <w:pPr>
        <w:tabs>
          <w:tab w:val="left" w:pos="540"/>
          <w:tab w:val="left" w:pos="569"/>
        </w:tabs>
        <w:rPr>
          <w:b/>
          <w:bCs/>
          <w:sz w:val="22"/>
          <w:szCs w:val="22"/>
          <w:lang w:val="sr-Latn-ME"/>
        </w:rPr>
      </w:pPr>
      <w:r w:rsidRPr="00AD3B49">
        <w:rPr>
          <w:b/>
          <w:bCs/>
          <w:sz w:val="22"/>
          <w:szCs w:val="22"/>
          <w:lang w:val="sr-Latn-ME"/>
        </w:rPr>
        <w:t xml:space="preserve">6.6. </w:t>
      </w:r>
      <w:r w:rsidR="00480FB1" w:rsidRPr="00AD3B49">
        <w:rPr>
          <w:b/>
          <w:bCs/>
          <w:sz w:val="22"/>
          <w:szCs w:val="22"/>
          <w:lang w:val="sr-Latn-ME"/>
        </w:rPr>
        <w:tab/>
      </w:r>
      <w:r w:rsidRPr="00AD3B49">
        <w:rPr>
          <w:b/>
          <w:bCs/>
          <w:sz w:val="22"/>
          <w:szCs w:val="22"/>
          <w:lang w:val="sr-Latn-ME"/>
        </w:rPr>
        <w:t xml:space="preserve">Posebne mjere opreza pri odlaganju materijala koji treba odbaciti nakon primjene lijeka </w:t>
      </w:r>
    </w:p>
    <w:p w:rsidR="008D1FC7" w:rsidRPr="00AD3B49" w:rsidRDefault="008D1FC7" w:rsidP="008D1FC7">
      <w:pPr>
        <w:tabs>
          <w:tab w:val="left" w:pos="540"/>
          <w:tab w:val="left" w:pos="569"/>
        </w:tabs>
        <w:rPr>
          <w:bCs/>
          <w:sz w:val="22"/>
          <w:szCs w:val="22"/>
          <w:lang w:val="sr-Latn-ME"/>
        </w:rPr>
      </w:pPr>
    </w:p>
    <w:p w:rsidR="00893DAD" w:rsidRPr="00AD3B49" w:rsidRDefault="00893DAD" w:rsidP="00893DAD">
      <w:pPr>
        <w:jc w:val="both"/>
        <w:rPr>
          <w:sz w:val="22"/>
          <w:szCs w:val="22"/>
          <w:lang w:val="sr-Latn-ME"/>
        </w:rPr>
      </w:pPr>
      <w:r w:rsidRPr="00AD3B49">
        <w:rPr>
          <w:sz w:val="22"/>
          <w:szCs w:val="22"/>
          <w:lang w:val="sr-Latn-ME"/>
        </w:rPr>
        <w:t>Humira 40 mg rastvor za injekciju ne sadrži konzervanse. Neiskorišteni lijek ili otpadni materijal se odlaže u skladu sa lokalnim propisima za zbrinjavanje medicinskog otpada.</w:t>
      </w:r>
    </w:p>
    <w:p w:rsidR="008D1FC7" w:rsidRPr="00AD3B49" w:rsidRDefault="008D1FC7" w:rsidP="008D1FC7">
      <w:pPr>
        <w:tabs>
          <w:tab w:val="left" w:pos="540"/>
          <w:tab w:val="left" w:pos="569"/>
        </w:tabs>
        <w:rPr>
          <w:bCs/>
          <w:sz w:val="22"/>
          <w:szCs w:val="22"/>
          <w:lang w:val="sr-Latn-ME"/>
        </w:rPr>
      </w:pPr>
    </w:p>
    <w:p w:rsidR="00483928" w:rsidRPr="00AD3B49" w:rsidRDefault="00483928" w:rsidP="00480FB1">
      <w:pPr>
        <w:tabs>
          <w:tab w:val="left" w:pos="540"/>
          <w:tab w:val="left" w:pos="569"/>
        </w:tabs>
        <w:rPr>
          <w:b/>
          <w:bCs/>
          <w:sz w:val="22"/>
          <w:szCs w:val="22"/>
          <w:lang w:val="sr-Latn-ME"/>
        </w:rPr>
      </w:pPr>
      <w:r w:rsidRPr="00AD3B49">
        <w:rPr>
          <w:b/>
          <w:bCs/>
          <w:sz w:val="22"/>
          <w:szCs w:val="22"/>
          <w:lang w:val="sr-Latn-ME"/>
        </w:rPr>
        <w:t xml:space="preserve">6.7. </w:t>
      </w:r>
      <w:r w:rsidR="00480FB1" w:rsidRPr="00AD3B49">
        <w:rPr>
          <w:b/>
          <w:bCs/>
          <w:sz w:val="22"/>
          <w:szCs w:val="22"/>
          <w:lang w:val="sr-Latn-ME"/>
        </w:rPr>
        <w:tab/>
      </w:r>
      <w:r w:rsidR="00C44CF3" w:rsidRPr="00AD3B49">
        <w:rPr>
          <w:b/>
          <w:bCs/>
          <w:sz w:val="22"/>
          <w:szCs w:val="22"/>
          <w:lang w:val="sr-Latn-ME"/>
        </w:rPr>
        <w:t>Režim</w:t>
      </w:r>
      <w:r w:rsidRPr="00AD3B49">
        <w:rPr>
          <w:b/>
          <w:bCs/>
          <w:sz w:val="22"/>
          <w:szCs w:val="22"/>
          <w:lang w:val="sr-Latn-ME"/>
        </w:rPr>
        <w:t xml:space="preserve"> izdavanja lijeka</w:t>
      </w:r>
    </w:p>
    <w:p w:rsidR="002846DB" w:rsidRPr="00AD3B49" w:rsidRDefault="002846DB" w:rsidP="00480FB1">
      <w:pPr>
        <w:tabs>
          <w:tab w:val="left" w:pos="540"/>
          <w:tab w:val="left" w:pos="569"/>
        </w:tabs>
        <w:rPr>
          <w:bCs/>
          <w:sz w:val="22"/>
          <w:szCs w:val="22"/>
          <w:lang w:val="sr-Latn-ME"/>
        </w:rPr>
      </w:pPr>
    </w:p>
    <w:p w:rsidR="00CE495E" w:rsidRPr="00AD3B49" w:rsidRDefault="00CE495E" w:rsidP="00CE495E">
      <w:pPr>
        <w:widowControl w:val="0"/>
        <w:autoSpaceDE w:val="0"/>
        <w:autoSpaceDN w:val="0"/>
        <w:adjustRightInd w:val="0"/>
        <w:jc w:val="both"/>
        <w:rPr>
          <w:color w:val="000000"/>
          <w:sz w:val="22"/>
          <w:szCs w:val="22"/>
          <w:lang w:val="sr-Latn-ME"/>
        </w:rPr>
      </w:pPr>
      <w:r w:rsidRPr="00AD3B49">
        <w:rPr>
          <w:color w:val="000000"/>
          <w:sz w:val="22"/>
          <w:szCs w:val="22"/>
          <w:lang w:val="sr-Latn-ME"/>
        </w:rPr>
        <w:t>Lijek se</w:t>
      </w:r>
      <w:r w:rsidR="009E3AA8" w:rsidRPr="00AD3B49">
        <w:rPr>
          <w:color w:val="000000"/>
          <w:sz w:val="22"/>
          <w:szCs w:val="22"/>
          <w:lang w:val="sr-Latn-ME"/>
        </w:rPr>
        <w:t xml:space="preserve"> može upotrebljavati</w:t>
      </w:r>
      <w:r w:rsidRPr="00AD3B49">
        <w:rPr>
          <w:color w:val="000000"/>
          <w:sz w:val="22"/>
          <w:szCs w:val="22"/>
          <w:lang w:val="sr-Latn-ME"/>
        </w:rPr>
        <w:t xml:space="preserve"> u stacionarnoj zdravstvenoj ustanovi; Izuzetno na recept.</w:t>
      </w:r>
    </w:p>
    <w:p w:rsidR="008D1FC7" w:rsidRPr="00AD3B49" w:rsidRDefault="008D1FC7" w:rsidP="00480FB1">
      <w:pPr>
        <w:tabs>
          <w:tab w:val="left" w:pos="540"/>
          <w:tab w:val="left" w:pos="569"/>
        </w:tabs>
        <w:rPr>
          <w:bCs/>
          <w:sz w:val="22"/>
          <w:szCs w:val="22"/>
          <w:lang w:val="sr-Latn-ME"/>
        </w:rPr>
      </w:pPr>
    </w:p>
    <w:p w:rsidR="00F8570A" w:rsidRPr="00AD3B49" w:rsidRDefault="0072020E" w:rsidP="00480FB1">
      <w:pPr>
        <w:tabs>
          <w:tab w:val="left" w:pos="540"/>
          <w:tab w:val="left" w:pos="569"/>
        </w:tabs>
        <w:rPr>
          <w:b/>
          <w:bCs/>
          <w:sz w:val="22"/>
          <w:szCs w:val="22"/>
          <w:lang w:val="sr-Latn-ME"/>
        </w:rPr>
      </w:pPr>
      <w:r w:rsidRPr="00AD3B49">
        <w:rPr>
          <w:b/>
          <w:bCs/>
          <w:sz w:val="22"/>
          <w:szCs w:val="22"/>
          <w:lang w:val="sr-Latn-ME"/>
        </w:rPr>
        <w:t xml:space="preserve">7. </w:t>
      </w:r>
      <w:r w:rsidR="00480FB1" w:rsidRPr="00AD3B49">
        <w:rPr>
          <w:b/>
          <w:bCs/>
          <w:sz w:val="22"/>
          <w:szCs w:val="22"/>
          <w:lang w:val="sr-Latn-ME"/>
        </w:rPr>
        <w:tab/>
      </w:r>
      <w:r w:rsidRPr="00AD3B49">
        <w:rPr>
          <w:b/>
          <w:bCs/>
          <w:sz w:val="22"/>
          <w:szCs w:val="22"/>
          <w:lang w:val="sr-Latn-ME"/>
        </w:rPr>
        <w:t>NOSILAC DOZVOLE</w:t>
      </w:r>
      <w:r w:rsidR="00483928" w:rsidRPr="00AD3B49">
        <w:rPr>
          <w:b/>
          <w:bCs/>
          <w:sz w:val="22"/>
          <w:szCs w:val="22"/>
          <w:lang w:val="sr-Latn-ME"/>
        </w:rPr>
        <w:t xml:space="preserve"> </w:t>
      </w:r>
    </w:p>
    <w:p w:rsidR="0072020E" w:rsidRPr="00AD3B49" w:rsidRDefault="00480FB1" w:rsidP="00480FB1">
      <w:pPr>
        <w:tabs>
          <w:tab w:val="left" w:pos="540"/>
          <w:tab w:val="left" w:pos="569"/>
        </w:tabs>
        <w:rPr>
          <w:b/>
          <w:bCs/>
          <w:sz w:val="22"/>
          <w:szCs w:val="22"/>
          <w:lang w:val="sr-Latn-ME"/>
        </w:rPr>
      </w:pPr>
      <w:r w:rsidRPr="00AD3B49">
        <w:rPr>
          <w:b/>
          <w:bCs/>
          <w:sz w:val="22"/>
          <w:szCs w:val="22"/>
          <w:lang w:val="sr-Latn-ME"/>
        </w:rPr>
        <w:tab/>
      </w:r>
    </w:p>
    <w:p w:rsidR="00735B0C" w:rsidRPr="00735B0C" w:rsidRDefault="00735B0C" w:rsidP="00735B0C">
      <w:pPr>
        <w:tabs>
          <w:tab w:val="left" w:pos="540"/>
          <w:tab w:val="left" w:pos="569"/>
        </w:tabs>
        <w:rPr>
          <w:color w:val="000000"/>
          <w:sz w:val="22"/>
          <w:szCs w:val="22"/>
          <w:lang w:val="sr-Latn-ME"/>
        </w:rPr>
      </w:pPr>
      <w:r w:rsidRPr="00735B0C">
        <w:rPr>
          <w:color w:val="000000"/>
          <w:sz w:val="22"/>
          <w:szCs w:val="22"/>
          <w:lang w:val="sr-Latn-ME"/>
        </w:rPr>
        <w:t>Glosarij d.o.o.</w:t>
      </w:r>
    </w:p>
    <w:p w:rsidR="006304BF" w:rsidRDefault="00735B0C" w:rsidP="00735B0C">
      <w:pPr>
        <w:tabs>
          <w:tab w:val="left" w:pos="540"/>
          <w:tab w:val="left" w:pos="569"/>
        </w:tabs>
        <w:rPr>
          <w:color w:val="000000"/>
          <w:sz w:val="22"/>
          <w:szCs w:val="22"/>
          <w:lang w:val="sr-Latn-ME"/>
        </w:rPr>
      </w:pPr>
      <w:r w:rsidRPr="00735B0C">
        <w:rPr>
          <w:color w:val="000000"/>
          <w:sz w:val="22"/>
          <w:szCs w:val="22"/>
          <w:lang w:val="sr-Latn-ME"/>
        </w:rPr>
        <w:t>Vojislavljevića 76, Podgorica, Crna Gora</w:t>
      </w:r>
      <w:r>
        <w:rPr>
          <w:color w:val="000000"/>
          <w:sz w:val="22"/>
          <w:szCs w:val="22"/>
          <w:lang w:val="sr-Latn-ME"/>
        </w:rPr>
        <w:t>‚</w:t>
      </w:r>
    </w:p>
    <w:p w:rsidR="00735B0C" w:rsidRPr="00634F67" w:rsidRDefault="00735B0C" w:rsidP="00735B0C">
      <w:pPr>
        <w:tabs>
          <w:tab w:val="left" w:pos="540"/>
          <w:tab w:val="left" w:pos="569"/>
        </w:tabs>
        <w:rPr>
          <w:bCs/>
          <w:sz w:val="22"/>
          <w:szCs w:val="22"/>
          <w:lang w:val="sr-Latn-ME"/>
        </w:rPr>
      </w:pPr>
      <w:bookmarkStart w:id="2" w:name="_GoBack"/>
      <w:bookmarkEnd w:id="2"/>
    </w:p>
    <w:p w:rsidR="008D1FC7" w:rsidRPr="00634F67" w:rsidRDefault="008D1FC7" w:rsidP="008D1FC7">
      <w:pPr>
        <w:tabs>
          <w:tab w:val="left" w:pos="540"/>
          <w:tab w:val="left" w:pos="569"/>
        </w:tabs>
        <w:rPr>
          <w:bCs/>
          <w:sz w:val="22"/>
          <w:szCs w:val="22"/>
          <w:lang w:val="sr-Latn-ME"/>
        </w:rPr>
      </w:pPr>
      <w:r w:rsidRPr="00634F67">
        <w:rPr>
          <w:bCs/>
          <w:sz w:val="22"/>
          <w:szCs w:val="22"/>
          <w:lang w:val="sr-Latn-ME"/>
        </w:rPr>
        <w:t xml:space="preserve">Proizvođač gotovog lijeka </w:t>
      </w:r>
    </w:p>
    <w:p w:rsidR="008D1FC7" w:rsidRPr="00AD3B49" w:rsidRDefault="008D1FC7" w:rsidP="008D1FC7">
      <w:pPr>
        <w:tabs>
          <w:tab w:val="left" w:pos="540"/>
          <w:tab w:val="left" w:pos="569"/>
        </w:tabs>
        <w:rPr>
          <w:bCs/>
          <w:sz w:val="22"/>
          <w:szCs w:val="22"/>
          <w:lang w:val="sr-Latn-ME"/>
        </w:rPr>
      </w:pPr>
      <w:r w:rsidRPr="00AD3B49">
        <w:rPr>
          <w:bCs/>
          <w:sz w:val="22"/>
          <w:szCs w:val="22"/>
          <w:lang w:val="sr-Latn-ME"/>
        </w:rPr>
        <w:t>A</w:t>
      </w:r>
      <w:r w:rsidR="000258D9" w:rsidRPr="00AD3B49">
        <w:rPr>
          <w:bCs/>
          <w:sz w:val="22"/>
          <w:szCs w:val="22"/>
          <w:lang w:val="sr-Latn-ME"/>
        </w:rPr>
        <w:t xml:space="preserve">bbVie </w:t>
      </w:r>
      <w:r w:rsidRPr="00AD3B49">
        <w:rPr>
          <w:bCs/>
          <w:sz w:val="22"/>
          <w:szCs w:val="22"/>
          <w:lang w:val="sr-Latn-ME"/>
        </w:rPr>
        <w:t>Biote</w:t>
      </w:r>
      <w:r w:rsidR="00E968F7" w:rsidRPr="00AD3B49">
        <w:rPr>
          <w:bCs/>
          <w:sz w:val="22"/>
          <w:szCs w:val="22"/>
          <w:lang w:val="sr-Latn-ME"/>
        </w:rPr>
        <w:t>c</w:t>
      </w:r>
      <w:r w:rsidRPr="00AD3B49">
        <w:rPr>
          <w:bCs/>
          <w:sz w:val="22"/>
          <w:szCs w:val="22"/>
          <w:lang w:val="sr-Latn-ME"/>
        </w:rPr>
        <w:t xml:space="preserve">hnology GmbH, </w:t>
      </w:r>
    </w:p>
    <w:p w:rsidR="008D1FC7" w:rsidRPr="00AD3B49" w:rsidRDefault="008D1FC7" w:rsidP="008D1FC7">
      <w:pPr>
        <w:tabs>
          <w:tab w:val="left" w:pos="540"/>
          <w:tab w:val="left" w:pos="569"/>
        </w:tabs>
        <w:rPr>
          <w:bCs/>
          <w:sz w:val="22"/>
          <w:szCs w:val="22"/>
          <w:lang w:val="sr-Latn-ME"/>
        </w:rPr>
      </w:pPr>
      <w:r w:rsidRPr="00AD3B49">
        <w:rPr>
          <w:bCs/>
          <w:sz w:val="22"/>
          <w:szCs w:val="22"/>
          <w:lang w:val="sr-Latn-ME"/>
        </w:rPr>
        <w:t>Max-Planck-Ring 2</w:t>
      </w:r>
    </w:p>
    <w:p w:rsidR="00836B35" w:rsidRPr="00AD3B49" w:rsidRDefault="008D1FC7" w:rsidP="008D1FC7">
      <w:pPr>
        <w:tabs>
          <w:tab w:val="left" w:pos="540"/>
          <w:tab w:val="left" w:pos="569"/>
        </w:tabs>
        <w:rPr>
          <w:bCs/>
          <w:sz w:val="22"/>
          <w:szCs w:val="22"/>
          <w:lang w:val="sr-Latn-ME"/>
        </w:rPr>
      </w:pPr>
      <w:r w:rsidRPr="00AD3B49">
        <w:rPr>
          <w:bCs/>
          <w:sz w:val="22"/>
          <w:szCs w:val="22"/>
          <w:lang w:val="sr-Latn-ME"/>
        </w:rPr>
        <w:t>65 205 Wiesbaden, Njemačka</w:t>
      </w:r>
    </w:p>
    <w:p w:rsidR="008D1FC7" w:rsidRPr="00AD3B49" w:rsidRDefault="008D1FC7" w:rsidP="008D1FC7">
      <w:pPr>
        <w:tabs>
          <w:tab w:val="left" w:pos="540"/>
          <w:tab w:val="left" w:pos="569"/>
        </w:tabs>
        <w:rPr>
          <w:bCs/>
          <w:sz w:val="22"/>
          <w:szCs w:val="22"/>
          <w:lang w:val="sr-Latn-ME"/>
        </w:rPr>
      </w:pPr>
    </w:p>
    <w:p w:rsidR="0072020E" w:rsidRPr="00AD3B49" w:rsidRDefault="0072020E" w:rsidP="00480FB1">
      <w:pPr>
        <w:tabs>
          <w:tab w:val="left" w:pos="540"/>
          <w:tab w:val="left" w:pos="569"/>
        </w:tabs>
        <w:rPr>
          <w:b/>
          <w:bCs/>
          <w:sz w:val="22"/>
          <w:szCs w:val="22"/>
          <w:lang w:val="sr-Latn-ME"/>
        </w:rPr>
      </w:pPr>
      <w:r w:rsidRPr="00AD3B49">
        <w:rPr>
          <w:b/>
          <w:bCs/>
          <w:sz w:val="22"/>
          <w:szCs w:val="22"/>
          <w:lang w:val="sr-Latn-ME"/>
        </w:rPr>
        <w:t xml:space="preserve">8. </w:t>
      </w:r>
      <w:r w:rsidR="00480FB1" w:rsidRPr="00AD3B49">
        <w:rPr>
          <w:b/>
          <w:bCs/>
          <w:sz w:val="22"/>
          <w:szCs w:val="22"/>
          <w:lang w:val="sr-Latn-ME"/>
        </w:rPr>
        <w:tab/>
      </w:r>
      <w:r w:rsidRPr="00AD3B49">
        <w:rPr>
          <w:b/>
          <w:bCs/>
          <w:sz w:val="22"/>
          <w:szCs w:val="22"/>
          <w:lang w:val="sr-Latn-ME"/>
        </w:rPr>
        <w:t>BROJ PRVE DOZVOLE</w:t>
      </w:r>
      <w:r w:rsidR="004534C7" w:rsidRPr="00AD3B49">
        <w:rPr>
          <w:b/>
          <w:bCs/>
          <w:sz w:val="22"/>
          <w:szCs w:val="22"/>
          <w:lang w:val="sr-Latn-ME"/>
        </w:rPr>
        <w:t>/</w:t>
      </w:r>
      <w:r w:rsidRPr="00AD3B49">
        <w:rPr>
          <w:b/>
          <w:bCs/>
          <w:sz w:val="22"/>
          <w:szCs w:val="22"/>
          <w:lang w:val="sr-Latn-ME"/>
        </w:rPr>
        <w:t xml:space="preserve"> OBNOVE DOZVOLE</w:t>
      </w:r>
    </w:p>
    <w:p w:rsidR="0072020E" w:rsidRPr="00AD3B49" w:rsidRDefault="0072020E" w:rsidP="00480FB1">
      <w:pPr>
        <w:tabs>
          <w:tab w:val="left" w:pos="540"/>
          <w:tab w:val="left" w:pos="569"/>
        </w:tabs>
        <w:rPr>
          <w:bCs/>
          <w:sz w:val="22"/>
          <w:szCs w:val="22"/>
          <w:lang w:val="sr-Latn-ME"/>
        </w:rPr>
      </w:pPr>
    </w:p>
    <w:p w:rsidR="008D1FC7" w:rsidRPr="00573824" w:rsidRDefault="00464BED" w:rsidP="00464BED">
      <w:pPr>
        <w:tabs>
          <w:tab w:val="left" w:pos="540"/>
          <w:tab w:val="left" w:pos="569"/>
        </w:tabs>
        <w:rPr>
          <w:bCs/>
          <w:sz w:val="22"/>
          <w:szCs w:val="22"/>
          <w:lang w:val="sr-Latn-ME"/>
        </w:rPr>
      </w:pPr>
      <w:r w:rsidRPr="00573824">
        <w:rPr>
          <w:bCs/>
          <w:sz w:val="22"/>
          <w:szCs w:val="22"/>
          <w:lang w:val="sr-Latn-ME"/>
        </w:rPr>
        <w:t>Humira®, rastvor za injekciju u napunjenom injekcionom špricu, 40mg/0.8ml, napunjeni injekcioni špric, 2x0.8ml: 2030/14/212 - 6839</w:t>
      </w:r>
    </w:p>
    <w:p w:rsidR="00F45F77" w:rsidRPr="00573824" w:rsidRDefault="00F45F77" w:rsidP="00480FB1">
      <w:pPr>
        <w:tabs>
          <w:tab w:val="left" w:pos="540"/>
          <w:tab w:val="left" w:pos="569"/>
        </w:tabs>
        <w:rPr>
          <w:bCs/>
          <w:sz w:val="22"/>
          <w:szCs w:val="22"/>
          <w:lang w:val="sr-Latn-ME"/>
        </w:rPr>
      </w:pPr>
    </w:p>
    <w:p w:rsidR="0072020E" w:rsidRPr="00AD3B49" w:rsidRDefault="0072020E" w:rsidP="00480FB1">
      <w:pPr>
        <w:tabs>
          <w:tab w:val="left" w:pos="540"/>
          <w:tab w:val="left" w:pos="569"/>
        </w:tabs>
        <w:rPr>
          <w:b/>
          <w:bCs/>
          <w:sz w:val="22"/>
          <w:szCs w:val="22"/>
          <w:lang w:val="sr-Latn-ME"/>
        </w:rPr>
      </w:pPr>
      <w:r w:rsidRPr="00AD3B49">
        <w:rPr>
          <w:b/>
          <w:bCs/>
          <w:sz w:val="22"/>
          <w:szCs w:val="22"/>
          <w:lang w:val="sr-Latn-ME"/>
        </w:rPr>
        <w:t xml:space="preserve">9. </w:t>
      </w:r>
      <w:r w:rsidR="00480FB1" w:rsidRPr="00AD3B49">
        <w:rPr>
          <w:b/>
          <w:bCs/>
          <w:sz w:val="22"/>
          <w:szCs w:val="22"/>
          <w:lang w:val="sr-Latn-ME"/>
        </w:rPr>
        <w:tab/>
      </w:r>
      <w:r w:rsidRPr="00AD3B49">
        <w:rPr>
          <w:b/>
          <w:bCs/>
          <w:sz w:val="22"/>
          <w:szCs w:val="22"/>
          <w:lang w:val="sr-Latn-ME"/>
        </w:rPr>
        <w:t>DATUM PRVE DOZVOLE</w:t>
      </w:r>
      <w:r w:rsidR="00F8570A" w:rsidRPr="00AD3B49">
        <w:rPr>
          <w:b/>
          <w:bCs/>
          <w:sz w:val="22"/>
          <w:szCs w:val="22"/>
          <w:lang w:val="sr-Latn-ME"/>
        </w:rPr>
        <w:t>/</w:t>
      </w:r>
      <w:r w:rsidRPr="00AD3B49">
        <w:rPr>
          <w:b/>
          <w:bCs/>
          <w:sz w:val="22"/>
          <w:szCs w:val="22"/>
          <w:lang w:val="sr-Latn-ME"/>
        </w:rPr>
        <w:t xml:space="preserve"> DATUM OBNOVE DOZVOLE</w:t>
      </w:r>
    </w:p>
    <w:p w:rsidR="0072020E" w:rsidRPr="00AD3B49" w:rsidRDefault="0072020E" w:rsidP="00480FB1">
      <w:pPr>
        <w:tabs>
          <w:tab w:val="left" w:pos="540"/>
          <w:tab w:val="left" w:pos="569"/>
        </w:tabs>
        <w:rPr>
          <w:bCs/>
          <w:sz w:val="22"/>
          <w:szCs w:val="22"/>
          <w:lang w:val="sr-Latn-ME"/>
        </w:rPr>
      </w:pPr>
    </w:p>
    <w:p w:rsidR="00464BED" w:rsidRPr="00573824" w:rsidRDefault="00464BED" w:rsidP="00464BED">
      <w:pPr>
        <w:tabs>
          <w:tab w:val="left" w:pos="540"/>
          <w:tab w:val="left" w:pos="569"/>
        </w:tabs>
        <w:rPr>
          <w:bCs/>
          <w:sz w:val="22"/>
          <w:szCs w:val="22"/>
          <w:lang w:val="sr-Latn-ME"/>
        </w:rPr>
      </w:pPr>
      <w:r w:rsidRPr="00573824">
        <w:rPr>
          <w:bCs/>
          <w:sz w:val="22"/>
          <w:szCs w:val="22"/>
          <w:lang w:val="sr-Latn-ME"/>
        </w:rPr>
        <w:t xml:space="preserve">Humira®, rastvor za injekciju u napunjenom injekcionom špricu, 40mg/0.8ml, napunjeni injekcioni špric, 2x0.8ml: </w:t>
      </w:r>
      <w:r w:rsidRPr="00573824">
        <w:rPr>
          <w:rFonts w:ascii="TimesNewRoman" w:hAnsi="TimesNewRoman" w:cs="TimesNewRoman"/>
          <w:sz w:val="22"/>
          <w:szCs w:val="22"/>
          <w:lang w:val="sr-Latn-ME" w:eastAsia="sr-Latn-ME"/>
        </w:rPr>
        <w:t>10.07.2014. godine</w:t>
      </w:r>
    </w:p>
    <w:p w:rsidR="00836B35" w:rsidRPr="00AD3B49" w:rsidRDefault="00836B35" w:rsidP="00480FB1">
      <w:pPr>
        <w:tabs>
          <w:tab w:val="left" w:pos="540"/>
          <w:tab w:val="left" w:pos="569"/>
        </w:tabs>
        <w:rPr>
          <w:bCs/>
          <w:sz w:val="22"/>
          <w:szCs w:val="22"/>
          <w:lang w:val="sr-Latn-ME"/>
        </w:rPr>
      </w:pPr>
    </w:p>
    <w:p w:rsidR="008D1FC7" w:rsidRPr="00AD3B49" w:rsidRDefault="008D1FC7" w:rsidP="00480FB1">
      <w:pPr>
        <w:tabs>
          <w:tab w:val="left" w:pos="540"/>
          <w:tab w:val="left" w:pos="569"/>
        </w:tabs>
        <w:rPr>
          <w:bCs/>
          <w:sz w:val="22"/>
          <w:szCs w:val="22"/>
          <w:lang w:val="sr-Latn-ME"/>
        </w:rPr>
      </w:pPr>
    </w:p>
    <w:p w:rsidR="0072020E" w:rsidRPr="00AD3B49" w:rsidRDefault="0072020E" w:rsidP="00480FB1">
      <w:pPr>
        <w:tabs>
          <w:tab w:val="left" w:pos="540"/>
          <w:tab w:val="left" w:pos="569"/>
        </w:tabs>
        <w:ind w:left="540" w:hanging="540"/>
        <w:rPr>
          <w:b/>
          <w:bCs/>
          <w:sz w:val="22"/>
          <w:szCs w:val="22"/>
          <w:lang w:val="sr-Latn-ME"/>
        </w:rPr>
      </w:pPr>
      <w:r w:rsidRPr="00AD3B49">
        <w:rPr>
          <w:b/>
          <w:bCs/>
          <w:sz w:val="22"/>
          <w:szCs w:val="22"/>
          <w:lang w:val="sr-Latn-ME"/>
        </w:rPr>
        <w:t xml:space="preserve">10. </w:t>
      </w:r>
      <w:r w:rsidR="00480FB1" w:rsidRPr="00AD3B49">
        <w:rPr>
          <w:b/>
          <w:bCs/>
          <w:sz w:val="22"/>
          <w:szCs w:val="22"/>
          <w:lang w:val="sr-Latn-ME"/>
        </w:rPr>
        <w:tab/>
      </w:r>
      <w:r w:rsidR="002846DB" w:rsidRPr="00AD3B49">
        <w:rPr>
          <w:b/>
          <w:bCs/>
          <w:sz w:val="22"/>
          <w:szCs w:val="22"/>
          <w:lang w:val="sr-Latn-ME"/>
        </w:rPr>
        <w:t>D</w:t>
      </w:r>
      <w:r w:rsidR="00EC2532" w:rsidRPr="00AD3B49">
        <w:rPr>
          <w:b/>
          <w:bCs/>
          <w:sz w:val="22"/>
          <w:szCs w:val="22"/>
          <w:lang w:val="sr-Latn-ME"/>
        </w:rPr>
        <w:t xml:space="preserve">ATUM </w:t>
      </w:r>
      <w:r w:rsidR="004534C7" w:rsidRPr="00AD3B49">
        <w:rPr>
          <w:b/>
          <w:bCs/>
          <w:sz w:val="22"/>
          <w:szCs w:val="22"/>
          <w:lang w:val="sr-Latn-ME"/>
        </w:rPr>
        <w:t>POSLEDNJE</w:t>
      </w:r>
      <w:r w:rsidR="00EC2532" w:rsidRPr="00AD3B49">
        <w:rPr>
          <w:b/>
          <w:bCs/>
          <w:sz w:val="22"/>
          <w:szCs w:val="22"/>
          <w:lang w:val="sr-Latn-ME"/>
        </w:rPr>
        <w:t xml:space="preserve"> REVIZIJE TEKSTA SAŽETKA OSNOVNIH KARAKTERISTIKA LIJEKA</w:t>
      </w:r>
    </w:p>
    <w:p w:rsidR="008D1FC7" w:rsidRDefault="008D1FC7" w:rsidP="00480FB1">
      <w:pPr>
        <w:tabs>
          <w:tab w:val="left" w:pos="540"/>
          <w:tab w:val="left" w:pos="569"/>
        </w:tabs>
        <w:rPr>
          <w:bCs/>
          <w:sz w:val="22"/>
          <w:szCs w:val="22"/>
          <w:lang w:val="sr-Latn-ME"/>
        </w:rPr>
      </w:pPr>
    </w:p>
    <w:p w:rsidR="00464BED" w:rsidRPr="00AD3B49" w:rsidRDefault="00464BED" w:rsidP="00480FB1">
      <w:pPr>
        <w:tabs>
          <w:tab w:val="left" w:pos="540"/>
          <w:tab w:val="left" w:pos="569"/>
        </w:tabs>
        <w:rPr>
          <w:bCs/>
          <w:sz w:val="22"/>
          <w:szCs w:val="22"/>
          <w:lang w:val="sr-Latn-ME"/>
        </w:rPr>
      </w:pPr>
      <w:r>
        <w:rPr>
          <w:bCs/>
          <w:sz w:val="22"/>
          <w:szCs w:val="22"/>
          <w:lang w:val="sr-Latn-ME"/>
        </w:rPr>
        <w:t>Jul, 2014.</w:t>
      </w:r>
    </w:p>
    <w:p w:rsidR="003F6A59" w:rsidRPr="00AD3B49" w:rsidRDefault="003F6A59" w:rsidP="00480FB1">
      <w:pPr>
        <w:tabs>
          <w:tab w:val="left" w:pos="540"/>
          <w:tab w:val="left" w:pos="569"/>
        </w:tabs>
        <w:rPr>
          <w:bCs/>
          <w:sz w:val="22"/>
          <w:szCs w:val="22"/>
          <w:lang w:val="sr-Latn-ME"/>
        </w:rPr>
      </w:pPr>
    </w:p>
    <w:p w:rsidR="003F6A59" w:rsidRPr="00AD3B49" w:rsidRDefault="003F6A59" w:rsidP="00893DAD">
      <w:pPr>
        <w:tabs>
          <w:tab w:val="left" w:pos="540"/>
          <w:tab w:val="left" w:pos="569"/>
        </w:tabs>
        <w:rPr>
          <w:b/>
          <w:noProof/>
          <w:sz w:val="22"/>
          <w:szCs w:val="22"/>
          <w:lang w:val="sr-Latn-ME"/>
        </w:rPr>
      </w:pPr>
    </w:p>
    <w:sectPr w:rsidR="003F6A59" w:rsidRPr="00AD3B49" w:rsidSect="004B3C40">
      <w:headerReference w:type="default" r:id="rId10"/>
      <w:footerReference w:type="default" r:id="rId11"/>
      <w:pgSz w:w="11909" w:h="16834" w:code="9"/>
      <w:pgMar w:top="1140" w:right="1412" w:bottom="1140" w:left="1412" w:header="737" w:footer="3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562" w:rsidRDefault="00556562">
      <w:r>
        <w:separator/>
      </w:r>
    </w:p>
  </w:endnote>
  <w:endnote w:type="continuationSeparator" w:id="0">
    <w:p w:rsidR="00556562" w:rsidRDefault="0055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C0D" w:rsidRDefault="00F53C0D" w:rsidP="004B3C40">
    <w:pPr>
      <w:pStyle w:val="Footer"/>
      <w:framePr w:wrap="around" w:vAnchor="text" w:hAnchor="margin" w:xAlign="right" w:y="1"/>
      <w:rPr>
        <w:rStyle w:val="PageNumber"/>
      </w:rPr>
    </w:pPr>
  </w:p>
  <w:p w:rsidR="00F53C0D" w:rsidRDefault="00F53C0D" w:rsidP="004B3C40">
    <w:pPr>
      <w:pStyle w:val="Header"/>
      <w:pBdr>
        <w:top w:val="thinThickSmallGap" w:sz="24" w:space="1" w:color="auto"/>
      </w:pBdr>
      <w:jc w:val="center"/>
    </w:pPr>
  </w:p>
  <w:p w:rsidR="00F53C0D" w:rsidRPr="00743A79" w:rsidRDefault="00F53C0D" w:rsidP="004B3C40">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F53C0D" w:rsidRDefault="00F53C0D" w:rsidP="004B3C40">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F53C0D" w:rsidRDefault="00F53C0D" w:rsidP="004B3C40">
    <w:pPr>
      <w:pStyle w:val="Footer"/>
      <w:jc w:val="center"/>
    </w:pPr>
  </w:p>
  <w:p w:rsidR="00F53C0D" w:rsidRPr="00B23F69" w:rsidRDefault="00F53C0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35B0C">
      <w:rPr>
        <w:noProof/>
        <w:sz w:val="22"/>
        <w:szCs w:val="22"/>
      </w:rPr>
      <w:t>42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35B0C">
      <w:rPr>
        <w:noProof/>
        <w:sz w:val="22"/>
        <w:szCs w:val="22"/>
      </w:rPr>
      <w:t>42</w:t>
    </w:r>
    <w:r w:rsidRPr="00B23F69">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562" w:rsidRDefault="00556562">
      <w:r>
        <w:separator/>
      </w:r>
    </w:p>
  </w:footnote>
  <w:footnote w:type="continuationSeparator" w:id="0">
    <w:p w:rsidR="00556562" w:rsidRDefault="00556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C0D" w:rsidRDefault="00F53C0D" w:rsidP="004B3C40">
    <w:pPr>
      <w:pStyle w:val="Header"/>
      <w:rPr>
        <w:sz w:val="16"/>
        <w:szCs w:val="16"/>
      </w:rPr>
    </w:pPr>
  </w:p>
  <w:p w:rsidR="00F53C0D" w:rsidRDefault="00F53C0D" w:rsidP="00C237E2">
    <w:pPr>
      <w:pStyle w:val="Header"/>
      <w:pBdr>
        <w:top w:val="thinThickSmallGap" w:sz="24" w:space="2" w:color="auto"/>
      </w:pBdr>
    </w:pPr>
    <w:r>
      <w:rPr>
        <w:noProof/>
        <w:sz w:val="16"/>
        <w:szCs w:val="16"/>
      </w:rPr>
      <w:drawing>
        <wp:inline distT="0" distB="0" distL="0" distR="0" wp14:anchorId="7C85129E" wp14:editId="18283E7F">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0D8F3B"/>
    <w:multiLevelType w:val="hybridMultilevel"/>
    <w:tmpl w:val="FF44E9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813C0D"/>
    <w:multiLevelType w:val="hybridMultilevel"/>
    <w:tmpl w:val="346153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A67097"/>
    <w:multiLevelType w:val="hybridMultilevel"/>
    <w:tmpl w:val="B92104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2EC03C"/>
    <w:multiLevelType w:val="hybridMultilevel"/>
    <w:tmpl w:val="622A27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833738"/>
    <w:multiLevelType w:val="multilevel"/>
    <w:tmpl w:val="B86EE5E4"/>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3B13BE"/>
    <w:multiLevelType w:val="multilevel"/>
    <w:tmpl w:val="55A29D10"/>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676744"/>
    <w:multiLevelType w:val="hybridMultilevel"/>
    <w:tmpl w:val="9F86498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1190E9B"/>
    <w:multiLevelType w:val="multilevel"/>
    <w:tmpl w:val="F3CC5C48"/>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AFE3090"/>
    <w:multiLevelType w:val="multilevel"/>
    <w:tmpl w:val="B9210411"/>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BE7717"/>
    <w:multiLevelType w:val="hybridMultilevel"/>
    <w:tmpl w:val="176CD96C"/>
    <w:lvl w:ilvl="0" w:tplc="141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87AF0"/>
    <w:multiLevelType w:val="multilevel"/>
    <w:tmpl w:val="D242BAB0"/>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4447F25"/>
    <w:multiLevelType w:val="hybridMultilevel"/>
    <w:tmpl w:val="C3345E16"/>
    <w:lvl w:ilvl="0" w:tplc="F594E43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2F186579"/>
    <w:multiLevelType w:val="hybridMultilevel"/>
    <w:tmpl w:val="3A12583A"/>
    <w:lvl w:ilvl="0" w:tplc="08063AC6">
      <w:start w:val="4"/>
      <w:numFmt w:val="bullet"/>
      <w:lvlText w:val="–"/>
      <w:lvlJc w:val="left"/>
      <w:pPr>
        <w:tabs>
          <w:tab w:val="num" w:pos="420"/>
        </w:tabs>
        <w:ind w:left="420" w:hanging="360"/>
      </w:pPr>
      <w:rPr>
        <w:rFonts w:ascii="Times New Roman" w:eastAsia="Times New Roman" w:hAnsi="Times New Roman" w:cs="Times New Roman" w:hint="default"/>
      </w:rPr>
    </w:lvl>
    <w:lvl w:ilvl="1" w:tplc="041A0003" w:tentative="1">
      <w:start w:val="1"/>
      <w:numFmt w:val="bullet"/>
      <w:lvlText w:val="o"/>
      <w:lvlJc w:val="left"/>
      <w:pPr>
        <w:tabs>
          <w:tab w:val="num" w:pos="1140"/>
        </w:tabs>
        <w:ind w:left="1140" w:hanging="360"/>
      </w:pPr>
      <w:rPr>
        <w:rFonts w:ascii="Courier New" w:hAnsi="Courier New" w:cs="Courier New" w:hint="default"/>
      </w:rPr>
    </w:lvl>
    <w:lvl w:ilvl="2" w:tplc="041A0005" w:tentative="1">
      <w:start w:val="1"/>
      <w:numFmt w:val="bullet"/>
      <w:lvlText w:val=""/>
      <w:lvlJc w:val="left"/>
      <w:pPr>
        <w:tabs>
          <w:tab w:val="num" w:pos="1860"/>
        </w:tabs>
        <w:ind w:left="1860" w:hanging="360"/>
      </w:pPr>
      <w:rPr>
        <w:rFonts w:ascii="Wingdings" w:hAnsi="Wingdings" w:hint="default"/>
      </w:rPr>
    </w:lvl>
    <w:lvl w:ilvl="3" w:tplc="041A0001" w:tentative="1">
      <w:start w:val="1"/>
      <w:numFmt w:val="bullet"/>
      <w:lvlText w:val=""/>
      <w:lvlJc w:val="left"/>
      <w:pPr>
        <w:tabs>
          <w:tab w:val="num" w:pos="2580"/>
        </w:tabs>
        <w:ind w:left="2580" w:hanging="360"/>
      </w:pPr>
      <w:rPr>
        <w:rFonts w:ascii="Symbol" w:hAnsi="Symbol" w:hint="default"/>
      </w:rPr>
    </w:lvl>
    <w:lvl w:ilvl="4" w:tplc="041A0003" w:tentative="1">
      <w:start w:val="1"/>
      <w:numFmt w:val="bullet"/>
      <w:lvlText w:val="o"/>
      <w:lvlJc w:val="left"/>
      <w:pPr>
        <w:tabs>
          <w:tab w:val="num" w:pos="3300"/>
        </w:tabs>
        <w:ind w:left="3300" w:hanging="360"/>
      </w:pPr>
      <w:rPr>
        <w:rFonts w:ascii="Courier New" w:hAnsi="Courier New" w:cs="Courier New" w:hint="default"/>
      </w:rPr>
    </w:lvl>
    <w:lvl w:ilvl="5" w:tplc="041A0005" w:tentative="1">
      <w:start w:val="1"/>
      <w:numFmt w:val="bullet"/>
      <w:lvlText w:val=""/>
      <w:lvlJc w:val="left"/>
      <w:pPr>
        <w:tabs>
          <w:tab w:val="num" w:pos="4020"/>
        </w:tabs>
        <w:ind w:left="4020" w:hanging="360"/>
      </w:pPr>
      <w:rPr>
        <w:rFonts w:ascii="Wingdings" w:hAnsi="Wingdings" w:hint="default"/>
      </w:rPr>
    </w:lvl>
    <w:lvl w:ilvl="6" w:tplc="041A0001" w:tentative="1">
      <w:start w:val="1"/>
      <w:numFmt w:val="bullet"/>
      <w:lvlText w:val=""/>
      <w:lvlJc w:val="left"/>
      <w:pPr>
        <w:tabs>
          <w:tab w:val="num" w:pos="4740"/>
        </w:tabs>
        <w:ind w:left="4740" w:hanging="360"/>
      </w:pPr>
      <w:rPr>
        <w:rFonts w:ascii="Symbol" w:hAnsi="Symbol" w:hint="default"/>
      </w:rPr>
    </w:lvl>
    <w:lvl w:ilvl="7" w:tplc="041A0003" w:tentative="1">
      <w:start w:val="1"/>
      <w:numFmt w:val="bullet"/>
      <w:lvlText w:val="o"/>
      <w:lvlJc w:val="left"/>
      <w:pPr>
        <w:tabs>
          <w:tab w:val="num" w:pos="5460"/>
        </w:tabs>
        <w:ind w:left="5460" w:hanging="360"/>
      </w:pPr>
      <w:rPr>
        <w:rFonts w:ascii="Courier New" w:hAnsi="Courier New" w:cs="Courier New" w:hint="default"/>
      </w:rPr>
    </w:lvl>
    <w:lvl w:ilvl="8" w:tplc="041A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31D152D6"/>
    <w:multiLevelType w:val="multilevel"/>
    <w:tmpl w:val="3BB034BC"/>
    <w:lvl w:ilvl="0">
      <w:start w:val="6"/>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28719BD"/>
    <w:multiLevelType w:val="hybridMultilevel"/>
    <w:tmpl w:val="2F88E486"/>
    <w:lvl w:ilvl="0" w:tplc="041A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1" w15:restartNumberingAfterBreak="0">
    <w:nsid w:val="341EC7CF"/>
    <w:multiLevelType w:val="hybridMultilevel"/>
    <w:tmpl w:val="01DD47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7753AC5"/>
    <w:multiLevelType w:val="hybridMultilevel"/>
    <w:tmpl w:val="E33AD98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744E7"/>
    <w:multiLevelType w:val="multilevel"/>
    <w:tmpl w:val="CAE8B818"/>
    <w:lvl w:ilvl="0">
      <w:start w:val="5"/>
      <w:numFmt w:val="decimal"/>
      <w:lvlText w:val="%1."/>
      <w:lvlJc w:val="left"/>
      <w:pPr>
        <w:tabs>
          <w:tab w:val="num" w:pos="480"/>
        </w:tabs>
        <w:ind w:left="480" w:hanging="48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3E3A766A"/>
    <w:multiLevelType w:val="multilevel"/>
    <w:tmpl w:val="2A00BD4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EC971F3"/>
    <w:multiLevelType w:val="multilevel"/>
    <w:tmpl w:val="FEC0A464"/>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247D31"/>
    <w:multiLevelType w:val="multilevel"/>
    <w:tmpl w:val="3A3681EE"/>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47915681"/>
    <w:multiLevelType w:val="hybridMultilevel"/>
    <w:tmpl w:val="CEDC5A24"/>
    <w:lvl w:ilvl="0" w:tplc="041A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B820CB5"/>
    <w:multiLevelType w:val="multilevel"/>
    <w:tmpl w:val="7CCE4DA4"/>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AE7B93"/>
    <w:multiLevelType w:val="multilevel"/>
    <w:tmpl w:val="FEC0A464"/>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A426680"/>
    <w:multiLevelType w:val="hybridMultilevel"/>
    <w:tmpl w:val="D242BAB0"/>
    <w:lvl w:ilvl="0" w:tplc="C6289D7A">
      <w:start w:val="1"/>
      <w:numFmt w:val="decimal"/>
      <w:lvlText w:val="%1)"/>
      <w:lvlJc w:val="left"/>
      <w:pPr>
        <w:ind w:left="720" w:hanging="360"/>
      </w:pPr>
      <w:rPr>
        <w:rFonts w:hint="default"/>
        <w:color w:val="00000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15:restartNumberingAfterBreak="0">
    <w:nsid w:val="5DB42937"/>
    <w:multiLevelType w:val="hybridMultilevel"/>
    <w:tmpl w:val="EE080C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59F53A9"/>
    <w:multiLevelType w:val="multilevel"/>
    <w:tmpl w:val="989AFB74"/>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EB9DE61"/>
    <w:multiLevelType w:val="hybridMultilevel"/>
    <w:tmpl w:val="4B2AA9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424488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5AA51C9"/>
    <w:multiLevelType w:val="multilevel"/>
    <w:tmpl w:val="3F726812"/>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A67C00"/>
    <w:multiLevelType w:val="multilevel"/>
    <w:tmpl w:val="4A12173A"/>
    <w:lvl w:ilvl="0">
      <w:start w:val="5"/>
      <w:numFmt w:val="decimal"/>
      <w:lvlText w:val="%1."/>
      <w:lvlJc w:val="left"/>
      <w:pPr>
        <w:tabs>
          <w:tab w:val="num" w:pos="480"/>
        </w:tabs>
        <w:ind w:left="480" w:hanging="48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7E7B7A71"/>
    <w:multiLevelType w:val="hybridMultilevel"/>
    <w:tmpl w:val="BF5EE8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F640155"/>
    <w:multiLevelType w:val="hybridMultilevel"/>
    <w:tmpl w:val="989AFB74"/>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3"/>
  </w:num>
  <w:num w:numId="2">
    <w:abstractNumId w:val="35"/>
  </w:num>
  <w:num w:numId="3">
    <w:abstractNumId w:val="7"/>
  </w:num>
  <w:num w:numId="4">
    <w:abstractNumId w:val="31"/>
  </w:num>
  <w:num w:numId="5">
    <w:abstractNumId w:val="16"/>
  </w:num>
  <w:num w:numId="6">
    <w:abstractNumId w:val="8"/>
  </w:num>
  <w:num w:numId="7">
    <w:abstractNumId w:val="27"/>
  </w:num>
  <w:num w:numId="8">
    <w:abstractNumId w:val="14"/>
  </w:num>
  <w:num w:numId="9">
    <w:abstractNumId w:val="17"/>
  </w:num>
  <w:num w:numId="10">
    <w:abstractNumId w:val="2"/>
  </w:num>
  <w:num w:numId="11">
    <w:abstractNumId w:val="3"/>
  </w:num>
  <w:num w:numId="12">
    <w:abstractNumId w:val="33"/>
  </w:num>
  <w:num w:numId="13">
    <w:abstractNumId w:val="1"/>
  </w:num>
  <w:num w:numId="14">
    <w:abstractNumId w:val="36"/>
  </w:num>
  <w:num w:numId="15">
    <w:abstractNumId w:val="0"/>
  </w:num>
  <w:num w:numId="16">
    <w:abstractNumId w:val="21"/>
  </w:num>
  <w:num w:numId="17">
    <w:abstractNumId w:val="41"/>
  </w:num>
  <w:num w:numId="18">
    <w:abstractNumId w:val="37"/>
  </w:num>
  <w:num w:numId="19">
    <w:abstractNumId w:val="5"/>
  </w:num>
  <w:num w:numId="20">
    <w:abstractNumId w:val="40"/>
  </w:num>
  <w:num w:numId="21">
    <w:abstractNumId w:val="39"/>
  </w:num>
  <w:num w:numId="22">
    <w:abstractNumId w:val="34"/>
  </w:num>
  <w:num w:numId="23">
    <w:abstractNumId w:val="20"/>
  </w:num>
  <w:num w:numId="24">
    <w:abstractNumId w:val="10"/>
  </w:num>
  <w:num w:numId="25">
    <w:abstractNumId w:val="28"/>
  </w:num>
  <w:num w:numId="26">
    <w:abstractNumId w:val="18"/>
  </w:num>
  <w:num w:numId="27">
    <w:abstractNumId w:val="38"/>
  </w:num>
  <w:num w:numId="28">
    <w:abstractNumId w:val="4"/>
  </w:num>
  <w:num w:numId="29">
    <w:abstractNumId w:val="23"/>
  </w:num>
  <w:num w:numId="30">
    <w:abstractNumId w:val="32"/>
  </w:num>
  <w:num w:numId="31">
    <w:abstractNumId w:val="30"/>
  </w:num>
  <w:num w:numId="32">
    <w:abstractNumId w:val="25"/>
  </w:num>
  <w:num w:numId="33">
    <w:abstractNumId w:val="15"/>
  </w:num>
  <w:num w:numId="34">
    <w:abstractNumId w:val="26"/>
  </w:num>
  <w:num w:numId="35">
    <w:abstractNumId w:val="9"/>
  </w:num>
  <w:num w:numId="36">
    <w:abstractNumId w:val="19"/>
  </w:num>
  <w:num w:numId="37">
    <w:abstractNumId w:val="29"/>
  </w:num>
  <w:num w:numId="38">
    <w:abstractNumId w:val="22"/>
  </w:num>
  <w:num w:numId="39">
    <w:abstractNumId w:val="24"/>
  </w:num>
  <w:num w:numId="40">
    <w:abstractNumId w:val="12"/>
  </w:num>
  <w:num w:numId="41">
    <w:abstractNumId w:val="6"/>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D6"/>
    <w:rsid w:val="000031DE"/>
    <w:rsid w:val="000072C0"/>
    <w:rsid w:val="000102E0"/>
    <w:rsid w:val="000176CA"/>
    <w:rsid w:val="00017B41"/>
    <w:rsid w:val="000258D9"/>
    <w:rsid w:val="000272E5"/>
    <w:rsid w:val="0003021B"/>
    <w:rsid w:val="00030852"/>
    <w:rsid w:val="000337E2"/>
    <w:rsid w:val="00034D2C"/>
    <w:rsid w:val="0004490B"/>
    <w:rsid w:val="00050705"/>
    <w:rsid w:val="000550AB"/>
    <w:rsid w:val="00064DF0"/>
    <w:rsid w:val="00074C8A"/>
    <w:rsid w:val="00081E42"/>
    <w:rsid w:val="00082E1C"/>
    <w:rsid w:val="00093EF6"/>
    <w:rsid w:val="000961E2"/>
    <w:rsid w:val="000A33B3"/>
    <w:rsid w:val="000B016F"/>
    <w:rsid w:val="000B15A4"/>
    <w:rsid w:val="000B3312"/>
    <w:rsid w:val="000B36DB"/>
    <w:rsid w:val="000C3263"/>
    <w:rsid w:val="000C4AD4"/>
    <w:rsid w:val="000D2343"/>
    <w:rsid w:val="000D425A"/>
    <w:rsid w:val="000D6017"/>
    <w:rsid w:val="000D6BE7"/>
    <w:rsid w:val="000D772C"/>
    <w:rsid w:val="000E2084"/>
    <w:rsid w:val="000E6F55"/>
    <w:rsid w:val="001159B7"/>
    <w:rsid w:val="0011658F"/>
    <w:rsid w:val="00136E8F"/>
    <w:rsid w:val="001412F3"/>
    <w:rsid w:val="00142BEC"/>
    <w:rsid w:val="0014766D"/>
    <w:rsid w:val="001573B4"/>
    <w:rsid w:val="0016141B"/>
    <w:rsid w:val="00172A0C"/>
    <w:rsid w:val="00180787"/>
    <w:rsid w:val="001912AF"/>
    <w:rsid w:val="00195467"/>
    <w:rsid w:val="00195921"/>
    <w:rsid w:val="001A2D1B"/>
    <w:rsid w:val="001A3F58"/>
    <w:rsid w:val="001A3FBA"/>
    <w:rsid w:val="001A5518"/>
    <w:rsid w:val="001A6C15"/>
    <w:rsid w:val="001C1263"/>
    <w:rsid w:val="001C1968"/>
    <w:rsid w:val="001E390B"/>
    <w:rsid w:val="001E47B3"/>
    <w:rsid w:val="001E4AB9"/>
    <w:rsid w:val="001F0303"/>
    <w:rsid w:val="001F24C6"/>
    <w:rsid w:val="001F2F03"/>
    <w:rsid w:val="001F42FB"/>
    <w:rsid w:val="001F719A"/>
    <w:rsid w:val="001F7423"/>
    <w:rsid w:val="00206854"/>
    <w:rsid w:val="00207996"/>
    <w:rsid w:val="00217FFE"/>
    <w:rsid w:val="00220AFF"/>
    <w:rsid w:val="00220B18"/>
    <w:rsid w:val="002238C1"/>
    <w:rsid w:val="002302AF"/>
    <w:rsid w:val="002305CB"/>
    <w:rsid w:val="00242532"/>
    <w:rsid w:val="00242AE8"/>
    <w:rsid w:val="002456B5"/>
    <w:rsid w:val="00254A0A"/>
    <w:rsid w:val="002635BA"/>
    <w:rsid w:val="002640B4"/>
    <w:rsid w:val="00265512"/>
    <w:rsid w:val="00266046"/>
    <w:rsid w:val="002724A6"/>
    <w:rsid w:val="0027287B"/>
    <w:rsid w:val="002846DB"/>
    <w:rsid w:val="002911DA"/>
    <w:rsid w:val="002A5A4A"/>
    <w:rsid w:val="002B2395"/>
    <w:rsid w:val="002B2C17"/>
    <w:rsid w:val="002B3F0F"/>
    <w:rsid w:val="002B670A"/>
    <w:rsid w:val="002C157C"/>
    <w:rsid w:val="002C1631"/>
    <w:rsid w:val="002C4575"/>
    <w:rsid w:val="002C6637"/>
    <w:rsid w:val="002D5061"/>
    <w:rsid w:val="002E37A5"/>
    <w:rsid w:val="002E5A76"/>
    <w:rsid w:val="003009DD"/>
    <w:rsid w:val="0032554F"/>
    <w:rsid w:val="00331C8C"/>
    <w:rsid w:val="00335C5D"/>
    <w:rsid w:val="00345C8F"/>
    <w:rsid w:val="00355B61"/>
    <w:rsid w:val="003619C8"/>
    <w:rsid w:val="00362686"/>
    <w:rsid w:val="00371510"/>
    <w:rsid w:val="00373282"/>
    <w:rsid w:val="00387473"/>
    <w:rsid w:val="00396DFD"/>
    <w:rsid w:val="00397257"/>
    <w:rsid w:val="003A3541"/>
    <w:rsid w:val="003A6D6D"/>
    <w:rsid w:val="003B16E4"/>
    <w:rsid w:val="003B260B"/>
    <w:rsid w:val="003B26FB"/>
    <w:rsid w:val="003B7A36"/>
    <w:rsid w:val="003B7B9F"/>
    <w:rsid w:val="003C0FC7"/>
    <w:rsid w:val="003C542A"/>
    <w:rsid w:val="003C7823"/>
    <w:rsid w:val="003D3610"/>
    <w:rsid w:val="003D52D6"/>
    <w:rsid w:val="003E1DCC"/>
    <w:rsid w:val="003E1E69"/>
    <w:rsid w:val="003E55EA"/>
    <w:rsid w:val="003E60CE"/>
    <w:rsid w:val="003F6A59"/>
    <w:rsid w:val="003F7BC6"/>
    <w:rsid w:val="00403257"/>
    <w:rsid w:val="004065C8"/>
    <w:rsid w:val="00411B4B"/>
    <w:rsid w:val="004131F9"/>
    <w:rsid w:val="00420FBA"/>
    <w:rsid w:val="00422FBF"/>
    <w:rsid w:val="004315AF"/>
    <w:rsid w:val="00436F42"/>
    <w:rsid w:val="00443423"/>
    <w:rsid w:val="00446C7B"/>
    <w:rsid w:val="00451314"/>
    <w:rsid w:val="004534C7"/>
    <w:rsid w:val="00464BED"/>
    <w:rsid w:val="00472539"/>
    <w:rsid w:val="00477ABF"/>
    <w:rsid w:val="00480FB1"/>
    <w:rsid w:val="004811E1"/>
    <w:rsid w:val="004838AF"/>
    <w:rsid w:val="00483928"/>
    <w:rsid w:val="00492EBC"/>
    <w:rsid w:val="0049472E"/>
    <w:rsid w:val="004B02DE"/>
    <w:rsid w:val="004B38A4"/>
    <w:rsid w:val="004B3C40"/>
    <w:rsid w:val="004B4F52"/>
    <w:rsid w:val="004C143E"/>
    <w:rsid w:val="004C1FEC"/>
    <w:rsid w:val="004D561B"/>
    <w:rsid w:val="004D6103"/>
    <w:rsid w:val="004E2AC9"/>
    <w:rsid w:val="004E3BCE"/>
    <w:rsid w:val="004F0E97"/>
    <w:rsid w:val="005064C8"/>
    <w:rsid w:val="005114DD"/>
    <w:rsid w:val="00515C21"/>
    <w:rsid w:val="00525DF3"/>
    <w:rsid w:val="00530BD7"/>
    <w:rsid w:val="00545CD2"/>
    <w:rsid w:val="00556562"/>
    <w:rsid w:val="0056388C"/>
    <w:rsid w:val="005644A2"/>
    <w:rsid w:val="00573824"/>
    <w:rsid w:val="00573E40"/>
    <w:rsid w:val="00573E52"/>
    <w:rsid w:val="005750DB"/>
    <w:rsid w:val="00575D12"/>
    <w:rsid w:val="00576348"/>
    <w:rsid w:val="00577D63"/>
    <w:rsid w:val="005907F6"/>
    <w:rsid w:val="005909A8"/>
    <w:rsid w:val="005A0B2E"/>
    <w:rsid w:val="005A0E3A"/>
    <w:rsid w:val="005A36CB"/>
    <w:rsid w:val="005A7EE4"/>
    <w:rsid w:val="005B30A8"/>
    <w:rsid w:val="005B35A1"/>
    <w:rsid w:val="005B49B8"/>
    <w:rsid w:val="005C1110"/>
    <w:rsid w:val="005D003D"/>
    <w:rsid w:val="005D44A4"/>
    <w:rsid w:val="005E2894"/>
    <w:rsid w:val="005E29B9"/>
    <w:rsid w:val="005E2E0B"/>
    <w:rsid w:val="005E5323"/>
    <w:rsid w:val="005E7A7D"/>
    <w:rsid w:val="00610699"/>
    <w:rsid w:val="00616C1E"/>
    <w:rsid w:val="00621093"/>
    <w:rsid w:val="006304BF"/>
    <w:rsid w:val="0063269D"/>
    <w:rsid w:val="00632792"/>
    <w:rsid w:val="00634F67"/>
    <w:rsid w:val="00635624"/>
    <w:rsid w:val="00637D9A"/>
    <w:rsid w:val="00644FFD"/>
    <w:rsid w:val="00652EAD"/>
    <w:rsid w:val="006644D4"/>
    <w:rsid w:val="00665B53"/>
    <w:rsid w:val="00674BAF"/>
    <w:rsid w:val="00674F6D"/>
    <w:rsid w:val="0067631E"/>
    <w:rsid w:val="00686E37"/>
    <w:rsid w:val="00692CC1"/>
    <w:rsid w:val="006A0ED0"/>
    <w:rsid w:val="006A12EB"/>
    <w:rsid w:val="006A1497"/>
    <w:rsid w:val="006A14EC"/>
    <w:rsid w:val="006A1656"/>
    <w:rsid w:val="006B0826"/>
    <w:rsid w:val="006B0BD1"/>
    <w:rsid w:val="006B1C2F"/>
    <w:rsid w:val="006C08AF"/>
    <w:rsid w:val="006C2581"/>
    <w:rsid w:val="006D2F35"/>
    <w:rsid w:val="006E72AF"/>
    <w:rsid w:val="006F0E7D"/>
    <w:rsid w:val="00704199"/>
    <w:rsid w:val="00707E2B"/>
    <w:rsid w:val="0072020E"/>
    <w:rsid w:val="00723334"/>
    <w:rsid w:val="00735B0C"/>
    <w:rsid w:val="0075029F"/>
    <w:rsid w:val="00762150"/>
    <w:rsid w:val="0076324A"/>
    <w:rsid w:val="00771495"/>
    <w:rsid w:val="00773918"/>
    <w:rsid w:val="00774995"/>
    <w:rsid w:val="00774A30"/>
    <w:rsid w:val="00776A62"/>
    <w:rsid w:val="007A1387"/>
    <w:rsid w:val="007A7B4F"/>
    <w:rsid w:val="007C31FD"/>
    <w:rsid w:val="007C5B76"/>
    <w:rsid w:val="007D6ABC"/>
    <w:rsid w:val="007E6D20"/>
    <w:rsid w:val="007F31DB"/>
    <w:rsid w:val="00824166"/>
    <w:rsid w:val="00824AB9"/>
    <w:rsid w:val="0082613A"/>
    <w:rsid w:val="00827533"/>
    <w:rsid w:val="00834F8D"/>
    <w:rsid w:val="00836B35"/>
    <w:rsid w:val="00841F2D"/>
    <w:rsid w:val="00845C47"/>
    <w:rsid w:val="00851E37"/>
    <w:rsid w:val="00867CBD"/>
    <w:rsid w:val="00884C20"/>
    <w:rsid w:val="00892AA9"/>
    <w:rsid w:val="00893DAD"/>
    <w:rsid w:val="0089438E"/>
    <w:rsid w:val="0089705C"/>
    <w:rsid w:val="008A691D"/>
    <w:rsid w:val="008B4C2F"/>
    <w:rsid w:val="008C19AE"/>
    <w:rsid w:val="008C1A28"/>
    <w:rsid w:val="008C22FF"/>
    <w:rsid w:val="008C2E98"/>
    <w:rsid w:val="008C42B0"/>
    <w:rsid w:val="008D1FC7"/>
    <w:rsid w:val="008D5354"/>
    <w:rsid w:val="008E3DE1"/>
    <w:rsid w:val="008E49BD"/>
    <w:rsid w:val="008E53E9"/>
    <w:rsid w:val="008E5771"/>
    <w:rsid w:val="008F6524"/>
    <w:rsid w:val="00901459"/>
    <w:rsid w:val="00917CA5"/>
    <w:rsid w:val="00922A7B"/>
    <w:rsid w:val="00926A89"/>
    <w:rsid w:val="0093633E"/>
    <w:rsid w:val="00951D8D"/>
    <w:rsid w:val="009534DE"/>
    <w:rsid w:val="00956E56"/>
    <w:rsid w:val="00963349"/>
    <w:rsid w:val="00963CF0"/>
    <w:rsid w:val="009741B4"/>
    <w:rsid w:val="009775D9"/>
    <w:rsid w:val="00981CF9"/>
    <w:rsid w:val="0098465B"/>
    <w:rsid w:val="00987445"/>
    <w:rsid w:val="00991120"/>
    <w:rsid w:val="009925F8"/>
    <w:rsid w:val="009A1847"/>
    <w:rsid w:val="009A340C"/>
    <w:rsid w:val="009C2995"/>
    <w:rsid w:val="009D2E75"/>
    <w:rsid w:val="009E3AA8"/>
    <w:rsid w:val="009E4BFE"/>
    <w:rsid w:val="009E4E76"/>
    <w:rsid w:val="009E7C6F"/>
    <w:rsid w:val="009F0D13"/>
    <w:rsid w:val="009F1185"/>
    <w:rsid w:val="009F1793"/>
    <w:rsid w:val="009F3BEA"/>
    <w:rsid w:val="00A02335"/>
    <w:rsid w:val="00A03F52"/>
    <w:rsid w:val="00A05A1E"/>
    <w:rsid w:val="00A16310"/>
    <w:rsid w:val="00A307A3"/>
    <w:rsid w:val="00A3115F"/>
    <w:rsid w:val="00A31DD9"/>
    <w:rsid w:val="00A34D7A"/>
    <w:rsid w:val="00A53346"/>
    <w:rsid w:val="00A555E7"/>
    <w:rsid w:val="00A55F74"/>
    <w:rsid w:val="00A565A1"/>
    <w:rsid w:val="00A67162"/>
    <w:rsid w:val="00A762EB"/>
    <w:rsid w:val="00A77611"/>
    <w:rsid w:val="00A801D9"/>
    <w:rsid w:val="00A85616"/>
    <w:rsid w:val="00A870F0"/>
    <w:rsid w:val="00AA6A9B"/>
    <w:rsid w:val="00AB17C6"/>
    <w:rsid w:val="00AB63BD"/>
    <w:rsid w:val="00AC411C"/>
    <w:rsid w:val="00AC53CE"/>
    <w:rsid w:val="00AD2193"/>
    <w:rsid w:val="00AD3B49"/>
    <w:rsid w:val="00AE0687"/>
    <w:rsid w:val="00AE4AAA"/>
    <w:rsid w:val="00AE58C1"/>
    <w:rsid w:val="00AE65FF"/>
    <w:rsid w:val="00AE66DE"/>
    <w:rsid w:val="00AF2AC7"/>
    <w:rsid w:val="00AF4093"/>
    <w:rsid w:val="00B01E03"/>
    <w:rsid w:val="00B041DA"/>
    <w:rsid w:val="00B10DDA"/>
    <w:rsid w:val="00B163BA"/>
    <w:rsid w:val="00B17FE9"/>
    <w:rsid w:val="00B208DB"/>
    <w:rsid w:val="00B23EB0"/>
    <w:rsid w:val="00B23F69"/>
    <w:rsid w:val="00B2612A"/>
    <w:rsid w:val="00B30B4A"/>
    <w:rsid w:val="00B3684A"/>
    <w:rsid w:val="00B54362"/>
    <w:rsid w:val="00B547AC"/>
    <w:rsid w:val="00B5589F"/>
    <w:rsid w:val="00B60619"/>
    <w:rsid w:val="00B668F6"/>
    <w:rsid w:val="00B67366"/>
    <w:rsid w:val="00B80EE1"/>
    <w:rsid w:val="00B90102"/>
    <w:rsid w:val="00B90FA9"/>
    <w:rsid w:val="00B91847"/>
    <w:rsid w:val="00B930B6"/>
    <w:rsid w:val="00BB1647"/>
    <w:rsid w:val="00BB4FB6"/>
    <w:rsid w:val="00BC73F0"/>
    <w:rsid w:val="00BD025F"/>
    <w:rsid w:val="00BD52DF"/>
    <w:rsid w:val="00BD6A95"/>
    <w:rsid w:val="00BE443E"/>
    <w:rsid w:val="00BE5FA7"/>
    <w:rsid w:val="00BF1A48"/>
    <w:rsid w:val="00BF2E12"/>
    <w:rsid w:val="00BF375F"/>
    <w:rsid w:val="00BF4A5A"/>
    <w:rsid w:val="00BF7820"/>
    <w:rsid w:val="00C04D34"/>
    <w:rsid w:val="00C0501E"/>
    <w:rsid w:val="00C10995"/>
    <w:rsid w:val="00C16A11"/>
    <w:rsid w:val="00C20F40"/>
    <w:rsid w:val="00C237E2"/>
    <w:rsid w:val="00C23D8D"/>
    <w:rsid w:val="00C2441B"/>
    <w:rsid w:val="00C37AA3"/>
    <w:rsid w:val="00C42003"/>
    <w:rsid w:val="00C43419"/>
    <w:rsid w:val="00C44CF3"/>
    <w:rsid w:val="00C477C3"/>
    <w:rsid w:val="00C55D7B"/>
    <w:rsid w:val="00C57AED"/>
    <w:rsid w:val="00C663D2"/>
    <w:rsid w:val="00C70B0E"/>
    <w:rsid w:val="00C71ACB"/>
    <w:rsid w:val="00C75E09"/>
    <w:rsid w:val="00C830DF"/>
    <w:rsid w:val="00C83785"/>
    <w:rsid w:val="00C86F3F"/>
    <w:rsid w:val="00C94C0D"/>
    <w:rsid w:val="00C97EB7"/>
    <w:rsid w:val="00CD3511"/>
    <w:rsid w:val="00CD43D9"/>
    <w:rsid w:val="00CD4F85"/>
    <w:rsid w:val="00CD6F02"/>
    <w:rsid w:val="00CE246D"/>
    <w:rsid w:val="00CE495E"/>
    <w:rsid w:val="00CF3D5D"/>
    <w:rsid w:val="00D0082A"/>
    <w:rsid w:val="00D102BE"/>
    <w:rsid w:val="00D2672F"/>
    <w:rsid w:val="00D32F5F"/>
    <w:rsid w:val="00D37AC6"/>
    <w:rsid w:val="00D42556"/>
    <w:rsid w:val="00D44E2B"/>
    <w:rsid w:val="00D5052A"/>
    <w:rsid w:val="00D67D4D"/>
    <w:rsid w:val="00D74125"/>
    <w:rsid w:val="00D75D97"/>
    <w:rsid w:val="00D930DB"/>
    <w:rsid w:val="00DA2ED6"/>
    <w:rsid w:val="00DB76B8"/>
    <w:rsid w:val="00DC2EA1"/>
    <w:rsid w:val="00DD5431"/>
    <w:rsid w:val="00DD6AAF"/>
    <w:rsid w:val="00DE3F5C"/>
    <w:rsid w:val="00DE43A5"/>
    <w:rsid w:val="00DF1D20"/>
    <w:rsid w:val="00DF40CA"/>
    <w:rsid w:val="00E0407A"/>
    <w:rsid w:val="00E05432"/>
    <w:rsid w:val="00E23B4E"/>
    <w:rsid w:val="00E246B9"/>
    <w:rsid w:val="00E27181"/>
    <w:rsid w:val="00E307E8"/>
    <w:rsid w:val="00E33C82"/>
    <w:rsid w:val="00E34552"/>
    <w:rsid w:val="00E361D6"/>
    <w:rsid w:val="00E404FE"/>
    <w:rsid w:val="00E409B0"/>
    <w:rsid w:val="00E45169"/>
    <w:rsid w:val="00E47787"/>
    <w:rsid w:val="00E51C30"/>
    <w:rsid w:val="00E521F9"/>
    <w:rsid w:val="00E64180"/>
    <w:rsid w:val="00E74AEE"/>
    <w:rsid w:val="00E7771F"/>
    <w:rsid w:val="00E868E5"/>
    <w:rsid w:val="00E939FA"/>
    <w:rsid w:val="00E94312"/>
    <w:rsid w:val="00E955E5"/>
    <w:rsid w:val="00E968F7"/>
    <w:rsid w:val="00E97E4D"/>
    <w:rsid w:val="00EA4A89"/>
    <w:rsid w:val="00EA5B36"/>
    <w:rsid w:val="00EA770F"/>
    <w:rsid w:val="00EC2532"/>
    <w:rsid w:val="00EC3873"/>
    <w:rsid w:val="00EC7DA7"/>
    <w:rsid w:val="00ED7812"/>
    <w:rsid w:val="00EE3806"/>
    <w:rsid w:val="00EE47D3"/>
    <w:rsid w:val="00EE754A"/>
    <w:rsid w:val="00EF29A8"/>
    <w:rsid w:val="00EF3B86"/>
    <w:rsid w:val="00EF4462"/>
    <w:rsid w:val="00F01513"/>
    <w:rsid w:val="00F218FE"/>
    <w:rsid w:val="00F30FB3"/>
    <w:rsid w:val="00F34554"/>
    <w:rsid w:val="00F40F1F"/>
    <w:rsid w:val="00F45F77"/>
    <w:rsid w:val="00F476A7"/>
    <w:rsid w:val="00F5167F"/>
    <w:rsid w:val="00F51A30"/>
    <w:rsid w:val="00F52258"/>
    <w:rsid w:val="00F53C0D"/>
    <w:rsid w:val="00F652FC"/>
    <w:rsid w:val="00F654EA"/>
    <w:rsid w:val="00F71DB9"/>
    <w:rsid w:val="00F76DA9"/>
    <w:rsid w:val="00F83818"/>
    <w:rsid w:val="00F8570A"/>
    <w:rsid w:val="00F85BD5"/>
    <w:rsid w:val="00F91776"/>
    <w:rsid w:val="00FA3987"/>
    <w:rsid w:val="00FB5BB4"/>
    <w:rsid w:val="00FB6195"/>
    <w:rsid w:val="00FB6DAE"/>
    <w:rsid w:val="00FB779D"/>
    <w:rsid w:val="00FC453B"/>
    <w:rsid w:val="00FC6077"/>
    <w:rsid w:val="00FC72DC"/>
    <w:rsid w:val="00FD68B8"/>
    <w:rsid w:val="00FF4872"/>
    <w:rsid w:val="00FF5C7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8FAE95-263C-424C-B371-55253208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qFormat/>
    <w:rsid w:val="005E2894"/>
    <w:pPr>
      <w:keepNext/>
      <w:outlineLvl w:val="2"/>
    </w:pPr>
    <w:rPr>
      <w:rFonts w:ascii="Arial" w:hAnsi="Arial" w:cs="Arial"/>
      <w:b/>
      <w:bCs/>
      <w:i/>
      <w:iCs/>
      <w:color w:val="FF000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customStyle="1" w:styleId="Default">
    <w:name w:val="Default"/>
    <w:uiPriority w:val="99"/>
    <w:rsid w:val="00EA5B36"/>
    <w:pPr>
      <w:widowControl w:val="0"/>
      <w:autoSpaceDE w:val="0"/>
      <w:autoSpaceDN w:val="0"/>
      <w:adjustRightInd w:val="0"/>
    </w:pPr>
    <w:rPr>
      <w:rFonts w:ascii="Arial" w:hAnsi="Arial" w:cs="Arial"/>
      <w:color w:val="000000"/>
      <w:sz w:val="24"/>
      <w:szCs w:val="24"/>
      <w:lang w:val="en-US" w:eastAsia="en-US"/>
    </w:rPr>
  </w:style>
  <w:style w:type="paragraph" w:customStyle="1" w:styleId="DefaultText">
    <w:name w:val="Default Text"/>
    <w:basedOn w:val="Normal"/>
    <w:rsid w:val="005E2894"/>
    <w:pPr>
      <w:overflowPunct w:val="0"/>
      <w:autoSpaceDE w:val="0"/>
      <w:autoSpaceDN w:val="0"/>
      <w:adjustRightInd w:val="0"/>
      <w:textAlignment w:val="baseline"/>
    </w:pPr>
    <w:rPr>
      <w:rFonts w:ascii="Arial" w:hAnsi="Arial" w:cs="Arial"/>
      <w:sz w:val="22"/>
      <w:szCs w:val="22"/>
    </w:rPr>
  </w:style>
  <w:style w:type="paragraph" w:customStyle="1" w:styleId="EMEANormal">
    <w:name w:val="EMEA Normal"/>
    <w:rsid w:val="005E2894"/>
    <w:pPr>
      <w:tabs>
        <w:tab w:val="left" w:pos="562"/>
      </w:tabs>
      <w:suppressAutoHyphens/>
    </w:pPr>
    <w:rPr>
      <w:sz w:val="22"/>
      <w:szCs w:val="22"/>
      <w:lang w:val="en-US" w:eastAsia="en-US"/>
    </w:rPr>
  </w:style>
  <w:style w:type="paragraph" w:styleId="EndnoteText">
    <w:name w:val="endnote text"/>
    <w:basedOn w:val="Normal"/>
    <w:next w:val="Normal"/>
    <w:semiHidden/>
    <w:rsid w:val="005E2894"/>
    <w:pPr>
      <w:tabs>
        <w:tab w:val="left" w:pos="562"/>
      </w:tabs>
      <w:suppressAutoHyphens/>
    </w:pPr>
    <w:rPr>
      <w:sz w:val="22"/>
      <w:szCs w:val="22"/>
    </w:rPr>
  </w:style>
  <w:style w:type="paragraph" w:styleId="BodyText3">
    <w:name w:val="Body Text 3"/>
    <w:basedOn w:val="Normal"/>
    <w:rsid w:val="005E2894"/>
    <w:pPr>
      <w:tabs>
        <w:tab w:val="left" w:pos="562"/>
      </w:tabs>
      <w:suppressAutoHyphens/>
      <w:jc w:val="both"/>
    </w:pPr>
    <w:rPr>
      <w:b/>
      <w:bCs/>
      <w:i/>
      <w:iCs/>
      <w:sz w:val="22"/>
      <w:szCs w:val="22"/>
    </w:rPr>
  </w:style>
  <w:style w:type="paragraph" w:styleId="BodyTextIndent2">
    <w:name w:val="Body Text Indent 2"/>
    <w:basedOn w:val="Normal"/>
    <w:rsid w:val="005E2894"/>
    <w:pPr>
      <w:tabs>
        <w:tab w:val="left" w:pos="567"/>
      </w:tabs>
      <w:ind w:left="567" w:hanging="567"/>
    </w:pPr>
    <w:rPr>
      <w:rFonts w:ascii="Arial" w:hAnsi="Arial" w:cs="Arial"/>
      <w:lang w:val="hr-HR"/>
    </w:rPr>
  </w:style>
  <w:style w:type="paragraph" w:styleId="BodyText">
    <w:name w:val="Body Text"/>
    <w:basedOn w:val="Normal"/>
    <w:rsid w:val="005E2894"/>
    <w:pPr>
      <w:jc w:val="both"/>
    </w:pPr>
    <w:rPr>
      <w:rFonts w:ascii="Arial" w:hAnsi="Arial" w:cs="Arial"/>
    </w:rPr>
  </w:style>
  <w:style w:type="paragraph" w:customStyle="1" w:styleId="Tekstbalonia1">
    <w:name w:val="Tekst balončića1"/>
    <w:basedOn w:val="Normal"/>
    <w:semiHidden/>
    <w:rsid w:val="005E2894"/>
    <w:rPr>
      <w:rFonts w:ascii="Tahoma" w:hAnsi="Tahoma" w:cs="Tahoma"/>
      <w:sz w:val="16"/>
      <w:szCs w:val="16"/>
    </w:rPr>
  </w:style>
  <w:style w:type="paragraph" w:customStyle="1" w:styleId="CharCharCharCharCharChar">
    <w:name w:val="Char Char Char Char Char Char"/>
    <w:basedOn w:val="Normal"/>
    <w:rsid w:val="005E2894"/>
    <w:pPr>
      <w:spacing w:after="160" w:line="240" w:lineRule="exact"/>
    </w:pPr>
    <w:rPr>
      <w:rFonts w:ascii="Tahoma" w:hAnsi="Tahoma"/>
      <w:sz w:val="20"/>
      <w:szCs w:val="20"/>
    </w:rPr>
  </w:style>
  <w:style w:type="character" w:customStyle="1" w:styleId="FooterChar">
    <w:name w:val="Footer Char"/>
    <w:link w:val="Footer"/>
    <w:rsid w:val="005E2894"/>
    <w:rPr>
      <w:sz w:val="24"/>
      <w:szCs w:val="24"/>
      <w:lang w:val="en-US" w:eastAsia="en-US" w:bidi="ar-SA"/>
    </w:rPr>
  </w:style>
  <w:style w:type="table" w:styleId="TableGrid">
    <w:name w:val="Table Grid"/>
    <w:basedOn w:val="TableNormal"/>
    <w:rsid w:val="005E2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5A1E"/>
    <w:rPr>
      <w:sz w:val="24"/>
      <w:szCs w:val="24"/>
      <w:lang w:val="en-US" w:eastAsia="en-US"/>
    </w:rPr>
  </w:style>
  <w:style w:type="character" w:customStyle="1" w:styleId="HeaderChar2">
    <w:name w:val="Header Char2"/>
    <w:aliases w:val="Header Char1 Char,Header Char Char Char,Header Char1 Char Char Char,Header Char Char Char Char Char,Char Char Char Char Char Char1,Char Char1 Char Char Char,Char Char Char Char,Char Char1 Char,Header Char1 Char Char Char Char Char,Char Char"/>
    <w:link w:val="Header"/>
    <w:locked/>
    <w:rsid w:val="004B3C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90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CD6B3-8145-4458-BB65-AE50306B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16561</Words>
  <Characters>94403</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110743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Miloš Krivokapić</cp:lastModifiedBy>
  <cp:revision>2</cp:revision>
  <cp:lastPrinted>2014-07-24T08:30:00Z</cp:lastPrinted>
  <dcterms:created xsi:type="dcterms:W3CDTF">2017-05-04T06:46:00Z</dcterms:created>
  <dcterms:modified xsi:type="dcterms:W3CDTF">2017-05-04T06:46:00Z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