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1B3E42" w:rsidRDefault="00E246B9" w:rsidP="001A5518">
      <w:pPr>
        <w:tabs>
          <w:tab w:val="left" w:pos="360"/>
        </w:tabs>
        <w:rPr>
          <w:b/>
          <w:bCs/>
          <w:i/>
          <w:iCs/>
          <w:sz w:val="22"/>
          <w:szCs w:val="22"/>
          <w:u w:val="single"/>
        </w:rPr>
      </w:pPr>
    </w:p>
    <w:p w:rsidR="00E246B9" w:rsidRPr="001B3E42" w:rsidRDefault="00E246B9" w:rsidP="001A5518">
      <w:pPr>
        <w:rPr>
          <w:b/>
          <w:bCs/>
          <w:i/>
          <w:iCs/>
          <w:sz w:val="22"/>
          <w:szCs w:val="22"/>
          <w:u w:val="single"/>
        </w:rPr>
      </w:pPr>
    </w:p>
    <w:p w:rsidR="00E246B9" w:rsidRPr="001B3E42" w:rsidRDefault="00E246B9" w:rsidP="001A5518">
      <w:pPr>
        <w:rPr>
          <w:b/>
          <w:bCs/>
          <w:i/>
          <w:iCs/>
          <w:sz w:val="22"/>
          <w:szCs w:val="22"/>
          <w:u w:val="single"/>
        </w:rPr>
      </w:pPr>
    </w:p>
    <w:p w:rsidR="00E246B9" w:rsidRPr="001B3E42" w:rsidRDefault="00E246B9" w:rsidP="001A5518">
      <w:pPr>
        <w:rPr>
          <w:b/>
          <w:bCs/>
          <w:i/>
          <w:iCs/>
          <w:sz w:val="22"/>
          <w:szCs w:val="22"/>
          <w:u w:val="single"/>
        </w:rPr>
      </w:pPr>
    </w:p>
    <w:p w:rsidR="00E246B9" w:rsidRPr="001B3E42" w:rsidRDefault="00E246B9" w:rsidP="001A5518">
      <w:pPr>
        <w:rPr>
          <w:b/>
          <w:bCs/>
          <w:i/>
          <w:iCs/>
          <w:sz w:val="22"/>
          <w:szCs w:val="22"/>
          <w:u w:val="single"/>
        </w:rPr>
      </w:pPr>
    </w:p>
    <w:p w:rsidR="00E246B9" w:rsidRPr="001B3E42" w:rsidRDefault="00E246B9" w:rsidP="001A5518">
      <w:pPr>
        <w:rPr>
          <w:b/>
          <w:bCs/>
          <w:i/>
          <w:iCs/>
          <w:sz w:val="22"/>
          <w:szCs w:val="22"/>
          <w:u w:val="single"/>
        </w:rPr>
      </w:pPr>
    </w:p>
    <w:p w:rsidR="00E246B9" w:rsidRPr="001B3E42" w:rsidRDefault="00E246B9" w:rsidP="001A5518">
      <w:pPr>
        <w:rPr>
          <w:b/>
          <w:bCs/>
          <w:i/>
          <w:iCs/>
          <w:sz w:val="22"/>
          <w:szCs w:val="22"/>
          <w:u w:val="single"/>
        </w:rPr>
      </w:pPr>
    </w:p>
    <w:p w:rsidR="00E246B9" w:rsidRPr="001B3E42" w:rsidRDefault="00E246B9" w:rsidP="001A5518">
      <w:pPr>
        <w:rPr>
          <w:b/>
          <w:bCs/>
          <w:i/>
          <w:iCs/>
          <w:sz w:val="22"/>
          <w:szCs w:val="22"/>
          <w:u w:val="single"/>
        </w:rPr>
      </w:pPr>
    </w:p>
    <w:p w:rsidR="001A5518" w:rsidRPr="001B3E42" w:rsidRDefault="001A5518" w:rsidP="001A5518">
      <w:pPr>
        <w:rPr>
          <w:b/>
          <w:bCs/>
          <w:i/>
          <w:iCs/>
          <w:sz w:val="22"/>
          <w:szCs w:val="22"/>
          <w:u w:val="single"/>
        </w:rPr>
      </w:pPr>
    </w:p>
    <w:p w:rsidR="001A5518" w:rsidRPr="001B3E42" w:rsidRDefault="001A5518" w:rsidP="001A5518">
      <w:pPr>
        <w:rPr>
          <w:b/>
          <w:bCs/>
          <w:i/>
          <w:iCs/>
          <w:sz w:val="22"/>
          <w:szCs w:val="22"/>
          <w:u w:val="single"/>
        </w:rPr>
      </w:pPr>
    </w:p>
    <w:p w:rsidR="001A5518" w:rsidRPr="001B3E42" w:rsidRDefault="001A5518" w:rsidP="001A5518">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5A0B2E" w:rsidRPr="001B3E42">
        <w:trPr>
          <w:trHeight w:val="530"/>
          <w:jc w:val="center"/>
        </w:trPr>
        <w:tc>
          <w:tcPr>
            <w:tcW w:w="9360" w:type="dxa"/>
            <w:gridSpan w:val="2"/>
            <w:vAlign w:val="center"/>
          </w:tcPr>
          <w:p w:rsidR="005A0B2E" w:rsidRPr="001B3E42" w:rsidRDefault="005A0B2E" w:rsidP="00FF5F82">
            <w:pPr>
              <w:jc w:val="center"/>
              <w:rPr>
                <w:b/>
                <w:bCs/>
                <w:iCs/>
                <w:sz w:val="22"/>
                <w:szCs w:val="22"/>
                <w:u w:val="single"/>
              </w:rPr>
            </w:pPr>
            <w:r w:rsidRPr="001B3E42">
              <w:rPr>
                <w:b/>
                <w:bCs/>
                <w:iCs/>
                <w:sz w:val="22"/>
                <w:szCs w:val="22"/>
                <w:u w:val="single"/>
              </w:rPr>
              <w:t>SAŽETAK KARAKTERISTIKA LIJEKA</w:t>
            </w:r>
          </w:p>
        </w:tc>
      </w:tr>
      <w:tr w:rsidR="005A0B2E" w:rsidRPr="001B3E42">
        <w:trPr>
          <w:trHeight w:val="1969"/>
          <w:jc w:val="center"/>
        </w:trPr>
        <w:tc>
          <w:tcPr>
            <w:tcW w:w="9360" w:type="dxa"/>
            <w:gridSpan w:val="2"/>
            <w:vAlign w:val="bottom"/>
          </w:tcPr>
          <w:p w:rsidR="006304BF" w:rsidRPr="001B3E42" w:rsidRDefault="006304BF" w:rsidP="006304BF">
            <w:pPr>
              <w:jc w:val="center"/>
              <w:rPr>
                <w:b/>
                <w:bCs/>
                <w:sz w:val="22"/>
                <w:szCs w:val="22"/>
              </w:rPr>
            </w:pPr>
            <w:r w:rsidRPr="001B3E42">
              <w:rPr>
                <w:b/>
                <w:bCs/>
                <w:sz w:val="22"/>
                <w:szCs w:val="22"/>
              </w:rPr>
              <w:t xml:space="preserve">Humira, rastvor za injekciju, 40 mg/0,8 ml, </w:t>
            </w:r>
          </w:p>
          <w:p w:rsidR="00207788" w:rsidRPr="001B3E42" w:rsidRDefault="006304BF" w:rsidP="00F458BA">
            <w:pPr>
              <w:spacing w:after="40"/>
              <w:jc w:val="center"/>
              <w:rPr>
                <w:bCs/>
                <w:sz w:val="22"/>
                <w:szCs w:val="22"/>
              </w:rPr>
            </w:pPr>
            <w:r w:rsidRPr="001B3E42">
              <w:rPr>
                <w:bCs/>
                <w:sz w:val="22"/>
                <w:szCs w:val="22"/>
              </w:rPr>
              <w:t>Jedno pakovanje sadrži 2 kutije, od kojih svaka sadrži 1 bočicu</w:t>
            </w:r>
            <w:r w:rsidR="00207788" w:rsidRPr="001B3E42">
              <w:rPr>
                <w:bCs/>
                <w:sz w:val="22"/>
                <w:szCs w:val="22"/>
              </w:rPr>
              <w:t xml:space="preserve"> sa 0,8 ml rastvora za injekciju</w:t>
            </w:r>
            <w:r w:rsidRPr="001B3E42">
              <w:rPr>
                <w:bCs/>
                <w:sz w:val="22"/>
                <w:szCs w:val="22"/>
              </w:rPr>
              <w:t>,</w:t>
            </w:r>
          </w:p>
          <w:p w:rsidR="005A0B2E" w:rsidRPr="001B3E42" w:rsidRDefault="006304BF" w:rsidP="00C769F3">
            <w:pPr>
              <w:spacing w:after="40"/>
              <w:jc w:val="center"/>
              <w:rPr>
                <w:b/>
                <w:bCs/>
                <w:sz w:val="22"/>
                <w:szCs w:val="22"/>
                <w:u w:val="single"/>
              </w:rPr>
            </w:pPr>
            <w:r w:rsidRPr="001B3E42">
              <w:rPr>
                <w:bCs/>
                <w:sz w:val="22"/>
                <w:szCs w:val="22"/>
              </w:rPr>
              <w:t>1 prazni sterilni špric, 1 iglu, 1 adapter za bočic</w:t>
            </w:r>
            <w:r w:rsidR="00C769F3">
              <w:rPr>
                <w:bCs/>
                <w:sz w:val="22"/>
                <w:szCs w:val="22"/>
              </w:rPr>
              <w:t>u</w:t>
            </w:r>
            <w:r w:rsidRPr="001B3E42">
              <w:rPr>
                <w:bCs/>
                <w:sz w:val="22"/>
                <w:szCs w:val="22"/>
              </w:rPr>
              <w:t xml:space="preserve"> i 2 alkoholna </w:t>
            </w:r>
            <w:r w:rsidR="009065F5" w:rsidRPr="001B3E42">
              <w:rPr>
                <w:bCs/>
                <w:sz w:val="22"/>
                <w:szCs w:val="22"/>
              </w:rPr>
              <w:t>tu</w:t>
            </w:r>
            <w:r w:rsidR="00207788" w:rsidRPr="001B3E42">
              <w:rPr>
                <w:bCs/>
                <w:sz w:val="22"/>
                <w:szCs w:val="22"/>
              </w:rPr>
              <w:t>p</w:t>
            </w:r>
            <w:r w:rsidR="009065F5" w:rsidRPr="001B3E42">
              <w:rPr>
                <w:bCs/>
                <w:sz w:val="22"/>
                <w:szCs w:val="22"/>
              </w:rPr>
              <w:t>fera</w:t>
            </w:r>
          </w:p>
        </w:tc>
      </w:tr>
      <w:tr w:rsidR="005A0B2E" w:rsidRPr="001B3E42">
        <w:trPr>
          <w:trHeight w:val="1225"/>
          <w:jc w:val="center"/>
        </w:trPr>
        <w:tc>
          <w:tcPr>
            <w:tcW w:w="9360" w:type="dxa"/>
            <w:gridSpan w:val="2"/>
          </w:tcPr>
          <w:p w:rsidR="005A0B2E" w:rsidRPr="001B3E42" w:rsidRDefault="005A0B2E" w:rsidP="00FF5F82">
            <w:pPr>
              <w:pStyle w:val="Heading2"/>
              <w:rPr>
                <w:rFonts w:ascii="Times New Roman" w:hAnsi="Times New Roman" w:cs="Times New Roman"/>
                <w:color w:val="808080"/>
                <w:sz w:val="22"/>
                <w:szCs w:val="22"/>
              </w:rPr>
            </w:pPr>
          </w:p>
        </w:tc>
      </w:tr>
      <w:tr w:rsidR="006304BF" w:rsidRPr="001B3E42">
        <w:trPr>
          <w:jc w:val="center"/>
        </w:trPr>
        <w:tc>
          <w:tcPr>
            <w:tcW w:w="2160" w:type="dxa"/>
            <w:vAlign w:val="bottom"/>
          </w:tcPr>
          <w:p w:rsidR="006304BF" w:rsidRPr="001B3E42" w:rsidRDefault="006304BF" w:rsidP="006304BF">
            <w:pPr>
              <w:spacing w:line="360" w:lineRule="auto"/>
              <w:jc w:val="right"/>
              <w:rPr>
                <w:sz w:val="22"/>
                <w:szCs w:val="22"/>
              </w:rPr>
            </w:pPr>
            <w:r w:rsidRPr="001B3E42">
              <w:rPr>
                <w:sz w:val="22"/>
                <w:szCs w:val="22"/>
              </w:rPr>
              <w:t>Proizvođač:</w:t>
            </w:r>
          </w:p>
        </w:tc>
        <w:tc>
          <w:tcPr>
            <w:tcW w:w="7200" w:type="dxa"/>
            <w:vAlign w:val="bottom"/>
          </w:tcPr>
          <w:p w:rsidR="006304BF" w:rsidRPr="001B3E42" w:rsidRDefault="006304BF" w:rsidP="001A249D">
            <w:pPr>
              <w:spacing w:line="360" w:lineRule="auto"/>
              <w:ind w:left="72" w:hanging="72"/>
              <w:rPr>
                <w:b/>
                <w:bCs/>
                <w:sz w:val="22"/>
                <w:szCs w:val="22"/>
              </w:rPr>
            </w:pPr>
            <w:r w:rsidRPr="001B3E42">
              <w:rPr>
                <w:b/>
                <w:bCs/>
                <w:sz w:val="22"/>
                <w:szCs w:val="22"/>
              </w:rPr>
              <w:t>AbbVie Biote</w:t>
            </w:r>
            <w:r w:rsidR="001A249D" w:rsidRPr="001B3E42">
              <w:rPr>
                <w:b/>
                <w:bCs/>
                <w:sz w:val="22"/>
                <w:szCs w:val="22"/>
              </w:rPr>
              <w:t>c</w:t>
            </w:r>
            <w:r w:rsidRPr="001B3E42">
              <w:rPr>
                <w:b/>
                <w:bCs/>
                <w:sz w:val="22"/>
                <w:szCs w:val="22"/>
              </w:rPr>
              <w:t xml:space="preserve">hnology GmbH   </w:t>
            </w:r>
          </w:p>
        </w:tc>
      </w:tr>
      <w:tr w:rsidR="006304BF" w:rsidRPr="001B3E42" w:rsidTr="006304BF">
        <w:trPr>
          <w:trHeight w:val="154"/>
          <w:jc w:val="center"/>
        </w:trPr>
        <w:tc>
          <w:tcPr>
            <w:tcW w:w="2160" w:type="dxa"/>
            <w:vAlign w:val="bottom"/>
          </w:tcPr>
          <w:p w:rsidR="006304BF" w:rsidRPr="001B3E42" w:rsidRDefault="006304BF" w:rsidP="006304BF">
            <w:pPr>
              <w:spacing w:line="360" w:lineRule="auto"/>
              <w:jc w:val="right"/>
              <w:rPr>
                <w:sz w:val="22"/>
                <w:szCs w:val="22"/>
              </w:rPr>
            </w:pPr>
            <w:r w:rsidRPr="001B3E42">
              <w:rPr>
                <w:sz w:val="22"/>
                <w:szCs w:val="22"/>
              </w:rPr>
              <w:t>Adresa:</w:t>
            </w:r>
          </w:p>
        </w:tc>
        <w:tc>
          <w:tcPr>
            <w:tcW w:w="7200" w:type="dxa"/>
            <w:shd w:val="clear" w:color="auto" w:fill="auto"/>
            <w:vAlign w:val="bottom"/>
          </w:tcPr>
          <w:p w:rsidR="006304BF" w:rsidRPr="001B3E42" w:rsidRDefault="006304BF" w:rsidP="001A249D">
            <w:pPr>
              <w:spacing w:line="360" w:lineRule="auto"/>
              <w:ind w:left="72" w:hanging="72"/>
              <w:rPr>
                <w:b/>
                <w:bCs/>
                <w:sz w:val="22"/>
                <w:szCs w:val="22"/>
              </w:rPr>
            </w:pPr>
            <w:r w:rsidRPr="001B3E42">
              <w:rPr>
                <w:b/>
                <w:bCs/>
                <w:sz w:val="22"/>
                <w:szCs w:val="22"/>
              </w:rPr>
              <w:t>Max-Planck-Ring 2, D-65205 Wiesbaden, Njemačka</w:t>
            </w:r>
          </w:p>
        </w:tc>
      </w:tr>
      <w:tr w:rsidR="00D520DD" w:rsidRPr="001B3E42" w:rsidTr="00325055">
        <w:trPr>
          <w:trHeight w:val="153"/>
          <w:jc w:val="center"/>
        </w:trPr>
        <w:tc>
          <w:tcPr>
            <w:tcW w:w="2160" w:type="dxa"/>
            <w:vAlign w:val="bottom"/>
          </w:tcPr>
          <w:p w:rsidR="00D520DD" w:rsidRPr="001B3E42" w:rsidRDefault="00D520DD" w:rsidP="00D520DD">
            <w:pPr>
              <w:spacing w:line="360" w:lineRule="auto"/>
              <w:jc w:val="right"/>
              <w:rPr>
                <w:sz w:val="22"/>
                <w:szCs w:val="22"/>
              </w:rPr>
            </w:pPr>
            <w:r w:rsidRPr="001B3E42">
              <w:rPr>
                <w:sz w:val="22"/>
                <w:szCs w:val="22"/>
              </w:rPr>
              <w:t>Podnosilac zahtjeva:</w:t>
            </w:r>
          </w:p>
        </w:tc>
        <w:tc>
          <w:tcPr>
            <w:tcW w:w="7200" w:type="dxa"/>
            <w:shd w:val="clear" w:color="auto" w:fill="auto"/>
          </w:tcPr>
          <w:p w:rsidR="00D520DD" w:rsidRPr="00D520DD" w:rsidRDefault="00D520DD" w:rsidP="00D520DD">
            <w:pPr>
              <w:rPr>
                <w:b/>
                <w:sz w:val="22"/>
              </w:rPr>
            </w:pPr>
            <w:r w:rsidRPr="00D520DD">
              <w:rPr>
                <w:b/>
                <w:sz w:val="22"/>
              </w:rPr>
              <w:t>Glosarij d.o.o.</w:t>
            </w:r>
          </w:p>
        </w:tc>
      </w:tr>
      <w:tr w:rsidR="00D520DD" w:rsidRPr="001B3E42" w:rsidTr="00325055">
        <w:trPr>
          <w:trHeight w:val="153"/>
          <w:jc w:val="center"/>
        </w:trPr>
        <w:tc>
          <w:tcPr>
            <w:tcW w:w="2160" w:type="dxa"/>
            <w:vAlign w:val="bottom"/>
          </w:tcPr>
          <w:p w:rsidR="00D520DD" w:rsidRPr="001B3E42" w:rsidRDefault="00D520DD" w:rsidP="00D520DD">
            <w:pPr>
              <w:spacing w:line="360" w:lineRule="auto"/>
              <w:jc w:val="right"/>
              <w:rPr>
                <w:sz w:val="22"/>
                <w:szCs w:val="22"/>
              </w:rPr>
            </w:pPr>
            <w:r w:rsidRPr="001B3E42">
              <w:rPr>
                <w:sz w:val="22"/>
                <w:szCs w:val="22"/>
              </w:rPr>
              <w:t>Adresa:</w:t>
            </w:r>
          </w:p>
        </w:tc>
        <w:tc>
          <w:tcPr>
            <w:tcW w:w="7200" w:type="dxa"/>
            <w:shd w:val="clear" w:color="auto" w:fill="auto"/>
          </w:tcPr>
          <w:p w:rsidR="00D520DD" w:rsidRPr="00D520DD" w:rsidRDefault="00D520DD" w:rsidP="00D520DD">
            <w:pPr>
              <w:rPr>
                <w:b/>
                <w:sz w:val="22"/>
              </w:rPr>
            </w:pPr>
            <w:r w:rsidRPr="00D520DD">
              <w:rPr>
                <w:b/>
                <w:sz w:val="22"/>
              </w:rPr>
              <w:t>Vojislavljevića 76, Podgorica, Crna Gora</w:t>
            </w:r>
          </w:p>
        </w:tc>
      </w:tr>
    </w:tbl>
    <w:p w:rsidR="00E74AEE" w:rsidRPr="001B3E42" w:rsidRDefault="00E74AEE" w:rsidP="001A5518">
      <w:pPr>
        <w:rPr>
          <w:b/>
          <w:bCs/>
          <w:i/>
          <w:iCs/>
          <w:sz w:val="22"/>
          <w:szCs w:val="22"/>
          <w:u w:val="single"/>
        </w:rPr>
      </w:pPr>
    </w:p>
    <w:p w:rsidR="00E74AEE" w:rsidRPr="001B3E42" w:rsidRDefault="00E74AEE" w:rsidP="001A5518">
      <w:pPr>
        <w:rPr>
          <w:b/>
          <w:bCs/>
          <w:i/>
          <w:iCs/>
          <w:sz w:val="22"/>
          <w:szCs w:val="22"/>
          <w:u w:val="single"/>
        </w:rPr>
      </w:pPr>
    </w:p>
    <w:p w:rsidR="00E74AEE" w:rsidRPr="001B3E42" w:rsidRDefault="00E74AEE" w:rsidP="001A5518">
      <w:pPr>
        <w:rPr>
          <w:b/>
          <w:bCs/>
          <w:i/>
          <w:iCs/>
          <w:sz w:val="22"/>
          <w:szCs w:val="22"/>
          <w:u w:val="single"/>
        </w:rPr>
      </w:pPr>
    </w:p>
    <w:p w:rsidR="00E74AEE" w:rsidRPr="001B3E42" w:rsidRDefault="00E74AEE" w:rsidP="001A5518">
      <w:pPr>
        <w:rPr>
          <w:b/>
          <w:bCs/>
          <w:i/>
          <w:iCs/>
          <w:sz w:val="22"/>
          <w:szCs w:val="22"/>
          <w:u w:val="single"/>
        </w:rPr>
      </w:pPr>
    </w:p>
    <w:p w:rsidR="00E74AEE" w:rsidRPr="001B3E42" w:rsidRDefault="00E74AEE" w:rsidP="006304BF">
      <w:pPr>
        <w:tabs>
          <w:tab w:val="left" w:pos="3260"/>
        </w:tabs>
        <w:rPr>
          <w:b/>
          <w:bCs/>
          <w:i/>
          <w:iCs/>
          <w:sz w:val="22"/>
          <w:szCs w:val="22"/>
          <w:u w:val="single"/>
        </w:rPr>
      </w:pPr>
    </w:p>
    <w:p w:rsidR="00E246B9" w:rsidRPr="001B3E42" w:rsidRDefault="00E246B9" w:rsidP="001A5518">
      <w:pPr>
        <w:rPr>
          <w:color w:val="808080"/>
          <w:sz w:val="22"/>
          <w:szCs w:val="22"/>
        </w:rPr>
      </w:pPr>
    </w:p>
    <w:p w:rsidR="00E74AEE" w:rsidRPr="001B3E42" w:rsidRDefault="00E74AEE" w:rsidP="001A5518">
      <w:pPr>
        <w:rPr>
          <w:i/>
          <w:color w:val="808080"/>
          <w:sz w:val="22"/>
          <w:szCs w:val="22"/>
        </w:rPr>
      </w:pPr>
    </w:p>
    <w:p w:rsidR="00E74AEE" w:rsidRPr="001B3E42" w:rsidRDefault="00E74AEE" w:rsidP="001A5518">
      <w:pPr>
        <w:rPr>
          <w:i/>
          <w:color w:val="808080"/>
          <w:sz w:val="22"/>
          <w:szCs w:val="22"/>
        </w:rPr>
      </w:pPr>
    </w:p>
    <w:p w:rsidR="00E74AEE" w:rsidRPr="001B3E42" w:rsidRDefault="00E74AEE" w:rsidP="001A5518">
      <w:pPr>
        <w:rPr>
          <w:i/>
          <w:color w:val="808080"/>
          <w:sz w:val="22"/>
          <w:szCs w:val="22"/>
        </w:rPr>
      </w:pPr>
    </w:p>
    <w:p w:rsidR="00E74AEE" w:rsidRPr="001B3E42" w:rsidRDefault="00E74AEE" w:rsidP="001A5518">
      <w:pPr>
        <w:rPr>
          <w:i/>
          <w:color w:val="808080"/>
          <w:sz w:val="22"/>
          <w:szCs w:val="22"/>
        </w:rPr>
      </w:pPr>
    </w:p>
    <w:p w:rsidR="00E74AEE" w:rsidRPr="001B3E42" w:rsidRDefault="00E74AEE" w:rsidP="001A5518">
      <w:pPr>
        <w:rPr>
          <w:i/>
          <w:color w:val="808080"/>
          <w:sz w:val="22"/>
          <w:szCs w:val="22"/>
        </w:rPr>
      </w:pPr>
    </w:p>
    <w:p w:rsidR="00E74AEE" w:rsidRPr="001B3E42" w:rsidRDefault="00E74AEE" w:rsidP="001A5518">
      <w:pPr>
        <w:rPr>
          <w:i/>
          <w:color w:val="808080"/>
          <w:sz w:val="22"/>
          <w:szCs w:val="22"/>
        </w:rPr>
      </w:pPr>
    </w:p>
    <w:p w:rsidR="00DA2ED6" w:rsidRPr="001B3E42" w:rsidRDefault="00DA2ED6">
      <w:pPr>
        <w:rPr>
          <w:color w:val="808080"/>
          <w:sz w:val="22"/>
          <w:szCs w:val="22"/>
        </w:rPr>
      </w:pPr>
    </w:p>
    <w:p w:rsidR="00DA2ED6" w:rsidRPr="001B3E42" w:rsidRDefault="00DA2ED6">
      <w:pPr>
        <w:rPr>
          <w:color w:val="808080"/>
          <w:sz w:val="22"/>
          <w:szCs w:val="22"/>
        </w:rPr>
      </w:pPr>
    </w:p>
    <w:p w:rsidR="00E246B9" w:rsidRPr="001B3E42" w:rsidRDefault="00E246B9" w:rsidP="00E246B9">
      <w:pPr>
        <w:pStyle w:val="Header"/>
        <w:tabs>
          <w:tab w:val="left" w:pos="284"/>
        </w:tabs>
        <w:rPr>
          <w:sz w:val="22"/>
          <w:szCs w:val="22"/>
        </w:rPr>
      </w:pPr>
    </w:p>
    <w:p w:rsidR="001A5518" w:rsidRPr="001B3E42" w:rsidRDefault="001A5518" w:rsidP="00F5167F">
      <w:pPr>
        <w:tabs>
          <w:tab w:val="left" w:pos="540"/>
          <w:tab w:val="left" w:pos="569"/>
        </w:tabs>
        <w:rPr>
          <w:b/>
          <w:bCs/>
          <w:sz w:val="22"/>
          <w:szCs w:val="22"/>
        </w:rPr>
      </w:pPr>
    </w:p>
    <w:p w:rsidR="00411B4B" w:rsidRPr="001B3E42" w:rsidRDefault="00411B4B" w:rsidP="00F5167F">
      <w:pPr>
        <w:tabs>
          <w:tab w:val="left" w:pos="540"/>
          <w:tab w:val="left" w:pos="569"/>
        </w:tabs>
        <w:rPr>
          <w:b/>
          <w:bCs/>
          <w:sz w:val="22"/>
          <w:szCs w:val="22"/>
        </w:rPr>
      </w:pPr>
      <w:r w:rsidRPr="001B3E42">
        <w:rPr>
          <w:b/>
          <w:bCs/>
          <w:sz w:val="22"/>
          <w:szCs w:val="22"/>
        </w:rPr>
        <w:lastRenderedPageBreak/>
        <w:t>1.</w:t>
      </w:r>
      <w:r w:rsidR="00F5167F" w:rsidRPr="001B3E42">
        <w:rPr>
          <w:b/>
          <w:bCs/>
          <w:sz w:val="22"/>
          <w:szCs w:val="22"/>
        </w:rPr>
        <w:tab/>
      </w:r>
      <w:r w:rsidR="002846DB" w:rsidRPr="001B3E42">
        <w:rPr>
          <w:b/>
          <w:bCs/>
          <w:sz w:val="22"/>
          <w:szCs w:val="22"/>
        </w:rPr>
        <w:t xml:space="preserve">NAZIV </w:t>
      </w:r>
      <w:r w:rsidRPr="001B3E42">
        <w:rPr>
          <w:b/>
          <w:bCs/>
          <w:sz w:val="22"/>
          <w:szCs w:val="22"/>
        </w:rPr>
        <w:t>LIJEKA</w:t>
      </w:r>
    </w:p>
    <w:p w:rsidR="00EC2532" w:rsidRPr="001B3E42" w:rsidRDefault="00EC2532">
      <w:pPr>
        <w:rPr>
          <w:sz w:val="22"/>
          <w:szCs w:val="22"/>
        </w:rPr>
      </w:pPr>
    </w:p>
    <w:p w:rsidR="00EA5B36" w:rsidRPr="001B3E42" w:rsidRDefault="00EA5B36" w:rsidP="00EA5B36">
      <w:pPr>
        <w:pStyle w:val="Default"/>
        <w:rPr>
          <w:rFonts w:ascii="Times New Roman" w:hAnsi="Times New Roman" w:cs="Times New Roman"/>
          <w:sz w:val="22"/>
          <w:szCs w:val="22"/>
          <w:lang w:val="sr-Latn-ME"/>
        </w:rPr>
      </w:pPr>
      <w:r w:rsidRPr="001B3E42">
        <w:rPr>
          <w:rFonts w:ascii="Times New Roman" w:hAnsi="Times New Roman" w:cs="Times New Roman"/>
          <w:sz w:val="22"/>
          <w:szCs w:val="22"/>
          <w:lang w:val="sr-Latn-ME"/>
        </w:rPr>
        <w:t>Humira</w:t>
      </w:r>
      <w:r w:rsidR="00EB1157" w:rsidRPr="001B3E42">
        <w:rPr>
          <w:rFonts w:ascii="Times New Roman" w:hAnsi="Times New Roman" w:cs="Times New Roman"/>
          <w:sz w:val="22"/>
          <w:szCs w:val="22"/>
          <w:lang w:val="sr-Latn-ME"/>
        </w:rPr>
        <w:t xml:space="preserve"> 40 mg/0,8 ml  rastvor za injekciju za pedijatrijsku upotrebu</w:t>
      </w:r>
    </w:p>
    <w:p w:rsidR="00EA5B36" w:rsidRPr="001B3E42" w:rsidRDefault="00EA5B36" w:rsidP="00EA5B36">
      <w:pPr>
        <w:pStyle w:val="Default"/>
        <w:rPr>
          <w:rFonts w:ascii="Times New Roman" w:hAnsi="Times New Roman" w:cs="Times New Roman"/>
          <w:color w:val="auto"/>
          <w:sz w:val="22"/>
          <w:szCs w:val="22"/>
          <w:lang w:val="sr-Latn-ME"/>
        </w:rPr>
      </w:pPr>
    </w:p>
    <w:p w:rsidR="00EA5B36" w:rsidRPr="001B3E42" w:rsidRDefault="00411B4B" w:rsidP="00EA5B36">
      <w:pPr>
        <w:rPr>
          <w:sz w:val="22"/>
          <w:szCs w:val="22"/>
        </w:rPr>
      </w:pPr>
      <w:r w:rsidRPr="001B3E42">
        <w:rPr>
          <w:sz w:val="22"/>
          <w:szCs w:val="22"/>
        </w:rPr>
        <w:t>INN</w:t>
      </w:r>
      <w:r w:rsidR="00EA5B36" w:rsidRPr="001B3E42">
        <w:rPr>
          <w:sz w:val="22"/>
          <w:szCs w:val="22"/>
        </w:rPr>
        <w:t>:</w:t>
      </w:r>
      <w:r w:rsidR="00EA5B36" w:rsidRPr="001B3E42">
        <w:rPr>
          <w:i/>
          <w:sz w:val="22"/>
          <w:szCs w:val="22"/>
        </w:rPr>
        <w:t xml:space="preserve"> adalimumab</w:t>
      </w:r>
    </w:p>
    <w:p w:rsidR="00530BD7" w:rsidRPr="001B3E42" w:rsidRDefault="00EA5B36">
      <w:pPr>
        <w:rPr>
          <w:bCs/>
          <w:sz w:val="22"/>
          <w:szCs w:val="22"/>
        </w:rPr>
      </w:pPr>
      <w:r w:rsidRPr="001B3E42">
        <w:rPr>
          <w:bCs/>
          <w:sz w:val="22"/>
          <w:szCs w:val="22"/>
        </w:rPr>
        <w:t xml:space="preserve"> </w:t>
      </w:r>
    </w:p>
    <w:p w:rsidR="00411B4B" w:rsidRPr="001B3E42" w:rsidRDefault="00411B4B" w:rsidP="00F5167F">
      <w:pPr>
        <w:tabs>
          <w:tab w:val="left" w:pos="540"/>
          <w:tab w:val="left" w:pos="569"/>
        </w:tabs>
        <w:rPr>
          <w:b/>
          <w:bCs/>
          <w:sz w:val="22"/>
          <w:szCs w:val="22"/>
        </w:rPr>
      </w:pPr>
      <w:r w:rsidRPr="001B3E42">
        <w:rPr>
          <w:b/>
          <w:bCs/>
          <w:sz w:val="22"/>
          <w:szCs w:val="22"/>
        </w:rPr>
        <w:t xml:space="preserve">2. </w:t>
      </w:r>
      <w:r w:rsidR="00F5167F" w:rsidRPr="001B3E42">
        <w:rPr>
          <w:b/>
          <w:bCs/>
          <w:sz w:val="22"/>
          <w:szCs w:val="22"/>
        </w:rPr>
        <w:tab/>
      </w:r>
      <w:r w:rsidRPr="001B3E42">
        <w:rPr>
          <w:b/>
          <w:bCs/>
          <w:sz w:val="22"/>
          <w:szCs w:val="22"/>
        </w:rPr>
        <w:t>KVALITATIVNI I KVANTITATIVNI SASTAV</w:t>
      </w:r>
    </w:p>
    <w:p w:rsidR="005A0B2E" w:rsidRPr="001B3E42" w:rsidRDefault="005A0B2E">
      <w:pPr>
        <w:rPr>
          <w:sz w:val="22"/>
          <w:szCs w:val="22"/>
        </w:rPr>
      </w:pPr>
    </w:p>
    <w:p w:rsidR="00EA5B36" w:rsidRPr="001B3E42" w:rsidRDefault="00EA5B36" w:rsidP="00EA5B36">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Svaka napunjena bočica s jednokratnom dozom od 0,8 ml sadrži 40 mg adalimumaba. </w:t>
      </w:r>
    </w:p>
    <w:p w:rsidR="00EA5B36" w:rsidRPr="001B3E42" w:rsidRDefault="00EA5B36" w:rsidP="00EA5B36">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p>
    <w:p w:rsidR="00EA5B36" w:rsidRPr="001B3E42" w:rsidRDefault="00EA5B36" w:rsidP="00EA5B36">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Adalimumab je rekombinantno</w:t>
      </w:r>
      <w:r w:rsidR="00EB1157" w:rsidRPr="001B3E42">
        <w:rPr>
          <w:rFonts w:ascii="Times New Roman" w:hAnsi="Times New Roman" w:cs="Times New Roman"/>
          <w:color w:val="auto"/>
          <w:sz w:val="22"/>
          <w:szCs w:val="22"/>
          <w:lang w:val="sr-Latn-ME"/>
        </w:rPr>
        <w:t xml:space="preserve"> humano</w:t>
      </w:r>
      <w:r w:rsidRPr="001B3E42">
        <w:rPr>
          <w:rFonts w:ascii="Times New Roman" w:hAnsi="Times New Roman" w:cs="Times New Roman"/>
          <w:color w:val="auto"/>
          <w:sz w:val="22"/>
          <w:szCs w:val="22"/>
          <w:lang w:val="sr-Latn-ME"/>
        </w:rPr>
        <w:t xml:space="preserve"> monoklonsko antitijelo, dobijeno iz ćelija jajnika kineskog hrčka. </w:t>
      </w:r>
    </w:p>
    <w:p w:rsidR="00EA5B36" w:rsidRPr="001B3E42" w:rsidRDefault="00EA5B36" w:rsidP="00EA5B36">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p>
    <w:p w:rsidR="00EA5B36" w:rsidRPr="001B3E42" w:rsidRDefault="00EA5B36" w:rsidP="00EA5B36">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Za kompletnu listu pomoćnih supstanci, vidjeti </w:t>
      </w:r>
      <w:r w:rsidR="002D5061" w:rsidRPr="001B3E42">
        <w:rPr>
          <w:rFonts w:ascii="Times New Roman" w:hAnsi="Times New Roman" w:cs="Times New Roman"/>
          <w:color w:val="auto"/>
          <w:sz w:val="22"/>
          <w:szCs w:val="22"/>
          <w:lang w:val="sr-Latn-ME"/>
        </w:rPr>
        <w:t>odjeljak</w:t>
      </w:r>
      <w:r w:rsidRPr="001B3E42">
        <w:rPr>
          <w:rFonts w:ascii="Times New Roman" w:hAnsi="Times New Roman" w:cs="Times New Roman"/>
          <w:color w:val="auto"/>
          <w:sz w:val="22"/>
          <w:szCs w:val="22"/>
          <w:lang w:val="sr-Latn-ME"/>
        </w:rPr>
        <w:t xml:space="preserve"> 6.1. </w:t>
      </w:r>
    </w:p>
    <w:p w:rsidR="00E51C30" w:rsidRPr="001B3E42" w:rsidRDefault="00E51C30">
      <w:pPr>
        <w:rPr>
          <w:sz w:val="22"/>
          <w:szCs w:val="22"/>
        </w:rPr>
      </w:pPr>
    </w:p>
    <w:p w:rsidR="00411B4B" w:rsidRPr="001B3E42" w:rsidRDefault="00411B4B" w:rsidP="00F5167F">
      <w:pPr>
        <w:tabs>
          <w:tab w:val="left" w:pos="540"/>
          <w:tab w:val="left" w:pos="569"/>
        </w:tabs>
        <w:rPr>
          <w:b/>
          <w:bCs/>
          <w:sz w:val="22"/>
          <w:szCs w:val="22"/>
        </w:rPr>
      </w:pPr>
      <w:r w:rsidRPr="001B3E42">
        <w:rPr>
          <w:b/>
          <w:bCs/>
          <w:sz w:val="22"/>
          <w:szCs w:val="22"/>
        </w:rPr>
        <w:t xml:space="preserve">3. </w:t>
      </w:r>
      <w:r w:rsidR="00F5167F" w:rsidRPr="001B3E42">
        <w:rPr>
          <w:b/>
          <w:bCs/>
          <w:sz w:val="22"/>
          <w:szCs w:val="22"/>
        </w:rPr>
        <w:tab/>
      </w:r>
      <w:r w:rsidRPr="001B3E42">
        <w:rPr>
          <w:b/>
          <w:bCs/>
          <w:sz w:val="22"/>
          <w:szCs w:val="22"/>
        </w:rPr>
        <w:t>FARMACEUTSKI OBLIK</w:t>
      </w:r>
    </w:p>
    <w:p w:rsidR="00411B4B" w:rsidRPr="001B3E42" w:rsidRDefault="00411B4B">
      <w:pPr>
        <w:rPr>
          <w:bCs/>
          <w:sz w:val="22"/>
          <w:szCs w:val="22"/>
        </w:rPr>
      </w:pPr>
    </w:p>
    <w:p w:rsidR="00EA5B36" w:rsidRPr="001B3E42" w:rsidRDefault="00EA5B36">
      <w:pPr>
        <w:rPr>
          <w:bCs/>
          <w:sz w:val="22"/>
          <w:szCs w:val="22"/>
        </w:rPr>
      </w:pPr>
      <w:r w:rsidRPr="001B3E42">
        <w:rPr>
          <w:bCs/>
          <w:sz w:val="22"/>
          <w:szCs w:val="22"/>
        </w:rPr>
        <w:t>Bistri rastvor za injekciju.</w:t>
      </w:r>
    </w:p>
    <w:p w:rsidR="00EC2532" w:rsidRPr="001B3E42" w:rsidRDefault="00EC2532">
      <w:pPr>
        <w:rPr>
          <w:bCs/>
          <w:sz w:val="22"/>
          <w:szCs w:val="22"/>
        </w:rPr>
      </w:pPr>
    </w:p>
    <w:p w:rsidR="00332595" w:rsidRPr="001B3E42" w:rsidRDefault="00332595">
      <w:pPr>
        <w:rPr>
          <w:bCs/>
          <w:sz w:val="22"/>
          <w:szCs w:val="22"/>
        </w:rPr>
      </w:pPr>
    </w:p>
    <w:p w:rsidR="00411B4B" w:rsidRPr="001B3E42" w:rsidRDefault="00411B4B" w:rsidP="00F5167F">
      <w:pPr>
        <w:tabs>
          <w:tab w:val="left" w:pos="540"/>
          <w:tab w:val="left" w:pos="569"/>
        </w:tabs>
        <w:rPr>
          <w:b/>
          <w:bCs/>
          <w:sz w:val="22"/>
          <w:szCs w:val="22"/>
        </w:rPr>
      </w:pPr>
      <w:r w:rsidRPr="001B3E42">
        <w:rPr>
          <w:b/>
          <w:bCs/>
          <w:sz w:val="22"/>
          <w:szCs w:val="22"/>
        </w:rPr>
        <w:t xml:space="preserve">4. </w:t>
      </w:r>
      <w:r w:rsidR="00480FB1" w:rsidRPr="001B3E42">
        <w:rPr>
          <w:b/>
          <w:bCs/>
          <w:sz w:val="22"/>
          <w:szCs w:val="22"/>
        </w:rPr>
        <w:tab/>
      </w:r>
      <w:r w:rsidRPr="001B3E42">
        <w:rPr>
          <w:b/>
          <w:bCs/>
          <w:sz w:val="22"/>
          <w:szCs w:val="22"/>
        </w:rPr>
        <w:t>KLINIČKI PODACI</w:t>
      </w:r>
    </w:p>
    <w:p w:rsidR="00CD6F02" w:rsidRPr="001B3E42" w:rsidRDefault="00CD6F02" w:rsidP="00480FB1">
      <w:pPr>
        <w:tabs>
          <w:tab w:val="left" w:pos="540"/>
          <w:tab w:val="left" w:pos="569"/>
        </w:tabs>
        <w:rPr>
          <w:bCs/>
          <w:sz w:val="22"/>
          <w:szCs w:val="22"/>
        </w:rPr>
      </w:pPr>
    </w:p>
    <w:p w:rsidR="00411B4B" w:rsidRPr="001B3E42" w:rsidRDefault="00411B4B" w:rsidP="00480FB1">
      <w:pPr>
        <w:tabs>
          <w:tab w:val="left" w:pos="540"/>
          <w:tab w:val="left" w:pos="569"/>
        </w:tabs>
        <w:rPr>
          <w:b/>
          <w:bCs/>
          <w:sz w:val="22"/>
          <w:szCs w:val="22"/>
        </w:rPr>
      </w:pPr>
      <w:r w:rsidRPr="001B3E42">
        <w:rPr>
          <w:b/>
          <w:bCs/>
          <w:sz w:val="22"/>
          <w:szCs w:val="22"/>
        </w:rPr>
        <w:t xml:space="preserve">4.1. </w:t>
      </w:r>
      <w:r w:rsidR="00480FB1" w:rsidRPr="001B3E42">
        <w:rPr>
          <w:b/>
          <w:bCs/>
          <w:sz w:val="22"/>
          <w:szCs w:val="22"/>
        </w:rPr>
        <w:tab/>
      </w:r>
      <w:r w:rsidRPr="001B3E42">
        <w:rPr>
          <w:b/>
          <w:bCs/>
          <w:sz w:val="22"/>
          <w:szCs w:val="22"/>
        </w:rPr>
        <w:t>Terapijske indikacije</w:t>
      </w:r>
    </w:p>
    <w:p w:rsidR="00411B4B" w:rsidRPr="001B3E42" w:rsidRDefault="00093EF6" w:rsidP="00093EF6">
      <w:pPr>
        <w:tabs>
          <w:tab w:val="left" w:pos="1230"/>
        </w:tabs>
        <w:rPr>
          <w:bCs/>
          <w:sz w:val="22"/>
          <w:szCs w:val="22"/>
        </w:rPr>
      </w:pPr>
      <w:r w:rsidRPr="001B3E42">
        <w:rPr>
          <w:bCs/>
          <w:sz w:val="22"/>
          <w:szCs w:val="22"/>
        </w:rPr>
        <w:tab/>
      </w:r>
    </w:p>
    <w:p w:rsidR="00093EF6" w:rsidRPr="001B3E42" w:rsidRDefault="00093EF6" w:rsidP="00093EF6">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u w:val="single"/>
          <w:lang w:val="sr-Latn-ME"/>
        </w:rPr>
        <w:t>Poliartikularni juvenilni idiopatski artritis</w:t>
      </w:r>
    </w:p>
    <w:p w:rsidR="00093EF6" w:rsidRPr="001B3E42" w:rsidRDefault="00E424CC" w:rsidP="00093EF6">
      <w:pPr>
        <w:pStyle w:val="Default"/>
        <w:jc w:val="both"/>
        <w:rPr>
          <w:rFonts w:ascii="Times New Roman" w:hAnsi="Times New Roman" w:cs="Times New Roman"/>
          <w:iCs/>
          <w:color w:val="auto"/>
          <w:sz w:val="22"/>
          <w:szCs w:val="22"/>
          <w:lang w:val="sr-Latn-ME"/>
        </w:rPr>
      </w:pPr>
      <w:r w:rsidRPr="001B3E42">
        <w:rPr>
          <w:rFonts w:ascii="Times New Roman" w:hAnsi="Times New Roman" w:cs="Times New Roman"/>
          <w:color w:val="auto"/>
          <w:sz w:val="22"/>
          <w:szCs w:val="22"/>
          <w:lang w:val="sr-Latn-ME"/>
        </w:rPr>
        <w:t xml:space="preserve">Lijek </w:t>
      </w:r>
      <w:r w:rsidR="00093EF6" w:rsidRPr="001B3E42">
        <w:rPr>
          <w:rFonts w:ascii="Times New Roman" w:hAnsi="Times New Roman" w:cs="Times New Roman"/>
          <w:color w:val="auto"/>
          <w:sz w:val="22"/>
          <w:szCs w:val="22"/>
          <w:lang w:val="sr-Latn-ME"/>
        </w:rPr>
        <w:t>Humira je, u kombina</w:t>
      </w:r>
      <w:r w:rsidR="00A3115F" w:rsidRPr="001B3E42">
        <w:rPr>
          <w:rFonts w:ascii="Times New Roman" w:hAnsi="Times New Roman" w:cs="Times New Roman"/>
          <w:color w:val="auto"/>
          <w:sz w:val="22"/>
          <w:szCs w:val="22"/>
          <w:lang w:val="sr-Latn-ME"/>
        </w:rPr>
        <w:t>ciji s metotreksatom, indikovan</w:t>
      </w:r>
      <w:r w:rsidR="00093EF6" w:rsidRPr="001B3E42">
        <w:rPr>
          <w:rFonts w:ascii="Times New Roman" w:hAnsi="Times New Roman" w:cs="Times New Roman"/>
          <w:color w:val="auto"/>
          <w:sz w:val="22"/>
          <w:szCs w:val="22"/>
          <w:lang w:val="sr-Latn-ME"/>
        </w:rPr>
        <w:t xml:space="preserve"> za terapiju aktivnog</w:t>
      </w:r>
      <w:r w:rsidR="004B38A4" w:rsidRPr="001B3E42">
        <w:rPr>
          <w:rFonts w:ascii="Times New Roman" w:hAnsi="Times New Roman" w:cs="Times New Roman"/>
          <w:color w:val="auto"/>
          <w:sz w:val="22"/>
          <w:szCs w:val="22"/>
          <w:lang w:val="sr-Latn-ME"/>
        </w:rPr>
        <w:t xml:space="preserve"> </w:t>
      </w:r>
      <w:r w:rsidR="00093EF6" w:rsidRPr="001B3E42">
        <w:rPr>
          <w:rFonts w:ascii="Times New Roman" w:hAnsi="Times New Roman" w:cs="Times New Roman"/>
          <w:color w:val="auto"/>
          <w:sz w:val="22"/>
          <w:szCs w:val="22"/>
          <w:lang w:val="sr-Latn-ME"/>
        </w:rPr>
        <w:t xml:space="preserve">poliartikularnog juvenilnog idiopatskog artritisa kod djece i adolescenata u dobi od 2 do 17 godina kod kojih prethodnim liječenjem </w:t>
      </w:r>
      <w:r w:rsidR="00093EF6" w:rsidRPr="001B3E42">
        <w:rPr>
          <w:rFonts w:ascii="Times New Roman" w:hAnsi="Times New Roman" w:cs="Times New Roman"/>
          <w:iCs/>
          <w:color w:val="auto"/>
          <w:sz w:val="22"/>
          <w:szCs w:val="22"/>
          <w:lang w:val="sr-Latn-ME"/>
        </w:rPr>
        <w:t>jednim ili više antireumatika</w:t>
      </w:r>
      <w:r w:rsidR="00A3115F" w:rsidRPr="001B3E42">
        <w:rPr>
          <w:rFonts w:ascii="Times New Roman" w:hAnsi="Times New Roman" w:cs="Times New Roman"/>
          <w:color w:val="auto"/>
          <w:sz w:val="22"/>
          <w:szCs w:val="22"/>
          <w:lang w:val="sr-Latn-ME"/>
        </w:rPr>
        <w:t xml:space="preserve"> koji modifikuju</w:t>
      </w:r>
      <w:r w:rsidR="00093EF6" w:rsidRPr="001B3E42">
        <w:rPr>
          <w:rFonts w:ascii="Times New Roman" w:hAnsi="Times New Roman" w:cs="Times New Roman"/>
          <w:color w:val="auto"/>
          <w:sz w:val="22"/>
          <w:szCs w:val="22"/>
          <w:lang w:val="sr-Latn-ME"/>
        </w:rPr>
        <w:t xml:space="preserve"> tok bolesti (DMARD) nije postignut zadovoljavajući odgovor. </w:t>
      </w:r>
      <w:r w:rsidRPr="001B3E42">
        <w:rPr>
          <w:rFonts w:ascii="Times New Roman" w:hAnsi="Times New Roman" w:cs="Times New Roman"/>
          <w:color w:val="auto"/>
          <w:sz w:val="22"/>
          <w:szCs w:val="22"/>
          <w:lang w:val="sr-Latn-ME"/>
        </w:rPr>
        <w:t xml:space="preserve">Lijek </w:t>
      </w:r>
      <w:r w:rsidR="00093EF6" w:rsidRPr="001B3E42">
        <w:rPr>
          <w:rFonts w:ascii="Times New Roman" w:hAnsi="Times New Roman" w:cs="Times New Roman"/>
          <w:iCs/>
          <w:color w:val="auto"/>
          <w:sz w:val="22"/>
          <w:szCs w:val="22"/>
          <w:lang w:val="sr-Latn-ME"/>
        </w:rPr>
        <w:t>Humira se može dati kao monoterapija u slučajevima nepodnošenja metotreksata ili kada nastavak terapije metotreksatom nije prikladan (</w:t>
      </w:r>
      <w:r w:rsidR="001E4AB9" w:rsidRPr="001B3E42">
        <w:rPr>
          <w:rFonts w:ascii="Times New Roman" w:hAnsi="Times New Roman" w:cs="Times New Roman"/>
          <w:iCs/>
          <w:color w:val="auto"/>
          <w:sz w:val="22"/>
          <w:szCs w:val="22"/>
          <w:lang w:val="sr-Latn-ME"/>
        </w:rPr>
        <w:t>za efikasnost</w:t>
      </w:r>
      <w:r w:rsidR="00093EF6" w:rsidRPr="001B3E42">
        <w:rPr>
          <w:rFonts w:ascii="Times New Roman" w:hAnsi="Times New Roman" w:cs="Times New Roman"/>
          <w:iCs/>
          <w:color w:val="auto"/>
          <w:sz w:val="22"/>
          <w:szCs w:val="22"/>
          <w:lang w:val="sr-Latn-ME"/>
        </w:rPr>
        <w:t xml:space="preserve"> monoterapije, vidjeti </w:t>
      </w:r>
      <w:r w:rsidR="00A3115F" w:rsidRPr="001B3E42">
        <w:rPr>
          <w:rFonts w:ascii="Times New Roman" w:hAnsi="Times New Roman" w:cs="Times New Roman"/>
          <w:iCs/>
          <w:color w:val="auto"/>
          <w:sz w:val="22"/>
          <w:szCs w:val="22"/>
          <w:lang w:val="sr-Latn-ME"/>
        </w:rPr>
        <w:t>odjeljak</w:t>
      </w:r>
      <w:r w:rsidR="00093EF6" w:rsidRPr="001B3E42">
        <w:rPr>
          <w:rFonts w:ascii="Times New Roman" w:hAnsi="Times New Roman" w:cs="Times New Roman"/>
          <w:iCs/>
          <w:color w:val="auto"/>
          <w:sz w:val="22"/>
          <w:szCs w:val="22"/>
          <w:lang w:val="sr-Latn-ME"/>
        </w:rPr>
        <w:t xml:space="preserve"> 5.1). </w:t>
      </w:r>
      <w:r w:rsidRPr="001B3E42">
        <w:rPr>
          <w:rFonts w:ascii="Times New Roman" w:hAnsi="Times New Roman" w:cs="Times New Roman"/>
          <w:iCs/>
          <w:color w:val="auto"/>
          <w:sz w:val="22"/>
          <w:szCs w:val="22"/>
          <w:lang w:val="sr-Latn-ME"/>
        </w:rPr>
        <w:t xml:space="preserve">Lijek </w:t>
      </w:r>
      <w:r w:rsidR="00093EF6" w:rsidRPr="001B3E42">
        <w:rPr>
          <w:rFonts w:ascii="Times New Roman" w:hAnsi="Times New Roman" w:cs="Times New Roman"/>
          <w:iCs/>
          <w:color w:val="auto"/>
          <w:sz w:val="22"/>
          <w:szCs w:val="22"/>
          <w:lang w:val="sr-Latn-ME"/>
        </w:rPr>
        <w:t>Humira nije is</w:t>
      </w:r>
      <w:r w:rsidR="004B38A4" w:rsidRPr="001B3E42">
        <w:rPr>
          <w:rFonts w:ascii="Times New Roman" w:hAnsi="Times New Roman" w:cs="Times New Roman"/>
          <w:iCs/>
          <w:color w:val="auto"/>
          <w:sz w:val="22"/>
          <w:szCs w:val="22"/>
          <w:lang w:val="sr-Latn-ME"/>
        </w:rPr>
        <w:t>pitivan kod</w:t>
      </w:r>
      <w:r w:rsidR="00093EF6" w:rsidRPr="001B3E42">
        <w:rPr>
          <w:rFonts w:ascii="Times New Roman" w:hAnsi="Times New Roman" w:cs="Times New Roman"/>
          <w:iCs/>
          <w:color w:val="auto"/>
          <w:sz w:val="22"/>
          <w:szCs w:val="22"/>
          <w:lang w:val="sr-Latn-ME"/>
        </w:rPr>
        <w:t xml:space="preserve"> djece mlađe od 2 godine. </w:t>
      </w:r>
    </w:p>
    <w:p w:rsidR="00093EF6" w:rsidRPr="001B3E42" w:rsidRDefault="00093EF6" w:rsidP="00093EF6">
      <w:pPr>
        <w:pStyle w:val="Default"/>
        <w:jc w:val="both"/>
        <w:rPr>
          <w:rFonts w:ascii="Times New Roman" w:hAnsi="Times New Roman" w:cs="Times New Roman"/>
          <w:iCs/>
          <w:color w:val="auto"/>
          <w:sz w:val="22"/>
          <w:szCs w:val="22"/>
          <w:lang w:val="sr-Latn-ME"/>
        </w:rPr>
      </w:pPr>
    </w:p>
    <w:p w:rsidR="00093EF6" w:rsidRPr="001B3E42" w:rsidRDefault="00A3115F" w:rsidP="00093EF6">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Crohnova bolest kod</w:t>
      </w:r>
      <w:r w:rsidR="004131F9" w:rsidRPr="001B3E42">
        <w:rPr>
          <w:rFonts w:ascii="Times New Roman" w:hAnsi="Times New Roman" w:cs="Times New Roman"/>
          <w:color w:val="auto"/>
          <w:sz w:val="22"/>
          <w:szCs w:val="22"/>
          <w:u w:val="single"/>
          <w:lang w:val="sr-Latn-ME"/>
        </w:rPr>
        <w:t xml:space="preserve"> pedijatrijskih pacijenata</w:t>
      </w:r>
    </w:p>
    <w:p w:rsidR="00093EF6" w:rsidRPr="001B3E42" w:rsidRDefault="00E424CC" w:rsidP="00093EF6">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Lijek </w:t>
      </w:r>
      <w:r w:rsidR="00093EF6" w:rsidRPr="001B3E42">
        <w:rPr>
          <w:rFonts w:ascii="Times New Roman" w:hAnsi="Times New Roman" w:cs="Times New Roman"/>
          <w:color w:val="auto"/>
          <w:sz w:val="22"/>
          <w:szCs w:val="22"/>
          <w:lang w:val="sr-Latn-ME"/>
        </w:rPr>
        <w:t>Humira je ind</w:t>
      </w:r>
      <w:r w:rsidR="00A3115F" w:rsidRPr="001B3E42">
        <w:rPr>
          <w:rFonts w:ascii="Times New Roman" w:hAnsi="Times New Roman" w:cs="Times New Roman"/>
          <w:color w:val="auto"/>
          <w:sz w:val="22"/>
          <w:szCs w:val="22"/>
          <w:lang w:val="sr-Latn-ME"/>
        </w:rPr>
        <w:t>ikovan</w:t>
      </w:r>
      <w:r w:rsidR="00093EF6" w:rsidRPr="001B3E42">
        <w:rPr>
          <w:rFonts w:ascii="Times New Roman" w:hAnsi="Times New Roman" w:cs="Times New Roman"/>
          <w:color w:val="auto"/>
          <w:sz w:val="22"/>
          <w:szCs w:val="22"/>
          <w:lang w:val="sr-Latn-ME"/>
        </w:rPr>
        <w:t xml:space="preserve"> za terapiju teške aktivne Crohnove bolesti kod </w:t>
      </w:r>
      <w:r w:rsidR="009065F5" w:rsidRPr="001B3E42">
        <w:rPr>
          <w:rFonts w:ascii="Times New Roman" w:hAnsi="Times New Roman" w:cs="Times New Roman"/>
          <w:color w:val="auto"/>
          <w:sz w:val="22"/>
          <w:szCs w:val="22"/>
          <w:lang w:val="sr-Latn-ME"/>
        </w:rPr>
        <w:t xml:space="preserve">pedijatrijskih pacijenata </w:t>
      </w:r>
      <w:r w:rsidR="00BA6D2B" w:rsidRPr="001B3E42">
        <w:rPr>
          <w:rFonts w:ascii="Times New Roman" w:hAnsi="Times New Roman" w:cs="Times New Roman"/>
          <w:color w:val="auto"/>
          <w:sz w:val="22"/>
          <w:szCs w:val="22"/>
          <w:lang w:val="sr-Latn-ME"/>
        </w:rPr>
        <w:t>(</w:t>
      </w:r>
      <w:r w:rsidR="009065F5" w:rsidRPr="001B3E42">
        <w:rPr>
          <w:rFonts w:ascii="Times New Roman" w:hAnsi="Times New Roman" w:cs="Times New Roman"/>
          <w:color w:val="auto"/>
          <w:sz w:val="22"/>
          <w:szCs w:val="22"/>
          <w:lang w:val="sr-Latn-ME"/>
        </w:rPr>
        <w:t xml:space="preserve">od 6 </w:t>
      </w:r>
      <w:r w:rsidR="00093EF6" w:rsidRPr="001B3E42">
        <w:rPr>
          <w:rFonts w:ascii="Times New Roman" w:hAnsi="Times New Roman" w:cs="Times New Roman"/>
          <w:color w:val="auto"/>
          <w:sz w:val="22"/>
          <w:szCs w:val="22"/>
          <w:lang w:val="sr-Latn-ME"/>
        </w:rPr>
        <w:t xml:space="preserve"> godina</w:t>
      </w:r>
      <w:r w:rsidR="009065F5" w:rsidRPr="001B3E42">
        <w:rPr>
          <w:rFonts w:ascii="Times New Roman" w:hAnsi="Times New Roman" w:cs="Times New Roman"/>
          <w:color w:val="auto"/>
          <w:sz w:val="22"/>
          <w:szCs w:val="22"/>
          <w:lang w:val="sr-Latn-ME"/>
        </w:rPr>
        <w:t xml:space="preserve"> starosti</w:t>
      </w:r>
      <w:r w:rsidR="00093EF6" w:rsidRPr="001B3E42">
        <w:rPr>
          <w:rFonts w:ascii="Times New Roman" w:hAnsi="Times New Roman" w:cs="Times New Roman"/>
          <w:color w:val="auto"/>
          <w:sz w:val="22"/>
          <w:szCs w:val="22"/>
          <w:lang w:val="sr-Latn-ME"/>
        </w:rPr>
        <w:t>) kod kojih nije postignut zadovoljavajući odgovor na konvencionalnu terapiju</w:t>
      </w:r>
      <w:r w:rsidR="00BA6D2B" w:rsidRPr="001B3E42">
        <w:rPr>
          <w:rFonts w:ascii="Times New Roman" w:hAnsi="Times New Roman" w:cs="Times New Roman"/>
          <w:color w:val="auto"/>
          <w:sz w:val="22"/>
          <w:szCs w:val="22"/>
          <w:lang w:val="sr-Latn-ME"/>
        </w:rPr>
        <w:t>,</w:t>
      </w:r>
      <w:r w:rsidR="00093EF6" w:rsidRPr="001B3E42">
        <w:rPr>
          <w:rFonts w:ascii="Times New Roman" w:hAnsi="Times New Roman" w:cs="Times New Roman"/>
          <w:color w:val="auto"/>
          <w:sz w:val="22"/>
          <w:szCs w:val="22"/>
          <w:lang w:val="sr-Latn-ME"/>
        </w:rPr>
        <w:t xml:space="preserve"> uključujući primarnu nutritivnu terapiju,</w:t>
      </w:r>
      <w:r w:rsidR="00093EF6" w:rsidRPr="001B3E42">
        <w:rPr>
          <w:sz w:val="22"/>
          <w:szCs w:val="22"/>
          <w:lang w:val="sr-Latn-ME"/>
        </w:rPr>
        <w:t xml:space="preserve"> </w:t>
      </w:r>
      <w:r w:rsidR="00093EF6" w:rsidRPr="001B3E42">
        <w:rPr>
          <w:rFonts w:ascii="Times New Roman" w:hAnsi="Times New Roman" w:cs="Times New Roman"/>
          <w:color w:val="auto"/>
          <w:sz w:val="22"/>
          <w:szCs w:val="22"/>
          <w:lang w:val="sr-Latn-ME"/>
        </w:rPr>
        <w:t xml:space="preserve">kortikosteroide i imunomodulatore, ili u slučajevima nepodnošenja ili kod kojih postoje kontraindikacije </w:t>
      </w:r>
      <w:r w:rsidR="00A12BDC" w:rsidRPr="001B3E42">
        <w:rPr>
          <w:rFonts w:ascii="Times New Roman" w:hAnsi="Times New Roman" w:cs="Times New Roman"/>
          <w:color w:val="auto"/>
          <w:sz w:val="22"/>
          <w:szCs w:val="22"/>
          <w:lang w:val="sr-Latn-ME"/>
        </w:rPr>
        <w:t xml:space="preserve">za </w:t>
      </w:r>
      <w:r w:rsidR="00093EF6" w:rsidRPr="001B3E42">
        <w:rPr>
          <w:rFonts w:ascii="Times New Roman" w:hAnsi="Times New Roman" w:cs="Times New Roman"/>
          <w:color w:val="auto"/>
          <w:sz w:val="22"/>
          <w:szCs w:val="22"/>
          <w:lang w:val="sr-Latn-ME"/>
        </w:rPr>
        <w:t>prethodno naveden</w:t>
      </w:r>
      <w:r w:rsidR="00A12BDC" w:rsidRPr="001B3E42">
        <w:rPr>
          <w:rFonts w:ascii="Times New Roman" w:hAnsi="Times New Roman" w:cs="Times New Roman"/>
          <w:color w:val="auto"/>
          <w:sz w:val="22"/>
          <w:szCs w:val="22"/>
          <w:lang w:val="sr-Latn-ME"/>
        </w:rPr>
        <w:t>e</w:t>
      </w:r>
      <w:r w:rsidR="00093EF6" w:rsidRPr="001B3E42">
        <w:rPr>
          <w:rFonts w:ascii="Times New Roman" w:hAnsi="Times New Roman" w:cs="Times New Roman"/>
          <w:color w:val="auto"/>
          <w:sz w:val="22"/>
          <w:szCs w:val="22"/>
          <w:lang w:val="sr-Latn-ME"/>
        </w:rPr>
        <w:t xml:space="preserve"> terapij</w:t>
      </w:r>
      <w:r w:rsidR="00A12BDC" w:rsidRPr="001B3E42">
        <w:rPr>
          <w:rFonts w:ascii="Times New Roman" w:hAnsi="Times New Roman" w:cs="Times New Roman"/>
          <w:color w:val="auto"/>
          <w:sz w:val="22"/>
          <w:szCs w:val="22"/>
          <w:lang w:val="sr-Latn-ME"/>
        </w:rPr>
        <w:t>e</w:t>
      </w:r>
      <w:r w:rsidR="00093EF6" w:rsidRPr="001B3E42">
        <w:rPr>
          <w:rFonts w:ascii="Times New Roman" w:hAnsi="Times New Roman" w:cs="Times New Roman"/>
          <w:color w:val="auto"/>
          <w:sz w:val="22"/>
          <w:szCs w:val="22"/>
          <w:lang w:val="sr-Latn-ME"/>
        </w:rPr>
        <w:t>.</w:t>
      </w:r>
    </w:p>
    <w:p w:rsidR="00093EF6" w:rsidRPr="001B3E42" w:rsidRDefault="00093EF6" w:rsidP="00093EF6">
      <w:pPr>
        <w:tabs>
          <w:tab w:val="left" w:pos="1230"/>
        </w:tabs>
        <w:rPr>
          <w:bCs/>
          <w:sz w:val="22"/>
          <w:szCs w:val="22"/>
        </w:rPr>
      </w:pPr>
    </w:p>
    <w:p w:rsidR="00411B4B" w:rsidRPr="001B3E42" w:rsidRDefault="00411B4B" w:rsidP="00480FB1">
      <w:pPr>
        <w:tabs>
          <w:tab w:val="left" w:pos="540"/>
          <w:tab w:val="left" w:pos="569"/>
        </w:tabs>
        <w:rPr>
          <w:b/>
          <w:bCs/>
          <w:sz w:val="22"/>
          <w:szCs w:val="22"/>
        </w:rPr>
      </w:pPr>
      <w:r w:rsidRPr="001B3E42">
        <w:rPr>
          <w:b/>
          <w:bCs/>
          <w:sz w:val="22"/>
          <w:szCs w:val="22"/>
        </w:rPr>
        <w:t xml:space="preserve">4.2. </w:t>
      </w:r>
      <w:r w:rsidR="00480FB1" w:rsidRPr="001B3E42">
        <w:rPr>
          <w:b/>
          <w:bCs/>
          <w:sz w:val="22"/>
          <w:szCs w:val="22"/>
        </w:rPr>
        <w:tab/>
      </w:r>
      <w:r w:rsidRPr="001B3E42">
        <w:rPr>
          <w:b/>
          <w:bCs/>
          <w:sz w:val="22"/>
          <w:szCs w:val="22"/>
        </w:rPr>
        <w:t>Doziranje i način primjene</w:t>
      </w:r>
    </w:p>
    <w:p w:rsidR="0072020E" w:rsidRPr="001B3E42" w:rsidRDefault="00A3115F" w:rsidP="00A3115F">
      <w:pPr>
        <w:tabs>
          <w:tab w:val="left" w:pos="2388"/>
        </w:tabs>
        <w:rPr>
          <w:bCs/>
          <w:sz w:val="22"/>
          <w:szCs w:val="22"/>
        </w:rPr>
      </w:pPr>
      <w:r w:rsidRPr="001B3E42">
        <w:rPr>
          <w:bCs/>
          <w:sz w:val="22"/>
          <w:szCs w:val="22"/>
        </w:rPr>
        <w:tab/>
      </w:r>
    </w:p>
    <w:p w:rsidR="00A3115F" w:rsidRPr="001B3E42" w:rsidRDefault="00A3115F" w:rsidP="00A3115F">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Liječenje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trebaju započeti i nadzirati ljekari specijalisti s iskustvom u dijagnostici i liječenju </w:t>
      </w:r>
      <w:r w:rsidRPr="001B3E42">
        <w:rPr>
          <w:rFonts w:ascii="Times New Roman" w:hAnsi="Times New Roman" w:cs="Times New Roman"/>
          <w:iCs/>
          <w:color w:val="auto"/>
          <w:sz w:val="22"/>
          <w:szCs w:val="22"/>
          <w:lang w:val="sr-Latn-ME"/>
        </w:rPr>
        <w:t>po</w:t>
      </w:r>
      <w:r w:rsidR="000B3C88" w:rsidRPr="001B3E42">
        <w:rPr>
          <w:rFonts w:ascii="Times New Roman" w:hAnsi="Times New Roman" w:cs="Times New Roman"/>
          <w:iCs/>
          <w:color w:val="auto"/>
          <w:sz w:val="22"/>
          <w:szCs w:val="22"/>
          <w:lang w:val="sr-Latn-ME"/>
        </w:rPr>
        <w:t>l</w:t>
      </w:r>
      <w:r w:rsidRPr="001B3E42">
        <w:rPr>
          <w:rFonts w:ascii="Times New Roman" w:hAnsi="Times New Roman" w:cs="Times New Roman"/>
          <w:iCs/>
          <w:color w:val="auto"/>
          <w:sz w:val="22"/>
          <w:szCs w:val="22"/>
          <w:lang w:val="sr-Latn-ME"/>
        </w:rPr>
        <w:t>iartikularnog juvenilnog idiopatskog artritisa</w:t>
      </w:r>
      <w:r w:rsidR="001F0303" w:rsidRPr="001B3E42">
        <w:rPr>
          <w:rFonts w:ascii="Times New Roman" w:hAnsi="Times New Roman" w:cs="Times New Roman"/>
          <w:color w:val="auto"/>
          <w:sz w:val="22"/>
          <w:szCs w:val="22"/>
          <w:lang w:val="sr-Latn-ME"/>
        </w:rPr>
        <w:t>. Pacijentima</w:t>
      </w:r>
      <w:r w:rsidRPr="001B3E42">
        <w:rPr>
          <w:rFonts w:ascii="Times New Roman" w:hAnsi="Times New Roman" w:cs="Times New Roman"/>
          <w:color w:val="auto"/>
          <w:sz w:val="22"/>
          <w:szCs w:val="22"/>
          <w:lang w:val="sr-Latn-ME"/>
        </w:rPr>
        <w:t xml:space="preserve"> koji se liječe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001F0303" w:rsidRPr="001B3E42">
        <w:rPr>
          <w:rFonts w:ascii="Times New Roman" w:hAnsi="Times New Roman" w:cs="Times New Roman"/>
          <w:color w:val="auto"/>
          <w:sz w:val="22"/>
          <w:szCs w:val="22"/>
          <w:lang w:val="sr-Latn-ME"/>
        </w:rPr>
        <w:t xml:space="preserve"> treba dati posebnu</w:t>
      </w:r>
      <w:r w:rsidRPr="001B3E42">
        <w:rPr>
          <w:rFonts w:ascii="Times New Roman" w:hAnsi="Times New Roman" w:cs="Times New Roman"/>
          <w:color w:val="auto"/>
          <w:sz w:val="22"/>
          <w:szCs w:val="22"/>
          <w:lang w:val="sr-Latn-ME"/>
        </w:rPr>
        <w:t xml:space="preserve"> knjižicu </w:t>
      </w:r>
      <w:r w:rsidR="001F0303" w:rsidRPr="001B3E42">
        <w:rPr>
          <w:rFonts w:ascii="Times New Roman" w:hAnsi="Times New Roman" w:cs="Times New Roman"/>
          <w:color w:val="auto"/>
          <w:sz w:val="22"/>
          <w:szCs w:val="22"/>
          <w:lang w:val="sr-Latn-ME"/>
        </w:rPr>
        <w:t xml:space="preserve">za pacijente </w:t>
      </w:r>
      <w:r w:rsidRPr="001B3E42">
        <w:rPr>
          <w:rFonts w:ascii="Times New Roman" w:hAnsi="Times New Roman" w:cs="Times New Roman"/>
          <w:color w:val="auto"/>
          <w:sz w:val="22"/>
          <w:szCs w:val="22"/>
          <w:lang w:val="sr-Latn-ME"/>
        </w:rPr>
        <w:t>sa upozorenjima.</w:t>
      </w:r>
    </w:p>
    <w:p w:rsidR="00A3115F" w:rsidRPr="001B3E42" w:rsidRDefault="00A3115F" w:rsidP="00A3115F">
      <w:pPr>
        <w:pStyle w:val="Default"/>
        <w:jc w:val="both"/>
        <w:rPr>
          <w:rFonts w:ascii="Times New Roman" w:hAnsi="Times New Roman" w:cs="Times New Roman"/>
          <w:color w:val="auto"/>
          <w:sz w:val="22"/>
          <w:szCs w:val="22"/>
          <w:lang w:val="sr-Latn-ME"/>
        </w:rPr>
      </w:pPr>
    </w:p>
    <w:p w:rsidR="00A3115F" w:rsidRPr="001B3E42" w:rsidRDefault="00A3115F" w:rsidP="00A3115F">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Nakon odgovarajuće obuke o tehnici u</w:t>
      </w:r>
      <w:r w:rsidR="001F0303" w:rsidRPr="001B3E42">
        <w:rPr>
          <w:rFonts w:ascii="Times New Roman" w:hAnsi="Times New Roman" w:cs="Times New Roman"/>
          <w:color w:val="auto"/>
          <w:sz w:val="22"/>
          <w:szCs w:val="22"/>
          <w:lang w:val="sr-Latn-ME"/>
        </w:rPr>
        <w:t>brizgavanja injekcija, pacijenti</w:t>
      </w:r>
      <w:r w:rsidRPr="001B3E42">
        <w:rPr>
          <w:rFonts w:ascii="Times New Roman" w:hAnsi="Times New Roman" w:cs="Times New Roman"/>
          <w:color w:val="auto"/>
          <w:sz w:val="22"/>
          <w:szCs w:val="22"/>
          <w:lang w:val="sr-Latn-ME"/>
        </w:rPr>
        <w:t xml:space="preserve"> mogu sami sebi davati injekcije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ako njihov ljekar procijeni da je to moguće </w:t>
      </w:r>
      <w:r w:rsidR="000B3C88" w:rsidRPr="001B3E42">
        <w:rPr>
          <w:rFonts w:ascii="Times New Roman" w:hAnsi="Times New Roman" w:cs="Times New Roman"/>
          <w:color w:val="auto"/>
          <w:sz w:val="22"/>
          <w:szCs w:val="22"/>
          <w:lang w:val="sr-Latn-ME"/>
        </w:rPr>
        <w:t>s</w:t>
      </w:r>
      <w:r w:rsidRPr="001B3E42">
        <w:rPr>
          <w:rFonts w:ascii="Times New Roman" w:hAnsi="Times New Roman" w:cs="Times New Roman"/>
          <w:color w:val="auto"/>
          <w:sz w:val="22"/>
          <w:szCs w:val="22"/>
          <w:lang w:val="sr-Latn-ME"/>
        </w:rPr>
        <w:t>provesti</w:t>
      </w:r>
      <w:r w:rsidR="000B3C88" w:rsidRPr="001B3E42">
        <w:rPr>
          <w:rFonts w:ascii="Times New Roman" w:hAnsi="Times New Roman" w:cs="Times New Roman"/>
          <w:color w:val="auto"/>
          <w:sz w:val="22"/>
          <w:szCs w:val="22"/>
          <w:lang w:val="sr-Latn-ME"/>
        </w:rPr>
        <w:t>,</w:t>
      </w:r>
      <w:r w:rsidRPr="001B3E42">
        <w:rPr>
          <w:rFonts w:ascii="Times New Roman" w:hAnsi="Times New Roman" w:cs="Times New Roman"/>
          <w:color w:val="auto"/>
          <w:sz w:val="22"/>
          <w:szCs w:val="22"/>
          <w:lang w:val="sr-Latn-ME"/>
        </w:rPr>
        <w:t xml:space="preserve"> uz medicinsko praćenje po potrebi.</w:t>
      </w:r>
    </w:p>
    <w:p w:rsidR="00A3115F" w:rsidRPr="001B3E42" w:rsidRDefault="00A3115F" w:rsidP="00A3115F">
      <w:pPr>
        <w:pStyle w:val="Default"/>
        <w:jc w:val="both"/>
        <w:rPr>
          <w:rFonts w:ascii="Times New Roman" w:hAnsi="Times New Roman" w:cs="Times New Roman"/>
          <w:color w:val="auto"/>
          <w:sz w:val="22"/>
          <w:szCs w:val="22"/>
          <w:lang w:val="sr-Latn-ME"/>
        </w:rPr>
      </w:pPr>
    </w:p>
    <w:p w:rsidR="00A3115F" w:rsidRPr="001B3E42" w:rsidRDefault="00A3115F" w:rsidP="00A3115F">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u w:val="single"/>
          <w:lang w:val="sr-Latn-ME"/>
        </w:rPr>
        <w:lastRenderedPageBreak/>
        <w:t>Pedijatrijska populacija</w:t>
      </w:r>
    </w:p>
    <w:p w:rsidR="00A3115F" w:rsidRPr="001B3E42" w:rsidRDefault="00A3115F" w:rsidP="00A3115F">
      <w:pPr>
        <w:pStyle w:val="Default"/>
        <w:jc w:val="both"/>
        <w:rPr>
          <w:rFonts w:ascii="Times New Roman" w:hAnsi="Times New Roman" w:cs="Times New Roman"/>
          <w:sz w:val="22"/>
          <w:szCs w:val="22"/>
          <w:u w:val="single"/>
          <w:lang w:val="sr-Latn-ME"/>
        </w:rPr>
      </w:pPr>
      <w:bookmarkStart w:id="0" w:name="OLE_LINK1"/>
      <w:bookmarkStart w:id="1" w:name="OLE_LINK2"/>
    </w:p>
    <w:bookmarkEnd w:id="0"/>
    <w:bookmarkEnd w:id="1"/>
    <w:p w:rsidR="00A3115F" w:rsidRPr="001B3E42" w:rsidRDefault="00A3115F" w:rsidP="00A3115F">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u w:val="single"/>
          <w:lang w:val="sr-Latn-ME"/>
        </w:rPr>
        <w:t>Poliartikularni juvenilni idiopatski artritis u dobi 2 do 12 godina:</w:t>
      </w:r>
    </w:p>
    <w:p w:rsidR="00A3115F" w:rsidRPr="001B3E42" w:rsidRDefault="00A3115F" w:rsidP="00A3115F">
      <w:pPr>
        <w:pStyle w:val="Default"/>
        <w:jc w:val="both"/>
        <w:rPr>
          <w:rFonts w:ascii="Times New Roman" w:hAnsi="Times New Roman" w:cs="Times New Roman"/>
          <w:sz w:val="22"/>
          <w:szCs w:val="22"/>
          <w:lang w:val="sr-Latn-ME"/>
        </w:rPr>
      </w:pPr>
    </w:p>
    <w:p w:rsidR="00A3115F" w:rsidRPr="001B3E42" w:rsidRDefault="00A3115F" w:rsidP="00A3115F">
      <w:pPr>
        <w:jc w:val="both"/>
        <w:rPr>
          <w:sz w:val="22"/>
          <w:szCs w:val="22"/>
        </w:rPr>
      </w:pPr>
      <w:r w:rsidRPr="001B3E42">
        <w:rPr>
          <w:sz w:val="22"/>
          <w:szCs w:val="22"/>
        </w:rPr>
        <w:t xml:space="preserve">Preporučena doza </w:t>
      </w:r>
      <w:r w:rsidR="00B11AAE" w:rsidRPr="001B3E42">
        <w:rPr>
          <w:sz w:val="22"/>
          <w:szCs w:val="22"/>
        </w:rPr>
        <w:t xml:space="preserve">lijeka </w:t>
      </w:r>
      <w:r w:rsidRPr="001B3E42">
        <w:rPr>
          <w:sz w:val="22"/>
          <w:szCs w:val="22"/>
        </w:rPr>
        <w:t>Humir</w:t>
      </w:r>
      <w:r w:rsidR="00B11AAE" w:rsidRPr="001B3E42">
        <w:rPr>
          <w:sz w:val="22"/>
          <w:szCs w:val="22"/>
        </w:rPr>
        <w:t>a</w:t>
      </w:r>
      <w:r w:rsidRPr="001B3E42">
        <w:rPr>
          <w:sz w:val="22"/>
          <w:szCs w:val="22"/>
        </w:rPr>
        <w:t xml:space="preserve"> </w:t>
      </w:r>
      <w:r w:rsidR="005B30A8" w:rsidRPr="001B3E42">
        <w:rPr>
          <w:sz w:val="22"/>
          <w:szCs w:val="22"/>
        </w:rPr>
        <w:t>za pacijente</w:t>
      </w:r>
      <w:r w:rsidRPr="001B3E42">
        <w:rPr>
          <w:sz w:val="22"/>
          <w:szCs w:val="22"/>
        </w:rPr>
        <w:t xml:space="preserve"> s poliartikularnim juvenilnim idiopatskim artritisom u dobi 2-12 godina je 24 mg/m² tjelesne površine do maksimalne pojedinačne doze od 20 mg adalimumaba (za pacijente u dobi od 2</w:t>
      </w:r>
      <w:r w:rsidR="005B30A8" w:rsidRPr="001B3E42">
        <w:rPr>
          <w:sz w:val="22"/>
          <w:szCs w:val="22"/>
        </w:rPr>
        <w:t xml:space="preserve"> </w:t>
      </w:r>
      <w:r w:rsidRPr="001B3E42">
        <w:rPr>
          <w:sz w:val="22"/>
          <w:szCs w:val="22"/>
        </w:rPr>
        <w:t>- &lt;</w:t>
      </w:r>
      <w:r w:rsidR="005B30A8" w:rsidRPr="001B3E42">
        <w:rPr>
          <w:sz w:val="22"/>
          <w:szCs w:val="22"/>
        </w:rPr>
        <w:t xml:space="preserve"> </w:t>
      </w:r>
      <w:r w:rsidRPr="001B3E42">
        <w:rPr>
          <w:sz w:val="22"/>
          <w:szCs w:val="22"/>
        </w:rPr>
        <w:t xml:space="preserve">4) do maksimalne pojedinačne doze od 40 mg adalimumaba (za pacijente u dobi od 4-12) svake druge </w:t>
      </w:r>
      <w:r w:rsidR="009065F5" w:rsidRPr="001B3E42">
        <w:rPr>
          <w:sz w:val="22"/>
          <w:szCs w:val="22"/>
        </w:rPr>
        <w:t>nedjelje sup</w:t>
      </w:r>
      <w:r w:rsidRPr="001B3E42">
        <w:rPr>
          <w:sz w:val="22"/>
          <w:szCs w:val="22"/>
        </w:rPr>
        <w:t xml:space="preserve">kutanom injekcijom. Zapremina za </w:t>
      </w:r>
      <w:r w:rsidR="005B30A8" w:rsidRPr="001B3E42">
        <w:rPr>
          <w:sz w:val="22"/>
          <w:szCs w:val="22"/>
        </w:rPr>
        <w:t>injekciju se određuje na osnovu visine i težine pacijenata</w:t>
      </w:r>
      <w:r w:rsidRPr="001B3E42">
        <w:rPr>
          <w:sz w:val="22"/>
          <w:szCs w:val="22"/>
        </w:rPr>
        <w:t xml:space="preserve"> (Tabela 1).  </w:t>
      </w:r>
    </w:p>
    <w:p w:rsidR="00A3115F" w:rsidRPr="001B3E42" w:rsidRDefault="00A3115F" w:rsidP="00A3115F">
      <w:pPr>
        <w:ind w:left="567" w:hanging="567"/>
        <w:jc w:val="both"/>
        <w:rPr>
          <w:sz w:val="22"/>
          <w:szCs w:val="22"/>
        </w:rPr>
      </w:pPr>
    </w:p>
    <w:p w:rsidR="00A3115F" w:rsidRPr="001B3E42" w:rsidRDefault="00A3115F" w:rsidP="00BD53A4">
      <w:pPr>
        <w:ind w:left="567" w:hanging="567"/>
        <w:jc w:val="center"/>
        <w:rPr>
          <w:b/>
          <w:sz w:val="22"/>
          <w:szCs w:val="22"/>
        </w:rPr>
      </w:pPr>
      <w:r w:rsidRPr="001B3E42">
        <w:rPr>
          <w:b/>
          <w:sz w:val="22"/>
          <w:szCs w:val="22"/>
        </w:rPr>
        <w:t xml:space="preserve">Tabela1. Doza </w:t>
      </w:r>
      <w:r w:rsidR="00B11AAE" w:rsidRPr="001B3E42">
        <w:rPr>
          <w:sz w:val="22"/>
          <w:szCs w:val="22"/>
        </w:rPr>
        <w:t xml:space="preserve">lijeka </w:t>
      </w:r>
      <w:r w:rsidRPr="001B3E42">
        <w:rPr>
          <w:b/>
          <w:sz w:val="22"/>
          <w:szCs w:val="22"/>
        </w:rPr>
        <w:t>Humir</w:t>
      </w:r>
      <w:r w:rsidR="00B11AAE" w:rsidRPr="001B3E42">
        <w:rPr>
          <w:b/>
          <w:sz w:val="22"/>
          <w:szCs w:val="22"/>
        </w:rPr>
        <w:t>a</w:t>
      </w:r>
      <w:r w:rsidRPr="001B3E42">
        <w:rPr>
          <w:b/>
          <w:sz w:val="22"/>
          <w:szCs w:val="22"/>
        </w:rPr>
        <w:t xml:space="preserve"> u mililitrima (ml) prema visini i težini djeteta za poliartikularni</w:t>
      </w:r>
    </w:p>
    <w:p w:rsidR="00A3115F" w:rsidRPr="001B3E42" w:rsidRDefault="00A3115F" w:rsidP="00BD53A4">
      <w:pPr>
        <w:ind w:left="567" w:hanging="567"/>
        <w:jc w:val="center"/>
        <w:rPr>
          <w:b/>
          <w:sz w:val="22"/>
          <w:szCs w:val="22"/>
        </w:rPr>
      </w:pPr>
      <w:r w:rsidRPr="001B3E42">
        <w:rPr>
          <w:b/>
          <w:sz w:val="22"/>
          <w:szCs w:val="22"/>
        </w:rPr>
        <w:t>juvenilni idiopatski artritis</w:t>
      </w:r>
    </w:p>
    <w:p w:rsidR="00A3115F" w:rsidRPr="001B3E42" w:rsidRDefault="00A3115F" w:rsidP="00A3115F">
      <w:pPr>
        <w:ind w:left="567" w:hanging="567"/>
        <w:jc w:val="both"/>
        <w:rPr>
          <w:sz w:val="22"/>
          <w:szCs w:val="22"/>
        </w:rPr>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34"/>
        <w:gridCol w:w="633"/>
        <w:gridCol w:w="633"/>
        <w:gridCol w:w="632"/>
        <w:gridCol w:w="632"/>
        <w:gridCol w:w="632"/>
        <w:gridCol w:w="632"/>
        <w:gridCol w:w="666"/>
        <w:gridCol w:w="667"/>
        <w:gridCol w:w="667"/>
        <w:gridCol w:w="667"/>
        <w:gridCol w:w="667"/>
        <w:gridCol w:w="667"/>
      </w:tblGrid>
      <w:tr w:rsidR="00A3115F" w:rsidRPr="001B3E42" w:rsidTr="005D003D">
        <w:trPr>
          <w:trHeight w:val="247"/>
        </w:trPr>
        <w:tc>
          <w:tcPr>
            <w:tcW w:w="849" w:type="dxa"/>
            <w:vMerge w:val="restart"/>
          </w:tcPr>
          <w:p w:rsidR="00A3115F" w:rsidRPr="001B3E42" w:rsidRDefault="00A3115F" w:rsidP="005D003D">
            <w:pPr>
              <w:jc w:val="both"/>
              <w:rPr>
                <w:b/>
                <w:color w:val="000000"/>
                <w:sz w:val="22"/>
                <w:szCs w:val="22"/>
              </w:rPr>
            </w:pPr>
            <w:r w:rsidRPr="001B3E42">
              <w:rPr>
                <w:b/>
                <w:color w:val="000000"/>
                <w:sz w:val="22"/>
                <w:szCs w:val="22"/>
              </w:rPr>
              <w:t>Visina (cm)</w:t>
            </w:r>
          </w:p>
        </w:tc>
        <w:tc>
          <w:tcPr>
            <w:tcW w:w="8428" w:type="dxa"/>
            <w:gridSpan w:val="13"/>
          </w:tcPr>
          <w:p w:rsidR="00A3115F" w:rsidRPr="001B3E42" w:rsidRDefault="00A3115F" w:rsidP="005D003D">
            <w:pPr>
              <w:ind w:left="567" w:hanging="567"/>
              <w:jc w:val="both"/>
              <w:rPr>
                <w:b/>
                <w:color w:val="000000"/>
                <w:sz w:val="22"/>
                <w:szCs w:val="22"/>
              </w:rPr>
            </w:pPr>
            <w:r w:rsidRPr="001B3E42">
              <w:rPr>
                <w:b/>
                <w:color w:val="000000"/>
                <w:sz w:val="22"/>
                <w:szCs w:val="22"/>
              </w:rPr>
              <w:t>Ukupna tjelesna težina (kg)</w:t>
            </w:r>
          </w:p>
        </w:tc>
      </w:tr>
      <w:tr w:rsidR="00A3115F" w:rsidRPr="001B3E42" w:rsidTr="005D003D">
        <w:trPr>
          <w:trHeight w:val="148"/>
        </w:trPr>
        <w:tc>
          <w:tcPr>
            <w:tcW w:w="849" w:type="dxa"/>
            <w:vMerge/>
          </w:tcPr>
          <w:p w:rsidR="00A3115F" w:rsidRPr="001B3E42" w:rsidRDefault="00A3115F" w:rsidP="005D003D">
            <w:pPr>
              <w:ind w:left="567" w:hanging="567"/>
              <w:jc w:val="both"/>
              <w:rPr>
                <w:b/>
                <w:color w:val="000000"/>
                <w:sz w:val="22"/>
                <w:szCs w:val="22"/>
              </w:rPr>
            </w:pPr>
          </w:p>
        </w:tc>
        <w:tc>
          <w:tcPr>
            <w:tcW w:w="634" w:type="dxa"/>
          </w:tcPr>
          <w:p w:rsidR="00A3115F" w:rsidRPr="001B3E42" w:rsidRDefault="00A3115F" w:rsidP="005D003D">
            <w:pPr>
              <w:ind w:left="567" w:hanging="567"/>
              <w:jc w:val="both"/>
              <w:rPr>
                <w:b/>
                <w:color w:val="000000"/>
                <w:sz w:val="22"/>
                <w:szCs w:val="22"/>
              </w:rPr>
            </w:pPr>
            <w:r w:rsidRPr="001B3E42">
              <w:rPr>
                <w:b/>
                <w:color w:val="000000"/>
                <w:sz w:val="22"/>
                <w:szCs w:val="22"/>
              </w:rPr>
              <w:t>10</w:t>
            </w:r>
          </w:p>
        </w:tc>
        <w:tc>
          <w:tcPr>
            <w:tcW w:w="633" w:type="dxa"/>
          </w:tcPr>
          <w:p w:rsidR="00A3115F" w:rsidRPr="001B3E42" w:rsidRDefault="00A3115F" w:rsidP="005D003D">
            <w:pPr>
              <w:ind w:left="567" w:hanging="567"/>
              <w:jc w:val="both"/>
              <w:rPr>
                <w:b/>
                <w:color w:val="000000"/>
                <w:sz w:val="22"/>
                <w:szCs w:val="22"/>
              </w:rPr>
            </w:pPr>
            <w:r w:rsidRPr="001B3E42">
              <w:rPr>
                <w:b/>
                <w:color w:val="000000"/>
                <w:sz w:val="22"/>
                <w:szCs w:val="22"/>
              </w:rPr>
              <w:t>15</w:t>
            </w:r>
          </w:p>
        </w:tc>
        <w:tc>
          <w:tcPr>
            <w:tcW w:w="633" w:type="dxa"/>
          </w:tcPr>
          <w:p w:rsidR="00A3115F" w:rsidRPr="001B3E42" w:rsidRDefault="00A3115F" w:rsidP="005D003D">
            <w:pPr>
              <w:ind w:left="567" w:hanging="567"/>
              <w:jc w:val="both"/>
              <w:rPr>
                <w:b/>
                <w:color w:val="000000"/>
                <w:sz w:val="22"/>
                <w:szCs w:val="22"/>
              </w:rPr>
            </w:pPr>
            <w:r w:rsidRPr="001B3E42">
              <w:rPr>
                <w:b/>
                <w:color w:val="000000"/>
                <w:sz w:val="22"/>
                <w:szCs w:val="22"/>
              </w:rPr>
              <w:t>20</w:t>
            </w:r>
          </w:p>
        </w:tc>
        <w:tc>
          <w:tcPr>
            <w:tcW w:w="632" w:type="dxa"/>
          </w:tcPr>
          <w:p w:rsidR="00A3115F" w:rsidRPr="001B3E42" w:rsidRDefault="00A3115F" w:rsidP="005D003D">
            <w:pPr>
              <w:ind w:left="567" w:hanging="567"/>
              <w:jc w:val="both"/>
              <w:rPr>
                <w:b/>
                <w:color w:val="000000"/>
                <w:sz w:val="22"/>
                <w:szCs w:val="22"/>
              </w:rPr>
            </w:pPr>
            <w:r w:rsidRPr="001B3E42">
              <w:rPr>
                <w:b/>
                <w:color w:val="000000"/>
                <w:sz w:val="22"/>
                <w:szCs w:val="22"/>
              </w:rPr>
              <w:t>25</w:t>
            </w:r>
          </w:p>
        </w:tc>
        <w:tc>
          <w:tcPr>
            <w:tcW w:w="632"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30</w:t>
            </w:r>
          </w:p>
        </w:tc>
        <w:tc>
          <w:tcPr>
            <w:tcW w:w="632"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35</w:t>
            </w:r>
          </w:p>
        </w:tc>
        <w:tc>
          <w:tcPr>
            <w:tcW w:w="632"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40</w:t>
            </w:r>
          </w:p>
        </w:tc>
        <w:tc>
          <w:tcPr>
            <w:tcW w:w="666"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45</w:t>
            </w:r>
          </w:p>
        </w:tc>
        <w:tc>
          <w:tcPr>
            <w:tcW w:w="667"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50</w:t>
            </w:r>
          </w:p>
        </w:tc>
        <w:tc>
          <w:tcPr>
            <w:tcW w:w="667"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55</w:t>
            </w:r>
          </w:p>
        </w:tc>
        <w:tc>
          <w:tcPr>
            <w:tcW w:w="667"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60</w:t>
            </w:r>
          </w:p>
        </w:tc>
        <w:tc>
          <w:tcPr>
            <w:tcW w:w="667"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65</w:t>
            </w:r>
          </w:p>
        </w:tc>
        <w:tc>
          <w:tcPr>
            <w:tcW w:w="667" w:type="dxa"/>
            <w:tcBorders>
              <w:bottom w:val="single" w:sz="4" w:space="0" w:color="auto"/>
            </w:tcBorders>
          </w:tcPr>
          <w:p w:rsidR="00A3115F" w:rsidRPr="001B3E42" w:rsidRDefault="00A3115F" w:rsidP="005D003D">
            <w:pPr>
              <w:ind w:left="567" w:hanging="567"/>
              <w:jc w:val="both"/>
              <w:rPr>
                <w:b/>
                <w:color w:val="000000"/>
                <w:sz w:val="22"/>
                <w:szCs w:val="22"/>
              </w:rPr>
            </w:pPr>
            <w:r w:rsidRPr="001B3E42">
              <w:rPr>
                <w:b/>
                <w:color w:val="000000"/>
                <w:sz w:val="22"/>
                <w:szCs w:val="22"/>
              </w:rPr>
              <w:t>70</w:t>
            </w:r>
          </w:p>
        </w:tc>
      </w:tr>
      <w:tr w:rsidR="00A3115F" w:rsidRPr="001B3E42" w:rsidTr="005D003D">
        <w:trPr>
          <w:trHeight w:val="247"/>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80</w:t>
            </w:r>
          </w:p>
        </w:tc>
        <w:tc>
          <w:tcPr>
            <w:tcW w:w="634" w:type="dxa"/>
          </w:tcPr>
          <w:p w:rsidR="00A3115F" w:rsidRPr="001B3E42" w:rsidRDefault="00A3115F" w:rsidP="005D003D">
            <w:pPr>
              <w:ind w:left="567" w:hanging="567"/>
              <w:jc w:val="both"/>
              <w:rPr>
                <w:color w:val="000000"/>
                <w:sz w:val="22"/>
                <w:szCs w:val="22"/>
              </w:rPr>
            </w:pPr>
            <w:r w:rsidRPr="001B3E42">
              <w:rPr>
                <w:color w:val="000000"/>
                <w:sz w:val="22"/>
                <w:szCs w:val="22"/>
              </w:rPr>
              <w:t>0,2</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2" w:type="dxa"/>
            <w:shd w:val="solid" w:color="auto" w:fill="auto"/>
          </w:tcPr>
          <w:p w:rsidR="00A3115F" w:rsidRPr="001B3E42" w:rsidRDefault="00A3115F" w:rsidP="005D003D">
            <w:pPr>
              <w:ind w:left="567" w:hanging="567"/>
              <w:jc w:val="both"/>
              <w:rPr>
                <w:color w:val="000000"/>
                <w:sz w:val="22"/>
                <w:szCs w:val="22"/>
              </w:rPr>
            </w:pPr>
          </w:p>
        </w:tc>
        <w:tc>
          <w:tcPr>
            <w:tcW w:w="632" w:type="dxa"/>
            <w:shd w:val="solid" w:color="auto" w:fill="auto"/>
          </w:tcPr>
          <w:p w:rsidR="00A3115F" w:rsidRPr="001B3E42" w:rsidRDefault="00A3115F" w:rsidP="005D003D">
            <w:pPr>
              <w:ind w:left="567" w:hanging="567"/>
              <w:jc w:val="both"/>
              <w:rPr>
                <w:color w:val="000000"/>
                <w:sz w:val="22"/>
                <w:szCs w:val="22"/>
              </w:rPr>
            </w:pPr>
          </w:p>
        </w:tc>
        <w:tc>
          <w:tcPr>
            <w:tcW w:w="632"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6"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90</w:t>
            </w:r>
          </w:p>
        </w:tc>
        <w:tc>
          <w:tcPr>
            <w:tcW w:w="634" w:type="dxa"/>
          </w:tcPr>
          <w:p w:rsidR="00A3115F" w:rsidRPr="001B3E42" w:rsidRDefault="00A3115F" w:rsidP="005D003D">
            <w:pPr>
              <w:ind w:left="567" w:hanging="567"/>
              <w:jc w:val="both"/>
              <w:rPr>
                <w:color w:val="000000"/>
                <w:sz w:val="22"/>
                <w:szCs w:val="22"/>
              </w:rPr>
            </w:pPr>
            <w:r w:rsidRPr="001B3E42">
              <w:rPr>
                <w:color w:val="000000"/>
                <w:sz w:val="22"/>
                <w:szCs w:val="22"/>
              </w:rPr>
              <w:t>0,2</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shd w:val="solid" w:color="auto" w:fill="auto"/>
          </w:tcPr>
          <w:p w:rsidR="00A3115F" w:rsidRPr="001B3E42" w:rsidRDefault="00A3115F" w:rsidP="005D003D">
            <w:pPr>
              <w:ind w:left="567" w:hanging="567"/>
              <w:jc w:val="both"/>
              <w:rPr>
                <w:color w:val="000000"/>
                <w:sz w:val="22"/>
                <w:szCs w:val="22"/>
              </w:rPr>
            </w:pPr>
          </w:p>
        </w:tc>
        <w:tc>
          <w:tcPr>
            <w:tcW w:w="666" w:type="dxa"/>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100</w:t>
            </w:r>
          </w:p>
        </w:tc>
        <w:tc>
          <w:tcPr>
            <w:tcW w:w="634" w:type="dxa"/>
            <w:tcBorders>
              <w:bottom w:val="single" w:sz="4" w:space="0" w:color="auto"/>
            </w:tcBorders>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67" w:type="dxa"/>
            <w:shd w:val="solid" w:color="auto" w:fill="auto"/>
          </w:tcPr>
          <w:p w:rsidR="00A3115F" w:rsidRPr="001B3E42" w:rsidRDefault="00A3115F" w:rsidP="005D003D">
            <w:pPr>
              <w:ind w:left="567" w:hanging="567"/>
              <w:jc w:val="both"/>
              <w:rPr>
                <w:color w:val="000000"/>
                <w:sz w:val="22"/>
                <w:szCs w:val="22"/>
              </w:rPr>
            </w:pPr>
          </w:p>
        </w:tc>
        <w:tc>
          <w:tcPr>
            <w:tcW w:w="667" w:type="dxa"/>
            <w:shd w:val="solid" w:color="auto" w:fill="auto"/>
          </w:tcPr>
          <w:p w:rsidR="00A3115F" w:rsidRPr="001B3E42" w:rsidRDefault="00A3115F" w:rsidP="005D003D">
            <w:pPr>
              <w:ind w:left="567" w:hanging="567"/>
              <w:jc w:val="both"/>
              <w:rPr>
                <w:color w:val="000000"/>
                <w:sz w:val="22"/>
                <w:szCs w:val="22"/>
              </w:rPr>
            </w:pPr>
          </w:p>
        </w:tc>
        <w:tc>
          <w:tcPr>
            <w:tcW w:w="667" w:type="dxa"/>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67"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r>
      <w:tr w:rsidR="00A3115F" w:rsidRPr="001B3E42" w:rsidTr="005D003D">
        <w:trPr>
          <w:trHeight w:val="247"/>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110</w:t>
            </w:r>
          </w:p>
        </w:tc>
        <w:tc>
          <w:tcPr>
            <w:tcW w:w="634" w:type="dxa"/>
            <w:tcBorders>
              <w:bottom w:val="single" w:sz="4" w:space="0" w:color="auto"/>
            </w:tcBorders>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tcBorders>
              <w:bottom w:val="single" w:sz="4" w:space="0" w:color="auto"/>
            </w:tcBorders>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shd w:val="solid" w:color="auto" w:fill="auto"/>
          </w:tcPr>
          <w:p w:rsidR="00A3115F" w:rsidRPr="001B3E42" w:rsidRDefault="00A3115F" w:rsidP="005D003D">
            <w:pPr>
              <w:ind w:left="567" w:hanging="567"/>
              <w:jc w:val="both"/>
              <w:rPr>
                <w:color w:val="000000"/>
                <w:sz w:val="22"/>
                <w:szCs w:val="22"/>
              </w:rPr>
            </w:pPr>
          </w:p>
        </w:tc>
        <w:tc>
          <w:tcPr>
            <w:tcW w:w="667" w:type="dxa"/>
            <w:shd w:val="solid" w:color="auto" w:fill="auto"/>
          </w:tcPr>
          <w:p w:rsidR="00A3115F" w:rsidRPr="001B3E42" w:rsidRDefault="00A3115F" w:rsidP="005D003D">
            <w:pPr>
              <w:ind w:left="567" w:hanging="567"/>
              <w:jc w:val="both"/>
              <w:rPr>
                <w:color w:val="000000"/>
                <w:sz w:val="22"/>
                <w:szCs w:val="22"/>
              </w:rPr>
            </w:pP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120</w:t>
            </w:r>
          </w:p>
        </w:tc>
        <w:tc>
          <w:tcPr>
            <w:tcW w:w="634"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0,3</w:t>
            </w:r>
          </w:p>
        </w:tc>
        <w:tc>
          <w:tcPr>
            <w:tcW w:w="633"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3"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130</w:t>
            </w:r>
          </w:p>
        </w:tc>
        <w:tc>
          <w:tcPr>
            <w:tcW w:w="634"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33" w:type="dxa"/>
            <w:tcBorders>
              <w:bottom w:val="single" w:sz="4" w:space="0" w:color="auto"/>
            </w:tcBorders>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3" w:type="dxa"/>
            <w:tcBorders>
              <w:bottom w:val="single" w:sz="4" w:space="0" w:color="auto"/>
            </w:tcBorders>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r>
      <w:tr w:rsidR="00A3115F" w:rsidRPr="001B3E42" w:rsidTr="005D003D">
        <w:trPr>
          <w:trHeight w:val="247"/>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140</w:t>
            </w:r>
          </w:p>
        </w:tc>
        <w:tc>
          <w:tcPr>
            <w:tcW w:w="634" w:type="dxa"/>
            <w:shd w:val="solid" w:color="auto" w:fill="auto"/>
          </w:tcPr>
          <w:p w:rsidR="00A3115F" w:rsidRPr="001B3E42" w:rsidRDefault="00A3115F" w:rsidP="005D003D">
            <w:pPr>
              <w:ind w:left="567" w:hanging="567"/>
              <w:jc w:val="both"/>
              <w:rPr>
                <w:color w:val="000000"/>
                <w:sz w:val="22"/>
                <w:szCs w:val="22"/>
              </w:rPr>
            </w:pPr>
          </w:p>
        </w:tc>
        <w:tc>
          <w:tcPr>
            <w:tcW w:w="633"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3"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0,4</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150</w:t>
            </w:r>
          </w:p>
        </w:tc>
        <w:tc>
          <w:tcPr>
            <w:tcW w:w="634"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33" w:type="dxa"/>
            <w:tcBorders>
              <w:bottom w:val="single" w:sz="4" w:space="0" w:color="auto"/>
            </w:tcBorders>
            <w:shd w:val="solid" w:color="auto" w:fill="auto"/>
          </w:tcPr>
          <w:p w:rsidR="00A3115F" w:rsidRPr="001B3E42" w:rsidRDefault="00A3115F" w:rsidP="005D003D">
            <w:pPr>
              <w:ind w:left="567" w:hanging="567"/>
              <w:jc w:val="both"/>
              <w:rPr>
                <w:color w:val="000000"/>
                <w:sz w:val="22"/>
                <w:szCs w:val="22"/>
              </w:rPr>
            </w:pPr>
          </w:p>
        </w:tc>
        <w:tc>
          <w:tcPr>
            <w:tcW w:w="633" w:type="dxa"/>
            <w:tcBorders>
              <w:bottom w:val="single" w:sz="4" w:space="0" w:color="auto"/>
            </w:tcBorders>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Borders>
              <w:bottom w:val="single" w:sz="4" w:space="0" w:color="auto"/>
            </w:tcBorders>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160</w:t>
            </w:r>
          </w:p>
        </w:tc>
        <w:tc>
          <w:tcPr>
            <w:tcW w:w="634" w:type="dxa"/>
            <w:shd w:val="solid" w:color="auto" w:fill="auto"/>
          </w:tcPr>
          <w:p w:rsidR="00A3115F" w:rsidRPr="001B3E42" w:rsidRDefault="00A3115F" w:rsidP="005D003D">
            <w:pPr>
              <w:ind w:left="567" w:hanging="567"/>
              <w:jc w:val="both"/>
              <w:rPr>
                <w:color w:val="000000"/>
                <w:sz w:val="22"/>
                <w:szCs w:val="22"/>
              </w:rPr>
            </w:pPr>
          </w:p>
        </w:tc>
        <w:tc>
          <w:tcPr>
            <w:tcW w:w="633" w:type="dxa"/>
            <w:shd w:val="solid" w:color="auto" w:fill="auto"/>
          </w:tcPr>
          <w:p w:rsidR="00A3115F" w:rsidRPr="001B3E42" w:rsidRDefault="00A3115F" w:rsidP="005D003D">
            <w:pPr>
              <w:ind w:left="567" w:hanging="567"/>
              <w:jc w:val="both"/>
              <w:rPr>
                <w:color w:val="000000"/>
                <w:sz w:val="22"/>
                <w:szCs w:val="22"/>
              </w:rPr>
            </w:pPr>
          </w:p>
        </w:tc>
        <w:tc>
          <w:tcPr>
            <w:tcW w:w="633"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0,5</w:t>
            </w:r>
          </w:p>
        </w:tc>
        <w:tc>
          <w:tcPr>
            <w:tcW w:w="632" w:type="dxa"/>
            <w:tcBorders>
              <w:bottom w:val="single" w:sz="4" w:space="0" w:color="auto"/>
            </w:tcBorders>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170</w:t>
            </w:r>
          </w:p>
        </w:tc>
        <w:tc>
          <w:tcPr>
            <w:tcW w:w="634" w:type="dxa"/>
            <w:shd w:val="solid" w:color="auto" w:fill="auto"/>
          </w:tcPr>
          <w:p w:rsidR="00A3115F" w:rsidRPr="001B3E42" w:rsidRDefault="00A3115F" w:rsidP="005D003D">
            <w:pPr>
              <w:ind w:left="567" w:hanging="567"/>
              <w:jc w:val="both"/>
              <w:rPr>
                <w:color w:val="000000"/>
                <w:sz w:val="22"/>
                <w:szCs w:val="22"/>
              </w:rPr>
            </w:pPr>
          </w:p>
        </w:tc>
        <w:tc>
          <w:tcPr>
            <w:tcW w:w="633" w:type="dxa"/>
            <w:shd w:val="solid" w:color="auto" w:fill="auto"/>
          </w:tcPr>
          <w:p w:rsidR="00A3115F" w:rsidRPr="001B3E42" w:rsidRDefault="00A3115F" w:rsidP="005D003D">
            <w:pPr>
              <w:ind w:left="567" w:hanging="567"/>
              <w:jc w:val="both"/>
              <w:rPr>
                <w:color w:val="000000"/>
                <w:sz w:val="22"/>
                <w:szCs w:val="22"/>
              </w:rPr>
            </w:pPr>
          </w:p>
        </w:tc>
        <w:tc>
          <w:tcPr>
            <w:tcW w:w="633" w:type="dxa"/>
            <w:shd w:val="solid" w:color="auto" w:fill="auto"/>
          </w:tcPr>
          <w:p w:rsidR="00A3115F" w:rsidRPr="001B3E42" w:rsidRDefault="00A3115F" w:rsidP="005D003D">
            <w:pPr>
              <w:ind w:left="567" w:hanging="567"/>
              <w:jc w:val="both"/>
              <w:rPr>
                <w:color w:val="000000"/>
                <w:sz w:val="22"/>
                <w:szCs w:val="22"/>
              </w:rPr>
            </w:pPr>
          </w:p>
        </w:tc>
        <w:tc>
          <w:tcPr>
            <w:tcW w:w="632"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Borders>
              <w:bottom w:val="single" w:sz="4" w:space="0" w:color="auto"/>
            </w:tcBorders>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Borders>
              <w:bottom w:val="single" w:sz="4" w:space="0" w:color="auto"/>
            </w:tcBorders>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r>
      <w:tr w:rsidR="00A3115F" w:rsidRPr="001B3E42" w:rsidTr="005D003D">
        <w:trPr>
          <w:trHeight w:val="263"/>
        </w:trPr>
        <w:tc>
          <w:tcPr>
            <w:tcW w:w="849" w:type="dxa"/>
          </w:tcPr>
          <w:p w:rsidR="00A3115F" w:rsidRPr="001B3E42" w:rsidRDefault="00A3115F" w:rsidP="005D003D">
            <w:pPr>
              <w:ind w:left="567" w:hanging="567"/>
              <w:jc w:val="both"/>
              <w:rPr>
                <w:b/>
                <w:color w:val="000000"/>
                <w:sz w:val="22"/>
                <w:szCs w:val="22"/>
              </w:rPr>
            </w:pPr>
            <w:r w:rsidRPr="001B3E42">
              <w:rPr>
                <w:b/>
                <w:color w:val="000000"/>
                <w:sz w:val="22"/>
                <w:szCs w:val="22"/>
              </w:rPr>
              <w:t>180</w:t>
            </w:r>
          </w:p>
        </w:tc>
        <w:tc>
          <w:tcPr>
            <w:tcW w:w="634" w:type="dxa"/>
            <w:shd w:val="solid" w:color="auto" w:fill="auto"/>
          </w:tcPr>
          <w:p w:rsidR="00A3115F" w:rsidRPr="001B3E42" w:rsidRDefault="00A3115F" w:rsidP="005D003D">
            <w:pPr>
              <w:ind w:left="567" w:hanging="567"/>
              <w:jc w:val="both"/>
              <w:rPr>
                <w:color w:val="000000"/>
                <w:sz w:val="22"/>
                <w:szCs w:val="22"/>
              </w:rPr>
            </w:pPr>
          </w:p>
        </w:tc>
        <w:tc>
          <w:tcPr>
            <w:tcW w:w="633" w:type="dxa"/>
            <w:shd w:val="solid" w:color="auto" w:fill="auto"/>
          </w:tcPr>
          <w:p w:rsidR="00A3115F" w:rsidRPr="001B3E42" w:rsidRDefault="00A3115F" w:rsidP="005D003D">
            <w:pPr>
              <w:ind w:left="567" w:hanging="567"/>
              <w:jc w:val="both"/>
              <w:rPr>
                <w:color w:val="000000"/>
                <w:sz w:val="22"/>
                <w:szCs w:val="22"/>
              </w:rPr>
            </w:pPr>
          </w:p>
        </w:tc>
        <w:tc>
          <w:tcPr>
            <w:tcW w:w="633" w:type="dxa"/>
            <w:shd w:val="solid" w:color="auto" w:fill="auto"/>
          </w:tcPr>
          <w:p w:rsidR="00A3115F" w:rsidRPr="001B3E42" w:rsidRDefault="00A3115F" w:rsidP="005D003D">
            <w:pPr>
              <w:ind w:left="567" w:hanging="567"/>
              <w:jc w:val="both"/>
              <w:rPr>
                <w:color w:val="000000"/>
                <w:sz w:val="22"/>
                <w:szCs w:val="22"/>
              </w:rPr>
            </w:pPr>
          </w:p>
        </w:tc>
        <w:tc>
          <w:tcPr>
            <w:tcW w:w="632" w:type="dxa"/>
            <w:shd w:val="solid" w:color="auto" w:fill="auto"/>
          </w:tcPr>
          <w:p w:rsidR="00A3115F" w:rsidRPr="001B3E42" w:rsidRDefault="00A3115F" w:rsidP="005D003D">
            <w:pPr>
              <w:ind w:left="567" w:hanging="567"/>
              <w:jc w:val="both"/>
              <w:rPr>
                <w:color w:val="000000"/>
                <w:sz w:val="22"/>
                <w:szCs w:val="22"/>
              </w:rPr>
            </w:pPr>
          </w:p>
        </w:tc>
        <w:tc>
          <w:tcPr>
            <w:tcW w:w="632"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0,6</w:t>
            </w:r>
          </w:p>
        </w:tc>
        <w:tc>
          <w:tcPr>
            <w:tcW w:w="632" w:type="dxa"/>
            <w:shd w:val="clear" w:color="auto" w:fill="auto"/>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32" w:type="dxa"/>
          </w:tcPr>
          <w:p w:rsidR="00A3115F" w:rsidRPr="001B3E42" w:rsidRDefault="00A3115F" w:rsidP="005D003D">
            <w:pPr>
              <w:ind w:left="567" w:hanging="567"/>
              <w:jc w:val="both"/>
              <w:rPr>
                <w:color w:val="000000"/>
                <w:sz w:val="22"/>
                <w:szCs w:val="22"/>
              </w:rPr>
            </w:pPr>
            <w:r w:rsidRPr="001B3E42">
              <w:rPr>
                <w:color w:val="000000"/>
                <w:sz w:val="22"/>
                <w:szCs w:val="22"/>
              </w:rPr>
              <w:t>0,7</w:t>
            </w:r>
          </w:p>
        </w:tc>
        <w:tc>
          <w:tcPr>
            <w:tcW w:w="666" w:type="dxa"/>
          </w:tcPr>
          <w:p w:rsidR="00A3115F" w:rsidRPr="001B3E42" w:rsidRDefault="00A3115F" w:rsidP="005D003D">
            <w:pPr>
              <w:ind w:left="567" w:hanging="567"/>
              <w:jc w:val="both"/>
              <w:rPr>
                <w:color w:val="000000"/>
                <w:sz w:val="22"/>
                <w:szCs w:val="22"/>
              </w:rPr>
            </w:pPr>
            <w:r w:rsidRPr="001B3E42">
              <w:rPr>
                <w:color w:val="000000"/>
                <w:sz w:val="22"/>
                <w:szCs w:val="22"/>
              </w:rPr>
              <w:t xml:space="preserve"> 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c>
          <w:tcPr>
            <w:tcW w:w="667" w:type="dxa"/>
          </w:tcPr>
          <w:p w:rsidR="00A3115F" w:rsidRPr="001B3E42" w:rsidRDefault="00A3115F" w:rsidP="005D003D">
            <w:pPr>
              <w:ind w:left="567" w:hanging="567"/>
              <w:jc w:val="both"/>
              <w:rPr>
                <w:color w:val="000000"/>
                <w:sz w:val="22"/>
                <w:szCs w:val="22"/>
              </w:rPr>
            </w:pPr>
            <w:r w:rsidRPr="001B3E42">
              <w:rPr>
                <w:color w:val="000000"/>
                <w:sz w:val="22"/>
                <w:szCs w:val="22"/>
              </w:rPr>
              <w:t>0,8*</w:t>
            </w:r>
          </w:p>
        </w:tc>
      </w:tr>
    </w:tbl>
    <w:p w:rsidR="00A3115F" w:rsidRPr="001B3E42" w:rsidRDefault="00A3115F" w:rsidP="00A3115F">
      <w:pPr>
        <w:ind w:left="567" w:hanging="567"/>
        <w:jc w:val="both"/>
        <w:rPr>
          <w:sz w:val="22"/>
          <w:szCs w:val="22"/>
        </w:rPr>
      </w:pPr>
      <w:r w:rsidRPr="001B3E42">
        <w:rPr>
          <w:sz w:val="22"/>
          <w:szCs w:val="22"/>
        </w:rPr>
        <w:t>*Maksimalna pojedinačna doza je 40 mg (0,8 ml)</w:t>
      </w:r>
    </w:p>
    <w:p w:rsidR="00A3115F" w:rsidRPr="001B3E42" w:rsidRDefault="00A3115F" w:rsidP="00A3115F">
      <w:pPr>
        <w:ind w:left="567" w:hanging="567"/>
        <w:jc w:val="both"/>
        <w:rPr>
          <w:sz w:val="22"/>
          <w:szCs w:val="22"/>
        </w:rPr>
      </w:pPr>
    </w:p>
    <w:p w:rsidR="00A3115F" w:rsidRPr="001B3E42" w:rsidRDefault="00A3115F" w:rsidP="00A3115F">
      <w:pPr>
        <w:ind w:left="567" w:hanging="567"/>
        <w:jc w:val="both"/>
        <w:rPr>
          <w:sz w:val="22"/>
          <w:szCs w:val="22"/>
        </w:rPr>
      </w:pPr>
      <w:r w:rsidRPr="001B3E42">
        <w:rPr>
          <w:sz w:val="22"/>
          <w:szCs w:val="22"/>
          <w:u w:val="single"/>
        </w:rPr>
        <w:t>Poliartikularni juvenilni idiopatski artritis u dobi od 13 do 17 godina:</w:t>
      </w:r>
    </w:p>
    <w:p w:rsidR="00A3115F" w:rsidRPr="001B3E42" w:rsidRDefault="00A3115F" w:rsidP="00A3115F">
      <w:pPr>
        <w:ind w:left="567" w:hanging="567"/>
        <w:jc w:val="both"/>
        <w:rPr>
          <w:sz w:val="22"/>
          <w:szCs w:val="22"/>
        </w:rPr>
      </w:pPr>
    </w:p>
    <w:p w:rsidR="00A3115F" w:rsidRPr="001B3E42" w:rsidRDefault="00A3115F" w:rsidP="00A3115F">
      <w:pPr>
        <w:jc w:val="both"/>
        <w:rPr>
          <w:sz w:val="22"/>
          <w:szCs w:val="22"/>
        </w:rPr>
      </w:pPr>
      <w:r w:rsidRPr="001B3E42">
        <w:rPr>
          <w:sz w:val="22"/>
          <w:szCs w:val="22"/>
        </w:rPr>
        <w:t xml:space="preserve">Za adolescente u dobi 13-17 godina, doza od 40 mg se daje svake druge </w:t>
      </w:r>
      <w:r w:rsidR="009065F5" w:rsidRPr="001B3E42">
        <w:rPr>
          <w:sz w:val="22"/>
          <w:szCs w:val="22"/>
        </w:rPr>
        <w:t>nedjelje</w:t>
      </w:r>
      <w:r w:rsidRPr="001B3E42">
        <w:rPr>
          <w:sz w:val="22"/>
          <w:szCs w:val="22"/>
        </w:rPr>
        <w:t xml:space="preserve"> bez obzira na tjelesnu površinu. </w:t>
      </w:r>
    </w:p>
    <w:p w:rsidR="00A3115F" w:rsidRPr="001B3E42" w:rsidRDefault="00A3115F" w:rsidP="00A3115F">
      <w:pPr>
        <w:pStyle w:val="Default"/>
        <w:jc w:val="both"/>
        <w:rPr>
          <w:rFonts w:ascii="Times New Roman" w:hAnsi="Times New Roman" w:cs="Times New Roman"/>
          <w:sz w:val="22"/>
          <w:szCs w:val="22"/>
          <w:lang w:val="sr-Latn-ME"/>
        </w:rPr>
      </w:pPr>
    </w:p>
    <w:p w:rsidR="00A3115F" w:rsidRPr="001B3E42" w:rsidRDefault="001F0303" w:rsidP="00A3115F">
      <w:pPr>
        <w:pStyle w:val="Default"/>
        <w:jc w:val="both"/>
        <w:rPr>
          <w:rFonts w:ascii="Times New Roman" w:hAnsi="Times New Roman" w:cs="Times New Roman"/>
          <w:sz w:val="22"/>
          <w:szCs w:val="22"/>
          <w:lang w:val="sr-Latn-ME"/>
        </w:rPr>
      </w:pPr>
      <w:r w:rsidRPr="001B3E42">
        <w:rPr>
          <w:rFonts w:ascii="Times New Roman" w:hAnsi="Times New Roman" w:cs="Times New Roman"/>
          <w:color w:val="auto"/>
          <w:sz w:val="22"/>
          <w:szCs w:val="22"/>
          <w:lang w:val="sr-Latn-ME"/>
        </w:rPr>
        <w:t>Za pacijente</w:t>
      </w:r>
      <w:r w:rsidR="00A3115F" w:rsidRPr="001B3E42">
        <w:rPr>
          <w:rFonts w:ascii="Times New Roman" w:hAnsi="Times New Roman" w:cs="Times New Roman"/>
          <w:color w:val="auto"/>
          <w:sz w:val="22"/>
          <w:szCs w:val="22"/>
          <w:lang w:val="sr-Latn-ME"/>
        </w:rPr>
        <w:t xml:space="preserve"> kojima se primjenjuje puna doza od 40 mg</w:t>
      </w:r>
      <w:r w:rsidR="00E424CC" w:rsidRPr="001B3E42">
        <w:rPr>
          <w:rFonts w:ascii="Times New Roman" w:hAnsi="Times New Roman" w:cs="Times New Roman"/>
          <w:color w:val="auto"/>
          <w:sz w:val="22"/>
          <w:szCs w:val="22"/>
          <w:lang w:val="sr-Latn-ME"/>
        </w:rPr>
        <w:t>,</w:t>
      </w:r>
      <w:r w:rsidR="00A3115F" w:rsidRPr="001B3E42">
        <w:rPr>
          <w:rFonts w:ascii="Times New Roman" w:hAnsi="Times New Roman" w:cs="Times New Roman"/>
          <w:color w:val="auto"/>
          <w:sz w:val="22"/>
          <w:szCs w:val="22"/>
          <w:lang w:val="sr-Latn-ME"/>
        </w:rPr>
        <w:t xml:space="preserve"> </w:t>
      </w:r>
      <w:r w:rsidR="005B30A8" w:rsidRPr="001B3E42">
        <w:rPr>
          <w:rFonts w:ascii="Times New Roman" w:hAnsi="Times New Roman" w:cs="Times New Roman"/>
          <w:color w:val="auto"/>
          <w:sz w:val="22"/>
          <w:szCs w:val="22"/>
          <w:lang w:val="sr-Latn-ME"/>
        </w:rPr>
        <w:t>dostup</w:t>
      </w:r>
      <w:r w:rsidR="00E424CC" w:rsidRPr="001B3E42">
        <w:rPr>
          <w:rFonts w:ascii="Times New Roman" w:hAnsi="Times New Roman" w:cs="Times New Roman"/>
          <w:color w:val="auto"/>
          <w:sz w:val="22"/>
          <w:szCs w:val="22"/>
          <w:lang w:val="sr-Latn-ME"/>
        </w:rPr>
        <w:t>an</w:t>
      </w:r>
      <w:r w:rsidR="005B30A8" w:rsidRPr="001B3E42">
        <w:rPr>
          <w:rFonts w:ascii="Times New Roman" w:hAnsi="Times New Roman" w:cs="Times New Roman"/>
          <w:color w:val="auto"/>
          <w:sz w:val="22"/>
          <w:szCs w:val="22"/>
          <w:lang w:val="sr-Latn-ME"/>
        </w:rPr>
        <w:t xml:space="preserve"> je </w:t>
      </w:r>
      <w:r w:rsidR="00E424CC" w:rsidRPr="001B3E42">
        <w:rPr>
          <w:rFonts w:ascii="Times New Roman" w:hAnsi="Times New Roman" w:cs="Times New Roman"/>
          <w:color w:val="auto"/>
          <w:sz w:val="22"/>
          <w:szCs w:val="22"/>
          <w:lang w:val="sr-Latn-ME"/>
        </w:rPr>
        <w:t xml:space="preserve">lijek </w:t>
      </w:r>
      <w:r w:rsidR="005B30A8" w:rsidRPr="001B3E42">
        <w:rPr>
          <w:rFonts w:ascii="Times New Roman" w:hAnsi="Times New Roman" w:cs="Times New Roman"/>
          <w:color w:val="auto"/>
          <w:sz w:val="22"/>
          <w:szCs w:val="22"/>
          <w:lang w:val="sr-Latn-ME"/>
        </w:rPr>
        <w:t>Humira 40 mg rastvor za injekciju u napunjenom špricu</w:t>
      </w:r>
      <w:r w:rsidR="00A3115F" w:rsidRPr="001B3E42">
        <w:rPr>
          <w:rFonts w:ascii="Times New Roman" w:hAnsi="Times New Roman" w:cs="Times New Roman"/>
          <w:color w:val="auto"/>
          <w:sz w:val="22"/>
          <w:szCs w:val="22"/>
          <w:lang w:val="sr-Latn-ME"/>
        </w:rPr>
        <w:t xml:space="preserve">. </w:t>
      </w:r>
    </w:p>
    <w:p w:rsidR="00A3115F" w:rsidRPr="001B3E42" w:rsidRDefault="00A3115F" w:rsidP="00A3115F">
      <w:pPr>
        <w:pStyle w:val="Default"/>
        <w:jc w:val="both"/>
        <w:rPr>
          <w:rFonts w:ascii="Times New Roman" w:hAnsi="Times New Roman" w:cs="Times New Roman"/>
          <w:sz w:val="22"/>
          <w:szCs w:val="22"/>
          <w:lang w:val="sr-Latn-ME"/>
        </w:rPr>
      </w:pPr>
    </w:p>
    <w:p w:rsidR="00A3115F" w:rsidRPr="001B3E42" w:rsidRDefault="00A3115F" w:rsidP="005B30A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Postojeći podaci pokazuju da se klinički odgovor obično postiže unutar 12 </w:t>
      </w:r>
      <w:r w:rsidR="009065F5" w:rsidRPr="001B3E42">
        <w:rPr>
          <w:rFonts w:ascii="Times New Roman" w:hAnsi="Times New Roman" w:cs="Times New Roman"/>
          <w:sz w:val="22"/>
          <w:szCs w:val="22"/>
          <w:lang w:val="sr-Latn-ME"/>
        </w:rPr>
        <w:t>nedjelja</w:t>
      </w:r>
      <w:r w:rsidRPr="001B3E42">
        <w:rPr>
          <w:rFonts w:ascii="Times New Roman" w:hAnsi="Times New Roman" w:cs="Times New Roman"/>
          <w:sz w:val="22"/>
          <w:szCs w:val="22"/>
          <w:lang w:val="sr-Latn-ME"/>
        </w:rPr>
        <w:t xml:space="preserve"> liječenja. Ako se unutar tog perioda ne postigne terapijski odgovor, potrebno je pažljivo razmotriti nas</w:t>
      </w:r>
      <w:r w:rsidR="001F0303" w:rsidRPr="001B3E42">
        <w:rPr>
          <w:rFonts w:ascii="Times New Roman" w:hAnsi="Times New Roman" w:cs="Times New Roman"/>
          <w:sz w:val="22"/>
          <w:szCs w:val="22"/>
          <w:lang w:val="sr-Latn-ME"/>
        </w:rPr>
        <w:t>tavak liječenja takvog pacijenta</w:t>
      </w:r>
      <w:r w:rsidRPr="001B3E42">
        <w:rPr>
          <w:rFonts w:ascii="Times New Roman" w:hAnsi="Times New Roman" w:cs="Times New Roman"/>
          <w:sz w:val="22"/>
          <w:szCs w:val="22"/>
          <w:lang w:val="sr-Latn-ME"/>
        </w:rPr>
        <w:t>.</w:t>
      </w:r>
    </w:p>
    <w:p w:rsidR="00A3115F" w:rsidRPr="001B3E42" w:rsidRDefault="00A3115F" w:rsidP="005B30A8">
      <w:pPr>
        <w:pStyle w:val="Default"/>
        <w:ind w:left="567" w:hanging="567"/>
        <w:jc w:val="both"/>
        <w:rPr>
          <w:rFonts w:ascii="Times New Roman" w:hAnsi="Times New Roman" w:cs="Times New Roman"/>
          <w:sz w:val="22"/>
          <w:szCs w:val="22"/>
          <w:lang w:val="sr-Latn-ME"/>
        </w:rPr>
      </w:pPr>
    </w:p>
    <w:p w:rsidR="00A3115F" w:rsidRPr="001B3E42" w:rsidRDefault="00A3115F" w:rsidP="005B30A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Nije ispitivano</w:t>
      </w:r>
      <w:r w:rsidR="005B30A8" w:rsidRPr="001B3E42">
        <w:rPr>
          <w:rFonts w:ascii="Times New Roman" w:hAnsi="Times New Roman" w:cs="Times New Roman"/>
          <w:sz w:val="22"/>
          <w:szCs w:val="22"/>
          <w:lang w:val="sr-Latn-ME"/>
        </w:rPr>
        <w:t xml:space="preserve"> djelovanje </w:t>
      </w:r>
      <w:r w:rsidR="00B11AAE" w:rsidRPr="001B3E42">
        <w:rPr>
          <w:rFonts w:ascii="Times New Roman" w:hAnsi="Times New Roman" w:cs="Times New Roman"/>
          <w:color w:val="auto"/>
          <w:sz w:val="22"/>
          <w:szCs w:val="22"/>
          <w:lang w:val="sr-Latn-ME"/>
        </w:rPr>
        <w:t xml:space="preserve">lijeka </w:t>
      </w:r>
      <w:r w:rsidR="005B30A8"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5B30A8" w:rsidRPr="001B3E42">
        <w:rPr>
          <w:rFonts w:ascii="Times New Roman" w:hAnsi="Times New Roman" w:cs="Times New Roman"/>
          <w:sz w:val="22"/>
          <w:szCs w:val="22"/>
          <w:lang w:val="sr-Latn-ME"/>
        </w:rPr>
        <w:t xml:space="preserve"> kod</w:t>
      </w:r>
      <w:r w:rsidRPr="001B3E42">
        <w:rPr>
          <w:rFonts w:ascii="Times New Roman" w:hAnsi="Times New Roman" w:cs="Times New Roman"/>
          <w:sz w:val="22"/>
          <w:szCs w:val="22"/>
          <w:lang w:val="sr-Latn-ME"/>
        </w:rPr>
        <w:t xml:space="preserve"> djece mlađe od 2 godine u ovoj indikaciji. </w:t>
      </w:r>
    </w:p>
    <w:p w:rsidR="00A3115F" w:rsidRPr="001B3E42" w:rsidRDefault="00A3115F" w:rsidP="005B30A8">
      <w:pPr>
        <w:pStyle w:val="Default"/>
        <w:ind w:left="567" w:hanging="567"/>
        <w:jc w:val="both"/>
        <w:rPr>
          <w:rFonts w:ascii="Times New Roman" w:hAnsi="Times New Roman" w:cs="Times New Roman"/>
          <w:sz w:val="22"/>
          <w:szCs w:val="22"/>
          <w:lang w:val="sr-Latn-ME"/>
        </w:rPr>
      </w:pPr>
    </w:p>
    <w:p w:rsidR="00A3115F" w:rsidRPr="001B3E42" w:rsidRDefault="005B30A8" w:rsidP="005B30A8">
      <w:pPr>
        <w:pStyle w:val="Default"/>
        <w:ind w:left="567" w:hanging="567"/>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Crohnova bolest kod</w:t>
      </w:r>
      <w:r w:rsidR="004131F9" w:rsidRPr="001B3E42">
        <w:rPr>
          <w:rFonts w:ascii="Times New Roman" w:hAnsi="Times New Roman" w:cs="Times New Roman"/>
          <w:sz w:val="22"/>
          <w:szCs w:val="22"/>
          <w:u w:val="single"/>
          <w:lang w:val="sr-Latn-ME"/>
        </w:rPr>
        <w:t xml:space="preserve"> pedijatrijskih </w:t>
      </w:r>
      <w:r w:rsidR="001F0303" w:rsidRPr="001B3E42">
        <w:rPr>
          <w:rFonts w:ascii="Times New Roman" w:hAnsi="Times New Roman" w:cs="Times New Roman"/>
          <w:sz w:val="22"/>
          <w:szCs w:val="22"/>
          <w:u w:val="single"/>
          <w:lang w:val="sr-Latn-ME"/>
        </w:rPr>
        <w:t>pacijenata</w:t>
      </w:r>
    </w:p>
    <w:p w:rsidR="00A3115F" w:rsidRPr="001B3E42" w:rsidRDefault="00A3115F" w:rsidP="005B30A8">
      <w:pPr>
        <w:pStyle w:val="Default"/>
        <w:ind w:left="567" w:hanging="567"/>
        <w:jc w:val="both"/>
        <w:rPr>
          <w:rFonts w:ascii="Times New Roman" w:hAnsi="Times New Roman" w:cs="Times New Roman"/>
          <w:sz w:val="22"/>
          <w:szCs w:val="22"/>
          <w:lang w:val="sr-Latn-ME"/>
        </w:rPr>
      </w:pPr>
    </w:p>
    <w:p w:rsidR="00A3115F" w:rsidRPr="001B3E42" w:rsidRDefault="005B30A8" w:rsidP="005B30A8">
      <w:pPr>
        <w:pStyle w:val="Default"/>
        <w:ind w:left="567" w:hanging="567"/>
        <w:jc w:val="both"/>
        <w:rPr>
          <w:rFonts w:ascii="Times New Roman" w:hAnsi="Times New Roman" w:cs="Times New Roman"/>
          <w:i/>
          <w:sz w:val="22"/>
          <w:szCs w:val="22"/>
          <w:lang w:val="sr-Latn-ME"/>
        </w:rPr>
      </w:pPr>
      <w:r w:rsidRPr="001B3E42">
        <w:rPr>
          <w:rFonts w:ascii="Times New Roman" w:hAnsi="Times New Roman" w:cs="Times New Roman"/>
          <w:i/>
          <w:sz w:val="22"/>
          <w:szCs w:val="22"/>
          <w:lang w:val="sr-Latn-ME"/>
        </w:rPr>
        <w:t>Crohnova bolest kod</w:t>
      </w:r>
      <w:r w:rsidR="004131F9" w:rsidRPr="001B3E42">
        <w:rPr>
          <w:rFonts w:ascii="Times New Roman" w:hAnsi="Times New Roman" w:cs="Times New Roman"/>
          <w:i/>
          <w:sz w:val="22"/>
          <w:szCs w:val="22"/>
          <w:lang w:val="sr-Latn-ME"/>
        </w:rPr>
        <w:t xml:space="preserve"> pedijatrijskih </w:t>
      </w:r>
      <w:r w:rsidR="001F0303" w:rsidRPr="001B3E42">
        <w:rPr>
          <w:rFonts w:ascii="Times New Roman" w:hAnsi="Times New Roman" w:cs="Times New Roman"/>
          <w:i/>
          <w:sz w:val="22"/>
          <w:szCs w:val="22"/>
          <w:lang w:val="sr-Latn-ME"/>
        </w:rPr>
        <w:t xml:space="preserve">pacijenata </w:t>
      </w:r>
      <w:r w:rsidR="00A3115F" w:rsidRPr="001B3E42">
        <w:rPr>
          <w:rFonts w:ascii="Times New Roman" w:hAnsi="Times New Roman" w:cs="Times New Roman"/>
          <w:i/>
          <w:sz w:val="22"/>
          <w:szCs w:val="22"/>
          <w:lang w:val="sr-Latn-ME"/>
        </w:rPr>
        <w:t>&lt; 40 kg:</w:t>
      </w:r>
    </w:p>
    <w:p w:rsidR="00A3115F" w:rsidRPr="001B3E42" w:rsidRDefault="00A3115F" w:rsidP="005B30A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Preporučeni indukcioni d</w:t>
      </w:r>
      <w:r w:rsidR="005B30A8" w:rsidRPr="001B3E42">
        <w:rPr>
          <w:rFonts w:ascii="Times New Roman" w:hAnsi="Times New Roman" w:cs="Times New Roman"/>
          <w:sz w:val="22"/>
          <w:szCs w:val="22"/>
          <w:lang w:val="sr-Latn-ME"/>
        </w:rPr>
        <w:t xml:space="preserve">ozni režim za </w:t>
      </w:r>
      <w:r w:rsidR="00872668" w:rsidRPr="001B3E42">
        <w:rPr>
          <w:rFonts w:ascii="Times New Roman" w:hAnsi="Times New Roman" w:cs="Times New Roman"/>
          <w:sz w:val="22"/>
          <w:szCs w:val="22"/>
          <w:lang w:val="sr-Latn-ME"/>
        </w:rPr>
        <w:t xml:space="preserve">lijek </w:t>
      </w:r>
      <w:r w:rsidR="005B30A8"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5B30A8" w:rsidRPr="001B3E42">
        <w:rPr>
          <w:rFonts w:ascii="Times New Roman" w:hAnsi="Times New Roman" w:cs="Times New Roman"/>
          <w:sz w:val="22"/>
          <w:szCs w:val="22"/>
          <w:lang w:val="sr-Latn-ME"/>
        </w:rPr>
        <w:t xml:space="preserve"> kod</w:t>
      </w:r>
      <w:r w:rsidRPr="001B3E42">
        <w:rPr>
          <w:rFonts w:ascii="Times New Roman" w:hAnsi="Times New Roman" w:cs="Times New Roman"/>
          <w:sz w:val="22"/>
          <w:szCs w:val="22"/>
          <w:lang w:val="sr-Latn-ME"/>
        </w:rPr>
        <w:t xml:space="preserve"> pedijatrijskih </w:t>
      </w:r>
      <w:r w:rsidR="004131F9" w:rsidRPr="001B3E42">
        <w:rPr>
          <w:rFonts w:ascii="Times New Roman" w:hAnsi="Times New Roman" w:cs="Times New Roman"/>
          <w:sz w:val="22"/>
          <w:szCs w:val="22"/>
          <w:lang w:val="sr-Latn-ME"/>
        </w:rPr>
        <w:t>pacijenata</w:t>
      </w:r>
      <w:r w:rsidRPr="001B3E42">
        <w:rPr>
          <w:rFonts w:ascii="Times New Roman" w:hAnsi="Times New Roman" w:cs="Times New Roman"/>
          <w:sz w:val="22"/>
          <w:szCs w:val="22"/>
          <w:lang w:val="sr-Latn-ME"/>
        </w:rPr>
        <w:t xml:space="preserve"> s teškom</w:t>
      </w:r>
      <w:r w:rsidR="005B30A8"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aktivnom Crohnovom bolesti je 4</w:t>
      </w:r>
      <w:r w:rsidR="005B30A8" w:rsidRPr="001B3E42">
        <w:rPr>
          <w:rFonts w:ascii="Times New Roman" w:hAnsi="Times New Roman" w:cs="Times New Roman"/>
          <w:sz w:val="22"/>
          <w:szCs w:val="22"/>
          <w:lang w:val="sr-Latn-ME"/>
        </w:rPr>
        <w:t xml:space="preserve">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0, nakon čega slijedi doza od 20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2. U slučaju da </w:t>
      </w:r>
      <w:r w:rsidRPr="001B3E42">
        <w:rPr>
          <w:rFonts w:ascii="Times New Roman" w:hAnsi="Times New Roman" w:cs="Times New Roman"/>
          <w:sz w:val="22"/>
          <w:szCs w:val="22"/>
          <w:lang w:val="sr-Latn-ME"/>
        </w:rPr>
        <w:lastRenderedPageBreak/>
        <w:t>postoji potreba za bržim odgovorom na terapiju, može se koristiti dozni režim od</w:t>
      </w:r>
      <w:r w:rsidR="005B30A8"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 xml:space="preserve">80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0 (doza se može primjeniti u vidu dvije injekcije u jednom danu) i 40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2, pri čemu se mora imati na umu da rizik od neželjenog djelovanja može biti veći sa većim indukcionim dozama. </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5B30A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Nakon indukcionog liječenja, preporučena doza je 2</w:t>
      </w:r>
      <w:r w:rsidR="00B54362" w:rsidRPr="001B3E42">
        <w:rPr>
          <w:rFonts w:ascii="Times New Roman" w:hAnsi="Times New Roman" w:cs="Times New Roman"/>
          <w:sz w:val="22"/>
          <w:szCs w:val="22"/>
          <w:lang w:val="sr-Latn-ME"/>
        </w:rPr>
        <w:t xml:space="preserve">0 mg svake druge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 xml:space="preserve"> subkutanom</w:t>
      </w:r>
      <w:r w:rsidR="005B30A8"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 xml:space="preserve">injekcijom. </w:t>
      </w:r>
      <w:r w:rsidR="001F0303" w:rsidRPr="001B3E42">
        <w:rPr>
          <w:rFonts w:ascii="Times New Roman" w:hAnsi="Times New Roman" w:cs="Times New Roman"/>
          <w:sz w:val="22"/>
          <w:szCs w:val="22"/>
          <w:lang w:val="sr-Latn-ME"/>
        </w:rPr>
        <w:t>Za neke pacijente</w:t>
      </w:r>
      <w:r w:rsidRPr="001B3E42">
        <w:rPr>
          <w:rFonts w:ascii="Times New Roman" w:hAnsi="Times New Roman" w:cs="Times New Roman"/>
          <w:sz w:val="22"/>
          <w:szCs w:val="22"/>
          <w:lang w:val="sr-Latn-ME"/>
        </w:rPr>
        <w:t xml:space="preserve"> koji nisu imali zadovoljavajući odgovor na terapiju može biti korisno povećanje učestalosti doziranja na 2</w:t>
      </w:r>
      <w:r w:rsidR="00B54362" w:rsidRPr="001B3E42">
        <w:rPr>
          <w:rFonts w:ascii="Times New Roman" w:hAnsi="Times New Roman" w:cs="Times New Roman"/>
          <w:sz w:val="22"/>
          <w:szCs w:val="22"/>
          <w:lang w:val="sr-Latn-ME"/>
        </w:rPr>
        <w:t xml:space="preserve">0 mg </w:t>
      </w:r>
      <w:r w:rsidR="00B11AAE" w:rsidRPr="001B3E42">
        <w:rPr>
          <w:rFonts w:ascii="Times New Roman" w:hAnsi="Times New Roman" w:cs="Times New Roman"/>
          <w:color w:val="auto"/>
          <w:sz w:val="22"/>
          <w:szCs w:val="22"/>
          <w:lang w:val="sr-Latn-ME"/>
        </w:rPr>
        <w:t xml:space="preserve">lijeka </w:t>
      </w:r>
      <w:r w:rsidR="00B54362"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B54362" w:rsidRPr="001B3E42">
        <w:rPr>
          <w:rFonts w:ascii="Times New Roman" w:hAnsi="Times New Roman" w:cs="Times New Roman"/>
          <w:sz w:val="22"/>
          <w:szCs w:val="22"/>
          <w:lang w:val="sr-Latn-ME"/>
        </w:rPr>
        <w:t xml:space="preserve"> svake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w:t>
      </w:r>
    </w:p>
    <w:p w:rsidR="00A3115F" w:rsidRPr="001B3E42" w:rsidRDefault="00A3115F" w:rsidP="005B30A8">
      <w:pPr>
        <w:pStyle w:val="Default"/>
        <w:ind w:left="567" w:hanging="567"/>
        <w:jc w:val="both"/>
        <w:rPr>
          <w:rFonts w:ascii="Times New Roman" w:hAnsi="Times New Roman" w:cs="Times New Roman"/>
          <w:i/>
          <w:sz w:val="22"/>
          <w:szCs w:val="22"/>
          <w:lang w:val="sr-Latn-ME"/>
        </w:rPr>
      </w:pPr>
    </w:p>
    <w:p w:rsidR="00A3115F" w:rsidRPr="001B3E42" w:rsidRDefault="004131F9" w:rsidP="005B30A8">
      <w:pPr>
        <w:pStyle w:val="Default"/>
        <w:jc w:val="both"/>
        <w:rPr>
          <w:rFonts w:ascii="Times New Roman" w:hAnsi="Times New Roman" w:cs="Times New Roman"/>
          <w:i/>
          <w:sz w:val="22"/>
          <w:szCs w:val="22"/>
          <w:lang w:val="sr-Latn-ME"/>
        </w:rPr>
      </w:pPr>
      <w:r w:rsidRPr="001B3E42">
        <w:rPr>
          <w:rFonts w:ascii="Times New Roman" w:hAnsi="Times New Roman" w:cs="Times New Roman"/>
          <w:i/>
          <w:sz w:val="22"/>
          <w:szCs w:val="22"/>
          <w:lang w:val="sr-Latn-ME"/>
        </w:rPr>
        <w:t xml:space="preserve">Crohnova bolest kod pedijatrijskih </w:t>
      </w:r>
      <w:r w:rsidR="001F0303" w:rsidRPr="001B3E42">
        <w:rPr>
          <w:rFonts w:ascii="Times New Roman" w:hAnsi="Times New Roman" w:cs="Times New Roman"/>
          <w:i/>
          <w:sz w:val="22"/>
          <w:szCs w:val="22"/>
          <w:lang w:val="sr-Latn-ME"/>
        </w:rPr>
        <w:t>pacijenata</w:t>
      </w:r>
      <w:r w:rsidR="00A3115F" w:rsidRPr="001B3E42">
        <w:rPr>
          <w:rFonts w:ascii="Times New Roman" w:hAnsi="Times New Roman" w:cs="Times New Roman"/>
          <w:i/>
          <w:sz w:val="22"/>
          <w:szCs w:val="22"/>
          <w:lang w:val="sr-Latn-ME"/>
        </w:rPr>
        <w:t xml:space="preserve"> ≥</w:t>
      </w:r>
      <w:r w:rsidR="000B3C88" w:rsidRPr="001B3E42">
        <w:rPr>
          <w:rFonts w:ascii="Times New Roman" w:hAnsi="Times New Roman" w:cs="Times New Roman"/>
          <w:i/>
          <w:sz w:val="22"/>
          <w:szCs w:val="22"/>
          <w:lang w:val="sr-Latn-ME"/>
        </w:rPr>
        <w:t xml:space="preserve"> </w:t>
      </w:r>
      <w:r w:rsidR="00A3115F" w:rsidRPr="001B3E42">
        <w:rPr>
          <w:rFonts w:ascii="Times New Roman" w:hAnsi="Times New Roman" w:cs="Times New Roman"/>
          <w:i/>
          <w:sz w:val="22"/>
          <w:szCs w:val="22"/>
          <w:lang w:val="sr-Latn-ME"/>
        </w:rPr>
        <w:t>40 kg:</w:t>
      </w:r>
    </w:p>
    <w:p w:rsidR="00A3115F" w:rsidRPr="001B3E42" w:rsidRDefault="00A3115F" w:rsidP="005B30A8">
      <w:pPr>
        <w:pStyle w:val="Default"/>
        <w:ind w:left="567" w:hanging="567"/>
        <w:jc w:val="both"/>
        <w:rPr>
          <w:rFonts w:ascii="Times New Roman" w:hAnsi="Times New Roman" w:cs="Times New Roman"/>
          <w:sz w:val="22"/>
          <w:szCs w:val="22"/>
          <w:lang w:val="sr-Latn-ME"/>
        </w:rPr>
      </w:pPr>
    </w:p>
    <w:p w:rsidR="00A3115F" w:rsidRPr="001B3E42" w:rsidRDefault="00A3115F" w:rsidP="004131F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Preporučeni in</w:t>
      </w:r>
      <w:r w:rsidR="004131F9" w:rsidRPr="001B3E42">
        <w:rPr>
          <w:rFonts w:ascii="Times New Roman" w:hAnsi="Times New Roman" w:cs="Times New Roman"/>
          <w:sz w:val="22"/>
          <w:szCs w:val="22"/>
          <w:lang w:val="sr-Latn-ME"/>
        </w:rPr>
        <w:t xml:space="preserve">dukcioni dozni režim za </w:t>
      </w:r>
      <w:r w:rsidR="00872668" w:rsidRPr="001B3E42">
        <w:rPr>
          <w:rFonts w:ascii="Times New Roman" w:hAnsi="Times New Roman" w:cs="Times New Roman"/>
          <w:sz w:val="22"/>
          <w:szCs w:val="22"/>
          <w:lang w:val="sr-Latn-ME"/>
        </w:rPr>
        <w:t xml:space="preserve">lijek </w:t>
      </w:r>
      <w:r w:rsidR="004131F9"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4131F9" w:rsidRPr="001B3E42">
        <w:rPr>
          <w:rFonts w:ascii="Times New Roman" w:hAnsi="Times New Roman" w:cs="Times New Roman"/>
          <w:sz w:val="22"/>
          <w:szCs w:val="22"/>
          <w:lang w:val="sr-Latn-ME"/>
        </w:rPr>
        <w:t xml:space="preserve"> kod</w:t>
      </w:r>
      <w:r w:rsidR="001F0303" w:rsidRPr="001B3E42">
        <w:rPr>
          <w:rFonts w:ascii="Times New Roman" w:hAnsi="Times New Roman" w:cs="Times New Roman"/>
          <w:sz w:val="22"/>
          <w:szCs w:val="22"/>
          <w:lang w:val="sr-Latn-ME"/>
        </w:rPr>
        <w:t xml:space="preserve"> pedijatrijskih pacijenata</w:t>
      </w:r>
      <w:r w:rsidRPr="001B3E42">
        <w:rPr>
          <w:rFonts w:ascii="Times New Roman" w:hAnsi="Times New Roman" w:cs="Times New Roman"/>
          <w:sz w:val="22"/>
          <w:szCs w:val="22"/>
          <w:lang w:val="sr-Latn-ME"/>
        </w:rPr>
        <w:t xml:space="preserve"> s teškom aktivnom Croh</w:t>
      </w:r>
      <w:r w:rsidR="004131F9" w:rsidRPr="001B3E42">
        <w:rPr>
          <w:rFonts w:ascii="Times New Roman" w:hAnsi="Times New Roman" w:cs="Times New Roman"/>
          <w:sz w:val="22"/>
          <w:szCs w:val="22"/>
          <w:lang w:val="sr-Latn-ME"/>
        </w:rPr>
        <w:t xml:space="preserve">novom bolesti je 80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0,  nakon čega  slijedi doza od </w:t>
      </w:r>
      <w:r w:rsidR="004131F9" w:rsidRPr="001B3E42">
        <w:rPr>
          <w:rFonts w:ascii="Times New Roman" w:hAnsi="Times New Roman" w:cs="Times New Roman"/>
          <w:sz w:val="22"/>
          <w:szCs w:val="22"/>
          <w:lang w:val="sr-Latn-ME"/>
        </w:rPr>
        <w:t xml:space="preserve">40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2</w:t>
      </w:r>
      <w:r w:rsidR="0096798B" w:rsidRPr="001B3E42">
        <w:rPr>
          <w:rFonts w:ascii="Times New Roman" w:hAnsi="Times New Roman" w:cs="Times New Roman"/>
          <w:sz w:val="22"/>
          <w:szCs w:val="22"/>
          <w:lang w:val="sr-Latn-ME"/>
        </w:rPr>
        <w:t>.</w:t>
      </w:r>
      <w:r w:rsidRPr="001B3E42">
        <w:rPr>
          <w:rFonts w:ascii="Times New Roman" w:hAnsi="Times New Roman" w:cs="Times New Roman"/>
          <w:sz w:val="22"/>
          <w:szCs w:val="22"/>
          <w:lang w:val="sr-Latn-ME"/>
        </w:rPr>
        <w:t xml:space="preserve"> U slučaju da postoji potreba za bržim odgovorom na terapiju, može se koristiti dozni režim od </w:t>
      </w:r>
      <w:r w:rsidR="004131F9" w:rsidRPr="001B3E42">
        <w:rPr>
          <w:rFonts w:ascii="Times New Roman" w:hAnsi="Times New Roman" w:cs="Times New Roman"/>
          <w:sz w:val="22"/>
          <w:szCs w:val="22"/>
          <w:lang w:val="sr-Latn-ME"/>
        </w:rPr>
        <w:t xml:space="preserve">160 mg u </w:t>
      </w:r>
      <w:r w:rsidR="009065F5" w:rsidRPr="001B3E42">
        <w:rPr>
          <w:rFonts w:ascii="Times New Roman" w:hAnsi="Times New Roman" w:cs="Times New Roman"/>
          <w:sz w:val="22"/>
          <w:szCs w:val="22"/>
          <w:lang w:val="sr-Latn-ME"/>
        </w:rPr>
        <w:t>nedjelji</w:t>
      </w:r>
      <w:r w:rsidR="004131F9" w:rsidRPr="001B3E42">
        <w:rPr>
          <w:rFonts w:ascii="Times New Roman" w:hAnsi="Times New Roman" w:cs="Times New Roman"/>
          <w:sz w:val="22"/>
          <w:szCs w:val="22"/>
          <w:lang w:val="sr-Latn-ME"/>
        </w:rPr>
        <w:t xml:space="preserve"> 0</w:t>
      </w:r>
      <w:r w:rsidRPr="001B3E42">
        <w:rPr>
          <w:rFonts w:ascii="Times New Roman" w:hAnsi="Times New Roman" w:cs="Times New Roman"/>
          <w:sz w:val="22"/>
          <w:szCs w:val="22"/>
          <w:lang w:val="sr-Latn-ME"/>
        </w:rPr>
        <w:t xml:space="preserve"> (doza se može primijeniti u vidu četiri injekcije u jednom danu ili dvije injekcije po danu dva dana zaredom),</w:t>
      </w:r>
      <w:r w:rsidR="004131F9" w:rsidRPr="001B3E42">
        <w:rPr>
          <w:rFonts w:ascii="Times New Roman" w:hAnsi="Times New Roman" w:cs="Times New Roman"/>
          <w:sz w:val="22"/>
          <w:szCs w:val="22"/>
          <w:lang w:val="sr-Latn-ME"/>
        </w:rPr>
        <w:t xml:space="preserve"> može se dati 80 mg u </w:t>
      </w:r>
      <w:r w:rsidR="009065F5" w:rsidRPr="001B3E42">
        <w:rPr>
          <w:rFonts w:ascii="Times New Roman" w:hAnsi="Times New Roman" w:cs="Times New Roman"/>
          <w:sz w:val="22"/>
          <w:szCs w:val="22"/>
          <w:lang w:val="sr-Latn-ME"/>
        </w:rPr>
        <w:t>nedjelji</w:t>
      </w:r>
      <w:r w:rsidRPr="001B3E42">
        <w:rPr>
          <w:rFonts w:ascii="Times New Roman" w:hAnsi="Times New Roman" w:cs="Times New Roman"/>
          <w:sz w:val="22"/>
          <w:szCs w:val="22"/>
          <w:lang w:val="sr-Latn-ME"/>
        </w:rPr>
        <w:t xml:space="preserve"> 2, pri čemu se mora imati na umu da rizik od neželjenog djelovanja može biti veći kod većih indukcionih doza. </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4131F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Nakon indukcionog liječenja, preporučena doza je 4</w:t>
      </w:r>
      <w:r w:rsidR="004131F9" w:rsidRPr="001B3E42">
        <w:rPr>
          <w:rFonts w:ascii="Times New Roman" w:hAnsi="Times New Roman" w:cs="Times New Roman"/>
          <w:sz w:val="22"/>
          <w:szCs w:val="22"/>
          <w:lang w:val="sr-Latn-ME"/>
        </w:rPr>
        <w:t xml:space="preserve">0 mg svake druge </w:t>
      </w:r>
      <w:r w:rsidR="009065F5" w:rsidRPr="001B3E42">
        <w:rPr>
          <w:rFonts w:ascii="Times New Roman" w:hAnsi="Times New Roman" w:cs="Times New Roman"/>
          <w:sz w:val="22"/>
          <w:szCs w:val="22"/>
          <w:lang w:val="sr-Latn-ME"/>
        </w:rPr>
        <w:t>nedjelje sup</w:t>
      </w:r>
      <w:r w:rsidRPr="001B3E42">
        <w:rPr>
          <w:rFonts w:ascii="Times New Roman" w:hAnsi="Times New Roman" w:cs="Times New Roman"/>
          <w:sz w:val="22"/>
          <w:szCs w:val="22"/>
          <w:lang w:val="sr-Latn-ME"/>
        </w:rPr>
        <w:t xml:space="preserve">kutanom injekcijom. </w:t>
      </w:r>
      <w:r w:rsidR="001F0303" w:rsidRPr="001B3E42">
        <w:rPr>
          <w:rFonts w:ascii="Times New Roman" w:hAnsi="Times New Roman" w:cs="Times New Roman"/>
          <w:sz w:val="22"/>
          <w:szCs w:val="22"/>
          <w:lang w:val="sr-Latn-ME"/>
        </w:rPr>
        <w:t>Za neke pacijente</w:t>
      </w:r>
      <w:r w:rsidRPr="001B3E42">
        <w:rPr>
          <w:rFonts w:ascii="Times New Roman" w:hAnsi="Times New Roman" w:cs="Times New Roman"/>
          <w:sz w:val="22"/>
          <w:szCs w:val="22"/>
          <w:lang w:val="sr-Latn-ME"/>
        </w:rPr>
        <w:t xml:space="preserve"> kod kojih nije bilo adekvatnog odgovora na terapiju može biti</w:t>
      </w:r>
      <w:r w:rsidR="004131F9"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korisno povećanje učestalosti doziran</w:t>
      </w:r>
      <w:r w:rsidR="004131F9" w:rsidRPr="001B3E42">
        <w:rPr>
          <w:rFonts w:ascii="Times New Roman" w:hAnsi="Times New Roman" w:cs="Times New Roman"/>
          <w:sz w:val="22"/>
          <w:szCs w:val="22"/>
          <w:lang w:val="sr-Latn-ME"/>
        </w:rPr>
        <w:t xml:space="preserve">ja na 40 mg </w:t>
      </w:r>
      <w:r w:rsidR="00B11AAE" w:rsidRPr="001B3E42">
        <w:rPr>
          <w:rFonts w:ascii="Times New Roman" w:hAnsi="Times New Roman" w:cs="Times New Roman"/>
          <w:color w:val="auto"/>
          <w:sz w:val="22"/>
          <w:szCs w:val="22"/>
          <w:lang w:val="sr-Latn-ME"/>
        </w:rPr>
        <w:t xml:space="preserve">lijeka </w:t>
      </w:r>
      <w:r w:rsidR="004131F9"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4131F9" w:rsidRPr="001B3E42">
        <w:rPr>
          <w:rFonts w:ascii="Times New Roman" w:hAnsi="Times New Roman" w:cs="Times New Roman"/>
          <w:sz w:val="22"/>
          <w:szCs w:val="22"/>
          <w:lang w:val="sr-Latn-ME"/>
        </w:rPr>
        <w:t xml:space="preserve"> svake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4131F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w:t>
      </w:r>
      <w:r w:rsidR="004131F9" w:rsidRPr="001B3E42">
        <w:rPr>
          <w:rFonts w:ascii="Times New Roman" w:hAnsi="Times New Roman" w:cs="Times New Roman"/>
          <w:sz w:val="22"/>
          <w:szCs w:val="22"/>
          <w:lang w:val="sr-Latn-ME"/>
        </w:rPr>
        <w:t>otrebno je pažljivo</w:t>
      </w:r>
      <w:r w:rsidRPr="001B3E42">
        <w:rPr>
          <w:rFonts w:ascii="Times New Roman" w:hAnsi="Times New Roman" w:cs="Times New Roman"/>
          <w:sz w:val="22"/>
          <w:szCs w:val="22"/>
          <w:lang w:val="sr-Latn-ME"/>
        </w:rPr>
        <w:t xml:space="preserve"> razmotriti nastavak </w:t>
      </w:r>
      <w:r w:rsidR="004131F9" w:rsidRPr="001B3E42">
        <w:rPr>
          <w:rFonts w:ascii="Times New Roman" w:hAnsi="Times New Roman" w:cs="Times New Roman"/>
          <w:sz w:val="22"/>
          <w:szCs w:val="22"/>
          <w:lang w:val="sr-Latn-ME"/>
        </w:rPr>
        <w:t>liječenja pacijenta</w:t>
      </w:r>
      <w:r w:rsidRPr="001B3E42">
        <w:rPr>
          <w:rFonts w:ascii="Times New Roman" w:hAnsi="Times New Roman" w:cs="Times New Roman"/>
          <w:sz w:val="22"/>
          <w:szCs w:val="22"/>
          <w:lang w:val="sr-Latn-ME"/>
        </w:rPr>
        <w:t xml:space="preserve"> kod kojih nije postignut terapijski</w:t>
      </w:r>
      <w:r w:rsidR="004131F9"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 xml:space="preserve">odgovor </w:t>
      </w:r>
      <w:r w:rsidR="00E35A70" w:rsidRPr="001B3E42">
        <w:rPr>
          <w:rFonts w:ascii="Times New Roman" w:hAnsi="Times New Roman" w:cs="Times New Roman"/>
          <w:sz w:val="22"/>
          <w:szCs w:val="22"/>
          <w:lang w:val="sr-Latn-ME"/>
        </w:rPr>
        <w:t>do 12</w:t>
      </w:r>
      <w:r w:rsidR="004131F9" w:rsidRPr="001B3E42">
        <w:rPr>
          <w:rFonts w:ascii="Times New Roman" w:hAnsi="Times New Roman" w:cs="Times New Roman"/>
          <w:sz w:val="22"/>
          <w:szCs w:val="22"/>
          <w:lang w:val="sr-Latn-ME"/>
        </w:rPr>
        <w:t xml:space="preserv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4131F9" w:rsidP="004131F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Za pacijente</w:t>
      </w:r>
      <w:r w:rsidR="00A3115F" w:rsidRPr="001B3E42">
        <w:rPr>
          <w:rFonts w:ascii="Times New Roman" w:hAnsi="Times New Roman" w:cs="Times New Roman"/>
          <w:sz w:val="22"/>
          <w:szCs w:val="22"/>
          <w:lang w:val="sr-Latn-ME"/>
        </w:rPr>
        <w:t xml:space="preserve"> kojima se primjenjuje puna doza od 40 mg d</w:t>
      </w:r>
      <w:r w:rsidRPr="001B3E42">
        <w:rPr>
          <w:rFonts w:ascii="Times New Roman" w:hAnsi="Times New Roman" w:cs="Times New Roman"/>
          <w:sz w:val="22"/>
          <w:szCs w:val="22"/>
          <w:lang w:val="sr-Latn-ME"/>
        </w:rPr>
        <w:t xml:space="preserve">ostupna je Humira 40 mg rastvor </w:t>
      </w:r>
      <w:r w:rsidR="00A3115F" w:rsidRPr="001B3E42">
        <w:rPr>
          <w:rFonts w:ascii="Times New Roman" w:hAnsi="Times New Roman" w:cs="Times New Roman"/>
          <w:sz w:val="22"/>
          <w:szCs w:val="22"/>
          <w:lang w:val="sr-Latn-ME"/>
        </w:rPr>
        <w:t>za injekciju u napun</w:t>
      </w:r>
      <w:r w:rsidRPr="001B3E42">
        <w:rPr>
          <w:rFonts w:ascii="Times New Roman" w:hAnsi="Times New Roman" w:cs="Times New Roman"/>
          <w:sz w:val="22"/>
          <w:szCs w:val="22"/>
          <w:lang w:val="sr-Latn-ME"/>
        </w:rPr>
        <w:t xml:space="preserve">jenom </w:t>
      </w:r>
      <w:r w:rsidR="009065F5" w:rsidRPr="001B3E42">
        <w:rPr>
          <w:rFonts w:ascii="Times New Roman" w:hAnsi="Times New Roman" w:cs="Times New Roman"/>
          <w:sz w:val="22"/>
          <w:szCs w:val="22"/>
          <w:lang w:val="sr-Latn-ME"/>
        </w:rPr>
        <w:t xml:space="preserve">injekcionom </w:t>
      </w:r>
      <w:r w:rsidRPr="001B3E42">
        <w:rPr>
          <w:rFonts w:ascii="Times New Roman" w:hAnsi="Times New Roman" w:cs="Times New Roman"/>
          <w:sz w:val="22"/>
          <w:szCs w:val="22"/>
          <w:lang w:val="sr-Latn-ME"/>
        </w:rPr>
        <w:t>špricu</w:t>
      </w:r>
      <w:r w:rsidR="00A3115F" w:rsidRPr="001B3E42">
        <w:rPr>
          <w:rFonts w:ascii="Times New Roman" w:hAnsi="Times New Roman" w:cs="Times New Roman"/>
          <w:sz w:val="22"/>
          <w:szCs w:val="22"/>
          <w:lang w:val="sr-Latn-ME"/>
        </w:rPr>
        <w:t>.</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A3115F">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Nij</w:t>
      </w:r>
      <w:r w:rsidR="004131F9" w:rsidRPr="001B3E42">
        <w:rPr>
          <w:rFonts w:ascii="Times New Roman" w:hAnsi="Times New Roman" w:cs="Times New Roman"/>
          <w:sz w:val="22"/>
          <w:szCs w:val="22"/>
          <w:lang w:val="sr-Latn-ME"/>
        </w:rPr>
        <w:t xml:space="preserve">e ispitivano djelovanje </w:t>
      </w:r>
      <w:r w:rsidR="00B11AAE" w:rsidRPr="001B3E42">
        <w:rPr>
          <w:rFonts w:ascii="Times New Roman" w:hAnsi="Times New Roman" w:cs="Times New Roman"/>
          <w:color w:val="auto"/>
          <w:sz w:val="22"/>
          <w:szCs w:val="22"/>
          <w:lang w:val="sr-Latn-ME"/>
        </w:rPr>
        <w:t xml:space="preserve">lijeka </w:t>
      </w:r>
      <w:r w:rsidR="004131F9"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4131F9" w:rsidRPr="001B3E42">
        <w:rPr>
          <w:rFonts w:ascii="Times New Roman" w:hAnsi="Times New Roman" w:cs="Times New Roman"/>
          <w:sz w:val="22"/>
          <w:szCs w:val="22"/>
          <w:lang w:val="sr-Latn-ME"/>
        </w:rPr>
        <w:t xml:space="preserve"> kod</w:t>
      </w:r>
      <w:r w:rsidRPr="001B3E42">
        <w:rPr>
          <w:rFonts w:ascii="Times New Roman" w:hAnsi="Times New Roman" w:cs="Times New Roman"/>
          <w:sz w:val="22"/>
          <w:szCs w:val="22"/>
          <w:lang w:val="sr-Latn-ME"/>
        </w:rPr>
        <w:t xml:space="preserve"> djece mlađe od 6 godina u ovoj indikaciji.</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A3115F">
      <w:pPr>
        <w:pStyle w:val="Default"/>
        <w:ind w:left="567" w:hanging="567"/>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Oštećenje funkcije bubrega i/ili jetre</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4131F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Nije ispitivano djelovan</w:t>
      </w:r>
      <w:r w:rsidR="004131F9" w:rsidRPr="001B3E42">
        <w:rPr>
          <w:rFonts w:ascii="Times New Roman" w:hAnsi="Times New Roman" w:cs="Times New Roman"/>
          <w:sz w:val="22"/>
          <w:szCs w:val="22"/>
          <w:lang w:val="sr-Latn-ME"/>
        </w:rPr>
        <w:t xml:space="preserve">je </w:t>
      </w:r>
      <w:r w:rsidR="00B11AAE" w:rsidRPr="001B3E42">
        <w:rPr>
          <w:rFonts w:ascii="Times New Roman" w:hAnsi="Times New Roman" w:cs="Times New Roman"/>
          <w:color w:val="auto"/>
          <w:sz w:val="22"/>
          <w:szCs w:val="22"/>
          <w:lang w:val="sr-Latn-ME"/>
        </w:rPr>
        <w:t xml:space="preserve">lijeka </w:t>
      </w:r>
      <w:r w:rsidR="004131F9"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4131F9" w:rsidRPr="001B3E42">
        <w:rPr>
          <w:rFonts w:ascii="Times New Roman" w:hAnsi="Times New Roman" w:cs="Times New Roman"/>
          <w:sz w:val="22"/>
          <w:szCs w:val="22"/>
          <w:lang w:val="sr-Latn-ME"/>
        </w:rPr>
        <w:t xml:space="preserve"> u ovoj grupi pacijenata</w:t>
      </w:r>
      <w:r w:rsidRPr="001B3E42">
        <w:rPr>
          <w:rFonts w:ascii="Times New Roman" w:hAnsi="Times New Roman" w:cs="Times New Roman"/>
          <w:sz w:val="22"/>
          <w:szCs w:val="22"/>
          <w:lang w:val="sr-Latn-ME"/>
        </w:rPr>
        <w:t>, te se ne mogu dati preporuke za</w:t>
      </w:r>
      <w:r w:rsidR="004131F9"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 xml:space="preserve">doziranje. </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A3115F" w:rsidP="00A3115F">
      <w:pPr>
        <w:pStyle w:val="Default"/>
        <w:ind w:left="567" w:hanging="567"/>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Način primjene</w:t>
      </w:r>
    </w:p>
    <w:p w:rsidR="00A3115F" w:rsidRPr="001B3E42" w:rsidRDefault="00A3115F" w:rsidP="00A3115F">
      <w:pPr>
        <w:pStyle w:val="Default"/>
        <w:ind w:left="567" w:hanging="567"/>
        <w:jc w:val="both"/>
        <w:rPr>
          <w:rFonts w:ascii="Times New Roman" w:hAnsi="Times New Roman" w:cs="Times New Roman"/>
          <w:sz w:val="22"/>
          <w:szCs w:val="22"/>
          <w:lang w:val="sr-Latn-ME"/>
        </w:rPr>
      </w:pPr>
    </w:p>
    <w:p w:rsidR="00A3115F" w:rsidRPr="001B3E42" w:rsidRDefault="009065F5" w:rsidP="002A1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Humira se primjenjuje sup</w:t>
      </w:r>
      <w:r w:rsidR="00A3115F" w:rsidRPr="001B3E42">
        <w:rPr>
          <w:rFonts w:ascii="Times New Roman" w:hAnsi="Times New Roman" w:cs="Times New Roman"/>
          <w:sz w:val="22"/>
          <w:szCs w:val="22"/>
          <w:lang w:val="sr-Latn-ME"/>
        </w:rPr>
        <w:t>kutanom injekcijom. Sve informacije za upotrebu se nalaze u</w:t>
      </w:r>
      <w:r w:rsidR="0096798B" w:rsidRPr="001B3E42">
        <w:rPr>
          <w:rFonts w:ascii="Times New Roman" w:hAnsi="Times New Roman" w:cs="Times New Roman"/>
          <w:sz w:val="22"/>
          <w:szCs w:val="22"/>
          <w:lang w:val="sr-Latn-ME"/>
        </w:rPr>
        <w:t xml:space="preserve"> </w:t>
      </w:r>
      <w:r w:rsidR="00A3115F" w:rsidRPr="001B3E42">
        <w:rPr>
          <w:rFonts w:ascii="Times New Roman" w:hAnsi="Times New Roman" w:cs="Times New Roman"/>
          <w:sz w:val="22"/>
          <w:szCs w:val="22"/>
          <w:lang w:val="sr-Latn-ME"/>
        </w:rPr>
        <w:t>Uputstvu za</w:t>
      </w:r>
      <w:r w:rsidR="0096798B" w:rsidRPr="001B3E42">
        <w:rPr>
          <w:rFonts w:ascii="Times New Roman" w:hAnsi="Times New Roman" w:cs="Times New Roman"/>
          <w:sz w:val="22"/>
          <w:szCs w:val="22"/>
          <w:lang w:val="sr-Latn-ME"/>
        </w:rPr>
        <w:t xml:space="preserve"> </w:t>
      </w:r>
      <w:r w:rsidR="00A3115F" w:rsidRPr="001B3E42">
        <w:rPr>
          <w:rFonts w:ascii="Times New Roman" w:hAnsi="Times New Roman" w:cs="Times New Roman"/>
          <w:sz w:val="22"/>
          <w:szCs w:val="22"/>
          <w:lang w:val="sr-Latn-ME"/>
        </w:rPr>
        <w:t>pacijenta.</w:t>
      </w:r>
    </w:p>
    <w:p w:rsidR="00A3115F" w:rsidRPr="001B3E42" w:rsidRDefault="00A3115F" w:rsidP="00A3115F">
      <w:pPr>
        <w:tabs>
          <w:tab w:val="left" w:pos="2388"/>
        </w:tabs>
        <w:rPr>
          <w:bCs/>
          <w:sz w:val="22"/>
          <w:szCs w:val="22"/>
        </w:rPr>
      </w:pPr>
    </w:p>
    <w:p w:rsidR="00411B4B" w:rsidRPr="001B3E42" w:rsidRDefault="00411B4B" w:rsidP="00480FB1">
      <w:pPr>
        <w:tabs>
          <w:tab w:val="left" w:pos="540"/>
          <w:tab w:val="left" w:pos="569"/>
        </w:tabs>
        <w:rPr>
          <w:b/>
          <w:bCs/>
          <w:sz w:val="22"/>
          <w:szCs w:val="22"/>
        </w:rPr>
      </w:pPr>
      <w:r w:rsidRPr="001B3E42">
        <w:rPr>
          <w:b/>
          <w:bCs/>
          <w:sz w:val="22"/>
          <w:szCs w:val="22"/>
        </w:rPr>
        <w:t xml:space="preserve">4.3. </w:t>
      </w:r>
      <w:r w:rsidR="00480FB1" w:rsidRPr="001B3E42">
        <w:rPr>
          <w:b/>
          <w:bCs/>
          <w:sz w:val="22"/>
          <w:szCs w:val="22"/>
        </w:rPr>
        <w:tab/>
      </w:r>
      <w:r w:rsidRPr="001B3E42">
        <w:rPr>
          <w:b/>
          <w:bCs/>
          <w:sz w:val="22"/>
          <w:szCs w:val="22"/>
        </w:rPr>
        <w:t>Kontraindikacije</w:t>
      </w:r>
    </w:p>
    <w:p w:rsidR="0072020E" w:rsidRPr="001B3E42" w:rsidRDefault="001F0303" w:rsidP="001F0303">
      <w:pPr>
        <w:tabs>
          <w:tab w:val="left" w:pos="1739"/>
        </w:tabs>
        <w:rPr>
          <w:bCs/>
          <w:sz w:val="22"/>
          <w:szCs w:val="22"/>
        </w:rPr>
      </w:pPr>
      <w:r w:rsidRPr="001B3E42">
        <w:rPr>
          <w:bCs/>
          <w:sz w:val="22"/>
          <w:szCs w:val="22"/>
        </w:rPr>
        <w:tab/>
      </w:r>
    </w:p>
    <w:p w:rsidR="001F0303" w:rsidRPr="001B3E42" w:rsidRDefault="001F0303" w:rsidP="001F0303">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Preosjetljivost na aktivnu supstancu ili neku od pomoćnih supstanci</w:t>
      </w:r>
      <w:r w:rsidR="00332595" w:rsidRPr="001B3E42">
        <w:rPr>
          <w:rFonts w:ascii="Times New Roman" w:hAnsi="Times New Roman" w:cs="Times New Roman"/>
          <w:sz w:val="22"/>
          <w:szCs w:val="22"/>
          <w:lang w:val="sr-Latn-ME"/>
        </w:rPr>
        <w:t xml:space="preserve"> navedenih u odjeljku 6.1</w:t>
      </w:r>
      <w:r w:rsidRPr="001B3E42">
        <w:rPr>
          <w:rFonts w:ascii="Times New Roman" w:hAnsi="Times New Roman" w:cs="Times New Roman"/>
          <w:sz w:val="22"/>
          <w:szCs w:val="22"/>
          <w:lang w:val="sr-Latn-ME"/>
        </w:rPr>
        <w:t>.</w:t>
      </w:r>
    </w:p>
    <w:p w:rsidR="001F0303" w:rsidRPr="001B3E42" w:rsidRDefault="001F0303" w:rsidP="001F0303">
      <w:pPr>
        <w:pStyle w:val="Default"/>
        <w:ind w:left="567" w:hanging="567"/>
        <w:jc w:val="both"/>
        <w:rPr>
          <w:rFonts w:ascii="Times New Roman" w:hAnsi="Times New Roman" w:cs="Times New Roman"/>
          <w:sz w:val="22"/>
          <w:szCs w:val="22"/>
          <w:lang w:val="sr-Latn-ME"/>
        </w:rPr>
      </w:pPr>
    </w:p>
    <w:p w:rsidR="001F0303" w:rsidRPr="001B3E42" w:rsidRDefault="001F0303" w:rsidP="002A1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Aktivna tuberkuloza ili druge teške infekcije, poput sepse, i oportunističke infekcije (vidjeti odjeljak</w:t>
      </w:r>
      <w:r w:rsidR="00332595"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4.4).</w:t>
      </w:r>
    </w:p>
    <w:p w:rsidR="001F0303" w:rsidRPr="001B3E42" w:rsidRDefault="001F0303" w:rsidP="001F0303">
      <w:pPr>
        <w:pStyle w:val="Default"/>
        <w:ind w:left="567" w:hanging="567"/>
        <w:jc w:val="both"/>
        <w:rPr>
          <w:rFonts w:ascii="Times New Roman" w:hAnsi="Times New Roman" w:cs="Times New Roman"/>
          <w:sz w:val="22"/>
          <w:szCs w:val="22"/>
          <w:lang w:val="sr-Latn-ME"/>
        </w:rPr>
      </w:pPr>
    </w:p>
    <w:p w:rsidR="001F0303" w:rsidRPr="001B3E42" w:rsidRDefault="001F0303" w:rsidP="001F0303">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Umjerena do teška srčana </w:t>
      </w:r>
      <w:r w:rsidR="00332595" w:rsidRPr="001B3E42">
        <w:rPr>
          <w:rFonts w:ascii="Times New Roman" w:hAnsi="Times New Roman" w:cs="Times New Roman"/>
          <w:sz w:val="22"/>
          <w:szCs w:val="22"/>
          <w:lang w:val="sr-Latn-ME"/>
        </w:rPr>
        <w:t xml:space="preserve">insuficijencija </w:t>
      </w:r>
      <w:r w:rsidRPr="001B3E42">
        <w:rPr>
          <w:rFonts w:ascii="Times New Roman" w:hAnsi="Times New Roman" w:cs="Times New Roman"/>
          <w:sz w:val="22"/>
          <w:szCs w:val="22"/>
          <w:lang w:val="sr-Latn-ME"/>
        </w:rPr>
        <w:t xml:space="preserve">(NYHA </w:t>
      </w:r>
      <w:r w:rsidR="00332595" w:rsidRPr="001B3E42">
        <w:rPr>
          <w:rFonts w:ascii="Times New Roman" w:hAnsi="Times New Roman" w:cs="Times New Roman"/>
          <w:sz w:val="22"/>
          <w:szCs w:val="22"/>
          <w:lang w:val="sr-Latn-ME"/>
        </w:rPr>
        <w:t xml:space="preserve">stepen </w:t>
      </w:r>
      <w:r w:rsidRPr="001B3E42">
        <w:rPr>
          <w:rFonts w:ascii="Times New Roman" w:hAnsi="Times New Roman" w:cs="Times New Roman"/>
          <w:sz w:val="22"/>
          <w:szCs w:val="22"/>
          <w:lang w:val="sr-Latn-ME"/>
        </w:rPr>
        <w:t>III/IV) (vidjeti odjeljak 4.4).</w:t>
      </w:r>
    </w:p>
    <w:p w:rsidR="001F0303" w:rsidRPr="001B3E42" w:rsidRDefault="001F0303" w:rsidP="001F0303">
      <w:pPr>
        <w:tabs>
          <w:tab w:val="left" w:pos="1739"/>
        </w:tabs>
        <w:rPr>
          <w:bCs/>
          <w:sz w:val="22"/>
          <w:szCs w:val="22"/>
        </w:rPr>
      </w:pPr>
    </w:p>
    <w:p w:rsidR="00411B4B" w:rsidRPr="001B3E42" w:rsidRDefault="00411B4B" w:rsidP="00480FB1">
      <w:pPr>
        <w:tabs>
          <w:tab w:val="left" w:pos="540"/>
          <w:tab w:val="left" w:pos="569"/>
        </w:tabs>
        <w:rPr>
          <w:b/>
          <w:bCs/>
          <w:sz w:val="22"/>
          <w:szCs w:val="22"/>
        </w:rPr>
      </w:pPr>
      <w:r w:rsidRPr="001B3E42">
        <w:rPr>
          <w:b/>
          <w:bCs/>
          <w:sz w:val="22"/>
          <w:szCs w:val="22"/>
        </w:rPr>
        <w:lastRenderedPageBreak/>
        <w:t xml:space="preserve">4.4. </w:t>
      </w:r>
      <w:r w:rsidR="00480FB1" w:rsidRPr="001B3E42">
        <w:rPr>
          <w:b/>
          <w:bCs/>
          <w:sz w:val="22"/>
          <w:szCs w:val="22"/>
        </w:rPr>
        <w:tab/>
      </w:r>
      <w:r w:rsidRPr="001B3E42">
        <w:rPr>
          <w:b/>
          <w:bCs/>
          <w:sz w:val="22"/>
          <w:szCs w:val="22"/>
        </w:rPr>
        <w:t>Posebna upozorenja i mjere opreza pri upotrebi lijeka</w:t>
      </w:r>
    </w:p>
    <w:p w:rsidR="0072020E" w:rsidRPr="001B3E42" w:rsidRDefault="00030852" w:rsidP="00030852">
      <w:pPr>
        <w:tabs>
          <w:tab w:val="left" w:pos="1141"/>
        </w:tabs>
        <w:rPr>
          <w:bCs/>
          <w:sz w:val="22"/>
          <w:szCs w:val="22"/>
        </w:rPr>
      </w:pPr>
      <w:r w:rsidRPr="001B3E42">
        <w:rPr>
          <w:bCs/>
          <w:sz w:val="22"/>
          <w:szCs w:val="22"/>
        </w:rPr>
        <w:tab/>
      </w: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Infekcije</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Pacijenti tokom terapije antagonistima TNF-a su podložniji ozbiljnim infekcijama. Smanjena funkcija pluća može povećati rizik za nastanak infekcija. Prije, za vrijeme i nakon završ</w:t>
      </w:r>
      <w:r w:rsidR="00635624" w:rsidRPr="001B3E42">
        <w:rPr>
          <w:rFonts w:ascii="Times New Roman" w:hAnsi="Times New Roman" w:cs="Times New Roman"/>
          <w:sz w:val="22"/>
          <w:szCs w:val="22"/>
          <w:lang w:val="sr-Latn-ME"/>
        </w:rPr>
        <w:t xml:space="preserve">etka liječenja </w:t>
      </w:r>
      <w:r w:rsidR="00AC4C8C" w:rsidRPr="001B3E42">
        <w:rPr>
          <w:rFonts w:ascii="Times New Roman" w:hAnsi="Times New Roman" w:cs="Times New Roman"/>
          <w:color w:val="auto"/>
          <w:sz w:val="22"/>
          <w:szCs w:val="22"/>
          <w:lang w:val="sr-Latn-ME"/>
        </w:rPr>
        <w:t xml:space="preserve">lijekom </w:t>
      </w:r>
      <w:r w:rsidR="00635624"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635624" w:rsidRPr="001B3E42">
        <w:rPr>
          <w:rFonts w:ascii="Times New Roman" w:hAnsi="Times New Roman" w:cs="Times New Roman"/>
          <w:sz w:val="22"/>
          <w:szCs w:val="22"/>
          <w:lang w:val="sr-Latn-ME"/>
        </w:rPr>
        <w:t xml:space="preserve"> pacijente</w:t>
      </w:r>
      <w:r w:rsidRPr="001B3E42">
        <w:rPr>
          <w:rFonts w:ascii="Times New Roman" w:hAnsi="Times New Roman" w:cs="Times New Roman"/>
          <w:sz w:val="22"/>
          <w:szCs w:val="22"/>
          <w:lang w:val="sr-Latn-ME"/>
        </w:rPr>
        <w:t xml:space="preserve"> treba pažljivo pratiti zbog moguće pojave infekcija, uključujući tuberkulozu. Budući da izlučivanje adalimumaba može trajati i do četiri mjeseca, praćenje pacijenata treba nastaviti za vrijeme cijelog tog perioda.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Liječenje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ne smije se započeti kod pacijenata s aktivnim infekcijama, uključujući hronične ili lokaliz</w:t>
      </w:r>
      <w:r w:rsidR="00E676D7" w:rsidRPr="001B3E42">
        <w:rPr>
          <w:rFonts w:ascii="Times New Roman" w:hAnsi="Times New Roman" w:cs="Times New Roman"/>
          <w:sz w:val="22"/>
          <w:szCs w:val="22"/>
          <w:lang w:val="sr-Latn-ME"/>
        </w:rPr>
        <w:t>ov</w:t>
      </w:r>
      <w:r w:rsidRPr="001B3E42">
        <w:rPr>
          <w:rFonts w:ascii="Times New Roman" w:hAnsi="Times New Roman" w:cs="Times New Roman"/>
          <w:sz w:val="22"/>
          <w:szCs w:val="22"/>
          <w:lang w:val="sr-Latn-ME"/>
        </w:rPr>
        <w:t xml:space="preserve">ane infekcije sve dok se te infekcije ne suzbiju. Kod pacijenata koji su bili izloženi tuberkulozi i pacijenata koji su putovali u područja visokog rizika od tuberkuloze ili endemskih mikoza, kao što su histoplazmoza, kokcidioidomikoza ili blastomikoza, rizike i prednosti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treba razmotriti prije započinjanja liječenja (vidjeti </w:t>
      </w:r>
      <w:r w:rsidRPr="001B3E42">
        <w:rPr>
          <w:rFonts w:ascii="Times New Roman" w:hAnsi="Times New Roman" w:cs="Times New Roman"/>
          <w:i/>
          <w:sz w:val="22"/>
          <w:szCs w:val="22"/>
          <w:lang w:val="sr-Latn-ME"/>
        </w:rPr>
        <w:t>druge oportunističke infekcije</w:t>
      </w:r>
      <w:r w:rsidRPr="001B3E42">
        <w:rPr>
          <w:rFonts w:ascii="Times New Roman" w:hAnsi="Times New Roman" w:cs="Times New Roman"/>
          <w:sz w:val="22"/>
          <w:szCs w:val="22"/>
          <w:lang w:val="sr-Latn-ME"/>
        </w:rPr>
        <w:t>).</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Pacijente kod kojih se za vrijeme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razviju nove infekcije treba pažljivo pratiti i podvrgnuti kompletnoj dijagnostičkoj procjeni. Primjenu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treba obustaviti ako pacijent dobije novu tešku infekciju ili sepsu, te treba započeti odgovarajuću antimikrobnu ili antifungalnu terapiju sve dok se infekcija ne suzbije. Ljekari trebaju oprezno razmotriti liječenje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kod pacijenata s čestim infekcijama u anamnezi ili osnovnim bolestima koje pogoduju razvoju infekcija, uključujući istovremenu upotrebu imunosupresivnih ljekova. </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i/>
          <w:iCs/>
          <w:sz w:val="22"/>
          <w:szCs w:val="22"/>
          <w:u w:val="single"/>
          <w:lang w:val="sr-Latn-ME"/>
        </w:rPr>
      </w:pPr>
      <w:r w:rsidRPr="001B3E42">
        <w:rPr>
          <w:rFonts w:ascii="Times New Roman" w:hAnsi="Times New Roman" w:cs="Times New Roman"/>
          <w:i/>
          <w:iCs/>
          <w:sz w:val="22"/>
          <w:szCs w:val="22"/>
          <w:u w:val="single"/>
          <w:lang w:val="sr-Latn-ME"/>
        </w:rPr>
        <w:t>Ozbiljne infekcije:</w:t>
      </w:r>
    </w:p>
    <w:p w:rsidR="00030852" w:rsidRPr="001B3E42" w:rsidRDefault="000961E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Kod pacijenata</w:t>
      </w:r>
      <w:r w:rsidR="00030852" w:rsidRPr="001B3E42">
        <w:rPr>
          <w:rFonts w:ascii="Times New Roman" w:hAnsi="Times New Roman" w:cs="Times New Roman"/>
          <w:sz w:val="22"/>
          <w:szCs w:val="22"/>
          <w:lang w:val="sr-Latn-ME"/>
        </w:rPr>
        <w:t xml:space="preserve"> koji su primali </w:t>
      </w:r>
      <w:r w:rsidR="00872668" w:rsidRPr="001B3E42">
        <w:rPr>
          <w:rFonts w:ascii="Times New Roman" w:hAnsi="Times New Roman" w:cs="Times New Roman"/>
          <w:sz w:val="22"/>
          <w:szCs w:val="22"/>
          <w:lang w:val="sr-Latn-ME"/>
        </w:rPr>
        <w:t xml:space="preserve">lijek </w:t>
      </w:r>
      <w:r w:rsidR="00030852"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zabilježene su ozbiljne infekcije, uključujući sepsu, uzrokovane bakterijama, mikobakterijama, invazivnim gljivicama, parazitima, virusima, ili druge oportunističke infekcije poput listerioze, legioneloze i pneumocistisa.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Ostale ozbiljne infekcije primijećene u kliničkim ispitivanjima uključuju pneumoniju, pijelonefritis, septički artritis i septikemiju. Prijavljene su hospitalizacije ili fatalni ishodi povezani s infekcijama.</w:t>
      </w:r>
      <w:r w:rsidRPr="001B3E42" w:rsidDel="009B604E">
        <w:rPr>
          <w:rFonts w:ascii="Times New Roman" w:hAnsi="Times New Roman" w:cs="Times New Roman"/>
          <w:sz w:val="22"/>
          <w:szCs w:val="22"/>
          <w:lang w:val="sr-Latn-ME"/>
        </w:rPr>
        <w:t xml:space="preserve"> </w:t>
      </w:r>
    </w:p>
    <w:p w:rsidR="00030852" w:rsidRPr="001B3E42" w:rsidRDefault="00030852" w:rsidP="00030852">
      <w:pPr>
        <w:pStyle w:val="Default"/>
        <w:jc w:val="both"/>
        <w:rPr>
          <w:rFonts w:ascii="Times New Roman" w:hAnsi="Times New Roman" w:cs="Times New Roman"/>
          <w:sz w:val="22"/>
          <w:szCs w:val="22"/>
          <w:u w:val="single"/>
          <w:lang w:val="sr-Latn-ME"/>
        </w:rPr>
      </w:pPr>
    </w:p>
    <w:p w:rsidR="00030852" w:rsidRPr="001B3E42" w:rsidRDefault="00030852" w:rsidP="00030852">
      <w:pPr>
        <w:pStyle w:val="Default"/>
        <w:jc w:val="both"/>
        <w:rPr>
          <w:rFonts w:ascii="Times New Roman" w:hAnsi="Times New Roman" w:cs="Times New Roman"/>
          <w:i/>
          <w:iCs/>
          <w:sz w:val="22"/>
          <w:szCs w:val="22"/>
          <w:u w:val="single"/>
          <w:lang w:val="sr-Latn-ME"/>
        </w:rPr>
      </w:pPr>
      <w:r w:rsidRPr="001B3E42">
        <w:rPr>
          <w:rFonts w:ascii="Times New Roman" w:hAnsi="Times New Roman" w:cs="Times New Roman"/>
          <w:i/>
          <w:iCs/>
          <w:sz w:val="22"/>
          <w:szCs w:val="22"/>
          <w:u w:val="single"/>
          <w:lang w:val="sr-Latn-ME"/>
        </w:rPr>
        <w:t>Tuberkuloza:</w:t>
      </w:r>
    </w:p>
    <w:p w:rsidR="00030852" w:rsidRPr="001B3E42" w:rsidRDefault="008C19AE"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Kod pacijenata</w:t>
      </w:r>
      <w:r w:rsidR="00030852" w:rsidRPr="001B3E42">
        <w:rPr>
          <w:rFonts w:ascii="Times New Roman" w:hAnsi="Times New Roman" w:cs="Times New Roman"/>
          <w:sz w:val="22"/>
          <w:szCs w:val="22"/>
          <w:lang w:val="sr-Latn-ME"/>
        </w:rPr>
        <w:t xml:space="preserve"> koji primaju </w:t>
      </w:r>
      <w:r w:rsidR="00872668" w:rsidRPr="001B3E42">
        <w:rPr>
          <w:rFonts w:ascii="Times New Roman" w:hAnsi="Times New Roman" w:cs="Times New Roman"/>
          <w:sz w:val="22"/>
          <w:szCs w:val="22"/>
          <w:lang w:val="sr-Latn-ME"/>
        </w:rPr>
        <w:t xml:space="preserve">lijek </w:t>
      </w:r>
      <w:r w:rsidR="00030852"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prijavljeni su slučajevi reaktiviranja ili pojave tuberkuloze. Prijavljeni slučajevi uključivali su pulmona</w:t>
      </w:r>
      <w:r w:rsidR="00E00015" w:rsidRPr="001B3E42">
        <w:rPr>
          <w:rFonts w:ascii="Times New Roman" w:hAnsi="Times New Roman" w:cs="Times New Roman"/>
          <w:sz w:val="22"/>
          <w:szCs w:val="22"/>
          <w:lang w:val="sr-Latn-ME"/>
        </w:rPr>
        <w:t>l</w:t>
      </w:r>
      <w:r w:rsidR="00030852" w:rsidRPr="001B3E42">
        <w:rPr>
          <w:rFonts w:ascii="Times New Roman" w:hAnsi="Times New Roman" w:cs="Times New Roman"/>
          <w:sz w:val="22"/>
          <w:szCs w:val="22"/>
          <w:lang w:val="sr-Latn-ME"/>
        </w:rPr>
        <w:t>nu i ekstrapulmona</w:t>
      </w:r>
      <w:r w:rsidR="00E00015" w:rsidRPr="001B3E42">
        <w:rPr>
          <w:rFonts w:ascii="Times New Roman" w:hAnsi="Times New Roman" w:cs="Times New Roman"/>
          <w:sz w:val="22"/>
          <w:szCs w:val="22"/>
          <w:lang w:val="sr-Latn-ME"/>
        </w:rPr>
        <w:t>l</w:t>
      </w:r>
      <w:r w:rsidR="00030852" w:rsidRPr="001B3E42">
        <w:rPr>
          <w:rFonts w:ascii="Times New Roman" w:hAnsi="Times New Roman" w:cs="Times New Roman"/>
          <w:sz w:val="22"/>
          <w:szCs w:val="22"/>
          <w:lang w:val="sr-Latn-ME"/>
        </w:rPr>
        <w:t xml:space="preserve">nu, odnosno </w:t>
      </w:r>
      <w:r w:rsidR="00E676D7" w:rsidRPr="001B3E42">
        <w:rPr>
          <w:rFonts w:ascii="Times New Roman" w:hAnsi="Times New Roman" w:cs="Times New Roman"/>
          <w:sz w:val="22"/>
          <w:szCs w:val="22"/>
          <w:lang w:val="sr-Latn-ME"/>
        </w:rPr>
        <w:t xml:space="preserve">diseminovanu </w:t>
      </w:r>
      <w:r w:rsidR="00030852" w:rsidRPr="001B3E42">
        <w:rPr>
          <w:rFonts w:ascii="Times New Roman" w:hAnsi="Times New Roman" w:cs="Times New Roman"/>
          <w:sz w:val="22"/>
          <w:szCs w:val="22"/>
          <w:lang w:val="sr-Latn-ME"/>
        </w:rPr>
        <w:t>tuberkulozu.</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Prije početka</w:t>
      </w:r>
      <w:r w:rsidR="008C19AE" w:rsidRPr="001B3E42">
        <w:rPr>
          <w:rFonts w:ascii="Times New Roman" w:hAnsi="Times New Roman" w:cs="Times New Roman"/>
          <w:sz w:val="22"/>
          <w:szCs w:val="22"/>
          <w:lang w:val="sr-Latn-ME"/>
        </w:rPr>
        <w:t xml:space="preserve"> liječenja </w:t>
      </w:r>
      <w:r w:rsidR="00AC4C8C" w:rsidRPr="001B3E42">
        <w:rPr>
          <w:rFonts w:ascii="Times New Roman" w:hAnsi="Times New Roman" w:cs="Times New Roman"/>
          <w:color w:val="auto"/>
          <w:sz w:val="22"/>
          <w:szCs w:val="22"/>
          <w:lang w:val="sr-Latn-ME"/>
        </w:rPr>
        <w:t xml:space="preserve">lijekom </w:t>
      </w:r>
      <w:r w:rsidR="008C19AE"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8C19AE" w:rsidRPr="001B3E42">
        <w:rPr>
          <w:rFonts w:ascii="Times New Roman" w:hAnsi="Times New Roman" w:cs="Times New Roman"/>
          <w:sz w:val="22"/>
          <w:szCs w:val="22"/>
          <w:lang w:val="sr-Latn-ME"/>
        </w:rPr>
        <w:t xml:space="preserve"> sve pacijente</w:t>
      </w:r>
      <w:r w:rsidRPr="001B3E42">
        <w:rPr>
          <w:rFonts w:ascii="Times New Roman" w:hAnsi="Times New Roman" w:cs="Times New Roman"/>
          <w:sz w:val="22"/>
          <w:szCs w:val="22"/>
          <w:lang w:val="sr-Latn-ME"/>
        </w:rPr>
        <w:t xml:space="preserve"> treba podvrgnuti pretragama za otkrivanje i aktivnog ili neaktivnog (latentnog) oblika tuberkuloze. Te pretrage trebaju obuhvatiti uzimanje detal</w:t>
      </w:r>
      <w:r w:rsidR="008C19AE" w:rsidRPr="001B3E42">
        <w:rPr>
          <w:rFonts w:ascii="Times New Roman" w:hAnsi="Times New Roman" w:cs="Times New Roman"/>
          <w:sz w:val="22"/>
          <w:szCs w:val="22"/>
          <w:lang w:val="sr-Latn-ME"/>
        </w:rPr>
        <w:t>jne medicinske procjene pacijenta čija lična</w:t>
      </w:r>
      <w:r w:rsidRPr="001B3E42">
        <w:rPr>
          <w:rFonts w:ascii="Times New Roman" w:hAnsi="Times New Roman" w:cs="Times New Roman"/>
          <w:sz w:val="22"/>
          <w:szCs w:val="22"/>
          <w:lang w:val="sr-Latn-ME"/>
        </w:rPr>
        <w:t xml:space="preserve"> anamneza uključuje tuberkulozu ili eventual</w:t>
      </w:r>
      <w:r w:rsidR="008C19AE" w:rsidRPr="001B3E42">
        <w:rPr>
          <w:rFonts w:ascii="Times New Roman" w:hAnsi="Times New Roman" w:cs="Times New Roman"/>
          <w:sz w:val="22"/>
          <w:szCs w:val="22"/>
          <w:lang w:val="sr-Latn-ME"/>
        </w:rPr>
        <w:t>nu raniju izloženost pacijentima</w:t>
      </w:r>
      <w:r w:rsidRPr="001B3E42">
        <w:rPr>
          <w:rFonts w:ascii="Times New Roman" w:hAnsi="Times New Roman" w:cs="Times New Roman"/>
          <w:sz w:val="22"/>
          <w:szCs w:val="22"/>
          <w:lang w:val="sr-Latn-ME"/>
        </w:rPr>
        <w:t xml:space="preserve"> s akt</w:t>
      </w:r>
      <w:r w:rsidR="008C19AE" w:rsidRPr="001B3E42">
        <w:rPr>
          <w:rFonts w:ascii="Times New Roman" w:hAnsi="Times New Roman" w:cs="Times New Roman"/>
          <w:sz w:val="22"/>
          <w:szCs w:val="22"/>
          <w:lang w:val="sr-Latn-ME"/>
        </w:rPr>
        <w:t>ivnom tuberkulozom, te predhodno</w:t>
      </w:r>
      <w:r w:rsidRPr="001B3E42">
        <w:rPr>
          <w:rFonts w:ascii="Times New Roman" w:hAnsi="Times New Roman" w:cs="Times New Roman"/>
          <w:sz w:val="22"/>
          <w:szCs w:val="22"/>
          <w:lang w:val="sr-Latn-ME"/>
        </w:rPr>
        <w:t xml:space="preserve"> i/ili sadašn</w:t>
      </w:r>
      <w:r w:rsidR="000961E2" w:rsidRPr="001B3E42">
        <w:rPr>
          <w:rFonts w:ascii="Times New Roman" w:hAnsi="Times New Roman" w:cs="Times New Roman"/>
          <w:sz w:val="22"/>
          <w:szCs w:val="22"/>
          <w:lang w:val="sr-Latn-ME"/>
        </w:rPr>
        <w:t>je liječenje imunosupresivnim l</w:t>
      </w:r>
      <w:r w:rsidRPr="001B3E42">
        <w:rPr>
          <w:rFonts w:ascii="Times New Roman" w:hAnsi="Times New Roman" w:cs="Times New Roman"/>
          <w:sz w:val="22"/>
          <w:szCs w:val="22"/>
          <w:lang w:val="sr-Latn-ME"/>
        </w:rPr>
        <w:t xml:space="preserve">jekovima. Kod </w:t>
      </w:r>
      <w:r w:rsidR="008C19AE" w:rsidRPr="001B3E42">
        <w:rPr>
          <w:rFonts w:ascii="Times New Roman" w:hAnsi="Times New Roman" w:cs="Times New Roman"/>
          <w:sz w:val="22"/>
          <w:szCs w:val="22"/>
          <w:lang w:val="sr-Latn-ME"/>
        </w:rPr>
        <w:t>svih pacijenata</w:t>
      </w:r>
      <w:r w:rsidRPr="001B3E42">
        <w:rPr>
          <w:rFonts w:ascii="Times New Roman" w:hAnsi="Times New Roman" w:cs="Times New Roman"/>
          <w:sz w:val="22"/>
          <w:szCs w:val="22"/>
          <w:lang w:val="sr-Latn-ME"/>
        </w:rPr>
        <w:t xml:space="preserve"> treba </w:t>
      </w:r>
      <w:r w:rsidR="00F878DD" w:rsidRPr="001B3E42">
        <w:rPr>
          <w:rFonts w:ascii="Times New Roman" w:hAnsi="Times New Roman" w:cs="Times New Roman"/>
          <w:sz w:val="22"/>
          <w:szCs w:val="22"/>
          <w:lang w:val="sr-Latn-ME"/>
        </w:rPr>
        <w:t>s</w:t>
      </w:r>
      <w:r w:rsidRPr="001B3E42">
        <w:rPr>
          <w:rFonts w:ascii="Times New Roman" w:hAnsi="Times New Roman" w:cs="Times New Roman"/>
          <w:sz w:val="22"/>
          <w:szCs w:val="22"/>
          <w:lang w:val="sr-Latn-ME"/>
        </w:rPr>
        <w:t xml:space="preserve">provesti odgovarajuće testove provjere tj. tuberkulinski kožni test i rendgen pluća (treba se pridržavati lokalnih preporuka). Preporučuje se evidentiranje rezultata </w:t>
      </w:r>
      <w:r w:rsidR="008C19AE" w:rsidRPr="001B3E42">
        <w:rPr>
          <w:rFonts w:ascii="Times New Roman" w:hAnsi="Times New Roman" w:cs="Times New Roman"/>
          <w:sz w:val="22"/>
          <w:szCs w:val="22"/>
          <w:lang w:val="sr-Latn-ME"/>
        </w:rPr>
        <w:t>obavljenih testova u pacijentovu</w:t>
      </w:r>
      <w:r w:rsidRPr="001B3E42">
        <w:rPr>
          <w:rFonts w:ascii="Times New Roman" w:hAnsi="Times New Roman" w:cs="Times New Roman"/>
          <w:sz w:val="22"/>
          <w:szCs w:val="22"/>
          <w:lang w:val="sr-Latn-ME"/>
        </w:rPr>
        <w:t xml:space="preserve"> knjižicu sa upozorenjima. Pritom treba imati na umu da tuberkulinski kožni test može dati lažno negativne rezultate, naročito kod teško bolesnih il</w:t>
      </w:r>
      <w:r w:rsidR="008C19AE" w:rsidRPr="001B3E42">
        <w:rPr>
          <w:rFonts w:ascii="Times New Roman" w:hAnsi="Times New Roman" w:cs="Times New Roman"/>
          <w:sz w:val="22"/>
          <w:szCs w:val="22"/>
          <w:lang w:val="sr-Latn-ME"/>
        </w:rPr>
        <w:t>i imunokompromit</w:t>
      </w:r>
      <w:r w:rsidR="00F878DD" w:rsidRPr="001B3E42">
        <w:rPr>
          <w:rFonts w:ascii="Times New Roman" w:hAnsi="Times New Roman" w:cs="Times New Roman"/>
          <w:sz w:val="22"/>
          <w:szCs w:val="22"/>
          <w:lang w:val="sr-Latn-ME"/>
        </w:rPr>
        <w:t>ov</w:t>
      </w:r>
      <w:r w:rsidR="008C19AE" w:rsidRPr="001B3E42">
        <w:rPr>
          <w:rFonts w:ascii="Times New Roman" w:hAnsi="Times New Roman" w:cs="Times New Roman"/>
          <w:sz w:val="22"/>
          <w:szCs w:val="22"/>
          <w:lang w:val="sr-Latn-ME"/>
        </w:rPr>
        <w:t>anih pacijenata</w:t>
      </w:r>
      <w:r w:rsidRPr="001B3E42">
        <w:rPr>
          <w:rFonts w:ascii="Times New Roman" w:hAnsi="Times New Roman" w:cs="Times New Roman"/>
          <w:sz w:val="22"/>
          <w:szCs w:val="22"/>
          <w:lang w:val="sr-Latn-ME"/>
        </w:rPr>
        <w:t>.</w:t>
      </w:r>
    </w:p>
    <w:p w:rsidR="00030852" w:rsidRPr="001B3E42" w:rsidRDefault="00030852" w:rsidP="00030852">
      <w:pPr>
        <w:pStyle w:val="Default"/>
        <w:ind w:left="567" w:hanging="567"/>
        <w:jc w:val="both"/>
        <w:rPr>
          <w:rFonts w:ascii="Times New Roman" w:hAnsi="Times New Roman" w:cs="Times New Roman"/>
          <w:sz w:val="22"/>
          <w:szCs w:val="22"/>
          <w:lang w:val="sr-Latn-ME"/>
        </w:rPr>
      </w:pPr>
    </w:p>
    <w:p w:rsidR="00030852" w:rsidRPr="001B3E42" w:rsidRDefault="009A340C"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Ukoliko se dijagnostikuje</w:t>
      </w:r>
      <w:r w:rsidR="00030852" w:rsidRPr="001B3E42">
        <w:rPr>
          <w:rFonts w:ascii="Times New Roman" w:hAnsi="Times New Roman" w:cs="Times New Roman"/>
          <w:sz w:val="22"/>
          <w:szCs w:val="22"/>
          <w:lang w:val="sr-Latn-ME"/>
        </w:rPr>
        <w:t xml:space="preserve"> aktivna tuberkuloza, ne smije se započet</w:t>
      </w:r>
      <w:r w:rsidRPr="001B3E42">
        <w:rPr>
          <w:rFonts w:ascii="Times New Roman" w:hAnsi="Times New Roman" w:cs="Times New Roman"/>
          <w:sz w:val="22"/>
          <w:szCs w:val="22"/>
          <w:lang w:val="sr-Latn-ME"/>
        </w:rPr>
        <w:t xml:space="preserve">i liječenje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(vidjeti </w:t>
      </w:r>
      <w:r w:rsidR="002D5061" w:rsidRPr="001B3E42">
        <w:rPr>
          <w:rFonts w:ascii="Times New Roman" w:hAnsi="Times New Roman" w:cs="Times New Roman"/>
          <w:sz w:val="22"/>
          <w:szCs w:val="22"/>
          <w:lang w:val="sr-Latn-ME"/>
        </w:rPr>
        <w:t>odjeljak</w:t>
      </w:r>
      <w:r w:rsidR="00030852" w:rsidRPr="001B3E42">
        <w:rPr>
          <w:rFonts w:ascii="Times New Roman" w:hAnsi="Times New Roman" w:cs="Times New Roman"/>
          <w:sz w:val="22"/>
          <w:szCs w:val="22"/>
          <w:lang w:val="sr-Latn-ME"/>
        </w:rPr>
        <w:t xml:space="preserve"> 4.3).</w:t>
      </w:r>
    </w:p>
    <w:p w:rsidR="00030852" w:rsidRPr="001B3E42" w:rsidRDefault="00030852" w:rsidP="00030852">
      <w:pPr>
        <w:jc w:val="both"/>
        <w:rPr>
          <w:color w:val="000000"/>
          <w:sz w:val="22"/>
          <w:szCs w:val="22"/>
        </w:rPr>
      </w:pPr>
      <w:r w:rsidRPr="001B3E42">
        <w:rPr>
          <w:color w:val="000000"/>
          <w:sz w:val="22"/>
          <w:szCs w:val="22"/>
        </w:rPr>
        <w:lastRenderedPageBreak/>
        <w:t>U svim situacijama koje su opisane u nastavku, pažljivo treba procijeniti odnos rizika i koristi terapije.</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Ukoliko postoji sumnja na latentnu tuberkulozu, potrebno je konsultovati ljekara s iskustvom u liječenju tuberkuloze.</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9A340C"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Ukoliko se dijagnostikuje</w:t>
      </w:r>
      <w:r w:rsidR="00030852" w:rsidRPr="001B3E42">
        <w:rPr>
          <w:rFonts w:ascii="Times New Roman" w:hAnsi="Times New Roman" w:cs="Times New Roman"/>
          <w:sz w:val="22"/>
          <w:szCs w:val="22"/>
          <w:lang w:val="sr-Latn-ME"/>
        </w:rPr>
        <w:t xml:space="preserve"> latentna tuberkuloza, prije početka liječenja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treba započeti odgovarajuću antituberkuloznu profilaksu za</w:t>
      </w:r>
      <w:r w:rsidR="00030852" w:rsidRPr="001B3E42">
        <w:rPr>
          <w:sz w:val="22"/>
          <w:szCs w:val="22"/>
          <w:lang w:val="sr-Latn-ME"/>
        </w:rPr>
        <w:t xml:space="preserve"> </w:t>
      </w:r>
      <w:r w:rsidR="00030852" w:rsidRPr="001B3E42">
        <w:rPr>
          <w:rFonts w:ascii="Times New Roman" w:hAnsi="Times New Roman" w:cs="Times New Roman"/>
          <w:sz w:val="22"/>
          <w:szCs w:val="22"/>
          <w:lang w:val="sr-Latn-ME"/>
        </w:rPr>
        <w:t xml:space="preserve">latentnu tuberkulozu, i to u skladu sa lokalnim preporukama. </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635624"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Kod pacijenata</w:t>
      </w:r>
      <w:r w:rsidR="00030852" w:rsidRPr="001B3E42">
        <w:rPr>
          <w:rFonts w:ascii="Times New Roman" w:hAnsi="Times New Roman" w:cs="Times New Roman"/>
          <w:sz w:val="22"/>
          <w:szCs w:val="22"/>
          <w:lang w:val="sr-Latn-ME"/>
        </w:rPr>
        <w:t xml:space="preserve"> koji imaju nekoliko ili značajne faktore rizika za tuberkulozu, uprkos negativnom testu na </w:t>
      </w:r>
      <w:r w:rsidR="009A340C" w:rsidRPr="001B3E42">
        <w:rPr>
          <w:rFonts w:ascii="Times New Roman" w:hAnsi="Times New Roman" w:cs="Times New Roman"/>
          <w:sz w:val="22"/>
          <w:szCs w:val="22"/>
          <w:lang w:val="sr-Latn-ME"/>
        </w:rPr>
        <w:t>tuberkulozu i kod pacijenata</w:t>
      </w:r>
      <w:r w:rsidR="00030852" w:rsidRPr="001B3E42">
        <w:rPr>
          <w:rFonts w:ascii="Times New Roman" w:hAnsi="Times New Roman" w:cs="Times New Roman"/>
          <w:sz w:val="22"/>
          <w:szCs w:val="22"/>
          <w:lang w:val="sr-Latn-ME"/>
        </w:rPr>
        <w:t xml:space="preserve"> s latentnom ili aktivnom tuberkulozom u anamnezi kod kojih se ne može potvrditi </w:t>
      </w:r>
      <w:r w:rsidR="009A340C" w:rsidRPr="001B3E42">
        <w:rPr>
          <w:rFonts w:ascii="Times New Roman" w:hAnsi="Times New Roman" w:cs="Times New Roman"/>
          <w:sz w:val="22"/>
          <w:szCs w:val="22"/>
          <w:lang w:val="sr-Latn-ME"/>
        </w:rPr>
        <w:t>adekvatan tok liječenja, takođe</w:t>
      </w:r>
      <w:r w:rsidR="00030852" w:rsidRPr="001B3E42">
        <w:rPr>
          <w:rFonts w:ascii="Times New Roman" w:hAnsi="Times New Roman" w:cs="Times New Roman"/>
          <w:sz w:val="22"/>
          <w:szCs w:val="22"/>
          <w:lang w:val="sr-Latn-ME"/>
        </w:rPr>
        <w:t xml:space="preserve"> treba razmotriti antituberkuloznu terapiju prije početka liječenja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Uprkos primjeni antituberkulozne profilakse, pojavili su se neki slučajevi reaktivirane tuberkuloze kod pacijenata liječenih </w:t>
      </w:r>
      <w:r w:rsidR="00AC4C8C" w:rsidRPr="001B3E42">
        <w:rPr>
          <w:rFonts w:ascii="Times New Roman" w:hAnsi="Times New Roman" w:cs="Times New Roman"/>
          <w:color w:val="auto"/>
          <w:sz w:val="22"/>
          <w:szCs w:val="22"/>
          <w:lang w:val="sr-Latn-ME"/>
        </w:rPr>
        <w:t xml:space="preserve">lijekom </w:t>
      </w:r>
      <w:r w:rsidR="009A340C"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9A340C" w:rsidRPr="001B3E42">
        <w:rPr>
          <w:rFonts w:ascii="Times New Roman" w:hAnsi="Times New Roman" w:cs="Times New Roman"/>
          <w:sz w:val="22"/>
          <w:szCs w:val="22"/>
          <w:lang w:val="sr-Latn-ME"/>
        </w:rPr>
        <w:t>. Kod pojedinih pacijenata</w:t>
      </w:r>
      <w:r w:rsidRPr="001B3E42">
        <w:rPr>
          <w:rFonts w:ascii="Times New Roman" w:hAnsi="Times New Roman" w:cs="Times New Roman"/>
          <w:sz w:val="22"/>
          <w:szCs w:val="22"/>
          <w:lang w:val="sr-Latn-ME"/>
        </w:rPr>
        <w:t xml:space="preserve"> koji su bili uspješno izliječeni od aktivne tuberkuloze, se ponovo razvila tuberkuloza za vrijeme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9A340C"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Pacijente</w:t>
      </w:r>
      <w:r w:rsidR="00030852" w:rsidRPr="001B3E42">
        <w:rPr>
          <w:rFonts w:ascii="Times New Roman" w:hAnsi="Times New Roman" w:cs="Times New Roman"/>
          <w:sz w:val="22"/>
          <w:szCs w:val="22"/>
          <w:lang w:val="sr-Latn-ME"/>
        </w:rPr>
        <w:t xml:space="preserve"> treba upozoriti da se obrate ljekaru ako se za vrijeme liječenja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ili poslije njega pojave znakovi/simptomi koji upućuju na tuberkulozu (npr. tvrdokoran kašalj, gubitak težine, blago povišena tjelesna temperatura, obamrlost).</w:t>
      </w:r>
    </w:p>
    <w:p w:rsidR="00030852" w:rsidRPr="001B3E42" w:rsidRDefault="00030852" w:rsidP="00030852">
      <w:pPr>
        <w:pStyle w:val="Default"/>
        <w:ind w:left="567" w:hanging="567"/>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i/>
          <w:iCs/>
          <w:sz w:val="22"/>
          <w:szCs w:val="22"/>
          <w:u w:val="single"/>
          <w:lang w:val="sr-Latn-ME"/>
        </w:rPr>
      </w:pPr>
      <w:r w:rsidRPr="001B3E42">
        <w:rPr>
          <w:rFonts w:ascii="Times New Roman" w:hAnsi="Times New Roman" w:cs="Times New Roman"/>
          <w:i/>
          <w:iCs/>
          <w:sz w:val="22"/>
          <w:szCs w:val="22"/>
          <w:u w:val="single"/>
          <w:lang w:val="sr-Latn-ME"/>
        </w:rPr>
        <w:t>Druge oportunističke infekcije:</w:t>
      </w:r>
    </w:p>
    <w:p w:rsidR="00030852" w:rsidRPr="001B3E42" w:rsidRDefault="00030852" w:rsidP="009A340C">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Zabilježena je pojava drugih oportunističkih infekcija, uključujući invazivne gljivične infekcije, </w:t>
      </w:r>
      <w:r w:rsidR="009A340C" w:rsidRPr="001B3E42">
        <w:rPr>
          <w:rFonts w:ascii="Times New Roman" w:hAnsi="Times New Roman" w:cs="Times New Roman"/>
          <w:sz w:val="22"/>
          <w:szCs w:val="22"/>
          <w:lang w:val="sr-Latn-ME"/>
        </w:rPr>
        <w:t>kod pacijenata</w:t>
      </w:r>
      <w:r w:rsidRPr="001B3E42">
        <w:rPr>
          <w:rFonts w:ascii="Times New Roman" w:hAnsi="Times New Roman" w:cs="Times New Roman"/>
          <w:sz w:val="22"/>
          <w:szCs w:val="22"/>
          <w:lang w:val="sr-Latn-ME"/>
        </w:rPr>
        <w:t xml:space="preserve"> koji primaju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Ove infek</w:t>
      </w:r>
      <w:r w:rsidR="009A340C" w:rsidRPr="001B3E42">
        <w:rPr>
          <w:rFonts w:ascii="Times New Roman" w:hAnsi="Times New Roman" w:cs="Times New Roman"/>
          <w:sz w:val="22"/>
          <w:szCs w:val="22"/>
          <w:lang w:val="sr-Latn-ME"/>
        </w:rPr>
        <w:t>cije nisu dosljedno prepoznate</w:t>
      </w:r>
      <w:r w:rsidRPr="001B3E42">
        <w:rPr>
          <w:rFonts w:ascii="Times New Roman" w:hAnsi="Times New Roman" w:cs="Times New Roman"/>
          <w:sz w:val="22"/>
          <w:szCs w:val="22"/>
          <w:lang w:val="sr-Latn-ME"/>
        </w:rPr>
        <w:t xml:space="preserve"> </w:t>
      </w:r>
      <w:r w:rsidR="009A340C" w:rsidRPr="001B3E42">
        <w:rPr>
          <w:rFonts w:ascii="Times New Roman" w:hAnsi="Times New Roman" w:cs="Times New Roman"/>
          <w:sz w:val="22"/>
          <w:szCs w:val="22"/>
          <w:lang w:val="sr-Latn-ME"/>
        </w:rPr>
        <w:t>kod pacijenata</w:t>
      </w:r>
      <w:r w:rsidR="000C3263"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koji primaju antagoniste TNF-a što je rezult</w:t>
      </w:r>
      <w:r w:rsidR="00F878DD" w:rsidRPr="001B3E42">
        <w:rPr>
          <w:rFonts w:ascii="Times New Roman" w:hAnsi="Times New Roman" w:cs="Times New Roman"/>
          <w:sz w:val="22"/>
          <w:szCs w:val="22"/>
          <w:lang w:val="sr-Latn-ME"/>
        </w:rPr>
        <w:t>ov</w:t>
      </w:r>
      <w:r w:rsidRPr="001B3E42">
        <w:rPr>
          <w:rFonts w:ascii="Times New Roman" w:hAnsi="Times New Roman" w:cs="Times New Roman"/>
          <w:sz w:val="22"/>
          <w:szCs w:val="22"/>
          <w:lang w:val="sr-Latn-ME"/>
        </w:rPr>
        <w:t>alo kašnjenj</w:t>
      </w:r>
      <w:r w:rsidR="00F878DD" w:rsidRPr="001B3E42">
        <w:rPr>
          <w:rFonts w:ascii="Times New Roman" w:hAnsi="Times New Roman" w:cs="Times New Roman"/>
          <w:sz w:val="22"/>
          <w:szCs w:val="22"/>
          <w:lang w:val="sr-Latn-ME"/>
        </w:rPr>
        <w:t>em</w:t>
      </w:r>
      <w:r w:rsidRPr="001B3E42">
        <w:rPr>
          <w:rFonts w:ascii="Times New Roman" w:hAnsi="Times New Roman" w:cs="Times New Roman"/>
          <w:sz w:val="22"/>
          <w:szCs w:val="22"/>
          <w:lang w:val="sr-Latn-ME"/>
        </w:rPr>
        <w:t xml:space="preserve"> s primjerenim liječenjem</w:t>
      </w:r>
      <w:r w:rsidR="00F878DD" w:rsidRPr="001B3E42">
        <w:rPr>
          <w:rFonts w:ascii="Times New Roman" w:hAnsi="Times New Roman" w:cs="Times New Roman"/>
          <w:sz w:val="22"/>
          <w:szCs w:val="22"/>
          <w:lang w:val="sr-Latn-ME"/>
        </w:rPr>
        <w:t>,</w:t>
      </w:r>
      <w:r w:rsidRPr="001B3E42">
        <w:rPr>
          <w:rFonts w:ascii="Times New Roman" w:hAnsi="Times New Roman" w:cs="Times New Roman"/>
          <w:sz w:val="22"/>
          <w:szCs w:val="22"/>
          <w:lang w:val="sr-Latn-ME"/>
        </w:rPr>
        <w:t xml:space="preserve"> što je ponekad dovelo do fatalnog ishoda.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C3263"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Ukoliko se kod pacijenata</w:t>
      </w:r>
      <w:r w:rsidR="00030852" w:rsidRPr="001B3E42">
        <w:rPr>
          <w:rFonts w:ascii="Times New Roman" w:hAnsi="Times New Roman" w:cs="Times New Roman"/>
          <w:sz w:val="22"/>
          <w:szCs w:val="22"/>
          <w:lang w:val="sr-Latn-ME"/>
        </w:rPr>
        <w:t xml:space="preserve"> pojave znakovi i simptomi kao što su visoka temperatura, opšta slabost, gubitak na težini, znojenje, kašalj, dispneja i/ili plućni infiltrati ili druge ozbiljne sistemske bolesti sa ili bez istovremenog šoka, treba posumnjati na invazivnu gljivičnu infekciju, te odmah obustaviti p</w:t>
      </w:r>
      <w:r w:rsidRPr="001B3E42">
        <w:rPr>
          <w:rFonts w:ascii="Times New Roman" w:hAnsi="Times New Roman" w:cs="Times New Roman"/>
          <w:sz w:val="22"/>
          <w:szCs w:val="22"/>
          <w:lang w:val="sr-Latn-ME"/>
        </w:rPr>
        <w:t xml:space="preserve">rimjenu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Kod ovih pacijenata</w:t>
      </w:r>
      <w:r w:rsidR="00030852" w:rsidRPr="001B3E42">
        <w:rPr>
          <w:rFonts w:ascii="Times New Roman" w:hAnsi="Times New Roman" w:cs="Times New Roman"/>
          <w:sz w:val="22"/>
          <w:szCs w:val="22"/>
          <w:lang w:val="sr-Latn-ME"/>
        </w:rPr>
        <w:t xml:space="preserve"> dijagnozu i primjenu empirijske antifungalne terapije potrebno je uspostaviti uz savjetovanje sa ljekarom koji im</w:t>
      </w:r>
      <w:r w:rsidR="00635624" w:rsidRPr="001B3E42">
        <w:rPr>
          <w:rFonts w:ascii="Times New Roman" w:hAnsi="Times New Roman" w:cs="Times New Roman"/>
          <w:sz w:val="22"/>
          <w:szCs w:val="22"/>
          <w:lang w:val="sr-Latn-ME"/>
        </w:rPr>
        <w:t>a iskustva u liječenju pacijenata</w:t>
      </w:r>
      <w:r w:rsidR="00030852" w:rsidRPr="001B3E42">
        <w:rPr>
          <w:rFonts w:ascii="Times New Roman" w:hAnsi="Times New Roman" w:cs="Times New Roman"/>
          <w:sz w:val="22"/>
          <w:szCs w:val="22"/>
          <w:lang w:val="sr-Latn-ME"/>
        </w:rPr>
        <w:t xml:space="preserve"> s invazivnim gljivičnim infekcijama.</w:t>
      </w:r>
      <w:r w:rsidR="00030852" w:rsidRPr="001B3E42" w:rsidDel="00F70E8C">
        <w:rPr>
          <w:rFonts w:ascii="Times New Roman" w:hAnsi="Times New Roman" w:cs="Times New Roman"/>
          <w:sz w:val="22"/>
          <w:szCs w:val="22"/>
          <w:lang w:val="sr-Latn-ME"/>
        </w:rPr>
        <w:t xml:space="preserve"> </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Reaktivacija hepatitisa B</w:t>
      </w:r>
    </w:p>
    <w:p w:rsidR="00030852" w:rsidRPr="001B3E42" w:rsidRDefault="003A6D6D" w:rsidP="00030852">
      <w:pPr>
        <w:pStyle w:val="Default"/>
        <w:jc w:val="both"/>
        <w:rPr>
          <w:rFonts w:ascii="Times New Roman" w:hAnsi="Times New Roman" w:cs="Times New Roman"/>
          <w:sz w:val="22"/>
          <w:szCs w:val="22"/>
          <w:lang w:val="sr-Latn-ME" w:eastAsia="hr-HR"/>
        </w:rPr>
      </w:pPr>
      <w:r w:rsidRPr="001B3E42">
        <w:rPr>
          <w:rFonts w:ascii="Times New Roman" w:hAnsi="Times New Roman" w:cs="Times New Roman"/>
          <w:sz w:val="22"/>
          <w:szCs w:val="22"/>
          <w:lang w:val="sr-Latn-ME"/>
        </w:rPr>
        <w:t>Kod pacijenata</w:t>
      </w:r>
      <w:r w:rsidR="00030852" w:rsidRPr="001B3E42">
        <w:rPr>
          <w:rFonts w:ascii="Times New Roman" w:hAnsi="Times New Roman" w:cs="Times New Roman"/>
          <w:sz w:val="22"/>
          <w:szCs w:val="22"/>
          <w:lang w:val="sr-Latn-ME"/>
        </w:rPr>
        <w:t xml:space="preserve"> koji su uzimali antagoniste TNF-a, uključujući i </w:t>
      </w:r>
      <w:r w:rsidR="00872668" w:rsidRPr="001B3E42">
        <w:rPr>
          <w:rFonts w:ascii="Times New Roman" w:hAnsi="Times New Roman" w:cs="Times New Roman"/>
          <w:sz w:val="22"/>
          <w:szCs w:val="22"/>
          <w:lang w:val="sr-Latn-ME"/>
        </w:rPr>
        <w:t xml:space="preserve">lijek </w:t>
      </w:r>
      <w:r w:rsidR="00030852"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w:t>
      </w:r>
      <w:r w:rsidR="00F878DD" w:rsidRPr="001B3E42">
        <w:rPr>
          <w:rFonts w:ascii="Times New Roman" w:hAnsi="Times New Roman" w:cs="Times New Roman"/>
          <w:sz w:val="22"/>
          <w:szCs w:val="22"/>
          <w:lang w:val="sr-Latn-ME"/>
        </w:rPr>
        <w:t>došlo je</w:t>
      </w:r>
      <w:r w:rsidR="00030852" w:rsidRPr="001B3E42">
        <w:rPr>
          <w:rFonts w:ascii="Times New Roman" w:hAnsi="Times New Roman" w:cs="Times New Roman"/>
          <w:sz w:val="22"/>
          <w:szCs w:val="22"/>
          <w:lang w:val="sr-Latn-ME"/>
        </w:rPr>
        <w:t xml:space="preserve"> do pojave reaktivacije hepatitisa B ukoliko su bili hronični nosioci virusa (tj. pozitivni na površinski antigen), a bilo je</w:t>
      </w:r>
      <w:r w:rsidRPr="001B3E42">
        <w:rPr>
          <w:rFonts w:ascii="Times New Roman" w:hAnsi="Times New Roman" w:cs="Times New Roman"/>
          <w:sz w:val="22"/>
          <w:szCs w:val="22"/>
          <w:lang w:val="sr-Latn-ME"/>
        </w:rPr>
        <w:t xml:space="preserve"> i fatalnih slučajeva. Pacijente</w:t>
      </w:r>
      <w:r w:rsidR="00030852" w:rsidRPr="001B3E42">
        <w:rPr>
          <w:rFonts w:ascii="Times New Roman" w:hAnsi="Times New Roman" w:cs="Times New Roman"/>
          <w:sz w:val="22"/>
          <w:szCs w:val="22"/>
          <w:lang w:val="sr-Latn-ME"/>
        </w:rPr>
        <w:t xml:space="preserve"> je potrebno prije početka terapije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testirati na HBV infekciju. </w:t>
      </w:r>
      <w:r w:rsidRPr="001B3E42">
        <w:rPr>
          <w:rFonts w:ascii="Times New Roman" w:hAnsi="Times New Roman" w:cs="Times New Roman"/>
          <w:sz w:val="22"/>
          <w:szCs w:val="22"/>
          <w:lang w:val="sr-Latn-ME" w:eastAsia="hr-HR"/>
        </w:rPr>
        <w:t>Pacijentima</w:t>
      </w:r>
      <w:r w:rsidR="00030852" w:rsidRPr="001B3E42">
        <w:rPr>
          <w:rFonts w:ascii="Times New Roman" w:hAnsi="Times New Roman" w:cs="Times New Roman"/>
          <w:sz w:val="22"/>
          <w:szCs w:val="22"/>
          <w:lang w:val="sr-Latn-ME" w:eastAsia="hr-HR"/>
        </w:rPr>
        <w:t xml:space="preserve"> koji su pozitivni na infekciju hepatitisa B, preporučuje se potražiti savjet ljekara s iskustvom u liječenju hepatitisa B.</w:t>
      </w:r>
    </w:p>
    <w:p w:rsidR="00030852" w:rsidRPr="001B3E42" w:rsidRDefault="00030852" w:rsidP="00030852">
      <w:pPr>
        <w:pStyle w:val="Default"/>
        <w:jc w:val="both"/>
        <w:rPr>
          <w:rFonts w:ascii="Times New Roman" w:hAnsi="Times New Roman" w:cs="Times New Roman"/>
          <w:sz w:val="22"/>
          <w:szCs w:val="22"/>
          <w:lang w:val="sr-Latn-ME" w:eastAsia="hr-HR"/>
        </w:rPr>
      </w:pPr>
    </w:p>
    <w:p w:rsidR="00030852" w:rsidRPr="001B3E42" w:rsidRDefault="003A6D6D"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Nosioci virusa HBV kod</w:t>
      </w:r>
      <w:r w:rsidR="00030852" w:rsidRPr="001B3E42">
        <w:rPr>
          <w:rFonts w:ascii="Times New Roman" w:hAnsi="Times New Roman" w:cs="Times New Roman"/>
          <w:sz w:val="22"/>
          <w:szCs w:val="22"/>
          <w:lang w:val="sr-Latn-ME"/>
        </w:rPr>
        <w:t xml:space="preserve"> kojih je nužna primjena </w:t>
      </w:r>
      <w:r w:rsidR="00B11AAE" w:rsidRPr="001B3E42">
        <w:rPr>
          <w:rFonts w:ascii="Times New Roman" w:hAnsi="Times New Roman" w:cs="Times New Roman"/>
          <w:color w:val="auto"/>
          <w:sz w:val="22"/>
          <w:szCs w:val="22"/>
          <w:lang w:val="sr-Latn-ME"/>
        </w:rPr>
        <w:t xml:space="preserve">lijeka </w:t>
      </w:r>
      <w:r w:rsidR="00030852"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moraju biti pomno praćeni radi znakova i simptoma aktivne HBV infekcije tokom cijelog trajanja terapije te nekoliko mjeseci nakon njenog prekida. Ne posto</w:t>
      </w:r>
      <w:r w:rsidRPr="001B3E42">
        <w:rPr>
          <w:rFonts w:ascii="Times New Roman" w:hAnsi="Times New Roman" w:cs="Times New Roman"/>
          <w:sz w:val="22"/>
          <w:szCs w:val="22"/>
          <w:lang w:val="sr-Latn-ME"/>
        </w:rPr>
        <w:t>je prikladni podaci za pacijente</w:t>
      </w:r>
      <w:r w:rsidR="00030852" w:rsidRPr="001B3E42">
        <w:rPr>
          <w:rFonts w:ascii="Times New Roman" w:hAnsi="Times New Roman" w:cs="Times New Roman"/>
          <w:sz w:val="22"/>
          <w:szCs w:val="22"/>
          <w:lang w:val="sr-Latn-ME"/>
        </w:rPr>
        <w:t xml:space="preserve">, koji su nosioci HBV-a, o </w:t>
      </w:r>
      <w:r w:rsidR="00F878DD" w:rsidRPr="001B3E42">
        <w:rPr>
          <w:rFonts w:ascii="Times New Roman" w:hAnsi="Times New Roman" w:cs="Times New Roman"/>
          <w:sz w:val="22"/>
          <w:szCs w:val="22"/>
          <w:lang w:val="sr-Latn-ME"/>
        </w:rPr>
        <w:t xml:space="preserve">kombinovanom </w:t>
      </w:r>
      <w:r w:rsidR="00030852" w:rsidRPr="001B3E42">
        <w:rPr>
          <w:rFonts w:ascii="Times New Roman" w:hAnsi="Times New Roman" w:cs="Times New Roman"/>
          <w:sz w:val="22"/>
          <w:szCs w:val="22"/>
          <w:lang w:val="sr-Latn-ME"/>
        </w:rPr>
        <w:t>liječenju antivirusnom terapijom i antagonistom TNF-a u svrhu prevencije</w:t>
      </w:r>
      <w:r w:rsidRPr="001B3E42">
        <w:rPr>
          <w:rFonts w:ascii="Times New Roman" w:hAnsi="Times New Roman" w:cs="Times New Roman"/>
          <w:sz w:val="22"/>
          <w:szCs w:val="22"/>
          <w:lang w:val="sr-Latn-ME"/>
        </w:rPr>
        <w:t xml:space="preserve"> reaktivacije HBV-a. Kod pacijenata kod</w:t>
      </w:r>
      <w:r w:rsidR="00030852" w:rsidRPr="001B3E42">
        <w:rPr>
          <w:rFonts w:ascii="Times New Roman" w:hAnsi="Times New Roman" w:cs="Times New Roman"/>
          <w:sz w:val="22"/>
          <w:szCs w:val="22"/>
          <w:lang w:val="sr-Latn-ME"/>
        </w:rPr>
        <w:t xml:space="preserve"> kojih se javi reaktivacija HBV infekcije potrebno je prekinuti terapij</w:t>
      </w:r>
      <w:r w:rsidR="001E4AB9" w:rsidRPr="001B3E42">
        <w:rPr>
          <w:rFonts w:ascii="Times New Roman" w:hAnsi="Times New Roman" w:cs="Times New Roman"/>
          <w:sz w:val="22"/>
          <w:szCs w:val="22"/>
          <w:lang w:val="sr-Latn-ME"/>
        </w:rPr>
        <w:t xml:space="preserve">u </w:t>
      </w:r>
      <w:r w:rsidR="00AC4C8C" w:rsidRPr="001B3E42">
        <w:rPr>
          <w:rFonts w:ascii="Times New Roman" w:hAnsi="Times New Roman" w:cs="Times New Roman"/>
          <w:color w:val="auto"/>
          <w:sz w:val="22"/>
          <w:szCs w:val="22"/>
          <w:lang w:val="sr-Latn-ME"/>
        </w:rPr>
        <w:t xml:space="preserve">lijekom </w:t>
      </w:r>
      <w:r w:rsidR="001E4AB9"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1E4AB9" w:rsidRPr="001B3E42">
        <w:rPr>
          <w:rFonts w:ascii="Times New Roman" w:hAnsi="Times New Roman" w:cs="Times New Roman"/>
          <w:sz w:val="22"/>
          <w:szCs w:val="22"/>
          <w:lang w:val="sr-Latn-ME"/>
        </w:rPr>
        <w:t xml:space="preserve"> i započeti efikasnu</w:t>
      </w:r>
      <w:r w:rsidR="00030852" w:rsidRPr="001B3E42">
        <w:rPr>
          <w:rFonts w:ascii="Times New Roman" w:hAnsi="Times New Roman" w:cs="Times New Roman"/>
          <w:sz w:val="22"/>
          <w:szCs w:val="22"/>
          <w:lang w:val="sr-Latn-ME"/>
        </w:rPr>
        <w:t xml:space="preserve"> antivirusnu terapiju uz odgovarajuće prateće mjere.</w:t>
      </w: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lastRenderedPageBreak/>
        <w:t>Neurološki događaji</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 rijetkim se slučajevima za vrijeme liječenja antagonistima TNF-a uključujući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mogu pojaviti ili pogoršati klinički simptomi i/ili radiografski nalazi demijelinizirajuće</w:t>
      </w:r>
      <w:r w:rsidRPr="001B3E42">
        <w:rPr>
          <w:rFonts w:ascii="Times New Roman" w:hAnsi="Times New Roman" w:cs="Times New Roman"/>
          <w:color w:val="FF0000"/>
          <w:sz w:val="22"/>
          <w:szCs w:val="22"/>
          <w:lang w:val="sr-Latn-ME"/>
        </w:rPr>
        <w:t xml:space="preserve"> </w:t>
      </w:r>
      <w:r w:rsidRPr="001B3E42">
        <w:rPr>
          <w:rFonts w:ascii="Times New Roman" w:hAnsi="Times New Roman" w:cs="Times New Roman"/>
          <w:sz w:val="22"/>
          <w:szCs w:val="22"/>
          <w:lang w:val="sr-Latn-ME"/>
        </w:rPr>
        <w:t>bolesti centralnog nervnog sistema, uključujući multiplu sklerozu i optički neuritis, i periferne demijelinizirajuće bolesti, uključujući Guillan-</w:t>
      </w:r>
      <w:r w:rsidRPr="001B3E42">
        <w:rPr>
          <w:rFonts w:ascii="Times New Roman" w:hAnsi="Times New Roman" w:cs="Times New Roman"/>
          <w:sz w:val="22"/>
          <w:szCs w:val="22"/>
          <w:lang w:val="sr-Latn-ME" w:eastAsia="hr-HR"/>
        </w:rPr>
        <w:t>Barréov sindrom</w:t>
      </w:r>
      <w:r w:rsidRPr="001B3E42">
        <w:rPr>
          <w:rFonts w:ascii="Times New Roman" w:hAnsi="Times New Roman" w:cs="Times New Roman"/>
          <w:sz w:val="22"/>
          <w:szCs w:val="22"/>
          <w:lang w:val="sr-Latn-ME"/>
        </w:rPr>
        <w:t>. Ljekari trebaju oprezno razmotriti</w:t>
      </w:r>
      <w:r w:rsidR="003C0FC7" w:rsidRPr="001B3E42">
        <w:rPr>
          <w:rFonts w:ascii="Times New Roman" w:hAnsi="Times New Roman" w:cs="Times New Roman"/>
          <w:sz w:val="22"/>
          <w:szCs w:val="22"/>
          <w:lang w:val="sr-Latn-ME"/>
        </w:rPr>
        <w:t xml:space="preserve"> liječenje </w:t>
      </w:r>
      <w:r w:rsidR="00AC4C8C" w:rsidRPr="001B3E42">
        <w:rPr>
          <w:rFonts w:ascii="Times New Roman" w:hAnsi="Times New Roman" w:cs="Times New Roman"/>
          <w:color w:val="auto"/>
          <w:sz w:val="22"/>
          <w:szCs w:val="22"/>
          <w:lang w:val="sr-Latn-ME"/>
        </w:rPr>
        <w:t xml:space="preserve">lijekom </w:t>
      </w:r>
      <w:r w:rsidR="003C0FC7"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3C0FC7" w:rsidRPr="001B3E42">
        <w:rPr>
          <w:rFonts w:ascii="Times New Roman" w:hAnsi="Times New Roman" w:cs="Times New Roman"/>
          <w:sz w:val="22"/>
          <w:szCs w:val="22"/>
          <w:lang w:val="sr-Latn-ME"/>
        </w:rPr>
        <w:t xml:space="preserve"> kod pacijenata</w:t>
      </w:r>
      <w:r w:rsidRPr="001B3E42">
        <w:rPr>
          <w:rFonts w:ascii="Times New Roman" w:hAnsi="Times New Roman" w:cs="Times New Roman"/>
          <w:sz w:val="22"/>
          <w:szCs w:val="22"/>
          <w:lang w:val="sr-Latn-ME"/>
        </w:rPr>
        <w:t xml:space="preserve"> s postojeć</w:t>
      </w:r>
      <w:r w:rsidR="003C0FC7" w:rsidRPr="001B3E42">
        <w:rPr>
          <w:rFonts w:ascii="Times New Roman" w:hAnsi="Times New Roman" w:cs="Times New Roman"/>
          <w:sz w:val="22"/>
          <w:szCs w:val="22"/>
          <w:lang w:val="sr-Latn-ME"/>
        </w:rPr>
        <w:t>im ili nedavno dijagnostikovanim</w:t>
      </w:r>
      <w:r w:rsidRPr="001B3E42">
        <w:rPr>
          <w:rFonts w:ascii="Times New Roman" w:hAnsi="Times New Roman" w:cs="Times New Roman"/>
          <w:sz w:val="22"/>
          <w:szCs w:val="22"/>
          <w:lang w:val="sr-Latn-ME"/>
        </w:rPr>
        <w:t xml:space="preserve"> demijelinizirajućim poremećajima centralnog ili perifernog nervnog sistema.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Alergijske reakcije</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 kliničkim ispitivanjima su se rijetko javljale ozbiljne alergijske reakcije prilikom primjene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Manje često su u kliničkim ispitivanjima zabilježene alergijske reakcije koji ne spadaju u ozbiljne alergijske reakcije, a povezane su sa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Nakon primjene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bilo je prijava</w:t>
      </w:r>
      <w:r w:rsidRPr="001B3E42">
        <w:rPr>
          <w:sz w:val="22"/>
          <w:szCs w:val="22"/>
          <w:lang w:val="sr-Latn-ME"/>
        </w:rPr>
        <w:t xml:space="preserve"> </w:t>
      </w:r>
      <w:r w:rsidRPr="001B3E42">
        <w:rPr>
          <w:rFonts w:ascii="Times New Roman" w:hAnsi="Times New Roman" w:cs="Times New Roman"/>
          <w:sz w:val="22"/>
          <w:szCs w:val="22"/>
          <w:lang w:val="sr-Latn-ME"/>
        </w:rPr>
        <w:t xml:space="preserve">ozbiljnih alergijskih reakcija, uključujući anafilaksu. Ako se pojavi anafilaktička ili druga ozbiljna alergijska reakcija, primjenu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treba odmah obustaviti i započeti odgovarajuću terapiju.</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Imunosupresija</w:t>
      </w:r>
    </w:p>
    <w:p w:rsidR="00030852" w:rsidRPr="001B3E42" w:rsidRDefault="00951D8D"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ispitivanju 64 pacijenata</w:t>
      </w:r>
      <w:r w:rsidR="00030852" w:rsidRPr="001B3E42">
        <w:rPr>
          <w:rFonts w:ascii="Times New Roman" w:hAnsi="Times New Roman" w:cs="Times New Roman"/>
          <w:sz w:val="22"/>
          <w:szCs w:val="22"/>
          <w:lang w:val="sr-Latn-ME"/>
        </w:rPr>
        <w:t xml:space="preserve"> s reumatoidnim artritisom liječenih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nije zabilježeno smanjenje </w:t>
      </w:r>
      <w:r w:rsidR="00B81677" w:rsidRPr="001B3E42">
        <w:rPr>
          <w:rFonts w:ascii="Times New Roman" w:hAnsi="Times New Roman" w:cs="Times New Roman"/>
          <w:sz w:val="22"/>
          <w:szCs w:val="22"/>
          <w:lang w:val="sr-Latn-ME"/>
        </w:rPr>
        <w:t xml:space="preserve">reakcija </w:t>
      </w:r>
      <w:r w:rsidR="00030852" w:rsidRPr="001B3E42">
        <w:rPr>
          <w:rFonts w:ascii="Times New Roman" w:hAnsi="Times New Roman" w:cs="Times New Roman"/>
          <w:sz w:val="22"/>
          <w:szCs w:val="22"/>
          <w:lang w:val="sr-Latn-ME"/>
        </w:rPr>
        <w:t>preosjetljivosti</w:t>
      </w:r>
      <w:r w:rsidR="00B81677" w:rsidRPr="001B3E42">
        <w:rPr>
          <w:rFonts w:ascii="Times New Roman" w:hAnsi="Times New Roman" w:cs="Times New Roman"/>
          <w:sz w:val="22"/>
          <w:szCs w:val="22"/>
          <w:lang w:val="sr-Latn-ME"/>
        </w:rPr>
        <w:t xml:space="preserve"> kasnog tipa</w:t>
      </w:r>
      <w:r w:rsidR="00030852" w:rsidRPr="001B3E42">
        <w:rPr>
          <w:rFonts w:ascii="Times New Roman" w:hAnsi="Times New Roman" w:cs="Times New Roman"/>
          <w:sz w:val="22"/>
          <w:szCs w:val="22"/>
          <w:lang w:val="sr-Latn-ME"/>
        </w:rPr>
        <w:t>, sniženja vrijednosti imunoglobulina, odnosno promjene broja efektorskih T i B ćelija, NK ćelija, monocita/makrofaga i neutrofila.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9065F5"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Maligni</w:t>
      </w:r>
      <w:r w:rsidR="00030852" w:rsidRPr="001B3E42">
        <w:rPr>
          <w:rFonts w:ascii="Times New Roman" w:hAnsi="Times New Roman" w:cs="Times New Roman"/>
          <w:sz w:val="22"/>
          <w:szCs w:val="22"/>
          <w:u w:val="single"/>
          <w:lang w:val="sr-Latn-ME"/>
        </w:rPr>
        <w:t xml:space="preserve"> i limfoproliferativni poremećaji</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kontrolisanim djelovima kliničkih ispitivanja antagonista TNF-</w:t>
      </w:r>
      <w:r w:rsidR="009065F5" w:rsidRPr="001B3E42">
        <w:rPr>
          <w:rFonts w:ascii="Times New Roman" w:hAnsi="Times New Roman" w:cs="Times New Roman"/>
          <w:sz w:val="22"/>
          <w:szCs w:val="22"/>
          <w:lang w:val="sr-Latn-ME"/>
        </w:rPr>
        <w:t>a, zabilježeno je više malignih</w:t>
      </w:r>
      <w:r w:rsidRPr="001B3E42">
        <w:rPr>
          <w:rFonts w:ascii="Times New Roman" w:hAnsi="Times New Roman" w:cs="Times New Roman"/>
          <w:sz w:val="22"/>
          <w:szCs w:val="22"/>
          <w:lang w:val="sr-Latn-ME"/>
        </w:rPr>
        <w:t xml:space="preserve"> slučajeva, u</w:t>
      </w:r>
      <w:r w:rsidR="00951D8D" w:rsidRPr="001B3E42">
        <w:rPr>
          <w:rFonts w:ascii="Times New Roman" w:hAnsi="Times New Roman" w:cs="Times New Roman"/>
          <w:sz w:val="22"/>
          <w:szCs w:val="22"/>
          <w:lang w:val="sr-Latn-ME"/>
        </w:rPr>
        <w:t>ključujući i limfome, kod pacijenat</w:t>
      </w:r>
      <w:r w:rsidRPr="001B3E42">
        <w:rPr>
          <w:rFonts w:ascii="Times New Roman" w:hAnsi="Times New Roman" w:cs="Times New Roman"/>
          <w:sz w:val="22"/>
          <w:szCs w:val="22"/>
          <w:lang w:val="sr-Latn-ME"/>
        </w:rPr>
        <w:t>a liječenih antagonistima TNF-a n</w:t>
      </w:r>
      <w:r w:rsidR="00951D8D" w:rsidRPr="001B3E42">
        <w:rPr>
          <w:rFonts w:ascii="Times New Roman" w:hAnsi="Times New Roman" w:cs="Times New Roman"/>
          <w:sz w:val="22"/>
          <w:szCs w:val="22"/>
          <w:lang w:val="sr-Latn-ME"/>
        </w:rPr>
        <w:t>ego u kontrolnoj grupi pacijenata</w:t>
      </w:r>
      <w:r w:rsidRPr="001B3E42">
        <w:rPr>
          <w:rFonts w:ascii="Times New Roman" w:hAnsi="Times New Roman" w:cs="Times New Roman"/>
          <w:sz w:val="22"/>
          <w:szCs w:val="22"/>
          <w:lang w:val="sr-Latn-ME"/>
        </w:rPr>
        <w:t>. Međutim, učestalost je bila rijetka. Nakon stavljanja lijeka u promet zabilježeni su</w:t>
      </w:r>
      <w:r w:rsidR="00951D8D" w:rsidRPr="001B3E42">
        <w:rPr>
          <w:rFonts w:ascii="Times New Roman" w:hAnsi="Times New Roman" w:cs="Times New Roman"/>
          <w:sz w:val="22"/>
          <w:szCs w:val="22"/>
          <w:lang w:val="sr-Latn-ME"/>
        </w:rPr>
        <w:t xml:space="preserve"> slučajevi leukemije kod pacijenata</w:t>
      </w:r>
      <w:r w:rsidRPr="001B3E42">
        <w:rPr>
          <w:rFonts w:ascii="Times New Roman" w:hAnsi="Times New Roman" w:cs="Times New Roman"/>
          <w:sz w:val="22"/>
          <w:szCs w:val="22"/>
          <w:lang w:val="sr-Latn-ME"/>
        </w:rPr>
        <w:t xml:space="preserve"> liječenih antagonistima TNF-a. Procjenu rizika otežava i inače povećani rizik razvoja</w:t>
      </w:r>
      <w:r w:rsidR="00951D8D" w:rsidRPr="001B3E42">
        <w:rPr>
          <w:rFonts w:ascii="Times New Roman" w:hAnsi="Times New Roman" w:cs="Times New Roman"/>
          <w:sz w:val="22"/>
          <w:szCs w:val="22"/>
          <w:lang w:val="sr-Latn-ME"/>
        </w:rPr>
        <w:t xml:space="preserve"> limfoma i leukemije kod pacijenata</w:t>
      </w:r>
      <w:r w:rsidRPr="001B3E42">
        <w:rPr>
          <w:rFonts w:ascii="Times New Roman" w:hAnsi="Times New Roman" w:cs="Times New Roman"/>
          <w:sz w:val="22"/>
          <w:szCs w:val="22"/>
          <w:lang w:val="sr-Latn-ME"/>
        </w:rPr>
        <w:t xml:space="preserve"> s reumatoidnim artritisom s dugotrajnom, izrazito aktivnom upalnom bolesti. Prema postojećim saznanjima, mogući rizik razvoja limfoma, leukemija i ostal</w:t>
      </w:r>
      <w:r w:rsidR="009065F5" w:rsidRPr="001B3E42">
        <w:rPr>
          <w:rFonts w:ascii="Times New Roman" w:hAnsi="Times New Roman" w:cs="Times New Roman"/>
          <w:sz w:val="22"/>
          <w:szCs w:val="22"/>
          <w:lang w:val="sr-Latn-ME"/>
        </w:rPr>
        <w:t>ih malignih</w:t>
      </w:r>
      <w:r w:rsidR="00951D8D" w:rsidRPr="001B3E42">
        <w:rPr>
          <w:rFonts w:ascii="Times New Roman" w:hAnsi="Times New Roman" w:cs="Times New Roman"/>
          <w:sz w:val="22"/>
          <w:szCs w:val="22"/>
          <w:lang w:val="sr-Latn-ME"/>
        </w:rPr>
        <w:t xml:space="preserve"> bolesti kod pacijenata</w:t>
      </w:r>
      <w:r w:rsidRPr="001B3E42">
        <w:rPr>
          <w:rFonts w:ascii="Times New Roman" w:hAnsi="Times New Roman" w:cs="Times New Roman"/>
          <w:sz w:val="22"/>
          <w:szCs w:val="22"/>
          <w:lang w:val="sr-Latn-ME"/>
        </w:rPr>
        <w:t xml:space="preserve"> liječenih antagonistima TNF-a ne može se isključiti.</w:t>
      </w:r>
    </w:p>
    <w:p w:rsidR="00030852" w:rsidRPr="001B3E42" w:rsidRDefault="00030852" w:rsidP="00030852">
      <w:pPr>
        <w:pStyle w:val="Default"/>
        <w:ind w:left="567" w:hanging="567"/>
        <w:jc w:val="both"/>
        <w:rPr>
          <w:rFonts w:ascii="Times New Roman" w:hAnsi="Times New Roman" w:cs="Times New Roman"/>
          <w:sz w:val="22"/>
          <w:szCs w:val="22"/>
          <w:lang w:val="sr-Latn-ME"/>
        </w:rPr>
      </w:pPr>
    </w:p>
    <w:p w:rsidR="00030852" w:rsidRPr="001B3E42" w:rsidRDefault="009065F5"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Maligne</w:t>
      </w:r>
      <w:r w:rsidR="00030852" w:rsidRPr="001B3E42">
        <w:rPr>
          <w:rFonts w:ascii="Times New Roman" w:hAnsi="Times New Roman" w:cs="Times New Roman"/>
          <w:sz w:val="22"/>
          <w:szCs w:val="22"/>
          <w:lang w:val="sr-Latn-ME"/>
        </w:rPr>
        <w:t xml:space="preserve"> bolesti, neke i fatalne, zabilježene su kod djece, adolescenata i mlađih odraslih ljudi (do 22 godine starosti) liječenih antagonistima TNF-a (početak terapije ≤ 18. godini života), uključujući i adalimumab nakon pojave na tržištu. Otprilike polovina slučajeva su bili limfomi. Ostali slučajevi predstavlj</w:t>
      </w:r>
      <w:r w:rsidRPr="001B3E42">
        <w:rPr>
          <w:rFonts w:ascii="Times New Roman" w:hAnsi="Times New Roman" w:cs="Times New Roman"/>
          <w:sz w:val="22"/>
          <w:szCs w:val="22"/>
          <w:lang w:val="sr-Latn-ME"/>
        </w:rPr>
        <w:t>aju mnoštvo različitih malign</w:t>
      </w:r>
      <w:r w:rsidR="00B81677" w:rsidRPr="001B3E42">
        <w:rPr>
          <w:rFonts w:ascii="Times New Roman" w:hAnsi="Times New Roman" w:cs="Times New Roman"/>
          <w:sz w:val="22"/>
          <w:szCs w:val="22"/>
          <w:lang w:val="sr-Latn-ME"/>
        </w:rPr>
        <w:t>ih</w:t>
      </w:r>
      <w:r w:rsidR="00030852" w:rsidRPr="001B3E42">
        <w:rPr>
          <w:rFonts w:ascii="Times New Roman" w:hAnsi="Times New Roman" w:cs="Times New Roman"/>
          <w:sz w:val="22"/>
          <w:szCs w:val="22"/>
          <w:lang w:val="sr-Latn-ME"/>
        </w:rPr>
        <w:t xml:space="preserve"> bolesti, uključuju</w:t>
      </w:r>
      <w:r w:rsidRPr="001B3E42">
        <w:rPr>
          <w:rFonts w:ascii="Times New Roman" w:hAnsi="Times New Roman" w:cs="Times New Roman"/>
          <w:sz w:val="22"/>
          <w:szCs w:val="22"/>
          <w:lang w:val="sr-Latn-ME"/>
        </w:rPr>
        <w:t>ći i rijetke maligne</w:t>
      </w:r>
      <w:r w:rsidR="00030852" w:rsidRPr="001B3E42">
        <w:rPr>
          <w:rFonts w:ascii="Times New Roman" w:hAnsi="Times New Roman" w:cs="Times New Roman"/>
          <w:sz w:val="22"/>
          <w:szCs w:val="22"/>
          <w:lang w:val="sr-Latn-ME"/>
        </w:rPr>
        <w:t xml:space="preserve"> bolesti obično povezane s imunosu</w:t>
      </w:r>
      <w:r w:rsidRPr="001B3E42">
        <w:rPr>
          <w:rFonts w:ascii="Times New Roman" w:hAnsi="Times New Roman" w:cs="Times New Roman"/>
          <w:sz w:val="22"/>
          <w:szCs w:val="22"/>
          <w:lang w:val="sr-Latn-ME"/>
        </w:rPr>
        <w:t>presijom. Rizik pojave malignih</w:t>
      </w:r>
      <w:r w:rsidR="00030852" w:rsidRPr="001B3E42">
        <w:rPr>
          <w:rFonts w:ascii="Times New Roman" w:hAnsi="Times New Roman" w:cs="Times New Roman"/>
          <w:sz w:val="22"/>
          <w:szCs w:val="22"/>
          <w:lang w:val="sr-Latn-ME"/>
        </w:rPr>
        <w:t xml:space="preserve"> bolesti kod djece i adolescenata liječenih TNF-antagonistima ne može se isključiti.</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030852" w:rsidRPr="001B3E42" w:rsidRDefault="002724A6" w:rsidP="002724A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Kod p</w:t>
      </w:r>
      <w:r w:rsidR="009065F5"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cijenata</w:t>
      </w:r>
      <w:r w:rsidR="00030852" w:rsidRPr="001B3E42">
        <w:rPr>
          <w:rFonts w:ascii="Times New Roman" w:hAnsi="Times New Roman" w:cs="Times New Roman"/>
          <w:sz w:val="22"/>
          <w:szCs w:val="22"/>
          <w:lang w:val="sr-Latn-ME"/>
        </w:rPr>
        <w:t xml:space="preserve"> liječenih adalimumabom tokom postmarketinškog praćenja prijavljeni su rijetki slučajevi hepatospleničnog T-ćelijskog limfoma. Ovaj rijedak oblik T-ćelijskog limfoma ima izrazito agresivan tok i najčešće je fatalan. Neki od tih hepatospleničnih T-ćelijskih limfoma povezanih s upotrebom </w:t>
      </w:r>
      <w:r w:rsidR="00B11AAE" w:rsidRPr="001B3E42">
        <w:rPr>
          <w:rFonts w:ascii="Times New Roman" w:hAnsi="Times New Roman" w:cs="Times New Roman"/>
          <w:color w:val="auto"/>
          <w:sz w:val="22"/>
          <w:szCs w:val="22"/>
          <w:lang w:val="sr-Latn-ME"/>
        </w:rPr>
        <w:t xml:space="preserve">lijeka </w:t>
      </w:r>
      <w:r w:rsidR="00030852"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javili s</w:t>
      </w:r>
      <w:r w:rsidRPr="001B3E42">
        <w:rPr>
          <w:rFonts w:ascii="Times New Roman" w:hAnsi="Times New Roman" w:cs="Times New Roman"/>
          <w:sz w:val="22"/>
          <w:szCs w:val="22"/>
          <w:lang w:val="sr-Latn-ME"/>
        </w:rPr>
        <w:t xml:space="preserve">u se </w:t>
      </w:r>
      <w:r w:rsidR="00DA32ED" w:rsidRPr="001B3E42">
        <w:rPr>
          <w:rFonts w:ascii="Times New Roman" w:hAnsi="Times New Roman" w:cs="Times New Roman"/>
          <w:sz w:val="22"/>
          <w:szCs w:val="22"/>
          <w:lang w:val="sr-Latn-ME"/>
        </w:rPr>
        <w:t>kod</w:t>
      </w:r>
      <w:r w:rsidRPr="001B3E42">
        <w:rPr>
          <w:rFonts w:ascii="Times New Roman" w:hAnsi="Times New Roman" w:cs="Times New Roman"/>
          <w:sz w:val="22"/>
          <w:szCs w:val="22"/>
          <w:lang w:val="sr-Latn-ME"/>
        </w:rPr>
        <w:t xml:space="preserve"> mladih odraslih pacijenata</w:t>
      </w:r>
      <w:r w:rsidR="00030852" w:rsidRPr="001B3E42">
        <w:rPr>
          <w:rFonts w:ascii="Times New Roman" w:hAnsi="Times New Roman" w:cs="Times New Roman"/>
          <w:sz w:val="22"/>
          <w:szCs w:val="22"/>
          <w:lang w:val="sr-Latn-ME"/>
        </w:rPr>
        <w:t xml:space="preserve"> koji su istovremeno koristili i azatioprin ili 6-merkaptopurin u terapiji upalne bolesti crijeva. Potrebno je pažljivo razmotriti mogući rizik kombinacije azatioprina ili 6-merkaptopurina s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Rizik pojave hepatospleničnog T-ćelijskog limfoma </w:t>
      </w:r>
      <w:r w:rsidRPr="001B3E42">
        <w:rPr>
          <w:rFonts w:ascii="Times New Roman" w:hAnsi="Times New Roman" w:cs="Times New Roman"/>
          <w:sz w:val="22"/>
          <w:szCs w:val="22"/>
          <w:lang w:val="sr-Latn-ME"/>
        </w:rPr>
        <w:t>kod pacijenata</w:t>
      </w:r>
      <w:r w:rsidR="00030852" w:rsidRPr="001B3E42">
        <w:rPr>
          <w:rFonts w:ascii="Times New Roman" w:hAnsi="Times New Roman" w:cs="Times New Roman"/>
          <w:sz w:val="22"/>
          <w:szCs w:val="22"/>
          <w:lang w:val="sr-Latn-ME"/>
        </w:rPr>
        <w:t xml:space="preserve"> koji koriste </w:t>
      </w:r>
      <w:r w:rsidR="00872668" w:rsidRPr="001B3E42">
        <w:rPr>
          <w:rFonts w:ascii="Times New Roman" w:hAnsi="Times New Roman" w:cs="Times New Roman"/>
          <w:sz w:val="22"/>
          <w:szCs w:val="22"/>
          <w:lang w:val="sr-Latn-ME"/>
        </w:rPr>
        <w:t xml:space="preserve">lijek </w:t>
      </w:r>
      <w:r w:rsidR="00030852"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ne</w:t>
      </w:r>
      <w:r w:rsidRPr="001B3E42">
        <w:rPr>
          <w:rFonts w:ascii="Times New Roman" w:hAnsi="Times New Roman" w:cs="Times New Roman"/>
          <w:sz w:val="22"/>
          <w:szCs w:val="22"/>
          <w:lang w:val="sr-Latn-ME"/>
        </w:rPr>
        <w:t xml:space="preserve"> može se isključiti (vidjeti </w:t>
      </w:r>
      <w:r w:rsidR="002D5061" w:rsidRPr="001B3E42">
        <w:rPr>
          <w:rFonts w:ascii="Times New Roman" w:hAnsi="Times New Roman" w:cs="Times New Roman"/>
          <w:sz w:val="22"/>
          <w:szCs w:val="22"/>
          <w:lang w:val="sr-Latn-ME"/>
        </w:rPr>
        <w:t>odjeljak</w:t>
      </w:r>
      <w:r w:rsidR="00030852" w:rsidRPr="001B3E42">
        <w:rPr>
          <w:rFonts w:ascii="Times New Roman" w:hAnsi="Times New Roman" w:cs="Times New Roman"/>
          <w:sz w:val="22"/>
          <w:szCs w:val="22"/>
          <w:lang w:val="sr-Latn-ME"/>
        </w:rPr>
        <w:t xml:space="preserve"> 4.8).</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2724A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Nisu </w:t>
      </w:r>
      <w:r w:rsidR="002724A6" w:rsidRPr="001B3E42">
        <w:rPr>
          <w:rFonts w:ascii="Times New Roman" w:hAnsi="Times New Roman" w:cs="Times New Roman"/>
          <w:sz w:val="22"/>
          <w:szCs w:val="22"/>
          <w:lang w:val="sr-Latn-ME"/>
        </w:rPr>
        <w:t>provedena ispitivanja kod pacijenata</w:t>
      </w:r>
      <w:r w:rsidR="009065F5" w:rsidRPr="001B3E42">
        <w:rPr>
          <w:rFonts w:ascii="Times New Roman" w:hAnsi="Times New Roman" w:cs="Times New Roman"/>
          <w:sz w:val="22"/>
          <w:szCs w:val="22"/>
          <w:lang w:val="sr-Latn-ME"/>
        </w:rPr>
        <w:t xml:space="preserve"> sa malignim</w:t>
      </w:r>
      <w:r w:rsidRPr="001B3E42">
        <w:rPr>
          <w:rFonts w:ascii="Times New Roman" w:hAnsi="Times New Roman" w:cs="Times New Roman"/>
          <w:sz w:val="22"/>
          <w:szCs w:val="22"/>
          <w:lang w:val="sr-Latn-ME"/>
        </w:rPr>
        <w:t xml:space="preserve"> bolestima u anamnezi ili </w:t>
      </w:r>
      <w:r w:rsidR="002724A6" w:rsidRPr="001B3E42">
        <w:rPr>
          <w:rFonts w:ascii="Times New Roman" w:hAnsi="Times New Roman" w:cs="Times New Roman"/>
          <w:sz w:val="22"/>
          <w:szCs w:val="22"/>
          <w:lang w:val="sr-Latn-ME"/>
        </w:rPr>
        <w:t xml:space="preserve">kod pacijenata </w:t>
      </w:r>
      <w:r w:rsidRPr="001B3E42">
        <w:rPr>
          <w:rFonts w:ascii="Times New Roman" w:hAnsi="Times New Roman" w:cs="Times New Roman"/>
          <w:sz w:val="22"/>
          <w:szCs w:val="22"/>
          <w:lang w:val="sr-Latn-ME"/>
        </w:rPr>
        <w:t xml:space="preserve">koji su </w:t>
      </w:r>
      <w:r w:rsidRPr="001B3E42">
        <w:rPr>
          <w:rFonts w:ascii="Times New Roman" w:hAnsi="Times New Roman" w:cs="Times New Roman"/>
          <w:sz w:val="22"/>
          <w:szCs w:val="22"/>
          <w:lang w:val="sr-Latn-ME"/>
        </w:rPr>
        <w:lastRenderedPageBreak/>
        <w:t xml:space="preserve">nastavili liječenje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9065F5" w:rsidRPr="001B3E42">
        <w:rPr>
          <w:rFonts w:ascii="Times New Roman" w:hAnsi="Times New Roman" w:cs="Times New Roman"/>
          <w:sz w:val="22"/>
          <w:szCs w:val="22"/>
          <w:lang w:val="sr-Latn-ME"/>
        </w:rPr>
        <w:t xml:space="preserve"> nakon obolijevanja od malignih</w:t>
      </w:r>
      <w:r w:rsidRPr="001B3E42">
        <w:rPr>
          <w:rFonts w:ascii="Times New Roman" w:hAnsi="Times New Roman" w:cs="Times New Roman"/>
          <w:sz w:val="22"/>
          <w:szCs w:val="22"/>
          <w:lang w:val="sr-Latn-ME"/>
        </w:rPr>
        <w:t xml:space="preserve"> bolesti. Zbog toga je potreban dodatan oprez prilikom razmatranja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kod takvih </w:t>
      </w:r>
      <w:r w:rsidR="002724A6" w:rsidRPr="001B3E42">
        <w:rPr>
          <w:rFonts w:ascii="Times New Roman" w:hAnsi="Times New Roman" w:cs="Times New Roman"/>
          <w:sz w:val="22"/>
          <w:szCs w:val="22"/>
          <w:lang w:val="sr-Latn-ME"/>
        </w:rPr>
        <w:t xml:space="preserve">pacijenata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4.8).</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2724A6"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Sve pacijente</w:t>
      </w:r>
      <w:r w:rsidR="00030852" w:rsidRPr="001B3E42">
        <w:rPr>
          <w:rFonts w:ascii="Times New Roman" w:hAnsi="Times New Roman" w:cs="Times New Roman"/>
          <w:sz w:val="22"/>
          <w:szCs w:val="22"/>
          <w:lang w:val="sr-Latn-ME"/>
        </w:rPr>
        <w:t>, a posebno one koji u anamnezi imaju dugotrajno korištenje imunos</w:t>
      </w:r>
      <w:r w:rsidRPr="001B3E42">
        <w:rPr>
          <w:rFonts w:ascii="Times New Roman" w:hAnsi="Times New Roman" w:cs="Times New Roman"/>
          <w:sz w:val="22"/>
          <w:szCs w:val="22"/>
          <w:lang w:val="sr-Latn-ME"/>
        </w:rPr>
        <w:t>upresivne terapije ili pacijente</w:t>
      </w:r>
      <w:r w:rsidR="00030852" w:rsidRPr="001B3E42">
        <w:rPr>
          <w:rFonts w:ascii="Times New Roman" w:hAnsi="Times New Roman" w:cs="Times New Roman"/>
          <w:sz w:val="22"/>
          <w:szCs w:val="22"/>
          <w:lang w:val="sr-Latn-ME"/>
        </w:rPr>
        <w:t xml:space="preserve"> s psorijazom sa PUVA liječenjem u anamnezi, potrebno je prije i za vrijeme liječenja </w:t>
      </w:r>
      <w:r w:rsidR="00AC4C8C" w:rsidRPr="001B3E42">
        <w:rPr>
          <w:rFonts w:ascii="Times New Roman" w:hAnsi="Times New Roman" w:cs="Times New Roman"/>
          <w:color w:val="auto"/>
          <w:sz w:val="22"/>
          <w:szCs w:val="22"/>
          <w:lang w:val="sr-Latn-ME"/>
        </w:rPr>
        <w:t xml:space="preserve">lijekom </w:t>
      </w:r>
      <w:r w:rsidR="00030852"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pregledati u svrhu otkrivanja nemelanomskog karcinoma kože. Melanom i karcinom Merkelovih ćelija su bili prijavljeni kod pacijenata liječenih TNF- antagonistima ukl</w:t>
      </w:r>
      <w:r w:rsidRPr="001B3E42">
        <w:rPr>
          <w:rFonts w:ascii="Times New Roman" w:hAnsi="Times New Roman" w:cs="Times New Roman"/>
          <w:sz w:val="22"/>
          <w:szCs w:val="22"/>
          <w:lang w:val="sr-Latn-ME"/>
        </w:rPr>
        <w:t xml:space="preserve">jučujući adalimumab (vidjeti </w:t>
      </w:r>
      <w:r w:rsidR="002D5061" w:rsidRPr="001B3E42">
        <w:rPr>
          <w:rFonts w:ascii="Times New Roman" w:hAnsi="Times New Roman" w:cs="Times New Roman"/>
          <w:sz w:val="22"/>
          <w:szCs w:val="22"/>
          <w:lang w:val="sr-Latn-ME"/>
        </w:rPr>
        <w:t>odjeljak</w:t>
      </w:r>
      <w:r w:rsidR="00030852" w:rsidRPr="001B3E42">
        <w:rPr>
          <w:rFonts w:ascii="Times New Roman" w:hAnsi="Times New Roman" w:cs="Times New Roman"/>
          <w:sz w:val="22"/>
          <w:szCs w:val="22"/>
          <w:lang w:val="sr-Latn-ME"/>
        </w:rPr>
        <w:t xml:space="preserve"> 4.8)</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2724A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 kliničkom istraživanju primjene drugog antagonista TNF-a, infliksimaba, </w:t>
      </w:r>
      <w:r w:rsidR="002724A6" w:rsidRPr="001B3E42">
        <w:rPr>
          <w:rFonts w:ascii="Times New Roman" w:hAnsi="Times New Roman" w:cs="Times New Roman"/>
          <w:sz w:val="22"/>
          <w:szCs w:val="22"/>
          <w:lang w:val="sr-Latn-ME"/>
        </w:rPr>
        <w:t xml:space="preserve">kod pacijenata </w:t>
      </w:r>
      <w:r w:rsidRPr="001B3E42">
        <w:rPr>
          <w:rFonts w:ascii="Times New Roman" w:hAnsi="Times New Roman" w:cs="Times New Roman"/>
          <w:sz w:val="22"/>
          <w:szCs w:val="22"/>
          <w:lang w:val="sr-Latn-ME"/>
        </w:rPr>
        <w:t xml:space="preserve">s umjerenom do teškom hroničnom opstruktivnom bolesti pluća (HOPB), uočen je povećan broj zloćudnih oboljenja, </w:t>
      </w:r>
      <w:r w:rsidR="00DA32ED" w:rsidRPr="001B3E42">
        <w:rPr>
          <w:rFonts w:ascii="Times New Roman" w:hAnsi="Times New Roman" w:cs="Times New Roman"/>
          <w:sz w:val="22"/>
          <w:szCs w:val="22"/>
          <w:lang w:val="sr-Latn-ME"/>
        </w:rPr>
        <w:t>naročito</w:t>
      </w:r>
      <w:r w:rsidRPr="001B3E42">
        <w:rPr>
          <w:rFonts w:ascii="Times New Roman" w:hAnsi="Times New Roman" w:cs="Times New Roman"/>
          <w:sz w:val="22"/>
          <w:szCs w:val="22"/>
          <w:lang w:val="sr-Latn-ME"/>
        </w:rPr>
        <w:t xml:space="preserve"> na plućima ili glavi i vratu, </w:t>
      </w:r>
      <w:r w:rsidR="002724A6" w:rsidRPr="001B3E42">
        <w:rPr>
          <w:rFonts w:ascii="Times New Roman" w:hAnsi="Times New Roman" w:cs="Times New Roman"/>
          <w:sz w:val="22"/>
          <w:szCs w:val="22"/>
          <w:lang w:val="sr-Latn-ME"/>
        </w:rPr>
        <w:t xml:space="preserve">kod pacijenata </w:t>
      </w:r>
      <w:r w:rsidRPr="001B3E42">
        <w:rPr>
          <w:rFonts w:ascii="Times New Roman" w:hAnsi="Times New Roman" w:cs="Times New Roman"/>
          <w:sz w:val="22"/>
          <w:szCs w:val="22"/>
          <w:lang w:val="sr-Latn-ME"/>
        </w:rPr>
        <w:t>na infliksimabu nego u</w:t>
      </w:r>
      <w:r w:rsidR="002724A6" w:rsidRPr="001B3E42">
        <w:rPr>
          <w:rFonts w:ascii="Times New Roman" w:hAnsi="Times New Roman" w:cs="Times New Roman"/>
          <w:sz w:val="22"/>
          <w:szCs w:val="22"/>
          <w:lang w:val="sr-Latn-ME"/>
        </w:rPr>
        <w:t xml:space="preserve"> kontrolnoj grupi. Svi pacijenti</w:t>
      </w:r>
      <w:r w:rsidRPr="001B3E42">
        <w:rPr>
          <w:rFonts w:ascii="Times New Roman" w:hAnsi="Times New Roman" w:cs="Times New Roman"/>
          <w:sz w:val="22"/>
          <w:szCs w:val="22"/>
          <w:lang w:val="sr-Latn-ME"/>
        </w:rPr>
        <w:t xml:space="preserve"> bili su teški pušači. Zbog toga je potreban oprez kod primjene</w:t>
      </w:r>
      <w:r w:rsidR="002724A6" w:rsidRPr="001B3E42">
        <w:rPr>
          <w:rFonts w:ascii="Times New Roman" w:hAnsi="Times New Roman" w:cs="Times New Roman"/>
          <w:sz w:val="22"/>
          <w:szCs w:val="22"/>
          <w:lang w:val="sr-Latn-ME"/>
        </w:rPr>
        <w:t xml:space="preserve"> antagonista TNF-a kod pacijenata</w:t>
      </w:r>
      <w:r w:rsidRPr="001B3E42">
        <w:rPr>
          <w:rFonts w:ascii="Times New Roman" w:hAnsi="Times New Roman" w:cs="Times New Roman"/>
          <w:sz w:val="22"/>
          <w:szCs w:val="22"/>
          <w:lang w:val="sr-Latn-ME"/>
        </w:rPr>
        <w:t xml:space="preserve"> s HOPB-om, kao i </w:t>
      </w:r>
      <w:r w:rsidR="002724A6" w:rsidRPr="001B3E42">
        <w:rPr>
          <w:rFonts w:ascii="Times New Roman" w:hAnsi="Times New Roman" w:cs="Times New Roman"/>
          <w:sz w:val="22"/>
          <w:szCs w:val="22"/>
          <w:lang w:val="sr-Latn-ME"/>
        </w:rPr>
        <w:t xml:space="preserve">kod pacijenata </w:t>
      </w:r>
      <w:r w:rsidRPr="001B3E42">
        <w:rPr>
          <w:rFonts w:ascii="Times New Roman" w:hAnsi="Times New Roman" w:cs="Times New Roman"/>
          <w:sz w:val="22"/>
          <w:szCs w:val="22"/>
          <w:lang w:val="sr-Latn-ME"/>
        </w:rPr>
        <w:t>koji imaju povećan rizik za razvoj zloćudnih bolesti zbog teškog pušenja.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F30FB3">
      <w:pPr>
        <w:autoSpaceDE w:val="0"/>
        <w:autoSpaceDN w:val="0"/>
        <w:adjustRightInd w:val="0"/>
        <w:jc w:val="both"/>
        <w:rPr>
          <w:sz w:val="22"/>
          <w:szCs w:val="22"/>
          <w:lang w:eastAsia="hr-HR"/>
        </w:rPr>
      </w:pPr>
      <w:r w:rsidRPr="001B3E42">
        <w:rPr>
          <w:iCs/>
          <w:sz w:val="22"/>
          <w:szCs w:val="22"/>
        </w:rPr>
        <w:t xml:space="preserve">Prema trenutnim podacima nije poznato da li liječenje adalimumabom utiče na rizik pojave displazije ili raka kolona. Svi </w:t>
      </w:r>
      <w:r w:rsidR="00F30FB3" w:rsidRPr="001B3E42">
        <w:rPr>
          <w:iCs/>
          <w:sz w:val="22"/>
          <w:szCs w:val="22"/>
        </w:rPr>
        <w:t>pacijent</w:t>
      </w:r>
      <w:r w:rsidRPr="001B3E42">
        <w:rPr>
          <w:iCs/>
          <w:sz w:val="22"/>
          <w:szCs w:val="22"/>
        </w:rPr>
        <w:t xml:space="preserve">i s ulceroznim kolitisom kod kojih je povećan rizik od displazije ili karcinoma kolona (na primjer, </w:t>
      </w:r>
      <w:r w:rsidR="00F30FB3" w:rsidRPr="001B3E42">
        <w:rPr>
          <w:iCs/>
          <w:sz w:val="22"/>
          <w:szCs w:val="22"/>
        </w:rPr>
        <w:t>pacijenti</w:t>
      </w:r>
      <w:r w:rsidRPr="001B3E42">
        <w:rPr>
          <w:iCs/>
          <w:sz w:val="22"/>
          <w:szCs w:val="22"/>
        </w:rPr>
        <w:t xml:space="preserve"> s dugotrajnim ulceroznim kolitisom ili primarnim sklerozirajućim kolangitisom), </w:t>
      </w:r>
      <w:r w:rsidRPr="001B3E42">
        <w:rPr>
          <w:sz w:val="22"/>
          <w:szCs w:val="22"/>
          <w:lang w:eastAsia="hr-HR"/>
        </w:rPr>
        <w:t xml:space="preserve">ili </w:t>
      </w:r>
      <w:r w:rsidR="00F30FB3" w:rsidRPr="001B3E42">
        <w:rPr>
          <w:iCs/>
          <w:sz w:val="22"/>
          <w:szCs w:val="22"/>
        </w:rPr>
        <w:t>pacijenti</w:t>
      </w:r>
      <w:r w:rsidRPr="001B3E42">
        <w:rPr>
          <w:sz w:val="22"/>
          <w:szCs w:val="22"/>
          <w:lang w:eastAsia="hr-HR"/>
        </w:rPr>
        <w:t xml:space="preserve"> koji su imali displaziju ili karcinom kolona moraju se kontrolisati zbog mogućeg razvoja displazije u redovnim intervalima prije početka liječenja i tokom čitavog trajanja bolesti. Ti pregledi moraju uključivati kolonoskopiju i biopsiju u skladu s lokalnim preporukama.</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Hematološke reakcije</w:t>
      </w:r>
    </w:p>
    <w:p w:rsidR="00030852" w:rsidRPr="001B3E42" w:rsidRDefault="00030852" w:rsidP="00420FBA">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rijetkim je slučajevima za vrijeme liječenja antagonistima TNF-a zabilježena pojava pancitopenije, ukl</w:t>
      </w:r>
      <w:r w:rsidR="00420FBA" w:rsidRPr="001B3E42">
        <w:rPr>
          <w:rFonts w:ascii="Times New Roman" w:hAnsi="Times New Roman" w:cs="Times New Roman"/>
          <w:sz w:val="22"/>
          <w:szCs w:val="22"/>
          <w:lang w:val="sr-Latn-ME"/>
        </w:rPr>
        <w:t>jučujući i aplastičnu anemiju. Kod</w:t>
      </w:r>
      <w:r w:rsidRPr="001B3E42">
        <w:rPr>
          <w:rFonts w:ascii="Times New Roman" w:hAnsi="Times New Roman" w:cs="Times New Roman"/>
          <w:sz w:val="22"/>
          <w:szCs w:val="22"/>
          <w:lang w:val="sr-Latn-ME"/>
        </w:rPr>
        <w:t xml:space="preserve"> </w:t>
      </w:r>
      <w:r w:rsidR="00420FBA" w:rsidRPr="001B3E42">
        <w:rPr>
          <w:rFonts w:ascii="Times New Roman" w:hAnsi="Times New Roman" w:cs="Times New Roman"/>
          <w:sz w:val="22"/>
          <w:szCs w:val="22"/>
          <w:lang w:val="sr-Latn-ME"/>
        </w:rPr>
        <w:t>pacijenata</w:t>
      </w:r>
      <w:r w:rsidRPr="001B3E42">
        <w:rPr>
          <w:rFonts w:ascii="Times New Roman" w:hAnsi="Times New Roman" w:cs="Times New Roman"/>
          <w:sz w:val="22"/>
          <w:szCs w:val="22"/>
          <w:lang w:val="sr-Latn-ME"/>
        </w:rPr>
        <w:t xml:space="preserve"> liječenih</w:t>
      </w:r>
      <w:r w:rsidR="00420FBA" w:rsidRPr="001B3E42">
        <w:rPr>
          <w:rFonts w:ascii="Times New Roman" w:hAnsi="Times New Roman" w:cs="Times New Roman"/>
          <w:sz w:val="22"/>
          <w:szCs w:val="22"/>
          <w:lang w:val="sr-Latn-ME"/>
        </w:rPr>
        <w:t xml:space="preserve"> </w:t>
      </w:r>
      <w:r w:rsidR="00AC4C8C" w:rsidRPr="001B3E42">
        <w:rPr>
          <w:rFonts w:ascii="Times New Roman" w:hAnsi="Times New Roman" w:cs="Times New Roman"/>
          <w:color w:val="auto"/>
          <w:sz w:val="22"/>
          <w:szCs w:val="22"/>
          <w:lang w:val="sr-Latn-ME"/>
        </w:rPr>
        <w:t xml:space="preserve">lijekom </w:t>
      </w:r>
      <w:r w:rsidR="00420FBA"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420FBA" w:rsidRPr="001B3E42">
        <w:rPr>
          <w:rFonts w:ascii="Times New Roman" w:hAnsi="Times New Roman" w:cs="Times New Roman"/>
          <w:sz w:val="22"/>
          <w:szCs w:val="22"/>
          <w:lang w:val="sr-Latn-ME"/>
        </w:rPr>
        <w:t xml:space="preserve"> </w:t>
      </w:r>
      <w:r w:rsidR="005C1110" w:rsidRPr="001B3E42">
        <w:rPr>
          <w:rFonts w:ascii="Times New Roman" w:hAnsi="Times New Roman" w:cs="Times New Roman"/>
          <w:sz w:val="22"/>
          <w:szCs w:val="22"/>
          <w:lang w:val="sr-Latn-ME"/>
        </w:rPr>
        <w:t>pojavljuju se neželjena dejstva</w:t>
      </w:r>
      <w:r w:rsidRPr="001B3E42">
        <w:rPr>
          <w:rFonts w:ascii="Times New Roman" w:hAnsi="Times New Roman" w:cs="Times New Roman"/>
          <w:sz w:val="22"/>
          <w:szCs w:val="22"/>
          <w:lang w:val="sr-Latn-ME"/>
        </w:rPr>
        <w:t xml:space="preserve"> hematološkog sistema, uključujući medicinski značajne citopenije (npr. trombocitopenija, leukopenija). </w:t>
      </w:r>
      <w:r w:rsidR="00420FBA" w:rsidRPr="001B3E42">
        <w:rPr>
          <w:rFonts w:ascii="Times New Roman" w:hAnsi="Times New Roman" w:cs="Times New Roman"/>
          <w:sz w:val="22"/>
          <w:szCs w:val="22"/>
          <w:lang w:val="sr-Latn-ME"/>
        </w:rPr>
        <w:t>P</w:t>
      </w:r>
      <w:r w:rsidR="00DA32ED" w:rsidRPr="001B3E42">
        <w:rPr>
          <w:rFonts w:ascii="Times New Roman" w:hAnsi="Times New Roman" w:cs="Times New Roman"/>
          <w:sz w:val="22"/>
          <w:szCs w:val="22"/>
          <w:lang w:val="sr-Latn-ME"/>
        </w:rPr>
        <w:t>a</w:t>
      </w:r>
      <w:r w:rsidR="00420FBA" w:rsidRPr="001B3E42">
        <w:rPr>
          <w:rFonts w:ascii="Times New Roman" w:hAnsi="Times New Roman" w:cs="Times New Roman"/>
          <w:sz w:val="22"/>
          <w:szCs w:val="22"/>
          <w:lang w:val="sr-Latn-ME"/>
        </w:rPr>
        <w:t>cijente</w:t>
      </w:r>
      <w:r w:rsidRPr="001B3E42">
        <w:rPr>
          <w:rFonts w:ascii="Times New Roman" w:hAnsi="Times New Roman" w:cs="Times New Roman"/>
          <w:sz w:val="22"/>
          <w:szCs w:val="22"/>
          <w:lang w:val="sr-Latn-ME"/>
        </w:rPr>
        <w:t xml:space="preserve"> treba upozoriti da odmah zatraže medicinsku pomoć ako se za vrijeme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pojave znakovi i simptomi koji upućuju na krvne diskrazije (npr. stalno povišena tjelesna temperatura, potkožni hematomi, krvarenje, blijedilo). Ako se dokažu značajne hematološke abnormalnosti, treba razmisliti o prekidu liječ</w:t>
      </w:r>
      <w:r w:rsidR="00420FBA" w:rsidRPr="001B3E42">
        <w:rPr>
          <w:rFonts w:ascii="Times New Roman" w:hAnsi="Times New Roman" w:cs="Times New Roman"/>
          <w:sz w:val="22"/>
          <w:szCs w:val="22"/>
          <w:lang w:val="sr-Latn-ME"/>
        </w:rPr>
        <w:t xml:space="preserve">enja </w:t>
      </w:r>
      <w:r w:rsidR="00AC4C8C" w:rsidRPr="001B3E42">
        <w:rPr>
          <w:rFonts w:ascii="Times New Roman" w:hAnsi="Times New Roman" w:cs="Times New Roman"/>
          <w:color w:val="auto"/>
          <w:sz w:val="22"/>
          <w:szCs w:val="22"/>
          <w:lang w:val="sr-Latn-ME"/>
        </w:rPr>
        <w:t xml:space="preserve">lijekom </w:t>
      </w:r>
      <w:r w:rsidR="00420FBA"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420FBA" w:rsidRPr="001B3E42">
        <w:rPr>
          <w:rFonts w:ascii="Times New Roman" w:hAnsi="Times New Roman" w:cs="Times New Roman"/>
          <w:sz w:val="22"/>
          <w:szCs w:val="22"/>
          <w:lang w:val="sr-Latn-ME"/>
        </w:rPr>
        <w:t xml:space="preserve"> kod takvih pacijenat</w:t>
      </w:r>
      <w:r w:rsidRPr="001B3E42">
        <w:rPr>
          <w:rFonts w:ascii="Times New Roman" w:hAnsi="Times New Roman" w:cs="Times New Roman"/>
          <w:sz w:val="22"/>
          <w:szCs w:val="22"/>
          <w:lang w:val="sr-Latn-ME"/>
        </w:rPr>
        <w:t>a.</w:t>
      </w:r>
    </w:p>
    <w:p w:rsidR="00030852" w:rsidRPr="001B3E42" w:rsidRDefault="00030852" w:rsidP="00030852">
      <w:pPr>
        <w:pStyle w:val="Default"/>
        <w:ind w:left="567" w:hanging="567"/>
        <w:jc w:val="both"/>
        <w:rPr>
          <w:rFonts w:ascii="Times New Roman" w:hAnsi="Times New Roman" w:cs="Times New Roman"/>
          <w:sz w:val="22"/>
          <w:szCs w:val="22"/>
          <w:lang w:val="sr-Latn-ME"/>
        </w:rPr>
      </w:pPr>
    </w:p>
    <w:p w:rsidR="00030852" w:rsidRPr="001B3E42" w:rsidRDefault="00420FBA"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iCs/>
          <w:sz w:val="22"/>
          <w:szCs w:val="22"/>
          <w:u w:val="single"/>
          <w:lang w:val="sr-Latn-ME"/>
        </w:rPr>
        <w:t>Vakcinacija</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iCs/>
          <w:sz w:val="22"/>
          <w:szCs w:val="22"/>
          <w:lang w:val="sr-Latn-ME"/>
        </w:rPr>
        <w:t xml:space="preserve">Sličan </w:t>
      </w:r>
      <w:r w:rsidRPr="001B3E42">
        <w:rPr>
          <w:rFonts w:ascii="Times New Roman" w:hAnsi="Times New Roman" w:cs="Times New Roman"/>
          <w:sz w:val="22"/>
          <w:szCs w:val="22"/>
          <w:lang w:val="sr-Latn-ME"/>
        </w:rPr>
        <w:t xml:space="preserve">odgovor antitijela na standardno </w:t>
      </w:r>
      <w:r w:rsidR="00420FBA" w:rsidRPr="001B3E42">
        <w:rPr>
          <w:rFonts w:ascii="Times New Roman" w:hAnsi="Times New Roman" w:cs="Times New Roman"/>
          <w:sz w:val="22"/>
          <w:szCs w:val="22"/>
          <w:lang w:val="sr-Latn-ME"/>
        </w:rPr>
        <w:t>23-ovalentno pneumokoknu vakcinu i trovalentnu vakcinu</w:t>
      </w:r>
      <w:r w:rsidRPr="001B3E42">
        <w:rPr>
          <w:rFonts w:ascii="Times New Roman" w:hAnsi="Times New Roman" w:cs="Times New Roman"/>
          <w:sz w:val="22"/>
          <w:szCs w:val="22"/>
          <w:lang w:val="sr-Latn-ME"/>
        </w:rPr>
        <w:t xml:space="preserve"> protiv gripe je primjećeno u ispitivanju 226 odr</w:t>
      </w:r>
      <w:r w:rsidR="00420FBA" w:rsidRPr="001B3E42">
        <w:rPr>
          <w:rFonts w:ascii="Times New Roman" w:hAnsi="Times New Roman" w:cs="Times New Roman"/>
          <w:sz w:val="22"/>
          <w:szCs w:val="22"/>
          <w:lang w:val="sr-Latn-ME"/>
        </w:rPr>
        <w:t>aslih pacijenata</w:t>
      </w:r>
      <w:r w:rsidRPr="001B3E42">
        <w:rPr>
          <w:rFonts w:ascii="Times New Roman" w:hAnsi="Times New Roman" w:cs="Times New Roman"/>
          <w:sz w:val="22"/>
          <w:szCs w:val="22"/>
          <w:lang w:val="sr-Latn-ME"/>
        </w:rPr>
        <w:t xml:space="preserve"> s reumatoidnim artritisom koji su primali adalimumab ili placebo. Ne postoje podaci koji govore o sekundarnom prenosu infekcije nakon d</w:t>
      </w:r>
      <w:r w:rsidR="00420FBA" w:rsidRPr="001B3E42">
        <w:rPr>
          <w:rFonts w:ascii="Times New Roman" w:hAnsi="Times New Roman" w:cs="Times New Roman"/>
          <w:sz w:val="22"/>
          <w:szCs w:val="22"/>
          <w:lang w:val="sr-Latn-ME"/>
        </w:rPr>
        <w:t>avanja živ</w:t>
      </w:r>
      <w:r w:rsidR="009065F5" w:rsidRPr="001B3E42">
        <w:rPr>
          <w:rFonts w:ascii="Times New Roman" w:hAnsi="Times New Roman" w:cs="Times New Roman"/>
          <w:sz w:val="22"/>
          <w:szCs w:val="22"/>
          <w:lang w:val="sr-Latn-ME"/>
        </w:rPr>
        <w:t>e</w:t>
      </w:r>
      <w:r w:rsidR="00420FBA" w:rsidRPr="001B3E42">
        <w:rPr>
          <w:rFonts w:ascii="Times New Roman" w:hAnsi="Times New Roman" w:cs="Times New Roman"/>
          <w:sz w:val="22"/>
          <w:szCs w:val="22"/>
          <w:lang w:val="sr-Latn-ME"/>
        </w:rPr>
        <w:t xml:space="preserve"> </w:t>
      </w:r>
      <w:r w:rsidR="009065F5" w:rsidRPr="001B3E42">
        <w:rPr>
          <w:rFonts w:ascii="Times New Roman" w:hAnsi="Times New Roman" w:cs="Times New Roman"/>
          <w:sz w:val="22"/>
          <w:szCs w:val="22"/>
          <w:lang w:val="sr-Latn-ME"/>
        </w:rPr>
        <w:t>vakcine</w:t>
      </w:r>
      <w:r w:rsidR="00420FBA" w:rsidRPr="001B3E42">
        <w:rPr>
          <w:rFonts w:ascii="Times New Roman" w:hAnsi="Times New Roman" w:cs="Times New Roman"/>
          <w:sz w:val="22"/>
          <w:szCs w:val="22"/>
          <w:lang w:val="sr-Latn-ME"/>
        </w:rPr>
        <w:t xml:space="preserve"> kod pacijenata</w:t>
      </w:r>
      <w:r w:rsidRPr="001B3E42">
        <w:rPr>
          <w:rFonts w:ascii="Times New Roman" w:hAnsi="Times New Roman" w:cs="Times New Roman"/>
          <w:sz w:val="22"/>
          <w:szCs w:val="22"/>
          <w:lang w:val="sr-Latn-ME"/>
        </w:rPr>
        <w:t xml:space="preserve"> na </w:t>
      </w:r>
      <w:r w:rsidR="00872668" w:rsidRPr="001B3E42">
        <w:rPr>
          <w:rFonts w:ascii="Times New Roman" w:hAnsi="Times New Roman" w:cs="Times New Roman"/>
          <w:sz w:val="22"/>
          <w:szCs w:val="22"/>
          <w:lang w:val="sr-Latn-ME"/>
        </w:rPr>
        <w:t xml:space="preserve">lijeku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Preporučuje se da s</w:t>
      </w:r>
      <w:r w:rsidR="00420FBA" w:rsidRPr="001B3E42">
        <w:rPr>
          <w:rFonts w:ascii="Times New Roman" w:hAnsi="Times New Roman" w:cs="Times New Roman"/>
          <w:sz w:val="22"/>
          <w:szCs w:val="22"/>
          <w:lang w:val="sr-Latn-ME"/>
        </w:rPr>
        <w:t>e pedijatrijski pacijenti</w:t>
      </w:r>
      <w:r w:rsidRPr="001B3E42">
        <w:rPr>
          <w:rFonts w:ascii="Times New Roman" w:hAnsi="Times New Roman" w:cs="Times New Roman"/>
          <w:sz w:val="22"/>
          <w:szCs w:val="22"/>
          <w:lang w:val="sr-Latn-ME"/>
        </w:rPr>
        <w:t>, ako je moguće,</w:t>
      </w:r>
      <w:r w:rsidR="00420FBA" w:rsidRPr="001B3E42">
        <w:rPr>
          <w:rFonts w:ascii="Times New Roman" w:hAnsi="Times New Roman" w:cs="Times New Roman"/>
          <w:sz w:val="22"/>
          <w:szCs w:val="22"/>
          <w:lang w:val="sr-Latn-ME"/>
        </w:rPr>
        <w:t xml:space="preserve"> vakcinišu</w:t>
      </w:r>
      <w:r w:rsidRPr="001B3E42">
        <w:rPr>
          <w:rFonts w:ascii="Times New Roman" w:hAnsi="Times New Roman" w:cs="Times New Roman"/>
          <w:sz w:val="22"/>
          <w:szCs w:val="22"/>
          <w:lang w:val="sr-Latn-ME"/>
        </w:rPr>
        <w:t xml:space="preserve"> u skladu sa svim va</w:t>
      </w:r>
      <w:r w:rsidR="00420FBA" w:rsidRPr="001B3E42">
        <w:rPr>
          <w:rFonts w:ascii="Times New Roman" w:hAnsi="Times New Roman" w:cs="Times New Roman"/>
          <w:sz w:val="22"/>
          <w:szCs w:val="22"/>
          <w:lang w:val="sr-Latn-ME"/>
        </w:rPr>
        <w:t>žećim smjernicama za vakcinaciju</w:t>
      </w:r>
      <w:r w:rsidRPr="001B3E42">
        <w:rPr>
          <w:rFonts w:ascii="Times New Roman" w:hAnsi="Times New Roman" w:cs="Times New Roman"/>
          <w:sz w:val="22"/>
          <w:szCs w:val="22"/>
          <w:lang w:val="sr-Latn-ME"/>
        </w:rPr>
        <w:t xml:space="preserve"> prije uvođenja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u terapiju.</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420FBA"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Pacijenti</w:t>
      </w:r>
      <w:r w:rsidR="00030852" w:rsidRPr="001B3E42">
        <w:rPr>
          <w:rFonts w:ascii="Times New Roman" w:hAnsi="Times New Roman" w:cs="Times New Roman"/>
          <w:sz w:val="22"/>
          <w:szCs w:val="22"/>
          <w:lang w:val="sr-Latn-ME"/>
        </w:rPr>
        <w:t xml:space="preserve"> koji primaju </w:t>
      </w:r>
      <w:r w:rsidR="00872668" w:rsidRPr="001B3E42">
        <w:rPr>
          <w:rFonts w:ascii="Times New Roman" w:hAnsi="Times New Roman" w:cs="Times New Roman"/>
          <w:sz w:val="22"/>
          <w:szCs w:val="22"/>
          <w:lang w:val="sr-Latn-ME"/>
        </w:rPr>
        <w:t xml:space="preserve">lijek </w:t>
      </w:r>
      <w:r w:rsidR="00030852"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mogu istovremeno primiti vakcinu, ali ne živu vakcinu</w:t>
      </w:r>
      <w:r w:rsidR="00030852"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Primjena žive vakcine</w:t>
      </w:r>
      <w:r w:rsidR="00B91847" w:rsidRPr="001B3E42">
        <w:rPr>
          <w:rFonts w:ascii="Times New Roman" w:hAnsi="Times New Roman" w:cs="Times New Roman"/>
          <w:sz w:val="22"/>
          <w:szCs w:val="22"/>
          <w:lang w:val="sr-Latn-ME"/>
        </w:rPr>
        <w:t xml:space="preserve"> kod odoj</w:t>
      </w:r>
      <w:r w:rsidR="00030852" w:rsidRPr="001B3E42">
        <w:rPr>
          <w:rFonts w:ascii="Times New Roman" w:hAnsi="Times New Roman" w:cs="Times New Roman"/>
          <w:sz w:val="22"/>
          <w:szCs w:val="22"/>
          <w:lang w:val="sr-Latn-ME"/>
        </w:rPr>
        <w:t xml:space="preserve">čadi koja su bila izložena adalimumabu </w:t>
      </w:r>
      <w:r w:rsidR="008C13EF" w:rsidRPr="001B3E42">
        <w:rPr>
          <w:rFonts w:ascii="Times New Roman" w:hAnsi="Times New Roman" w:cs="Times New Roman"/>
          <w:i/>
          <w:sz w:val="22"/>
          <w:szCs w:val="22"/>
          <w:lang w:val="sr-Latn-ME"/>
        </w:rPr>
        <w:t>in utero</w:t>
      </w:r>
      <w:r w:rsidR="00030852" w:rsidRPr="001B3E42">
        <w:rPr>
          <w:rFonts w:ascii="Times New Roman" w:hAnsi="Times New Roman" w:cs="Times New Roman"/>
          <w:sz w:val="22"/>
          <w:szCs w:val="22"/>
          <w:lang w:val="sr-Latn-ME"/>
        </w:rPr>
        <w:t xml:space="preserve"> se ne preporučuje u narednih 5 mjeseci nakon posljednje doze koju je primila majka tokom trudnoće. </w:t>
      </w:r>
    </w:p>
    <w:p w:rsidR="00030852" w:rsidRPr="001B3E42" w:rsidRDefault="00030852" w:rsidP="00030852">
      <w:pPr>
        <w:pStyle w:val="Default"/>
        <w:jc w:val="both"/>
        <w:rPr>
          <w:rFonts w:ascii="Times New Roman" w:hAnsi="Times New Roman" w:cs="Times New Roman"/>
          <w:sz w:val="22"/>
          <w:szCs w:val="22"/>
          <w:lang w:val="sr-Latn-ME"/>
        </w:rPr>
      </w:pPr>
    </w:p>
    <w:p w:rsidR="00983211" w:rsidRDefault="00983211" w:rsidP="00030852">
      <w:pPr>
        <w:pStyle w:val="Default"/>
        <w:jc w:val="both"/>
        <w:rPr>
          <w:rFonts w:ascii="Times New Roman" w:hAnsi="Times New Roman" w:cs="Times New Roman"/>
          <w:sz w:val="22"/>
          <w:szCs w:val="22"/>
          <w:u w:val="single"/>
          <w:lang w:val="sr-Latn-ME"/>
        </w:rPr>
      </w:pPr>
    </w:p>
    <w:p w:rsidR="00030852" w:rsidRPr="001B3E42" w:rsidRDefault="00B91847"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lastRenderedPageBreak/>
        <w:t>Kongestivn</w:t>
      </w:r>
      <w:r w:rsidR="009065F5" w:rsidRPr="001B3E42">
        <w:rPr>
          <w:rFonts w:ascii="Times New Roman" w:hAnsi="Times New Roman" w:cs="Times New Roman"/>
          <w:sz w:val="22"/>
          <w:szCs w:val="22"/>
          <w:u w:val="single"/>
          <w:lang w:val="sr-Latn-ME"/>
        </w:rPr>
        <w:t>a srčana insuficijencija</w:t>
      </w:r>
    </w:p>
    <w:p w:rsidR="00030852" w:rsidRPr="001B3E42" w:rsidRDefault="00030852" w:rsidP="00B91847">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kliničkom ispitivanju jednog drugog antagonista TNF-a zabilježeno je</w:t>
      </w:r>
      <w:r w:rsidR="00B91847" w:rsidRPr="001B3E42">
        <w:rPr>
          <w:rFonts w:ascii="Times New Roman" w:hAnsi="Times New Roman" w:cs="Times New Roman"/>
          <w:sz w:val="22"/>
          <w:szCs w:val="22"/>
          <w:lang w:val="sr-Latn-ME"/>
        </w:rPr>
        <w:t xml:space="preserve"> pogoršanje kongestivn</w:t>
      </w:r>
      <w:r w:rsidR="002D37B0" w:rsidRPr="001B3E42">
        <w:rPr>
          <w:rFonts w:ascii="Times New Roman" w:hAnsi="Times New Roman" w:cs="Times New Roman"/>
          <w:sz w:val="22"/>
          <w:szCs w:val="22"/>
          <w:lang w:val="sr-Latn-ME"/>
        </w:rPr>
        <w:t>e</w:t>
      </w:r>
      <w:r w:rsidR="009065F5" w:rsidRPr="001B3E42">
        <w:rPr>
          <w:rFonts w:ascii="Times New Roman" w:hAnsi="Times New Roman" w:cs="Times New Roman"/>
          <w:sz w:val="22"/>
          <w:szCs w:val="22"/>
          <w:lang w:val="sr-Latn-ME"/>
        </w:rPr>
        <w:t xml:space="preserve"> srčan</w:t>
      </w:r>
      <w:r w:rsidR="002D37B0" w:rsidRPr="001B3E42">
        <w:rPr>
          <w:rFonts w:ascii="Times New Roman" w:hAnsi="Times New Roman" w:cs="Times New Roman"/>
          <w:sz w:val="22"/>
          <w:szCs w:val="22"/>
          <w:lang w:val="sr-Latn-ME"/>
        </w:rPr>
        <w:t>e</w:t>
      </w:r>
      <w:r w:rsidR="009065F5" w:rsidRPr="001B3E42">
        <w:rPr>
          <w:rFonts w:ascii="Times New Roman" w:hAnsi="Times New Roman" w:cs="Times New Roman"/>
          <w:sz w:val="22"/>
          <w:szCs w:val="22"/>
          <w:lang w:val="sr-Latn-ME"/>
        </w:rPr>
        <w:t xml:space="preserve"> insuficijencij</w:t>
      </w:r>
      <w:r w:rsidR="002D37B0" w:rsidRPr="001B3E42">
        <w:rPr>
          <w:rFonts w:ascii="Times New Roman" w:hAnsi="Times New Roman" w:cs="Times New Roman"/>
          <w:sz w:val="22"/>
          <w:szCs w:val="22"/>
          <w:lang w:val="sr-Latn-ME"/>
        </w:rPr>
        <w:t>e</w:t>
      </w:r>
      <w:r w:rsidRPr="001B3E42">
        <w:rPr>
          <w:rFonts w:ascii="Times New Roman" w:hAnsi="Times New Roman" w:cs="Times New Roman"/>
          <w:sz w:val="22"/>
          <w:szCs w:val="22"/>
          <w:lang w:val="sr-Latn-ME"/>
        </w:rPr>
        <w:t xml:space="preserve"> i pove</w:t>
      </w:r>
      <w:r w:rsidR="00B91847" w:rsidRPr="001B3E42">
        <w:rPr>
          <w:rFonts w:ascii="Times New Roman" w:hAnsi="Times New Roman" w:cs="Times New Roman"/>
          <w:sz w:val="22"/>
          <w:szCs w:val="22"/>
          <w:lang w:val="sr-Latn-ME"/>
        </w:rPr>
        <w:t xml:space="preserve">ćana smrtnost </w:t>
      </w:r>
      <w:r w:rsidR="009065F5" w:rsidRPr="001B3E42">
        <w:rPr>
          <w:rFonts w:ascii="Times New Roman" w:hAnsi="Times New Roman" w:cs="Times New Roman"/>
          <w:sz w:val="22"/>
          <w:szCs w:val="22"/>
          <w:lang w:val="sr-Latn-ME"/>
        </w:rPr>
        <w:t>zbog kongestivne srčane insuficijencije</w:t>
      </w:r>
      <w:r w:rsidRPr="001B3E42">
        <w:rPr>
          <w:rFonts w:ascii="Times New Roman" w:hAnsi="Times New Roman" w:cs="Times New Roman"/>
          <w:sz w:val="22"/>
          <w:szCs w:val="22"/>
          <w:lang w:val="sr-Latn-ME"/>
        </w:rPr>
        <w:t>. Prijavljeni su slučajevi p</w:t>
      </w:r>
      <w:r w:rsidR="00B91847" w:rsidRPr="001B3E42">
        <w:rPr>
          <w:rFonts w:ascii="Times New Roman" w:hAnsi="Times New Roman" w:cs="Times New Roman"/>
          <w:sz w:val="22"/>
          <w:szCs w:val="22"/>
          <w:lang w:val="sr-Latn-ME"/>
        </w:rPr>
        <w:t>ogorš</w:t>
      </w:r>
      <w:r w:rsidR="009065F5" w:rsidRPr="001B3E42">
        <w:rPr>
          <w:rFonts w:ascii="Times New Roman" w:hAnsi="Times New Roman" w:cs="Times New Roman"/>
          <w:sz w:val="22"/>
          <w:szCs w:val="22"/>
          <w:lang w:val="sr-Latn-ME"/>
        </w:rPr>
        <w:t>anja kongestivne srčane insuficijencije</w:t>
      </w:r>
      <w:r w:rsidR="00B91847" w:rsidRPr="001B3E42">
        <w:rPr>
          <w:rFonts w:ascii="Times New Roman" w:hAnsi="Times New Roman" w:cs="Times New Roman"/>
          <w:sz w:val="22"/>
          <w:szCs w:val="22"/>
          <w:lang w:val="sr-Latn-ME"/>
        </w:rPr>
        <w:t xml:space="preserve"> kod pacijenata</w:t>
      </w:r>
      <w:r w:rsidRPr="001B3E42">
        <w:rPr>
          <w:rFonts w:ascii="Times New Roman" w:hAnsi="Times New Roman" w:cs="Times New Roman"/>
          <w:sz w:val="22"/>
          <w:szCs w:val="22"/>
          <w:lang w:val="sr-Latn-ME"/>
        </w:rPr>
        <w:t xml:space="preserve"> 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treba davati oprezno </w:t>
      </w:r>
      <w:r w:rsidR="00B91847" w:rsidRPr="001B3E42">
        <w:rPr>
          <w:rFonts w:ascii="Times New Roman" w:hAnsi="Times New Roman" w:cs="Times New Roman"/>
          <w:sz w:val="22"/>
          <w:szCs w:val="22"/>
          <w:lang w:val="sr-Latn-ME"/>
        </w:rPr>
        <w:t>kod paci</w:t>
      </w:r>
      <w:r w:rsidR="00201296" w:rsidRPr="001B3E42">
        <w:rPr>
          <w:rFonts w:ascii="Times New Roman" w:hAnsi="Times New Roman" w:cs="Times New Roman"/>
          <w:sz w:val="22"/>
          <w:szCs w:val="22"/>
          <w:lang w:val="sr-Latn-ME"/>
        </w:rPr>
        <w:t>jenata s blagom srčanom insuficijencijom</w:t>
      </w:r>
      <w:r w:rsidRPr="001B3E42">
        <w:rPr>
          <w:rFonts w:ascii="Times New Roman" w:hAnsi="Times New Roman" w:cs="Times New Roman"/>
          <w:sz w:val="22"/>
          <w:szCs w:val="22"/>
          <w:lang w:val="sr-Latn-ME"/>
        </w:rPr>
        <w:t xml:space="preserve"> (NYHA </w:t>
      </w:r>
      <w:r w:rsidR="002D37B0" w:rsidRPr="001B3E42">
        <w:rPr>
          <w:rFonts w:ascii="Times New Roman" w:hAnsi="Times New Roman" w:cs="Times New Roman"/>
          <w:sz w:val="22"/>
          <w:szCs w:val="22"/>
          <w:lang w:val="sr-Latn-ME"/>
        </w:rPr>
        <w:t>stepen</w:t>
      </w:r>
      <w:r w:rsidRPr="001B3E42">
        <w:rPr>
          <w:rFonts w:ascii="Times New Roman" w:hAnsi="Times New Roman" w:cs="Times New Roman"/>
          <w:sz w:val="22"/>
          <w:szCs w:val="22"/>
          <w:lang w:val="sr-Latn-ME"/>
        </w:rPr>
        <w:t xml:space="preserve"> I/II). Primjena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j</w:t>
      </w:r>
      <w:r w:rsidR="00B91847" w:rsidRPr="001B3E42">
        <w:rPr>
          <w:rFonts w:ascii="Times New Roman" w:hAnsi="Times New Roman" w:cs="Times New Roman"/>
          <w:sz w:val="22"/>
          <w:szCs w:val="22"/>
          <w:lang w:val="sr-Latn-ME"/>
        </w:rPr>
        <w:t>e kontraindikovana</w:t>
      </w:r>
      <w:r w:rsidRPr="001B3E42">
        <w:rPr>
          <w:rFonts w:ascii="Times New Roman" w:hAnsi="Times New Roman" w:cs="Times New Roman"/>
          <w:sz w:val="22"/>
          <w:szCs w:val="22"/>
          <w:lang w:val="sr-Latn-ME"/>
        </w:rPr>
        <w:t xml:space="preserve"> </w:t>
      </w:r>
      <w:r w:rsidR="00B91847" w:rsidRPr="001B3E42">
        <w:rPr>
          <w:rFonts w:ascii="Times New Roman" w:hAnsi="Times New Roman" w:cs="Times New Roman"/>
          <w:sz w:val="22"/>
          <w:szCs w:val="22"/>
          <w:lang w:val="sr-Latn-ME"/>
        </w:rPr>
        <w:t>kod pacijenata s umjerenom do teškom sr</w:t>
      </w:r>
      <w:r w:rsidR="00201296" w:rsidRPr="001B3E42">
        <w:rPr>
          <w:rFonts w:ascii="Times New Roman" w:hAnsi="Times New Roman" w:cs="Times New Roman"/>
          <w:sz w:val="22"/>
          <w:szCs w:val="22"/>
          <w:lang w:val="sr-Latn-ME"/>
        </w:rPr>
        <w:t>čanom insuficijencijom</w:t>
      </w:r>
      <w:r w:rsidR="00B91847" w:rsidRPr="001B3E42">
        <w:rPr>
          <w:rFonts w:ascii="Times New Roman" w:hAnsi="Times New Roman" w:cs="Times New Roman"/>
          <w:sz w:val="22"/>
          <w:szCs w:val="22"/>
          <w:lang w:val="sr-Latn-ME"/>
        </w:rPr>
        <w:t xml:space="preserve">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4.3). Ako se pojave novi ili pogoršaju</w:t>
      </w:r>
      <w:r w:rsidR="00B91847" w:rsidRPr="001B3E42">
        <w:rPr>
          <w:rFonts w:ascii="Times New Roman" w:hAnsi="Times New Roman" w:cs="Times New Roman"/>
          <w:sz w:val="22"/>
          <w:szCs w:val="22"/>
          <w:lang w:val="sr-Latn-ME"/>
        </w:rPr>
        <w:t xml:space="preserve"> postojeći simp</w:t>
      </w:r>
      <w:r w:rsidR="00201296" w:rsidRPr="001B3E42">
        <w:rPr>
          <w:rFonts w:ascii="Times New Roman" w:hAnsi="Times New Roman" w:cs="Times New Roman"/>
          <w:sz w:val="22"/>
          <w:szCs w:val="22"/>
          <w:lang w:val="sr-Latn-ME"/>
        </w:rPr>
        <w:t>tomi kongestivne srčane insuficijencije</w:t>
      </w:r>
      <w:r w:rsidRPr="001B3E42">
        <w:rPr>
          <w:rFonts w:ascii="Times New Roman" w:hAnsi="Times New Roman" w:cs="Times New Roman"/>
          <w:sz w:val="22"/>
          <w:szCs w:val="22"/>
          <w:lang w:val="sr-Latn-ME"/>
        </w:rPr>
        <w:t xml:space="preserve">, treba obustaviti primjenu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Autoimuni procesi</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Za vrijeme primjene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mogu se razviti autoimuna antitijela. Efekat dugotrajnog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na razvoj autoimunih boles</w:t>
      </w:r>
      <w:r w:rsidR="0032554F" w:rsidRPr="001B3E42">
        <w:rPr>
          <w:rFonts w:ascii="Times New Roman" w:hAnsi="Times New Roman" w:cs="Times New Roman"/>
          <w:sz w:val="22"/>
          <w:szCs w:val="22"/>
          <w:lang w:val="sr-Latn-ME"/>
        </w:rPr>
        <w:t>ti nije poznat. Ukoliko pacijent</w:t>
      </w:r>
      <w:r w:rsidRPr="001B3E42">
        <w:rPr>
          <w:rFonts w:ascii="Times New Roman" w:hAnsi="Times New Roman" w:cs="Times New Roman"/>
          <w:sz w:val="22"/>
          <w:szCs w:val="22"/>
          <w:lang w:val="sr-Latn-ME"/>
        </w:rPr>
        <w:t xml:space="preserve"> nakon primjene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razvije simptome koji upućuju na sindrom sličan lupusu i pozitivan je na antitijela usmjerena protiv dvolančane DNK, potrebno je</w:t>
      </w:r>
      <w:r w:rsidR="0032554F" w:rsidRPr="001B3E42">
        <w:rPr>
          <w:rFonts w:ascii="Times New Roman" w:hAnsi="Times New Roman" w:cs="Times New Roman"/>
          <w:sz w:val="22"/>
          <w:szCs w:val="22"/>
          <w:lang w:val="sr-Latn-ME"/>
        </w:rPr>
        <w:t xml:space="preserve"> prekinuti terapiju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4.8).</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 xml:space="preserve">Istovremena primjena bioloških DMARDS-a ili antagonista TNF-a </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kliničkim ispitivanjima istovremene primjene anakinre i drugog antagonista TNF-a, etanercepta, zabilježene su ozbiljne infekcije, a pritom nije bilo dodatne kliničke koristi u odnosu na monoterapiju etanerceptom. S obzirom na vrstu neželjenih djelovanja opisanih pri istovremenoj primjeni anakinre i etanercepta pretpostav</w:t>
      </w:r>
      <w:r w:rsidR="0032554F" w:rsidRPr="001B3E42">
        <w:rPr>
          <w:rFonts w:ascii="Times New Roman" w:hAnsi="Times New Roman" w:cs="Times New Roman"/>
          <w:sz w:val="22"/>
          <w:szCs w:val="22"/>
          <w:lang w:val="sr-Latn-ME"/>
        </w:rPr>
        <w:t xml:space="preserve">lja se da bi se slična </w:t>
      </w:r>
      <w:r w:rsidR="002D37B0" w:rsidRPr="001B3E42">
        <w:rPr>
          <w:rFonts w:ascii="Times New Roman" w:hAnsi="Times New Roman" w:cs="Times New Roman"/>
          <w:sz w:val="22"/>
          <w:szCs w:val="22"/>
          <w:lang w:val="sr-Latn-ME"/>
        </w:rPr>
        <w:t>n</w:t>
      </w:r>
      <w:r w:rsidR="0032554F" w:rsidRPr="001B3E42">
        <w:rPr>
          <w:rFonts w:ascii="Times New Roman" w:hAnsi="Times New Roman" w:cs="Times New Roman"/>
          <w:sz w:val="22"/>
          <w:szCs w:val="22"/>
          <w:lang w:val="sr-Latn-ME"/>
        </w:rPr>
        <w:t>eželjena dejstva mogla</w:t>
      </w:r>
      <w:r w:rsidRPr="001B3E42">
        <w:rPr>
          <w:rFonts w:ascii="Times New Roman" w:hAnsi="Times New Roman" w:cs="Times New Roman"/>
          <w:sz w:val="22"/>
          <w:szCs w:val="22"/>
          <w:lang w:val="sr-Latn-ME"/>
        </w:rPr>
        <w:t xml:space="preserve"> pojaviti i za vrijeme liječenja anakinrom u kombinaciji s drugim antagonistima TNF-a. Stoga se istovremena primjena adalimumaba i anak</w:t>
      </w:r>
      <w:r w:rsidR="0032554F" w:rsidRPr="001B3E42">
        <w:rPr>
          <w:rFonts w:ascii="Times New Roman" w:hAnsi="Times New Roman" w:cs="Times New Roman"/>
          <w:sz w:val="22"/>
          <w:szCs w:val="22"/>
          <w:lang w:val="sr-Latn-ME"/>
        </w:rPr>
        <w:t xml:space="preserve">inre ne preporučuje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4.5).</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Istovremena primjena adalimumaba sa drugim biološkim DMARDS (npr. anakinra i abatacept) ili drugim antagonistima TNF-a se ne preporučuje zbog mogućeg povećanog rizika od nastanka infekcija, uključujući ozbiljne infekcije i druge moguće farmakološke interakcije</w:t>
      </w:r>
      <w:r w:rsidR="0032554F" w:rsidRPr="001B3E42">
        <w:rPr>
          <w:rFonts w:ascii="Times New Roman" w:hAnsi="Times New Roman" w:cs="Times New Roman"/>
          <w:sz w:val="22"/>
          <w:szCs w:val="22"/>
          <w:lang w:val="sr-Latn-ME"/>
        </w:rPr>
        <w:t xml:space="preserve">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4.5). </w:t>
      </w:r>
    </w:p>
    <w:p w:rsidR="00030852" w:rsidRPr="001B3E42" w:rsidRDefault="00030852" w:rsidP="00030852">
      <w:pPr>
        <w:pStyle w:val="Default"/>
        <w:ind w:left="567" w:hanging="567"/>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Hirurški zahvati</w:t>
      </w:r>
    </w:p>
    <w:p w:rsidR="00030852" w:rsidRPr="001B3E42" w:rsidRDefault="00030852" w:rsidP="0032554F">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w:t>
      </w:r>
      <w:r w:rsidR="0032554F" w:rsidRPr="001B3E42">
        <w:rPr>
          <w:rFonts w:ascii="Times New Roman" w:hAnsi="Times New Roman" w:cs="Times New Roman"/>
          <w:sz w:val="22"/>
          <w:szCs w:val="22"/>
          <w:lang w:val="sr-Latn-ME"/>
        </w:rPr>
        <w:t xml:space="preserve">aspoloživi podaci o sigurnosti </w:t>
      </w:r>
      <w:r w:rsidRPr="001B3E42">
        <w:rPr>
          <w:rFonts w:ascii="Times New Roman" w:hAnsi="Times New Roman" w:cs="Times New Roman"/>
          <w:sz w:val="22"/>
          <w:szCs w:val="22"/>
          <w:lang w:val="sr-Latn-ME"/>
        </w:rPr>
        <w:t xml:space="preserve">hirurških zahvata </w:t>
      </w:r>
      <w:r w:rsidR="0032554F" w:rsidRPr="001B3E42">
        <w:rPr>
          <w:rFonts w:ascii="Times New Roman" w:hAnsi="Times New Roman" w:cs="Times New Roman"/>
          <w:sz w:val="22"/>
          <w:szCs w:val="22"/>
          <w:lang w:val="sr-Latn-ME"/>
        </w:rPr>
        <w:t xml:space="preserve">kod pacijenata </w:t>
      </w:r>
      <w:r w:rsidRPr="001B3E42">
        <w:rPr>
          <w:rFonts w:ascii="Times New Roman" w:hAnsi="Times New Roman" w:cs="Times New Roman"/>
          <w:sz w:val="22"/>
          <w:szCs w:val="22"/>
          <w:lang w:val="sr-Latn-ME"/>
        </w:rPr>
        <w:t xml:space="preserve">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su ograničeni. Pri planiranju operacija treba voditi računa o dugom </w:t>
      </w:r>
      <w:r w:rsidRPr="001B3E42">
        <w:rPr>
          <w:rFonts w:ascii="Times New Roman" w:hAnsi="Times New Roman" w:cs="Times New Roman"/>
          <w:iCs/>
          <w:sz w:val="22"/>
          <w:szCs w:val="22"/>
          <w:lang w:val="sr-Latn-ME"/>
        </w:rPr>
        <w:t>poluvremenu</w:t>
      </w:r>
      <w:r w:rsidRPr="001B3E42">
        <w:rPr>
          <w:rFonts w:ascii="Times New Roman" w:hAnsi="Times New Roman" w:cs="Times New Roman"/>
          <w:sz w:val="22"/>
          <w:szCs w:val="22"/>
          <w:lang w:val="sr-Latn-ME"/>
        </w:rPr>
        <w:t xml:space="preserve"> iz</w:t>
      </w:r>
      <w:r w:rsidR="0032554F" w:rsidRPr="001B3E42">
        <w:rPr>
          <w:rFonts w:ascii="Times New Roman" w:hAnsi="Times New Roman" w:cs="Times New Roman"/>
          <w:sz w:val="22"/>
          <w:szCs w:val="22"/>
          <w:lang w:val="sr-Latn-ME"/>
        </w:rPr>
        <w:t>lučivanja adalimumaba. Pacijente</w:t>
      </w:r>
      <w:r w:rsidRPr="001B3E42">
        <w:rPr>
          <w:rFonts w:ascii="Times New Roman" w:hAnsi="Times New Roman" w:cs="Times New Roman"/>
          <w:sz w:val="22"/>
          <w:szCs w:val="22"/>
          <w:lang w:val="sr-Latn-ME"/>
        </w:rPr>
        <w:t xml:space="preserve">, kojima je za vrijeme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potreban operativni zahvat, treba pomno pratiti zbog moguće pojave infekcija i prema potrebi poduzeti odgovarajuće mjere. Raspoloživi podaci o sigurnosti </w:t>
      </w:r>
      <w:r w:rsidR="00ED0658" w:rsidRPr="001B3E42">
        <w:rPr>
          <w:rFonts w:ascii="Times New Roman" w:hAnsi="Times New Roman" w:cs="Times New Roman"/>
          <w:sz w:val="22"/>
          <w:szCs w:val="22"/>
          <w:lang w:val="sr-Latn-ME"/>
        </w:rPr>
        <w:t>sprovođenja</w:t>
      </w:r>
      <w:r w:rsidR="00635624" w:rsidRPr="001B3E42">
        <w:rPr>
          <w:rFonts w:ascii="Times New Roman" w:hAnsi="Times New Roman" w:cs="Times New Roman"/>
          <w:sz w:val="22"/>
          <w:szCs w:val="22"/>
          <w:lang w:val="sr-Latn-ME"/>
        </w:rPr>
        <w:t xml:space="preserve"> artroplastike kod pacijenata</w:t>
      </w:r>
      <w:r w:rsidRPr="001B3E42">
        <w:rPr>
          <w:rFonts w:ascii="Times New Roman" w:hAnsi="Times New Roman" w:cs="Times New Roman"/>
          <w:sz w:val="22"/>
          <w:szCs w:val="22"/>
          <w:lang w:val="sr-Latn-ME"/>
        </w:rPr>
        <w:t xml:space="preserve"> 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su ograničeni.</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Opstrukcija tankog crijeva</w:t>
      </w:r>
    </w:p>
    <w:p w:rsidR="00030852" w:rsidRPr="001B3E42" w:rsidRDefault="0032554F"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Ner</w:t>
      </w:r>
      <w:r w:rsidR="00030852" w:rsidRPr="001B3E42">
        <w:rPr>
          <w:rFonts w:ascii="Times New Roman" w:hAnsi="Times New Roman" w:cs="Times New Roman"/>
          <w:sz w:val="22"/>
          <w:szCs w:val="22"/>
          <w:lang w:val="sr-Latn-ME"/>
        </w:rPr>
        <w:t>e</w:t>
      </w:r>
      <w:r w:rsidRPr="001B3E42">
        <w:rPr>
          <w:rFonts w:ascii="Times New Roman" w:hAnsi="Times New Roman" w:cs="Times New Roman"/>
          <w:sz w:val="22"/>
          <w:szCs w:val="22"/>
          <w:lang w:val="sr-Latn-ME"/>
        </w:rPr>
        <w:t>a</w:t>
      </w:r>
      <w:r w:rsidR="00030852" w:rsidRPr="001B3E42">
        <w:rPr>
          <w:rFonts w:ascii="Times New Roman" w:hAnsi="Times New Roman" w:cs="Times New Roman"/>
          <w:sz w:val="22"/>
          <w:szCs w:val="22"/>
          <w:lang w:val="sr-Latn-ME"/>
        </w:rPr>
        <w:t>govanje na terapiju Crohnove bolesti može biti znak fiksne fibrozne strikture koju je možda potrebno hirurški liječiti. Trenutno raspoloživi podaci ukazuju na to da Humira ne uzrokuje i ne pogoršava strikture.</w:t>
      </w:r>
    </w:p>
    <w:p w:rsidR="00030852" w:rsidRPr="001B3E42" w:rsidRDefault="00030852" w:rsidP="00030852">
      <w:pPr>
        <w:pStyle w:val="Default"/>
        <w:ind w:left="567" w:hanging="567"/>
        <w:jc w:val="both"/>
        <w:rPr>
          <w:rFonts w:ascii="Times New Roman" w:hAnsi="Times New Roman" w:cs="Times New Roman"/>
          <w:sz w:val="22"/>
          <w:szCs w:val="22"/>
          <w:lang w:val="sr-Latn-ME"/>
        </w:rPr>
      </w:pPr>
    </w:p>
    <w:p w:rsidR="00030852" w:rsidRPr="001B3E42" w:rsidRDefault="0032554F" w:rsidP="00030852">
      <w:pPr>
        <w:pStyle w:val="Default"/>
        <w:ind w:left="567" w:hanging="567"/>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Stariji pacijenti</w:t>
      </w:r>
    </w:p>
    <w:p w:rsidR="00030852" w:rsidRPr="001B3E42" w:rsidRDefault="00030852" w:rsidP="0032554F">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Učestalost o</w:t>
      </w:r>
      <w:r w:rsidR="0032554F" w:rsidRPr="001B3E42">
        <w:rPr>
          <w:rFonts w:ascii="Times New Roman" w:hAnsi="Times New Roman" w:cs="Times New Roman"/>
          <w:sz w:val="22"/>
          <w:szCs w:val="22"/>
          <w:lang w:val="sr-Latn-ME"/>
        </w:rPr>
        <w:t>zbiljnih infekcija kod pacijenata</w:t>
      </w:r>
      <w:r w:rsidRPr="001B3E42">
        <w:rPr>
          <w:rFonts w:ascii="Times New Roman" w:hAnsi="Times New Roman" w:cs="Times New Roman"/>
          <w:sz w:val="22"/>
          <w:szCs w:val="22"/>
          <w:lang w:val="sr-Latn-ME"/>
        </w:rPr>
        <w:t xml:space="preserve"> liječen</w:t>
      </w:r>
      <w:r w:rsidR="0032554F" w:rsidRPr="001B3E42">
        <w:rPr>
          <w:rFonts w:ascii="Times New Roman" w:hAnsi="Times New Roman" w:cs="Times New Roman"/>
          <w:sz w:val="22"/>
          <w:szCs w:val="22"/>
          <w:lang w:val="sr-Latn-ME"/>
        </w:rPr>
        <w:t xml:space="preserve">ih </w:t>
      </w:r>
      <w:r w:rsidR="00AC4C8C" w:rsidRPr="001B3E42">
        <w:rPr>
          <w:rFonts w:ascii="Times New Roman" w:hAnsi="Times New Roman" w:cs="Times New Roman"/>
          <w:color w:val="auto"/>
          <w:sz w:val="22"/>
          <w:szCs w:val="22"/>
          <w:lang w:val="sr-Latn-ME"/>
        </w:rPr>
        <w:t xml:space="preserve">lijekom </w:t>
      </w:r>
      <w:r w:rsidR="0032554F"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0032554F" w:rsidRPr="001B3E42">
        <w:rPr>
          <w:rFonts w:ascii="Times New Roman" w:hAnsi="Times New Roman" w:cs="Times New Roman"/>
          <w:sz w:val="22"/>
          <w:szCs w:val="22"/>
          <w:lang w:val="sr-Latn-ME"/>
        </w:rPr>
        <w:t xml:space="preserve"> je veća kod pacijenata</w:t>
      </w:r>
      <w:r w:rsidRPr="001B3E42">
        <w:rPr>
          <w:rFonts w:ascii="Times New Roman" w:hAnsi="Times New Roman" w:cs="Times New Roman"/>
          <w:sz w:val="22"/>
          <w:szCs w:val="22"/>
          <w:lang w:val="sr-Latn-ME"/>
        </w:rPr>
        <w:t xml:space="preserve"> starijih od 65 godina (3,5%) nego </w:t>
      </w:r>
      <w:r w:rsidR="0032554F" w:rsidRPr="001B3E42">
        <w:rPr>
          <w:rFonts w:ascii="Times New Roman" w:hAnsi="Times New Roman" w:cs="Times New Roman"/>
          <w:sz w:val="22"/>
          <w:szCs w:val="22"/>
          <w:lang w:val="sr-Latn-ME"/>
        </w:rPr>
        <w:t xml:space="preserve">kod pacijenata </w:t>
      </w:r>
      <w:r w:rsidRPr="001B3E42">
        <w:rPr>
          <w:rFonts w:ascii="Times New Roman" w:hAnsi="Times New Roman" w:cs="Times New Roman"/>
          <w:sz w:val="22"/>
          <w:szCs w:val="22"/>
          <w:lang w:val="sr-Latn-ME"/>
        </w:rPr>
        <w:t>mlađih od 65 godina (1,5 %). Neke od ovih infekcija su imale fatalni ishod. Stoga se to</w:t>
      </w:r>
      <w:r w:rsidR="0032554F" w:rsidRPr="001B3E42">
        <w:rPr>
          <w:rFonts w:ascii="Times New Roman" w:hAnsi="Times New Roman" w:cs="Times New Roman"/>
          <w:sz w:val="22"/>
          <w:szCs w:val="22"/>
          <w:lang w:val="sr-Latn-ME"/>
        </w:rPr>
        <w:t>kom liječenja starijih pacijenata</w:t>
      </w:r>
      <w:r w:rsidRPr="001B3E42">
        <w:rPr>
          <w:rFonts w:ascii="Times New Roman" w:hAnsi="Times New Roman" w:cs="Times New Roman"/>
          <w:sz w:val="22"/>
          <w:szCs w:val="22"/>
          <w:lang w:val="sr-Latn-ME"/>
        </w:rPr>
        <w:t xml:space="preserve"> mora obratiti posebna pažnja na mogući rizik od infekcije.</w:t>
      </w:r>
    </w:p>
    <w:p w:rsidR="00030852" w:rsidRPr="001B3E42" w:rsidRDefault="00030852" w:rsidP="00030852">
      <w:pPr>
        <w:pStyle w:val="Default"/>
        <w:jc w:val="both"/>
        <w:rPr>
          <w:rFonts w:ascii="Times New Roman" w:hAnsi="Times New Roman" w:cs="Times New Roman"/>
          <w:sz w:val="22"/>
          <w:szCs w:val="22"/>
          <w:lang w:val="sr-Latn-ME"/>
        </w:rPr>
      </w:pPr>
    </w:p>
    <w:p w:rsidR="00030852" w:rsidRPr="001B3E42" w:rsidRDefault="00030852" w:rsidP="00030852">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Pedijatrijska populacija</w:t>
      </w:r>
    </w:p>
    <w:p w:rsidR="00030852" w:rsidRPr="001B3E42" w:rsidRDefault="00030852" w:rsidP="00030852">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Pogledati gor</w:t>
      </w:r>
      <w:r w:rsidR="0032554F" w:rsidRPr="001B3E42">
        <w:rPr>
          <w:rFonts w:ascii="Times New Roman" w:hAnsi="Times New Roman" w:cs="Times New Roman"/>
          <w:sz w:val="22"/>
          <w:szCs w:val="22"/>
          <w:lang w:val="sr-Latn-ME"/>
        </w:rPr>
        <w:t xml:space="preserve">e </w:t>
      </w:r>
      <w:r w:rsidR="002D5061" w:rsidRPr="001B3E42">
        <w:rPr>
          <w:rFonts w:ascii="Times New Roman" w:hAnsi="Times New Roman" w:cs="Times New Roman"/>
          <w:sz w:val="22"/>
          <w:szCs w:val="22"/>
          <w:lang w:val="sr-Latn-ME"/>
        </w:rPr>
        <w:t>odjeljak</w:t>
      </w:r>
      <w:r w:rsidR="0032554F" w:rsidRPr="001B3E42">
        <w:rPr>
          <w:rFonts w:ascii="Times New Roman" w:hAnsi="Times New Roman" w:cs="Times New Roman"/>
          <w:sz w:val="22"/>
          <w:szCs w:val="22"/>
          <w:lang w:val="sr-Latn-ME"/>
        </w:rPr>
        <w:t xml:space="preserve"> koji se odnosi na Vakcinaciju</w:t>
      </w:r>
      <w:r w:rsidR="00ED0658" w:rsidRPr="001B3E42">
        <w:rPr>
          <w:rFonts w:ascii="Times New Roman" w:hAnsi="Times New Roman" w:cs="Times New Roman"/>
          <w:sz w:val="22"/>
          <w:szCs w:val="22"/>
          <w:lang w:val="sr-Latn-ME"/>
        </w:rPr>
        <w:t>.</w:t>
      </w:r>
    </w:p>
    <w:p w:rsidR="005C1110" w:rsidRPr="001B3E42" w:rsidRDefault="005C1110" w:rsidP="00030852">
      <w:pPr>
        <w:tabs>
          <w:tab w:val="left" w:pos="1141"/>
        </w:tabs>
        <w:rPr>
          <w:bCs/>
          <w:sz w:val="22"/>
          <w:szCs w:val="22"/>
        </w:rPr>
      </w:pPr>
    </w:p>
    <w:p w:rsidR="00411B4B" w:rsidRPr="001B3E42" w:rsidRDefault="00411B4B" w:rsidP="00480FB1">
      <w:pPr>
        <w:tabs>
          <w:tab w:val="left" w:pos="540"/>
          <w:tab w:val="left" w:pos="569"/>
        </w:tabs>
        <w:rPr>
          <w:b/>
          <w:bCs/>
          <w:sz w:val="22"/>
          <w:szCs w:val="22"/>
        </w:rPr>
      </w:pPr>
      <w:r w:rsidRPr="001B3E42">
        <w:rPr>
          <w:b/>
          <w:bCs/>
          <w:sz w:val="22"/>
          <w:szCs w:val="22"/>
        </w:rPr>
        <w:t>4.5. Interakcije sa drugim ljekovima i druge vrste interakcija</w:t>
      </w:r>
    </w:p>
    <w:p w:rsidR="0072020E" w:rsidRPr="001B3E42" w:rsidRDefault="0072020E" w:rsidP="00480FB1">
      <w:pPr>
        <w:tabs>
          <w:tab w:val="left" w:pos="540"/>
          <w:tab w:val="left" w:pos="569"/>
        </w:tabs>
        <w:rPr>
          <w:bCs/>
          <w:sz w:val="22"/>
          <w:szCs w:val="22"/>
        </w:rPr>
      </w:pPr>
    </w:p>
    <w:p w:rsidR="0063269D" w:rsidRPr="001B3E42" w:rsidRDefault="0063269D" w:rsidP="001E4AB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Djelovanje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ispitivano je kod pacijenata s reumatoidnim artritisom, poliartikularnim juvenilnim idiopatskim artritisom i psorijatičnim artritisom koji su dobijali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kao monoterapiju i kod onih koji su istovremeno uzimali i metotreksat. </w:t>
      </w:r>
      <w:r w:rsidRPr="001B3E42">
        <w:rPr>
          <w:rFonts w:ascii="Times New Roman" w:hAnsi="Times New Roman" w:cs="Times New Roman"/>
          <w:iCs/>
          <w:sz w:val="22"/>
          <w:szCs w:val="22"/>
          <w:lang w:val="sr-Latn-ME"/>
        </w:rPr>
        <w:t>Stvaranje</w:t>
      </w:r>
      <w:r w:rsidRPr="001B3E42">
        <w:rPr>
          <w:rFonts w:ascii="Times New Roman" w:hAnsi="Times New Roman" w:cs="Times New Roman"/>
          <w:sz w:val="22"/>
          <w:szCs w:val="22"/>
          <w:lang w:val="sr-Latn-ME"/>
        </w:rPr>
        <w:t xml:space="preserve"> antitijela bilo je manje kada je Humira davana zajedno s metotreksatom u odnosu na pacijente kod kojih je Humira davana kao monoterapija. Kada se Humira primjenjuje bez metotreksata </w:t>
      </w:r>
      <w:r w:rsidRPr="001B3E42">
        <w:rPr>
          <w:rFonts w:ascii="Times New Roman" w:hAnsi="Times New Roman" w:cs="Times New Roman"/>
          <w:iCs/>
          <w:sz w:val="22"/>
          <w:szCs w:val="22"/>
          <w:lang w:val="sr-Latn-ME"/>
        </w:rPr>
        <w:t>stvaranje</w:t>
      </w:r>
      <w:r w:rsidRPr="001B3E42">
        <w:rPr>
          <w:rFonts w:ascii="Times New Roman" w:hAnsi="Times New Roman" w:cs="Times New Roman"/>
          <w:i/>
          <w:iCs/>
          <w:sz w:val="22"/>
          <w:szCs w:val="22"/>
          <w:lang w:val="sr-Latn-ME"/>
        </w:rPr>
        <w:t xml:space="preserve"> </w:t>
      </w:r>
      <w:r w:rsidRPr="001B3E42">
        <w:rPr>
          <w:rFonts w:ascii="Times New Roman" w:hAnsi="Times New Roman" w:cs="Times New Roman"/>
          <w:sz w:val="22"/>
          <w:szCs w:val="22"/>
          <w:lang w:val="sr-Latn-ME"/>
        </w:rPr>
        <w:t xml:space="preserve">antitijela se povećava, izlučivanje </w:t>
      </w:r>
      <w:r w:rsidR="001E4AB9" w:rsidRPr="001B3E42">
        <w:rPr>
          <w:rFonts w:ascii="Times New Roman" w:hAnsi="Times New Roman" w:cs="Times New Roman"/>
          <w:sz w:val="22"/>
          <w:szCs w:val="22"/>
          <w:lang w:val="sr-Latn-ME"/>
        </w:rPr>
        <w:t xml:space="preserve">adalimumaba pojačava, a efikasnost </w:t>
      </w:r>
      <w:r w:rsidRPr="001B3E42">
        <w:rPr>
          <w:rFonts w:ascii="Times New Roman" w:hAnsi="Times New Roman" w:cs="Times New Roman"/>
          <w:sz w:val="22"/>
          <w:szCs w:val="22"/>
          <w:lang w:val="sr-Latn-ME"/>
        </w:rPr>
        <w:t xml:space="preserve">se smanjuje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5.1).</w:t>
      </w:r>
    </w:p>
    <w:p w:rsidR="0063269D" w:rsidRPr="001B3E42" w:rsidRDefault="0063269D" w:rsidP="0063269D">
      <w:pPr>
        <w:pStyle w:val="Default"/>
        <w:jc w:val="both"/>
        <w:rPr>
          <w:rFonts w:ascii="Times New Roman" w:hAnsi="Times New Roman" w:cs="Times New Roman"/>
          <w:sz w:val="22"/>
          <w:szCs w:val="22"/>
          <w:lang w:val="sr-Latn-ME"/>
        </w:rPr>
      </w:pPr>
    </w:p>
    <w:p w:rsidR="0063269D" w:rsidRPr="001B3E42" w:rsidRDefault="0063269D" w:rsidP="0063269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Kombinovana terapija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i anakinrom se ne preporučuje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4.4 Istovremena primjena bioloških DMARDS-a ili antagonista TNF-a).</w:t>
      </w:r>
    </w:p>
    <w:p w:rsidR="0063269D" w:rsidRPr="001B3E42" w:rsidRDefault="0063269D" w:rsidP="0063269D">
      <w:pPr>
        <w:pStyle w:val="Default"/>
        <w:jc w:val="both"/>
        <w:rPr>
          <w:rFonts w:ascii="Times New Roman" w:hAnsi="Times New Roman" w:cs="Times New Roman"/>
          <w:sz w:val="22"/>
          <w:szCs w:val="22"/>
          <w:lang w:val="sr-Latn-ME"/>
        </w:rPr>
      </w:pPr>
    </w:p>
    <w:p w:rsidR="0063269D" w:rsidRPr="001B3E42" w:rsidRDefault="0063269D" w:rsidP="0063269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Kombinovana terapija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i abataceptom se ne preporučuje (vidjeti odjeljak 4.4 Istovremena primjena bioloških DMARDS-a ili antagonista TNF-a).</w:t>
      </w:r>
    </w:p>
    <w:p w:rsidR="0063269D" w:rsidRPr="001B3E42" w:rsidRDefault="0063269D" w:rsidP="00480FB1">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4.6. </w:t>
      </w:r>
      <w:r w:rsidR="00480FB1" w:rsidRPr="001B3E42">
        <w:rPr>
          <w:b/>
          <w:bCs/>
          <w:sz w:val="22"/>
          <w:szCs w:val="22"/>
        </w:rPr>
        <w:tab/>
      </w:r>
      <w:r w:rsidRPr="001B3E42">
        <w:rPr>
          <w:b/>
          <w:bCs/>
          <w:sz w:val="22"/>
          <w:szCs w:val="22"/>
        </w:rPr>
        <w:t>Primjena u periodu trudnoće i dojenja</w:t>
      </w:r>
    </w:p>
    <w:p w:rsidR="0072020E" w:rsidRPr="001B3E42" w:rsidRDefault="0072020E" w:rsidP="00480FB1">
      <w:pPr>
        <w:tabs>
          <w:tab w:val="left" w:pos="540"/>
          <w:tab w:val="left" w:pos="569"/>
        </w:tabs>
        <w:rPr>
          <w:b/>
          <w:bCs/>
          <w:sz w:val="22"/>
          <w:szCs w:val="22"/>
        </w:rPr>
      </w:pP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u w:val="single"/>
          <w:lang w:val="sr-Latn-ME"/>
        </w:rPr>
        <w:t>Trudnoća</w:t>
      </w:r>
      <w:r w:rsidRPr="001B3E42">
        <w:rPr>
          <w:rFonts w:ascii="Times New Roman" w:hAnsi="Times New Roman" w:cs="Times New Roman"/>
          <w:sz w:val="22"/>
          <w:szCs w:val="22"/>
          <w:lang w:val="sr-Latn-ME"/>
        </w:rPr>
        <w:t xml:space="preserve"> </w:t>
      </w: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Postoje ograničeni klinički podaci o primjeni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kod trudnica.</w:t>
      </w:r>
    </w:p>
    <w:p w:rsidR="009E4E76" w:rsidRPr="001B3E42" w:rsidRDefault="009E4E76" w:rsidP="009E4E76">
      <w:pPr>
        <w:pStyle w:val="Default"/>
        <w:jc w:val="both"/>
        <w:rPr>
          <w:rFonts w:ascii="Times New Roman" w:hAnsi="Times New Roman" w:cs="Times New Roman"/>
          <w:sz w:val="22"/>
          <w:szCs w:val="22"/>
          <w:lang w:val="sr-Latn-ME"/>
        </w:rPr>
      </w:pP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Toksičnost za razvojne procese ispitivana je kod majmuna, ali nisu zabilježeni znakovi toksičnosti za majku, plod ili teratogenost. Nema dostupnih pretkliničkih podataka o postnatalnoj toksičnosti adalimumaba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5.3).</w:t>
      </w:r>
    </w:p>
    <w:p w:rsidR="009E4E76" w:rsidRPr="001B3E42" w:rsidRDefault="009E4E76" w:rsidP="009E4E76">
      <w:pPr>
        <w:pStyle w:val="Default"/>
        <w:jc w:val="both"/>
        <w:rPr>
          <w:rFonts w:ascii="Times New Roman" w:hAnsi="Times New Roman" w:cs="Times New Roman"/>
          <w:sz w:val="22"/>
          <w:szCs w:val="22"/>
          <w:lang w:val="sr-Latn-ME"/>
        </w:rPr>
      </w:pP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Zbog inhibicije faktora tumorske nekroze α (TNFα) adalimumab primjenjen u trudnoći bi mogao uticati na normalne imune odgovore novorođenčeta. Zbo</w:t>
      </w:r>
      <w:r w:rsidR="00EC7DA7" w:rsidRPr="001B3E42">
        <w:rPr>
          <w:rFonts w:ascii="Times New Roman" w:hAnsi="Times New Roman" w:cs="Times New Roman"/>
          <w:sz w:val="22"/>
          <w:szCs w:val="22"/>
          <w:lang w:val="sr-Latn-ME"/>
        </w:rPr>
        <w:t>g toga se primjena adalimumaba ko</w:t>
      </w:r>
      <w:r w:rsidR="007F5540" w:rsidRPr="001B3E42">
        <w:rPr>
          <w:rFonts w:ascii="Times New Roman" w:hAnsi="Times New Roman" w:cs="Times New Roman"/>
          <w:sz w:val="22"/>
          <w:szCs w:val="22"/>
          <w:lang w:val="sr-Latn-ME"/>
        </w:rPr>
        <w:t>d</w:t>
      </w:r>
      <w:r w:rsidRPr="001B3E42">
        <w:rPr>
          <w:rFonts w:ascii="Times New Roman" w:hAnsi="Times New Roman" w:cs="Times New Roman"/>
          <w:sz w:val="22"/>
          <w:szCs w:val="22"/>
          <w:lang w:val="sr-Latn-ME"/>
        </w:rPr>
        <w:t xml:space="preserve"> trudnica ne preporučuje. </w:t>
      </w:r>
    </w:p>
    <w:p w:rsidR="009E4E76" w:rsidRPr="001B3E42" w:rsidRDefault="009E4E76" w:rsidP="009E4E76">
      <w:pPr>
        <w:pStyle w:val="Default"/>
        <w:jc w:val="both"/>
        <w:rPr>
          <w:rFonts w:ascii="Times New Roman" w:hAnsi="Times New Roman" w:cs="Times New Roman"/>
          <w:sz w:val="22"/>
          <w:szCs w:val="22"/>
          <w:lang w:val="sr-Latn-ME"/>
        </w:rPr>
      </w:pPr>
    </w:p>
    <w:p w:rsidR="009E4E76" w:rsidRPr="001B3E42" w:rsidRDefault="009E4E76" w:rsidP="009E4E76">
      <w:pPr>
        <w:pStyle w:val="Default"/>
        <w:jc w:val="both"/>
        <w:rPr>
          <w:rFonts w:ascii="Times New Roman" w:hAnsi="Times New Roman" w:cs="Times New Roman"/>
          <w:sz w:val="22"/>
          <w:szCs w:val="22"/>
          <w:lang w:val="sr-Latn-ME" w:eastAsia="en-GB"/>
        </w:rPr>
      </w:pPr>
      <w:r w:rsidRPr="001B3E42">
        <w:rPr>
          <w:rFonts w:ascii="Times New Roman" w:hAnsi="Times New Roman" w:cs="Times New Roman"/>
          <w:bCs/>
          <w:sz w:val="22"/>
          <w:szCs w:val="22"/>
          <w:lang w:val="sr-Latn-ME"/>
        </w:rPr>
        <w:t>A</w:t>
      </w:r>
      <w:r w:rsidRPr="001B3E42">
        <w:rPr>
          <w:rFonts w:ascii="Times New Roman" w:hAnsi="Times New Roman" w:cs="Times New Roman"/>
          <w:sz w:val="22"/>
          <w:szCs w:val="22"/>
          <w:lang w:val="sr-Latn-ME" w:eastAsia="en-GB"/>
        </w:rPr>
        <w:t xml:space="preserve">dalimumab može preći iz posteljice u serum rođene djece čije su majke tokom trudnoće liječene adalimumabom. Stoga, ta djeca mogu imati povećan rizik od infekcija. Djeci koja su </w:t>
      </w:r>
      <w:r w:rsidR="00C062FE" w:rsidRPr="001B3E42">
        <w:rPr>
          <w:rFonts w:ascii="Times New Roman" w:hAnsi="Times New Roman" w:cs="Times New Roman"/>
          <w:i/>
          <w:sz w:val="22"/>
          <w:szCs w:val="22"/>
          <w:lang w:val="sr-Latn-ME" w:eastAsia="en-GB"/>
        </w:rPr>
        <w:t>in utero</w:t>
      </w:r>
      <w:r w:rsidRPr="001B3E42">
        <w:rPr>
          <w:rFonts w:ascii="Times New Roman" w:hAnsi="Times New Roman" w:cs="Times New Roman"/>
          <w:sz w:val="22"/>
          <w:szCs w:val="22"/>
          <w:lang w:val="sr-Latn-ME" w:eastAsia="en-GB"/>
        </w:rPr>
        <w:t xml:space="preserve"> bila izložena adalimumabu ne prep</w:t>
      </w:r>
      <w:r w:rsidR="00EC7DA7" w:rsidRPr="001B3E42">
        <w:rPr>
          <w:rFonts w:ascii="Times New Roman" w:hAnsi="Times New Roman" w:cs="Times New Roman"/>
          <w:sz w:val="22"/>
          <w:szCs w:val="22"/>
          <w:lang w:val="sr-Latn-ME" w:eastAsia="en-GB"/>
        </w:rPr>
        <w:t>oručuje se davanje živih vakcina</w:t>
      </w:r>
      <w:r w:rsidRPr="001B3E42">
        <w:rPr>
          <w:rFonts w:ascii="Times New Roman" w:hAnsi="Times New Roman" w:cs="Times New Roman"/>
          <w:sz w:val="22"/>
          <w:szCs w:val="22"/>
          <w:lang w:val="sr-Latn-ME" w:eastAsia="en-GB"/>
        </w:rPr>
        <w:t xml:space="preserve"> najmanje 5 mjeseci od kada je majka u trudnoći primila zadnju injekciju adalimumaba.</w:t>
      </w:r>
    </w:p>
    <w:p w:rsidR="009E4E76" w:rsidRPr="001B3E42" w:rsidRDefault="009E4E76" w:rsidP="009E4E76">
      <w:pPr>
        <w:pStyle w:val="Default"/>
        <w:jc w:val="both"/>
        <w:rPr>
          <w:rFonts w:ascii="Times New Roman" w:hAnsi="Times New Roman" w:cs="Times New Roman"/>
          <w:sz w:val="22"/>
          <w:szCs w:val="22"/>
          <w:lang w:val="sr-Latn-ME" w:eastAsia="en-GB"/>
        </w:rPr>
      </w:pPr>
    </w:p>
    <w:p w:rsidR="009E4E76" w:rsidRPr="001B3E42" w:rsidRDefault="009E4E76" w:rsidP="009E4E76">
      <w:pPr>
        <w:pStyle w:val="Default"/>
        <w:jc w:val="both"/>
        <w:rPr>
          <w:rFonts w:ascii="Times New Roman" w:hAnsi="Times New Roman" w:cs="Times New Roman"/>
          <w:sz w:val="22"/>
          <w:szCs w:val="22"/>
          <w:u w:val="single"/>
          <w:lang w:val="sr-Latn-ME" w:eastAsia="en-GB"/>
        </w:rPr>
      </w:pPr>
      <w:r w:rsidRPr="001B3E42">
        <w:rPr>
          <w:rFonts w:ascii="Times New Roman" w:hAnsi="Times New Roman" w:cs="Times New Roman"/>
          <w:sz w:val="22"/>
          <w:szCs w:val="22"/>
          <w:u w:val="single"/>
          <w:lang w:val="sr-Latn-ME" w:eastAsia="en-GB"/>
        </w:rPr>
        <w:t>Dojenje</w:t>
      </w: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Nije poznato da li se adalimumab izlučuje u majčino mlijeko, niti da li se sistemski</w:t>
      </w:r>
      <w:r w:rsidR="00EC7DA7" w:rsidRPr="001B3E42">
        <w:rPr>
          <w:rFonts w:ascii="Times New Roman" w:hAnsi="Times New Roman" w:cs="Times New Roman"/>
          <w:sz w:val="22"/>
          <w:szCs w:val="22"/>
          <w:lang w:val="sr-Latn-ME"/>
        </w:rPr>
        <w:t xml:space="preserve"> </w:t>
      </w:r>
      <w:r w:rsidR="00C062FE" w:rsidRPr="001B3E42">
        <w:rPr>
          <w:rFonts w:ascii="Times New Roman" w:hAnsi="Times New Roman" w:cs="Times New Roman"/>
          <w:sz w:val="22"/>
          <w:szCs w:val="22"/>
          <w:lang w:val="sr-Latn-ME"/>
        </w:rPr>
        <w:t>re</w:t>
      </w:r>
      <w:r w:rsidR="00EC7DA7" w:rsidRPr="001B3E42">
        <w:rPr>
          <w:rFonts w:ascii="Times New Roman" w:hAnsi="Times New Roman" w:cs="Times New Roman"/>
          <w:sz w:val="22"/>
          <w:szCs w:val="22"/>
          <w:lang w:val="sr-Latn-ME"/>
        </w:rPr>
        <w:t>sorbuje</w:t>
      </w:r>
      <w:r w:rsidRPr="001B3E42">
        <w:rPr>
          <w:rFonts w:ascii="Times New Roman" w:hAnsi="Times New Roman" w:cs="Times New Roman"/>
          <w:sz w:val="22"/>
          <w:szCs w:val="22"/>
          <w:lang w:val="sr-Latn-ME"/>
        </w:rPr>
        <w:t xml:space="preserve"> nakon gutanja.  </w:t>
      </w:r>
    </w:p>
    <w:p w:rsidR="009E4E76" w:rsidRPr="001B3E42" w:rsidRDefault="009E4E76" w:rsidP="009E4E76">
      <w:pPr>
        <w:pStyle w:val="Default"/>
        <w:jc w:val="both"/>
        <w:rPr>
          <w:rFonts w:ascii="Times New Roman" w:hAnsi="Times New Roman" w:cs="Times New Roman"/>
          <w:sz w:val="22"/>
          <w:szCs w:val="22"/>
          <w:lang w:val="sr-Latn-ME"/>
        </w:rPr>
      </w:pP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Međutim, </w:t>
      </w:r>
      <w:r w:rsidR="00EC7DA7" w:rsidRPr="001B3E42">
        <w:rPr>
          <w:rFonts w:ascii="Times New Roman" w:hAnsi="Times New Roman" w:cs="Times New Roman"/>
          <w:sz w:val="22"/>
          <w:szCs w:val="22"/>
          <w:lang w:val="sr-Latn-ME"/>
        </w:rPr>
        <w:t xml:space="preserve">s </w:t>
      </w:r>
      <w:r w:rsidRPr="001B3E42">
        <w:rPr>
          <w:rFonts w:ascii="Times New Roman" w:hAnsi="Times New Roman" w:cs="Times New Roman"/>
          <w:sz w:val="22"/>
          <w:szCs w:val="22"/>
          <w:lang w:val="sr-Latn-ME"/>
        </w:rPr>
        <w:t xml:space="preserve">obzirom da se humani imunoglobulini izlučuju u majčino mlijeko, ne smije se dojiti najmanje pet mjeseci nakon posljednje doze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w:t>
      </w:r>
    </w:p>
    <w:p w:rsidR="009E4E76" w:rsidRPr="001B3E42" w:rsidRDefault="009E4E76" w:rsidP="009E4E76">
      <w:pPr>
        <w:pStyle w:val="Default"/>
        <w:jc w:val="both"/>
        <w:rPr>
          <w:rFonts w:ascii="Times New Roman" w:hAnsi="Times New Roman" w:cs="Times New Roman"/>
          <w:sz w:val="22"/>
          <w:szCs w:val="22"/>
          <w:lang w:val="sr-Latn-ME"/>
        </w:rPr>
      </w:pPr>
    </w:p>
    <w:p w:rsidR="009E4E76" w:rsidRPr="001B3E42" w:rsidRDefault="009E4E76" w:rsidP="009E4E76">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Fertilitet</w:t>
      </w:r>
    </w:p>
    <w:p w:rsidR="009E4E76" w:rsidRPr="001B3E42" w:rsidRDefault="009E4E76"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Pretklinički podaci o uticaju adalimumaba na plodnost nisu dostupni.</w:t>
      </w:r>
    </w:p>
    <w:p w:rsidR="00615AB5" w:rsidRPr="001B3E42" w:rsidRDefault="00615AB5" w:rsidP="009E4E76">
      <w:pPr>
        <w:pStyle w:val="Default"/>
        <w:jc w:val="both"/>
        <w:rPr>
          <w:rFonts w:ascii="Times New Roman" w:hAnsi="Times New Roman" w:cs="Times New Roman"/>
          <w:sz w:val="22"/>
          <w:szCs w:val="22"/>
          <w:lang w:val="sr-Latn-ME"/>
        </w:rPr>
      </w:pPr>
    </w:p>
    <w:p w:rsidR="00615AB5" w:rsidRPr="001B3E42" w:rsidRDefault="00615AB5" w:rsidP="009E4E76">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Žene sa mogućnošću začeća. Kontracepcija kod žena i muškaraca.</w:t>
      </w:r>
    </w:p>
    <w:p w:rsidR="00615AB5" w:rsidRPr="001B3E42" w:rsidRDefault="00615AB5" w:rsidP="009E4E76">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Ženama sa mogućnošću začeća se obavezno preporučuje da koriste adekvatnu kontracepciju za sprečavanje trudnoće i da je koriste najmanje 5 mjeseci nakon posljednjeg tretmana lijekom Humira.</w:t>
      </w:r>
    </w:p>
    <w:p w:rsidR="0072020E" w:rsidRPr="001B3E42" w:rsidRDefault="0072020E" w:rsidP="00396DFD">
      <w:pPr>
        <w:tabs>
          <w:tab w:val="left" w:pos="540"/>
          <w:tab w:val="left" w:pos="569"/>
        </w:tabs>
        <w:ind w:left="540" w:hanging="540"/>
        <w:rPr>
          <w:b/>
          <w:bCs/>
          <w:sz w:val="22"/>
          <w:szCs w:val="22"/>
        </w:rPr>
      </w:pPr>
      <w:r w:rsidRPr="001B3E42">
        <w:rPr>
          <w:b/>
          <w:bCs/>
          <w:sz w:val="22"/>
          <w:szCs w:val="22"/>
        </w:rPr>
        <w:lastRenderedPageBreak/>
        <w:t xml:space="preserve">4.7. </w:t>
      </w:r>
      <w:r w:rsidR="00480FB1" w:rsidRPr="001B3E42">
        <w:rPr>
          <w:b/>
          <w:bCs/>
          <w:sz w:val="22"/>
          <w:szCs w:val="22"/>
        </w:rPr>
        <w:tab/>
      </w:r>
      <w:r w:rsidRPr="001B3E42">
        <w:rPr>
          <w:b/>
          <w:bCs/>
          <w:sz w:val="22"/>
          <w:szCs w:val="22"/>
        </w:rPr>
        <w:t>Uticaj na psihofizičke sposobnosti pril</w:t>
      </w:r>
      <w:r w:rsidR="00F34554" w:rsidRPr="001B3E42">
        <w:rPr>
          <w:b/>
          <w:bCs/>
          <w:sz w:val="22"/>
          <w:szCs w:val="22"/>
        </w:rPr>
        <w:t>ikom upravljanja motornim vozili</w:t>
      </w:r>
      <w:r w:rsidRPr="001B3E42">
        <w:rPr>
          <w:b/>
          <w:bCs/>
          <w:sz w:val="22"/>
          <w:szCs w:val="22"/>
        </w:rPr>
        <w:t>m</w:t>
      </w:r>
      <w:r w:rsidR="00F34554" w:rsidRPr="001B3E42">
        <w:rPr>
          <w:b/>
          <w:bCs/>
          <w:sz w:val="22"/>
          <w:szCs w:val="22"/>
        </w:rPr>
        <w:t>a</w:t>
      </w:r>
      <w:r w:rsidRPr="001B3E42">
        <w:rPr>
          <w:b/>
          <w:bCs/>
          <w:sz w:val="22"/>
          <w:szCs w:val="22"/>
        </w:rPr>
        <w:t xml:space="preserve"> i rukovanja mašinama</w:t>
      </w:r>
    </w:p>
    <w:p w:rsidR="0072020E" w:rsidRPr="001B3E42" w:rsidRDefault="0072020E" w:rsidP="00480FB1">
      <w:pPr>
        <w:tabs>
          <w:tab w:val="left" w:pos="540"/>
          <w:tab w:val="left" w:pos="569"/>
        </w:tabs>
        <w:rPr>
          <w:b/>
          <w:bCs/>
          <w:sz w:val="22"/>
          <w:szCs w:val="22"/>
        </w:rPr>
      </w:pPr>
    </w:p>
    <w:p w:rsidR="0027287B" w:rsidRPr="001B3E42" w:rsidRDefault="0027287B" w:rsidP="0027287B">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Humira može imati mali uticaj na sposobnost upravljanja vozilima i rada na mašinama. Vrtoglavica i poremećaji vida se mogu pojaviti nakon primjene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(vidjeti </w:t>
      </w:r>
      <w:r w:rsidR="002D5061" w:rsidRPr="001B3E42">
        <w:rPr>
          <w:rFonts w:ascii="Times New Roman" w:hAnsi="Times New Roman" w:cs="Times New Roman"/>
          <w:sz w:val="22"/>
          <w:szCs w:val="22"/>
          <w:lang w:val="sr-Latn-ME"/>
        </w:rPr>
        <w:t>odjeljak</w:t>
      </w:r>
      <w:r w:rsidRPr="001B3E42">
        <w:rPr>
          <w:rFonts w:ascii="Times New Roman" w:hAnsi="Times New Roman" w:cs="Times New Roman"/>
          <w:sz w:val="22"/>
          <w:szCs w:val="22"/>
          <w:lang w:val="sr-Latn-ME"/>
        </w:rPr>
        <w:t xml:space="preserve"> 4.8).</w:t>
      </w:r>
    </w:p>
    <w:p w:rsidR="00615AB5" w:rsidRPr="001B3E42" w:rsidRDefault="00615AB5"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4.8. </w:t>
      </w:r>
      <w:r w:rsidR="00480FB1" w:rsidRPr="001B3E42">
        <w:rPr>
          <w:b/>
          <w:bCs/>
          <w:sz w:val="22"/>
          <w:szCs w:val="22"/>
        </w:rPr>
        <w:tab/>
      </w:r>
      <w:r w:rsidRPr="001B3E42">
        <w:rPr>
          <w:b/>
          <w:bCs/>
          <w:sz w:val="22"/>
          <w:szCs w:val="22"/>
        </w:rPr>
        <w:t>Neželjena dejstva</w:t>
      </w:r>
    </w:p>
    <w:p w:rsidR="00836B35" w:rsidRPr="001B3E42" w:rsidRDefault="00836B35" w:rsidP="00480FB1">
      <w:pPr>
        <w:tabs>
          <w:tab w:val="left" w:pos="540"/>
          <w:tab w:val="left" w:pos="569"/>
        </w:tabs>
        <w:rPr>
          <w:b/>
          <w:bCs/>
          <w:sz w:val="22"/>
          <w:szCs w:val="22"/>
        </w:rPr>
      </w:pPr>
    </w:p>
    <w:p w:rsidR="005E2894" w:rsidRPr="001B3E42" w:rsidRDefault="00655124" w:rsidP="005E2894">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Lijek </w:t>
      </w:r>
      <w:r w:rsidR="005E2894" w:rsidRPr="001B3E42">
        <w:rPr>
          <w:rFonts w:ascii="Times New Roman" w:hAnsi="Times New Roman" w:cs="Times New Roman"/>
          <w:sz w:val="22"/>
          <w:szCs w:val="22"/>
          <w:lang w:val="sr-Latn-ME"/>
        </w:rPr>
        <w:t>Humira je ispitivan u pivotalnim kontrolisanim i otvorenim ispitivanjima kod 8.152 p</w:t>
      </w:r>
      <w:r w:rsidR="00615AB5" w:rsidRPr="001B3E42">
        <w:rPr>
          <w:rFonts w:ascii="Times New Roman" w:hAnsi="Times New Roman" w:cs="Times New Roman"/>
          <w:sz w:val="22"/>
          <w:szCs w:val="22"/>
          <w:lang w:val="sr-Latn-ME"/>
        </w:rPr>
        <w:t>a</w:t>
      </w:r>
      <w:r w:rsidR="005E2894" w:rsidRPr="001B3E42">
        <w:rPr>
          <w:rFonts w:ascii="Times New Roman" w:hAnsi="Times New Roman" w:cs="Times New Roman"/>
          <w:sz w:val="22"/>
          <w:szCs w:val="22"/>
          <w:lang w:val="sr-Latn-ME"/>
        </w:rPr>
        <w:t>cijenata kroz period do 60 mjeseci ili više. Ispitivanjima su obuhvaćeni pacijenti s nedavnom pojavom reumatoidnog artritisa i oni s dugotrajnom bolešću, te pacijenti s poliartikularnim juvenilnim idiopatskim artritisom, kao i ankiloz</w:t>
      </w:r>
      <w:r w:rsidRPr="001B3E42">
        <w:rPr>
          <w:rFonts w:ascii="Times New Roman" w:hAnsi="Times New Roman" w:cs="Times New Roman"/>
          <w:sz w:val="22"/>
          <w:szCs w:val="22"/>
          <w:lang w:val="sr-Latn-ME"/>
        </w:rPr>
        <w:t>irajućim</w:t>
      </w:r>
      <w:r w:rsidR="005E2894" w:rsidRPr="001B3E42">
        <w:rPr>
          <w:rFonts w:ascii="Times New Roman" w:hAnsi="Times New Roman" w:cs="Times New Roman"/>
          <w:sz w:val="22"/>
          <w:szCs w:val="22"/>
          <w:lang w:val="sr-Latn-ME"/>
        </w:rPr>
        <w:t xml:space="preserve"> spondilitisom, aksijalnim spondiloartritisom bez radiološkog nalaza AS-a, psorijatičnim artritisom, Crohnovom bolešću, ulceroznim kolitisom i psorijazom. Podaci u Tabeli 2 zasnivaju se na pivotalnim kontrolisanim ispitivanjima kod 5.312 pacijenata liječenih </w:t>
      </w:r>
      <w:r w:rsidRPr="001B3E42">
        <w:rPr>
          <w:rFonts w:ascii="Times New Roman" w:hAnsi="Times New Roman" w:cs="Times New Roman"/>
          <w:sz w:val="22"/>
          <w:szCs w:val="22"/>
          <w:lang w:val="sr-Latn-ME"/>
        </w:rPr>
        <w:t xml:space="preserve">lijekom </w:t>
      </w:r>
      <w:r w:rsidR="005E2894" w:rsidRPr="001B3E42">
        <w:rPr>
          <w:rFonts w:ascii="Times New Roman" w:hAnsi="Times New Roman" w:cs="Times New Roman"/>
          <w:sz w:val="22"/>
          <w:szCs w:val="22"/>
          <w:lang w:val="sr-Latn-ME"/>
        </w:rPr>
        <w:t>Humir</w:t>
      </w:r>
      <w:r w:rsidRPr="001B3E42">
        <w:rPr>
          <w:rFonts w:ascii="Times New Roman" w:hAnsi="Times New Roman" w:cs="Times New Roman"/>
          <w:sz w:val="22"/>
          <w:szCs w:val="22"/>
          <w:lang w:val="sr-Latn-ME"/>
        </w:rPr>
        <w:t>a</w:t>
      </w:r>
      <w:r w:rsidR="005E2894" w:rsidRPr="001B3E42">
        <w:rPr>
          <w:rFonts w:ascii="Times New Roman" w:hAnsi="Times New Roman" w:cs="Times New Roman"/>
          <w:sz w:val="22"/>
          <w:szCs w:val="22"/>
          <w:lang w:val="sr-Latn-ME"/>
        </w:rPr>
        <w:t xml:space="preserve"> i 3.133 pacijenata liječenih placebom ili nekim aktivnim poredbenim lijekom u kontrolisanom periodu i iz spontanog prijavljivanja.</w:t>
      </w:r>
    </w:p>
    <w:p w:rsidR="005E2894" w:rsidRPr="001B3E42" w:rsidRDefault="005E2894" w:rsidP="005E2894">
      <w:pPr>
        <w:pStyle w:val="Default"/>
        <w:jc w:val="both"/>
        <w:rPr>
          <w:rFonts w:ascii="Times New Roman" w:hAnsi="Times New Roman" w:cs="Times New Roman"/>
          <w:sz w:val="22"/>
          <w:szCs w:val="22"/>
          <w:lang w:val="sr-Latn-ME"/>
        </w:rPr>
      </w:pPr>
    </w:p>
    <w:p w:rsidR="005E2894" w:rsidRPr="001B3E42" w:rsidRDefault="005E2894" w:rsidP="005E2894">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 dvostruko slijepim, kontrolisanim dijelovima pivotalnih ispitivanja, liječenje je zbog </w:t>
      </w:r>
      <w:r w:rsidR="005C1110" w:rsidRPr="001B3E42">
        <w:rPr>
          <w:rFonts w:ascii="Times New Roman" w:hAnsi="Times New Roman" w:cs="Times New Roman"/>
          <w:sz w:val="22"/>
          <w:szCs w:val="22"/>
          <w:lang w:val="sr-Latn-ME"/>
        </w:rPr>
        <w:t>neželjenih dejstva</w:t>
      </w:r>
      <w:r w:rsidRPr="001B3E42">
        <w:rPr>
          <w:rFonts w:ascii="Times New Roman" w:hAnsi="Times New Roman" w:cs="Times New Roman"/>
          <w:sz w:val="22"/>
          <w:szCs w:val="22"/>
          <w:lang w:val="sr-Latn-ME"/>
        </w:rPr>
        <w:t xml:space="preserve"> prekinuto kod </w:t>
      </w:r>
      <w:r w:rsidR="00101CDD" w:rsidRPr="001B3E42">
        <w:rPr>
          <w:rFonts w:ascii="Times New Roman" w:hAnsi="Times New Roman" w:cs="Times New Roman"/>
          <w:sz w:val="22"/>
          <w:szCs w:val="22"/>
          <w:lang w:val="sr-Latn-ME"/>
        </w:rPr>
        <w:t>6,1</w:t>
      </w:r>
      <w:r w:rsidRPr="001B3E42">
        <w:rPr>
          <w:rFonts w:ascii="Times New Roman" w:hAnsi="Times New Roman" w:cs="Times New Roman"/>
          <w:sz w:val="22"/>
          <w:szCs w:val="22"/>
          <w:lang w:val="sr-Latn-ME"/>
        </w:rPr>
        <w:t xml:space="preserve">% pacijenata koji su dobijali </w:t>
      </w:r>
      <w:r w:rsidR="00655124"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655124"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odnosno </w:t>
      </w:r>
      <w:r w:rsidR="00101CDD" w:rsidRPr="001B3E42">
        <w:rPr>
          <w:rFonts w:ascii="Times New Roman" w:hAnsi="Times New Roman" w:cs="Times New Roman"/>
          <w:sz w:val="22"/>
          <w:szCs w:val="22"/>
          <w:lang w:val="sr-Latn-ME"/>
        </w:rPr>
        <w:t>5,8</w:t>
      </w:r>
      <w:r w:rsidRPr="001B3E42">
        <w:rPr>
          <w:rFonts w:ascii="Times New Roman" w:hAnsi="Times New Roman" w:cs="Times New Roman"/>
          <w:sz w:val="22"/>
          <w:szCs w:val="22"/>
          <w:lang w:val="sr-Latn-ME"/>
        </w:rPr>
        <w:t xml:space="preserve"> % pacijenata iz kontrolne grupe.</w:t>
      </w:r>
    </w:p>
    <w:p w:rsidR="005E2894" w:rsidRPr="001B3E42" w:rsidRDefault="005E2894" w:rsidP="005E2894">
      <w:pPr>
        <w:pStyle w:val="Default"/>
        <w:jc w:val="both"/>
        <w:rPr>
          <w:rFonts w:ascii="Times New Roman" w:hAnsi="Times New Roman" w:cs="Times New Roman"/>
          <w:sz w:val="22"/>
          <w:szCs w:val="22"/>
          <w:lang w:val="sr-Latn-ME"/>
        </w:rPr>
      </w:pPr>
    </w:p>
    <w:p w:rsidR="005E2894" w:rsidRPr="001B3E42" w:rsidRDefault="005E2894" w:rsidP="005E2894">
      <w:pPr>
        <w:autoSpaceDE w:val="0"/>
        <w:autoSpaceDN w:val="0"/>
        <w:adjustRightInd w:val="0"/>
        <w:jc w:val="both"/>
        <w:rPr>
          <w:sz w:val="22"/>
          <w:szCs w:val="22"/>
          <w:u w:val="single"/>
        </w:rPr>
      </w:pPr>
      <w:r w:rsidRPr="001B3E42">
        <w:rPr>
          <w:sz w:val="22"/>
          <w:szCs w:val="22"/>
          <w:u w:val="single"/>
        </w:rPr>
        <w:t>Sažetak sigurnosnog profila</w:t>
      </w:r>
    </w:p>
    <w:p w:rsidR="005E2894" w:rsidRPr="001B3E42" w:rsidRDefault="005E2894" w:rsidP="005E2894">
      <w:pPr>
        <w:autoSpaceDE w:val="0"/>
        <w:autoSpaceDN w:val="0"/>
        <w:adjustRightInd w:val="0"/>
        <w:jc w:val="both"/>
        <w:rPr>
          <w:sz w:val="22"/>
          <w:szCs w:val="22"/>
        </w:rPr>
      </w:pPr>
      <w:r w:rsidRPr="001B3E42">
        <w:rPr>
          <w:sz w:val="22"/>
          <w:szCs w:val="22"/>
        </w:rPr>
        <w:t>Najčešće prijavljen</w:t>
      </w:r>
      <w:r w:rsidR="005C1110" w:rsidRPr="001B3E42">
        <w:rPr>
          <w:sz w:val="22"/>
          <w:szCs w:val="22"/>
        </w:rPr>
        <w:t>a</w:t>
      </w:r>
      <w:r w:rsidRPr="001B3E42">
        <w:rPr>
          <w:sz w:val="22"/>
          <w:szCs w:val="22"/>
        </w:rPr>
        <w:t xml:space="preserve"> než</w:t>
      </w:r>
      <w:r w:rsidR="005C1110" w:rsidRPr="001B3E42">
        <w:rPr>
          <w:sz w:val="22"/>
          <w:szCs w:val="22"/>
        </w:rPr>
        <w:t>eljena</w:t>
      </w:r>
      <w:r w:rsidRPr="001B3E42">
        <w:rPr>
          <w:sz w:val="22"/>
          <w:szCs w:val="22"/>
        </w:rPr>
        <w:t xml:space="preserve"> </w:t>
      </w:r>
      <w:r w:rsidR="005C1110" w:rsidRPr="001B3E42">
        <w:rPr>
          <w:sz w:val="22"/>
          <w:szCs w:val="22"/>
        </w:rPr>
        <w:t>dejstva</w:t>
      </w:r>
      <w:r w:rsidRPr="001B3E42">
        <w:rPr>
          <w:sz w:val="22"/>
          <w:szCs w:val="22"/>
        </w:rPr>
        <w:t xml:space="preserve"> su infekcije (kao</w:t>
      </w:r>
      <w:r w:rsidR="00655124" w:rsidRPr="001B3E42">
        <w:rPr>
          <w:sz w:val="22"/>
          <w:szCs w:val="22"/>
        </w:rPr>
        <w:t xml:space="preserve"> što su</w:t>
      </w:r>
      <w:r w:rsidRPr="001B3E42">
        <w:rPr>
          <w:sz w:val="22"/>
          <w:szCs w:val="22"/>
        </w:rPr>
        <w:t xml:space="preserve"> nazofaringitis, infekcija </w:t>
      </w:r>
      <w:r w:rsidR="008E4A6B" w:rsidRPr="001B3E42">
        <w:rPr>
          <w:sz w:val="22"/>
          <w:szCs w:val="22"/>
        </w:rPr>
        <w:t>gornjeg respiratornog trakta</w:t>
      </w:r>
      <w:r w:rsidRPr="001B3E42">
        <w:rPr>
          <w:sz w:val="22"/>
          <w:szCs w:val="22"/>
        </w:rPr>
        <w:t xml:space="preserve"> i sinusitis), reakcije na mjestu primjene (eritem, svr</w:t>
      </w:r>
      <w:r w:rsidR="00615AB5" w:rsidRPr="001B3E42">
        <w:rPr>
          <w:sz w:val="22"/>
          <w:szCs w:val="22"/>
        </w:rPr>
        <w:t>a</w:t>
      </w:r>
      <w:r w:rsidRPr="001B3E42">
        <w:rPr>
          <w:sz w:val="22"/>
          <w:szCs w:val="22"/>
        </w:rPr>
        <w:t>b, krvarenje, bol ili oticanje), glavobolja i mišićno-</w:t>
      </w:r>
      <w:r w:rsidR="008E4A6B" w:rsidRPr="001B3E42">
        <w:rPr>
          <w:sz w:val="22"/>
          <w:szCs w:val="22"/>
        </w:rPr>
        <w:t>skeletna</w:t>
      </w:r>
      <w:r w:rsidRPr="001B3E42">
        <w:rPr>
          <w:sz w:val="22"/>
          <w:szCs w:val="22"/>
        </w:rPr>
        <w:t xml:space="preserve"> bol. </w:t>
      </w:r>
    </w:p>
    <w:p w:rsidR="005E2894" w:rsidRPr="001B3E42" w:rsidRDefault="005E2894" w:rsidP="005E2894">
      <w:pPr>
        <w:autoSpaceDE w:val="0"/>
        <w:autoSpaceDN w:val="0"/>
        <w:adjustRightInd w:val="0"/>
        <w:jc w:val="both"/>
        <w:rPr>
          <w:sz w:val="22"/>
          <w:szCs w:val="22"/>
        </w:rPr>
      </w:pPr>
    </w:p>
    <w:p w:rsidR="005E2894" w:rsidRPr="001B3E42" w:rsidRDefault="005E2894" w:rsidP="005E2894">
      <w:pPr>
        <w:autoSpaceDE w:val="0"/>
        <w:autoSpaceDN w:val="0"/>
        <w:adjustRightInd w:val="0"/>
        <w:jc w:val="both"/>
        <w:rPr>
          <w:sz w:val="22"/>
          <w:szCs w:val="22"/>
        </w:rPr>
      </w:pPr>
      <w:r w:rsidRPr="001B3E42">
        <w:rPr>
          <w:sz w:val="22"/>
          <w:szCs w:val="22"/>
        </w:rPr>
        <w:t>Z</w:t>
      </w:r>
      <w:r w:rsidR="005C1110" w:rsidRPr="001B3E42">
        <w:rPr>
          <w:sz w:val="22"/>
          <w:szCs w:val="22"/>
        </w:rPr>
        <w:t xml:space="preserve">a </w:t>
      </w:r>
      <w:r w:rsidR="00655124" w:rsidRPr="001B3E42">
        <w:rPr>
          <w:sz w:val="22"/>
          <w:szCs w:val="22"/>
        </w:rPr>
        <w:t xml:space="preserve">lijek </w:t>
      </w:r>
      <w:r w:rsidR="005C1110" w:rsidRPr="001B3E42">
        <w:rPr>
          <w:sz w:val="22"/>
          <w:szCs w:val="22"/>
        </w:rPr>
        <w:t>Humir</w:t>
      </w:r>
      <w:r w:rsidR="00655124" w:rsidRPr="001B3E42">
        <w:rPr>
          <w:sz w:val="22"/>
          <w:szCs w:val="22"/>
        </w:rPr>
        <w:t>a</w:t>
      </w:r>
      <w:r w:rsidR="005C1110" w:rsidRPr="001B3E42">
        <w:rPr>
          <w:sz w:val="22"/>
          <w:szCs w:val="22"/>
        </w:rPr>
        <w:t xml:space="preserve"> su prijavljena</w:t>
      </w:r>
      <w:r w:rsidRPr="001B3E42">
        <w:rPr>
          <w:sz w:val="22"/>
          <w:szCs w:val="22"/>
        </w:rPr>
        <w:t xml:space="preserve"> ozbiljn</w:t>
      </w:r>
      <w:r w:rsidR="005C1110" w:rsidRPr="001B3E42">
        <w:rPr>
          <w:sz w:val="22"/>
          <w:szCs w:val="22"/>
        </w:rPr>
        <w:t>a</w:t>
      </w:r>
      <w:r w:rsidRPr="001B3E42">
        <w:rPr>
          <w:sz w:val="22"/>
          <w:szCs w:val="22"/>
        </w:rPr>
        <w:t xml:space="preserve"> n</w:t>
      </w:r>
      <w:r w:rsidR="005C1110" w:rsidRPr="001B3E42">
        <w:rPr>
          <w:sz w:val="22"/>
          <w:szCs w:val="22"/>
        </w:rPr>
        <w:t>eželjena dejstva</w:t>
      </w:r>
      <w:r w:rsidRPr="001B3E42">
        <w:rPr>
          <w:sz w:val="22"/>
          <w:szCs w:val="22"/>
        </w:rPr>
        <w:t xml:space="preserve">. TNF-antagonisti, kao </w:t>
      </w:r>
      <w:r w:rsidR="00655124" w:rsidRPr="001B3E42">
        <w:rPr>
          <w:sz w:val="22"/>
          <w:szCs w:val="22"/>
        </w:rPr>
        <w:t xml:space="preserve">lijek </w:t>
      </w:r>
      <w:r w:rsidRPr="001B3E42">
        <w:rPr>
          <w:sz w:val="22"/>
          <w:szCs w:val="22"/>
        </w:rPr>
        <w:t xml:space="preserve">Humira, djeluju na imunološki sistem te njihova primjena može uticati na odbranu tijela od infekcija i </w:t>
      </w:r>
      <w:r w:rsidR="00537DC6" w:rsidRPr="001B3E42">
        <w:rPr>
          <w:sz w:val="22"/>
          <w:szCs w:val="22"/>
        </w:rPr>
        <w:t>karcinoma</w:t>
      </w:r>
      <w:r w:rsidRPr="001B3E42">
        <w:rPr>
          <w:sz w:val="22"/>
          <w:szCs w:val="22"/>
        </w:rPr>
        <w:t xml:space="preserve">.  </w:t>
      </w:r>
    </w:p>
    <w:p w:rsidR="005E2894" w:rsidRPr="001B3E42" w:rsidRDefault="005E2894" w:rsidP="005E2894">
      <w:pPr>
        <w:autoSpaceDE w:val="0"/>
        <w:autoSpaceDN w:val="0"/>
        <w:adjustRightInd w:val="0"/>
        <w:jc w:val="both"/>
        <w:rPr>
          <w:sz w:val="22"/>
          <w:szCs w:val="22"/>
        </w:rPr>
      </w:pPr>
      <w:r w:rsidRPr="001B3E42">
        <w:rPr>
          <w:sz w:val="22"/>
          <w:szCs w:val="22"/>
        </w:rPr>
        <w:t xml:space="preserve">Prilikom upotrebe </w:t>
      </w:r>
      <w:r w:rsidR="00537DC6" w:rsidRPr="001B3E42">
        <w:rPr>
          <w:sz w:val="22"/>
          <w:szCs w:val="22"/>
        </w:rPr>
        <w:t xml:space="preserve">lijeka </w:t>
      </w:r>
      <w:r w:rsidRPr="001B3E42">
        <w:rPr>
          <w:sz w:val="22"/>
          <w:szCs w:val="22"/>
        </w:rPr>
        <w:t>Humir</w:t>
      </w:r>
      <w:r w:rsidR="00537DC6" w:rsidRPr="001B3E42">
        <w:rPr>
          <w:sz w:val="22"/>
          <w:szCs w:val="22"/>
        </w:rPr>
        <w:t>a</w:t>
      </w:r>
      <w:r w:rsidRPr="001B3E42">
        <w:rPr>
          <w:sz w:val="22"/>
          <w:szCs w:val="22"/>
        </w:rPr>
        <w:t xml:space="preserve"> su takođe prijavljene infekcije sa smrtnim ishodom i po život opasne infekcije (uključujući sepsu, oportunističke infekcije i tuberkulozu), rea</w:t>
      </w:r>
      <w:r w:rsidR="008E4A6B" w:rsidRPr="001B3E42">
        <w:rPr>
          <w:sz w:val="22"/>
          <w:szCs w:val="22"/>
        </w:rPr>
        <w:t>ktivacija HBV-a i razne maligne</w:t>
      </w:r>
      <w:r w:rsidRPr="001B3E42">
        <w:rPr>
          <w:sz w:val="22"/>
          <w:szCs w:val="22"/>
        </w:rPr>
        <w:t xml:space="preserve"> promjene (uključujući leukemiju, limfom i hepatosplenični T-ćelijski limfom).</w:t>
      </w:r>
    </w:p>
    <w:p w:rsidR="005E2894" w:rsidRPr="001B3E42" w:rsidRDefault="005E2894" w:rsidP="005E2894">
      <w:pPr>
        <w:autoSpaceDE w:val="0"/>
        <w:autoSpaceDN w:val="0"/>
        <w:adjustRightInd w:val="0"/>
        <w:jc w:val="both"/>
        <w:rPr>
          <w:sz w:val="22"/>
          <w:szCs w:val="22"/>
        </w:rPr>
      </w:pPr>
    </w:p>
    <w:p w:rsidR="005E2894" w:rsidRPr="001B3E42" w:rsidRDefault="005E2894" w:rsidP="005E2894">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Takođe su prijavljene ozbiljne hematološke, neurološke i autoimune reakcije. One uključuju rijetke prijave pancitopenije, aplastične anemije, centralnih i perifernih demijelinizirajućih događaja i prijave lupusa, stanja povezanih s lupusom i Stevens-Johnsonov sindrom.</w:t>
      </w:r>
    </w:p>
    <w:p w:rsidR="005E2894" w:rsidRPr="001B3E42" w:rsidRDefault="005E2894" w:rsidP="005E2894">
      <w:pPr>
        <w:pStyle w:val="Default"/>
        <w:jc w:val="both"/>
        <w:rPr>
          <w:rFonts w:ascii="Times New Roman" w:hAnsi="Times New Roman" w:cs="Times New Roman"/>
          <w:sz w:val="22"/>
          <w:szCs w:val="22"/>
          <w:lang w:val="sr-Latn-ME"/>
        </w:rPr>
      </w:pPr>
    </w:p>
    <w:p w:rsidR="005E2894" w:rsidRPr="001B3E42" w:rsidRDefault="005E2894" w:rsidP="005E2894">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Pedijatrijska populacija</w:t>
      </w:r>
    </w:p>
    <w:p w:rsidR="005E2894" w:rsidRPr="001B3E42" w:rsidRDefault="005E2894" w:rsidP="005E2894">
      <w:pPr>
        <w:pStyle w:val="Default"/>
        <w:jc w:val="both"/>
        <w:rPr>
          <w:rFonts w:ascii="Times New Roman" w:hAnsi="Times New Roman" w:cs="Times New Roman"/>
          <w:i/>
          <w:sz w:val="22"/>
          <w:szCs w:val="22"/>
          <w:lang w:val="sr-Latn-ME"/>
        </w:rPr>
      </w:pPr>
    </w:p>
    <w:p w:rsidR="005E2894" w:rsidRPr="001B3E42" w:rsidRDefault="005E2894" w:rsidP="005E2894">
      <w:pPr>
        <w:pStyle w:val="Default"/>
        <w:jc w:val="both"/>
        <w:rPr>
          <w:rFonts w:ascii="Times New Roman" w:hAnsi="Times New Roman" w:cs="Times New Roman"/>
          <w:i/>
          <w:sz w:val="22"/>
          <w:szCs w:val="22"/>
          <w:u w:val="single"/>
          <w:lang w:val="sr-Latn-ME"/>
        </w:rPr>
      </w:pPr>
      <w:r w:rsidRPr="001B3E42">
        <w:rPr>
          <w:rFonts w:ascii="Times New Roman" w:hAnsi="Times New Roman" w:cs="Times New Roman"/>
          <w:i/>
          <w:sz w:val="22"/>
          <w:szCs w:val="22"/>
          <w:u w:val="single"/>
          <w:lang w:val="sr-Latn-ME"/>
        </w:rPr>
        <w:t>N</w:t>
      </w:r>
      <w:r w:rsidR="00472539" w:rsidRPr="001B3E42">
        <w:rPr>
          <w:rFonts w:ascii="Times New Roman" w:hAnsi="Times New Roman" w:cs="Times New Roman"/>
          <w:i/>
          <w:sz w:val="22"/>
          <w:szCs w:val="22"/>
          <w:u w:val="single"/>
          <w:lang w:val="sr-Latn-ME"/>
        </w:rPr>
        <w:t>eželje</w:t>
      </w:r>
      <w:r w:rsidR="006B1C2F" w:rsidRPr="001B3E42">
        <w:rPr>
          <w:rFonts w:ascii="Times New Roman" w:hAnsi="Times New Roman" w:cs="Times New Roman"/>
          <w:i/>
          <w:sz w:val="22"/>
          <w:szCs w:val="22"/>
          <w:u w:val="single"/>
          <w:lang w:val="sr-Latn-ME"/>
        </w:rPr>
        <w:t>n</w:t>
      </w:r>
      <w:r w:rsidR="00472539" w:rsidRPr="001B3E42">
        <w:rPr>
          <w:rFonts w:ascii="Times New Roman" w:hAnsi="Times New Roman" w:cs="Times New Roman"/>
          <w:i/>
          <w:sz w:val="22"/>
          <w:szCs w:val="22"/>
          <w:u w:val="single"/>
          <w:lang w:val="sr-Latn-ME"/>
        </w:rPr>
        <w:t>a</w:t>
      </w:r>
      <w:r w:rsidR="006B1C2F" w:rsidRPr="001B3E42">
        <w:rPr>
          <w:rFonts w:ascii="Times New Roman" w:hAnsi="Times New Roman" w:cs="Times New Roman"/>
          <w:i/>
          <w:sz w:val="22"/>
          <w:szCs w:val="22"/>
          <w:u w:val="single"/>
          <w:lang w:val="sr-Latn-ME"/>
        </w:rPr>
        <w:t xml:space="preserve"> </w:t>
      </w:r>
      <w:r w:rsidR="005C1110" w:rsidRPr="001B3E42">
        <w:rPr>
          <w:rFonts w:ascii="Times New Roman" w:hAnsi="Times New Roman" w:cs="Times New Roman"/>
          <w:i/>
          <w:sz w:val="22"/>
          <w:szCs w:val="22"/>
          <w:u w:val="single"/>
          <w:lang w:val="sr-Latn-ME"/>
        </w:rPr>
        <w:t>dejstva</w:t>
      </w:r>
      <w:r w:rsidR="00472539" w:rsidRPr="001B3E42">
        <w:rPr>
          <w:rFonts w:ascii="Times New Roman" w:hAnsi="Times New Roman" w:cs="Times New Roman"/>
          <w:i/>
          <w:sz w:val="22"/>
          <w:szCs w:val="22"/>
          <w:u w:val="single"/>
          <w:lang w:val="sr-Latn-ME"/>
        </w:rPr>
        <w:t xml:space="preserve"> kod pedijatrijske populacije</w:t>
      </w:r>
      <w:r w:rsidRPr="001B3E42">
        <w:rPr>
          <w:rFonts w:ascii="Times New Roman" w:hAnsi="Times New Roman" w:cs="Times New Roman"/>
          <w:i/>
          <w:sz w:val="22"/>
          <w:szCs w:val="22"/>
          <w:u w:val="single"/>
          <w:lang w:val="sr-Latn-ME"/>
        </w:rPr>
        <w:t xml:space="preserve"> </w:t>
      </w:r>
    </w:p>
    <w:p w:rsidR="005E2894" w:rsidRPr="001B3E42" w:rsidRDefault="005E2894" w:rsidP="005E2894">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Uopšte</w:t>
      </w:r>
      <w:r w:rsidR="005C1110" w:rsidRPr="001B3E42">
        <w:rPr>
          <w:rFonts w:ascii="Times New Roman" w:hAnsi="Times New Roman" w:cs="Times New Roman"/>
          <w:sz w:val="22"/>
          <w:szCs w:val="22"/>
          <w:lang w:val="sr-Latn-ME"/>
        </w:rPr>
        <w:t>, neželjena dejstva</w:t>
      </w:r>
      <w:r w:rsidRPr="001B3E42">
        <w:rPr>
          <w:rFonts w:ascii="Times New Roman" w:hAnsi="Times New Roman" w:cs="Times New Roman"/>
          <w:sz w:val="22"/>
          <w:szCs w:val="22"/>
          <w:lang w:val="sr-Latn-ME"/>
        </w:rPr>
        <w:t xml:space="preserve"> kod pedijatrijskih pacijenata su prema učestalosti i tipu bili slični onima </w:t>
      </w:r>
      <w:r w:rsidR="00472539" w:rsidRPr="001B3E42">
        <w:rPr>
          <w:rFonts w:ascii="Times New Roman" w:hAnsi="Times New Roman" w:cs="Times New Roman"/>
          <w:sz w:val="22"/>
          <w:szCs w:val="22"/>
          <w:lang w:val="sr-Latn-ME"/>
        </w:rPr>
        <w:t xml:space="preserve">kao </w:t>
      </w:r>
      <w:r w:rsidRPr="001B3E42">
        <w:rPr>
          <w:rFonts w:ascii="Times New Roman" w:hAnsi="Times New Roman" w:cs="Times New Roman"/>
          <w:sz w:val="22"/>
          <w:szCs w:val="22"/>
          <w:lang w:val="sr-Latn-ME"/>
        </w:rPr>
        <w:t>kod odraslih pacijenata.</w:t>
      </w:r>
    </w:p>
    <w:p w:rsidR="005E2894" w:rsidRPr="001B3E42" w:rsidRDefault="005E2894" w:rsidP="005E2894">
      <w:pPr>
        <w:pStyle w:val="Default"/>
        <w:jc w:val="both"/>
        <w:rPr>
          <w:rFonts w:ascii="Times New Roman" w:hAnsi="Times New Roman" w:cs="Times New Roman"/>
          <w:sz w:val="22"/>
          <w:szCs w:val="22"/>
          <w:lang w:val="sr-Latn-ME"/>
        </w:rPr>
      </w:pPr>
    </w:p>
    <w:p w:rsidR="005C1110" w:rsidRPr="001B3E42" w:rsidRDefault="005E2894" w:rsidP="005C1110">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t xml:space="preserve">Tabelarni pregled </w:t>
      </w:r>
      <w:r w:rsidR="005C1110" w:rsidRPr="001B3E42">
        <w:rPr>
          <w:rFonts w:ascii="Times New Roman" w:hAnsi="Times New Roman" w:cs="Times New Roman"/>
          <w:sz w:val="22"/>
          <w:szCs w:val="22"/>
          <w:u w:val="single"/>
          <w:lang w:val="sr-Latn-ME"/>
        </w:rPr>
        <w:t>neželjenih dejst</w:t>
      </w:r>
      <w:r w:rsidR="008E4A6B" w:rsidRPr="001B3E42">
        <w:rPr>
          <w:rFonts w:ascii="Times New Roman" w:hAnsi="Times New Roman" w:cs="Times New Roman"/>
          <w:sz w:val="22"/>
          <w:szCs w:val="22"/>
          <w:u w:val="single"/>
          <w:lang w:val="sr-Latn-ME"/>
        </w:rPr>
        <w:t>a</w:t>
      </w:r>
      <w:r w:rsidR="005C1110" w:rsidRPr="001B3E42">
        <w:rPr>
          <w:rFonts w:ascii="Times New Roman" w:hAnsi="Times New Roman" w:cs="Times New Roman"/>
          <w:sz w:val="22"/>
          <w:szCs w:val="22"/>
          <w:u w:val="single"/>
          <w:lang w:val="sr-Latn-ME"/>
        </w:rPr>
        <w:t>va</w:t>
      </w:r>
    </w:p>
    <w:p w:rsidR="00681949" w:rsidRPr="001B3E42" w:rsidRDefault="005E2894" w:rsidP="00681949">
      <w:pPr>
        <w:pStyle w:val="Default"/>
        <w:jc w:val="both"/>
        <w:rPr>
          <w:rFonts w:ascii="Times New Roman" w:hAnsi="Times New Roman" w:cs="Times New Roman"/>
          <w:b/>
          <w:bCs/>
          <w:sz w:val="22"/>
          <w:szCs w:val="22"/>
          <w:lang w:val="sr-Latn-ME"/>
        </w:rPr>
      </w:pPr>
      <w:r w:rsidRPr="001B3E42">
        <w:rPr>
          <w:rFonts w:ascii="Times New Roman" w:hAnsi="Times New Roman" w:cs="Times New Roman"/>
          <w:sz w:val="22"/>
          <w:szCs w:val="22"/>
          <w:lang w:val="sr-Latn-ME"/>
        </w:rPr>
        <w:t>Sljedeći popis n</w:t>
      </w:r>
      <w:r w:rsidR="005C1110" w:rsidRPr="001B3E42">
        <w:rPr>
          <w:rFonts w:ascii="Times New Roman" w:hAnsi="Times New Roman" w:cs="Times New Roman"/>
          <w:sz w:val="22"/>
          <w:szCs w:val="22"/>
          <w:lang w:val="sr-Latn-ME"/>
        </w:rPr>
        <w:t>eželjenih dejstav</w:t>
      </w:r>
      <w:r w:rsidR="006B1C2F" w:rsidRPr="001B3E42">
        <w:rPr>
          <w:rFonts w:ascii="Times New Roman" w:hAnsi="Times New Roman" w:cs="Times New Roman"/>
          <w:sz w:val="22"/>
          <w:szCs w:val="22"/>
          <w:lang w:val="sr-Latn-ME"/>
        </w:rPr>
        <w:t xml:space="preserve">a </w:t>
      </w:r>
      <w:r w:rsidRPr="001B3E42">
        <w:rPr>
          <w:rFonts w:ascii="Times New Roman" w:hAnsi="Times New Roman" w:cs="Times New Roman"/>
          <w:sz w:val="22"/>
          <w:szCs w:val="22"/>
          <w:lang w:val="sr-Latn-ME"/>
        </w:rPr>
        <w:t>zasniva se na iskustvu iz kliničkih ispitivanja i nakon stavljanja lijeka u promet, a prikazane su u Tabeli 2 koja slijedi</w:t>
      </w:r>
      <w:r w:rsidR="00537DC6" w:rsidRPr="001B3E42">
        <w:rPr>
          <w:rFonts w:ascii="Times New Roman" w:hAnsi="Times New Roman" w:cs="Times New Roman"/>
          <w:sz w:val="22"/>
          <w:szCs w:val="22"/>
          <w:lang w:val="sr-Latn-ME"/>
        </w:rPr>
        <w:t>,</w:t>
      </w:r>
      <w:r w:rsidRPr="001B3E42">
        <w:rPr>
          <w:rFonts w:ascii="Times New Roman" w:hAnsi="Times New Roman" w:cs="Times New Roman"/>
          <w:sz w:val="22"/>
          <w:szCs w:val="22"/>
          <w:lang w:val="sr-Latn-ME"/>
        </w:rPr>
        <w:t xml:space="preserve"> prema organskom sistemu i učestalosti (vrlo često (≥ 1/10), </w:t>
      </w:r>
      <w:r w:rsidR="006B1C2F"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čes</w:t>
      </w:r>
      <w:r w:rsidR="001F7423" w:rsidRPr="001B3E42">
        <w:rPr>
          <w:rFonts w:ascii="Times New Roman" w:hAnsi="Times New Roman" w:cs="Times New Roman"/>
          <w:sz w:val="22"/>
          <w:szCs w:val="22"/>
          <w:lang w:val="sr-Latn-ME"/>
        </w:rPr>
        <w:t xml:space="preserve">to (≥1/100 i &lt;1/10), </w:t>
      </w:r>
      <w:r w:rsidR="006B1C2F" w:rsidRPr="001B3E42">
        <w:rPr>
          <w:rFonts w:ascii="Times New Roman" w:hAnsi="Times New Roman" w:cs="Times New Roman"/>
          <w:sz w:val="22"/>
          <w:szCs w:val="22"/>
          <w:lang w:val="sr-Latn-ME"/>
        </w:rPr>
        <w:t xml:space="preserve"> </w:t>
      </w:r>
      <w:r w:rsidR="001F7423" w:rsidRPr="001B3E42">
        <w:rPr>
          <w:rFonts w:ascii="Times New Roman" w:hAnsi="Times New Roman" w:cs="Times New Roman"/>
          <w:sz w:val="22"/>
          <w:szCs w:val="22"/>
          <w:lang w:val="sr-Latn-ME"/>
        </w:rPr>
        <w:t>povremeno</w:t>
      </w:r>
      <w:r w:rsidRPr="001B3E42">
        <w:rPr>
          <w:rFonts w:ascii="Times New Roman" w:hAnsi="Times New Roman" w:cs="Times New Roman"/>
          <w:sz w:val="22"/>
          <w:szCs w:val="22"/>
          <w:lang w:val="sr-Latn-ME"/>
        </w:rPr>
        <w:t xml:space="preserve"> (≥1/1000</w:t>
      </w:r>
      <w:r w:rsidR="006B1C2F"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 xml:space="preserve"> i &lt;1/100),</w:t>
      </w:r>
      <w:r w:rsidR="006B1C2F" w:rsidRPr="001B3E42">
        <w:rPr>
          <w:rFonts w:ascii="Times New Roman" w:hAnsi="Times New Roman" w:cs="Times New Roman"/>
          <w:sz w:val="22"/>
          <w:szCs w:val="22"/>
          <w:lang w:val="sr-Latn-ME"/>
        </w:rPr>
        <w:t xml:space="preserve"> </w:t>
      </w:r>
      <w:r w:rsidRPr="001B3E42">
        <w:rPr>
          <w:rFonts w:ascii="Times New Roman" w:hAnsi="Times New Roman" w:cs="Times New Roman"/>
          <w:sz w:val="22"/>
          <w:szCs w:val="22"/>
          <w:lang w:val="sr-Latn-ME"/>
        </w:rPr>
        <w:t xml:space="preserve"> rijetko (≥1/10 000 i </w:t>
      </w:r>
      <w:r w:rsidR="006B1C2F" w:rsidRPr="001B3E42">
        <w:rPr>
          <w:rFonts w:ascii="Times New Roman" w:hAnsi="Times New Roman" w:cs="Times New Roman"/>
          <w:sz w:val="22"/>
          <w:szCs w:val="22"/>
          <w:lang w:val="sr-Latn-ME"/>
        </w:rPr>
        <w:t xml:space="preserve">&lt;1/1000), vrlo rijetko (&lt;1/10 000) </w:t>
      </w:r>
      <w:r w:rsidRPr="001B3E42">
        <w:rPr>
          <w:rFonts w:ascii="Times New Roman" w:hAnsi="Times New Roman" w:cs="Times New Roman"/>
          <w:sz w:val="22"/>
          <w:szCs w:val="22"/>
          <w:lang w:val="sr-Latn-ME"/>
        </w:rPr>
        <w:t>i nepoznato – ne može se procijeniti iz dostupnih podataka). U svakoj grupi učestalosti</w:t>
      </w:r>
      <w:r w:rsidR="005C1110" w:rsidRPr="001B3E42">
        <w:rPr>
          <w:rFonts w:ascii="Times New Roman" w:hAnsi="Times New Roman" w:cs="Times New Roman"/>
          <w:sz w:val="22"/>
          <w:szCs w:val="22"/>
          <w:lang w:val="sr-Latn-ME"/>
        </w:rPr>
        <w:t xml:space="preserve"> su neželjena destva raspoređena</w:t>
      </w:r>
      <w:r w:rsidRPr="001B3E42">
        <w:rPr>
          <w:rFonts w:ascii="Times New Roman" w:hAnsi="Times New Roman" w:cs="Times New Roman"/>
          <w:sz w:val="22"/>
          <w:szCs w:val="22"/>
          <w:lang w:val="sr-Latn-ME"/>
        </w:rPr>
        <w:t xml:space="preserve"> od ozbiljnijih prema manje ozbiljnim. Između </w:t>
      </w:r>
      <w:r w:rsidRPr="001B3E42">
        <w:rPr>
          <w:rFonts w:ascii="Times New Roman" w:hAnsi="Times New Roman" w:cs="Times New Roman"/>
          <w:sz w:val="22"/>
          <w:szCs w:val="22"/>
          <w:lang w:val="sr-Latn-ME"/>
        </w:rPr>
        <w:lastRenderedPageBreak/>
        <w:t xml:space="preserve">raznih indikacija, naznačene su one najučestalije. Zvjezdica (*) u koloni Organski sistem označava da se detaljnije informacije mogu pronaći u </w:t>
      </w:r>
      <w:r w:rsidR="006B1C2F" w:rsidRPr="001B3E42">
        <w:rPr>
          <w:rFonts w:ascii="Times New Roman" w:hAnsi="Times New Roman" w:cs="Times New Roman"/>
          <w:sz w:val="22"/>
          <w:szCs w:val="22"/>
          <w:lang w:val="sr-Latn-ME"/>
        </w:rPr>
        <w:t>odjeljcima</w:t>
      </w:r>
      <w:r w:rsidRPr="001B3E42">
        <w:rPr>
          <w:rFonts w:ascii="Times New Roman" w:hAnsi="Times New Roman" w:cs="Times New Roman"/>
          <w:sz w:val="22"/>
          <w:szCs w:val="22"/>
          <w:lang w:val="sr-Latn-ME"/>
        </w:rPr>
        <w:t xml:space="preserve"> 4.3, 4.4 i 4.8.</w:t>
      </w:r>
    </w:p>
    <w:p w:rsidR="005E2894" w:rsidRPr="001B3E42" w:rsidRDefault="005E2894" w:rsidP="00BD53A4">
      <w:pPr>
        <w:pStyle w:val="Default"/>
        <w:ind w:left="567" w:hanging="567"/>
        <w:jc w:val="center"/>
        <w:rPr>
          <w:rFonts w:ascii="Times New Roman" w:hAnsi="Times New Roman" w:cs="Times New Roman"/>
          <w:b/>
          <w:bCs/>
          <w:sz w:val="22"/>
          <w:szCs w:val="22"/>
          <w:lang w:val="sr-Latn-ME"/>
        </w:rPr>
      </w:pPr>
      <w:r w:rsidRPr="001B3E42">
        <w:rPr>
          <w:rFonts w:ascii="Times New Roman" w:hAnsi="Times New Roman" w:cs="Times New Roman"/>
          <w:b/>
          <w:bCs/>
          <w:sz w:val="22"/>
          <w:szCs w:val="22"/>
          <w:lang w:val="sr-Latn-ME"/>
        </w:rPr>
        <w:t>Tabela 2</w:t>
      </w:r>
    </w:p>
    <w:p w:rsidR="005E2894" w:rsidRPr="001B3E42" w:rsidRDefault="005E2894" w:rsidP="00BD53A4">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N</w:t>
      </w:r>
      <w:r w:rsidR="005C1110" w:rsidRPr="001B3E42">
        <w:rPr>
          <w:rFonts w:ascii="Times New Roman" w:hAnsi="Times New Roman" w:cs="Times New Roman"/>
          <w:b/>
          <w:bCs/>
          <w:sz w:val="22"/>
          <w:szCs w:val="22"/>
          <w:lang w:val="sr-Latn-ME"/>
        </w:rPr>
        <w:t>eželjena dejstva</w:t>
      </w:r>
    </w:p>
    <w:p w:rsidR="005E2894" w:rsidRPr="001B3E42" w:rsidRDefault="005E2894" w:rsidP="005E2894">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tbl>
      <w:tblPr>
        <w:tblW w:w="0" w:type="auto"/>
        <w:tblInd w:w="108" w:type="dxa"/>
        <w:tblLook w:val="0000" w:firstRow="0" w:lastRow="0" w:firstColumn="0" w:lastColumn="0" w:noHBand="0" w:noVBand="0"/>
      </w:tblPr>
      <w:tblGrid>
        <w:gridCol w:w="2560"/>
        <w:gridCol w:w="1403"/>
        <w:gridCol w:w="5209"/>
      </w:tblGrid>
      <w:tr w:rsidR="008E4A6B" w:rsidRPr="001B3E42" w:rsidTr="005D003D">
        <w:trPr>
          <w:trHeight w:val="305"/>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 xml:space="preserve">Organski sistem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 xml:space="preserve">Učestalost </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Neželjena dejstva</w:t>
            </w:r>
          </w:p>
        </w:tc>
      </w:tr>
      <w:tr w:rsidR="008E4A6B" w:rsidRPr="001B3E42" w:rsidTr="005D003D">
        <w:trPr>
          <w:trHeight w:val="6315"/>
        </w:trPr>
        <w:tc>
          <w:tcPr>
            <w:tcW w:w="2560" w:type="dxa"/>
            <w:tcBorders>
              <w:top w:val="single" w:sz="8" w:space="0" w:color="000000"/>
              <w:left w:val="single" w:sz="8" w:space="0" w:color="000000"/>
              <w:right w:val="single" w:sz="8" w:space="0" w:color="000000"/>
            </w:tcBorders>
          </w:tcPr>
          <w:p w:rsidR="008E4A6B" w:rsidRPr="001B3E42" w:rsidRDefault="008E4A6B" w:rsidP="004F29E8">
            <w:pPr>
              <w:pStyle w:val="Default"/>
              <w:ind w:right="-2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Infekcije i infestacije*</w:t>
            </w:r>
          </w:p>
        </w:tc>
        <w:tc>
          <w:tcPr>
            <w:tcW w:w="1403" w:type="dxa"/>
            <w:tcBorders>
              <w:top w:val="single" w:sz="8" w:space="0" w:color="000000"/>
              <w:left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right w:val="single" w:sz="8" w:space="0" w:color="000000"/>
            </w:tcBorders>
            <w:shd w:val="clear" w:color="auto" w:fill="auto"/>
          </w:tcPr>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respiratorne infekcije (uključujući infekcije donjeg i gornjeg respiratornog trakta, pneumoniju, sinuzitis, faringitis, nazofarnigitis i virusna herpesna pneumonija)</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sistemske infekcije (uključujući sepsu, kandidijazu i influencu),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intestinalne infekcije (uključujući virusni gastroenteritis),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infekcije kože i mekog tkiva (uključujući paronihiju, celulitis, impetigo, nekrotizirajući fasciitis i herpes zoster),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infekcije uva,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infekcije usne šupljine (uključujući herpes simpleks, herpes usne šupljine i infekcije zuba),</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infekcije reproduktivnog sistema (uključujući vulvovaginalne mikoze),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infekcije urinarnog trakta (uključujući pijelonefritis),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gljivične infekcije</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infekcije zglobova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neurološke infekcije (uključujući virusni meningitis),</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oportunističke infekcije i tuberkuloza (uključujući kokcidioidiomikozu, histoplazmozu i infekciju s </w:t>
            </w:r>
            <w:r w:rsidR="00537DC6" w:rsidRPr="001B3E42">
              <w:rPr>
                <w:rFonts w:ascii="Times New Roman" w:hAnsi="Times New Roman" w:cs="Times New Roman"/>
                <w:i/>
                <w:sz w:val="22"/>
                <w:szCs w:val="22"/>
                <w:lang w:val="sr-Latn-ME"/>
              </w:rPr>
              <w:t>mycobacterium avium</w:t>
            </w:r>
            <w:r w:rsidRPr="001B3E42">
              <w:rPr>
                <w:rFonts w:ascii="Times New Roman" w:hAnsi="Times New Roman" w:cs="Times New Roman"/>
                <w:sz w:val="22"/>
                <w:szCs w:val="22"/>
                <w:lang w:val="sr-Latn-ME"/>
              </w:rPr>
              <w:t xml:space="preserve">),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bakterijske infekcije,</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infekcije oka, </w:t>
            </w:r>
          </w:p>
          <w:p w:rsidR="008E4A6B" w:rsidRPr="001B3E42" w:rsidRDefault="008E4A6B" w:rsidP="004F29E8">
            <w:pPr>
              <w:pStyle w:val="Default"/>
              <w:tabs>
                <w:tab w:val="num" w:pos="-102"/>
              </w:tabs>
              <w:ind w:left="40"/>
              <w:jc w:val="both"/>
              <w:rPr>
                <w:rFonts w:ascii="Times New Roman" w:hAnsi="Times New Roman" w:cs="Times New Roman"/>
                <w:sz w:val="22"/>
                <w:szCs w:val="22"/>
                <w:vertAlign w:val="superscript"/>
                <w:lang w:val="sr-Latn-ME"/>
              </w:rPr>
            </w:pPr>
            <w:r w:rsidRPr="001B3E42">
              <w:rPr>
                <w:rFonts w:ascii="Times New Roman" w:hAnsi="Times New Roman" w:cs="Times New Roman"/>
                <w:sz w:val="22"/>
                <w:szCs w:val="22"/>
                <w:lang w:val="sr-Latn-ME"/>
              </w:rPr>
              <w:t>divertikulitis</w:t>
            </w:r>
            <w:r w:rsidRPr="001B3E42">
              <w:rPr>
                <w:rFonts w:ascii="Times New Roman" w:hAnsi="Times New Roman" w:cs="Times New Roman"/>
                <w:sz w:val="22"/>
                <w:szCs w:val="22"/>
                <w:vertAlign w:val="superscript"/>
                <w:lang w:val="sr-Latn-ME"/>
              </w:rPr>
              <w:t>1)</w:t>
            </w:r>
          </w:p>
        </w:tc>
      </w:tr>
      <w:tr w:rsidR="008E4A6B" w:rsidRPr="001B3E42" w:rsidTr="005D003D">
        <w:trPr>
          <w:trHeight w:val="637"/>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right="-2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Benigne, maligne i neodređene neoplazme (uključujući ciste i polipe)*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nepoznato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karcinom kože, isključujući melanom (uključujući bazocelularni karcinom i karcinom skvamoznih ćelija),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benigne neoplazme </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limfom**,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tumori solidnih organa (uključujući </w:t>
            </w:r>
            <w:r w:rsidR="00537DC6" w:rsidRPr="001B3E42">
              <w:rPr>
                <w:rFonts w:ascii="Times New Roman" w:hAnsi="Times New Roman" w:cs="Times New Roman"/>
                <w:sz w:val="22"/>
                <w:szCs w:val="22"/>
                <w:lang w:val="sr-Latn-ME"/>
              </w:rPr>
              <w:t xml:space="preserve">karcinom </w:t>
            </w:r>
            <w:r w:rsidRPr="001B3E42">
              <w:rPr>
                <w:rFonts w:ascii="Times New Roman" w:hAnsi="Times New Roman" w:cs="Times New Roman"/>
                <w:sz w:val="22"/>
                <w:szCs w:val="22"/>
                <w:lang w:val="sr-Latn-ME"/>
              </w:rPr>
              <w:t xml:space="preserve">dojke, tumori pluća i štitnjače),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melanom**</w:t>
            </w: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leukemija</w:t>
            </w:r>
            <w:r w:rsidRPr="001B3E42">
              <w:rPr>
                <w:rFonts w:ascii="Times New Roman" w:hAnsi="Times New Roman" w:cs="Times New Roman"/>
                <w:sz w:val="22"/>
                <w:szCs w:val="22"/>
                <w:vertAlign w:val="superscript"/>
                <w:lang w:val="sr-Latn-ME"/>
              </w:rPr>
              <w:t>1)</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vertAlign w:val="superscript"/>
                <w:lang w:val="sr-Latn-ME"/>
              </w:rPr>
            </w:pPr>
            <w:r w:rsidRPr="001B3E42">
              <w:rPr>
                <w:rFonts w:ascii="Times New Roman" w:hAnsi="Times New Roman" w:cs="Times New Roman"/>
                <w:sz w:val="22"/>
                <w:szCs w:val="22"/>
                <w:lang w:val="sr-Latn-ME"/>
              </w:rPr>
              <w:t>hepatosplenični T-ćelijski limfom</w:t>
            </w:r>
            <w:r w:rsidRPr="001B3E42">
              <w:rPr>
                <w:rFonts w:ascii="Times New Roman" w:hAnsi="Times New Roman" w:cs="Times New Roman"/>
                <w:sz w:val="22"/>
                <w:szCs w:val="22"/>
                <w:vertAlign w:val="superscript"/>
                <w:lang w:val="sr-Latn-ME"/>
              </w:rPr>
              <w:t>1)</w:t>
            </w:r>
          </w:p>
          <w:p w:rsidR="008E4A6B" w:rsidRPr="001B3E42" w:rsidRDefault="008E4A6B" w:rsidP="004F29E8">
            <w:pPr>
              <w:rPr>
                <w:sz w:val="22"/>
                <w:szCs w:val="22"/>
              </w:rPr>
            </w:pPr>
            <w:r w:rsidRPr="001B3E42">
              <w:rPr>
                <w:sz w:val="22"/>
                <w:szCs w:val="22"/>
              </w:rPr>
              <w:t xml:space="preserve"> karcinom Merkelovih ćelija ( neuroendokrini   </w:t>
            </w:r>
          </w:p>
          <w:p w:rsidR="008E4A6B" w:rsidRPr="001B3E42" w:rsidRDefault="008E4A6B" w:rsidP="004F29E8">
            <w:pPr>
              <w:rPr>
                <w:sz w:val="22"/>
                <w:szCs w:val="22"/>
              </w:rPr>
            </w:pPr>
            <w:r w:rsidRPr="001B3E42">
              <w:rPr>
                <w:sz w:val="22"/>
                <w:szCs w:val="22"/>
              </w:rPr>
              <w:t xml:space="preserve"> karcinom kože)</w:t>
            </w:r>
            <w:r w:rsidRPr="001B3E42">
              <w:rPr>
                <w:sz w:val="22"/>
                <w:szCs w:val="22"/>
                <w:vertAlign w:val="superscript"/>
              </w:rPr>
              <w:t xml:space="preserve"> 1)</w:t>
            </w:r>
          </w:p>
        </w:tc>
      </w:tr>
      <w:tr w:rsidR="008E4A6B" w:rsidRPr="001B3E42" w:rsidTr="005D003D">
        <w:trPr>
          <w:trHeight w:val="637"/>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right="-2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lastRenderedPageBreak/>
              <w:t xml:space="preserve">Poremećaj krvi i limfnog sistema*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537DC6"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leukopenija (uključujući neutropeniju i agranulocitozu),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anemija</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leukocitoza,</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trombocitopenija </w:t>
            </w:r>
          </w:p>
          <w:p w:rsidR="008E4A6B" w:rsidRPr="001B3E42" w:rsidRDefault="008E4A6B" w:rsidP="004F29E8">
            <w:pPr>
              <w:pStyle w:val="Default"/>
              <w:tabs>
                <w:tab w:val="num" w:pos="-102"/>
              </w:tabs>
              <w:jc w:val="both"/>
              <w:rPr>
                <w:rFonts w:ascii="Times New Roman" w:hAnsi="Times New Roman" w:cs="Times New Roman"/>
                <w:sz w:val="22"/>
                <w:szCs w:val="22"/>
                <w:lang w:val="sr-Latn-ME"/>
              </w:rPr>
            </w:pP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idiopatska trombocitopenična purpura </w:t>
            </w: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p>
          <w:p w:rsidR="008E4A6B" w:rsidRPr="001B3E42" w:rsidRDefault="008E4A6B" w:rsidP="004F29E8">
            <w:pPr>
              <w:pStyle w:val="Default"/>
              <w:tabs>
                <w:tab w:val="num" w:pos="-102"/>
              </w:tabs>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pancitopenija</w:t>
            </w:r>
          </w:p>
        </w:tc>
      </w:tr>
      <w:tr w:rsidR="008E4A6B" w:rsidRPr="001B3E42"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imunološkog sistema*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preosjetljivost,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alergije (uključujući sezonske alergije)</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sarkoidoza</w:t>
            </w:r>
            <w:r w:rsidRPr="001B3E42">
              <w:rPr>
                <w:rFonts w:ascii="Times New Roman" w:hAnsi="Times New Roman" w:cs="Times New Roman"/>
                <w:sz w:val="22"/>
                <w:szCs w:val="22"/>
                <w:vertAlign w:val="superscript"/>
                <w:lang w:val="sr-Latn-ME"/>
              </w:rPr>
              <w:t>1)</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anafilaksa</w:t>
            </w:r>
            <w:r w:rsidRPr="001B3E42">
              <w:rPr>
                <w:rFonts w:ascii="Times New Roman" w:hAnsi="Times New Roman" w:cs="Times New Roman"/>
                <w:sz w:val="22"/>
                <w:szCs w:val="22"/>
                <w:vertAlign w:val="superscript"/>
                <w:lang w:val="sr-Latn-ME"/>
              </w:rPr>
              <w:t>1)</w:t>
            </w:r>
          </w:p>
        </w:tc>
      </w:tr>
      <w:tr w:rsidR="008E4A6B" w:rsidRPr="001B3E42" w:rsidTr="005D003D">
        <w:trPr>
          <w:trHeight w:val="340"/>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metabolizma i prehrane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537DC6"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povišeni </w:t>
            </w:r>
            <w:r w:rsidR="008E4A6B" w:rsidRPr="001B3E42">
              <w:rPr>
                <w:rFonts w:ascii="Times New Roman" w:hAnsi="Times New Roman" w:cs="Times New Roman"/>
                <w:sz w:val="22"/>
                <w:szCs w:val="22"/>
                <w:lang w:val="sr-Latn-ME"/>
              </w:rPr>
              <w:t>nivo lipida</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hipokalemija,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povišena mokraćna kiselina,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abnormalne vrijednosti natrij</w:t>
            </w:r>
            <w:r w:rsidR="001F68B8" w:rsidRPr="001B3E42">
              <w:rPr>
                <w:rFonts w:ascii="Times New Roman" w:hAnsi="Times New Roman" w:cs="Times New Roman"/>
                <w:sz w:val="22"/>
                <w:szCs w:val="22"/>
                <w:lang w:val="sr-Latn-ME"/>
              </w:rPr>
              <w:t>uma</w:t>
            </w:r>
            <w:r w:rsidRPr="001B3E42">
              <w:rPr>
                <w:rFonts w:ascii="Times New Roman" w:hAnsi="Times New Roman" w:cs="Times New Roman"/>
                <w:sz w:val="22"/>
                <w:szCs w:val="22"/>
                <w:lang w:val="sr-Latn-ME"/>
              </w:rPr>
              <w:t xml:space="preserve"> u krvi,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hipokalcemija,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hiperglikemija,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hipofosfatemija,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dehidracija</w:t>
            </w:r>
          </w:p>
        </w:tc>
      </w:tr>
      <w:tr w:rsidR="008E4A6B" w:rsidRPr="001B3E42" w:rsidTr="005D003D">
        <w:trPr>
          <w:trHeight w:val="701"/>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Psihijatrijski poremećaji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promjene raspoloženja (uključujući depresiju),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anksioznost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nesanica</w:t>
            </w:r>
          </w:p>
        </w:tc>
      </w:tr>
      <w:tr w:rsidR="008E4A6B" w:rsidRPr="001B3E42" w:rsidTr="005D003D">
        <w:trPr>
          <w:trHeight w:val="55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Poremećaji nervnog sistema*</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glavobolja</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parestezija (uključujući hipoesteziju),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migrena,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išijas</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cerebrovaskularni događaj</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tremor,</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neuropatija </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multipla skleroza,</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demijelinizirajući poremećaji (npr. optički neuritis, Guillan-Barréov sindrom)</w:t>
            </w:r>
            <w:r w:rsidRPr="001B3E42">
              <w:rPr>
                <w:rFonts w:ascii="Times New Roman" w:hAnsi="Times New Roman" w:cs="Times New Roman"/>
                <w:sz w:val="22"/>
                <w:szCs w:val="22"/>
                <w:vertAlign w:val="superscript"/>
                <w:lang w:val="sr-Latn-ME"/>
              </w:rPr>
              <w:t xml:space="preserve"> 1)</w:t>
            </w:r>
          </w:p>
        </w:tc>
      </w:tr>
      <w:tr w:rsidR="008E4A6B" w:rsidRPr="001B3E42" w:rsidTr="005D003D">
        <w:trPr>
          <w:trHeight w:val="1009"/>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Poremećaji oka</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smetnje vida,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konjuktivitis</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blefaritis,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oticanje očiju, </w:t>
            </w: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diplopija</w:t>
            </w:r>
          </w:p>
        </w:tc>
      </w:tr>
      <w:tr w:rsidR="008E4A6B" w:rsidRPr="001B3E42" w:rsidTr="005D003D">
        <w:trPr>
          <w:trHeight w:val="1090"/>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lastRenderedPageBreak/>
              <w:t xml:space="preserve">Poremećaji uha i </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labirinta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vertigo</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gluhoća,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tinitus</w:t>
            </w:r>
          </w:p>
        </w:tc>
      </w:tr>
      <w:tr w:rsidR="008E4A6B" w:rsidRPr="001B3E42" w:rsidTr="005D003D">
        <w:trPr>
          <w:trHeight w:val="1605"/>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Srčani poremećaji*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tahikardija</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infarkt miokarda</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aritmija,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kongestivna srčana insuficijencija</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zastoj srca</w:t>
            </w:r>
          </w:p>
        </w:tc>
      </w:tr>
      <w:tr w:rsidR="008E4A6B" w:rsidRPr="001B3E42"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1F68B8"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w:t>
            </w:r>
            <w:r w:rsidR="008E4A6B" w:rsidRPr="001B3E42">
              <w:rPr>
                <w:rFonts w:ascii="Times New Roman" w:hAnsi="Times New Roman" w:cs="Times New Roman"/>
                <w:sz w:val="22"/>
                <w:szCs w:val="22"/>
                <w:lang w:val="sr-Latn-ME"/>
              </w:rPr>
              <w:t>askularni</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hipertenzija,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crvenilo lica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hematomi </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aneurizma aorte,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vaskularna okluzija, </w:t>
            </w:r>
          </w:p>
          <w:p w:rsidR="008E4A6B" w:rsidRPr="001B3E42" w:rsidRDefault="005760A7" w:rsidP="004F29E8">
            <w:pPr>
              <w:pStyle w:val="Default"/>
              <w:ind w:left="40"/>
              <w:jc w:val="both"/>
              <w:rPr>
                <w:rFonts w:ascii="Times New Roman" w:hAnsi="Times New Roman" w:cs="Times New Roman"/>
                <w:sz w:val="22"/>
                <w:szCs w:val="22"/>
                <w:lang w:val="sr-Latn-ME"/>
              </w:rPr>
            </w:pPr>
            <w:r>
              <w:rPr>
                <w:rFonts w:ascii="Times New Roman" w:hAnsi="Times New Roman" w:cs="Times New Roman"/>
                <w:sz w:val="22"/>
                <w:szCs w:val="22"/>
                <w:lang w:val="sr-Latn-ME"/>
              </w:rPr>
              <w:t>tromboflebitis</w:t>
            </w:r>
            <w:r w:rsidR="008E4A6B" w:rsidRPr="001B3E42">
              <w:rPr>
                <w:rFonts w:ascii="Times New Roman" w:hAnsi="Times New Roman" w:cs="Times New Roman"/>
                <w:sz w:val="22"/>
                <w:szCs w:val="22"/>
                <w:lang w:val="sr-Latn-ME"/>
              </w:rPr>
              <w:t xml:space="preserve"> </w:t>
            </w:r>
          </w:p>
        </w:tc>
      </w:tr>
      <w:tr w:rsidR="008E4A6B" w:rsidRPr="001B3E42" w:rsidTr="005D003D">
        <w:trPr>
          <w:trHeight w:val="547"/>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right="-2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Porem</w:t>
            </w:r>
            <w:r w:rsidR="001F68B8" w:rsidRPr="001B3E42">
              <w:rPr>
                <w:rFonts w:ascii="Times New Roman" w:hAnsi="Times New Roman" w:cs="Times New Roman"/>
                <w:sz w:val="22"/>
                <w:szCs w:val="22"/>
                <w:lang w:val="sr-Latn-ME"/>
              </w:rPr>
              <w:t xml:space="preserve">ećaji respiratornog, torakalnog </w:t>
            </w:r>
            <w:r w:rsidRPr="001B3E42">
              <w:rPr>
                <w:rFonts w:ascii="Times New Roman" w:hAnsi="Times New Roman" w:cs="Times New Roman"/>
                <w:sz w:val="22"/>
                <w:szCs w:val="22"/>
                <w:lang w:val="sr-Latn-ME"/>
              </w:rPr>
              <w:t>trakta i medijastinuma*</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astma,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dispnea,</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kašalj</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plućna embolija</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intersticija</w:t>
            </w:r>
            <w:r w:rsidR="001F68B8" w:rsidRPr="001B3E42">
              <w:rPr>
                <w:rFonts w:ascii="Times New Roman" w:hAnsi="Times New Roman" w:cs="Times New Roman"/>
                <w:sz w:val="22"/>
                <w:szCs w:val="22"/>
                <w:lang w:val="sr-Latn-ME"/>
              </w:rPr>
              <w:t>l</w:t>
            </w:r>
            <w:r w:rsidRPr="001B3E42">
              <w:rPr>
                <w:rFonts w:ascii="Times New Roman" w:hAnsi="Times New Roman" w:cs="Times New Roman"/>
                <w:sz w:val="22"/>
                <w:szCs w:val="22"/>
                <w:lang w:val="sr-Latn-ME"/>
              </w:rPr>
              <w:t>na bolest pluća,</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hronična opstruktivna plućna bolest,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pneumonitis</w:t>
            </w:r>
          </w:p>
          <w:p w:rsidR="008E4A6B" w:rsidRPr="001B3E42" w:rsidRDefault="008E4A6B" w:rsidP="004F29E8">
            <w:pPr>
              <w:pStyle w:val="Default"/>
              <w:ind w:left="40"/>
              <w:jc w:val="both"/>
              <w:rPr>
                <w:rFonts w:ascii="Times New Roman" w:hAnsi="Times New Roman" w:cs="Times New Roman"/>
                <w:sz w:val="22"/>
                <w:szCs w:val="22"/>
                <w:vertAlign w:val="superscript"/>
                <w:lang w:val="sr-Latn-ME"/>
              </w:rPr>
            </w:pPr>
            <w:r w:rsidRPr="001B3E42">
              <w:rPr>
                <w:rFonts w:ascii="Times New Roman" w:hAnsi="Times New Roman" w:cs="Times New Roman"/>
                <w:sz w:val="22"/>
                <w:szCs w:val="22"/>
                <w:lang w:val="sr-Latn-ME"/>
              </w:rPr>
              <w:t>pleuralni izliv</w:t>
            </w:r>
            <w:r w:rsidRPr="001B3E42">
              <w:rPr>
                <w:rFonts w:ascii="Times New Roman" w:hAnsi="Times New Roman" w:cs="Times New Roman"/>
                <w:sz w:val="22"/>
                <w:szCs w:val="22"/>
                <w:vertAlign w:val="superscript"/>
                <w:lang w:val="sr-Latn-ME"/>
              </w:rPr>
              <w:t>1)</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plućna fibroza</w:t>
            </w:r>
            <w:r w:rsidRPr="001B3E42">
              <w:rPr>
                <w:rFonts w:ascii="Times New Roman" w:hAnsi="Times New Roman" w:cs="Times New Roman"/>
                <w:sz w:val="22"/>
                <w:szCs w:val="22"/>
                <w:vertAlign w:val="superscript"/>
                <w:lang w:val="sr-Latn-ME"/>
              </w:rPr>
              <w:t>1)</w:t>
            </w:r>
          </w:p>
        </w:tc>
      </w:tr>
      <w:tr w:rsidR="008E4A6B" w:rsidRPr="001B3E42" w:rsidTr="005D003D">
        <w:trPr>
          <w:trHeight w:val="1640"/>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1F68B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w:t>
            </w:r>
            <w:r w:rsidR="001F68B8" w:rsidRPr="001B3E42">
              <w:rPr>
                <w:rFonts w:ascii="Times New Roman" w:hAnsi="Times New Roman" w:cs="Times New Roman"/>
                <w:sz w:val="22"/>
                <w:szCs w:val="22"/>
                <w:lang w:val="sr-Latn-ME"/>
              </w:rPr>
              <w:t xml:space="preserve">gastrointestinalnog sistema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bolovi u stomaku,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mučnina i povraćanje</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1F68B8"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gastrointestinalno </w:t>
            </w:r>
            <w:r w:rsidR="008E4A6B" w:rsidRPr="001B3E42">
              <w:rPr>
                <w:rFonts w:ascii="Times New Roman" w:hAnsi="Times New Roman" w:cs="Times New Roman"/>
                <w:sz w:val="22"/>
                <w:szCs w:val="22"/>
                <w:lang w:val="sr-Latn-ME"/>
              </w:rPr>
              <w:t xml:space="preserve">krvarenje probavnog ,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dispepsija,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gastroezofagealni refluks,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sicca sindrom</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pankreatitis,</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disfagija,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edem lica</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intestinalna perforacija</w:t>
            </w:r>
            <w:r w:rsidRPr="001B3E42">
              <w:rPr>
                <w:rFonts w:ascii="Times New Roman" w:hAnsi="Times New Roman" w:cs="Times New Roman"/>
                <w:sz w:val="22"/>
                <w:szCs w:val="22"/>
                <w:vertAlign w:val="superscript"/>
                <w:lang w:val="sr-Latn-ME"/>
              </w:rPr>
              <w:t>1)</w:t>
            </w:r>
          </w:p>
        </w:tc>
      </w:tr>
      <w:tr w:rsidR="008E4A6B" w:rsidRPr="001B3E42"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Poremećaji jetre i žuči*</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nepoznato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lastRenderedPageBreak/>
              <w:t>povišeni jetreni enzimi</w:t>
            </w:r>
          </w:p>
          <w:p w:rsidR="008E4A6B" w:rsidRPr="001B3E42" w:rsidRDefault="008E4A6B" w:rsidP="004F29E8">
            <w:pPr>
              <w:pStyle w:val="Default"/>
              <w:ind w:left="40"/>
              <w:jc w:val="both"/>
              <w:rPr>
                <w:rFonts w:ascii="Times New Roman" w:hAnsi="Times New Roman" w:cs="Times New Roman"/>
                <w:color w:val="auto"/>
                <w:sz w:val="22"/>
                <w:szCs w:val="22"/>
                <w:lang w:val="sr-Latn-ME"/>
              </w:rPr>
            </w:pPr>
          </w:p>
          <w:p w:rsidR="008E4A6B" w:rsidRPr="001B3E42" w:rsidRDefault="008E4A6B" w:rsidP="004F29E8">
            <w:pPr>
              <w:pStyle w:val="Default"/>
              <w:ind w:left="40"/>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holecistitis i holelitijaza, </w:t>
            </w:r>
          </w:p>
          <w:p w:rsidR="008E4A6B" w:rsidRPr="001B3E42" w:rsidRDefault="008E4A6B" w:rsidP="004F29E8">
            <w:pPr>
              <w:pStyle w:val="Default"/>
              <w:ind w:left="40"/>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hepatička steatoza,</w:t>
            </w:r>
          </w:p>
          <w:p w:rsidR="008E4A6B" w:rsidRPr="001B3E42" w:rsidRDefault="008E4A6B" w:rsidP="004F29E8">
            <w:pPr>
              <w:pStyle w:val="Default"/>
              <w:ind w:left="40"/>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povišen bilirubin</w:t>
            </w:r>
          </w:p>
          <w:p w:rsidR="008E4A6B" w:rsidRPr="001B3E42" w:rsidRDefault="008E4A6B" w:rsidP="004F29E8">
            <w:pPr>
              <w:pStyle w:val="Default"/>
              <w:ind w:left="40"/>
              <w:jc w:val="both"/>
              <w:rPr>
                <w:rFonts w:ascii="Times New Roman" w:hAnsi="Times New Roman" w:cs="Times New Roman"/>
                <w:color w:val="auto"/>
                <w:sz w:val="22"/>
                <w:szCs w:val="22"/>
                <w:lang w:val="sr-Latn-ME"/>
              </w:rPr>
            </w:pPr>
          </w:p>
          <w:p w:rsidR="008E4A6B" w:rsidRPr="001B3E42" w:rsidRDefault="008E4A6B" w:rsidP="004F29E8">
            <w:pPr>
              <w:pStyle w:val="Default"/>
              <w:ind w:left="40"/>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hepatitis</w:t>
            </w:r>
          </w:p>
          <w:p w:rsidR="008E4A6B" w:rsidRPr="001B3E42" w:rsidRDefault="008E4A6B" w:rsidP="004F29E8">
            <w:pPr>
              <w:pStyle w:val="Default"/>
              <w:ind w:left="40"/>
              <w:jc w:val="both"/>
              <w:rPr>
                <w:rFonts w:ascii="Times New Roman" w:hAnsi="Times New Roman" w:cs="Times New Roman"/>
                <w:color w:val="auto"/>
                <w:sz w:val="22"/>
                <w:szCs w:val="22"/>
                <w:vertAlign w:val="superscript"/>
                <w:lang w:val="sr-Latn-ME"/>
              </w:rPr>
            </w:pPr>
            <w:r w:rsidRPr="001B3E42">
              <w:rPr>
                <w:rFonts w:ascii="Times New Roman" w:hAnsi="Times New Roman" w:cs="Times New Roman"/>
                <w:color w:val="auto"/>
                <w:sz w:val="22"/>
                <w:szCs w:val="22"/>
                <w:lang w:val="sr-Latn-ME"/>
              </w:rPr>
              <w:t>reaktivacija hepatitisa B</w:t>
            </w:r>
            <w:r w:rsidRPr="001B3E42">
              <w:rPr>
                <w:rFonts w:ascii="Times New Roman" w:hAnsi="Times New Roman" w:cs="Times New Roman"/>
                <w:color w:val="auto"/>
                <w:sz w:val="22"/>
                <w:szCs w:val="22"/>
                <w:vertAlign w:val="superscript"/>
                <w:lang w:val="sr-Latn-ME"/>
              </w:rPr>
              <w:t>1)</w:t>
            </w:r>
          </w:p>
          <w:p w:rsidR="008E4A6B" w:rsidRPr="001B3E42" w:rsidRDefault="008E4A6B" w:rsidP="004F29E8">
            <w:pPr>
              <w:pStyle w:val="Default"/>
              <w:ind w:left="40"/>
              <w:jc w:val="both"/>
              <w:rPr>
                <w:rFonts w:ascii="Times New Roman" w:hAnsi="Times New Roman" w:cs="Times New Roman"/>
                <w:color w:val="auto"/>
                <w:sz w:val="22"/>
                <w:szCs w:val="22"/>
                <w:vertAlign w:val="superscript"/>
                <w:lang w:val="sr-Latn-ME"/>
              </w:rPr>
            </w:pPr>
            <w:r w:rsidRPr="001B3E42">
              <w:rPr>
                <w:rFonts w:ascii="Times New Roman" w:hAnsi="Times New Roman" w:cs="Times New Roman"/>
                <w:color w:val="auto"/>
                <w:sz w:val="22"/>
                <w:szCs w:val="22"/>
                <w:lang w:val="sr-Latn-ME"/>
              </w:rPr>
              <w:t>autoimuni hepatitis</w:t>
            </w:r>
            <w:r w:rsidRPr="001B3E42">
              <w:rPr>
                <w:rFonts w:ascii="Times New Roman" w:hAnsi="Times New Roman" w:cs="Times New Roman"/>
                <w:color w:val="auto"/>
                <w:sz w:val="22"/>
                <w:szCs w:val="22"/>
                <w:vertAlign w:val="superscript"/>
                <w:lang w:val="sr-Latn-ME"/>
              </w:rPr>
              <w:t xml:space="preserve"> 1)</w:t>
            </w:r>
          </w:p>
          <w:p w:rsidR="008E4A6B" w:rsidRPr="001B3E42" w:rsidRDefault="008E4A6B" w:rsidP="004F29E8">
            <w:pPr>
              <w:pStyle w:val="Default"/>
              <w:jc w:val="both"/>
              <w:rPr>
                <w:rFonts w:ascii="Times New Roman" w:hAnsi="Times New Roman" w:cs="Times New Roman"/>
                <w:color w:val="auto"/>
                <w:sz w:val="22"/>
                <w:szCs w:val="22"/>
                <w:lang w:val="sr-Latn-ME"/>
              </w:rPr>
            </w:pPr>
          </w:p>
          <w:p w:rsidR="008E4A6B" w:rsidRPr="001B3E42" w:rsidRDefault="008E4A6B" w:rsidP="004F29E8">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isuficijencija jetre</w:t>
            </w:r>
            <w:r w:rsidRPr="001B3E42">
              <w:rPr>
                <w:rFonts w:ascii="Times New Roman" w:hAnsi="Times New Roman" w:cs="Times New Roman"/>
                <w:color w:val="auto"/>
                <w:sz w:val="22"/>
                <w:szCs w:val="22"/>
                <w:vertAlign w:val="superscript"/>
                <w:lang w:val="sr-Latn-ME"/>
              </w:rPr>
              <w:t>1)</w:t>
            </w:r>
          </w:p>
        </w:tc>
      </w:tr>
      <w:tr w:rsidR="008E4A6B" w:rsidRPr="001B3E42" w:rsidTr="005D003D">
        <w:trPr>
          <w:trHeight w:val="799"/>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lastRenderedPageBreak/>
              <w:t xml:space="preserve">Poremećaji kože i potkožnog tkiva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p w:rsidR="001F68B8" w:rsidRPr="001B3E42" w:rsidRDefault="001F68B8" w:rsidP="004F29E8">
            <w:pPr>
              <w:pStyle w:val="Default"/>
              <w:ind w:left="567" w:hanging="567"/>
              <w:jc w:val="both"/>
              <w:rPr>
                <w:rFonts w:ascii="Times New Roman" w:hAnsi="Times New Roman" w:cs="Times New Roman"/>
                <w:sz w:val="22"/>
                <w:szCs w:val="22"/>
                <w:lang w:val="sr-Latn-ME"/>
              </w:rPr>
            </w:pPr>
          </w:p>
          <w:p w:rsidR="001F68B8" w:rsidRPr="001B3E42" w:rsidRDefault="001F68B8" w:rsidP="004F29E8">
            <w:pPr>
              <w:pStyle w:val="Default"/>
              <w:ind w:left="567" w:hanging="567"/>
              <w:jc w:val="both"/>
              <w:rPr>
                <w:rFonts w:ascii="Times New Roman" w:hAnsi="Times New Roman" w:cs="Times New Roman"/>
                <w:sz w:val="22"/>
                <w:szCs w:val="22"/>
                <w:lang w:val="sr-Latn-ME"/>
              </w:rPr>
            </w:pPr>
          </w:p>
          <w:p w:rsidR="001F68B8" w:rsidRPr="001B3E42" w:rsidRDefault="001F68B8" w:rsidP="004F29E8">
            <w:pPr>
              <w:pStyle w:val="Default"/>
              <w:ind w:left="567" w:hanging="567"/>
              <w:jc w:val="both"/>
              <w:rPr>
                <w:rFonts w:ascii="Times New Roman" w:hAnsi="Times New Roman" w:cs="Times New Roman"/>
                <w:sz w:val="22"/>
                <w:szCs w:val="22"/>
                <w:lang w:val="sr-Latn-ME"/>
              </w:rPr>
            </w:pPr>
          </w:p>
          <w:p w:rsidR="001F68B8" w:rsidRPr="001B3E42" w:rsidRDefault="001F68B8" w:rsidP="004F29E8">
            <w:pPr>
              <w:pStyle w:val="Default"/>
              <w:ind w:left="567" w:hanging="567"/>
              <w:jc w:val="both"/>
              <w:rPr>
                <w:rFonts w:ascii="Times New Roman" w:hAnsi="Times New Roman" w:cs="Times New Roman"/>
                <w:sz w:val="22"/>
                <w:szCs w:val="22"/>
                <w:lang w:val="sr-Latn-ME"/>
              </w:rPr>
            </w:pPr>
          </w:p>
          <w:p w:rsidR="001F68B8" w:rsidRPr="001B3E42" w:rsidRDefault="001F68B8"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nepoznato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osip (uključujući eksfolijativni osip)</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pogoršanje ili ponovna pojava psorijaze (uključujući palmoplantarnu pustularnu psorijazu)</w:t>
            </w:r>
            <w:r w:rsidRPr="001B3E42">
              <w:rPr>
                <w:rFonts w:ascii="Times New Roman" w:hAnsi="Times New Roman" w:cs="Times New Roman"/>
                <w:sz w:val="22"/>
                <w:szCs w:val="22"/>
                <w:vertAlign w:val="superscript"/>
                <w:lang w:val="sr-Latn-ME"/>
              </w:rPr>
              <w:t xml:space="preserve"> 1)</w:t>
            </w: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urtikarija,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povećano stvaranje modrica (uključujući purpuru),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dermatitis (uključujući ekcem),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lomljenje noktiju,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pojačano znojenje (hiperhidroza),</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alopecija</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pruritus </w:t>
            </w: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noćno znojenje,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ožiljci </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multiformni eritem</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Stevens-Johnsonov sindrom</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angioedem</w:t>
            </w:r>
            <w:r w:rsidRPr="001B3E42">
              <w:rPr>
                <w:rFonts w:ascii="Times New Roman" w:hAnsi="Times New Roman" w:cs="Times New Roman"/>
                <w:sz w:val="22"/>
                <w:szCs w:val="22"/>
                <w:vertAlign w:val="superscript"/>
                <w:lang w:val="sr-Latn-ME"/>
              </w:rPr>
              <w:t>1)</w:t>
            </w:r>
            <w:r w:rsidRPr="001B3E42">
              <w:rPr>
                <w:rFonts w:ascii="Times New Roman" w:hAnsi="Times New Roman" w:cs="Times New Roman"/>
                <w:sz w:val="22"/>
                <w:szCs w:val="22"/>
                <w:lang w:val="sr-Latn-ME"/>
              </w:rPr>
              <w:t>,</w:t>
            </w:r>
          </w:p>
          <w:p w:rsidR="008E4A6B" w:rsidRPr="001B3E42" w:rsidRDefault="008E4A6B" w:rsidP="004F29E8">
            <w:pPr>
              <w:pStyle w:val="Default"/>
              <w:ind w:left="40"/>
              <w:jc w:val="both"/>
              <w:rPr>
                <w:rFonts w:ascii="Times New Roman" w:hAnsi="Times New Roman" w:cs="Times New Roman"/>
                <w:sz w:val="22"/>
                <w:szCs w:val="22"/>
                <w:vertAlign w:val="superscript"/>
                <w:lang w:val="sr-Latn-ME"/>
              </w:rPr>
            </w:pPr>
            <w:r w:rsidRPr="001B3E42">
              <w:rPr>
                <w:rFonts w:ascii="Times New Roman" w:hAnsi="Times New Roman" w:cs="Times New Roman"/>
                <w:sz w:val="22"/>
                <w:szCs w:val="22"/>
                <w:lang w:val="sr-Latn-ME"/>
              </w:rPr>
              <w:t>kožni vaskulitis</w:t>
            </w:r>
            <w:r w:rsidRPr="001B3E42">
              <w:rPr>
                <w:rFonts w:ascii="Times New Roman" w:hAnsi="Times New Roman" w:cs="Times New Roman"/>
                <w:sz w:val="22"/>
                <w:szCs w:val="22"/>
                <w:vertAlign w:val="superscript"/>
                <w:lang w:val="sr-Latn-ME"/>
              </w:rPr>
              <w:t>1)</w:t>
            </w:r>
          </w:p>
          <w:p w:rsidR="001F68B8" w:rsidRPr="001B3E42" w:rsidRDefault="001F68B8" w:rsidP="004F29E8">
            <w:pPr>
              <w:pStyle w:val="Default"/>
              <w:ind w:left="40"/>
              <w:jc w:val="both"/>
              <w:rPr>
                <w:rFonts w:ascii="Times New Roman" w:hAnsi="Times New Roman" w:cs="Times New Roman"/>
                <w:sz w:val="22"/>
                <w:szCs w:val="22"/>
                <w:vertAlign w:val="superscript"/>
                <w:lang w:val="sr-Latn-ME"/>
              </w:rPr>
            </w:pPr>
          </w:p>
          <w:p w:rsidR="001F68B8" w:rsidRPr="001B3E42" w:rsidRDefault="001F68B8"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pogoršanje simptoma</w:t>
            </w:r>
            <w:r w:rsidR="00A92AEA" w:rsidRPr="001B3E42">
              <w:rPr>
                <w:rFonts w:ascii="Times New Roman" w:hAnsi="Times New Roman" w:cs="Times New Roman"/>
                <w:sz w:val="22"/>
                <w:szCs w:val="22"/>
                <w:lang w:val="sr-Latn-ME"/>
              </w:rPr>
              <w:t xml:space="preserve"> dermatomiozitisa</w:t>
            </w:r>
            <w:r w:rsidR="00A92AEA" w:rsidRPr="001B3E42">
              <w:rPr>
                <w:rFonts w:ascii="Times New Roman" w:hAnsi="Times New Roman" w:cs="Times New Roman"/>
                <w:sz w:val="22"/>
                <w:szCs w:val="22"/>
                <w:vertAlign w:val="superscript"/>
                <w:lang w:val="sr-Latn-ME"/>
              </w:rPr>
              <w:t>1)</w:t>
            </w:r>
          </w:p>
          <w:p w:rsidR="001F68B8" w:rsidRPr="001B3E42" w:rsidRDefault="001F68B8" w:rsidP="004F29E8">
            <w:pPr>
              <w:pStyle w:val="Default"/>
              <w:ind w:left="40"/>
              <w:jc w:val="both"/>
              <w:rPr>
                <w:rFonts w:ascii="Times New Roman" w:hAnsi="Times New Roman" w:cs="Times New Roman"/>
                <w:sz w:val="22"/>
                <w:szCs w:val="22"/>
                <w:vertAlign w:val="superscript"/>
                <w:lang w:val="sr-Latn-ME"/>
              </w:rPr>
            </w:pPr>
          </w:p>
          <w:p w:rsidR="001F68B8" w:rsidRPr="001B3E42" w:rsidRDefault="001F68B8" w:rsidP="001F68B8">
            <w:pPr>
              <w:pStyle w:val="Default"/>
              <w:jc w:val="both"/>
              <w:rPr>
                <w:rFonts w:ascii="Times New Roman" w:hAnsi="Times New Roman" w:cs="Times New Roman"/>
                <w:sz w:val="22"/>
                <w:szCs w:val="22"/>
                <w:lang w:val="sr-Latn-ME"/>
              </w:rPr>
            </w:pPr>
          </w:p>
        </w:tc>
      </w:tr>
      <w:tr w:rsidR="008E4A6B" w:rsidRPr="001B3E42" w:rsidTr="005D003D">
        <w:trPr>
          <w:trHeight w:val="1051"/>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mišićno-skeletnog sistema i vezivnog tkiva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mišićno-skeletna bol</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spazmi mišića (uključujući povećanje nivoa kreatinin fosfokinaze)</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rabdomioliza,</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sistemski lupus eritematosus</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sindrom sličan lupusu</w:t>
            </w:r>
            <w:r w:rsidRPr="001B3E42">
              <w:rPr>
                <w:rFonts w:ascii="Times New Roman" w:hAnsi="Times New Roman" w:cs="Times New Roman"/>
                <w:sz w:val="22"/>
                <w:szCs w:val="22"/>
                <w:vertAlign w:val="superscript"/>
                <w:lang w:val="sr-Latn-ME"/>
              </w:rPr>
              <w:t>1)</w:t>
            </w:r>
          </w:p>
        </w:tc>
      </w:tr>
      <w:tr w:rsidR="008E4A6B" w:rsidRPr="001B3E42" w:rsidTr="005D003D">
        <w:trPr>
          <w:trHeight w:val="912"/>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rPr>
                <w:rFonts w:ascii="Times New Roman" w:hAnsi="Times New Roman" w:cs="Times New Roman"/>
                <w:sz w:val="22"/>
                <w:szCs w:val="22"/>
                <w:lang w:val="sr-Latn-ME"/>
              </w:rPr>
            </w:pPr>
            <w:r w:rsidRPr="001B3E42">
              <w:rPr>
                <w:rFonts w:ascii="Times New Roman" w:hAnsi="Times New Roman" w:cs="Times New Roman"/>
                <w:sz w:val="22"/>
                <w:szCs w:val="22"/>
                <w:lang w:val="sr-Latn-ME"/>
              </w:rPr>
              <w:t>Poremećaji  bubrega i mokraćnog sistema</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oštećenje bubrežne funkcije,</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hematurija</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nokturija</w:t>
            </w:r>
          </w:p>
        </w:tc>
      </w:tr>
      <w:tr w:rsidR="008E4A6B" w:rsidRPr="001B3E42"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reproduktivnog sistema i dojki </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p w:rsidR="008E4A6B" w:rsidRPr="001B3E42" w:rsidRDefault="008E4A6B" w:rsidP="004F29E8">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erektilna disfunkcija</w:t>
            </w:r>
          </w:p>
        </w:tc>
      </w:tr>
      <w:tr w:rsidR="008E4A6B" w:rsidRPr="001B3E42" w:rsidTr="005D003D">
        <w:trPr>
          <w:trHeight w:val="912"/>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right="-20"/>
              <w:rPr>
                <w:rFonts w:ascii="Times New Roman" w:hAnsi="Times New Roman" w:cs="Times New Roman"/>
                <w:sz w:val="22"/>
                <w:szCs w:val="22"/>
                <w:lang w:val="sr-Latn-ME"/>
              </w:rPr>
            </w:pPr>
            <w:r w:rsidRPr="001B3E42">
              <w:rPr>
                <w:rFonts w:ascii="Times New Roman" w:hAnsi="Times New Roman" w:cs="Times New Roman"/>
                <w:sz w:val="22"/>
                <w:szCs w:val="22"/>
                <w:lang w:val="sr-Latn-ME"/>
              </w:rPr>
              <w:lastRenderedPageBreak/>
              <w:t>Opšti poremećaji i reakcije na mjestu primjene*</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vrlo 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povremeno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reakcije na mjestu primjene (uključujući eritem)</w:t>
            </w:r>
          </w:p>
          <w:p w:rsidR="008E4A6B" w:rsidRPr="001B3E42" w:rsidRDefault="008E4A6B" w:rsidP="004F29E8">
            <w:pPr>
              <w:pStyle w:val="Default"/>
              <w:ind w:left="40"/>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bol u grudima,</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edem</w:t>
            </w:r>
          </w:p>
          <w:p w:rsidR="008E4A6B" w:rsidRPr="001B3E42" w:rsidRDefault="008E4A6B" w:rsidP="004F29E8">
            <w:pPr>
              <w:pStyle w:val="Default"/>
              <w:ind w:left="40"/>
              <w:jc w:val="both"/>
              <w:rPr>
                <w:rFonts w:ascii="Times New Roman" w:hAnsi="Times New Roman" w:cs="Times New Roman"/>
                <w:sz w:val="22"/>
                <w:szCs w:val="22"/>
                <w:vertAlign w:val="superscript"/>
                <w:lang w:val="sr-Latn-ME"/>
              </w:rPr>
            </w:pPr>
            <w:r w:rsidRPr="001B3E42">
              <w:rPr>
                <w:rFonts w:ascii="Times New Roman" w:hAnsi="Times New Roman" w:cs="Times New Roman"/>
                <w:sz w:val="22"/>
                <w:szCs w:val="22"/>
                <w:lang w:val="sr-Latn-ME"/>
              </w:rPr>
              <w:t>povišena tjelesna temperatura</w:t>
            </w:r>
            <w:r w:rsidRPr="001B3E42">
              <w:rPr>
                <w:rFonts w:ascii="Times New Roman" w:hAnsi="Times New Roman" w:cs="Times New Roman"/>
                <w:sz w:val="22"/>
                <w:szCs w:val="22"/>
                <w:vertAlign w:val="superscript"/>
                <w:lang w:val="sr-Latn-ME"/>
              </w:rPr>
              <w:t>1)</w:t>
            </w:r>
          </w:p>
          <w:p w:rsidR="008E4A6B" w:rsidRPr="001B3E42" w:rsidRDefault="008E4A6B" w:rsidP="004F29E8">
            <w:pPr>
              <w:pStyle w:val="Default"/>
              <w:jc w:val="both"/>
              <w:rPr>
                <w:rFonts w:ascii="Times New Roman" w:hAnsi="Times New Roman" w:cs="Times New Roman"/>
                <w:sz w:val="22"/>
                <w:szCs w:val="22"/>
                <w:lang w:val="sr-Latn-ME"/>
              </w:rPr>
            </w:pP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inflamacija</w:t>
            </w:r>
          </w:p>
        </w:tc>
      </w:tr>
      <w:tr w:rsidR="008E4A6B" w:rsidRPr="001B3E42"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A92AEA" w:rsidP="004F29E8">
            <w:pPr>
              <w:pStyle w:val="Default"/>
              <w:ind w:left="567" w:right="-20"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Ispitivanja</w:t>
            </w:r>
            <w:r w:rsidR="008E4A6B" w:rsidRPr="001B3E42">
              <w:rPr>
                <w:rFonts w:ascii="Times New Roman" w:hAnsi="Times New Roman" w:cs="Times New Roman"/>
                <w:sz w:val="22"/>
                <w:szCs w:val="22"/>
                <w:lang w:val="sr-Latn-ME"/>
              </w:rPr>
              <w:t>*</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poremećaji koagulacije i krvarenja (uključujući produženje aktiviranog parcijalnog tromboplastinskog vremena),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pozitivan test autoantitijela (uključujući dvolančana DNK antitijela), </w:t>
            </w:r>
          </w:p>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povišena koncentracija laktat dehidrogenaze u krvi</w:t>
            </w:r>
          </w:p>
        </w:tc>
      </w:tr>
      <w:tr w:rsidR="008E4A6B" w:rsidRPr="001B3E42"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Povrede, trovanja i proceduralne komplikacije</w:t>
            </w:r>
          </w:p>
        </w:tc>
        <w:tc>
          <w:tcPr>
            <w:tcW w:w="1403"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često</w:t>
            </w:r>
          </w:p>
        </w:tc>
        <w:tc>
          <w:tcPr>
            <w:tcW w:w="5209" w:type="dxa"/>
            <w:tcBorders>
              <w:top w:val="single" w:sz="8" w:space="0" w:color="000000"/>
              <w:left w:val="single" w:sz="8" w:space="0" w:color="000000"/>
              <w:bottom w:val="single" w:sz="8" w:space="0" w:color="000000"/>
              <w:right w:val="single" w:sz="8" w:space="0" w:color="000000"/>
            </w:tcBorders>
          </w:tcPr>
          <w:p w:rsidR="008E4A6B" w:rsidRPr="001B3E42" w:rsidRDefault="008E4A6B" w:rsidP="004F29E8">
            <w:pPr>
              <w:pStyle w:val="Default"/>
              <w:ind w:left="40"/>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otežano zarastanje</w:t>
            </w:r>
          </w:p>
        </w:tc>
      </w:tr>
    </w:tbl>
    <w:p w:rsidR="005E2894" w:rsidRPr="001B3E42" w:rsidRDefault="005E2894" w:rsidP="005E2894">
      <w:pPr>
        <w:pStyle w:val="Default"/>
        <w:ind w:left="567" w:hanging="567"/>
        <w:jc w:val="both"/>
        <w:rPr>
          <w:rFonts w:ascii="Times New Roman" w:hAnsi="Times New Roman" w:cs="Times New Roman"/>
          <w:color w:val="auto"/>
          <w:sz w:val="22"/>
          <w:szCs w:val="22"/>
          <w:lang w:val="sr-Latn-ME"/>
        </w:rPr>
      </w:pPr>
    </w:p>
    <w:p w:rsidR="005E2894" w:rsidRPr="001B3E42" w:rsidRDefault="005E2894" w:rsidP="005E2894">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r w:rsidR="00136E8F" w:rsidRPr="001B3E42">
        <w:rPr>
          <w:rFonts w:ascii="Times New Roman" w:hAnsi="Times New Roman" w:cs="Times New Roman"/>
          <w:color w:val="auto"/>
          <w:sz w:val="22"/>
          <w:szCs w:val="22"/>
          <w:lang w:val="sr-Latn-ME"/>
        </w:rPr>
        <w:t xml:space="preserve">   </w:t>
      </w:r>
      <w:r w:rsidRPr="001B3E42">
        <w:rPr>
          <w:rFonts w:ascii="Times New Roman" w:hAnsi="Times New Roman" w:cs="Times New Roman"/>
          <w:color w:val="auto"/>
          <w:sz w:val="22"/>
          <w:szCs w:val="22"/>
          <w:lang w:val="sr-Latn-ME"/>
        </w:rPr>
        <w:t xml:space="preserve">detaljnije informacije se mogu naći u </w:t>
      </w:r>
      <w:r w:rsidR="00136E8F" w:rsidRPr="001B3E42">
        <w:rPr>
          <w:rFonts w:ascii="Times New Roman" w:hAnsi="Times New Roman" w:cs="Times New Roman"/>
          <w:color w:val="auto"/>
          <w:sz w:val="22"/>
          <w:szCs w:val="22"/>
          <w:lang w:val="sr-Latn-ME"/>
        </w:rPr>
        <w:t>od</w:t>
      </w:r>
      <w:r w:rsidR="004B38A4" w:rsidRPr="001B3E42">
        <w:rPr>
          <w:rFonts w:ascii="Times New Roman" w:hAnsi="Times New Roman" w:cs="Times New Roman"/>
          <w:color w:val="auto"/>
          <w:sz w:val="22"/>
          <w:szCs w:val="22"/>
          <w:lang w:val="sr-Latn-ME"/>
        </w:rPr>
        <w:t>j</w:t>
      </w:r>
      <w:r w:rsidR="00136E8F" w:rsidRPr="001B3E42">
        <w:rPr>
          <w:rFonts w:ascii="Times New Roman" w:hAnsi="Times New Roman" w:cs="Times New Roman"/>
          <w:color w:val="auto"/>
          <w:sz w:val="22"/>
          <w:szCs w:val="22"/>
          <w:lang w:val="sr-Latn-ME"/>
        </w:rPr>
        <w:t>eljcima</w:t>
      </w:r>
      <w:r w:rsidRPr="001B3E42">
        <w:rPr>
          <w:rFonts w:ascii="Times New Roman" w:hAnsi="Times New Roman" w:cs="Times New Roman"/>
          <w:color w:val="auto"/>
          <w:sz w:val="22"/>
          <w:szCs w:val="22"/>
          <w:lang w:val="sr-Latn-ME"/>
        </w:rPr>
        <w:t xml:space="preserve"> 4.3, 4.4 i 4.8</w:t>
      </w:r>
    </w:p>
    <w:p w:rsidR="005E2894" w:rsidRPr="001B3E42" w:rsidRDefault="005E2894" w:rsidP="005E2894">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w:t>
      </w:r>
      <w:r w:rsidR="00136E8F" w:rsidRPr="001B3E42">
        <w:rPr>
          <w:rFonts w:ascii="Times New Roman" w:hAnsi="Times New Roman" w:cs="Times New Roman"/>
          <w:color w:val="auto"/>
          <w:sz w:val="22"/>
          <w:szCs w:val="22"/>
          <w:lang w:val="sr-Latn-ME"/>
        </w:rPr>
        <w:t xml:space="preserve"> </w:t>
      </w:r>
      <w:r w:rsidRPr="001B3E42">
        <w:rPr>
          <w:rFonts w:ascii="Times New Roman" w:hAnsi="Times New Roman" w:cs="Times New Roman"/>
          <w:color w:val="auto"/>
          <w:sz w:val="22"/>
          <w:szCs w:val="22"/>
          <w:lang w:val="sr-Latn-ME"/>
        </w:rPr>
        <w:t xml:space="preserve"> uključuje otvorene produžene studije</w:t>
      </w:r>
    </w:p>
    <w:p w:rsidR="005E2894" w:rsidRPr="001B3E42" w:rsidRDefault="005E2894" w:rsidP="00136E8F">
      <w:pPr>
        <w:pStyle w:val="Default"/>
        <w:numPr>
          <w:ilvl w:val="0"/>
          <w:numId w:val="41"/>
        </w:numPr>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uključujući podatke iz spontanog prijavljivanja</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49472E" w:rsidP="005E2894">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O</w:t>
      </w:r>
      <w:r w:rsidR="001F7423" w:rsidRPr="001B3E42">
        <w:rPr>
          <w:rFonts w:ascii="Times New Roman" w:hAnsi="Times New Roman" w:cs="Times New Roman"/>
          <w:color w:val="auto"/>
          <w:sz w:val="22"/>
          <w:szCs w:val="22"/>
          <w:u w:val="single"/>
          <w:lang w:val="sr-Latn-ME"/>
        </w:rPr>
        <w:t>pis odabranih neželjenih dejstava</w:t>
      </w:r>
    </w:p>
    <w:p w:rsidR="005E2894" w:rsidRPr="001B3E42" w:rsidRDefault="005E2894" w:rsidP="005E2894">
      <w:pPr>
        <w:pStyle w:val="Default"/>
        <w:ind w:left="567" w:hanging="567"/>
        <w:jc w:val="both"/>
        <w:rPr>
          <w:rFonts w:ascii="Times New Roman" w:hAnsi="Times New Roman" w:cs="Times New Roman"/>
          <w:color w:val="auto"/>
          <w:sz w:val="22"/>
          <w:szCs w:val="22"/>
          <w:lang w:val="sr-Latn-ME"/>
        </w:rPr>
      </w:pPr>
    </w:p>
    <w:p w:rsidR="005E2894" w:rsidRPr="001B3E42" w:rsidRDefault="005E2894" w:rsidP="005E2894">
      <w:pPr>
        <w:pStyle w:val="Default"/>
        <w:ind w:left="567" w:hanging="567"/>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Reakcije na mjestu ubrizgavanja</w:t>
      </w: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pivotalnim kontrolisanim kliničkim ispitivanjima kod djece i odraslih, reakcije na mjestu</w:t>
      </w:r>
      <w:r w:rsidR="008E4A6B" w:rsidRPr="001B3E42">
        <w:rPr>
          <w:rFonts w:ascii="Times New Roman" w:hAnsi="Times New Roman" w:cs="Times New Roman"/>
          <w:color w:val="auto"/>
          <w:sz w:val="22"/>
          <w:szCs w:val="22"/>
          <w:lang w:val="sr-Latn-ME"/>
        </w:rPr>
        <w:t xml:space="preserve"> ubrizgavanja (eritem i/ili svrab</w:t>
      </w:r>
      <w:r w:rsidRPr="001B3E42">
        <w:rPr>
          <w:rFonts w:ascii="Times New Roman" w:hAnsi="Times New Roman" w:cs="Times New Roman"/>
          <w:color w:val="auto"/>
          <w:sz w:val="22"/>
          <w:szCs w:val="22"/>
          <w:lang w:val="sr-Latn-ME"/>
        </w:rPr>
        <w:t>, krvarenje, bol ili otok)  poj</w:t>
      </w:r>
      <w:r w:rsidR="00B30B4A" w:rsidRPr="001B3E42">
        <w:rPr>
          <w:rFonts w:ascii="Times New Roman" w:hAnsi="Times New Roman" w:cs="Times New Roman"/>
          <w:color w:val="auto"/>
          <w:sz w:val="22"/>
          <w:szCs w:val="22"/>
          <w:lang w:val="sr-Latn-ME"/>
        </w:rPr>
        <w:t>avile su se kod 13,6 % pacijenata</w:t>
      </w:r>
      <w:r w:rsidRPr="001B3E42">
        <w:rPr>
          <w:rFonts w:ascii="Times New Roman" w:hAnsi="Times New Roman" w:cs="Times New Roman"/>
          <w:color w:val="auto"/>
          <w:sz w:val="22"/>
          <w:szCs w:val="22"/>
          <w:lang w:val="sr-Latn-ME"/>
        </w:rPr>
        <w:t xml:space="preserve"> liječenih </w:t>
      </w:r>
      <w:r w:rsidR="00A92AEA"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92AEA" w:rsidRPr="001B3E42">
        <w:rPr>
          <w:rFonts w:ascii="Times New Roman" w:hAnsi="Times New Roman" w:cs="Times New Roman"/>
          <w:color w:val="auto"/>
          <w:sz w:val="22"/>
          <w:szCs w:val="22"/>
          <w:lang w:val="sr-Latn-ME"/>
        </w:rPr>
        <w:t>a</w:t>
      </w:r>
      <w:r w:rsidR="00B30B4A" w:rsidRPr="001B3E42">
        <w:rPr>
          <w:rFonts w:ascii="Times New Roman" w:hAnsi="Times New Roman" w:cs="Times New Roman"/>
          <w:color w:val="auto"/>
          <w:sz w:val="22"/>
          <w:szCs w:val="22"/>
          <w:lang w:val="sr-Latn-ME"/>
        </w:rPr>
        <w:t xml:space="preserve"> u poređenju sa 7,6% pacijenata koji su dobij</w:t>
      </w:r>
      <w:r w:rsidRPr="001B3E42">
        <w:rPr>
          <w:rFonts w:ascii="Times New Roman" w:hAnsi="Times New Roman" w:cs="Times New Roman"/>
          <w:color w:val="auto"/>
          <w:sz w:val="22"/>
          <w:szCs w:val="22"/>
          <w:lang w:val="sr-Latn-ME"/>
        </w:rPr>
        <w:t>ali placebo ili aktivni poredbeni lijek. Liječenje obično nije trebalo prekidati zbog reakcija na mjestu ubrizgavanja.</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Infekcije</w:t>
      </w: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pivotalnim kontrolisanim kliničkim ispitivanjima kod odraslih i djece, u</w:t>
      </w:r>
      <w:r w:rsidR="00B30B4A" w:rsidRPr="001B3E42">
        <w:rPr>
          <w:rFonts w:ascii="Times New Roman" w:hAnsi="Times New Roman" w:cs="Times New Roman"/>
          <w:color w:val="auto"/>
          <w:sz w:val="22"/>
          <w:szCs w:val="22"/>
          <w:lang w:val="sr-Latn-ME"/>
        </w:rPr>
        <w:t>čestalost infekcija po pacijentu</w:t>
      </w:r>
      <w:r w:rsidR="008E4A6B" w:rsidRPr="001B3E42">
        <w:rPr>
          <w:rFonts w:ascii="Times New Roman" w:hAnsi="Times New Roman" w:cs="Times New Roman"/>
          <w:color w:val="auto"/>
          <w:sz w:val="22"/>
          <w:szCs w:val="22"/>
          <w:lang w:val="sr-Latn-ME"/>
        </w:rPr>
        <w:t xml:space="preserve"> i godini liječenja bila je 1,52 </w:t>
      </w:r>
      <w:r w:rsidRPr="001B3E42">
        <w:rPr>
          <w:rFonts w:ascii="Times New Roman" w:hAnsi="Times New Roman" w:cs="Times New Roman"/>
          <w:color w:val="auto"/>
          <w:sz w:val="22"/>
          <w:szCs w:val="22"/>
          <w:lang w:val="sr-Latn-ME"/>
        </w:rPr>
        <w:t xml:space="preserve"> </w:t>
      </w:r>
      <w:r w:rsidR="00B30B4A" w:rsidRPr="001B3E42">
        <w:rPr>
          <w:rFonts w:ascii="Times New Roman" w:hAnsi="Times New Roman" w:cs="Times New Roman"/>
          <w:color w:val="auto"/>
          <w:sz w:val="22"/>
          <w:szCs w:val="22"/>
          <w:lang w:val="sr-Latn-ME"/>
        </w:rPr>
        <w:t>kod pacijenata</w:t>
      </w:r>
      <w:r w:rsidRPr="001B3E42">
        <w:rPr>
          <w:rFonts w:ascii="Times New Roman" w:hAnsi="Times New Roman" w:cs="Times New Roman"/>
          <w:color w:val="auto"/>
          <w:sz w:val="22"/>
          <w:szCs w:val="22"/>
          <w:lang w:val="sr-Latn-ME"/>
        </w:rPr>
        <w:t xml:space="preserve"> liječenih </w:t>
      </w:r>
      <w:r w:rsidR="00A92AEA"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w:t>
      </w:r>
      <w:r w:rsidR="008E4A6B" w:rsidRPr="001B3E42">
        <w:rPr>
          <w:rFonts w:ascii="Times New Roman" w:hAnsi="Times New Roman" w:cs="Times New Roman"/>
          <w:color w:val="auto"/>
          <w:sz w:val="22"/>
          <w:szCs w:val="22"/>
          <w:lang w:val="sr-Latn-ME"/>
        </w:rPr>
        <w:t>umir</w:t>
      </w:r>
      <w:r w:rsidR="00A92AEA" w:rsidRPr="001B3E42">
        <w:rPr>
          <w:rFonts w:ascii="Times New Roman" w:hAnsi="Times New Roman" w:cs="Times New Roman"/>
          <w:color w:val="auto"/>
          <w:sz w:val="22"/>
          <w:szCs w:val="22"/>
          <w:lang w:val="sr-Latn-ME"/>
        </w:rPr>
        <w:t>a</w:t>
      </w:r>
      <w:r w:rsidR="008E4A6B" w:rsidRPr="001B3E42">
        <w:rPr>
          <w:rFonts w:ascii="Times New Roman" w:hAnsi="Times New Roman" w:cs="Times New Roman"/>
          <w:color w:val="auto"/>
          <w:sz w:val="22"/>
          <w:szCs w:val="22"/>
          <w:lang w:val="sr-Latn-ME"/>
        </w:rPr>
        <w:t>, odnosno 1,45</w:t>
      </w:r>
      <w:r w:rsidR="00B30B4A" w:rsidRPr="001B3E42">
        <w:rPr>
          <w:rFonts w:ascii="Times New Roman" w:hAnsi="Times New Roman" w:cs="Times New Roman"/>
          <w:color w:val="auto"/>
          <w:sz w:val="22"/>
          <w:szCs w:val="22"/>
          <w:lang w:val="sr-Latn-ME"/>
        </w:rPr>
        <w:t xml:space="preserve"> kod pacijenata</w:t>
      </w:r>
      <w:r w:rsidRPr="001B3E42">
        <w:rPr>
          <w:rFonts w:ascii="Times New Roman" w:hAnsi="Times New Roman" w:cs="Times New Roman"/>
          <w:color w:val="auto"/>
          <w:sz w:val="22"/>
          <w:szCs w:val="22"/>
          <w:lang w:val="sr-Latn-ME"/>
        </w:rPr>
        <w:t xml:space="preserve"> liječenih placebom ili aktivni</w:t>
      </w:r>
      <w:r w:rsidR="00B30B4A" w:rsidRPr="001B3E42">
        <w:rPr>
          <w:rFonts w:ascii="Times New Roman" w:hAnsi="Times New Roman" w:cs="Times New Roman"/>
          <w:color w:val="auto"/>
          <w:sz w:val="22"/>
          <w:szCs w:val="22"/>
          <w:lang w:val="sr-Latn-ME"/>
        </w:rPr>
        <w:t>m poredbenim lijekom. To su bili</w:t>
      </w:r>
      <w:r w:rsidRPr="001B3E42">
        <w:rPr>
          <w:rFonts w:ascii="Times New Roman" w:hAnsi="Times New Roman" w:cs="Times New Roman"/>
          <w:color w:val="auto"/>
          <w:sz w:val="22"/>
          <w:szCs w:val="22"/>
          <w:lang w:val="sr-Latn-ME"/>
        </w:rPr>
        <w:t xml:space="preserve"> pretežno </w:t>
      </w:r>
      <w:r w:rsidRPr="001B3E42">
        <w:rPr>
          <w:rFonts w:ascii="Times New Roman" w:hAnsi="Times New Roman" w:cs="Times New Roman"/>
          <w:sz w:val="22"/>
          <w:szCs w:val="22"/>
          <w:lang w:val="sr-Latn-ME"/>
        </w:rPr>
        <w:t xml:space="preserve">nazofaringitis, infekcija gornjeg </w:t>
      </w:r>
      <w:r w:rsidR="008E4A6B" w:rsidRPr="001B3E42">
        <w:rPr>
          <w:rFonts w:ascii="Times New Roman" w:hAnsi="Times New Roman" w:cs="Times New Roman"/>
          <w:sz w:val="22"/>
          <w:szCs w:val="22"/>
          <w:lang w:val="sr-Latn-ME"/>
        </w:rPr>
        <w:t>respiratornog</w:t>
      </w:r>
      <w:r w:rsidRPr="001B3E42">
        <w:rPr>
          <w:rFonts w:ascii="Times New Roman" w:hAnsi="Times New Roman" w:cs="Times New Roman"/>
          <w:sz w:val="22"/>
          <w:szCs w:val="22"/>
          <w:lang w:val="sr-Latn-ME"/>
        </w:rPr>
        <w:t xml:space="preserve"> sistema i urinarne infekcije</w:t>
      </w:r>
      <w:r w:rsidR="00B30B4A" w:rsidRPr="001B3E42">
        <w:rPr>
          <w:rFonts w:ascii="Times New Roman" w:hAnsi="Times New Roman" w:cs="Times New Roman"/>
          <w:color w:val="auto"/>
          <w:sz w:val="22"/>
          <w:szCs w:val="22"/>
          <w:lang w:val="sr-Latn-ME"/>
        </w:rPr>
        <w:t>. Većina pacijenata</w:t>
      </w:r>
      <w:r w:rsidRPr="001B3E42">
        <w:rPr>
          <w:rFonts w:ascii="Times New Roman" w:hAnsi="Times New Roman" w:cs="Times New Roman"/>
          <w:color w:val="auto"/>
          <w:sz w:val="22"/>
          <w:szCs w:val="22"/>
          <w:lang w:val="sr-Latn-ME"/>
        </w:rPr>
        <w:t xml:space="preserve"> nastavila je uzimati </w:t>
      </w:r>
      <w:r w:rsidR="00A92AEA" w:rsidRPr="001B3E42">
        <w:rPr>
          <w:rFonts w:ascii="Times New Roman" w:hAnsi="Times New Roman" w:cs="Times New Roman"/>
          <w:color w:val="auto"/>
          <w:sz w:val="22"/>
          <w:szCs w:val="22"/>
          <w:lang w:val="sr-Latn-ME"/>
        </w:rPr>
        <w:t xml:space="preserve">lijek </w:t>
      </w:r>
      <w:r w:rsidRPr="001B3E42">
        <w:rPr>
          <w:rFonts w:ascii="Times New Roman" w:hAnsi="Times New Roman" w:cs="Times New Roman"/>
          <w:color w:val="auto"/>
          <w:sz w:val="22"/>
          <w:szCs w:val="22"/>
          <w:lang w:val="sr-Latn-ME"/>
        </w:rPr>
        <w:t>Humir</w:t>
      </w:r>
      <w:r w:rsidR="00A92AEA"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nakon što je infekcija izliječena.</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Učestalo</w:t>
      </w:r>
      <w:r w:rsidR="00B30B4A" w:rsidRPr="001B3E42">
        <w:rPr>
          <w:rFonts w:ascii="Times New Roman" w:hAnsi="Times New Roman" w:cs="Times New Roman"/>
          <w:color w:val="auto"/>
          <w:sz w:val="22"/>
          <w:szCs w:val="22"/>
          <w:lang w:val="sr-Latn-ME"/>
        </w:rPr>
        <w:t>st teških infekcija po pacijentu</w:t>
      </w:r>
      <w:r w:rsidRPr="001B3E42">
        <w:rPr>
          <w:rFonts w:ascii="Times New Roman" w:hAnsi="Times New Roman" w:cs="Times New Roman"/>
          <w:color w:val="auto"/>
          <w:sz w:val="22"/>
          <w:szCs w:val="22"/>
          <w:lang w:val="sr-Latn-ME"/>
        </w:rPr>
        <w:t xml:space="preserve"> i godini li</w:t>
      </w:r>
      <w:r w:rsidR="00B30B4A" w:rsidRPr="001B3E42">
        <w:rPr>
          <w:rFonts w:ascii="Times New Roman" w:hAnsi="Times New Roman" w:cs="Times New Roman"/>
          <w:color w:val="auto"/>
          <w:sz w:val="22"/>
          <w:szCs w:val="22"/>
          <w:lang w:val="sr-Latn-ME"/>
        </w:rPr>
        <w:t>ječenja bila je 0,04 kod pacijenata</w:t>
      </w:r>
      <w:r w:rsidRPr="001B3E42">
        <w:rPr>
          <w:rFonts w:ascii="Times New Roman" w:hAnsi="Times New Roman" w:cs="Times New Roman"/>
          <w:color w:val="auto"/>
          <w:sz w:val="22"/>
          <w:szCs w:val="22"/>
          <w:lang w:val="sr-Latn-ME"/>
        </w:rPr>
        <w:t xml:space="preserve"> liječenih </w:t>
      </w:r>
      <w:r w:rsidR="00A92AEA"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w:t>
      </w:r>
      <w:r w:rsidR="00B30B4A" w:rsidRPr="001B3E42">
        <w:rPr>
          <w:rFonts w:ascii="Times New Roman" w:hAnsi="Times New Roman" w:cs="Times New Roman"/>
          <w:color w:val="auto"/>
          <w:sz w:val="22"/>
          <w:szCs w:val="22"/>
          <w:lang w:val="sr-Latn-ME"/>
        </w:rPr>
        <w:t>umir</w:t>
      </w:r>
      <w:r w:rsidR="00A92AEA" w:rsidRPr="001B3E42">
        <w:rPr>
          <w:rFonts w:ascii="Times New Roman" w:hAnsi="Times New Roman" w:cs="Times New Roman"/>
          <w:color w:val="auto"/>
          <w:sz w:val="22"/>
          <w:szCs w:val="22"/>
          <w:lang w:val="sr-Latn-ME"/>
        </w:rPr>
        <w:t>a</w:t>
      </w:r>
      <w:r w:rsidR="00B30B4A" w:rsidRPr="001B3E42">
        <w:rPr>
          <w:rFonts w:ascii="Times New Roman" w:hAnsi="Times New Roman" w:cs="Times New Roman"/>
          <w:color w:val="auto"/>
          <w:sz w:val="22"/>
          <w:szCs w:val="22"/>
          <w:lang w:val="sr-Latn-ME"/>
        </w:rPr>
        <w:t>, odnosno 0,03 kod pacijenata</w:t>
      </w:r>
      <w:r w:rsidRPr="001B3E42">
        <w:rPr>
          <w:rFonts w:ascii="Times New Roman" w:hAnsi="Times New Roman" w:cs="Times New Roman"/>
          <w:color w:val="auto"/>
          <w:sz w:val="22"/>
          <w:szCs w:val="22"/>
          <w:lang w:val="sr-Latn-ME"/>
        </w:rPr>
        <w:t xml:space="preserve"> liječenih placebom ili aktivnim poredbenim lijekom.</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kontrolisanim i otvorenim kliničkim ispitivanjima</w:t>
      </w:r>
      <w:r w:rsidR="00A92AEA" w:rsidRPr="001B3E42">
        <w:rPr>
          <w:rFonts w:ascii="Times New Roman" w:hAnsi="Times New Roman" w:cs="Times New Roman"/>
          <w:color w:val="auto"/>
          <w:sz w:val="22"/>
          <w:szCs w:val="22"/>
          <w:lang w:val="sr-Latn-ME"/>
        </w:rPr>
        <w:t xml:space="preserve"> u odrasloj i pedijatrijskoj populaciji, lijeka</w:t>
      </w:r>
      <w:r w:rsidRPr="001B3E42">
        <w:rPr>
          <w:rFonts w:ascii="Times New Roman" w:hAnsi="Times New Roman" w:cs="Times New Roman"/>
          <w:color w:val="auto"/>
          <w:sz w:val="22"/>
          <w:szCs w:val="22"/>
          <w:lang w:val="sr-Latn-ME"/>
        </w:rPr>
        <w:t xml:space="preserve"> Humir</w:t>
      </w:r>
      <w:r w:rsidR="00A92AEA"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zabilježene su </w:t>
      </w:r>
      <w:r w:rsidR="00A92AEA" w:rsidRPr="001B3E42">
        <w:rPr>
          <w:rFonts w:ascii="Times New Roman" w:hAnsi="Times New Roman" w:cs="Times New Roman"/>
          <w:color w:val="auto"/>
          <w:sz w:val="22"/>
          <w:szCs w:val="22"/>
          <w:lang w:val="sr-Latn-ME"/>
        </w:rPr>
        <w:t xml:space="preserve">ozbiljne </w:t>
      </w:r>
      <w:r w:rsidRPr="001B3E42">
        <w:rPr>
          <w:rFonts w:ascii="Times New Roman" w:hAnsi="Times New Roman" w:cs="Times New Roman"/>
          <w:color w:val="auto"/>
          <w:sz w:val="22"/>
          <w:szCs w:val="22"/>
          <w:lang w:val="sr-Latn-ME"/>
        </w:rPr>
        <w:t xml:space="preserve">infekcije (u rijetkim slučajevima i sa smrtnim ishodom), među kojima i tuberkuloza (uključujući njen milijarni oblik i </w:t>
      </w:r>
      <w:r w:rsidR="008E4A6B" w:rsidRPr="001B3E42">
        <w:rPr>
          <w:rFonts w:ascii="Times New Roman" w:hAnsi="Times New Roman" w:cs="Times New Roman"/>
          <w:color w:val="auto"/>
          <w:sz w:val="22"/>
          <w:szCs w:val="22"/>
          <w:lang w:val="sr-Latn-ME"/>
        </w:rPr>
        <w:t>ekstra pulmonalne</w:t>
      </w:r>
      <w:r w:rsidRPr="001B3E42">
        <w:rPr>
          <w:rFonts w:ascii="Times New Roman" w:hAnsi="Times New Roman" w:cs="Times New Roman"/>
          <w:color w:val="auto"/>
          <w:sz w:val="22"/>
          <w:szCs w:val="22"/>
          <w:lang w:val="sr-Latn-ME"/>
        </w:rPr>
        <w:t xml:space="preserve"> lokalizacije) te invazivne oportunističke infekcije </w:t>
      </w:r>
      <w:r w:rsidR="008E4A6B" w:rsidRPr="001B3E42">
        <w:rPr>
          <w:rFonts w:ascii="Times New Roman" w:hAnsi="Times New Roman" w:cs="Times New Roman"/>
          <w:color w:val="auto"/>
          <w:sz w:val="22"/>
          <w:szCs w:val="22"/>
          <w:lang w:val="sr-Latn-ME"/>
        </w:rPr>
        <w:t>(npr. diseminirana ili ekstra pulmonalna</w:t>
      </w:r>
      <w:r w:rsidRPr="001B3E42">
        <w:rPr>
          <w:rFonts w:ascii="Times New Roman" w:hAnsi="Times New Roman" w:cs="Times New Roman"/>
          <w:color w:val="auto"/>
          <w:sz w:val="22"/>
          <w:szCs w:val="22"/>
          <w:lang w:val="sr-Latn-ME"/>
        </w:rPr>
        <w:t xml:space="preserve"> histoplazmoza, blastomikoza, kokcidioidomikoza, pneumocistis,  kandidijaza, aspergiloza i listerioza). Većina slučaj</w:t>
      </w:r>
      <w:r w:rsidR="00B30B4A" w:rsidRPr="001B3E42">
        <w:rPr>
          <w:rFonts w:ascii="Times New Roman" w:hAnsi="Times New Roman" w:cs="Times New Roman"/>
          <w:color w:val="auto"/>
          <w:sz w:val="22"/>
          <w:szCs w:val="22"/>
          <w:lang w:val="sr-Latn-ME"/>
        </w:rPr>
        <w:t>eva tuberkuloze dijagnostikovana</w:t>
      </w:r>
      <w:r w:rsidRPr="001B3E42">
        <w:rPr>
          <w:rFonts w:ascii="Times New Roman" w:hAnsi="Times New Roman" w:cs="Times New Roman"/>
          <w:color w:val="auto"/>
          <w:sz w:val="22"/>
          <w:szCs w:val="22"/>
          <w:lang w:val="sr-Latn-ME"/>
        </w:rPr>
        <w:t xml:space="preserve"> je u prvih osam mjeseci liječenja, što može biti posljedica aktivacije postojećeg latentnog oblika bolesti.</w:t>
      </w:r>
    </w:p>
    <w:p w:rsidR="005E2894" w:rsidRDefault="005E2894" w:rsidP="005E2894">
      <w:pPr>
        <w:pStyle w:val="Default"/>
        <w:jc w:val="both"/>
        <w:rPr>
          <w:rFonts w:ascii="Times New Roman" w:hAnsi="Times New Roman" w:cs="Times New Roman"/>
          <w:color w:val="auto"/>
          <w:sz w:val="22"/>
          <w:szCs w:val="22"/>
          <w:lang w:val="sr-Latn-ME"/>
        </w:rPr>
      </w:pPr>
    </w:p>
    <w:p w:rsidR="005760A7" w:rsidRPr="001B3E42" w:rsidRDefault="005760A7" w:rsidP="005E2894">
      <w:pPr>
        <w:pStyle w:val="Default"/>
        <w:jc w:val="both"/>
        <w:rPr>
          <w:rFonts w:ascii="Times New Roman" w:hAnsi="Times New Roman" w:cs="Times New Roman"/>
          <w:color w:val="auto"/>
          <w:sz w:val="22"/>
          <w:szCs w:val="22"/>
          <w:lang w:val="sr-Latn-ME"/>
        </w:rPr>
      </w:pPr>
    </w:p>
    <w:p w:rsidR="005E2894" w:rsidRPr="001B3E42" w:rsidRDefault="008E4A6B"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u w:val="single"/>
          <w:lang w:val="sr-Latn-ME"/>
        </w:rPr>
        <w:lastRenderedPageBreak/>
        <w:t>Maligne</w:t>
      </w:r>
      <w:r w:rsidR="005E2894" w:rsidRPr="001B3E42">
        <w:rPr>
          <w:rFonts w:ascii="Times New Roman" w:hAnsi="Times New Roman" w:cs="Times New Roman"/>
          <w:color w:val="auto"/>
          <w:sz w:val="22"/>
          <w:szCs w:val="22"/>
          <w:u w:val="single"/>
          <w:lang w:val="sr-Latn-ME"/>
        </w:rPr>
        <w:t xml:space="preserve"> i limfoproliferativne bolesti</w:t>
      </w: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Ni</w:t>
      </w:r>
      <w:r w:rsidR="00A92AEA" w:rsidRPr="001B3E42">
        <w:rPr>
          <w:rFonts w:ascii="Times New Roman" w:hAnsi="Times New Roman" w:cs="Times New Roman"/>
          <w:color w:val="auto"/>
          <w:sz w:val="22"/>
          <w:szCs w:val="22"/>
          <w:lang w:val="sr-Latn-ME"/>
        </w:rPr>
        <w:t>je</w:t>
      </w:r>
      <w:r w:rsidR="008E4A6B" w:rsidRPr="001B3E42">
        <w:rPr>
          <w:rFonts w:ascii="Times New Roman" w:hAnsi="Times New Roman" w:cs="Times New Roman"/>
          <w:color w:val="auto"/>
          <w:sz w:val="22"/>
          <w:szCs w:val="22"/>
          <w:lang w:val="sr-Latn-ME"/>
        </w:rPr>
        <w:t>su primjećene maligne</w:t>
      </w:r>
      <w:r w:rsidR="007D6ABC" w:rsidRPr="001B3E42">
        <w:rPr>
          <w:rFonts w:ascii="Times New Roman" w:hAnsi="Times New Roman" w:cs="Times New Roman"/>
          <w:color w:val="auto"/>
          <w:sz w:val="22"/>
          <w:szCs w:val="22"/>
          <w:lang w:val="sr-Latn-ME"/>
        </w:rPr>
        <w:t xml:space="preserve"> bolesti kod 203 pacijenata</w:t>
      </w:r>
      <w:r w:rsidRPr="001B3E42">
        <w:rPr>
          <w:rFonts w:ascii="Times New Roman" w:hAnsi="Times New Roman" w:cs="Times New Roman"/>
          <w:color w:val="auto"/>
          <w:sz w:val="22"/>
          <w:szCs w:val="22"/>
          <w:lang w:val="sr-Latn-ME"/>
        </w:rPr>
        <w:t xml:space="preserve"> u dobi od 2 do 17 godina s</w:t>
      </w:r>
      <w:r w:rsidRPr="001B3E42">
        <w:rPr>
          <w:rFonts w:ascii="Times New Roman" w:hAnsi="Times New Roman" w:cs="Times New Roman"/>
          <w:sz w:val="22"/>
          <w:szCs w:val="22"/>
          <w:lang w:val="sr-Latn-ME"/>
        </w:rPr>
        <w:t xml:space="preserve"> juvenilnim idiopatskim artritisom</w:t>
      </w:r>
      <w:r w:rsidRPr="001B3E42">
        <w:rPr>
          <w:rFonts w:ascii="Times New Roman" w:hAnsi="Times New Roman" w:cs="Times New Roman"/>
          <w:color w:val="auto"/>
          <w:sz w:val="22"/>
          <w:szCs w:val="22"/>
          <w:lang w:val="sr-Latn-ME"/>
        </w:rPr>
        <w:t xml:space="preserve"> </w:t>
      </w:r>
      <w:r w:rsidR="00A92AEA" w:rsidRPr="001B3E42">
        <w:rPr>
          <w:rFonts w:ascii="Times New Roman" w:hAnsi="Times New Roman" w:cs="Times New Roman"/>
          <w:color w:val="auto"/>
          <w:sz w:val="22"/>
          <w:szCs w:val="22"/>
          <w:lang w:val="sr-Latn-ME"/>
        </w:rPr>
        <w:t>s izloženošću</w:t>
      </w:r>
      <w:r w:rsidRPr="001B3E42">
        <w:rPr>
          <w:rFonts w:ascii="Times New Roman" w:hAnsi="Times New Roman" w:cs="Times New Roman"/>
          <w:color w:val="auto"/>
          <w:sz w:val="22"/>
          <w:szCs w:val="22"/>
          <w:lang w:val="sr-Latn-ME"/>
        </w:rPr>
        <w:t xml:space="preserve"> 605,3 </w:t>
      </w:r>
      <w:r w:rsidR="00A92AEA" w:rsidRPr="001B3E42">
        <w:rPr>
          <w:rFonts w:ascii="Times New Roman" w:hAnsi="Times New Roman" w:cs="Times New Roman"/>
          <w:color w:val="auto"/>
          <w:sz w:val="22"/>
          <w:szCs w:val="22"/>
          <w:lang w:val="sr-Latn-ME"/>
        </w:rPr>
        <w:t xml:space="preserve">pacijent </w:t>
      </w:r>
      <w:r w:rsidRPr="001B3E42">
        <w:rPr>
          <w:rFonts w:ascii="Times New Roman" w:hAnsi="Times New Roman" w:cs="Times New Roman"/>
          <w:color w:val="auto"/>
          <w:sz w:val="22"/>
          <w:szCs w:val="22"/>
          <w:lang w:val="sr-Latn-ME"/>
        </w:rPr>
        <w:t>godin</w:t>
      </w:r>
      <w:r w:rsidR="00A92AEA"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w:t>
      </w:r>
      <w:r w:rsidR="00A92AEA" w:rsidRPr="001B3E42">
        <w:rPr>
          <w:rFonts w:ascii="Times New Roman" w:hAnsi="Times New Roman" w:cs="Times New Roman"/>
          <w:color w:val="auto"/>
          <w:sz w:val="22"/>
          <w:szCs w:val="22"/>
          <w:lang w:val="sr-Latn-ME"/>
        </w:rPr>
        <w:t>u toku ispitivanja lijeka</w:t>
      </w:r>
      <w:r w:rsidRPr="001B3E42">
        <w:rPr>
          <w:rFonts w:ascii="Times New Roman" w:hAnsi="Times New Roman" w:cs="Times New Roman"/>
          <w:color w:val="auto"/>
          <w:sz w:val="22"/>
          <w:szCs w:val="22"/>
          <w:lang w:val="sr-Latn-ME"/>
        </w:rPr>
        <w:t xml:space="preserve"> Humir</w:t>
      </w:r>
      <w:r w:rsidR="00A92AEA"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U dodatku,</w:t>
      </w:r>
      <w:r w:rsidR="008E4A6B" w:rsidRPr="001B3E42">
        <w:rPr>
          <w:rFonts w:ascii="Times New Roman" w:hAnsi="Times New Roman" w:cs="Times New Roman"/>
          <w:color w:val="auto"/>
          <w:sz w:val="22"/>
          <w:szCs w:val="22"/>
          <w:lang w:val="sr-Latn-ME"/>
        </w:rPr>
        <w:t xml:space="preserve"> nije bilo primjećenih malignih</w:t>
      </w:r>
      <w:r w:rsidRPr="001B3E42">
        <w:rPr>
          <w:rFonts w:ascii="Times New Roman" w:hAnsi="Times New Roman" w:cs="Times New Roman"/>
          <w:color w:val="auto"/>
          <w:sz w:val="22"/>
          <w:szCs w:val="22"/>
          <w:lang w:val="sr-Latn-ME"/>
        </w:rPr>
        <w:t xml:space="preserve"> bolesti kod 192 pedijatrijska pacijenta sa Crohnovom bolesti </w:t>
      </w:r>
      <w:r w:rsidR="00A92AEA" w:rsidRPr="001B3E42">
        <w:rPr>
          <w:rFonts w:ascii="Times New Roman" w:hAnsi="Times New Roman" w:cs="Times New Roman"/>
          <w:color w:val="auto"/>
          <w:sz w:val="22"/>
          <w:szCs w:val="22"/>
          <w:lang w:val="sr-Latn-ME"/>
        </w:rPr>
        <w:t>s izloženošću</w:t>
      </w:r>
      <w:r w:rsidRPr="001B3E42">
        <w:rPr>
          <w:rFonts w:ascii="Times New Roman" w:hAnsi="Times New Roman" w:cs="Times New Roman"/>
          <w:color w:val="auto"/>
          <w:sz w:val="22"/>
          <w:szCs w:val="22"/>
          <w:lang w:val="sr-Latn-ME"/>
        </w:rPr>
        <w:t xml:space="preserve"> 258,9 </w:t>
      </w:r>
      <w:r w:rsidR="00A92AEA" w:rsidRPr="001B3E42">
        <w:rPr>
          <w:rFonts w:ascii="Times New Roman" w:hAnsi="Times New Roman" w:cs="Times New Roman"/>
          <w:color w:val="auto"/>
          <w:sz w:val="22"/>
          <w:szCs w:val="22"/>
          <w:lang w:val="sr-Latn-ME"/>
        </w:rPr>
        <w:t xml:space="preserve">pacijent </w:t>
      </w:r>
      <w:r w:rsidRPr="001B3E42">
        <w:rPr>
          <w:rFonts w:ascii="Times New Roman" w:hAnsi="Times New Roman" w:cs="Times New Roman"/>
          <w:color w:val="auto"/>
          <w:sz w:val="22"/>
          <w:szCs w:val="22"/>
          <w:lang w:val="sr-Latn-ME"/>
        </w:rPr>
        <w:t xml:space="preserve">godina </w:t>
      </w:r>
      <w:r w:rsidR="00A92AEA" w:rsidRPr="001B3E42">
        <w:rPr>
          <w:rFonts w:ascii="Times New Roman" w:hAnsi="Times New Roman" w:cs="Times New Roman"/>
          <w:color w:val="auto"/>
          <w:sz w:val="22"/>
          <w:szCs w:val="22"/>
          <w:lang w:val="sr-Latn-ME"/>
        </w:rPr>
        <w:t>u toku ispitivanja lijeka</w:t>
      </w:r>
      <w:r w:rsidRPr="001B3E42">
        <w:rPr>
          <w:rFonts w:ascii="Times New Roman" w:hAnsi="Times New Roman" w:cs="Times New Roman"/>
          <w:color w:val="auto"/>
          <w:sz w:val="22"/>
          <w:szCs w:val="22"/>
          <w:lang w:val="sr-Latn-ME"/>
        </w:rPr>
        <w:t>Humir</w:t>
      </w:r>
      <w:r w:rsidR="00A92AEA"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kontrolisanim pivotalnim ispitivanjima kod odraslih koja su trajala</w:t>
      </w:r>
      <w:r w:rsidR="007D6ABC" w:rsidRPr="001B3E42">
        <w:rPr>
          <w:rFonts w:ascii="Times New Roman" w:hAnsi="Times New Roman" w:cs="Times New Roman"/>
          <w:color w:val="auto"/>
          <w:sz w:val="22"/>
          <w:szCs w:val="22"/>
          <w:lang w:val="sr-Latn-ME"/>
        </w:rPr>
        <w:t xml:space="preserve"> najmanje 12 </w:t>
      </w:r>
      <w:r w:rsidR="009065F5" w:rsidRPr="001B3E42">
        <w:rPr>
          <w:rFonts w:ascii="Times New Roman" w:hAnsi="Times New Roman" w:cs="Times New Roman"/>
          <w:color w:val="auto"/>
          <w:sz w:val="22"/>
          <w:szCs w:val="22"/>
          <w:lang w:val="sr-Latn-ME"/>
        </w:rPr>
        <w:t>nedjelja</w:t>
      </w:r>
      <w:r w:rsidR="007D6ABC" w:rsidRPr="001B3E42">
        <w:rPr>
          <w:rFonts w:ascii="Times New Roman" w:hAnsi="Times New Roman" w:cs="Times New Roman"/>
          <w:color w:val="auto"/>
          <w:sz w:val="22"/>
          <w:szCs w:val="22"/>
          <w:lang w:val="sr-Latn-ME"/>
        </w:rPr>
        <w:t xml:space="preserve"> kod pacijenata</w:t>
      </w:r>
      <w:r w:rsidRPr="001B3E42">
        <w:rPr>
          <w:rFonts w:ascii="Times New Roman" w:hAnsi="Times New Roman" w:cs="Times New Roman"/>
          <w:color w:val="auto"/>
          <w:sz w:val="22"/>
          <w:szCs w:val="22"/>
          <w:lang w:val="sr-Latn-ME"/>
        </w:rPr>
        <w:t xml:space="preserve"> s umjerenim do teškim aktivnim reumatoidnim artritisom, </w:t>
      </w:r>
      <w:r w:rsidRPr="001B3E42">
        <w:rPr>
          <w:rFonts w:ascii="Times New Roman" w:hAnsi="Times New Roman" w:cs="Times New Roman"/>
          <w:sz w:val="22"/>
          <w:szCs w:val="22"/>
          <w:lang w:val="sr-Latn-ME"/>
        </w:rPr>
        <w:t xml:space="preserve">ankilozantnim spondilitisom, aksijalnim spondiloartritisom bez radiološkog nalaza AS-a, psorijatičnim artritisom, psorijazom, Crohnovom bolešću i ulceroznim kolitisom </w:t>
      </w:r>
      <w:r w:rsidR="008E4A6B" w:rsidRPr="001B3E42">
        <w:rPr>
          <w:rFonts w:ascii="Times New Roman" w:hAnsi="Times New Roman" w:cs="Times New Roman"/>
          <w:color w:val="auto"/>
          <w:sz w:val="22"/>
          <w:szCs w:val="22"/>
          <w:lang w:val="sr-Latn-ME"/>
        </w:rPr>
        <w:t>dijagnosticirano je malignih</w:t>
      </w:r>
      <w:r w:rsidRPr="001B3E42">
        <w:rPr>
          <w:rFonts w:ascii="Times New Roman" w:hAnsi="Times New Roman" w:cs="Times New Roman"/>
          <w:color w:val="auto"/>
          <w:sz w:val="22"/>
          <w:szCs w:val="22"/>
          <w:lang w:val="sr-Latn-ME"/>
        </w:rPr>
        <w:t xml:space="preserve"> bolesti, isključujući limfome i nemelanomske t</w:t>
      </w:r>
      <w:r w:rsidR="007D6ABC" w:rsidRPr="001B3E42">
        <w:rPr>
          <w:rFonts w:ascii="Times New Roman" w:hAnsi="Times New Roman" w:cs="Times New Roman"/>
          <w:color w:val="auto"/>
          <w:sz w:val="22"/>
          <w:szCs w:val="22"/>
          <w:lang w:val="sr-Latn-ME"/>
        </w:rPr>
        <w:t>umore kože, kod 4.622 pacijenata</w:t>
      </w:r>
      <w:r w:rsidRPr="001B3E42">
        <w:rPr>
          <w:rFonts w:ascii="Times New Roman" w:hAnsi="Times New Roman" w:cs="Times New Roman"/>
          <w:color w:val="auto"/>
          <w:sz w:val="22"/>
          <w:szCs w:val="22"/>
          <w:lang w:val="sr-Latn-ME"/>
        </w:rPr>
        <w:t xml:space="preserve"> na </w:t>
      </w:r>
      <w:r w:rsidR="001D3E32" w:rsidRPr="001B3E42">
        <w:rPr>
          <w:rFonts w:ascii="Times New Roman" w:hAnsi="Times New Roman" w:cs="Times New Roman"/>
          <w:color w:val="auto"/>
          <w:sz w:val="22"/>
          <w:szCs w:val="22"/>
          <w:lang w:val="sr-Latn-ME"/>
        </w:rPr>
        <w:t xml:space="preserve">lijeku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u stopi od 6</w:t>
      </w:r>
      <w:r w:rsidR="008E4A6B" w:rsidRPr="001B3E42">
        <w:rPr>
          <w:rFonts w:ascii="Times New Roman" w:hAnsi="Times New Roman" w:cs="Times New Roman"/>
          <w:sz w:val="22"/>
          <w:szCs w:val="22"/>
          <w:lang w:val="sr-Latn-ME"/>
        </w:rPr>
        <w:t>,0 (3,7; 9</w:t>
      </w:r>
      <w:r w:rsidRPr="001B3E42">
        <w:rPr>
          <w:rFonts w:ascii="Times New Roman" w:hAnsi="Times New Roman" w:cs="Times New Roman"/>
          <w:sz w:val="22"/>
          <w:szCs w:val="22"/>
          <w:lang w:val="sr-Latn-ME"/>
        </w:rPr>
        <w:t>,8)</w:t>
      </w:r>
      <w:r w:rsidR="007D6ABC" w:rsidRPr="001B3E42">
        <w:rPr>
          <w:rFonts w:ascii="Times New Roman" w:hAnsi="Times New Roman" w:cs="Times New Roman"/>
          <w:color w:val="auto"/>
          <w:sz w:val="22"/>
          <w:szCs w:val="22"/>
          <w:lang w:val="sr-Latn-ME"/>
        </w:rPr>
        <w:t xml:space="preserve"> na 1000 pacijent</w:t>
      </w:r>
      <w:r w:rsidRPr="001B3E42">
        <w:rPr>
          <w:rFonts w:ascii="Times New Roman" w:hAnsi="Times New Roman" w:cs="Times New Roman"/>
          <w:color w:val="auto"/>
          <w:sz w:val="22"/>
          <w:szCs w:val="22"/>
          <w:lang w:val="sr-Latn-ME"/>
        </w:rPr>
        <w:t>-godina (interval pouzdanosti 95%), nasuprot 5,</w:t>
      </w:r>
      <w:r w:rsidR="008E4A6B" w:rsidRPr="001B3E42">
        <w:rPr>
          <w:rFonts w:ascii="Times New Roman" w:hAnsi="Times New Roman" w:cs="Times New Roman"/>
          <w:color w:val="auto"/>
          <w:sz w:val="22"/>
          <w:szCs w:val="22"/>
          <w:lang w:val="sr-Latn-ME"/>
        </w:rPr>
        <w:t>1</w:t>
      </w:r>
      <w:r w:rsidR="008E4A6B" w:rsidRPr="001B3E42">
        <w:rPr>
          <w:rFonts w:ascii="Times New Roman" w:hAnsi="Times New Roman" w:cs="Times New Roman"/>
          <w:sz w:val="22"/>
          <w:szCs w:val="22"/>
          <w:lang w:val="sr-Latn-ME"/>
        </w:rPr>
        <w:t xml:space="preserve"> (2,4; 10,7</w:t>
      </w:r>
      <w:r w:rsidRPr="001B3E42">
        <w:rPr>
          <w:rFonts w:ascii="Times New Roman" w:hAnsi="Times New Roman" w:cs="Times New Roman"/>
          <w:sz w:val="22"/>
          <w:szCs w:val="22"/>
          <w:lang w:val="sr-Latn-ME"/>
        </w:rPr>
        <w:t>)</w:t>
      </w:r>
      <w:r w:rsidR="007D6ABC" w:rsidRPr="001B3E42">
        <w:rPr>
          <w:rFonts w:ascii="Times New Roman" w:hAnsi="Times New Roman" w:cs="Times New Roman"/>
          <w:color w:val="auto"/>
          <w:sz w:val="22"/>
          <w:szCs w:val="22"/>
          <w:lang w:val="sr-Latn-ME"/>
        </w:rPr>
        <w:t xml:space="preserve"> kod 2.828 pacijenata</w:t>
      </w:r>
      <w:r w:rsidRPr="001B3E42">
        <w:rPr>
          <w:rFonts w:ascii="Times New Roman" w:hAnsi="Times New Roman" w:cs="Times New Roman"/>
          <w:color w:val="auto"/>
          <w:sz w:val="22"/>
          <w:szCs w:val="22"/>
          <w:lang w:val="sr-Latn-ME"/>
        </w:rPr>
        <w:t xml:space="preserve"> iz kontrolne grupe (medijan trajanja terapij</w:t>
      </w:r>
      <w:r w:rsidR="007D6ABC" w:rsidRPr="001B3E42">
        <w:rPr>
          <w:rFonts w:ascii="Times New Roman" w:hAnsi="Times New Roman" w:cs="Times New Roman"/>
          <w:color w:val="auto"/>
          <w:sz w:val="22"/>
          <w:szCs w:val="22"/>
          <w:lang w:val="sr-Latn-ME"/>
        </w:rPr>
        <w:t>e bio je 5,1 mjeseci kod pacijenata</w:t>
      </w:r>
      <w:r w:rsidRPr="001B3E42">
        <w:rPr>
          <w:rFonts w:ascii="Times New Roman" w:hAnsi="Times New Roman" w:cs="Times New Roman"/>
          <w:color w:val="auto"/>
          <w:sz w:val="22"/>
          <w:szCs w:val="22"/>
          <w:lang w:val="sr-Latn-ME"/>
        </w:rPr>
        <w:t xml:space="preserve"> na </w:t>
      </w:r>
      <w:r w:rsidR="001D3E32" w:rsidRPr="001B3E42">
        <w:rPr>
          <w:rFonts w:ascii="Times New Roman" w:hAnsi="Times New Roman" w:cs="Times New Roman"/>
          <w:color w:val="auto"/>
          <w:sz w:val="22"/>
          <w:szCs w:val="22"/>
          <w:lang w:val="sr-Latn-ME"/>
        </w:rPr>
        <w:t xml:space="preserve">lijeku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4,0 mjes</w:t>
      </w:r>
      <w:r w:rsidR="007D6ABC" w:rsidRPr="001B3E42">
        <w:rPr>
          <w:rFonts w:ascii="Times New Roman" w:hAnsi="Times New Roman" w:cs="Times New Roman"/>
          <w:color w:val="auto"/>
          <w:sz w:val="22"/>
          <w:szCs w:val="22"/>
          <w:lang w:val="sr-Latn-ME"/>
        </w:rPr>
        <w:t>eci u kontrolnoj grupi pacijenata</w:t>
      </w:r>
      <w:r w:rsidRPr="001B3E42">
        <w:rPr>
          <w:rFonts w:ascii="Times New Roman" w:hAnsi="Times New Roman" w:cs="Times New Roman"/>
          <w:color w:val="auto"/>
          <w:sz w:val="22"/>
          <w:szCs w:val="22"/>
          <w:lang w:val="sr-Latn-ME"/>
        </w:rPr>
        <w:t xml:space="preserve">). Stopa pojavljivanja nemelanomskih tumora (interval pouzdanosti 95%) bila je </w:t>
      </w:r>
      <w:r w:rsidR="008E4A6B" w:rsidRPr="001B3E42">
        <w:rPr>
          <w:rFonts w:ascii="Times New Roman" w:hAnsi="Times New Roman" w:cs="Times New Roman"/>
          <w:sz w:val="22"/>
          <w:szCs w:val="22"/>
          <w:lang w:val="sr-Latn-ME"/>
        </w:rPr>
        <w:t>9,7 (6,6; 14,3</w:t>
      </w:r>
      <w:r w:rsidRPr="001B3E42">
        <w:rPr>
          <w:rFonts w:ascii="Times New Roman" w:hAnsi="Times New Roman" w:cs="Times New Roman"/>
          <w:sz w:val="22"/>
          <w:szCs w:val="22"/>
          <w:lang w:val="sr-Latn-ME"/>
        </w:rPr>
        <w:t>)</w:t>
      </w:r>
      <w:r w:rsidR="007D6ABC" w:rsidRPr="001B3E42">
        <w:rPr>
          <w:rFonts w:ascii="Times New Roman" w:hAnsi="Times New Roman" w:cs="Times New Roman"/>
          <w:color w:val="auto"/>
          <w:sz w:val="22"/>
          <w:szCs w:val="22"/>
          <w:lang w:val="sr-Latn-ME"/>
        </w:rPr>
        <w:t xml:space="preserve"> na 1000 pacijent-godina u pac</w:t>
      </w:r>
      <w:r w:rsidR="007B5B3A" w:rsidRPr="001B3E42">
        <w:rPr>
          <w:rFonts w:ascii="Times New Roman" w:hAnsi="Times New Roman" w:cs="Times New Roman"/>
          <w:color w:val="auto"/>
          <w:sz w:val="22"/>
          <w:szCs w:val="22"/>
          <w:lang w:val="sr-Latn-ME"/>
        </w:rPr>
        <w:t>j</w:t>
      </w:r>
      <w:r w:rsidR="007D6ABC" w:rsidRPr="001B3E42">
        <w:rPr>
          <w:rFonts w:ascii="Times New Roman" w:hAnsi="Times New Roman" w:cs="Times New Roman"/>
          <w:color w:val="auto"/>
          <w:sz w:val="22"/>
          <w:szCs w:val="22"/>
          <w:lang w:val="sr-Latn-ME"/>
        </w:rPr>
        <w:t>ienata</w:t>
      </w:r>
      <w:r w:rsidR="008E4A6B" w:rsidRPr="001B3E42">
        <w:rPr>
          <w:rFonts w:ascii="Times New Roman" w:hAnsi="Times New Roman" w:cs="Times New Roman"/>
          <w:color w:val="auto"/>
          <w:sz w:val="22"/>
          <w:szCs w:val="22"/>
          <w:lang w:val="sr-Latn-ME"/>
        </w:rPr>
        <w:t xml:space="preserve"> na </w:t>
      </w:r>
      <w:r w:rsidR="001D3E32" w:rsidRPr="001B3E42">
        <w:rPr>
          <w:rFonts w:ascii="Times New Roman" w:hAnsi="Times New Roman" w:cs="Times New Roman"/>
          <w:color w:val="auto"/>
          <w:sz w:val="22"/>
          <w:szCs w:val="22"/>
          <w:lang w:val="sr-Latn-ME"/>
        </w:rPr>
        <w:t xml:space="preserve">lijeku </w:t>
      </w:r>
      <w:r w:rsidR="008E4A6B"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008E4A6B" w:rsidRPr="001B3E42">
        <w:rPr>
          <w:rFonts w:ascii="Times New Roman" w:hAnsi="Times New Roman" w:cs="Times New Roman"/>
          <w:color w:val="auto"/>
          <w:sz w:val="22"/>
          <w:szCs w:val="22"/>
          <w:lang w:val="sr-Latn-ME"/>
        </w:rPr>
        <w:t>, odnosno 5</w:t>
      </w:r>
      <w:r w:rsidRPr="001B3E42">
        <w:rPr>
          <w:rFonts w:ascii="Times New Roman" w:hAnsi="Times New Roman" w:cs="Times New Roman"/>
          <w:color w:val="auto"/>
          <w:sz w:val="22"/>
          <w:szCs w:val="22"/>
          <w:lang w:val="sr-Latn-ME"/>
        </w:rPr>
        <w:t>,</w:t>
      </w:r>
      <w:r w:rsidR="008E4A6B" w:rsidRPr="001B3E42">
        <w:rPr>
          <w:rFonts w:ascii="Times New Roman" w:hAnsi="Times New Roman" w:cs="Times New Roman"/>
          <w:color w:val="auto"/>
          <w:sz w:val="22"/>
          <w:szCs w:val="22"/>
          <w:lang w:val="sr-Latn-ME"/>
        </w:rPr>
        <w:t>1</w:t>
      </w:r>
      <w:r w:rsidR="008E4A6B" w:rsidRPr="001B3E42">
        <w:rPr>
          <w:rFonts w:ascii="Times New Roman" w:hAnsi="Times New Roman" w:cs="Times New Roman"/>
          <w:sz w:val="22"/>
          <w:szCs w:val="22"/>
          <w:lang w:val="sr-Latn-ME"/>
        </w:rPr>
        <w:t xml:space="preserve"> (2,4; 10,7</w:t>
      </w:r>
      <w:r w:rsidRPr="001B3E42">
        <w:rPr>
          <w:rFonts w:ascii="Times New Roman" w:hAnsi="Times New Roman" w:cs="Times New Roman"/>
          <w:sz w:val="22"/>
          <w:szCs w:val="22"/>
          <w:lang w:val="sr-Latn-ME"/>
        </w:rPr>
        <w:t>)</w:t>
      </w:r>
      <w:r w:rsidR="007D6ABC" w:rsidRPr="001B3E42">
        <w:rPr>
          <w:rFonts w:ascii="Times New Roman" w:hAnsi="Times New Roman" w:cs="Times New Roman"/>
          <w:color w:val="auto"/>
          <w:sz w:val="22"/>
          <w:szCs w:val="22"/>
          <w:lang w:val="sr-Latn-ME"/>
        </w:rPr>
        <w:t xml:space="preserve"> na 1000 pacijent</w:t>
      </w:r>
      <w:r w:rsidRPr="001B3E42">
        <w:rPr>
          <w:rFonts w:ascii="Times New Roman" w:hAnsi="Times New Roman" w:cs="Times New Roman"/>
          <w:color w:val="auto"/>
          <w:sz w:val="22"/>
          <w:szCs w:val="22"/>
          <w:lang w:val="sr-Latn-ME"/>
        </w:rPr>
        <w:t>-god</w:t>
      </w:r>
      <w:r w:rsidR="007D6ABC" w:rsidRPr="001B3E42">
        <w:rPr>
          <w:rFonts w:ascii="Times New Roman" w:hAnsi="Times New Roman" w:cs="Times New Roman"/>
          <w:color w:val="auto"/>
          <w:sz w:val="22"/>
          <w:szCs w:val="22"/>
          <w:lang w:val="sr-Latn-ME"/>
        </w:rPr>
        <w:t>ina u kontrolnoj grupi pacijenata</w:t>
      </w:r>
      <w:r w:rsidRPr="001B3E42">
        <w:rPr>
          <w:rFonts w:ascii="Times New Roman" w:hAnsi="Times New Roman" w:cs="Times New Roman"/>
          <w:color w:val="auto"/>
          <w:sz w:val="22"/>
          <w:szCs w:val="22"/>
          <w:lang w:val="sr-Latn-ME"/>
        </w:rPr>
        <w:t>. Od tih tumora kože, karcinom skvamoznih ćelija se javljao  (interval pouzdanosti 95%) u stopi od 2,6</w:t>
      </w:r>
      <w:r w:rsidR="008E4A6B" w:rsidRPr="001B3E42">
        <w:rPr>
          <w:rFonts w:ascii="Times New Roman" w:hAnsi="Times New Roman" w:cs="Times New Roman"/>
          <w:sz w:val="22"/>
          <w:szCs w:val="22"/>
          <w:lang w:val="sr-Latn-ME"/>
        </w:rPr>
        <w:t xml:space="preserve"> (1,2</w:t>
      </w:r>
      <w:r w:rsidRPr="001B3E42">
        <w:rPr>
          <w:rFonts w:ascii="Times New Roman" w:hAnsi="Times New Roman" w:cs="Times New Roman"/>
          <w:sz w:val="22"/>
          <w:szCs w:val="22"/>
          <w:lang w:val="sr-Latn-ME"/>
        </w:rPr>
        <w:t>; 5,5)</w:t>
      </w:r>
      <w:r w:rsidR="007D6ABC" w:rsidRPr="001B3E42">
        <w:rPr>
          <w:rFonts w:ascii="Times New Roman" w:hAnsi="Times New Roman" w:cs="Times New Roman"/>
          <w:color w:val="auto"/>
          <w:sz w:val="22"/>
          <w:szCs w:val="22"/>
          <w:lang w:val="sr-Latn-ME"/>
        </w:rPr>
        <w:t xml:space="preserve"> na 1000 pacijent-godina kod pacijenata</w:t>
      </w:r>
      <w:r w:rsidRPr="001B3E42">
        <w:rPr>
          <w:rFonts w:ascii="Times New Roman" w:hAnsi="Times New Roman" w:cs="Times New Roman"/>
          <w:color w:val="auto"/>
          <w:sz w:val="22"/>
          <w:szCs w:val="22"/>
          <w:lang w:val="sr-Latn-ME"/>
        </w:rPr>
        <w:t xml:space="preserve"> na </w:t>
      </w:r>
      <w:r w:rsidR="001D3E32" w:rsidRPr="001B3E42">
        <w:rPr>
          <w:rFonts w:ascii="Times New Roman" w:hAnsi="Times New Roman" w:cs="Times New Roman"/>
          <w:color w:val="auto"/>
          <w:sz w:val="22"/>
          <w:szCs w:val="22"/>
          <w:lang w:val="sr-Latn-ME"/>
        </w:rPr>
        <w:t xml:space="preserve">lijeku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u stopi od</w:t>
      </w:r>
      <w:r w:rsidR="007D6ABC" w:rsidRPr="001B3E42">
        <w:rPr>
          <w:rFonts w:ascii="Times New Roman" w:hAnsi="Times New Roman" w:cs="Times New Roman"/>
          <w:color w:val="auto"/>
          <w:sz w:val="22"/>
          <w:szCs w:val="22"/>
          <w:lang w:val="sr-Latn-ME"/>
        </w:rPr>
        <w:t xml:space="preserve"> 0,7 (0,1; 5,2) na 1000 pacijent</w:t>
      </w:r>
      <w:r w:rsidRPr="001B3E42">
        <w:rPr>
          <w:rFonts w:ascii="Times New Roman" w:hAnsi="Times New Roman" w:cs="Times New Roman"/>
          <w:color w:val="auto"/>
          <w:sz w:val="22"/>
          <w:szCs w:val="22"/>
          <w:lang w:val="sr-Latn-ME"/>
        </w:rPr>
        <w:t xml:space="preserve">-godina u kontrolnoj grupi. Limfomi su se javljali u stopi (interval pouzdanosti 95%) od </w:t>
      </w:r>
      <w:r w:rsidR="008E4A6B" w:rsidRPr="001B3E42">
        <w:rPr>
          <w:rFonts w:ascii="Times New Roman" w:hAnsi="Times New Roman" w:cs="Times New Roman"/>
          <w:sz w:val="22"/>
          <w:szCs w:val="22"/>
          <w:lang w:val="sr-Latn-ME"/>
        </w:rPr>
        <w:t>0,7</w:t>
      </w:r>
      <w:r w:rsidRPr="001B3E42">
        <w:rPr>
          <w:rFonts w:ascii="Times New Roman" w:hAnsi="Times New Roman" w:cs="Times New Roman"/>
          <w:sz w:val="22"/>
          <w:szCs w:val="22"/>
          <w:lang w:val="sr-Latn-ME"/>
        </w:rPr>
        <w:t xml:space="preserve"> (0,2; 3,0)</w:t>
      </w:r>
      <w:r w:rsidR="007D6ABC" w:rsidRPr="001B3E42">
        <w:rPr>
          <w:rFonts w:ascii="Times New Roman" w:hAnsi="Times New Roman" w:cs="Times New Roman"/>
          <w:color w:val="auto"/>
          <w:sz w:val="22"/>
          <w:szCs w:val="22"/>
          <w:lang w:val="sr-Latn-ME"/>
        </w:rPr>
        <w:t xml:space="preserve"> na 1000 pacijent-godina kod pacijenata</w:t>
      </w:r>
      <w:r w:rsidRPr="001B3E42">
        <w:rPr>
          <w:rFonts w:ascii="Times New Roman" w:hAnsi="Times New Roman" w:cs="Times New Roman"/>
          <w:color w:val="auto"/>
          <w:sz w:val="22"/>
          <w:szCs w:val="22"/>
          <w:lang w:val="sr-Latn-ME"/>
        </w:rPr>
        <w:t xml:space="preserve"> na </w:t>
      </w:r>
      <w:r w:rsidR="001D3E32" w:rsidRPr="001B3E42">
        <w:rPr>
          <w:rFonts w:ascii="Times New Roman" w:hAnsi="Times New Roman" w:cs="Times New Roman"/>
          <w:color w:val="auto"/>
          <w:sz w:val="22"/>
          <w:szCs w:val="22"/>
          <w:lang w:val="sr-Latn-ME"/>
        </w:rPr>
        <w:t xml:space="preserve">lijeku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odnosno u stopi od 1,5</w:t>
      </w:r>
      <w:r w:rsidR="008E4A6B" w:rsidRPr="001B3E42">
        <w:rPr>
          <w:rFonts w:ascii="Times New Roman" w:hAnsi="Times New Roman" w:cs="Times New Roman"/>
          <w:sz w:val="22"/>
          <w:szCs w:val="22"/>
          <w:lang w:val="sr-Latn-ME"/>
        </w:rPr>
        <w:t xml:space="preserve"> (0,4; 5,8</w:t>
      </w:r>
      <w:r w:rsidRPr="001B3E42">
        <w:rPr>
          <w:rFonts w:ascii="Times New Roman" w:hAnsi="Times New Roman" w:cs="Times New Roman"/>
          <w:sz w:val="22"/>
          <w:szCs w:val="22"/>
          <w:lang w:val="sr-Latn-ME"/>
        </w:rPr>
        <w:t>)</w:t>
      </w:r>
      <w:r w:rsidR="007D6ABC" w:rsidRPr="001B3E42">
        <w:rPr>
          <w:rFonts w:ascii="Times New Roman" w:hAnsi="Times New Roman" w:cs="Times New Roman"/>
          <w:color w:val="auto"/>
          <w:sz w:val="22"/>
          <w:szCs w:val="22"/>
          <w:lang w:val="sr-Latn-ME"/>
        </w:rPr>
        <w:t xml:space="preserve"> na 1000 paci</w:t>
      </w:r>
      <w:r w:rsidR="00D92618" w:rsidRPr="001B3E42">
        <w:rPr>
          <w:rFonts w:ascii="Times New Roman" w:hAnsi="Times New Roman" w:cs="Times New Roman"/>
          <w:color w:val="auto"/>
          <w:sz w:val="22"/>
          <w:szCs w:val="22"/>
          <w:lang w:val="sr-Latn-ME"/>
        </w:rPr>
        <w:t>j</w:t>
      </w:r>
      <w:r w:rsidR="007D6ABC" w:rsidRPr="001B3E42">
        <w:rPr>
          <w:rFonts w:ascii="Times New Roman" w:hAnsi="Times New Roman" w:cs="Times New Roman"/>
          <w:color w:val="auto"/>
          <w:sz w:val="22"/>
          <w:szCs w:val="22"/>
          <w:lang w:val="sr-Latn-ME"/>
        </w:rPr>
        <w:t>ent</w:t>
      </w:r>
      <w:r w:rsidRPr="001B3E42">
        <w:rPr>
          <w:rFonts w:ascii="Times New Roman" w:hAnsi="Times New Roman" w:cs="Times New Roman"/>
          <w:color w:val="auto"/>
          <w:sz w:val="22"/>
          <w:szCs w:val="22"/>
          <w:lang w:val="sr-Latn-ME"/>
        </w:rPr>
        <w:t>-godina u kontrolnoj grupi.</w:t>
      </w:r>
    </w:p>
    <w:p w:rsidR="005E2894" w:rsidRPr="001B3E42" w:rsidRDefault="005E2894" w:rsidP="005E2894">
      <w:pPr>
        <w:pStyle w:val="Default"/>
        <w:ind w:left="567" w:hanging="567"/>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Analizom zbirnih rezultata kontrolisanih ispitivanja te ispitivanja koja su u toku i dovršenih otvorenih ispiti</w:t>
      </w:r>
      <w:r w:rsidR="00B03F03" w:rsidRPr="001B3E42">
        <w:rPr>
          <w:rFonts w:ascii="Times New Roman" w:hAnsi="Times New Roman" w:cs="Times New Roman"/>
          <w:color w:val="auto"/>
          <w:sz w:val="22"/>
          <w:szCs w:val="22"/>
          <w:lang w:val="sr-Latn-ME"/>
        </w:rPr>
        <w:t>vanja kod ukupno 5.727</w:t>
      </w:r>
      <w:r w:rsidR="00064DF0" w:rsidRPr="001B3E42">
        <w:rPr>
          <w:rFonts w:ascii="Times New Roman" w:hAnsi="Times New Roman" w:cs="Times New Roman"/>
          <w:color w:val="auto"/>
          <w:sz w:val="22"/>
          <w:szCs w:val="22"/>
          <w:lang w:val="sr-Latn-ME"/>
        </w:rPr>
        <w:t xml:space="preserve"> pacijenata</w:t>
      </w:r>
      <w:r w:rsidR="00B03F03" w:rsidRPr="001B3E42">
        <w:rPr>
          <w:rFonts w:ascii="Times New Roman" w:hAnsi="Times New Roman" w:cs="Times New Roman"/>
          <w:color w:val="auto"/>
          <w:sz w:val="22"/>
          <w:szCs w:val="22"/>
          <w:lang w:val="sr-Latn-ME"/>
        </w:rPr>
        <w:t xml:space="preserve"> i više od 24.568</w:t>
      </w:r>
      <w:r w:rsidRPr="001B3E42">
        <w:rPr>
          <w:rFonts w:ascii="Times New Roman" w:hAnsi="Times New Roman" w:cs="Times New Roman"/>
          <w:color w:val="auto"/>
          <w:sz w:val="22"/>
          <w:szCs w:val="22"/>
          <w:lang w:val="sr-Latn-ME"/>
        </w:rPr>
        <w:t xml:space="preserve"> godina terapije i medijanom trajan</w:t>
      </w:r>
      <w:r w:rsidR="008E4A6B" w:rsidRPr="001B3E42">
        <w:rPr>
          <w:rFonts w:ascii="Times New Roman" w:hAnsi="Times New Roman" w:cs="Times New Roman"/>
          <w:color w:val="auto"/>
          <w:sz w:val="22"/>
          <w:szCs w:val="22"/>
          <w:lang w:val="sr-Latn-ME"/>
        </w:rPr>
        <w:t>ja terapije od 3,4</w:t>
      </w:r>
      <w:r w:rsidR="00064DF0" w:rsidRPr="001B3E42">
        <w:rPr>
          <w:rFonts w:ascii="Times New Roman" w:hAnsi="Times New Roman" w:cs="Times New Roman"/>
          <w:color w:val="auto"/>
          <w:sz w:val="22"/>
          <w:szCs w:val="22"/>
          <w:lang w:val="sr-Latn-ME"/>
        </w:rPr>
        <w:t xml:space="preserve"> godine, dobij</w:t>
      </w:r>
      <w:r w:rsidRPr="001B3E42">
        <w:rPr>
          <w:rFonts w:ascii="Times New Roman" w:hAnsi="Times New Roman" w:cs="Times New Roman"/>
          <w:color w:val="auto"/>
          <w:sz w:val="22"/>
          <w:szCs w:val="22"/>
          <w:lang w:val="sr-Latn-ME"/>
        </w:rPr>
        <w:t>ena j</w:t>
      </w:r>
      <w:r w:rsidR="007B5B3A" w:rsidRPr="001B3E42">
        <w:rPr>
          <w:rFonts w:ascii="Times New Roman" w:hAnsi="Times New Roman" w:cs="Times New Roman"/>
          <w:color w:val="auto"/>
          <w:sz w:val="22"/>
          <w:szCs w:val="22"/>
          <w:lang w:val="sr-Latn-ME"/>
        </w:rPr>
        <w:t>e prosječna učestalost malignih</w:t>
      </w:r>
      <w:r w:rsidRPr="001B3E42">
        <w:rPr>
          <w:rFonts w:ascii="Times New Roman" w:hAnsi="Times New Roman" w:cs="Times New Roman"/>
          <w:color w:val="auto"/>
          <w:sz w:val="22"/>
          <w:szCs w:val="22"/>
          <w:lang w:val="sr-Latn-ME"/>
        </w:rPr>
        <w:t xml:space="preserve"> bolesti, isključujući limfome i nemelanoms</w:t>
      </w:r>
      <w:r w:rsidR="00B03F03" w:rsidRPr="001B3E42">
        <w:rPr>
          <w:rFonts w:ascii="Times New Roman" w:hAnsi="Times New Roman" w:cs="Times New Roman"/>
          <w:color w:val="auto"/>
          <w:sz w:val="22"/>
          <w:szCs w:val="22"/>
          <w:lang w:val="sr-Latn-ME"/>
        </w:rPr>
        <w:t>ke tumore kože, od približno 8,8</w:t>
      </w:r>
      <w:r w:rsidRPr="001B3E42">
        <w:rPr>
          <w:rFonts w:ascii="Times New Roman" w:hAnsi="Times New Roman" w:cs="Times New Roman"/>
          <w:color w:val="auto"/>
          <w:sz w:val="22"/>
          <w:szCs w:val="22"/>
          <w:lang w:val="sr-Latn-ME"/>
        </w:rPr>
        <w:t xml:space="preserve"> na 1000 </w:t>
      </w:r>
      <w:r w:rsidR="001D3E32" w:rsidRPr="001B3E42">
        <w:rPr>
          <w:rFonts w:ascii="Times New Roman" w:hAnsi="Times New Roman" w:cs="Times New Roman"/>
          <w:color w:val="auto"/>
          <w:sz w:val="22"/>
          <w:szCs w:val="22"/>
          <w:lang w:val="sr-Latn-ME"/>
        </w:rPr>
        <w:t xml:space="preserve">pacijent </w:t>
      </w:r>
      <w:r w:rsidRPr="001B3E42">
        <w:rPr>
          <w:rFonts w:ascii="Times New Roman" w:hAnsi="Times New Roman" w:cs="Times New Roman"/>
          <w:color w:val="auto"/>
          <w:sz w:val="22"/>
          <w:szCs w:val="22"/>
          <w:lang w:val="sr-Latn-ME"/>
        </w:rPr>
        <w:t>godina terapije. Učestalost nemelanomskih tu</w:t>
      </w:r>
      <w:r w:rsidR="00B03F03" w:rsidRPr="001B3E42">
        <w:rPr>
          <w:rFonts w:ascii="Times New Roman" w:hAnsi="Times New Roman" w:cs="Times New Roman"/>
          <w:color w:val="auto"/>
          <w:sz w:val="22"/>
          <w:szCs w:val="22"/>
          <w:lang w:val="sr-Latn-ME"/>
        </w:rPr>
        <w:t>mora kože bila je približno 10,3</w:t>
      </w:r>
      <w:r w:rsidRPr="001B3E42">
        <w:rPr>
          <w:rFonts w:ascii="Times New Roman" w:hAnsi="Times New Roman" w:cs="Times New Roman"/>
          <w:color w:val="auto"/>
          <w:sz w:val="22"/>
          <w:szCs w:val="22"/>
          <w:lang w:val="sr-Latn-ME"/>
        </w:rPr>
        <w:t xml:space="preserve"> na 100</w:t>
      </w:r>
      <w:r w:rsidR="00B03F03" w:rsidRPr="001B3E42">
        <w:rPr>
          <w:rFonts w:ascii="Times New Roman" w:hAnsi="Times New Roman" w:cs="Times New Roman"/>
          <w:color w:val="auto"/>
          <w:sz w:val="22"/>
          <w:szCs w:val="22"/>
          <w:lang w:val="sr-Latn-ME"/>
        </w:rPr>
        <w:t>0</w:t>
      </w:r>
      <w:r w:rsidR="001D3E32" w:rsidRPr="001B3E42">
        <w:rPr>
          <w:rFonts w:ascii="Times New Roman" w:hAnsi="Times New Roman" w:cs="Times New Roman"/>
          <w:color w:val="auto"/>
          <w:sz w:val="22"/>
          <w:szCs w:val="22"/>
          <w:lang w:val="sr-Latn-ME"/>
        </w:rPr>
        <w:t xml:space="preserve"> pacijent </w:t>
      </w:r>
      <w:r w:rsidR="00B03F03" w:rsidRPr="001B3E42">
        <w:rPr>
          <w:rFonts w:ascii="Times New Roman" w:hAnsi="Times New Roman" w:cs="Times New Roman"/>
          <w:color w:val="auto"/>
          <w:sz w:val="22"/>
          <w:szCs w:val="22"/>
          <w:lang w:val="sr-Latn-ME"/>
        </w:rPr>
        <w:t xml:space="preserve"> godina terapije, a limfoma 1,4</w:t>
      </w:r>
      <w:r w:rsidRPr="001B3E42">
        <w:rPr>
          <w:rFonts w:ascii="Times New Roman" w:hAnsi="Times New Roman" w:cs="Times New Roman"/>
          <w:color w:val="auto"/>
          <w:sz w:val="22"/>
          <w:szCs w:val="22"/>
          <w:lang w:val="sr-Latn-ME"/>
        </w:rPr>
        <w:t xml:space="preserve"> na 1000</w:t>
      </w:r>
      <w:r w:rsidR="001D3E32" w:rsidRPr="001B3E42">
        <w:rPr>
          <w:rFonts w:ascii="Times New Roman" w:hAnsi="Times New Roman" w:cs="Times New Roman"/>
          <w:color w:val="auto"/>
          <w:sz w:val="22"/>
          <w:szCs w:val="22"/>
          <w:lang w:val="sr-Latn-ME"/>
        </w:rPr>
        <w:t xml:space="preserve"> pacijent</w:t>
      </w:r>
      <w:r w:rsidRPr="001B3E42">
        <w:rPr>
          <w:rFonts w:ascii="Times New Roman" w:hAnsi="Times New Roman" w:cs="Times New Roman"/>
          <w:color w:val="auto"/>
          <w:sz w:val="22"/>
          <w:szCs w:val="22"/>
          <w:lang w:val="sr-Latn-ME"/>
        </w:rPr>
        <w:t xml:space="preserve"> godina terapije.</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Iskustva nakon stavljanja lijeka u promet od januara 2003. godine do decembra 2010. godine, pretežno za liječenje reumatoidnog artritisa, uk</w:t>
      </w:r>
      <w:r w:rsidR="007B5B3A" w:rsidRPr="001B3E42">
        <w:rPr>
          <w:rFonts w:ascii="Times New Roman" w:hAnsi="Times New Roman" w:cs="Times New Roman"/>
          <w:color w:val="auto"/>
          <w:sz w:val="22"/>
          <w:szCs w:val="22"/>
          <w:lang w:val="sr-Latn-ME"/>
        </w:rPr>
        <w:t>azala su na učestalost malignih</w:t>
      </w:r>
      <w:r w:rsidRPr="001B3E42">
        <w:rPr>
          <w:rFonts w:ascii="Times New Roman" w:hAnsi="Times New Roman" w:cs="Times New Roman"/>
          <w:color w:val="auto"/>
          <w:sz w:val="22"/>
          <w:szCs w:val="22"/>
          <w:lang w:val="sr-Latn-ME"/>
        </w:rPr>
        <w:t xml:space="preserve"> bolesti od približno 2,7 na 1000 godina terapije. Stopa pojavnosti nemelanomskih tumora kože i limfoma bila je 0,2, odnosno 0,3 na 1</w:t>
      </w:r>
      <w:r w:rsidR="00064DF0" w:rsidRPr="001B3E42">
        <w:rPr>
          <w:rFonts w:ascii="Times New Roman" w:hAnsi="Times New Roman" w:cs="Times New Roman"/>
          <w:color w:val="auto"/>
          <w:sz w:val="22"/>
          <w:szCs w:val="22"/>
          <w:lang w:val="sr-Latn-ME"/>
        </w:rPr>
        <w:t xml:space="preserve">000 godina terapije (vidjeti </w:t>
      </w:r>
      <w:r w:rsidR="002D5061" w:rsidRPr="001B3E42">
        <w:rPr>
          <w:rFonts w:ascii="Times New Roman" w:hAnsi="Times New Roman" w:cs="Times New Roman"/>
          <w:color w:val="auto"/>
          <w:sz w:val="22"/>
          <w:szCs w:val="22"/>
          <w:lang w:val="sr-Latn-ME"/>
        </w:rPr>
        <w:t>odjeljak</w:t>
      </w:r>
      <w:r w:rsidRPr="001B3E42">
        <w:rPr>
          <w:rFonts w:ascii="Times New Roman" w:hAnsi="Times New Roman" w:cs="Times New Roman"/>
          <w:color w:val="auto"/>
          <w:sz w:val="22"/>
          <w:szCs w:val="22"/>
          <w:lang w:val="sr-Latn-ME"/>
        </w:rPr>
        <w:t xml:space="preserve"> 4.4).</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Zabilježeni su i rijetki slučajevi hepatospleničnog T-ćelijskog limfoma u postmarketinškom praćenju p</w:t>
      </w:r>
      <w:r w:rsidR="00064DF0" w:rsidRPr="001B3E42">
        <w:rPr>
          <w:rFonts w:ascii="Times New Roman" w:hAnsi="Times New Roman" w:cs="Times New Roman"/>
          <w:color w:val="auto"/>
          <w:sz w:val="22"/>
          <w:szCs w:val="22"/>
          <w:lang w:val="sr-Latn-ME"/>
        </w:rPr>
        <w:t xml:space="preserve">rimjene adalimumaba (vidjeti </w:t>
      </w:r>
      <w:r w:rsidR="002D5061" w:rsidRPr="001B3E42">
        <w:rPr>
          <w:rFonts w:ascii="Times New Roman" w:hAnsi="Times New Roman" w:cs="Times New Roman"/>
          <w:color w:val="auto"/>
          <w:sz w:val="22"/>
          <w:szCs w:val="22"/>
          <w:lang w:val="sr-Latn-ME"/>
        </w:rPr>
        <w:t>odjeljak</w:t>
      </w:r>
      <w:r w:rsidRPr="001B3E42">
        <w:rPr>
          <w:rFonts w:ascii="Times New Roman" w:hAnsi="Times New Roman" w:cs="Times New Roman"/>
          <w:color w:val="auto"/>
          <w:sz w:val="22"/>
          <w:szCs w:val="22"/>
          <w:lang w:val="sr-Latn-ME"/>
        </w:rPr>
        <w:t xml:space="preserve"> 4.4).</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Autoantitijela</w:t>
      </w:r>
    </w:p>
    <w:p w:rsidR="005E2894" w:rsidRPr="001B3E42" w:rsidRDefault="005E2894" w:rsidP="005E289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ispitivanjima (I – V) reumatoidnog a</w:t>
      </w:r>
      <w:r w:rsidR="00064DF0" w:rsidRPr="001B3E42">
        <w:rPr>
          <w:rFonts w:ascii="Times New Roman" w:hAnsi="Times New Roman" w:cs="Times New Roman"/>
          <w:color w:val="auto"/>
          <w:sz w:val="22"/>
          <w:szCs w:val="22"/>
          <w:lang w:val="sr-Latn-ME"/>
        </w:rPr>
        <w:t>rtritisa uzorci seruma pacijenata</w:t>
      </w:r>
      <w:r w:rsidRPr="001B3E42">
        <w:rPr>
          <w:rFonts w:ascii="Times New Roman" w:hAnsi="Times New Roman" w:cs="Times New Roman"/>
          <w:color w:val="auto"/>
          <w:sz w:val="22"/>
          <w:szCs w:val="22"/>
          <w:lang w:val="sr-Latn-ME"/>
        </w:rPr>
        <w:t xml:space="preserve"> višekratno su testirani na prisutnost autoantitijela. U tim </w:t>
      </w:r>
      <w:r w:rsidRPr="001B3E42">
        <w:rPr>
          <w:rFonts w:ascii="Times New Roman" w:hAnsi="Times New Roman" w:cs="Times New Roman"/>
          <w:iCs/>
          <w:color w:val="auto"/>
          <w:sz w:val="22"/>
          <w:szCs w:val="22"/>
          <w:lang w:val="sr-Latn-ME"/>
        </w:rPr>
        <w:t>ispitivanjima</w:t>
      </w:r>
      <w:r w:rsidRPr="001B3E42">
        <w:rPr>
          <w:rFonts w:ascii="Times New Roman" w:hAnsi="Times New Roman" w:cs="Times New Roman"/>
          <w:i/>
          <w:iCs/>
          <w:color w:val="auto"/>
          <w:sz w:val="22"/>
          <w:szCs w:val="22"/>
          <w:lang w:val="sr-Latn-ME"/>
        </w:rPr>
        <w:t xml:space="preserve"> </w:t>
      </w:r>
      <w:r w:rsidR="00064DF0" w:rsidRPr="001B3E42">
        <w:rPr>
          <w:rFonts w:ascii="Times New Roman" w:hAnsi="Times New Roman" w:cs="Times New Roman"/>
          <w:color w:val="auto"/>
          <w:sz w:val="22"/>
          <w:szCs w:val="22"/>
          <w:lang w:val="sr-Latn-ME"/>
        </w:rPr>
        <w:t>kod 11,9% pacijenata</w:t>
      </w:r>
      <w:r w:rsidRPr="001B3E42">
        <w:rPr>
          <w:rFonts w:ascii="Times New Roman" w:hAnsi="Times New Roman" w:cs="Times New Roman"/>
          <w:color w:val="auto"/>
          <w:sz w:val="22"/>
          <w:szCs w:val="22"/>
          <w:lang w:val="sr-Latn-ME"/>
        </w:rPr>
        <w:t xml:space="preserve"> li</w:t>
      </w:r>
      <w:r w:rsidR="00064DF0" w:rsidRPr="001B3E42">
        <w:rPr>
          <w:rFonts w:ascii="Times New Roman" w:hAnsi="Times New Roman" w:cs="Times New Roman"/>
          <w:color w:val="auto"/>
          <w:sz w:val="22"/>
          <w:szCs w:val="22"/>
          <w:lang w:val="sr-Latn-ME"/>
        </w:rPr>
        <w:t xml:space="preserve">ječenih </w:t>
      </w:r>
      <w:r w:rsidR="001D3E32" w:rsidRPr="001B3E42">
        <w:rPr>
          <w:rFonts w:ascii="Times New Roman" w:hAnsi="Times New Roman" w:cs="Times New Roman"/>
          <w:color w:val="auto"/>
          <w:sz w:val="22"/>
          <w:szCs w:val="22"/>
          <w:lang w:val="sr-Latn-ME"/>
        </w:rPr>
        <w:t xml:space="preserve">lijekom </w:t>
      </w:r>
      <w:r w:rsidR="00064DF0"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00064DF0" w:rsidRPr="001B3E42">
        <w:rPr>
          <w:rFonts w:ascii="Times New Roman" w:hAnsi="Times New Roman" w:cs="Times New Roman"/>
          <w:color w:val="auto"/>
          <w:sz w:val="22"/>
          <w:szCs w:val="22"/>
          <w:lang w:val="sr-Latn-ME"/>
        </w:rPr>
        <w:t xml:space="preserve"> i 8,1% pacijenata</w:t>
      </w:r>
      <w:r w:rsidRPr="001B3E42">
        <w:rPr>
          <w:rFonts w:ascii="Times New Roman" w:hAnsi="Times New Roman" w:cs="Times New Roman"/>
          <w:color w:val="auto"/>
          <w:sz w:val="22"/>
          <w:szCs w:val="22"/>
          <w:lang w:val="sr-Latn-ME"/>
        </w:rPr>
        <w:t xml:space="preserve"> liječenih placebom i aktivnim poredbenim lijekom koji su prije početka liječenja imali negativan titar antinuklearnih antitijela nađen je pozitivan t</w:t>
      </w:r>
      <w:r w:rsidR="00064DF0" w:rsidRPr="001B3E42">
        <w:rPr>
          <w:rFonts w:ascii="Times New Roman" w:hAnsi="Times New Roman" w:cs="Times New Roman"/>
          <w:color w:val="auto"/>
          <w:sz w:val="22"/>
          <w:szCs w:val="22"/>
          <w:lang w:val="sr-Latn-ME"/>
        </w:rPr>
        <w:t xml:space="preserve">itar nakon 24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primjene lijeka. Klinički simptomi koji upućuju na razvoj sindroma sličnog lupusu zabilježeni su k</w:t>
      </w:r>
      <w:r w:rsidR="00064DF0" w:rsidRPr="001B3E42">
        <w:rPr>
          <w:rFonts w:ascii="Times New Roman" w:hAnsi="Times New Roman" w:cs="Times New Roman"/>
          <w:color w:val="auto"/>
          <w:sz w:val="22"/>
          <w:szCs w:val="22"/>
          <w:lang w:val="sr-Latn-ME"/>
        </w:rPr>
        <w:t>od dva od ukupno 3.441 pacijenata</w:t>
      </w:r>
      <w:r w:rsidRPr="001B3E42">
        <w:rPr>
          <w:rFonts w:ascii="Times New Roman" w:hAnsi="Times New Roman" w:cs="Times New Roman"/>
          <w:color w:val="auto"/>
          <w:sz w:val="22"/>
          <w:szCs w:val="22"/>
          <w:lang w:val="sr-Latn-ME"/>
        </w:rPr>
        <w:t xml:space="preserve"> liječenih </w:t>
      </w:r>
      <w:r w:rsidR="001D3E32"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iz svih ispitivanja reumatoidnog i psorijatičn</w:t>
      </w:r>
      <w:r w:rsidR="00064DF0" w:rsidRPr="001B3E42">
        <w:rPr>
          <w:rFonts w:ascii="Times New Roman" w:hAnsi="Times New Roman" w:cs="Times New Roman"/>
          <w:color w:val="auto"/>
          <w:sz w:val="22"/>
          <w:szCs w:val="22"/>
          <w:lang w:val="sr-Latn-ME"/>
        </w:rPr>
        <w:t>og artritisa. Ti pacijenti s se</w:t>
      </w:r>
      <w:r w:rsidRPr="001B3E42">
        <w:rPr>
          <w:rFonts w:ascii="Times New Roman" w:hAnsi="Times New Roman" w:cs="Times New Roman"/>
          <w:color w:val="auto"/>
          <w:sz w:val="22"/>
          <w:szCs w:val="22"/>
          <w:lang w:val="sr-Latn-ME"/>
        </w:rPr>
        <w:t xml:space="preserve"> oporavili nakon prekida li</w:t>
      </w:r>
      <w:r w:rsidR="00064DF0" w:rsidRPr="001B3E42">
        <w:rPr>
          <w:rFonts w:ascii="Times New Roman" w:hAnsi="Times New Roman" w:cs="Times New Roman"/>
          <w:color w:val="auto"/>
          <w:sz w:val="22"/>
          <w:szCs w:val="22"/>
          <w:lang w:val="sr-Latn-ME"/>
        </w:rPr>
        <w:t>ječenja. Ni kod jednog pacijenta</w:t>
      </w:r>
      <w:r w:rsidRPr="001B3E42">
        <w:rPr>
          <w:rFonts w:ascii="Times New Roman" w:hAnsi="Times New Roman" w:cs="Times New Roman"/>
          <w:color w:val="auto"/>
          <w:sz w:val="22"/>
          <w:szCs w:val="22"/>
          <w:lang w:val="sr-Latn-ME"/>
        </w:rPr>
        <w:t xml:space="preserve"> nije se razvio lupusni nefritis niti su se pojavili simptomi u centralnom nervnom sistemu.</w:t>
      </w:r>
    </w:p>
    <w:p w:rsidR="005E2894" w:rsidRDefault="005E2894" w:rsidP="005E2894">
      <w:pPr>
        <w:pStyle w:val="Default"/>
        <w:jc w:val="both"/>
        <w:rPr>
          <w:rFonts w:ascii="Times New Roman" w:hAnsi="Times New Roman" w:cs="Times New Roman"/>
          <w:color w:val="auto"/>
          <w:sz w:val="22"/>
          <w:szCs w:val="22"/>
          <w:lang w:val="sr-Latn-ME"/>
        </w:rPr>
      </w:pPr>
    </w:p>
    <w:p w:rsidR="005760A7" w:rsidRPr="001B3E42" w:rsidRDefault="005760A7"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lastRenderedPageBreak/>
        <w:t>Hepatobilijarni događaji</w:t>
      </w:r>
    </w:p>
    <w:p w:rsidR="005E2894" w:rsidRPr="001B3E42" w:rsidRDefault="005E2894" w:rsidP="005E2894">
      <w:pPr>
        <w:pStyle w:val="Default"/>
        <w:jc w:val="both"/>
        <w:rPr>
          <w:rFonts w:ascii="Times New Roman" w:hAnsi="Times New Roman" w:cs="Times New Roman"/>
          <w:iCs/>
          <w:color w:val="auto"/>
          <w:sz w:val="22"/>
          <w:szCs w:val="22"/>
          <w:lang w:val="sr-Latn-ME"/>
        </w:rPr>
      </w:pPr>
      <w:r w:rsidRPr="001B3E42">
        <w:rPr>
          <w:rFonts w:ascii="Times New Roman" w:hAnsi="Times New Roman" w:cs="Times New Roman"/>
          <w:iCs/>
          <w:color w:val="auto"/>
          <w:sz w:val="22"/>
          <w:szCs w:val="22"/>
          <w:lang w:val="sr-Latn-ME"/>
        </w:rPr>
        <w:t>U kontrolisanoj fazi 3 isp</w:t>
      </w:r>
      <w:r w:rsidR="00064DF0" w:rsidRPr="001B3E42">
        <w:rPr>
          <w:rFonts w:ascii="Times New Roman" w:hAnsi="Times New Roman" w:cs="Times New Roman"/>
          <w:iCs/>
          <w:color w:val="auto"/>
          <w:sz w:val="22"/>
          <w:szCs w:val="22"/>
          <w:lang w:val="sr-Latn-ME"/>
        </w:rPr>
        <w:t>it</w:t>
      </w:r>
      <w:r w:rsidR="00635624" w:rsidRPr="001B3E42">
        <w:rPr>
          <w:rFonts w:ascii="Times New Roman" w:hAnsi="Times New Roman" w:cs="Times New Roman"/>
          <w:iCs/>
          <w:color w:val="auto"/>
          <w:sz w:val="22"/>
          <w:szCs w:val="22"/>
          <w:lang w:val="sr-Latn-ME"/>
        </w:rPr>
        <w:t xml:space="preserve">ivanja sa </w:t>
      </w:r>
      <w:r w:rsidR="001D3E32" w:rsidRPr="001B3E42">
        <w:rPr>
          <w:rFonts w:ascii="Times New Roman" w:hAnsi="Times New Roman" w:cs="Times New Roman"/>
          <w:iCs/>
          <w:color w:val="auto"/>
          <w:sz w:val="22"/>
          <w:szCs w:val="22"/>
          <w:lang w:val="sr-Latn-ME"/>
        </w:rPr>
        <w:t xml:space="preserve">lijekom </w:t>
      </w:r>
      <w:r w:rsidR="00635624" w:rsidRPr="001B3E42">
        <w:rPr>
          <w:rFonts w:ascii="Times New Roman" w:hAnsi="Times New Roman" w:cs="Times New Roman"/>
          <w:iCs/>
          <w:color w:val="auto"/>
          <w:sz w:val="22"/>
          <w:szCs w:val="22"/>
          <w:lang w:val="sr-Latn-ME"/>
        </w:rPr>
        <w:t>Humir</w:t>
      </w:r>
      <w:r w:rsidR="001D3E32" w:rsidRPr="001B3E42">
        <w:rPr>
          <w:rFonts w:ascii="Times New Roman" w:hAnsi="Times New Roman" w:cs="Times New Roman"/>
          <w:iCs/>
          <w:color w:val="auto"/>
          <w:sz w:val="22"/>
          <w:szCs w:val="22"/>
          <w:lang w:val="sr-Latn-ME"/>
        </w:rPr>
        <w:t>a</w:t>
      </w:r>
      <w:r w:rsidR="00635624" w:rsidRPr="001B3E42">
        <w:rPr>
          <w:rFonts w:ascii="Times New Roman" w:hAnsi="Times New Roman" w:cs="Times New Roman"/>
          <w:iCs/>
          <w:color w:val="auto"/>
          <w:sz w:val="22"/>
          <w:szCs w:val="22"/>
          <w:lang w:val="sr-Latn-ME"/>
        </w:rPr>
        <w:t>, kod pacijenata</w:t>
      </w:r>
      <w:r w:rsidRPr="001B3E42">
        <w:rPr>
          <w:rFonts w:ascii="Times New Roman" w:hAnsi="Times New Roman" w:cs="Times New Roman"/>
          <w:iCs/>
          <w:color w:val="auto"/>
          <w:sz w:val="22"/>
          <w:szCs w:val="22"/>
          <w:lang w:val="sr-Latn-ME"/>
        </w:rPr>
        <w:t xml:space="preserve"> sa reumatoidnim artritisom i</w:t>
      </w:r>
      <w:r w:rsidRPr="001B3E42">
        <w:rPr>
          <w:sz w:val="22"/>
          <w:szCs w:val="22"/>
          <w:lang w:val="sr-Latn-ME"/>
        </w:rPr>
        <w:t xml:space="preserve"> </w:t>
      </w:r>
      <w:r w:rsidRPr="001B3E42">
        <w:rPr>
          <w:rFonts w:ascii="Times New Roman" w:hAnsi="Times New Roman" w:cs="Times New Roman"/>
          <w:iCs/>
          <w:color w:val="auto"/>
          <w:sz w:val="22"/>
          <w:szCs w:val="22"/>
          <w:lang w:val="sr-Latn-ME"/>
        </w:rPr>
        <w:t>psorijatičnim artritisom  sa kontrolnim perio</w:t>
      </w:r>
      <w:r w:rsidR="00064DF0" w:rsidRPr="001B3E42">
        <w:rPr>
          <w:rFonts w:ascii="Times New Roman" w:hAnsi="Times New Roman" w:cs="Times New Roman"/>
          <w:iCs/>
          <w:color w:val="auto"/>
          <w:sz w:val="22"/>
          <w:szCs w:val="22"/>
          <w:lang w:val="sr-Latn-ME"/>
        </w:rPr>
        <w:t xml:space="preserve">dom trajanja od 4 do 104 </w:t>
      </w:r>
      <w:r w:rsidR="009065F5" w:rsidRPr="001B3E42">
        <w:rPr>
          <w:rFonts w:ascii="Times New Roman" w:hAnsi="Times New Roman" w:cs="Times New Roman"/>
          <w:iCs/>
          <w:color w:val="auto"/>
          <w:sz w:val="22"/>
          <w:szCs w:val="22"/>
          <w:lang w:val="sr-Latn-ME"/>
        </w:rPr>
        <w:t>nedjelje</w:t>
      </w:r>
      <w:r w:rsidRPr="001B3E42">
        <w:rPr>
          <w:rFonts w:ascii="Times New Roman" w:hAnsi="Times New Roman" w:cs="Times New Roman"/>
          <w:iCs/>
          <w:color w:val="auto"/>
          <w:sz w:val="22"/>
          <w:szCs w:val="22"/>
          <w:lang w:val="sr-Latn-ME"/>
        </w:rPr>
        <w:t xml:space="preserve">, ALT elevacije ≥3 x ULN su </w:t>
      </w:r>
      <w:r w:rsidR="00064DF0" w:rsidRPr="001B3E42">
        <w:rPr>
          <w:rFonts w:ascii="Times New Roman" w:hAnsi="Times New Roman" w:cs="Times New Roman"/>
          <w:iCs/>
          <w:color w:val="auto"/>
          <w:sz w:val="22"/>
          <w:szCs w:val="22"/>
          <w:lang w:val="sr-Latn-ME"/>
        </w:rPr>
        <w:t>se pojavile kod  3,7 % pacijenata</w:t>
      </w:r>
      <w:r w:rsidRPr="001B3E42">
        <w:rPr>
          <w:rFonts w:ascii="Times New Roman" w:hAnsi="Times New Roman" w:cs="Times New Roman"/>
          <w:iCs/>
          <w:color w:val="auto"/>
          <w:sz w:val="22"/>
          <w:szCs w:val="22"/>
          <w:lang w:val="sr-Latn-ME"/>
        </w:rPr>
        <w:t xml:space="preserve"> l</w:t>
      </w:r>
      <w:r w:rsidR="00064DF0" w:rsidRPr="001B3E42">
        <w:rPr>
          <w:rFonts w:ascii="Times New Roman" w:hAnsi="Times New Roman" w:cs="Times New Roman"/>
          <w:iCs/>
          <w:color w:val="auto"/>
          <w:sz w:val="22"/>
          <w:szCs w:val="22"/>
          <w:lang w:val="sr-Latn-ME"/>
        </w:rPr>
        <w:t xml:space="preserve">iječenih </w:t>
      </w:r>
      <w:r w:rsidR="001D3E32" w:rsidRPr="001B3E42">
        <w:rPr>
          <w:rFonts w:ascii="Times New Roman" w:hAnsi="Times New Roman" w:cs="Times New Roman"/>
          <w:iCs/>
          <w:color w:val="auto"/>
          <w:sz w:val="22"/>
          <w:szCs w:val="22"/>
          <w:lang w:val="sr-Latn-ME"/>
        </w:rPr>
        <w:t xml:space="preserve">lijekom </w:t>
      </w:r>
      <w:r w:rsidR="00064DF0" w:rsidRPr="001B3E42">
        <w:rPr>
          <w:rFonts w:ascii="Times New Roman" w:hAnsi="Times New Roman" w:cs="Times New Roman"/>
          <w:iCs/>
          <w:color w:val="auto"/>
          <w:sz w:val="22"/>
          <w:szCs w:val="22"/>
          <w:lang w:val="sr-Latn-ME"/>
        </w:rPr>
        <w:t>Humir</w:t>
      </w:r>
      <w:r w:rsidR="001D3E32" w:rsidRPr="001B3E42">
        <w:rPr>
          <w:rFonts w:ascii="Times New Roman" w:hAnsi="Times New Roman" w:cs="Times New Roman"/>
          <w:iCs/>
          <w:color w:val="auto"/>
          <w:sz w:val="22"/>
          <w:szCs w:val="22"/>
          <w:lang w:val="sr-Latn-ME"/>
        </w:rPr>
        <w:t>a</w:t>
      </w:r>
      <w:r w:rsidR="00064DF0" w:rsidRPr="001B3E42">
        <w:rPr>
          <w:rFonts w:ascii="Times New Roman" w:hAnsi="Times New Roman" w:cs="Times New Roman"/>
          <w:iCs/>
          <w:color w:val="auto"/>
          <w:sz w:val="22"/>
          <w:szCs w:val="22"/>
          <w:lang w:val="sr-Latn-ME"/>
        </w:rPr>
        <w:t xml:space="preserve"> i 1,6% pacijenat</w:t>
      </w:r>
      <w:r w:rsidRPr="001B3E42">
        <w:rPr>
          <w:rFonts w:ascii="Times New Roman" w:hAnsi="Times New Roman" w:cs="Times New Roman"/>
          <w:iCs/>
          <w:color w:val="auto"/>
          <w:sz w:val="22"/>
          <w:szCs w:val="22"/>
          <w:lang w:val="sr-Latn-ME"/>
        </w:rPr>
        <w:t>a koji su uzimali placebo.</w:t>
      </w:r>
    </w:p>
    <w:p w:rsidR="005E2894" w:rsidRPr="001B3E42" w:rsidRDefault="005E2894" w:rsidP="005E2894">
      <w:pPr>
        <w:pStyle w:val="Default"/>
        <w:jc w:val="both"/>
        <w:rPr>
          <w:rFonts w:ascii="Times New Roman" w:hAnsi="Times New Roman" w:cs="Times New Roman"/>
          <w:iCs/>
          <w:color w:val="auto"/>
          <w:sz w:val="22"/>
          <w:szCs w:val="22"/>
          <w:lang w:val="sr-Latn-ME"/>
        </w:rPr>
      </w:pPr>
    </w:p>
    <w:p w:rsidR="005E2894" w:rsidRPr="001B3E42" w:rsidRDefault="005E2894" w:rsidP="00064DF0">
      <w:pPr>
        <w:pStyle w:val="Default"/>
        <w:jc w:val="both"/>
        <w:rPr>
          <w:rFonts w:ascii="Times New Roman" w:hAnsi="Times New Roman" w:cs="Times New Roman"/>
          <w:iCs/>
          <w:color w:val="auto"/>
          <w:sz w:val="22"/>
          <w:szCs w:val="22"/>
          <w:lang w:val="sr-Latn-ME"/>
        </w:rPr>
      </w:pPr>
      <w:r w:rsidRPr="001B3E42">
        <w:rPr>
          <w:rFonts w:ascii="Times New Roman" w:hAnsi="Times New Roman" w:cs="Times New Roman"/>
          <w:iCs/>
          <w:color w:val="auto"/>
          <w:sz w:val="22"/>
          <w:szCs w:val="22"/>
          <w:lang w:val="sr-Latn-ME"/>
        </w:rPr>
        <w:t xml:space="preserve">U kontrolisanoj fazi 3 </w:t>
      </w:r>
      <w:r w:rsidR="00064DF0" w:rsidRPr="001B3E42">
        <w:rPr>
          <w:rFonts w:ascii="Times New Roman" w:hAnsi="Times New Roman" w:cs="Times New Roman"/>
          <w:iCs/>
          <w:color w:val="auto"/>
          <w:sz w:val="22"/>
          <w:szCs w:val="22"/>
          <w:lang w:val="sr-Latn-ME"/>
        </w:rPr>
        <w:t xml:space="preserve">ispitivanja sa </w:t>
      </w:r>
      <w:r w:rsidR="001D3E32" w:rsidRPr="001B3E42">
        <w:rPr>
          <w:rFonts w:ascii="Times New Roman" w:hAnsi="Times New Roman" w:cs="Times New Roman"/>
          <w:iCs/>
          <w:color w:val="auto"/>
          <w:sz w:val="22"/>
          <w:szCs w:val="22"/>
          <w:lang w:val="sr-Latn-ME"/>
        </w:rPr>
        <w:t xml:space="preserve">lijekom </w:t>
      </w:r>
      <w:r w:rsidR="00064DF0" w:rsidRPr="001B3E42">
        <w:rPr>
          <w:rFonts w:ascii="Times New Roman" w:hAnsi="Times New Roman" w:cs="Times New Roman"/>
          <w:iCs/>
          <w:color w:val="auto"/>
          <w:sz w:val="22"/>
          <w:szCs w:val="22"/>
          <w:lang w:val="sr-Latn-ME"/>
        </w:rPr>
        <w:t>Humir</w:t>
      </w:r>
      <w:r w:rsidR="001D3E32" w:rsidRPr="001B3E42">
        <w:rPr>
          <w:rFonts w:ascii="Times New Roman" w:hAnsi="Times New Roman" w:cs="Times New Roman"/>
          <w:iCs/>
          <w:color w:val="auto"/>
          <w:sz w:val="22"/>
          <w:szCs w:val="22"/>
          <w:lang w:val="sr-Latn-ME"/>
        </w:rPr>
        <w:t>a</w:t>
      </w:r>
      <w:r w:rsidR="00064DF0" w:rsidRPr="001B3E42">
        <w:rPr>
          <w:rFonts w:ascii="Times New Roman" w:hAnsi="Times New Roman" w:cs="Times New Roman"/>
          <w:iCs/>
          <w:color w:val="auto"/>
          <w:sz w:val="22"/>
          <w:szCs w:val="22"/>
          <w:lang w:val="sr-Latn-ME"/>
        </w:rPr>
        <w:t>, kod pacijenat</w:t>
      </w:r>
      <w:r w:rsidRPr="001B3E42">
        <w:rPr>
          <w:rFonts w:ascii="Times New Roman" w:hAnsi="Times New Roman" w:cs="Times New Roman"/>
          <w:iCs/>
          <w:color w:val="auto"/>
          <w:sz w:val="22"/>
          <w:szCs w:val="22"/>
          <w:lang w:val="sr-Latn-ME"/>
        </w:rPr>
        <w:t>a sa plak psorijazom  sa kontrolnim perio</w:t>
      </w:r>
      <w:r w:rsidR="00064DF0" w:rsidRPr="001B3E42">
        <w:rPr>
          <w:rFonts w:ascii="Times New Roman" w:hAnsi="Times New Roman" w:cs="Times New Roman"/>
          <w:iCs/>
          <w:color w:val="auto"/>
          <w:sz w:val="22"/>
          <w:szCs w:val="22"/>
          <w:lang w:val="sr-Latn-ME"/>
        </w:rPr>
        <w:t xml:space="preserve">dom trajanja od 12 do 24 </w:t>
      </w:r>
      <w:r w:rsidR="009065F5" w:rsidRPr="001B3E42">
        <w:rPr>
          <w:rFonts w:ascii="Times New Roman" w:hAnsi="Times New Roman" w:cs="Times New Roman"/>
          <w:iCs/>
          <w:color w:val="auto"/>
          <w:sz w:val="22"/>
          <w:szCs w:val="22"/>
          <w:lang w:val="sr-Latn-ME"/>
        </w:rPr>
        <w:t>nedjelje</w:t>
      </w:r>
      <w:r w:rsidRPr="001B3E42">
        <w:rPr>
          <w:rFonts w:ascii="Times New Roman" w:hAnsi="Times New Roman" w:cs="Times New Roman"/>
          <w:iCs/>
          <w:color w:val="auto"/>
          <w:sz w:val="22"/>
          <w:szCs w:val="22"/>
          <w:lang w:val="sr-Latn-ME"/>
        </w:rPr>
        <w:t>, ALT elevacije ≥3 x ULN su s</w:t>
      </w:r>
      <w:r w:rsidR="00064DF0" w:rsidRPr="001B3E42">
        <w:rPr>
          <w:rFonts w:ascii="Times New Roman" w:hAnsi="Times New Roman" w:cs="Times New Roman"/>
          <w:iCs/>
          <w:color w:val="auto"/>
          <w:sz w:val="22"/>
          <w:szCs w:val="22"/>
          <w:lang w:val="sr-Latn-ME"/>
        </w:rPr>
        <w:t xml:space="preserve">e pojavile kod  1,8 % pacijenata </w:t>
      </w:r>
      <w:r w:rsidRPr="001B3E42">
        <w:rPr>
          <w:rFonts w:ascii="Times New Roman" w:hAnsi="Times New Roman" w:cs="Times New Roman"/>
          <w:iCs/>
          <w:color w:val="auto"/>
          <w:sz w:val="22"/>
          <w:szCs w:val="22"/>
          <w:lang w:val="sr-Latn-ME"/>
        </w:rPr>
        <w:t xml:space="preserve">liječenih </w:t>
      </w:r>
      <w:r w:rsidR="001D3E32" w:rsidRPr="001B3E42">
        <w:rPr>
          <w:rFonts w:ascii="Times New Roman" w:hAnsi="Times New Roman" w:cs="Times New Roman"/>
          <w:iCs/>
          <w:color w:val="auto"/>
          <w:sz w:val="22"/>
          <w:szCs w:val="22"/>
          <w:lang w:val="sr-Latn-ME"/>
        </w:rPr>
        <w:t xml:space="preserve">lijekom </w:t>
      </w:r>
      <w:r w:rsidRPr="001B3E42">
        <w:rPr>
          <w:rFonts w:ascii="Times New Roman" w:hAnsi="Times New Roman" w:cs="Times New Roman"/>
          <w:iCs/>
          <w:color w:val="auto"/>
          <w:sz w:val="22"/>
          <w:szCs w:val="22"/>
          <w:lang w:val="sr-Latn-ME"/>
        </w:rPr>
        <w:t>Humir</w:t>
      </w:r>
      <w:r w:rsidR="001D3E32" w:rsidRPr="001B3E42">
        <w:rPr>
          <w:rFonts w:ascii="Times New Roman" w:hAnsi="Times New Roman" w:cs="Times New Roman"/>
          <w:iCs/>
          <w:color w:val="auto"/>
          <w:sz w:val="22"/>
          <w:szCs w:val="22"/>
          <w:lang w:val="sr-Latn-ME"/>
        </w:rPr>
        <w:t>a</w:t>
      </w:r>
      <w:r w:rsidRPr="001B3E42">
        <w:rPr>
          <w:rFonts w:ascii="Times New Roman" w:hAnsi="Times New Roman" w:cs="Times New Roman"/>
          <w:iCs/>
          <w:color w:val="auto"/>
          <w:sz w:val="22"/>
          <w:szCs w:val="22"/>
          <w:lang w:val="sr-Latn-ME"/>
        </w:rPr>
        <w:t xml:space="preserve"> i 1,8 % </w:t>
      </w:r>
      <w:r w:rsidR="00064DF0" w:rsidRPr="001B3E42">
        <w:rPr>
          <w:rFonts w:ascii="Times New Roman" w:hAnsi="Times New Roman" w:cs="Times New Roman"/>
          <w:iCs/>
          <w:color w:val="auto"/>
          <w:sz w:val="22"/>
          <w:szCs w:val="22"/>
          <w:lang w:val="sr-Latn-ME"/>
        </w:rPr>
        <w:t>pacijenata</w:t>
      </w:r>
      <w:r w:rsidRPr="001B3E42">
        <w:rPr>
          <w:rFonts w:ascii="Times New Roman" w:hAnsi="Times New Roman" w:cs="Times New Roman"/>
          <w:iCs/>
          <w:color w:val="auto"/>
          <w:sz w:val="22"/>
          <w:szCs w:val="22"/>
          <w:lang w:val="sr-Latn-ME"/>
        </w:rPr>
        <w:t xml:space="preserve"> koji su uzimali placebo.</w:t>
      </w:r>
    </w:p>
    <w:p w:rsidR="005E2894" w:rsidRPr="001B3E42" w:rsidRDefault="005E2894" w:rsidP="005E2894">
      <w:pPr>
        <w:pStyle w:val="Default"/>
        <w:jc w:val="both"/>
        <w:rPr>
          <w:rFonts w:ascii="Times New Roman" w:hAnsi="Times New Roman" w:cs="Times New Roman"/>
          <w:iCs/>
          <w:color w:val="auto"/>
          <w:sz w:val="22"/>
          <w:szCs w:val="22"/>
          <w:lang w:val="sr-Latn-ME"/>
        </w:rPr>
      </w:pPr>
    </w:p>
    <w:p w:rsidR="005E2894" w:rsidRPr="001B3E42" w:rsidRDefault="005E2894" w:rsidP="00064DF0">
      <w:pPr>
        <w:pStyle w:val="Default"/>
        <w:jc w:val="both"/>
        <w:rPr>
          <w:rFonts w:ascii="Times New Roman" w:hAnsi="Times New Roman" w:cs="Times New Roman"/>
          <w:iCs/>
          <w:color w:val="auto"/>
          <w:sz w:val="22"/>
          <w:szCs w:val="22"/>
          <w:lang w:val="sr-Latn-ME"/>
        </w:rPr>
      </w:pPr>
      <w:r w:rsidRPr="001B3E42">
        <w:rPr>
          <w:rFonts w:ascii="Times New Roman" w:hAnsi="Times New Roman" w:cs="Times New Roman"/>
          <w:iCs/>
          <w:color w:val="auto"/>
          <w:sz w:val="22"/>
          <w:szCs w:val="22"/>
          <w:lang w:val="sr-Latn-ME"/>
        </w:rPr>
        <w:t>U studijama u kojima se ispitivao juvenilni idiopatski artritis (JIA), porast transaminaza je bio mali i slične vrijednosti su bile u grupama koje su uzimale adalimumab i</w:t>
      </w:r>
      <w:r w:rsidR="00064DF0" w:rsidRPr="001B3E42">
        <w:rPr>
          <w:rFonts w:ascii="Times New Roman" w:hAnsi="Times New Roman" w:cs="Times New Roman"/>
          <w:iCs/>
          <w:color w:val="auto"/>
          <w:sz w:val="22"/>
          <w:szCs w:val="22"/>
          <w:lang w:val="sr-Latn-ME"/>
        </w:rPr>
        <w:t xml:space="preserve"> placebo, uglavnom se javljao  kod pacijenata</w:t>
      </w:r>
      <w:r w:rsidRPr="001B3E42">
        <w:rPr>
          <w:rFonts w:ascii="Times New Roman" w:hAnsi="Times New Roman" w:cs="Times New Roman"/>
          <w:iCs/>
          <w:color w:val="auto"/>
          <w:sz w:val="22"/>
          <w:szCs w:val="22"/>
          <w:lang w:val="sr-Latn-ME"/>
        </w:rPr>
        <w:t xml:space="preserve"> koji su uzimali kombinaciju s metotreksatom.</w:t>
      </w:r>
    </w:p>
    <w:p w:rsidR="005E2894" w:rsidRPr="001B3E42" w:rsidRDefault="005E2894" w:rsidP="005E2894">
      <w:pPr>
        <w:pStyle w:val="Default"/>
        <w:jc w:val="both"/>
        <w:rPr>
          <w:rFonts w:ascii="Times New Roman" w:hAnsi="Times New Roman" w:cs="Times New Roman"/>
          <w:iCs/>
          <w:color w:val="auto"/>
          <w:sz w:val="22"/>
          <w:szCs w:val="22"/>
          <w:lang w:val="sr-Latn-ME"/>
        </w:rPr>
      </w:pPr>
    </w:p>
    <w:p w:rsidR="005E2894" w:rsidRPr="001B3E42" w:rsidRDefault="005E2894" w:rsidP="00064DF0">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U kontrolisanoj fazi 3 ispitivanja sa </w:t>
      </w:r>
      <w:r w:rsidR="001D3E32"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w:t>
      </w:r>
      <w:r w:rsidR="00064DF0" w:rsidRPr="001B3E42">
        <w:rPr>
          <w:rFonts w:ascii="Times New Roman" w:hAnsi="Times New Roman" w:cs="Times New Roman"/>
          <w:color w:val="auto"/>
          <w:sz w:val="22"/>
          <w:szCs w:val="22"/>
          <w:lang w:val="sr-Latn-ME"/>
        </w:rPr>
        <w:t xml:space="preserve">kod </w:t>
      </w:r>
      <w:r w:rsidR="00064DF0" w:rsidRPr="001B3E42">
        <w:rPr>
          <w:rFonts w:ascii="Times New Roman" w:hAnsi="Times New Roman" w:cs="Times New Roman"/>
          <w:iCs/>
          <w:color w:val="auto"/>
          <w:sz w:val="22"/>
          <w:szCs w:val="22"/>
          <w:lang w:val="sr-Latn-ME"/>
        </w:rPr>
        <w:t>pacijenata</w:t>
      </w:r>
      <w:r w:rsidRPr="001B3E42">
        <w:rPr>
          <w:rFonts w:ascii="Times New Roman" w:hAnsi="Times New Roman" w:cs="Times New Roman"/>
          <w:color w:val="auto"/>
          <w:sz w:val="22"/>
          <w:szCs w:val="22"/>
          <w:lang w:val="sr-Latn-ME"/>
        </w:rPr>
        <w:t xml:space="preserve"> sa Crohnovom bolešću i ulceroznim kolitisom  sa kontrolnim peri</w:t>
      </w:r>
      <w:r w:rsidR="00064DF0" w:rsidRPr="001B3E42">
        <w:rPr>
          <w:rFonts w:ascii="Times New Roman" w:hAnsi="Times New Roman" w:cs="Times New Roman"/>
          <w:color w:val="auto"/>
          <w:sz w:val="22"/>
          <w:szCs w:val="22"/>
          <w:lang w:val="sr-Latn-ME"/>
        </w:rPr>
        <w:t xml:space="preserve">odom trajanja od 4 do 52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ALT elevacije ≥3 x ULN su se pojavile kod  0,9 % </w:t>
      </w:r>
      <w:r w:rsidR="00064DF0" w:rsidRPr="001B3E42">
        <w:rPr>
          <w:rFonts w:ascii="Times New Roman" w:hAnsi="Times New Roman" w:cs="Times New Roman"/>
          <w:iCs/>
          <w:color w:val="auto"/>
          <w:sz w:val="22"/>
          <w:szCs w:val="22"/>
          <w:lang w:val="sr-Latn-ME"/>
        </w:rPr>
        <w:t>pacijenata</w:t>
      </w:r>
      <w:r w:rsidRPr="001B3E42">
        <w:rPr>
          <w:rFonts w:ascii="Times New Roman" w:hAnsi="Times New Roman" w:cs="Times New Roman"/>
          <w:color w:val="auto"/>
          <w:sz w:val="22"/>
          <w:szCs w:val="22"/>
          <w:lang w:val="sr-Latn-ME"/>
        </w:rPr>
        <w:t xml:space="preserve"> liječenih </w:t>
      </w:r>
      <w:r w:rsidR="001D3E32"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0,9 % </w:t>
      </w:r>
      <w:r w:rsidR="00064DF0" w:rsidRPr="001B3E42">
        <w:rPr>
          <w:rFonts w:ascii="Times New Roman" w:hAnsi="Times New Roman" w:cs="Times New Roman"/>
          <w:iCs/>
          <w:color w:val="auto"/>
          <w:sz w:val="22"/>
          <w:szCs w:val="22"/>
          <w:lang w:val="sr-Latn-ME"/>
        </w:rPr>
        <w:t>pacijenata</w:t>
      </w:r>
      <w:r w:rsidRPr="001B3E42">
        <w:rPr>
          <w:rFonts w:ascii="Times New Roman" w:hAnsi="Times New Roman" w:cs="Times New Roman"/>
          <w:color w:val="auto"/>
          <w:sz w:val="22"/>
          <w:szCs w:val="22"/>
          <w:lang w:val="sr-Latn-ME"/>
        </w:rPr>
        <w:t xml:space="preserve"> koji su uzimali placebo.</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064DF0">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U svim indikacijama tokom kliničkih ispitivanja, </w:t>
      </w:r>
      <w:r w:rsidR="00064DF0" w:rsidRPr="001B3E42">
        <w:rPr>
          <w:rFonts w:ascii="Times New Roman" w:hAnsi="Times New Roman" w:cs="Times New Roman"/>
          <w:iCs/>
          <w:color w:val="auto"/>
          <w:sz w:val="22"/>
          <w:szCs w:val="22"/>
          <w:lang w:val="sr-Latn-ME"/>
        </w:rPr>
        <w:t>pacijenti</w:t>
      </w:r>
      <w:r w:rsidRPr="001B3E42">
        <w:rPr>
          <w:rFonts w:ascii="Times New Roman" w:hAnsi="Times New Roman" w:cs="Times New Roman"/>
          <w:color w:val="auto"/>
          <w:sz w:val="22"/>
          <w:szCs w:val="22"/>
          <w:lang w:val="sr-Latn-ME"/>
        </w:rPr>
        <w:t xml:space="preserve"> sa povišenim vrijednostima ALT-a ni</w:t>
      </w:r>
      <w:r w:rsidR="001D3E32" w:rsidRPr="001B3E42">
        <w:rPr>
          <w:rFonts w:ascii="Times New Roman" w:hAnsi="Times New Roman" w:cs="Times New Roman"/>
          <w:color w:val="auto"/>
          <w:sz w:val="22"/>
          <w:szCs w:val="22"/>
          <w:lang w:val="sr-Latn-ME"/>
        </w:rPr>
        <w:t>je</w:t>
      </w:r>
      <w:r w:rsidRPr="001B3E42">
        <w:rPr>
          <w:rFonts w:ascii="Times New Roman" w:hAnsi="Times New Roman" w:cs="Times New Roman"/>
          <w:color w:val="auto"/>
          <w:sz w:val="22"/>
          <w:szCs w:val="22"/>
          <w:lang w:val="sr-Latn-ME"/>
        </w:rPr>
        <w:t>su imali simptom</w:t>
      </w:r>
      <w:r w:rsidR="00064DF0" w:rsidRPr="001B3E42">
        <w:rPr>
          <w:rFonts w:ascii="Times New Roman" w:hAnsi="Times New Roman" w:cs="Times New Roman"/>
          <w:color w:val="auto"/>
          <w:sz w:val="22"/>
          <w:szCs w:val="22"/>
          <w:lang w:val="sr-Latn-ME"/>
        </w:rPr>
        <w:t>e i u većini slučajeva povećanje</w:t>
      </w:r>
      <w:r w:rsidRPr="001B3E42">
        <w:rPr>
          <w:rFonts w:ascii="Times New Roman" w:hAnsi="Times New Roman" w:cs="Times New Roman"/>
          <w:color w:val="auto"/>
          <w:sz w:val="22"/>
          <w:szCs w:val="22"/>
          <w:lang w:val="sr-Latn-ME"/>
        </w:rPr>
        <w:t xml:space="preserve"> je bilo prolazno i vrijednosti su se vratile na normalnu tokom daljeg liječenja. Tokom postm</w:t>
      </w:r>
      <w:r w:rsidR="00064DF0" w:rsidRPr="001B3E42">
        <w:rPr>
          <w:rFonts w:ascii="Times New Roman" w:hAnsi="Times New Roman" w:cs="Times New Roman"/>
          <w:color w:val="auto"/>
          <w:sz w:val="22"/>
          <w:szCs w:val="22"/>
          <w:lang w:val="sr-Latn-ME"/>
        </w:rPr>
        <w:t>arketinškog ispitivanja, takođe</w:t>
      </w:r>
      <w:r w:rsidRPr="001B3E42">
        <w:rPr>
          <w:rFonts w:ascii="Times New Roman" w:hAnsi="Times New Roman" w:cs="Times New Roman"/>
          <w:color w:val="auto"/>
          <w:sz w:val="22"/>
          <w:szCs w:val="22"/>
          <w:lang w:val="sr-Latn-ME"/>
        </w:rPr>
        <w:t xml:space="preserve"> je bil</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prijavljen</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w:t>
      </w:r>
      <w:r w:rsidR="00F40F1F" w:rsidRPr="001B3E42">
        <w:rPr>
          <w:rFonts w:ascii="Times New Roman" w:hAnsi="Times New Roman" w:cs="Times New Roman"/>
          <w:color w:val="auto"/>
          <w:sz w:val="22"/>
          <w:szCs w:val="22"/>
          <w:lang w:val="sr-Latn-ME"/>
        </w:rPr>
        <w:t>isuficijencija</w:t>
      </w:r>
      <w:r w:rsidRPr="001B3E42">
        <w:rPr>
          <w:rFonts w:ascii="Times New Roman" w:hAnsi="Times New Roman" w:cs="Times New Roman"/>
          <w:color w:val="auto"/>
          <w:sz w:val="22"/>
          <w:szCs w:val="22"/>
          <w:lang w:val="sr-Latn-ME"/>
        </w:rPr>
        <w:t xml:space="preserve"> jetre kao i manje težak poremećaj jetr</w:t>
      </w:r>
      <w:r w:rsidR="007B5B3A" w:rsidRPr="001B3E42">
        <w:rPr>
          <w:rFonts w:ascii="Times New Roman" w:hAnsi="Times New Roman" w:cs="Times New Roman"/>
          <w:color w:val="auto"/>
          <w:sz w:val="22"/>
          <w:szCs w:val="22"/>
          <w:lang w:val="sr-Latn-ME"/>
        </w:rPr>
        <w:t>e koji može prethoditi insuficijencij</w:t>
      </w:r>
      <w:r w:rsidR="001D3E32" w:rsidRPr="001B3E42">
        <w:rPr>
          <w:rFonts w:ascii="Times New Roman" w:hAnsi="Times New Roman" w:cs="Times New Roman"/>
          <w:color w:val="auto"/>
          <w:sz w:val="22"/>
          <w:szCs w:val="22"/>
          <w:lang w:val="sr-Latn-ME"/>
        </w:rPr>
        <w:t>e</w:t>
      </w:r>
      <w:r w:rsidRPr="001B3E42">
        <w:rPr>
          <w:rFonts w:ascii="Times New Roman" w:hAnsi="Times New Roman" w:cs="Times New Roman"/>
          <w:color w:val="auto"/>
          <w:sz w:val="22"/>
          <w:szCs w:val="22"/>
          <w:lang w:val="sr-Latn-ME"/>
        </w:rPr>
        <w:t xml:space="preserve"> jetre, kao što je hepatitis uključujući </w:t>
      </w:r>
      <w:r w:rsidR="00064DF0" w:rsidRPr="001B3E42">
        <w:rPr>
          <w:rFonts w:ascii="Times New Roman" w:hAnsi="Times New Roman" w:cs="Times New Roman"/>
          <w:color w:val="auto"/>
          <w:sz w:val="22"/>
          <w:szCs w:val="22"/>
          <w:lang w:val="sr-Latn-ME"/>
        </w:rPr>
        <w:t>autoimuni hepatitis kod pacijenat</w:t>
      </w:r>
      <w:r w:rsidRPr="001B3E42">
        <w:rPr>
          <w:rFonts w:ascii="Times New Roman" w:hAnsi="Times New Roman" w:cs="Times New Roman"/>
          <w:color w:val="auto"/>
          <w:sz w:val="22"/>
          <w:szCs w:val="22"/>
          <w:lang w:val="sr-Latn-ME"/>
        </w:rPr>
        <w:t>a koji su primali adalimumab.</w:t>
      </w:r>
    </w:p>
    <w:p w:rsidR="005E2894" w:rsidRPr="001B3E42" w:rsidRDefault="005E2894" w:rsidP="005E2894">
      <w:pPr>
        <w:pStyle w:val="Default"/>
        <w:jc w:val="both"/>
        <w:rPr>
          <w:rFonts w:ascii="Times New Roman" w:hAnsi="Times New Roman" w:cs="Times New Roman"/>
          <w:color w:val="auto"/>
          <w:sz w:val="22"/>
          <w:szCs w:val="22"/>
          <w:lang w:val="sr-Latn-ME"/>
        </w:rPr>
      </w:pPr>
    </w:p>
    <w:p w:rsidR="005E2894" w:rsidRPr="001B3E42" w:rsidRDefault="005E2894" w:rsidP="005E2894">
      <w:pPr>
        <w:pStyle w:val="Default"/>
        <w:jc w:val="both"/>
        <w:rPr>
          <w:rFonts w:ascii="Times New Roman" w:hAnsi="Times New Roman" w:cs="Times New Roman"/>
          <w:i/>
          <w:color w:val="auto"/>
          <w:sz w:val="22"/>
          <w:szCs w:val="22"/>
          <w:u w:val="single"/>
          <w:lang w:val="sr-Latn-ME"/>
        </w:rPr>
      </w:pPr>
      <w:r w:rsidRPr="001B3E42">
        <w:rPr>
          <w:rFonts w:ascii="Times New Roman" w:hAnsi="Times New Roman" w:cs="Times New Roman"/>
          <w:i/>
          <w:color w:val="auto"/>
          <w:sz w:val="22"/>
          <w:szCs w:val="22"/>
          <w:u w:val="single"/>
          <w:lang w:val="sr-Latn-ME"/>
        </w:rPr>
        <w:t>Istovremeno liječenje sa azatioprinom/6-merkaptopurinom</w:t>
      </w:r>
    </w:p>
    <w:p w:rsidR="005E2894" w:rsidRPr="001B3E42" w:rsidRDefault="005E2894" w:rsidP="00064DF0">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U kliničkim ispitivanjima kod odraslih </w:t>
      </w:r>
      <w:r w:rsidR="00064DF0" w:rsidRPr="001B3E42">
        <w:rPr>
          <w:rFonts w:ascii="Times New Roman" w:hAnsi="Times New Roman" w:cs="Times New Roman"/>
          <w:iCs/>
          <w:color w:val="auto"/>
          <w:sz w:val="22"/>
          <w:szCs w:val="22"/>
          <w:lang w:val="sr-Latn-ME"/>
        </w:rPr>
        <w:t>pacijenata</w:t>
      </w:r>
      <w:r w:rsidRPr="001B3E42">
        <w:rPr>
          <w:rFonts w:ascii="Times New Roman" w:hAnsi="Times New Roman" w:cs="Times New Roman"/>
          <w:color w:val="auto"/>
          <w:sz w:val="22"/>
          <w:szCs w:val="22"/>
          <w:lang w:val="sr-Latn-ME"/>
        </w:rPr>
        <w:t xml:space="preserve"> s Crohnovom bolesti, primje</w:t>
      </w:r>
      <w:r w:rsidR="00064DF0" w:rsidRPr="001B3E42">
        <w:rPr>
          <w:rFonts w:ascii="Times New Roman" w:hAnsi="Times New Roman" w:cs="Times New Roman"/>
          <w:color w:val="auto"/>
          <w:sz w:val="22"/>
          <w:szCs w:val="22"/>
          <w:lang w:val="sr-Latn-ME"/>
        </w:rPr>
        <w:t>ćena je veća incidenca neželjenih dejstva</w:t>
      </w:r>
      <w:r w:rsidR="007B5B3A" w:rsidRPr="001B3E42">
        <w:rPr>
          <w:rFonts w:ascii="Times New Roman" w:hAnsi="Times New Roman" w:cs="Times New Roman"/>
          <w:color w:val="auto"/>
          <w:sz w:val="22"/>
          <w:szCs w:val="22"/>
          <w:lang w:val="sr-Latn-ME"/>
        </w:rPr>
        <w:t xml:space="preserve"> vezanih za maligne</w:t>
      </w:r>
      <w:r w:rsidR="00064DF0" w:rsidRPr="001B3E42">
        <w:rPr>
          <w:rFonts w:ascii="Times New Roman" w:hAnsi="Times New Roman" w:cs="Times New Roman"/>
          <w:color w:val="auto"/>
          <w:sz w:val="22"/>
          <w:szCs w:val="22"/>
          <w:lang w:val="sr-Latn-ME"/>
        </w:rPr>
        <w:t xml:space="preserve"> bolesti i ozbiljne infekcije</w:t>
      </w:r>
      <w:r w:rsidRPr="001B3E42">
        <w:rPr>
          <w:rFonts w:ascii="Times New Roman" w:hAnsi="Times New Roman" w:cs="Times New Roman"/>
          <w:color w:val="auto"/>
          <w:sz w:val="22"/>
          <w:szCs w:val="22"/>
          <w:lang w:val="sr-Latn-ME"/>
        </w:rPr>
        <w:t xml:space="preserve"> prilikom liječenja </w:t>
      </w:r>
      <w:r w:rsidR="001D3E32"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u kombinaciji sa azatioprinom/6-merkaptopurinom</w:t>
      </w:r>
      <w:r w:rsidR="001D3E32" w:rsidRPr="001B3E42">
        <w:rPr>
          <w:rFonts w:ascii="Times New Roman" w:hAnsi="Times New Roman" w:cs="Times New Roman"/>
          <w:color w:val="auto"/>
          <w:sz w:val="22"/>
          <w:szCs w:val="22"/>
          <w:lang w:val="sr-Latn-ME"/>
        </w:rPr>
        <w:t>,</w:t>
      </w:r>
      <w:r w:rsidRPr="001B3E42">
        <w:rPr>
          <w:rFonts w:ascii="Times New Roman" w:hAnsi="Times New Roman" w:cs="Times New Roman"/>
          <w:color w:val="auto"/>
          <w:sz w:val="22"/>
          <w:szCs w:val="22"/>
          <w:lang w:val="sr-Latn-ME"/>
        </w:rPr>
        <w:t xml:space="preserve"> nego kod liječenja samo </w:t>
      </w:r>
      <w:r w:rsidR="001D3E32" w:rsidRPr="001B3E42">
        <w:rPr>
          <w:rFonts w:ascii="Times New Roman" w:hAnsi="Times New Roman" w:cs="Times New Roman"/>
          <w:color w:val="auto"/>
          <w:sz w:val="22"/>
          <w:szCs w:val="22"/>
          <w:lang w:val="sr-Latn-ME"/>
        </w:rPr>
        <w:t>lijekom</w:t>
      </w:r>
      <w:r w:rsidRPr="001B3E42">
        <w:rPr>
          <w:rFonts w:ascii="Times New Roman" w:hAnsi="Times New Roman" w:cs="Times New Roman"/>
          <w:color w:val="auto"/>
          <w:sz w:val="22"/>
          <w:szCs w:val="22"/>
          <w:lang w:val="sr-Latn-ME"/>
        </w:rPr>
        <w:t>Humir</w:t>
      </w:r>
      <w:r w:rsidR="001D3E32"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w:t>
      </w:r>
    </w:p>
    <w:p w:rsidR="006A6093" w:rsidRPr="001B3E42" w:rsidRDefault="006A6093" w:rsidP="00064DF0">
      <w:pPr>
        <w:pStyle w:val="Default"/>
        <w:jc w:val="both"/>
        <w:rPr>
          <w:rFonts w:ascii="Times New Roman" w:hAnsi="Times New Roman" w:cs="Times New Roman"/>
          <w:color w:val="auto"/>
          <w:sz w:val="22"/>
          <w:szCs w:val="22"/>
          <w:lang w:val="sr-Latn-ME"/>
        </w:rPr>
      </w:pPr>
    </w:p>
    <w:p w:rsidR="007B5B3A" w:rsidRPr="001B3E42" w:rsidRDefault="007B5B3A" w:rsidP="007B5B3A">
      <w:pPr>
        <w:spacing w:after="200" w:line="276" w:lineRule="auto"/>
        <w:rPr>
          <w:rFonts w:eastAsia="Calibri"/>
          <w:b/>
          <w:sz w:val="22"/>
          <w:szCs w:val="22"/>
          <w:u w:val="single"/>
        </w:rPr>
      </w:pPr>
      <w:r w:rsidRPr="001B3E42">
        <w:rPr>
          <w:rFonts w:eastAsia="Calibri"/>
          <w:b/>
          <w:sz w:val="22"/>
          <w:szCs w:val="22"/>
          <w:u w:val="single"/>
        </w:rPr>
        <w:t>Prijavljivanje sumnji na neželjena dejstva</w:t>
      </w:r>
    </w:p>
    <w:p w:rsidR="007B5B3A" w:rsidRPr="001B3E42" w:rsidRDefault="007B5B3A" w:rsidP="007B5B3A">
      <w:pPr>
        <w:spacing w:after="200"/>
        <w:jc w:val="both"/>
        <w:rPr>
          <w:rFonts w:eastAsia="Calibri"/>
          <w:sz w:val="22"/>
          <w:szCs w:val="22"/>
        </w:rPr>
      </w:pPr>
      <w:r w:rsidRPr="001B3E42">
        <w:rPr>
          <w:rFonts w:eastAsia="Calibri"/>
          <w:sz w:val="22"/>
          <w:szCs w:val="22"/>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7B5B3A" w:rsidRPr="001B3E42" w:rsidRDefault="007B5B3A" w:rsidP="007B5B3A">
      <w:pPr>
        <w:spacing w:after="200"/>
        <w:rPr>
          <w:rFonts w:eastAsia="Calibri"/>
          <w:sz w:val="22"/>
          <w:szCs w:val="22"/>
        </w:rPr>
      </w:pPr>
      <w:r w:rsidRPr="001B3E42">
        <w:rPr>
          <w:rFonts w:eastAsia="Calibri"/>
          <w:sz w:val="22"/>
          <w:szCs w:val="22"/>
        </w:rPr>
        <w:t>Agencija za ljekove i medicinska sredstva Crne Gore</w:t>
      </w:r>
    </w:p>
    <w:p w:rsidR="007B5B3A" w:rsidRPr="001B3E42" w:rsidRDefault="007B5B3A" w:rsidP="007B5B3A">
      <w:pPr>
        <w:spacing w:after="200"/>
        <w:rPr>
          <w:rFonts w:eastAsia="Calibri"/>
          <w:sz w:val="22"/>
          <w:szCs w:val="22"/>
        </w:rPr>
      </w:pPr>
      <w:r w:rsidRPr="001B3E42">
        <w:rPr>
          <w:rFonts w:eastAsia="Calibri"/>
          <w:sz w:val="22"/>
          <w:szCs w:val="22"/>
        </w:rPr>
        <w:t>Odjeljenje za farmakovigilancu</w:t>
      </w:r>
    </w:p>
    <w:p w:rsidR="007B5B3A" w:rsidRPr="001B3E42" w:rsidRDefault="007B5B3A" w:rsidP="007B5B3A">
      <w:pPr>
        <w:spacing w:after="200"/>
        <w:rPr>
          <w:rFonts w:eastAsia="Calibri"/>
          <w:sz w:val="22"/>
          <w:szCs w:val="22"/>
        </w:rPr>
      </w:pPr>
      <w:r w:rsidRPr="001B3E42">
        <w:rPr>
          <w:rFonts w:eastAsia="Calibri"/>
          <w:sz w:val="22"/>
          <w:szCs w:val="22"/>
        </w:rPr>
        <w:t>Bulevar Ivana Crnojevića 64a, 81000 Podgorica</w:t>
      </w:r>
    </w:p>
    <w:p w:rsidR="007B5B3A" w:rsidRPr="001B3E42" w:rsidRDefault="007B5B3A" w:rsidP="005760A7">
      <w:pPr>
        <w:rPr>
          <w:rFonts w:eastAsia="Calibri"/>
          <w:sz w:val="22"/>
          <w:szCs w:val="22"/>
        </w:rPr>
      </w:pPr>
      <w:r w:rsidRPr="001B3E42">
        <w:rPr>
          <w:rFonts w:eastAsia="Calibri"/>
          <w:sz w:val="22"/>
          <w:szCs w:val="22"/>
        </w:rPr>
        <w:t>tel: +382 (0) 20 310 280</w:t>
      </w:r>
    </w:p>
    <w:p w:rsidR="007B5B3A" w:rsidRPr="001B3E42" w:rsidRDefault="007B5B3A" w:rsidP="005760A7">
      <w:pPr>
        <w:rPr>
          <w:rFonts w:eastAsia="Calibri"/>
          <w:sz w:val="22"/>
          <w:szCs w:val="22"/>
        </w:rPr>
      </w:pPr>
      <w:r w:rsidRPr="001B3E42">
        <w:rPr>
          <w:rFonts w:eastAsia="Calibri"/>
          <w:sz w:val="22"/>
          <w:szCs w:val="22"/>
        </w:rPr>
        <w:t>fax:+382 (0) 20 310 581</w:t>
      </w:r>
    </w:p>
    <w:p w:rsidR="007B5B3A" w:rsidRPr="001B3E42" w:rsidRDefault="00CC1A78" w:rsidP="005760A7">
      <w:pPr>
        <w:rPr>
          <w:rFonts w:eastAsia="Calibri"/>
          <w:sz w:val="22"/>
          <w:szCs w:val="22"/>
        </w:rPr>
      </w:pPr>
      <w:hyperlink r:id="rId7" w:history="1">
        <w:r w:rsidR="007B5B3A" w:rsidRPr="001B3E42">
          <w:rPr>
            <w:rFonts w:eastAsia="Calibri"/>
            <w:color w:val="0000FF"/>
            <w:sz w:val="22"/>
            <w:szCs w:val="22"/>
            <w:u w:val="single"/>
          </w:rPr>
          <w:t>www.calims.me</w:t>
        </w:r>
      </w:hyperlink>
    </w:p>
    <w:p w:rsidR="007B5B3A" w:rsidRPr="001B3E42" w:rsidRDefault="00CC1A78" w:rsidP="005760A7">
      <w:pPr>
        <w:rPr>
          <w:rFonts w:eastAsia="Calibri"/>
          <w:color w:val="0000FF"/>
          <w:sz w:val="22"/>
          <w:szCs w:val="22"/>
          <w:u w:val="single"/>
        </w:rPr>
      </w:pPr>
      <w:hyperlink r:id="rId8" w:history="1">
        <w:r w:rsidR="007B5B3A" w:rsidRPr="001B3E42">
          <w:rPr>
            <w:rFonts w:eastAsia="Calibri"/>
            <w:color w:val="0000FF"/>
            <w:sz w:val="22"/>
            <w:szCs w:val="22"/>
            <w:u w:val="single"/>
          </w:rPr>
          <w:t>nezeljenadejstva@calims.me</w:t>
        </w:r>
      </w:hyperlink>
    </w:p>
    <w:p w:rsidR="007B5B3A" w:rsidRPr="001B3E42" w:rsidRDefault="007B5B3A" w:rsidP="005760A7">
      <w:pPr>
        <w:rPr>
          <w:rFonts w:eastAsia="Calibri"/>
          <w:sz w:val="22"/>
          <w:szCs w:val="22"/>
        </w:rPr>
      </w:pPr>
      <w:r w:rsidRPr="001B3E42">
        <w:rPr>
          <w:rFonts w:eastAsia="Calibri"/>
          <w:sz w:val="22"/>
          <w:szCs w:val="22"/>
        </w:rPr>
        <w:t>putem IS zdravstvene zaštite</w:t>
      </w:r>
    </w:p>
    <w:p w:rsidR="00947F3A" w:rsidRPr="001B3E42" w:rsidRDefault="00947F3A"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lastRenderedPageBreak/>
        <w:t xml:space="preserve">4.9. </w:t>
      </w:r>
      <w:r w:rsidR="00480FB1" w:rsidRPr="001B3E42">
        <w:rPr>
          <w:b/>
          <w:bCs/>
          <w:sz w:val="22"/>
          <w:szCs w:val="22"/>
        </w:rPr>
        <w:tab/>
      </w:r>
      <w:r w:rsidRPr="001B3E42">
        <w:rPr>
          <w:b/>
          <w:bCs/>
          <w:sz w:val="22"/>
          <w:szCs w:val="22"/>
        </w:rPr>
        <w:t>Predoziranje</w:t>
      </w:r>
      <w:r w:rsidR="002846DB" w:rsidRPr="001B3E42">
        <w:rPr>
          <w:b/>
          <w:bCs/>
          <w:sz w:val="22"/>
          <w:szCs w:val="22"/>
        </w:rPr>
        <w:t xml:space="preserve"> i mjere koje je potrebno preduzeti</w:t>
      </w:r>
    </w:p>
    <w:p w:rsidR="00CD6F02" w:rsidRPr="001B3E42" w:rsidRDefault="00CD6F02" w:rsidP="00480FB1">
      <w:pPr>
        <w:tabs>
          <w:tab w:val="left" w:pos="540"/>
          <w:tab w:val="left" w:pos="569"/>
        </w:tabs>
        <w:rPr>
          <w:b/>
          <w:bCs/>
          <w:sz w:val="22"/>
          <w:szCs w:val="22"/>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kliničkim ispitivanjima nisu primjećene toksične reakcije koje bi ograničavale dozu. Najveća ispitivana doza bila je višekratna intravenska doza od 10 mg/kg</w:t>
      </w:r>
      <w:r w:rsidR="00E41BA7" w:rsidRPr="001B3E42">
        <w:rPr>
          <w:rFonts w:ascii="Times New Roman" w:hAnsi="Times New Roman" w:cs="Times New Roman"/>
          <w:color w:val="auto"/>
          <w:sz w:val="22"/>
          <w:szCs w:val="22"/>
          <w:lang w:val="sr-Latn-ME"/>
        </w:rPr>
        <w:t>,</w:t>
      </w:r>
      <w:r w:rsidRPr="001B3E42">
        <w:rPr>
          <w:rFonts w:ascii="Times New Roman" w:hAnsi="Times New Roman" w:cs="Times New Roman"/>
          <w:color w:val="auto"/>
          <w:sz w:val="22"/>
          <w:szCs w:val="22"/>
          <w:lang w:val="sr-Latn-ME"/>
        </w:rPr>
        <w:t xml:space="preserve"> koja je oko 15 puta veća od preporučene doze.</w:t>
      </w:r>
    </w:p>
    <w:p w:rsidR="00FA0344" w:rsidRPr="001B3E42" w:rsidRDefault="00FA0344"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5. </w:t>
      </w:r>
      <w:r w:rsidR="00480FB1" w:rsidRPr="001B3E42">
        <w:rPr>
          <w:b/>
          <w:bCs/>
          <w:sz w:val="22"/>
          <w:szCs w:val="22"/>
        </w:rPr>
        <w:tab/>
      </w:r>
      <w:r w:rsidRPr="001B3E42">
        <w:rPr>
          <w:b/>
          <w:bCs/>
          <w:sz w:val="22"/>
          <w:szCs w:val="22"/>
        </w:rPr>
        <w:t>FARMAKOLOŠK</w:t>
      </w:r>
      <w:r w:rsidR="000D425A" w:rsidRPr="001B3E42">
        <w:rPr>
          <w:b/>
          <w:bCs/>
          <w:sz w:val="22"/>
          <w:szCs w:val="22"/>
        </w:rPr>
        <w:t>I</w:t>
      </w:r>
      <w:r w:rsidRPr="001B3E42">
        <w:rPr>
          <w:b/>
          <w:bCs/>
          <w:sz w:val="22"/>
          <w:szCs w:val="22"/>
        </w:rPr>
        <w:t xml:space="preserve"> PODACI</w:t>
      </w:r>
    </w:p>
    <w:p w:rsidR="0072020E" w:rsidRPr="001B3E42" w:rsidRDefault="0072020E"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5.1. </w:t>
      </w:r>
      <w:r w:rsidR="00480FB1" w:rsidRPr="001B3E42">
        <w:rPr>
          <w:b/>
          <w:bCs/>
          <w:sz w:val="22"/>
          <w:szCs w:val="22"/>
        </w:rPr>
        <w:tab/>
      </w:r>
      <w:r w:rsidRPr="001B3E42">
        <w:rPr>
          <w:b/>
          <w:bCs/>
          <w:sz w:val="22"/>
          <w:szCs w:val="22"/>
        </w:rPr>
        <w:t>Farmakodinamski podaci</w:t>
      </w:r>
    </w:p>
    <w:p w:rsidR="00F45F77" w:rsidRPr="001B3E42" w:rsidRDefault="00F45F77" w:rsidP="00480FB1">
      <w:pPr>
        <w:tabs>
          <w:tab w:val="left" w:pos="540"/>
          <w:tab w:val="left" w:pos="569"/>
        </w:tabs>
        <w:rPr>
          <w:b/>
          <w:bCs/>
          <w:sz w:val="22"/>
          <w:szCs w:val="22"/>
        </w:rPr>
      </w:pPr>
    </w:p>
    <w:p w:rsidR="0072020E" w:rsidRPr="001B3E42" w:rsidRDefault="0072020E" w:rsidP="00480FB1">
      <w:pPr>
        <w:tabs>
          <w:tab w:val="left" w:pos="540"/>
          <w:tab w:val="left" w:pos="569"/>
        </w:tabs>
        <w:rPr>
          <w:bCs/>
          <w:sz w:val="22"/>
          <w:szCs w:val="22"/>
        </w:rPr>
      </w:pPr>
      <w:r w:rsidRPr="001B3E42">
        <w:rPr>
          <w:bCs/>
          <w:sz w:val="22"/>
          <w:szCs w:val="22"/>
        </w:rPr>
        <w:t>Farmakoterapijska grupa:</w:t>
      </w:r>
      <w:r w:rsidR="005D003D" w:rsidRPr="001B3E42">
        <w:rPr>
          <w:bCs/>
          <w:sz w:val="22"/>
          <w:szCs w:val="22"/>
        </w:rPr>
        <w:t xml:space="preserve"> </w:t>
      </w:r>
      <w:r w:rsidR="007B5B3A" w:rsidRPr="001B3E42">
        <w:rPr>
          <w:bCs/>
          <w:sz w:val="22"/>
          <w:szCs w:val="22"/>
        </w:rPr>
        <w:t>selektivni imunosupresivni l</w:t>
      </w:r>
      <w:r w:rsidR="005D003D" w:rsidRPr="001B3E42">
        <w:rPr>
          <w:bCs/>
          <w:sz w:val="22"/>
          <w:szCs w:val="22"/>
        </w:rPr>
        <w:t>jekovi</w:t>
      </w:r>
    </w:p>
    <w:p w:rsidR="0072020E" w:rsidRPr="001B3E42" w:rsidRDefault="0072020E" w:rsidP="00480FB1">
      <w:pPr>
        <w:tabs>
          <w:tab w:val="left" w:pos="540"/>
          <w:tab w:val="left" w:pos="569"/>
        </w:tabs>
        <w:rPr>
          <w:bCs/>
          <w:sz w:val="22"/>
          <w:szCs w:val="22"/>
        </w:rPr>
      </w:pPr>
    </w:p>
    <w:p w:rsidR="0072020E" w:rsidRPr="001B3E42" w:rsidRDefault="0072020E" w:rsidP="00480FB1">
      <w:pPr>
        <w:tabs>
          <w:tab w:val="left" w:pos="540"/>
          <w:tab w:val="left" w:pos="569"/>
        </w:tabs>
        <w:rPr>
          <w:bCs/>
          <w:sz w:val="22"/>
          <w:szCs w:val="22"/>
        </w:rPr>
      </w:pPr>
      <w:r w:rsidRPr="001B3E42">
        <w:rPr>
          <w:bCs/>
          <w:sz w:val="22"/>
          <w:szCs w:val="22"/>
        </w:rPr>
        <w:t>ATC kod:</w:t>
      </w:r>
      <w:r w:rsidR="005D003D" w:rsidRPr="001B3E42">
        <w:rPr>
          <w:bCs/>
          <w:sz w:val="22"/>
          <w:szCs w:val="22"/>
        </w:rPr>
        <w:t xml:space="preserve"> L04AB04</w:t>
      </w:r>
    </w:p>
    <w:p w:rsidR="002E37A5" w:rsidRPr="001B3E42" w:rsidRDefault="002E37A5" w:rsidP="00480FB1">
      <w:pPr>
        <w:tabs>
          <w:tab w:val="left" w:pos="540"/>
          <w:tab w:val="left" w:pos="569"/>
        </w:tabs>
        <w:rPr>
          <w:b/>
          <w:bCs/>
          <w:sz w:val="22"/>
          <w:szCs w:val="22"/>
        </w:rPr>
      </w:pPr>
    </w:p>
    <w:p w:rsidR="005D003D" w:rsidRPr="001B3E42" w:rsidRDefault="005D003D" w:rsidP="005D003D">
      <w:pPr>
        <w:pStyle w:val="Default"/>
        <w:ind w:left="567" w:hanging="567"/>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Mehanizam djelovanja</w:t>
      </w: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Adalimumab se specifično veže za TNF (faktor tumorske nekroze) i neutra</w:t>
      </w:r>
      <w:r w:rsidR="006D7AA5" w:rsidRPr="001B3E42">
        <w:rPr>
          <w:rFonts w:ascii="Times New Roman" w:hAnsi="Times New Roman" w:cs="Times New Roman"/>
          <w:color w:val="auto"/>
          <w:sz w:val="22"/>
          <w:szCs w:val="22"/>
          <w:lang w:val="sr-Latn-ME"/>
        </w:rPr>
        <w:t>lizuje</w:t>
      </w:r>
      <w:r w:rsidRPr="001B3E42">
        <w:rPr>
          <w:rFonts w:ascii="Times New Roman" w:hAnsi="Times New Roman" w:cs="Times New Roman"/>
          <w:color w:val="auto"/>
          <w:sz w:val="22"/>
          <w:szCs w:val="22"/>
          <w:lang w:val="sr-Latn-ME"/>
        </w:rPr>
        <w:t xml:space="preserve"> biološku funkciju TNF-a blokirajući njegovu interakciju sa površinskim ćelijskim TNF-receptorima p55 i p75.</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Adalimumab takođe modifikuje biološke odgovore koje </w:t>
      </w:r>
      <w:r w:rsidR="004067E7" w:rsidRPr="001B3E42">
        <w:rPr>
          <w:rFonts w:ascii="Times New Roman" w:hAnsi="Times New Roman" w:cs="Times New Roman"/>
          <w:color w:val="auto"/>
          <w:sz w:val="22"/>
          <w:szCs w:val="22"/>
          <w:lang w:val="sr-Latn-ME"/>
        </w:rPr>
        <w:t xml:space="preserve">indukuje </w:t>
      </w:r>
      <w:r w:rsidRPr="001B3E42">
        <w:rPr>
          <w:rFonts w:ascii="Times New Roman" w:hAnsi="Times New Roman" w:cs="Times New Roman"/>
          <w:color w:val="auto"/>
          <w:sz w:val="22"/>
          <w:szCs w:val="22"/>
          <w:lang w:val="sr-Latn-ME"/>
        </w:rPr>
        <w:t>ili reguliše TNF, uključujući promjene u nivoima adhezijskih molekula koje su odgovorne za migraciju leukocita (ELAM-1, VCAM-1 i ICAM-1 s IC</w:t>
      </w:r>
      <w:r w:rsidRPr="001B3E42">
        <w:rPr>
          <w:rFonts w:ascii="Times New Roman" w:hAnsi="Times New Roman" w:cs="Times New Roman"/>
          <w:color w:val="auto"/>
          <w:position w:val="-8"/>
          <w:sz w:val="22"/>
          <w:szCs w:val="22"/>
          <w:vertAlign w:val="subscript"/>
          <w:lang w:val="sr-Latn-ME"/>
        </w:rPr>
        <w:t>50</w:t>
      </w:r>
      <w:r w:rsidRPr="001B3E42">
        <w:rPr>
          <w:rFonts w:ascii="Times New Roman" w:hAnsi="Times New Roman" w:cs="Times New Roman"/>
          <w:color w:val="auto"/>
          <w:sz w:val="22"/>
          <w:szCs w:val="22"/>
          <w:lang w:val="sr-Latn-ME"/>
        </w:rPr>
        <w:t xml:space="preserve"> od 0,1-0,2 nM).</w:t>
      </w:r>
    </w:p>
    <w:p w:rsidR="005D003D" w:rsidRPr="001B3E42" w:rsidRDefault="005D003D" w:rsidP="005D003D">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Farmakodinamička svojstva</w:t>
      </w: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Nakon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kod pacijenata s reumatoidnim artritisom primjećeno je naglo snižavanje nivoa reaktanata akutne faze upale (C-reaktivni protein [CRP] i brzina sedimentacije eritrocita [ESR]) i serumskih citokina (IL-6) u poređenju sa početnim vrijednostima. Serumske vrijednosti matriksnih metaloproteinaza (MMP-1 i MMP-3) koje uzrokuju preoblikovanje tkiva odgovorno za uništavanje hrskavice, takođe su se smanjile </w:t>
      </w:r>
      <w:r w:rsidR="00635624" w:rsidRPr="001B3E42">
        <w:rPr>
          <w:rFonts w:ascii="Times New Roman" w:hAnsi="Times New Roman" w:cs="Times New Roman"/>
          <w:color w:val="auto"/>
          <w:sz w:val="22"/>
          <w:szCs w:val="22"/>
          <w:lang w:val="sr-Latn-ME"/>
        </w:rPr>
        <w:t xml:space="preserve">nakon uzimanja </w:t>
      </w:r>
      <w:r w:rsidR="00B11AAE" w:rsidRPr="001B3E42">
        <w:rPr>
          <w:rFonts w:ascii="Times New Roman" w:hAnsi="Times New Roman" w:cs="Times New Roman"/>
          <w:color w:val="auto"/>
          <w:sz w:val="22"/>
          <w:szCs w:val="22"/>
          <w:lang w:val="sr-Latn-ME"/>
        </w:rPr>
        <w:t xml:space="preserve">lijeka </w:t>
      </w:r>
      <w:r w:rsidR="00635624"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635624" w:rsidRPr="001B3E42">
        <w:rPr>
          <w:rFonts w:ascii="Times New Roman" w:hAnsi="Times New Roman" w:cs="Times New Roman"/>
          <w:color w:val="auto"/>
          <w:sz w:val="22"/>
          <w:szCs w:val="22"/>
          <w:lang w:val="sr-Latn-ME"/>
        </w:rPr>
        <w:t>. Pacijenti</w:t>
      </w:r>
      <w:r w:rsidRPr="001B3E42">
        <w:rPr>
          <w:rFonts w:ascii="Times New Roman" w:hAnsi="Times New Roman" w:cs="Times New Roman"/>
          <w:color w:val="auto"/>
          <w:sz w:val="22"/>
          <w:szCs w:val="22"/>
          <w:lang w:val="sr-Latn-ME"/>
        </w:rPr>
        <w:t xml:space="preserve"> liječeni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obično pokazuju poboljšanje hematoloških znakova hronične upale.</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Kod pacijenata s </w:t>
      </w:r>
      <w:r w:rsidRPr="001B3E42">
        <w:rPr>
          <w:rFonts w:ascii="Times New Roman" w:hAnsi="Times New Roman" w:cs="Times New Roman"/>
          <w:sz w:val="22"/>
          <w:szCs w:val="22"/>
          <w:lang w:val="sr-Latn-ME"/>
        </w:rPr>
        <w:t>poliartikularnim juvenilnim idiopatskim artritisom,</w:t>
      </w:r>
      <w:r w:rsidRPr="001B3E42">
        <w:rPr>
          <w:rFonts w:ascii="Times New Roman" w:hAnsi="Times New Roman" w:cs="Times New Roman"/>
          <w:color w:val="auto"/>
          <w:sz w:val="22"/>
          <w:szCs w:val="22"/>
          <w:lang w:val="sr-Latn-ME"/>
        </w:rPr>
        <w:t xml:space="preserve"> Crohnovom bolešću i ulceroznim kolitisom primjećeno je naglo smanjenje nivoa CRP-a nakon liječenja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Kod pacijenata s Crohnovom bolešću primjećeno je smanjenje broja ćelija u debelom crijevu koje ispoljavaju markere upale, uključujući i značajno sniženje ekspresije TNFα. Endoskopske studije intestinalne mukoze pokazale su znakove zarastanja</w:t>
      </w:r>
      <w:r w:rsidR="00635624" w:rsidRPr="001B3E42">
        <w:rPr>
          <w:rFonts w:ascii="Times New Roman" w:hAnsi="Times New Roman" w:cs="Times New Roman"/>
          <w:color w:val="auto"/>
          <w:sz w:val="22"/>
          <w:szCs w:val="22"/>
          <w:lang w:val="sr-Latn-ME"/>
        </w:rPr>
        <w:t xml:space="preserve"> mukoze kod pacijenata</w:t>
      </w:r>
      <w:r w:rsidRPr="001B3E42">
        <w:rPr>
          <w:rFonts w:ascii="Times New Roman" w:hAnsi="Times New Roman" w:cs="Times New Roman"/>
          <w:color w:val="auto"/>
          <w:sz w:val="22"/>
          <w:szCs w:val="22"/>
          <w:lang w:val="sr-Latn-ME"/>
        </w:rPr>
        <w:t xml:space="preserve"> liječenih adalimumabom.</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Klinička ispitivanja</w:t>
      </w:r>
    </w:p>
    <w:p w:rsidR="005D003D" w:rsidRPr="001B3E42" w:rsidRDefault="005D003D" w:rsidP="005D003D">
      <w:pPr>
        <w:pStyle w:val="Default"/>
        <w:jc w:val="both"/>
        <w:rPr>
          <w:rFonts w:ascii="Times New Roman" w:hAnsi="Times New Roman" w:cs="Times New Roman"/>
          <w:i/>
          <w:sz w:val="22"/>
          <w:szCs w:val="22"/>
          <w:u w:val="single"/>
          <w:lang w:val="sr-Latn-ME"/>
        </w:rPr>
      </w:pPr>
      <w:r w:rsidRPr="001B3E42">
        <w:rPr>
          <w:rFonts w:ascii="Times New Roman" w:hAnsi="Times New Roman" w:cs="Times New Roman"/>
          <w:i/>
          <w:sz w:val="22"/>
          <w:szCs w:val="22"/>
          <w:u w:val="single"/>
          <w:lang w:val="sr-Latn-ME"/>
        </w:rPr>
        <w:t>Poliartikularni juvenilni idiopatski artritis (JIA)</w:t>
      </w:r>
    </w:p>
    <w:p w:rsidR="005D003D" w:rsidRPr="001B3E42" w:rsidRDefault="001E4AB9"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Sigurnost i efikasnost</w:t>
      </w:r>
      <w:r w:rsidR="005D003D" w:rsidRPr="001B3E42">
        <w:rPr>
          <w:rFonts w:ascii="Times New Roman" w:hAnsi="Times New Roman" w:cs="Times New Roman"/>
          <w:sz w:val="22"/>
          <w:szCs w:val="22"/>
          <w:lang w:val="sr-Latn-ME"/>
        </w:rPr>
        <w:t xml:space="preserve"> pr</w:t>
      </w:r>
      <w:r w:rsidR="004B02DE" w:rsidRPr="001B3E42">
        <w:rPr>
          <w:rFonts w:ascii="Times New Roman" w:hAnsi="Times New Roman" w:cs="Times New Roman"/>
          <w:sz w:val="22"/>
          <w:szCs w:val="22"/>
          <w:lang w:val="sr-Latn-ME"/>
        </w:rPr>
        <w:t xml:space="preserve">imjene </w:t>
      </w:r>
      <w:r w:rsidR="00B11AAE" w:rsidRPr="001B3E42">
        <w:rPr>
          <w:rFonts w:ascii="Times New Roman" w:hAnsi="Times New Roman" w:cs="Times New Roman"/>
          <w:color w:val="auto"/>
          <w:sz w:val="22"/>
          <w:szCs w:val="22"/>
          <w:lang w:val="sr-Latn-ME"/>
        </w:rPr>
        <w:t xml:space="preserve">lijeka </w:t>
      </w:r>
      <w:r w:rsidR="004B02DE"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004B02DE" w:rsidRPr="001B3E42">
        <w:rPr>
          <w:rFonts w:ascii="Times New Roman" w:hAnsi="Times New Roman" w:cs="Times New Roman"/>
          <w:sz w:val="22"/>
          <w:szCs w:val="22"/>
          <w:lang w:val="sr-Latn-ME"/>
        </w:rPr>
        <w:t xml:space="preserve"> procijenjena je u dvije studije (JIA I i II) kod</w:t>
      </w:r>
      <w:r w:rsidR="005D003D" w:rsidRPr="001B3E42">
        <w:rPr>
          <w:rFonts w:ascii="Times New Roman" w:hAnsi="Times New Roman" w:cs="Times New Roman"/>
          <w:sz w:val="22"/>
          <w:szCs w:val="22"/>
          <w:lang w:val="sr-Latn-ME"/>
        </w:rPr>
        <w:t xml:space="preserve"> djece </w:t>
      </w:r>
      <w:r w:rsidR="004B02DE" w:rsidRPr="001B3E42">
        <w:rPr>
          <w:rFonts w:ascii="Times New Roman" w:hAnsi="Times New Roman" w:cs="Times New Roman"/>
          <w:sz w:val="22"/>
          <w:szCs w:val="22"/>
          <w:lang w:val="sr-Latn-ME"/>
        </w:rPr>
        <w:t xml:space="preserve">sa </w:t>
      </w:r>
      <w:r w:rsidR="005D003D" w:rsidRPr="001B3E42">
        <w:rPr>
          <w:rFonts w:ascii="Times New Roman" w:hAnsi="Times New Roman" w:cs="Times New Roman"/>
          <w:sz w:val="22"/>
          <w:szCs w:val="22"/>
          <w:lang w:val="sr-Latn-ME"/>
        </w:rPr>
        <w:t>aktivnim poliartikularnim ili poliartikularnim juvenilnim idiopatskim artritisom, sa različitim tipovima JIA (najčešće negativan reumatski faktor ili pozitivan poliartritis i produženi oligoartritis)</w:t>
      </w:r>
      <w:r w:rsidR="004067E7" w:rsidRPr="001B3E42">
        <w:rPr>
          <w:rFonts w:ascii="Times New Roman" w:hAnsi="Times New Roman" w:cs="Times New Roman"/>
          <w:sz w:val="22"/>
          <w:szCs w:val="22"/>
          <w:lang w:val="sr-Latn-ME"/>
        </w:rPr>
        <w:t>.</w:t>
      </w:r>
    </w:p>
    <w:p w:rsidR="005D003D" w:rsidRPr="001B3E42" w:rsidRDefault="005D003D" w:rsidP="005D003D">
      <w:pPr>
        <w:pStyle w:val="Default"/>
        <w:jc w:val="both"/>
        <w:rPr>
          <w:rFonts w:ascii="Times New Roman" w:hAnsi="Times New Roman" w:cs="Times New Roman"/>
          <w:sz w:val="22"/>
          <w:szCs w:val="22"/>
          <w:lang w:val="sr-Latn-ME"/>
        </w:rPr>
      </w:pPr>
    </w:p>
    <w:p w:rsidR="005D003D" w:rsidRPr="001B3E42" w:rsidRDefault="005D003D" w:rsidP="005D003D">
      <w:pPr>
        <w:pStyle w:val="Default"/>
        <w:jc w:val="both"/>
        <w:rPr>
          <w:rFonts w:ascii="Times New Roman" w:hAnsi="Times New Roman" w:cs="Times New Roman"/>
          <w:b/>
          <w:sz w:val="22"/>
          <w:szCs w:val="22"/>
          <w:lang w:val="sr-Latn-ME"/>
        </w:rPr>
      </w:pPr>
      <w:r w:rsidRPr="001B3E42">
        <w:rPr>
          <w:rFonts w:ascii="Times New Roman" w:hAnsi="Times New Roman" w:cs="Times New Roman"/>
          <w:b/>
          <w:sz w:val="22"/>
          <w:szCs w:val="22"/>
          <w:lang w:val="sr-Latn-ME"/>
        </w:rPr>
        <w:t>JIA-I</w:t>
      </w:r>
    </w:p>
    <w:p w:rsidR="005D003D" w:rsidRDefault="004067E7"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Bezbjednost </w:t>
      </w:r>
      <w:r w:rsidR="00686E37" w:rsidRPr="001B3E42">
        <w:rPr>
          <w:rFonts w:ascii="Times New Roman" w:hAnsi="Times New Roman" w:cs="Times New Roman"/>
          <w:color w:val="auto"/>
          <w:sz w:val="22"/>
          <w:szCs w:val="22"/>
          <w:lang w:val="sr-Latn-ME"/>
        </w:rPr>
        <w:t xml:space="preserve">i efikasnost primjene </w:t>
      </w:r>
      <w:r w:rsidR="00B11AAE" w:rsidRPr="001B3E42">
        <w:rPr>
          <w:rFonts w:ascii="Times New Roman" w:hAnsi="Times New Roman" w:cs="Times New Roman"/>
          <w:color w:val="auto"/>
          <w:sz w:val="22"/>
          <w:szCs w:val="22"/>
          <w:lang w:val="sr-Latn-ME"/>
        </w:rPr>
        <w:t xml:space="preserve">lijeka </w:t>
      </w:r>
      <w:r w:rsidR="00686E37"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686E37" w:rsidRPr="001B3E42">
        <w:rPr>
          <w:rFonts w:ascii="Times New Roman" w:hAnsi="Times New Roman" w:cs="Times New Roman"/>
          <w:color w:val="auto"/>
          <w:sz w:val="22"/>
          <w:szCs w:val="22"/>
          <w:lang w:val="sr-Latn-ME"/>
        </w:rPr>
        <w:t xml:space="preserve"> proc</w:t>
      </w:r>
      <w:r w:rsidR="005D003D" w:rsidRPr="001B3E42">
        <w:rPr>
          <w:rFonts w:ascii="Times New Roman" w:hAnsi="Times New Roman" w:cs="Times New Roman"/>
          <w:color w:val="auto"/>
          <w:sz w:val="22"/>
          <w:szCs w:val="22"/>
          <w:lang w:val="sr-Latn-ME"/>
        </w:rPr>
        <w:t>jenjena je u</w:t>
      </w:r>
      <w:r w:rsidR="0011658F" w:rsidRPr="001B3E42">
        <w:rPr>
          <w:rFonts w:ascii="Times New Roman" w:hAnsi="Times New Roman" w:cs="Times New Roman"/>
          <w:color w:val="auto"/>
          <w:sz w:val="22"/>
          <w:szCs w:val="22"/>
          <w:lang w:val="sr-Latn-ME"/>
        </w:rPr>
        <w:t xml:space="preserve"> multicentričnoj, randomizovanoj</w:t>
      </w:r>
      <w:r w:rsidR="005D003D" w:rsidRPr="001B3E42">
        <w:rPr>
          <w:rFonts w:ascii="Times New Roman" w:hAnsi="Times New Roman" w:cs="Times New Roman"/>
          <w:color w:val="auto"/>
          <w:sz w:val="22"/>
          <w:szCs w:val="22"/>
          <w:lang w:val="sr-Latn-ME"/>
        </w:rPr>
        <w:t>, dvostruko-slijepoj studiji s paralelnim grupama koja je uključivala 171 dijete (starosti 4-17 godina) s poliartikularnim JIA. U otvorenoj uvodno</w:t>
      </w:r>
      <w:r w:rsidR="004B02DE" w:rsidRPr="001B3E42">
        <w:rPr>
          <w:rFonts w:ascii="Times New Roman" w:hAnsi="Times New Roman" w:cs="Times New Roman"/>
          <w:color w:val="auto"/>
          <w:sz w:val="22"/>
          <w:szCs w:val="22"/>
          <w:lang w:val="sr-Latn-ME"/>
        </w:rPr>
        <w:t>j fazi studije (OL LI) pacijenti</w:t>
      </w:r>
      <w:r w:rsidR="005D003D" w:rsidRPr="001B3E42">
        <w:rPr>
          <w:rFonts w:ascii="Times New Roman" w:hAnsi="Times New Roman" w:cs="Times New Roman"/>
          <w:color w:val="auto"/>
          <w:sz w:val="22"/>
          <w:szCs w:val="22"/>
          <w:lang w:val="sr-Latn-ME"/>
        </w:rPr>
        <w:t xml:space="preserve"> su podijeljeni u dvije grupe, jedna koja je prethodno uzimala metotreksat (označena s MTX) i ona koja nije (označena s</w:t>
      </w:r>
      <w:r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xml:space="preserve"> non-MTX). </w:t>
      </w:r>
      <w:r w:rsidR="004B02DE" w:rsidRPr="001B3E42">
        <w:rPr>
          <w:rFonts w:ascii="Times New Roman" w:hAnsi="Times New Roman" w:cs="Times New Roman"/>
          <w:color w:val="auto"/>
          <w:sz w:val="22"/>
          <w:szCs w:val="22"/>
          <w:lang w:val="sr-Latn-ME"/>
        </w:rPr>
        <w:t>Pacijenti</w:t>
      </w:r>
      <w:r w:rsidR="005D003D" w:rsidRPr="001B3E42">
        <w:rPr>
          <w:rFonts w:ascii="Times New Roman" w:hAnsi="Times New Roman" w:cs="Times New Roman"/>
          <w:color w:val="auto"/>
          <w:sz w:val="22"/>
          <w:szCs w:val="22"/>
          <w:lang w:val="sr-Latn-ME"/>
        </w:rPr>
        <w:t xml:space="preserve"> u non-MTX grupi ili nikad nisu uzimali metotreksat ili su ga pr</w:t>
      </w:r>
      <w:r w:rsidR="004B02DE" w:rsidRPr="001B3E42">
        <w:rPr>
          <w:rFonts w:ascii="Times New Roman" w:hAnsi="Times New Roman" w:cs="Times New Roman"/>
          <w:color w:val="auto"/>
          <w:sz w:val="22"/>
          <w:szCs w:val="22"/>
          <w:lang w:val="sr-Latn-ME"/>
        </w:rPr>
        <w:t xml:space="preserve">estali uzimati bar dvije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 xml:space="preserve"> prije uzimanja ispitivanog lijeka. </w:t>
      </w:r>
      <w:r w:rsidR="004B02DE" w:rsidRPr="001B3E42">
        <w:rPr>
          <w:rFonts w:ascii="Times New Roman" w:hAnsi="Times New Roman" w:cs="Times New Roman"/>
          <w:color w:val="auto"/>
          <w:sz w:val="22"/>
          <w:szCs w:val="22"/>
          <w:lang w:val="sr-Latn-ME"/>
        </w:rPr>
        <w:t>Pacijenti</w:t>
      </w:r>
      <w:r w:rsidR="005D003D" w:rsidRPr="001B3E42">
        <w:rPr>
          <w:rFonts w:ascii="Times New Roman" w:hAnsi="Times New Roman" w:cs="Times New Roman"/>
          <w:color w:val="auto"/>
          <w:sz w:val="22"/>
          <w:szCs w:val="22"/>
          <w:lang w:val="sr-Latn-ME"/>
        </w:rPr>
        <w:t xml:space="preserve"> su i dalje uzimali stabilne doze NSAID i/ili </w:t>
      </w:r>
      <w:r w:rsidR="005D003D" w:rsidRPr="001B3E42">
        <w:rPr>
          <w:rFonts w:ascii="Times New Roman" w:hAnsi="Times New Roman" w:cs="Times New Roman"/>
          <w:color w:val="auto"/>
          <w:sz w:val="22"/>
          <w:szCs w:val="22"/>
          <w:lang w:val="sr-Latn-ME"/>
        </w:rPr>
        <w:lastRenderedPageBreak/>
        <w:t xml:space="preserve">prednizona (≤0,2 mg/kg/dan ili najviše 10 mg/dan). U ovoj fazi studije (OL LI) </w:t>
      </w:r>
      <w:r w:rsidR="004B02DE" w:rsidRPr="001B3E42">
        <w:rPr>
          <w:rFonts w:ascii="Times New Roman" w:hAnsi="Times New Roman" w:cs="Times New Roman"/>
          <w:color w:val="auto"/>
          <w:sz w:val="22"/>
          <w:szCs w:val="22"/>
          <w:lang w:val="sr-Latn-ME"/>
        </w:rPr>
        <w:t>pacijenti</w:t>
      </w:r>
      <w:r w:rsidR="005D003D" w:rsidRPr="001B3E42">
        <w:rPr>
          <w:rFonts w:ascii="Times New Roman" w:hAnsi="Times New Roman" w:cs="Times New Roman"/>
          <w:color w:val="auto"/>
          <w:sz w:val="22"/>
          <w:szCs w:val="22"/>
          <w:lang w:val="sr-Latn-ME"/>
        </w:rPr>
        <w:t xml:space="preserve"> su primali 24 mg/m</w:t>
      </w:r>
      <w:r w:rsidR="005D003D" w:rsidRPr="001B3E42">
        <w:rPr>
          <w:rFonts w:ascii="Times New Roman" w:hAnsi="Times New Roman" w:cs="Times New Roman"/>
          <w:color w:val="auto"/>
          <w:sz w:val="22"/>
          <w:szCs w:val="22"/>
          <w:vertAlign w:val="superscript"/>
          <w:lang w:val="sr-Latn-ME"/>
        </w:rPr>
        <w:t>2</w:t>
      </w:r>
      <w:r w:rsidR="005D003D" w:rsidRPr="001B3E42">
        <w:rPr>
          <w:rFonts w:ascii="Times New Roman" w:hAnsi="Times New Roman" w:cs="Times New Roman"/>
          <w:color w:val="auto"/>
          <w:sz w:val="22"/>
          <w:szCs w:val="22"/>
          <w:lang w:val="sr-Latn-ME"/>
        </w:rPr>
        <w:t xml:space="preserve"> </w:t>
      </w:r>
      <w:r w:rsidR="00B11AAE" w:rsidRPr="001B3E42">
        <w:rPr>
          <w:rFonts w:ascii="Times New Roman" w:hAnsi="Times New Roman" w:cs="Times New Roman"/>
          <w:color w:val="auto"/>
          <w:sz w:val="22"/>
          <w:szCs w:val="22"/>
          <w:lang w:val="sr-Latn-ME"/>
        </w:rPr>
        <w:t xml:space="preserve">lijeka </w:t>
      </w:r>
      <w:r w:rsidR="005D003D"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xml:space="preserve"> do maksimalne doze od 4</w:t>
      </w:r>
      <w:r w:rsidR="004B02DE" w:rsidRPr="001B3E42">
        <w:rPr>
          <w:rFonts w:ascii="Times New Roman" w:hAnsi="Times New Roman" w:cs="Times New Roman"/>
          <w:color w:val="auto"/>
          <w:sz w:val="22"/>
          <w:szCs w:val="22"/>
          <w:lang w:val="sr-Latn-ME"/>
        </w:rPr>
        <w:t xml:space="preserve">0 mg </w:t>
      </w:r>
      <w:r w:rsidR="00B11AAE" w:rsidRPr="001B3E42">
        <w:rPr>
          <w:rFonts w:ascii="Times New Roman" w:hAnsi="Times New Roman" w:cs="Times New Roman"/>
          <w:color w:val="auto"/>
          <w:sz w:val="22"/>
          <w:szCs w:val="22"/>
          <w:lang w:val="sr-Latn-ME"/>
        </w:rPr>
        <w:t xml:space="preserve">lijeka </w:t>
      </w:r>
      <w:r w:rsidR="004B02DE"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4B02DE" w:rsidRPr="001B3E42">
        <w:rPr>
          <w:rFonts w:ascii="Times New Roman" w:hAnsi="Times New Roman" w:cs="Times New Roman"/>
          <w:color w:val="auto"/>
          <w:sz w:val="22"/>
          <w:szCs w:val="22"/>
          <w:lang w:val="sr-Latn-ME"/>
        </w:rPr>
        <w:t xml:space="preserve">, svake druge </w:t>
      </w:r>
      <w:r w:rsidR="009065F5" w:rsidRPr="001B3E42">
        <w:rPr>
          <w:rFonts w:ascii="Times New Roman" w:hAnsi="Times New Roman" w:cs="Times New Roman"/>
          <w:color w:val="auto"/>
          <w:sz w:val="22"/>
          <w:szCs w:val="22"/>
          <w:lang w:val="sr-Latn-ME"/>
        </w:rPr>
        <w:t>nedjelje</w:t>
      </w:r>
      <w:r w:rsidR="004B02DE" w:rsidRPr="001B3E42">
        <w:rPr>
          <w:rFonts w:ascii="Times New Roman" w:hAnsi="Times New Roman" w:cs="Times New Roman"/>
          <w:color w:val="auto"/>
          <w:sz w:val="22"/>
          <w:szCs w:val="22"/>
          <w:lang w:val="sr-Latn-ME"/>
        </w:rPr>
        <w:t xml:space="preserve"> tokom 16 </w:t>
      </w:r>
      <w:r w:rsidR="009065F5" w:rsidRPr="001B3E42">
        <w:rPr>
          <w:rFonts w:ascii="Times New Roman" w:hAnsi="Times New Roman" w:cs="Times New Roman"/>
          <w:color w:val="auto"/>
          <w:sz w:val="22"/>
          <w:szCs w:val="22"/>
          <w:lang w:val="sr-Latn-ME"/>
        </w:rPr>
        <w:t>nedjelja</w:t>
      </w:r>
      <w:r w:rsidR="005D003D" w:rsidRPr="001B3E42">
        <w:rPr>
          <w:rFonts w:ascii="Times New Roman" w:hAnsi="Times New Roman" w:cs="Times New Roman"/>
          <w:color w:val="auto"/>
          <w:sz w:val="22"/>
          <w:szCs w:val="22"/>
          <w:lang w:val="sr-Latn-ME"/>
        </w:rPr>
        <w:t xml:space="preserve">. Raspored </w:t>
      </w:r>
      <w:r w:rsidR="004B02DE" w:rsidRPr="001B3E42">
        <w:rPr>
          <w:rFonts w:ascii="Times New Roman" w:hAnsi="Times New Roman" w:cs="Times New Roman"/>
          <w:color w:val="auto"/>
          <w:sz w:val="22"/>
          <w:szCs w:val="22"/>
          <w:lang w:val="sr-Latn-ME"/>
        </w:rPr>
        <w:t>pacijenata</w:t>
      </w:r>
      <w:r w:rsidR="005D003D" w:rsidRPr="001B3E42">
        <w:rPr>
          <w:rFonts w:ascii="Times New Roman" w:hAnsi="Times New Roman" w:cs="Times New Roman"/>
          <w:color w:val="auto"/>
          <w:sz w:val="22"/>
          <w:szCs w:val="22"/>
          <w:lang w:val="sr-Latn-ME"/>
        </w:rPr>
        <w:t xml:space="preserve"> prema dobi, te minimalnoj i maksimalnoj dozi i medijanu doze tokom faze (OL LI), prikazani su u Tabeli 3. </w:t>
      </w:r>
    </w:p>
    <w:p w:rsidR="005D003D" w:rsidRPr="001B3E42" w:rsidRDefault="005D003D" w:rsidP="00BD53A4">
      <w:pPr>
        <w:pStyle w:val="Default"/>
        <w:jc w:val="center"/>
        <w:rPr>
          <w:rFonts w:ascii="Times New Roman" w:hAnsi="Times New Roman" w:cs="Times New Roman"/>
          <w:b/>
          <w:color w:val="auto"/>
          <w:sz w:val="22"/>
          <w:szCs w:val="22"/>
          <w:lang w:val="sr-Latn-ME"/>
        </w:rPr>
      </w:pPr>
      <w:r w:rsidRPr="001B3E42">
        <w:rPr>
          <w:rFonts w:ascii="Times New Roman" w:hAnsi="Times New Roman" w:cs="Times New Roman"/>
          <w:b/>
          <w:color w:val="auto"/>
          <w:sz w:val="22"/>
          <w:szCs w:val="22"/>
          <w:lang w:val="sr-Latn-ME"/>
        </w:rPr>
        <w:t>Tabela 3.</w:t>
      </w:r>
    </w:p>
    <w:p w:rsidR="005D003D" w:rsidRPr="001B3E42" w:rsidRDefault="004B02DE" w:rsidP="005760A7">
      <w:pPr>
        <w:pStyle w:val="Default"/>
        <w:ind w:left="567" w:hanging="567"/>
        <w:jc w:val="center"/>
        <w:rPr>
          <w:rFonts w:ascii="Times New Roman" w:hAnsi="Times New Roman" w:cs="Times New Roman"/>
          <w:b/>
          <w:color w:val="auto"/>
          <w:sz w:val="22"/>
          <w:szCs w:val="22"/>
          <w:lang w:val="sr-Latn-ME"/>
        </w:rPr>
      </w:pPr>
      <w:r w:rsidRPr="001B3E42">
        <w:rPr>
          <w:rFonts w:ascii="Times New Roman" w:hAnsi="Times New Roman" w:cs="Times New Roman"/>
          <w:b/>
          <w:color w:val="auto"/>
          <w:sz w:val="22"/>
          <w:szCs w:val="22"/>
          <w:lang w:val="sr-Latn-ME"/>
        </w:rPr>
        <w:t>Raspored pacijenata</w:t>
      </w:r>
      <w:r w:rsidR="005D003D" w:rsidRPr="001B3E42">
        <w:rPr>
          <w:rFonts w:ascii="Times New Roman" w:hAnsi="Times New Roman" w:cs="Times New Roman"/>
          <w:b/>
          <w:color w:val="auto"/>
          <w:sz w:val="22"/>
          <w:szCs w:val="22"/>
          <w:lang w:val="sr-Latn-ME"/>
        </w:rPr>
        <w:t xml:space="preserve"> prema dobi i dozi adalimumaba primljenoj u OL LI</w:t>
      </w:r>
      <w:r w:rsidR="003428F0">
        <w:rPr>
          <w:rFonts w:ascii="Times New Roman" w:hAnsi="Times New Roman" w:cs="Times New Roman"/>
          <w:b/>
          <w:color w:val="auto"/>
          <w:sz w:val="22"/>
          <w:szCs w:val="22"/>
          <w:lang w:val="sr-Latn-ME"/>
        </w:rPr>
        <w:t xml:space="preserve"> </w:t>
      </w:r>
      <w:r w:rsidR="005D003D" w:rsidRPr="001B3E42">
        <w:rPr>
          <w:rFonts w:ascii="Times New Roman" w:hAnsi="Times New Roman" w:cs="Times New Roman"/>
          <w:b/>
          <w:color w:val="auto"/>
          <w:sz w:val="22"/>
          <w:szCs w:val="22"/>
          <w:lang w:val="sr-Latn-ME"/>
        </w:rPr>
        <w:t>fazi studije</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3156"/>
        <w:gridCol w:w="2959"/>
      </w:tblGrid>
      <w:tr w:rsidR="005D003D" w:rsidRPr="001B3E42" w:rsidTr="005D003D">
        <w:tc>
          <w:tcPr>
            <w:tcW w:w="317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 xml:space="preserve">Starosne grupe </w:t>
            </w:r>
          </w:p>
        </w:tc>
        <w:tc>
          <w:tcPr>
            <w:tcW w:w="3525" w:type="dxa"/>
            <w:tcBorders>
              <w:top w:val="single" w:sz="4" w:space="0" w:color="auto"/>
              <w:left w:val="single" w:sz="4" w:space="0" w:color="auto"/>
              <w:bottom w:val="single" w:sz="4" w:space="0" w:color="auto"/>
              <w:right w:val="single" w:sz="4" w:space="0" w:color="auto"/>
            </w:tcBorders>
          </w:tcPr>
          <w:p w:rsidR="005D003D" w:rsidRPr="001B3E42" w:rsidRDefault="004B02DE" w:rsidP="005D003D">
            <w:pPr>
              <w:pStyle w:val="Default"/>
              <w:ind w:left="567" w:hanging="567"/>
              <w:jc w:val="both"/>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Početni broj pacijenata</w:t>
            </w:r>
            <w:r w:rsidR="005D003D" w:rsidRPr="001B3E42">
              <w:rPr>
                <w:rFonts w:ascii="Times New Roman" w:hAnsi="Times New Roman" w:cs="Times New Roman"/>
                <w:b/>
                <w:bCs/>
                <w:color w:val="auto"/>
                <w:sz w:val="22"/>
                <w:szCs w:val="22"/>
                <w:lang w:val="sr-Latn-ME"/>
              </w:rPr>
              <w:t xml:space="preserve"> n</w:t>
            </w:r>
            <w:r w:rsidR="004067E7" w:rsidRPr="001B3E42">
              <w:rPr>
                <w:rFonts w:ascii="Times New Roman" w:hAnsi="Times New Roman" w:cs="Times New Roman"/>
                <w:b/>
                <w:bCs/>
                <w:color w:val="auto"/>
                <w:sz w:val="22"/>
                <w:szCs w:val="22"/>
                <w:lang w:val="sr-Latn-ME"/>
              </w:rPr>
              <w:t xml:space="preserve"> </w:t>
            </w:r>
            <w:r w:rsidR="005D003D" w:rsidRPr="001B3E42">
              <w:rPr>
                <w:rFonts w:ascii="Times New Roman" w:hAnsi="Times New Roman" w:cs="Times New Roman"/>
                <w:b/>
                <w:bCs/>
                <w:color w:val="auto"/>
                <w:sz w:val="22"/>
                <w:szCs w:val="22"/>
                <w:lang w:val="sr-Latn-ME"/>
              </w:rPr>
              <w:t>(%)</w:t>
            </w:r>
          </w:p>
        </w:tc>
        <w:tc>
          <w:tcPr>
            <w:tcW w:w="3258"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jc w:val="both"/>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Minimalna doza, medijan</w:t>
            </w:r>
            <w:r w:rsidR="004067E7" w:rsidRPr="001B3E42">
              <w:rPr>
                <w:rFonts w:ascii="Times New Roman" w:hAnsi="Times New Roman" w:cs="Times New Roman"/>
                <w:b/>
                <w:bCs/>
                <w:color w:val="auto"/>
                <w:sz w:val="22"/>
                <w:szCs w:val="22"/>
                <w:lang w:val="sr-Latn-ME"/>
              </w:rPr>
              <w:t>a</w:t>
            </w:r>
            <w:r w:rsidRPr="001B3E42">
              <w:rPr>
                <w:rFonts w:ascii="Times New Roman" w:hAnsi="Times New Roman" w:cs="Times New Roman"/>
                <w:b/>
                <w:bCs/>
                <w:color w:val="auto"/>
                <w:sz w:val="22"/>
                <w:szCs w:val="22"/>
                <w:lang w:val="sr-Latn-ME"/>
              </w:rPr>
              <w:t xml:space="preserve"> doze i maksimalna doza </w:t>
            </w:r>
          </w:p>
        </w:tc>
      </w:tr>
      <w:tr w:rsidR="005D003D" w:rsidRPr="001B3E42" w:rsidTr="005D003D">
        <w:tc>
          <w:tcPr>
            <w:tcW w:w="317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4 do 7 godina</w:t>
            </w:r>
          </w:p>
        </w:tc>
        <w:tc>
          <w:tcPr>
            <w:tcW w:w="3525"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31 (18,1)</w:t>
            </w:r>
          </w:p>
        </w:tc>
        <w:tc>
          <w:tcPr>
            <w:tcW w:w="3258"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10, 20 i 25 mg</w:t>
            </w:r>
          </w:p>
        </w:tc>
      </w:tr>
      <w:tr w:rsidR="005D003D" w:rsidRPr="001B3E42" w:rsidTr="005D003D">
        <w:tc>
          <w:tcPr>
            <w:tcW w:w="317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8 do 12 godina</w:t>
            </w:r>
          </w:p>
        </w:tc>
        <w:tc>
          <w:tcPr>
            <w:tcW w:w="3525"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71 (41,5)</w:t>
            </w:r>
          </w:p>
        </w:tc>
        <w:tc>
          <w:tcPr>
            <w:tcW w:w="3258"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20, 25 i 40 mg</w:t>
            </w:r>
          </w:p>
        </w:tc>
      </w:tr>
      <w:tr w:rsidR="005D003D" w:rsidRPr="001B3E42" w:rsidTr="005D003D">
        <w:tc>
          <w:tcPr>
            <w:tcW w:w="317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13 do 17 godina</w:t>
            </w:r>
          </w:p>
        </w:tc>
        <w:tc>
          <w:tcPr>
            <w:tcW w:w="3525"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69 (40,4)</w:t>
            </w:r>
          </w:p>
        </w:tc>
        <w:tc>
          <w:tcPr>
            <w:tcW w:w="3258"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25, 40 i 40 mg</w:t>
            </w:r>
          </w:p>
        </w:tc>
      </w:tr>
    </w:tbl>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p>
    <w:p w:rsidR="00681949" w:rsidRPr="001B3E42" w:rsidRDefault="004B02DE" w:rsidP="005760A7">
      <w:pPr>
        <w:pStyle w:val="Default"/>
        <w:jc w:val="both"/>
        <w:rPr>
          <w:rFonts w:ascii="Times New Roman" w:hAnsi="Times New Roman" w:cs="Times New Roman"/>
          <w:b/>
          <w:color w:val="auto"/>
          <w:sz w:val="22"/>
          <w:szCs w:val="22"/>
          <w:lang w:val="sr-Latn-ME"/>
        </w:rPr>
      </w:pPr>
      <w:r w:rsidRPr="001B3E42">
        <w:rPr>
          <w:rFonts w:ascii="Times New Roman" w:hAnsi="Times New Roman" w:cs="Times New Roman"/>
          <w:color w:val="auto"/>
          <w:sz w:val="22"/>
          <w:szCs w:val="22"/>
          <w:lang w:val="sr-Latn-ME"/>
        </w:rPr>
        <w:t>P</w:t>
      </w:r>
      <w:r w:rsidR="00261C26"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cijenti koji su u 16-oj </w:t>
      </w:r>
      <w:r w:rsidR="009065F5" w:rsidRPr="001B3E42">
        <w:rPr>
          <w:rFonts w:ascii="Times New Roman" w:hAnsi="Times New Roman" w:cs="Times New Roman"/>
          <w:color w:val="auto"/>
          <w:sz w:val="22"/>
          <w:szCs w:val="22"/>
          <w:lang w:val="sr-Latn-ME"/>
        </w:rPr>
        <w:t>nedjelji</w:t>
      </w:r>
      <w:r w:rsidR="005D003D" w:rsidRPr="001B3E42">
        <w:rPr>
          <w:rFonts w:ascii="Times New Roman" w:hAnsi="Times New Roman" w:cs="Times New Roman"/>
          <w:color w:val="auto"/>
          <w:sz w:val="22"/>
          <w:szCs w:val="22"/>
          <w:lang w:val="sr-Latn-ME"/>
        </w:rPr>
        <w:t xml:space="preserve"> pokazali klinički odgovor koji odgovara</w:t>
      </w:r>
      <w:r w:rsidR="0011658F" w:rsidRPr="001B3E42">
        <w:rPr>
          <w:rFonts w:ascii="Times New Roman" w:hAnsi="Times New Roman" w:cs="Times New Roman"/>
          <w:color w:val="auto"/>
          <w:sz w:val="22"/>
          <w:szCs w:val="22"/>
          <w:lang w:val="sr-Latn-ME"/>
        </w:rPr>
        <w:t xml:space="preserve"> Pediatric ACR 30, randomizovani</w:t>
      </w:r>
      <w:r w:rsidR="005D003D" w:rsidRPr="001B3E42">
        <w:rPr>
          <w:rFonts w:ascii="Times New Roman" w:hAnsi="Times New Roman" w:cs="Times New Roman"/>
          <w:color w:val="auto"/>
          <w:sz w:val="22"/>
          <w:szCs w:val="22"/>
          <w:lang w:val="sr-Latn-ME"/>
        </w:rPr>
        <w:t xml:space="preserve"> su u dvostruko slijepu fazu studije i primili 24 mg/m</w:t>
      </w:r>
      <w:r w:rsidR="005D003D" w:rsidRPr="001B3E42">
        <w:rPr>
          <w:rFonts w:ascii="Times New Roman" w:hAnsi="Times New Roman" w:cs="Times New Roman"/>
          <w:color w:val="auto"/>
          <w:sz w:val="22"/>
          <w:szCs w:val="22"/>
          <w:vertAlign w:val="superscript"/>
          <w:lang w:val="sr-Latn-ME"/>
        </w:rPr>
        <w:t>2</w:t>
      </w:r>
      <w:r w:rsidR="005D003D" w:rsidRPr="001B3E42">
        <w:rPr>
          <w:rFonts w:ascii="Times New Roman" w:hAnsi="Times New Roman" w:cs="Times New Roman"/>
          <w:color w:val="auto"/>
          <w:sz w:val="22"/>
          <w:szCs w:val="22"/>
          <w:lang w:val="sr-Latn-ME"/>
        </w:rPr>
        <w:t xml:space="preserve"> </w:t>
      </w:r>
      <w:r w:rsidR="00B11AAE" w:rsidRPr="001B3E42">
        <w:rPr>
          <w:rFonts w:ascii="Times New Roman" w:hAnsi="Times New Roman" w:cs="Times New Roman"/>
          <w:color w:val="auto"/>
          <w:sz w:val="22"/>
          <w:szCs w:val="22"/>
          <w:lang w:val="sr-Latn-ME"/>
        </w:rPr>
        <w:t xml:space="preserve">lijeka </w:t>
      </w:r>
      <w:r w:rsidR="005D003D"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xml:space="preserve">, do maksimalne doze od 40 mg </w:t>
      </w:r>
      <w:r w:rsidR="00B11AAE" w:rsidRPr="001B3E42">
        <w:rPr>
          <w:rFonts w:ascii="Times New Roman" w:hAnsi="Times New Roman" w:cs="Times New Roman"/>
          <w:color w:val="auto"/>
          <w:sz w:val="22"/>
          <w:szCs w:val="22"/>
          <w:lang w:val="sr-Latn-ME"/>
        </w:rPr>
        <w:t xml:space="preserve">lijeka </w:t>
      </w:r>
      <w:r w:rsidR="005D003D"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odno</w:t>
      </w:r>
      <w:r w:rsidRPr="001B3E42">
        <w:rPr>
          <w:rFonts w:ascii="Times New Roman" w:hAnsi="Times New Roman" w:cs="Times New Roman"/>
          <w:color w:val="auto"/>
          <w:sz w:val="22"/>
          <w:szCs w:val="22"/>
          <w:lang w:val="sr-Latn-ME"/>
        </w:rPr>
        <w:t xml:space="preserve">sno placebo, svake druge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tokom 32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 xml:space="preserve">, odnosno do </w:t>
      </w:r>
      <w:r w:rsidR="001E345A" w:rsidRPr="001B3E42">
        <w:rPr>
          <w:rFonts w:ascii="Times New Roman" w:hAnsi="Times New Roman" w:cs="Times New Roman"/>
          <w:color w:val="auto"/>
          <w:sz w:val="22"/>
          <w:szCs w:val="22"/>
          <w:lang w:val="sr-Latn-ME"/>
        </w:rPr>
        <w:t xml:space="preserve">progresije </w:t>
      </w:r>
      <w:r w:rsidR="005D003D" w:rsidRPr="001B3E42">
        <w:rPr>
          <w:rFonts w:ascii="Times New Roman" w:hAnsi="Times New Roman" w:cs="Times New Roman"/>
          <w:color w:val="auto"/>
          <w:sz w:val="22"/>
          <w:szCs w:val="22"/>
          <w:lang w:val="sr-Latn-ME"/>
        </w:rPr>
        <w:t>boles</w:t>
      </w:r>
      <w:r w:rsidR="00261C26" w:rsidRPr="001B3E42">
        <w:rPr>
          <w:rFonts w:ascii="Times New Roman" w:hAnsi="Times New Roman" w:cs="Times New Roman"/>
          <w:color w:val="auto"/>
          <w:sz w:val="22"/>
          <w:szCs w:val="22"/>
          <w:lang w:val="sr-Latn-ME"/>
        </w:rPr>
        <w:t xml:space="preserve">ti. </w:t>
      </w:r>
      <w:r w:rsidR="001E345A" w:rsidRPr="001B3E42">
        <w:rPr>
          <w:rFonts w:ascii="Times New Roman" w:hAnsi="Times New Roman" w:cs="Times New Roman"/>
          <w:color w:val="auto"/>
          <w:sz w:val="22"/>
          <w:szCs w:val="22"/>
          <w:lang w:val="sr-Latn-ME"/>
        </w:rPr>
        <w:t xml:space="preserve">Progresija </w:t>
      </w:r>
      <w:r w:rsidR="00261C26" w:rsidRPr="001B3E42">
        <w:rPr>
          <w:rFonts w:ascii="Times New Roman" w:hAnsi="Times New Roman" w:cs="Times New Roman"/>
          <w:color w:val="auto"/>
          <w:sz w:val="22"/>
          <w:szCs w:val="22"/>
          <w:lang w:val="sr-Latn-ME"/>
        </w:rPr>
        <w:t>bolesti definis</w:t>
      </w:r>
      <w:r w:rsidR="005D003D" w:rsidRPr="001B3E42">
        <w:rPr>
          <w:rFonts w:ascii="Times New Roman" w:hAnsi="Times New Roman" w:cs="Times New Roman"/>
          <w:color w:val="auto"/>
          <w:sz w:val="22"/>
          <w:szCs w:val="22"/>
          <w:lang w:val="sr-Latn-ME"/>
        </w:rPr>
        <w:t xml:space="preserve">ana je pogoršanjem od ≥ 30% od početnog stanja u ≥ 3 od 6 Pediatric ACR ključnih kriterija, ≥ 2 aktivna zgloba i poboljšanje veće od 30% u </w:t>
      </w:r>
      <w:r w:rsidRPr="001B3E42">
        <w:rPr>
          <w:rFonts w:ascii="Times New Roman" w:hAnsi="Times New Roman" w:cs="Times New Roman"/>
          <w:color w:val="auto"/>
          <w:sz w:val="22"/>
          <w:szCs w:val="22"/>
          <w:lang w:val="sr-Latn-ME"/>
        </w:rPr>
        <w:t xml:space="preserve">najviše jednom od šest kriterijuma. Nakon 32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 odnosno nakon</w:t>
      </w:r>
      <w:r w:rsidRPr="001B3E42">
        <w:rPr>
          <w:rFonts w:ascii="Times New Roman" w:hAnsi="Times New Roman" w:cs="Times New Roman"/>
          <w:color w:val="auto"/>
          <w:sz w:val="22"/>
          <w:szCs w:val="22"/>
          <w:lang w:val="sr-Latn-ME"/>
        </w:rPr>
        <w:t xml:space="preserve"> </w:t>
      </w:r>
      <w:r w:rsidR="001E345A" w:rsidRPr="001B3E42">
        <w:rPr>
          <w:rFonts w:ascii="Times New Roman" w:hAnsi="Times New Roman" w:cs="Times New Roman"/>
          <w:color w:val="auto"/>
          <w:sz w:val="22"/>
          <w:szCs w:val="22"/>
          <w:lang w:val="sr-Latn-ME"/>
        </w:rPr>
        <w:t xml:space="preserve">progresije </w:t>
      </w:r>
      <w:r w:rsidRPr="001B3E42">
        <w:rPr>
          <w:rFonts w:ascii="Times New Roman" w:hAnsi="Times New Roman" w:cs="Times New Roman"/>
          <w:color w:val="auto"/>
          <w:sz w:val="22"/>
          <w:szCs w:val="22"/>
          <w:lang w:val="sr-Latn-ME"/>
        </w:rPr>
        <w:t>bolesti, pacijenti</w:t>
      </w:r>
      <w:r w:rsidR="005D003D" w:rsidRPr="001B3E42">
        <w:rPr>
          <w:rFonts w:ascii="Times New Roman" w:hAnsi="Times New Roman" w:cs="Times New Roman"/>
          <w:color w:val="auto"/>
          <w:sz w:val="22"/>
          <w:szCs w:val="22"/>
          <w:lang w:val="sr-Latn-ME"/>
        </w:rPr>
        <w:t xml:space="preserve"> su bili uključeni u otvoren</w:t>
      </w:r>
      <w:r w:rsidR="001E345A" w:rsidRPr="001B3E42">
        <w:rPr>
          <w:rFonts w:ascii="Times New Roman" w:hAnsi="Times New Roman" w:cs="Times New Roman"/>
          <w:color w:val="auto"/>
          <w:sz w:val="22"/>
          <w:szCs w:val="22"/>
          <w:lang w:val="sr-Latn-ME"/>
        </w:rPr>
        <w:t>u</w:t>
      </w:r>
      <w:r w:rsidR="005D003D" w:rsidRPr="001B3E42">
        <w:rPr>
          <w:rFonts w:ascii="Times New Roman" w:hAnsi="Times New Roman" w:cs="Times New Roman"/>
          <w:color w:val="auto"/>
          <w:sz w:val="22"/>
          <w:szCs w:val="22"/>
          <w:lang w:val="sr-Latn-ME"/>
        </w:rPr>
        <w:t xml:space="preserve"> </w:t>
      </w:r>
      <w:r w:rsidR="001E345A" w:rsidRPr="001B3E42">
        <w:rPr>
          <w:rFonts w:ascii="Times New Roman" w:hAnsi="Times New Roman" w:cs="Times New Roman"/>
          <w:color w:val="auto"/>
          <w:sz w:val="22"/>
          <w:szCs w:val="22"/>
          <w:lang w:val="sr-Latn-ME"/>
        </w:rPr>
        <w:t>produženu fazu</w:t>
      </w:r>
      <w:r w:rsidR="005D003D" w:rsidRPr="001B3E42">
        <w:rPr>
          <w:rFonts w:ascii="Times New Roman" w:hAnsi="Times New Roman" w:cs="Times New Roman"/>
          <w:color w:val="auto"/>
          <w:sz w:val="22"/>
          <w:szCs w:val="22"/>
          <w:lang w:val="sr-Latn-ME"/>
        </w:rPr>
        <w:t xml:space="preserve"> studije.</w:t>
      </w:r>
    </w:p>
    <w:p w:rsidR="005D003D" w:rsidRPr="001B3E42" w:rsidRDefault="005D003D" w:rsidP="00BD53A4">
      <w:pPr>
        <w:pStyle w:val="Default"/>
        <w:jc w:val="center"/>
        <w:rPr>
          <w:rFonts w:ascii="Times New Roman" w:hAnsi="Times New Roman" w:cs="Times New Roman"/>
          <w:b/>
          <w:color w:val="auto"/>
          <w:sz w:val="22"/>
          <w:szCs w:val="22"/>
          <w:lang w:val="sr-Latn-ME"/>
        </w:rPr>
      </w:pPr>
      <w:r w:rsidRPr="001B3E42">
        <w:rPr>
          <w:rFonts w:ascii="Times New Roman" w:hAnsi="Times New Roman" w:cs="Times New Roman"/>
          <w:b/>
          <w:color w:val="auto"/>
          <w:sz w:val="22"/>
          <w:szCs w:val="22"/>
          <w:lang w:val="sr-Latn-ME"/>
        </w:rPr>
        <w:t>Tabela 4.</w:t>
      </w:r>
    </w:p>
    <w:p w:rsidR="005D003D" w:rsidRPr="001B3E42" w:rsidRDefault="005D003D" w:rsidP="005D003D">
      <w:pPr>
        <w:pStyle w:val="Default"/>
        <w:ind w:left="567" w:hanging="567"/>
        <w:jc w:val="center"/>
        <w:rPr>
          <w:rFonts w:ascii="Times New Roman" w:hAnsi="Times New Roman" w:cs="Times New Roman"/>
          <w:b/>
          <w:color w:val="auto"/>
          <w:sz w:val="22"/>
          <w:szCs w:val="22"/>
          <w:lang w:val="sr-Latn-ME"/>
        </w:rPr>
      </w:pPr>
      <w:r w:rsidRPr="001B3E42">
        <w:rPr>
          <w:rFonts w:ascii="Times New Roman" w:hAnsi="Times New Roman" w:cs="Times New Roman"/>
          <w:b/>
          <w:color w:val="auto"/>
          <w:sz w:val="22"/>
          <w:szCs w:val="22"/>
          <w:lang w:val="sr-Latn-ME"/>
        </w:rPr>
        <w:t>Ped ACR 30 odgovori s</w:t>
      </w:r>
      <w:r w:rsidR="003B2D1D" w:rsidRPr="001B3E42">
        <w:rPr>
          <w:rFonts w:ascii="Times New Roman" w:hAnsi="Times New Roman" w:cs="Times New Roman"/>
          <w:b/>
          <w:color w:val="auto"/>
          <w:sz w:val="22"/>
          <w:szCs w:val="22"/>
          <w:lang w:val="sr-Latn-ME"/>
        </w:rPr>
        <w:t>a</w:t>
      </w:r>
      <w:r w:rsidRPr="001B3E42">
        <w:rPr>
          <w:rFonts w:ascii="Times New Roman" w:hAnsi="Times New Roman" w:cs="Times New Roman"/>
          <w:b/>
          <w:color w:val="auto"/>
          <w:sz w:val="22"/>
          <w:szCs w:val="22"/>
          <w:lang w:val="sr-Latn-ME"/>
        </w:rPr>
        <w:t xml:space="preserve"> studijama s juvenilnim idiopatskim artritisom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652"/>
        <w:gridCol w:w="1662"/>
        <w:gridCol w:w="1713"/>
        <w:gridCol w:w="1736"/>
      </w:tblGrid>
      <w:tr w:rsidR="005D003D" w:rsidRPr="001B3E42" w:rsidTr="005D003D">
        <w:tc>
          <w:tcPr>
            <w:tcW w:w="251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b/>
                <w:color w:val="auto"/>
                <w:sz w:val="22"/>
                <w:szCs w:val="22"/>
                <w:lang w:val="sr-Latn-ME"/>
              </w:rPr>
            </w:pPr>
            <w:r w:rsidRPr="001B3E42">
              <w:rPr>
                <w:rFonts w:ascii="Times New Roman" w:hAnsi="Times New Roman" w:cs="Times New Roman"/>
                <w:b/>
                <w:color w:val="auto"/>
                <w:sz w:val="22"/>
                <w:szCs w:val="22"/>
                <w:lang w:val="sr-Latn-ME"/>
              </w:rPr>
              <w:t>Grupa</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MTX</w:t>
            </w:r>
          </w:p>
        </w:tc>
        <w:tc>
          <w:tcPr>
            <w:tcW w:w="3449"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Bez MTX</w:t>
            </w:r>
          </w:p>
        </w:tc>
      </w:tr>
      <w:tr w:rsidR="005D003D" w:rsidRPr="001B3E42" w:rsidTr="005D003D">
        <w:tc>
          <w:tcPr>
            <w:tcW w:w="251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Faza</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p>
        </w:tc>
        <w:tc>
          <w:tcPr>
            <w:tcW w:w="3449"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p>
        </w:tc>
      </w:tr>
      <w:tr w:rsidR="005D003D" w:rsidRPr="001B3E42" w:rsidTr="005D003D">
        <w:tc>
          <w:tcPr>
            <w:tcW w:w="251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OL LI – 16 </w:t>
            </w:r>
            <w:r w:rsidR="009065F5" w:rsidRPr="001B3E42">
              <w:rPr>
                <w:rFonts w:ascii="Times New Roman" w:hAnsi="Times New Roman" w:cs="Times New Roman"/>
                <w:color w:val="auto"/>
                <w:sz w:val="22"/>
                <w:szCs w:val="22"/>
                <w:lang w:val="sr-Latn-ME"/>
              </w:rPr>
              <w:t>nedjelja</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p>
        </w:tc>
        <w:tc>
          <w:tcPr>
            <w:tcW w:w="3449"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p>
        </w:tc>
      </w:tr>
      <w:tr w:rsidR="005D003D" w:rsidRPr="001B3E42" w:rsidTr="005D003D">
        <w:tc>
          <w:tcPr>
            <w:tcW w:w="251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Ped ACR 30 odgovor (n/N)</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94,1% (80/85)</w:t>
            </w:r>
          </w:p>
        </w:tc>
        <w:tc>
          <w:tcPr>
            <w:tcW w:w="3449" w:type="dxa"/>
            <w:gridSpan w:val="2"/>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74,4% (64/86)</w:t>
            </w:r>
          </w:p>
        </w:tc>
      </w:tr>
      <w:tr w:rsidR="005D003D" w:rsidRPr="001B3E42" w:rsidTr="005D003D">
        <w:trPr>
          <w:cantSplit/>
        </w:trPr>
        <w:tc>
          <w:tcPr>
            <w:tcW w:w="2517" w:type="dxa"/>
            <w:tcBorders>
              <w:top w:val="single" w:sz="4" w:space="0" w:color="auto"/>
              <w:left w:val="single" w:sz="4" w:space="0" w:color="auto"/>
              <w:bottom w:val="single" w:sz="4" w:space="0" w:color="auto"/>
              <w:right w:val="nil"/>
            </w:tcBorders>
          </w:tcPr>
          <w:p w:rsidR="005D003D" w:rsidRPr="001B3E42" w:rsidRDefault="005D003D" w:rsidP="005D003D">
            <w:pPr>
              <w:pStyle w:val="Default"/>
              <w:jc w:val="center"/>
              <w:rPr>
                <w:rFonts w:ascii="Times New Roman" w:hAnsi="Times New Roman" w:cs="Times New Roman"/>
                <w:color w:val="auto"/>
                <w:sz w:val="22"/>
                <w:szCs w:val="22"/>
                <w:lang w:val="sr-Latn-ME"/>
              </w:rPr>
            </w:pPr>
          </w:p>
        </w:tc>
        <w:tc>
          <w:tcPr>
            <w:tcW w:w="3314" w:type="dxa"/>
            <w:gridSpan w:val="2"/>
            <w:tcBorders>
              <w:top w:val="single" w:sz="4" w:space="0" w:color="auto"/>
              <w:left w:val="nil"/>
              <w:bottom w:val="single" w:sz="4" w:space="0" w:color="auto"/>
              <w:right w:val="nil"/>
            </w:tcBorders>
          </w:tcPr>
          <w:p w:rsidR="005D003D" w:rsidRPr="001B3E42" w:rsidRDefault="004B02DE"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Rezultat </w:t>
            </w:r>
            <w:r w:rsidR="00686E37" w:rsidRPr="001B3E42">
              <w:rPr>
                <w:rFonts w:ascii="Times New Roman" w:hAnsi="Times New Roman" w:cs="Times New Roman"/>
                <w:color w:val="auto"/>
                <w:sz w:val="22"/>
                <w:szCs w:val="22"/>
                <w:lang w:val="sr-Latn-ME"/>
              </w:rPr>
              <w:t>efikasnosti</w:t>
            </w:r>
          </w:p>
        </w:tc>
        <w:tc>
          <w:tcPr>
            <w:tcW w:w="3449" w:type="dxa"/>
            <w:gridSpan w:val="2"/>
            <w:tcBorders>
              <w:top w:val="single" w:sz="4" w:space="0" w:color="auto"/>
              <w:left w:val="nil"/>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p>
        </w:tc>
      </w:tr>
      <w:tr w:rsidR="005D003D" w:rsidRPr="001B3E42" w:rsidTr="005D003D">
        <w:trPr>
          <w:cantSplit/>
        </w:trPr>
        <w:tc>
          <w:tcPr>
            <w:tcW w:w="2517"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Dvostruko slijepa 32 </w:t>
            </w:r>
            <w:r w:rsidR="009065F5" w:rsidRPr="001B3E42">
              <w:rPr>
                <w:rFonts w:ascii="Times New Roman" w:hAnsi="Times New Roman" w:cs="Times New Roman"/>
                <w:color w:val="auto"/>
                <w:sz w:val="22"/>
                <w:szCs w:val="22"/>
                <w:lang w:val="sr-Latn-ME"/>
              </w:rPr>
              <w:t>nedjelja</w:t>
            </w:r>
          </w:p>
        </w:tc>
        <w:tc>
          <w:tcPr>
            <w:tcW w:w="1652"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Humira/MTX (N=38)</w:t>
            </w:r>
          </w:p>
        </w:tc>
        <w:tc>
          <w:tcPr>
            <w:tcW w:w="1662"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Placebo/MTX</w:t>
            </w:r>
          </w:p>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(N=37)</w:t>
            </w:r>
          </w:p>
        </w:tc>
        <w:tc>
          <w:tcPr>
            <w:tcW w:w="1713"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Humira(N=30)</w:t>
            </w:r>
          </w:p>
        </w:tc>
        <w:tc>
          <w:tcPr>
            <w:tcW w:w="1736" w:type="dxa"/>
            <w:tcBorders>
              <w:top w:val="single" w:sz="4" w:space="0" w:color="auto"/>
              <w:left w:val="single" w:sz="4" w:space="0" w:color="auto"/>
              <w:bottom w:val="single" w:sz="4" w:space="0" w:color="auto"/>
              <w:right w:val="single" w:sz="4" w:space="0" w:color="auto"/>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Placebo(N=28)</w:t>
            </w:r>
          </w:p>
        </w:tc>
      </w:tr>
      <w:tr w:rsidR="005D003D" w:rsidRPr="001B3E42" w:rsidTr="005D003D">
        <w:trPr>
          <w:cantSplit/>
        </w:trPr>
        <w:tc>
          <w:tcPr>
            <w:tcW w:w="2517" w:type="dxa"/>
            <w:tcBorders>
              <w:top w:val="single" w:sz="4" w:space="0" w:color="auto"/>
              <w:left w:val="single" w:sz="4" w:space="0" w:color="auto"/>
              <w:bottom w:val="single" w:sz="4" w:space="0" w:color="auto"/>
              <w:right w:val="single" w:sz="4" w:space="0" w:color="auto"/>
            </w:tcBorders>
          </w:tcPr>
          <w:p w:rsidR="005D003D" w:rsidRPr="001B3E42" w:rsidRDefault="003B2D1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Progresija </w:t>
            </w:r>
            <w:r w:rsidR="005D003D" w:rsidRPr="001B3E42">
              <w:rPr>
                <w:rFonts w:ascii="Times New Roman" w:hAnsi="Times New Roman" w:cs="Times New Roman"/>
                <w:color w:val="auto"/>
                <w:sz w:val="22"/>
                <w:szCs w:val="22"/>
                <w:lang w:val="sr-Latn-ME"/>
              </w:rPr>
              <w:t>bolesti</w:t>
            </w:r>
            <w:r w:rsidR="004B02DE" w:rsidRPr="001B3E42">
              <w:rPr>
                <w:rFonts w:ascii="Times New Roman" w:hAnsi="Times New Roman" w:cs="Times New Roman"/>
                <w:color w:val="auto"/>
                <w:sz w:val="22"/>
                <w:szCs w:val="22"/>
                <w:lang w:val="sr-Latn-ME"/>
              </w:rPr>
              <w:t xml:space="preserve"> pri kraju perioda od 32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vertAlign w:val="superscript"/>
                <w:lang w:val="sr-Latn-ME"/>
              </w:rPr>
              <w:t>a</w:t>
            </w:r>
            <w:r w:rsidR="005D003D" w:rsidRPr="001B3E42">
              <w:rPr>
                <w:rFonts w:ascii="Times New Roman" w:hAnsi="Times New Roman" w:cs="Times New Roman"/>
                <w:color w:val="auto"/>
                <w:sz w:val="22"/>
                <w:szCs w:val="22"/>
                <w:lang w:val="sr-Latn-ME"/>
              </w:rPr>
              <w:t xml:space="preserve"> (n/N)</w:t>
            </w:r>
          </w:p>
        </w:tc>
        <w:tc>
          <w:tcPr>
            <w:tcW w:w="1652"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36,8% (14/38)</w:t>
            </w:r>
          </w:p>
        </w:tc>
        <w:tc>
          <w:tcPr>
            <w:tcW w:w="1662"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64,9% (24/37)</w:t>
            </w:r>
            <w:r w:rsidRPr="001B3E42">
              <w:rPr>
                <w:rFonts w:ascii="Times New Roman" w:hAnsi="Times New Roman" w:cs="Times New Roman"/>
                <w:color w:val="auto"/>
                <w:sz w:val="22"/>
                <w:szCs w:val="22"/>
                <w:vertAlign w:val="superscript"/>
                <w:lang w:val="sr-Latn-ME"/>
              </w:rPr>
              <w:t>b</w:t>
            </w:r>
          </w:p>
        </w:tc>
        <w:tc>
          <w:tcPr>
            <w:tcW w:w="1713"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43,3% (13/30)</w:t>
            </w:r>
          </w:p>
        </w:tc>
        <w:tc>
          <w:tcPr>
            <w:tcW w:w="1736"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71,4% (20/28)</w:t>
            </w:r>
            <w:r w:rsidRPr="001B3E42">
              <w:rPr>
                <w:rFonts w:ascii="Times New Roman" w:hAnsi="Times New Roman" w:cs="Times New Roman"/>
                <w:color w:val="auto"/>
                <w:sz w:val="22"/>
                <w:szCs w:val="22"/>
                <w:vertAlign w:val="superscript"/>
                <w:lang w:val="sr-Latn-ME"/>
              </w:rPr>
              <w:t>c</w:t>
            </w:r>
          </w:p>
        </w:tc>
      </w:tr>
      <w:tr w:rsidR="005D003D" w:rsidRPr="001B3E42" w:rsidTr="005D003D">
        <w:trPr>
          <w:cantSplit/>
        </w:trPr>
        <w:tc>
          <w:tcPr>
            <w:tcW w:w="2517" w:type="dxa"/>
            <w:tcBorders>
              <w:top w:val="single" w:sz="4" w:space="0" w:color="auto"/>
              <w:left w:val="single" w:sz="4" w:space="0" w:color="auto"/>
              <w:bottom w:val="single" w:sz="4" w:space="0" w:color="auto"/>
              <w:right w:val="single" w:sz="4" w:space="0" w:color="auto"/>
            </w:tcBorders>
          </w:tcPr>
          <w:p w:rsidR="005D003D" w:rsidRPr="001B3E42" w:rsidRDefault="005D003D" w:rsidP="003B2D1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Medijan</w:t>
            </w:r>
            <w:r w:rsidR="003B2D1D"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vremena proteklog do </w:t>
            </w:r>
            <w:r w:rsidR="003B2D1D" w:rsidRPr="001B3E42">
              <w:rPr>
                <w:rFonts w:ascii="Times New Roman" w:hAnsi="Times New Roman" w:cs="Times New Roman"/>
                <w:color w:val="auto"/>
                <w:sz w:val="22"/>
                <w:szCs w:val="22"/>
                <w:lang w:val="sr-Latn-ME"/>
              </w:rPr>
              <w:t xml:space="preserve">progresije </w:t>
            </w:r>
            <w:r w:rsidRPr="001B3E42">
              <w:rPr>
                <w:rFonts w:ascii="Times New Roman" w:hAnsi="Times New Roman" w:cs="Times New Roman"/>
                <w:color w:val="auto"/>
                <w:sz w:val="22"/>
                <w:szCs w:val="22"/>
                <w:lang w:val="sr-Latn-ME"/>
              </w:rPr>
              <w:t>bolesti</w:t>
            </w:r>
          </w:p>
        </w:tc>
        <w:tc>
          <w:tcPr>
            <w:tcW w:w="1652"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&gt;32 </w:t>
            </w:r>
            <w:r w:rsidR="009065F5" w:rsidRPr="001B3E42">
              <w:rPr>
                <w:rFonts w:ascii="Times New Roman" w:hAnsi="Times New Roman" w:cs="Times New Roman"/>
                <w:color w:val="auto"/>
                <w:sz w:val="22"/>
                <w:szCs w:val="22"/>
                <w:lang w:val="sr-Latn-ME"/>
              </w:rPr>
              <w:t>nedjelje</w:t>
            </w:r>
          </w:p>
        </w:tc>
        <w:tc>
          <w:tcPr>
            <w:tcW w:w="1662"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20 </w:t>
            </w:r>
            <w:r w:rsidR="009065F5" w:rsidRPr="001B3E42">
              <w:rPr>
                <w:rFonts w:ascii="Times New Roman" w:hAnsi="Times New Roman" w:cs="Times New Roman"/>
                <w:color w:val="auto"/>
                <w:sz w:val="22"/>
                <w:szCs w:val="22"/>
                <w:lang w:val="sr-Latn-ME"/>
              </w:rPr>
              <w:t>nedjelj</w:t>
            </w:r>
            <w:r w:rsidR="003B2D1D" w:rsidRPr="001B3E42">
              <w:rPr>
                <w:rFonts w:ascii="Times New Roman" w:hAnsi="Times New Roman" w:cs="Times New Roman"/>
                <w:color w:val="auto"/>
                <w:sz w:val="22"/>
                <w:szCs w:val="22"/>
                <w:lang w:val="sr-Latn-ME"/>
              </w:rPr>
              <w:t>a</w:t>
            </w:r>
          </w:p>
        </w:tc>
        <w:tc>
          <w:tcPr>
            <w:tcW w:w="1713"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&gt;32 </w:t>
            </w:r>
            <w:r w:rsidR="009065F5" w:rsidRPr="001B3E42">
              <w:rPr>
                <w:rFonts w:ascii="Times New Roman" w:hAnsi="Times New Roman" w:cs="Times New Roman"/>
                <w:color w:val="auto"/>
                <w:sz w:val="22"/>
                <w:szCs w:val="22"/>
                <w:lang w:val="sr-Latn-ME"/>
              </w:rPr>
              <w:t>nedjelje</w:t>
            </w:r>
          </w:p>
        </w:tc>
        <w:tc>
          <w:tcPr>
            <w:tcW w:w="1736" w:type="dxa"/>
            <w:tcBorders>
              <w:top w:val="single" w:sz="4" w:space="0" w:color="auto"/>
              <w:left w:val="single" w:sz="4" w:space="0" w:color="auto"/>
              <w:bottom w:val="single" w:sz="4" w:space="0" w:color="auto"/>
              <w:right w:val="single" w:sz="4" w:space="0" w:color="auto"/>
            </w:tcBorders>
            <w:vAlign w:val="center"/>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14 </w:t>
            </w:r>
            <w:r w:rsidR="009065F5" w:rsidRPr="001B3E42">
              <w:rPr>
                <w:rFonts w:ascii="Times New Roman" w:hAnsi="Times New Roman" w:cs="Times New Roman"/>
                <w:color w:val="auto"/>
                <w:sz w:val="22"/>
                <w:szCs w:val="22"/>
                <w:lang w:val="sr-Latn-ME"/>
              </w:rPr>
              <w:t>nedjelj</w:t>
            </w:r>
            <w:r w:rsidR="003B2D1D" w:rsidRPr="001B3E42">
              <w:rPr>
                <w:rFonts w:ascii="Times New Roman" w:hAnsi="Times New Roman" w:cs="Times New Roman"/>
                <w:color w:val="auto"/>
                <w:sz w:val="22"/>
                <w:szCs w:val="22"/>
                <w:lang w:val="sr-Latn-ME"/>
              </w:rPr>
              <w:t>a</w:t>
            </w:r>
          </w:p>
        </w:tc>
      </w:tr>
    </w:tbl>
    <w:p w:rsidR="00A218D1" w:rsidRPr="003428F0" w:rsidRDefault="005D003D" w:rsidP="004B02DE">
      <w:pPr>
        <w:pStyle w:val="Default"/>
        <w:jc w:val="both"/>
        <w:rPr>
          <w:rFonts w:ascii="Times New Roman" w:hAnsi="Times New Roman" w:cs="Times New Roman"/>
          <w:color w:val="auto"/>
          <w:sz w:val="20"/>
          <w:szCs w:val="20"/>
          <w:lang w:val="sr-Latn-ME"/>
        </w:rPr>
      </w:pPr>
      <w:r w:rsidRPr="003428F0">
        <w:rPr>
          <w:rFonts w:ascii="Times New Roman" w:hAnsi="Times New Roman" w:cs="Times New Roman"/>
          <w:color w:val="auto"/>
          <w:sz w:val="20"/>
          <w:szCs w:val="20"/>
          <w:vertAlign w:val="superscript"/>
          <w:lang w:val="sr-Latn-ME"/>
        </w:rPr>
        <w:t xml:space="preserve">a </w:t>
      </w:r>
      <w:r w:rsidRPr="003428F0">
        <w:rPr>
          <w:rFonts w:ascii="Times New Roman" w:hAnsi="Times New Roman" w:cs="Times New Roman"/>
          <w:color w:val="auto"/>
          <w:sz w:val="20"/>
          <w:szCs w:val="20"/>
          <w:lang w:val="sr-Latn-ME"/>
        </w:rPr>
        <w:t xml:space="preserve">Ped ACR 30/50/70 klinički odgovori </w:t>
      </w:r>
      <w:r w:rsidR="009E7D4D" w:rsidRPr="003428F0">
        <w:rPr>
          <w:rFonts w:ascii="Times New Roman" w:hAnsi="Times New Roman" w:cs="Times New Roman"/>
          <w:color w:val="auto"/>
          <w:sz w:val="20"/>
          <w:szCs w:val="20"/>
          <w:lang w:val="sr-Latn-ME"/>
        </w:rPr>
        <w:t xml:space="preserve">u </w:t>
      </w:r>
      <w:r w:rsidRPr="003428F0">
        <w:rPr>
          <w:rFonts w:ascii="Times New Roman" w:hAnsi="Times New Roman" w:cs="Times New Roman"/>
          <w:color w:val="auto"/>
          <w:sz w:val="20"/>
          <w:szCs w:val="20"/>
          <w:lang w:val="sr-Latn-ME"/>
        </w:rPr>
        <w:t>48</w:t>
      </w:r>
      <w:r w:rsidR="009E7D4D" w:rsidRPr="003428F0">
        <w:rPr>
          <w:rFonts w:ascii="Times New Roman" w:hAnsi="Times New Roman" w:cs="Times New Roman"/>
          <w:color w:val="auto"/>
          <w:sz w:val="20"/>
          <w:szCs w:val="20"/>
          <w:lang w:val="sr-Latn-ME"/>
        </w:rPr>
        <w:t>.</w:t>
      </w:r>
      <w:r w:rsidRPr="003428F0">
        <w:rPr>
          <w:rFonts w:ascii="Times New Roman" w:hAnsi="Times New Roman" w:cs="Times New Roman"/>
          <w:color w:val="auto"/>
          <w:sz w:val="20"/>
          <w:szCs w:val="20"/>
          <w:lang w:val="sr-Latn-ME"/>
        </w:rPr>
        <w:t xml:space="preserve"> </w:t>
      </w:r>
      <w:r w:rsidR="00A218D1" w:rsidRPr="003428F0">
        <w:rPr>
          <w:rFonts w:ascii="Times New Roman" w:hAnsi="Times New Roman" w:cs="Times New Roman"/>
          <w:color w:val="auto"/>
          <w:sz w:val="20"/>
          <w:szCs w:val="20"/>
          <w:lang w:val="sr-Latn-ME"/>
        </w:rPr>
        <w:t>N</w:t>
      </w:r>
      <w:r w:rsidR="009065F5" w:rsidRPr="003428F0">
        <w:rPr>
          <w:rFonts w:ascii="Times New Roman" w:hAnsi="Times New Roman" w:cs="Times New Roman"/>
          <w:color w:val="auto"/>
          <w:sz w:val="20"/>
          <w:szCs w:val="20"/>
          <w:lang w:val="sr-Latn-ME"/>
        </w:rPr>
        <w:t>edjelj</w:t>
      </w:r>
      <w:r w:rsidR="009E7D4D" w:rsidRPr="003428F0">
        <w:rPr>
          <w:rFonts w:ascii="Times New Roman" w:hAnsi="Times New Roman" w:cs="Times New Roman"/>
          <w:color w:val="auto"/>
          <w:sz w:val="20"/>
          <w:szCs w:val="20"/>
          <w:lang w:val="sr-Latn-ME"/>
        </w:rPr>
        <w:t>i</w:t>
      </w:r>
    </w:p>
    <w:p w:rsidR="005D003D" w:rsidRPr="003428F0" w:rsidRDefault="005D003D" w:rsidP="004B02DE">
      <w:pPr>
        <w:pStyle w:val="Default"/>
        <w:jc w:val="both"/>
        <w:rPr>
          <w:rFonts w:ascii="Times New Roman" w:hAnsi="Times New Roman" w:cs="Times New Roman"/>
          <w:color w:val="auto"/>
          <w:sz w:val="20"/>
          <w:szCs w:val="20"/>
          <w:lang w:val="sr-Latn-ME"/>
        </w:rPr>
      </w:pPr>
      <w:r w:rsidRPr="003428F0">
        <w:rPr>
          <w:rFonts w:ascii="Times New Roman" w:hAnsi="Times New Roman" w:cs="Times New Roman"/>
          <w:color w:val="auto"/>
          <w:sz w:val="20"/>
          <w:szCs w:val="20"/>
          <w:lang w:val="sr-Latn-ME"/>
        </w:rPr>
        <w:t xml:space="preserve"> terapije bili su značajno veći nego u grupi koja je uzimala placebo</w:t>
      </w:r>
    </w:p>
    <w:p w:rsidR="005D003D" w:rsidRPr="003428F0" w:rsidRDefault="005D003D" w:rsidP="005D003D">
      <w:pPr>
        <w:pStyle w:val="Default"/>
        <w:ind w:left="567" w:hanging="567"/>
        <w:jc w:val="both"/>
        <w:rPr>
          <w:rFonts w:ascii="Times New Roman" w:hAnsi="Times New Roman" w:cs="Times New Roman"/>
          <w:color w:val="auto"/>
          <w:sz w:val="20"/>
          <w:szCs w:val="20"/>
          <w:lang w:val="sr-Latn-ME"/>
        </w:rPr>
      </w:pPr>
      <w:r w:rsidRPr="003428F0">
        <w:rPr>
          <w:rFonts w:ascii="Times New Roman" w:hAnsi="Times New Roman" w:cs="Times New Roman"/>
          <w:color w:val="auto"/>
          <w:sz w:val="20"/>
          <w:szCs w:val="20"/>
          <w:vertAlign w:val="superscript"/>
          <w:lang w:val="sr-Latn-ME"/>
        </w:rPr>
        <w:t>b</w:t>
      </w:r>
      <w:r w:rsidRPr="003428F0">
        <w:rPr>
          <w:rFonts w:ascii="Times New Roman" w:hAnsi="Times New Roman" w:cs="Times New Roman"/>
          <w:color w:val="auto"/>
          <w:sz w:val="20"/>
          <w:szCs w:val="20"/>
          <w:lang w:val="sr-Latn-ME"/>
        </w:rPr>
        <w:t>p=0,015</w:t>
      </w:r>
    </w:p>
    <w:p w:rsidR="005D003D" w:rsidRPr="003428F0" w:rsidRDefault="005D003D" w:rsidP="005D003D">
      <w:pPr>
        <w:pStyle w:val="Default"/>
        <w:ind w:left="567" w:hanging="567"/>
        <w:jc w:val="both"/>
        <w:rPr>
          <w:rFonts w:ascii="Times New Roman" w:hAnsi="Times New Roman" w:cs="Times New Roman"/>
          <w:color w:val="auto"/>
          <w:sz w:val="20"/>
          <w:szCs w:val="20"/>
          <w:lang w:val="sr-Latn-ME"/>
        </w:rPr>
      </w:pPr>
      <w:r w:rsidRPr="003428F0">
        <w:rPr>
          <w:rFonts w:ascii="Times New Roman" w:hAnsi="Times New Roman" w:cs="Times New Roman"/>
          <w:color w:val="auto"/>
          <w:sz w:val="20"/>
          <w:szCs w:val="20"/>
          <w:vertAlign w:val="superscript"/>
          <w:lang w:val="sr-Latn-ME"/>
        </w:rPr>
        <w:t>c</w:t>
      </w:r>
      <w:r w:rsidRPr="003428F0">
        <w:rPr>
          <w:rFonts w:ascii="Times New Roman" w:hAnsi="Times New Roman" w:cs="Times New Roman"/>
          <w:color w:val="auto"/>
          <w:sz w:val="20"/>
          <w:szCs w:val="20"/>
          <w:lang w:val="sr-Latn-ME"/>
        </w:rPr>
        <w:t>p=0,031</w:t>
      </w:r>
    </w:p>
    <w:p w:rsidR="005D003D" w:rsidRPr="001B3E42" w:rsidRDefault="004B02DE"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Pacijenti</w:t>
      </w:r>
      <w:r w:rsidR="005D003D" w:rsidRPr="001B3E42">
        <w:rPr>
          <w:rFonts w:ascii="Times New Roman" w:hAnsi="Times New Roman" w:cs="Times New Roman"/>
          <w:color w:val="auto"/>
          <w:sz w:val="22"/>
          <w:szCs w:val="22"/>
          <w:lang w:val="sr-Latn-ME"/>
        </w:rPr>
        <w:t xml:space="preserve"> koji su </w:t>
      </w:r>
      <w:r w:rsidRPr="001B3E42">
        <w:rPr>
          <w:rFonts w:ascii="Times New Roman" w:hAnsi="Times New Roman" w:cs="Times New Roman"/>
          <w:color w:val="auto"/>
          <w:sz w:val="22"/>
          <w:szCs w:val="22"/>
          <w:lang w:val="sr-Latn-ME"/>
        </w:rPr>
        <w:t xml:space="preserve">imali klinički odgovor u 16-oj </w:t>
      </w:r>
      <w:r w:rsidR="009065F5" w:rsidRPr="001B3E42">
        <w:rPr>
          <w:rFonts w:ascii="Times New Roman" w:hAnsi="Times New Roman" w:cs="Times New Roman"/>
          <w:color w:val="auto"/>
          <w:sz w:val="22"/>
          <w:szCs w:val="22"/>
          <w:lang w:val="sr-Latn-ME"/>
        </w:rPr>
        <w:t>nedjelji</w:t>
      </w:r>
      <w:r w:rsidR="00686E37" w:rsidRPr="001B3E42">
        <w:rPr>
          <w:rFonts w:ascii="Times New Roman" w:hAnsi="Times New Roman" w:cs="Times New Roman"/>
          <w:color w:val="auto"/>
          <w:sz w:val="22"/>
          <w:szCs w:val="22"/>
          <w:lang w:val="sr-Latn-ME"/>
        </w:rPr>
        <w:t xml:space="preserve"> (n=1</w:t>
      </w:r>
      <w:r w:rsidR="005D003D" w:rsidRPr="001B3E42">
        <w:rPr>
          <w:rFonts w:ascii="Times New Roman" w:hAnsi="Times New Roman" w:cs="Times New Roman"/>
          <w:color w:val="auto"/>
          <w:sz w:val="22"/>
          <w:szCs w:val="22"/>
          <w:lang w:val="sr-Latn-ME"/>
        </w:rPr>
        <w:t>44), Ped ACR 30/50/70/90 odgovor je zadržan i do šest godina u OLE</w:t>
      </w:r>
      <w:r w:rsidR="00686E37" w:rsidRPr="001B3E42">
        <w:rPr>
          <w:rFonts w:ascii="Times New Roman" w:hAnsi="Times New Roman" w:cs="Times New Roman"/>
          <w:color w:val="auto"/>
          <w:sz w:val="22"/>
          <w:szCs w:val="22"/>
          <w:lang w:val="sr-Latn-ME"/>
        </w:rPr>
        <w:t xml:space="preserve"> studiji</w:t>
      </w:r>
      <w:r w:rsidR="005D003D" w:rsidRPr="001B3E42">
        <w:rPr>
          <w:rFonts w:ascii="Times New Roman" w:hAnsi="Times New Roman" w:cs="Times New Roman"/>
          <w:color w:val="auto"/>
          <w:sz w:val="22"/>
          <w:szCs w:val="22"/>
          <w:lang w:val="sr-Latn-ME"/>
        </w:rPr>
        <w:t xml:space="preserve"> ukoliko su uzi</w:t>
      </w:r>
      <w:r w:rsidRPr="001B3E42">
        <w:rPr>
          <w:rFonts w:ascii="Times New Roman" w:hAnsi="Times New Roman" w:cs="Times New Roman"/>
          <w:color w:val="auto"/>
          <w:sz w:val="22"/>
          <w:szCs w:val="22"/>
          <w:lang w:val="sr-Latn-ME"/>
        </w:rPr>
        <w:t xml:space="preserve">mali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color w:val="auto"/>
          <w:sz w:val="22"/>
          <w:szCs w:val="22"/>
          <w:lang w:val="sr-Latn-ME"/>
        </w:rPr>
        <w:t>Humir</w:t>
      </w:r>
      <w:r w:rsidR="00872668"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Ukupno 19 pacijenata</w:t>
      </w:r>
      <w:r w:rsidR="005D003D" w:rsidRPr="001B3E42">
        <w:rPr>
          <w:rFonts w:ascii="Times New Roman" w:hAnsi="Times New Roman" w:cs="Times New Roman"/>
          <w:color w:val="auto"/>
          <w:sz w:val="22"/>
          <w:szCs w:val="22"/>
          <w:lang w:val="sr-Latn-ME"/>
        </w:rPr>
        <w:t>, od kojih 11 iz grupe starosti 4 do 12 godina i 8 iz grupe 13 do 17 godina liječeno je 6 ili više godina.</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prosjeku, ukupni odgovor na terapiju b</w:t>
      </w:r>
      <w:r w:rsidR="004B02DE" w:rsidRPr="001B3E42">
        <w:rPr>
          <w:rFonts w:ascii="Times New Roman" w:hAnsi="Times New Roman" w:cs="Times New Roman"/>
          <w:color w:val="auto"/>
          <w:sz w:val="22"/>
          <w:szCs w:val="22"/>
          <w:lang w:val="sr-Latn-ME"/>
        </w:rPr>
        <w:t>io je bolji i manje je pacijenata</w:t>
      </w:r>
      <w:r w:rsidRPr="001B3E42">
        <w:rPr>
          <w:rFonts w:ascii="Times New Roman" w:hAnsi="Times New Roman" w:cs="Times New Roman"/>
          <w:color w:val="auto"/>
          <w:sz w:val="22"/>
          <w:szCs w:val="22"/>
          <w:lang w:val="sr-Latn-ME"/>
        </w:rPr>
        <w:t xml:space="preserve"> razvilo antitijela k</w:t>
      </w:r>
      <w:r w:rsidR="004B02DE" w:rsidRPr="001B3E42">
        <w:rPr>
          <w:rFonts w:ascii="Times New Roman" w:hAnsi="Times New Roman" w:cs="Times New Roman"/>
          <w:color w:val="auto"/>
          <w:sz w:val="22"/>
          <w:szCs w:val="22"/>
          <w:lang w:val="sr-Latn-ME"/>
        </w:rPr>
        <w:t>ada su pacijenti</w:t>
      </w:r>
      <w:r w:rsidRPr="001B3E42">
        <w:rPr>
          <w:rFonts w:ascii="Times New Roman" w:hAnsi="Times New Roman" w:cs="Times New Roman"/>
          <w:color w:val="auto"/>
          <w:sz w:val="22"/>
          <w:szCs w:val="22"/>
          <w:lang w:val="sr-Latn-ME"/>
        </w:rPr>
        <w:t xml:space="preserve"> primali kombinovanu terapiju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metotreksata u odnosu na monoterapiju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Uzevši to u obzir, preporučuje se da se Humira daje u kombinaciji s metotreksatom, a mo</w:t>
      </w:r>
      <w:r w:rsidR="004B02DE" w:rsidRPr="001B3E42">
        <w:rPr>
          <w:rFonts w:ascii="Times New Roman" w:hAnsi="Times New Roman" w:cs="Times New Roman"/>
          <w:color w:val="auto"/>
          <w:sz w:val="22"/>
          <w:szCs w:val="22"/>
          <w:lang w:val="sr-Latn-ME"/>
        </w:rPr>
        <w:t>noterapija samo kod onih pacijenata kod</w:t>
      </w:r>
      <w:r w:rsidRPr="001B3E42">
        <w:rPr>
          <w:rFonts w:ascii="Times New Roman" w:hAnsi="Times New Roman" w:cs="Times New Roman"/>
          <w:color w:val="auto"/>
          <w:sz w:val="22"/>
          <w:szCs w:val="22"/>
          <w:lang w:val="sr-Latn-ME"/>
        </w:rPr>
        <w:t xml:space="preserve"> kojih primjena metotreksata nije</w:t>
      </w:r>
      <w:r w:rsidR="004B02DE" w:rsidRPr="001B3E42">
        <w:rPr>
          <w:rFonts w:ascii="Times New Roman" w:hAnsi="Times New Roman" w:cs="Times New Roman"/>
          <w:color w:val="auto"/>
          <w:sz w:val="22"/>
          <w:szCs w:val="22"/>
          <w:lang w:val="sr-Latn-ME"/>
        </w:rPr>
        <w:t xml:space="preserve"> prikladna (vidjeti </w:t>
      </w:r>
      <w:r w:rsidR="002D5061" w:rsidRPr="001B3E42">
        <w:rPr>
          <w:rFonts w:ascii="Times New Roman" w:hAnsi="Times New Roman" w:cs="Times New Roman"/>
          <w:color w:val="auto"/>
          <w:sz w:val="22"/>
          <w:szCs w:val="22"/>
          <w:lang w:val="sr-Latn-ME"/>
        </w:rPr>
        <w:t>odjeljak</w:t>
      </w:r>
      <w:r w:rsidRPr="001B3E42">
        <w:rPr>
          <w:rFonts w:ascii="Times New Roman" w:hAnsi="Times New Roman" w:cs="Times New Roman"/>
          <w:color w:val="auto"/>
          <w:sz w:val="22"/>
          <w:szCs w:val="22"/>
          <w:lang w:val="sr-Latn-ME"/>
        </w:rPr>
        <w:t xml:space="preserve"> 4.2).</w:t>
      </w:r>
    </w:p>
    <w:p w:rsidR="005D003D" w:rsidRPr="001B3E42" w:rsidRDefault="005D003D" w:rsidP="005D003D">
      <w:pPr>
        <w:pStyle w:val="Default"/>
        <w:jc w:val="both"/>
        <w:rPr>
          <w:rFonts w:ascii="Times New Roman" w:hAnsi="Times New Roman" w:cs="Times New Roman"/>
          <w:b/>
          <w:color w:val="auto"/>
          <w:sz w:val="22"/>
          <w:szCs w:val="22"/>
          <w:lang w:val="sr-Latn-ME"/>
        </w:rPr>
      </w:pPr>
      <w:r w:rsidRPr="001B3E42">
        <w:rPr>
          <w:rFonts w:ascii="Times New Roman" w:hAnsi="Times New Roman" w:cs="Times New Roman"/>
          <w:b/>
          <w:color w:val="auto"/>
          <w:sz w:val="22"/>
          <w:szCs w:val="22"/>
          <w:lang w:val="sr-Latn-ME"/>
        </w:rPr>
        <w:lastRenderedPageBreak/>
        <w:t>JIA-II</w:t>
      </w:r>
    </w:p>
    <w:p w:rsidR="005D003D" w:rsidRPr="001B3E42" w:rsidRDefault="00E060DC"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Bezbjednost </w:t>
      </w:r>
      <w:r w:rsidR="00686E37" w:rsidRPr="001B3E42">
        <w:rPr>
          <w:rFonts w:ascii="Times New Roman" w:hAnsi="Times New Roman" w:cs="Times New Roman"/>
          <w:color w:val="auto"/>
          <w:sz w:val="22"/>
          <w:szCs w:val="22"/>
          <w:lang w:val="sr-Latn-ME"/>
        </w:rPr>
        <w:t>i efikasno</w:t>
      </w:r>
      <w:r w:rsidRPr="001B3E42">
        <w:rPr>
          <w:rFonts w:ascii="Times New Roman" w:hAnsi="Times New Roman" w:cs="Times New Roman"/>
          <w:color w:val="auto"/>
          <w:sz w:val="22"/>
          <w:szCs w:val="22"/>
          <w:lang w:val="sr-Latn-ME"/>
        </w:rPr>
        <w:t>s</w:t>
      </w:r>
      <w:r w:rsidR="00686E37" w:rsidRPr="001B3E42">
        <w:rPr>
          <w:rFonts w:ascii="Times New Roman" w:hAnsi="Times New Roman" w:cs="Times New Roman"/>
          <w:color w:val="auto"/>
          <w:sz w:val="22"/>
          <w:szCs w:val="22"/>
          <w:lang w:val="sr-Latn-ME"/>
        </w:rPr>
        <w:t>t</w:t>
      </w:r>
      <w:r w:rsidR="005D003D" w:rsidRPr="001B3E42">
        <w:rPr>
          <w:rFonts w:ascii="Times New Roman" w:hAnsi="Times New Roman" w:cs="Times New Roman"/>
          <w:color w:val="auto"/>
          <w:sz w:val="22"/>
          <w:szCs w:val="22"/>
          <w:lang w:val="sr-Latn-ME"/>
        </w:rPr>
        <w:t xml:space="preserve"> primjene </w:t>
      </w:r>
      <w:r w:rsidR="00B11AAE" w:rsidRPr="001B3E42">
        <w:rPr>
          <w:rFonts w:ascii="Times New Roman" w:hAnsi="Times New Roman" w:cs="Times New Roman"/>
          <w:color w:val="auto"/>
          <w:sz w:val="22"/>
          <w:szCs w:val="22"/>
          <w:lang w:val="sr-Latn-ME"/>
        </w:rPr>
        <w:t xml:space="preserve">lijeka </w:t>
      </w:r>
      <w:r w:rsidR="005D003D"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xml:space="preserve"> procjenjena je u otvorenoj, multicentričnoj,  studiji koja je uključivala 32 djece (starosti 2-&lt;4 godine ili 4 godine i težine &lt; 15 kg) sa umjerenim do teškim aktivnim poli</w:t>
      </w:r>
      <w:r w:rsidR="004B02DE" w:rsidRPr="001B3E42">
        <w:rPr>
          <w:rFonts w:ascii="Times New Roman" w:hAnsi="Times New Roman" w:cs="Times New Roman"/>
          <w:color w:val="auto"/>
          <w:sz w:val="22"/>
          <w:szCs w:val="22"/>
          <w:lang w:val="sr-Latn-ME"/>
        </w:rPr>
        <w:t>artikularnim JIA. Pacijenti</w:t>
      </w:r>
      <w:r w:rsidR="005D003D" w:rsidRPr="001B3E42">
        <w:rPr>
          <w:rFonts w:ascii="Times New Roman" w:hAnsi="Times New Roman" w:cs="Times New Roman"/>
          <w:color w:val="auto"/>
          <w:sz w:val="22"/>
          <w:szCs w:val="22"/>
          <w:lang w:val="sr-Latn-ME"/>
        </w:rPr>
        <w:t xml:space="preserve"> su primali 24 mg/m</w:t>
      </w:r>
      <w:r w:rsidR="005D003D" w:rsidRPr="001B3E42">
        <w:rPr>
          <w:rFonts w:ascii="Times New Roman" w:hAnsi="Times New Roman" w:cs="Times New Roman"/>
          <w:color w:val="auto"/>
          <w:sz w:val="22"/>
          <w:szCs w:val="22"/>
          <w:vertAlign w:val="superscript"/>
          <w:lang w:val="sr-Latn-ME"/>
        </w:rPr>
        <w:t>2</w:t>
      </w:r>
      <w:r w:rsidR="005D003D" w:rsidRPr="001B3E42">
        <w:rPr>
          <w:rFonts w:ascii="Times New Roman" w:hAnsi="Times New Roman" w:cs="Times New Roman"/>
          <w:color w:val="auto"/>
          <w:sz w:val="22"/>
          <w:szCs w:val="22"/>
          <w:lang w:val="sr-Latn-ME"/>
        </w:rPr>
        <w:t xml:space="preserve">  </w:t>
      </w:r>
      <w:r w:rsidR="00B11AAE" w:rsidRPr="001B3E42">
        <w:rPr>
          <w:rFonts w:ascii="Times New Roman" w:hAnsi="Times New Roman" w:cs="Times New Roman"/>
          <w:color w:val="auto"/>
          <w:sz w:val="22"/>
          <w:szCs w:val="22"/>
          <w:lang w:val="sr-Latn-ME"/>
        </w:rPr>
        <w:t xml:space="preserve">lijeka </w:t>
      </w:r>
      <w:r w:rsidR="005D003D"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računato prema BSA, do maksimalne doze od 2</w:t>
      </w:r>
      <w:r w:rsidR="004B02DE" w:rsidRPr="001B3E42">
        <w:rPr>
          <w:rFonts w:ascii="Times New Roman" w:hAnsi="Times New Roman" w:cs="Times New Roman"/>
          <w:color w:val="auto"/>
          <w:sz w:val="22"/>
          <w:szCs w:val="22"/>
          <w:lang w:val="sr-Latn-ME"/>
        </w:rPr>
        <w:t xml:space="preserve">0 mg </w:t>
      </w:r>
      <w:r w:rsidR="00B11AAE" w:rsidRPr="001B3E42">
        <w:rPr>
          <w:rFonts w:ascii="Times New Roman" w:hAnsi="Times New Roman" w:cs="Times New Roman"/>
          <w:color w:val="auto"/>
          <w:sz w:val="22"/>
          <w:szCs w:val="22"/>
          <w:lang w:val="sr-Latn-ME"/>
        </w:rPr>
        <w:t xml:space="preserve">lijeka </w:t>
      </w:r>
      <w:r w:rsidR="004B02DE"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4B02DE" w:rsidRPr="001B3E42">
        <w:rPr>
          <w:rFonts w:ascii="Times New Roman" w:hAnsi="Times New Roman" w:cs="Times New Roman"/>
          <w:color w:val="auto"/>
          <w:sz w:val="22"/>
          <w:szCs w:val="22"/>
          <w:lang w:val="sr-Latn-ME"/>
        </w:rPr>
        <w:t xml:space="preserve">, svake druge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 xml:space="preserve"> kao pojedinačnu dozu subk</w:t>
      </w:r>
      <w:r w:rsidR="002A509C" w:rsidRPr="001B3E42">
        <w:rPr>
          <w:rFonts w:ascii="Times New Roman" w:hAnsi="Times New Roman" w:cs="Times New Roman"/>
          <w:color w:val="auto"/>
          <w:sz w:val="22"/>
          <w:szCs w:val="22"/>
          <w:lang w:val="sr-Latn-ME"/>
        </w:rPr>
        <w:t>u</w:t>
      </w:r>
      <w:r w:rsidR="005D003D" w:rsidRPr="001B3E42">
        <w:rPr>
          <w:rFonts w:ascii="Times New Roman" w:hAnsi="Times New Roman" w:cs="Times New Roman"/>
          <w:color w:val="auto"/>
          <w:sz w:val="22"/>
          <w:szCs w:val="22"/>
          <w:lang w:val="sr-Latn-ME"/>
        </w:rPr>
        <w:t>tano kao inje</w:t>
      </w:r>
      <w:r w:rsidR="004B02DE" w:rsidRPr="001B3E42">
        <w:rPr>
          <w:rFonts w:ascii="Times New Roman" w:hAnsi="Times New Roman" w:cs="Times New Roman"/>
          <w:color w:val="auto"/>
          <w:sz w:val="22"/>
          <w:szCs w:val="22"/>
          <w:lang w:val="sr-Latn-ME"/>
        </w:rPr>
        <w:t xml:space="preserve">kciju, tokom najmanje 24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w:t>
      </w:r>
      <w:r w:rsidR="004B02DE" w:rsidRPr="001B3E42">
        <w:rPr>
          <w:rFonts w:ascii="Times New Roman" w:hAnsi="Times New Roman" w:cs="Times New Roman"/>
          <w:color w:val="auto"/>
          <w:sz w:val="22"/>
          <w:szCs w:val="22"/>
          <w:lang w:val="sr-Latn-ME"/>
        </w:rPr>
        <w:t xml:space="preserve"> Tokom studije, većina paci</w:t>
      </w:r>
      <w:r w:rsidR="005161DC" w:rsidRPr="001B3E42">
        <w:rPr>
          <w:rFonts w:ascii="Times New Roman" w:hAnsi="Times New Roman" w:cs="Times New Roman"/>
          <w:color w:val="auto"/>
          <w:sz w:val="22"/>
          <w:szCs w:val="22"/>
          <w:lang w:val="sr-Latn-ME"/>
        </w:rPr>
        <w:t>j</w:t>
      </w:r>
      <w:r w:rsidR="004B02DE" w:rsidRPr="001B3E42">
        <w:rPr>
          <w:rFonts w:ascii="Times New Roman" w:hAnsi="Times New Roman" w:cs="Times New Roman"/>
          <w:color w:val="auto"/>
          <w:sz w:val="22"/>
          <w:szCs w:val="22"/>
          <w:lang w:val="sr-Latn-ME"/>
        </w:rPr>
        <w:t>enata</w:t>
      </w:r>
      <w:r w:rsidR="005D003D" w:rsidRPr="001B3E42">
        <w:rPr>
          <w:rFonts w:ascii="Times New Roman" w:hAnsi="Times New Roman" w:cs="Times New Roman"/>
          <w:color w:val="auto"/>
          <w:sz w:val="22"/>
          <w:szCs w:val="22"/>
          <w:lang w:val="sr-Latn-ME"/>
        </w:rPr>
        <w:t xml:space="preserve"> je primala istovremeno metotreksat, sa nekoliko prijavljenih koji su uzimali kortikosteroide ili NSAID.</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4B02DE" w:rsidP="004B02DE">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U 12-toj </w:t>
      </w:r>
      <w:r w:rsidR="009065F5" w:rsidRPr="001B3E42">
        <w:rPr>
          <w:rFonts w:ascii="Times New Roman" w:hAnsi="Times New Roman" w:cs="Times New Roman"/>
          <w:color w:val="auto"/>
          <w:sz w:val="22"/>
          <w:szCs w:val="22"/>
          <w:lang w:val="sr-Latn-ME"/>
        </w:rPr>
        <w:t>nedjelji</w:t>
      </w:r>
      <w:r w:rsidR="005D003D" w:rsidRPr="001B3E42">
        <w:rPr>
          <w:rFonts w:ascii="Times New Roman" w:hAnsi="Times New Roman" w:cs="Times New Roman"/>
          <w:color w:val="auto"/>
          <w:sz w:val="22"/>
          <w:szCs w:val="22"/>
          <w:lang w:val="sr-Latn-ME"/>
        </w:rPr>
        <w:t xml:space="preserve"> i 24-toj </w:t>
      </w:r>
      <w:r w:rsidR="009065F5" w:rsidRPr="001B3E42">
        <w:rPr>
          <w:rFonts w:ascii="Times New Roman" w:hAnsi="Times New Roman" w:cs="Times New Roman"/>
          <w:color w:val="auto"/>
          <w:sz w:val="22"/>
          <w:szCs w:val="22"/>
          <w:lang w:val="sr-Latn-ME"/>
        </w:rPr>
        <w:t>nedjelji</w:t>
      </w:r>
      <w:r w:rsidR="005D003D" w:rsidRPr="001B3E42">
        <w:rPr>
          <w:rFonts w:ascii="Times New Roman" w:hAnsi="Times New Roman" w:cs="Times New Roman"/>
          <w:color w:val="auto"/>
          <w:sz w:val="22"/>
          <w:szCs w:val="22"/>
          <w:lang w:val="sr-Latn-ME"/>
        </w:rPr>
        <w:t>, Ped ACR 30 odgovor je bio 93,5% i 90 %. Odnos subjekata sa</w:t>
      </w:r>
      <w:r w:rsidR="005D003D" w:rsidRPr="001B3E42">
        <w:rPr>
          <w:sz w:val="22"/>
          <w:szCs w:val="22"/>
          <w:lang w:val="sr-Latn-ME"/>
        </w:rPr>
        <w:t xml:space="preserve"> </w:t>
      </w:r>
      <w:r w:rsidR="005D003D" w:rsidRPr="001B3E42">
        <w:rPr>
          <w:rFonts w:ascii="Times New Roman" w:hAnsi="Times New Roman" w:cs="Times New Roman"/>
          <w:color w:val="auto"/>
          <w:sz w:val="22"/>
          <w:szCs w:val="22"/>
          <w:lang w:val="sr-Latn-ME"/>
        </w:rPr>
        <w:t>Ped ACR 50/70/90 u 12-toj s</w:t>
      </w:r>
      <w:r w:rsidRPr="001B3E42">
        <w:rPr>
          <w:rFonts w:ascii="Times New Roman" w:hAnsi="Times New Roman" w:cs="Times New Roman"/>
          <w:color w:val="auto"/>
          <w:sz w:val="22"/>
          <w:szCs w:val="22"/>
          <w:lang w:val="sr-Latn-ME"/>
        </w:rPr>
        <w:t xml:space="preserve"> </w:t>
      </w:r>
      <w:r w:rsidR="009065F5" w:rsidRPr="001B3E42">
        <w:rPr>
          <w:rFonts w:ascii="Times New Roman" w:hAnsi="Times New Roman" w:cs="Times New Roman"/>
          <w:color w:val="auto"/>
          <w:sz w:val="22"/>
          <w:szCs w:val="22"/>
          <w:lang w:val="sr-Latn-ME"/>
        </w:rPr>
        <w:t>nedjelji</w:t>
      </w:r>
      <w:r w:rsidR="005D003D" w:rsidRPr="001B3E42">
        <w:rPr>
          <w:rFonts w:ascii="Times New Roman" w:hAnsi="Times New Roman" w:cs="Times New Roman"/>
          <w:color w:val="auto"/>
          <w:sz w:val="22"/>
          <w:szCs w:val="22"/>
          <w:lang w:val="sr-Latn-ME"/>
        </w:rPr>
        <w:t xml:space="preserve"> i 24-toj </w:t>
      </w:r>
      <w:r w:rsidR="009065F5" w:rsidRPr="001B3E42">
        <w:rPr>
          <w:rFonts w:ascii="Times New Roman" w:hAnsi="Times New Roman" w:cs="Times New Roman"/>
          <w:color w:val="auto"/>
          <w:sz w:val="22"/>
          <w:szCs w:val="22"/>
          <w:lang w:val="sr-Latn-ME"/>
        </w:rPr>
        <w:t>nedjelji</w:t>
      </w:r>
      <w:r w:rsidR="005D003D" w:rsidRPr="001B3E42">
        <w:rPr>
          <w:rFonts w:ascii="Times New Roman" w:hAnsi="Times New Roman" w:cs="Times New Roman"/>
          <w:color w:val="auto"/>
          <w:sz w:val="22"/>
          <w:szCs w:val="22"/>
          <w:lang w:val="sr-Latn-ME"/>
        </w:rPr>
        <w:t xml:space="preserve"> je bio 90,3%/ 61,3%/ 38,7% </w:t>
      </w:r>
      <w:r w:rsidRPr="001B3E42">
        <w:rPr>
          <w:rFonts w:ascii="Times New Roman" w:hAnsi="Times New Roman" w:cs="Times New Roman"/>
          <w:color w:val="auto"/>
          <w:sz w:val="22"/>
          <w:szCs w:val="22"/>
          <w:lang w:val="sr-Latn-ME"/>
        </w:rPr>
        <w:t>i 83,3%/ 73,3%/ 36,7%. Pacijenti</w:t>
      </w:r>
      <w:r w:rsidR="005D003D" w:rsidRPr="001B3E42">
        <w:rPr>
          <w:rFonts w:ascii="Times New Roman" w:hAnsi="Times New Roman" w:cs="Times New Roman"/>
          <w:color w:val="auto"/>
          <w:sz w:val="22"/>
          <w:szCs w:val="22"/>
          <w:lang w:val="sr-Latn-ME"/>
        </w:rPr>
        <w:t xml:space="preserve"> koji su imali klinički odgovor</w:t>
      </w:r>
      <w:r w:rsidR="005D003D" w:rsidRPr="001B3E42">
        <w:rPr>
          <w:sz w:val="22"/>
          <w:szCs w:val="22"/>
          <w:lang w:val="sr-Latn-ME"/>
        </w:rPr>
        <w:t xml:space="preserve"> (</w:t>
      </w:r>
      <w:r w:rsidR="005D003D" w:rsidRPr="001B3E42">
        <w:rPr>
          <w:rFonts w:ascii="Times New Roman" w:hAnsi="Times New Roman" w:cs="Times New Roman"/>
          <w:color w:val="auto"/>
          <w:sz w:val="22"/>
          <w:szCs w:val="22"/>
          <w:lang w:val="sr-Latn-ME"/>
        </w:rPr>
        <w:t xml:space="preserve">Ped ACR 30) u 24-oj </w:t>
      </w:r>
      <w:r w:rsidR="009065F5" w:rsidRPr="001B3E42">
        <w:rPr>
          <w:rFonts w:ascii="Times New Roman" w:hAnsi="Times New Roman" w:cs="Times New Roman"/>
          <w:color w:val="auto"/>
          <w:sz w:val="22"/>
          <w:szCs w:val="22"/>
          <w:lang w:val="sr-Latn-ME"/>
        </w:rPr>
        <w:t>nedjelji</w:t>
      </w:r>
      <w:r w:rsidRPr="001B3E42">
        <w:rPr>
          <w:rFonts w:ascii="Times New Roman" w:hAnsi="Times New Roman" w:cs="Times New Roman"/>
          <w:color w:val="auto"/>
          <w:sz w:val="22"/>
          <w:szCs w:val="22"/>
          <w:lang w:val="sr-Latn-ME"/>
        </w:rPr>
        <w:t xml:space="preserve"> (n=27 od 30 pacijenata</w:t>
      </w:r>
      <w:r w:rsidR="005D003D" w:rsidRPr="001B3E42">
        <w:rPr>
          <w:rFonts w:ascii="Times New Roman" w:hAnsi="Times New Roman" w:cs="Times New Roman"/>
          <w:color w:val="auto"/>
          <w:sz w:val="22"/>
          <w:szCs w:val="22"/>
          <w:lang w:val="sr-Latn-ME"/>
        </w:rPr>
        <w:t xml:space="preserve">), Ped ACR 30 odgovor je zadržan do 60 </w:t>
      </w:r>
      <w:r w:rsidR="009065F5" w:rsidRPr="001B3E42">
        <w:rPr>
          <w:rFonts w:ascii="Times New Roman" w:hAnsi="Times New Roman" w:cs="Times New Roman"/>
          <w:color w:val="auto"/>
          <w:sz w:val="22"/>
          <w:szCs w:val="22"/>
          <w:lang w:val="sr-Latn-ME"/>
        </w:rPr>
        <w:t>nedjelja</w:t>
      </w:r>
      <w:r w:rsidR="005D003D" w:rsidRPr="001B3E42">
        <w:rPr>
          <w:rFonts w:ascii="Times New Roman" w:hAnsi="Times New Roman" w:cs="Times New Roman"/>
          <w:color w:val="auto"/>
          <w:sz w:val="22"/>
          <w:szCs w:val="22"/>
          <w:lang w:val="sr-Latn-ME"/>
        </w:rPr>
        <w:t xml:space="preserve"> u OLE fazi studije ukoliko su uzi</w:t>
      </w:r>
      <w:r w:rsidRPr="001B3E42">
        <w:rPr>
          <w:rFonts w:ascii="Times New Roman" w:hAnsi="Times New Roman" w:cs="Times New Roman"/>
          <w:color w:val="auto"/>
          <w:sz w:val="22"/>
          <w:szCs w:val="22"/>
          <w:lang w:val="sr-Latn-ME"/>
        </w:rPr>
        <w:t xml:space="preserve">mali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color w:val="auto"/>
          <w:sz w:val="22"/>
          <w:szCs w:val="22"/>
          <w:lang w:val="sr-Latn-ME"/>
        </w:rPr>
        <w:t>Humir</w:t>
      </w:r>
      <w:r w:rsidR="00872668"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Ukupno 20 pacijenata</w:t>
      </w:r>
      <w:r w:rsidR="005D003D" w:rsidRPr="001B3E42">
        <w:rPr>
          <w:rFonts w:ascii="Times New Roman" w:hAnsi="Times New Roman" w:cs="Times New Roman"/>
          <w:color w:val="auto"/>
          <w:sz w:val="22"/>
          <w:szCs w:val="22"/>
          <w:lang w:val="sr-Latn-ME"/>
        </w:rPr>
        <w:t xml:space="preserve"> je liječeno 60 </w:t>
      </w:r>
      <w:r w:rsidR="009065F5" w:rsidRPr="001B3E42">
        <w:rPr>
          <w:rFonts w:ascii="Times New Roman" w:hAnsi="Times New Roman" w:cs="Times New Roman"/>
          <w:color w:val="auto"/>
          <w:sz w:val="22"/>
          <w:szCs w:val="22"/>
          <w:lang w:val="sr-Latn-ME"/>
        </w:rPr>
        <w:t>nedjelja</w:t>
      </w:r>
      <w:r w:rsidR="005D003D" w:rsidRPr="001B3E42">
        <w:rPr>
          <w:rFonts w:ascii="Times New Roman" w:hAnsi="Times New Roman" w:cs="Times New Roman"/>
          <w:color w:val="auto"/>
          <w:sz w:val="22"/>
          <w:szCs w:val="22"/>
          <w:lang w:val="sr-Latn-ME"/>
        </w:rPr>
        <w:t xml:space="preserve"> ili duže.</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Odrasli s reumatoidnim artritisom</w:t>
      </w:r>
    </w:p>
    <w:p w:rsidR="005161DC" w:rsidRPr="001B3E42" w:rsidRDefault="00686E37" w:rsidP="005161DC">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Efikasnost </w:t>
      </w:r>
      <w:r w:rsidR="00B11AAE" w:rsidRPr="001B3E42">
        <w:rPr>
          <w:rFonts w:ascii="Times New Roman" w:hAnsi="Times New Roman" w:cs="Times New Roman"/>
          <w:color w:val="auto"/>
          <w:sz w:val="22"/>
          <w:szCs w:val="22"/>
          <w:lang w:val="sr-Latn-ME"/>
        </w:rPr>
        <w:t xml:space="preserve">lijeka </w:t>
      </w:r>
      <w:r w:rsidR="005D003D"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D003D" w:rsidRPr="001B3E42">
        <w:rPr>
          <w:rFonts w:ascii="Times New Roman" w:hAnsi="Times New Roman" w:cs="Times New Roman"/>
          <w:color w:val="auto"/>
          <w:sz w:val="22"/>
          <w:szCs w:val="22"/>
          <w:lang w:val="sr-Latn-ME"/>
        </w:rPr>
        <w:t xml:space="preserve"> ispitivan</w:t>
      </w:r>
      <w:r w:rsidR="0000633A" w:rsidRPr="001B3E42">
        <w:rPr>
          <w:rFonts w:ascii="Times New Roman" w:hAnsi="Times New Roman" w:cs="Times New Roman"/>
          <w:color w:val="auto"/>
          <w:sz w:val="22"/>
          <w:szCs w:val="22"/>
          <w:lang w:val="sr-Latn-ME"/>
        </w:rPr>
        <w:t>a</w:t>
      </w:r>
      <w:r w:rsidR="00635624" w:rsidRPr="001B3E42">
        <w:rPr>
          <w:rFonts w:ascii="Times New Roman" w:hAnsi="Times New Roman" w:cs="Times New Roman"/>
          <w:color w:val="auto"/>
          <w:sz w:val="22"/>
          <w:szCs w:val="22"/>
          <w:lang w:val="sr-Latn-ME"/>
        </w:rPr>
        <w:t xml:space="preserve"> je kod više od 3.000 pacijenata</w:t>
      </w:r>
      <w:r w:rsidR="005D003D" w:rsidRPr="001B3E42">
        <w:rPr>
          <w:rFonts w:ascii="Times New Roman" w:hAnsi="Times New Roman" w:cs="Times New Roman"/>
          <w:color w:val="auto"/>
          <w:sz w:val="22"/>
          <w:szCs w:val="22"/>
          <w:lang w:val="sr-Latn-ME"/>
        </w:rPr>
        <w:t xml:space="preserve"> u svim kliničkim ispitivanjima reumatoidnog a</w:t>
      </w:r>
      <w:r w:rsidR="00635624" w:rsidRPr="001B3E42">
        <w:rPr>
          <w:rFonts w:ascii="Times New Roman" w:hAnsi="Times New Roman" w:cs="Times New Roman"/>
          <w:color w:val="auto"/>
          <w:sz w:val="22"/>
          <w:szCs w:val="22"/>
          <w:lang w:val="sr-Latn-ME"/>
        </w:rPr>
        <w:t xml:space="preserve">rtritisa (RA). </w:t>
      </w:r>
      <w:r w:rsidR="005161DC" w:rsidRPr="001B3E42">
        <w:rPr>
          <w:rFonts w:ascii="Times New Roman" w:hAnsi="Times New Roman" w:cs="Times New Roman"/>
          <w:color w:val="auto"/>
          <w:sz w:val="22"/>
          <w:szCs w:val="22"/>
          <w:lang w:val="sr-Latn-ME"/>
        </w:rPr>
        <w:t xml:space="preserve">Efikasnost i </w:t>
      </w:r>
      <w:r w:rsidR="0000633A" w:rsidRPr="001B3E42">
        <w:rPr>
          <w:rFonts w:ascii="Times New Roman" w:hAnsi="Times New Roman" w:cs="Times New Roman"/>
          <w:color w:val="auto"/>
          <w:sz w:val="22"/>
          <w:szCs w:val="22"/>
          <w:lang w:val="sr-Latn-ME"/>
        </w:rPr>
        <w:t xml:space="preserve">bezbjednost </w:t>
      </w:r>
      <w:r w:rsidR="00B11AAE" w:rsidRPr="001B3E42">
        <w:rPr>
          <w:rFonts w:ascii="Times New Roman" w:hAnsi="Times New Roman" w:cs="Times New Roman"/>
          <w:color w:val="auto"/>
          <w:sz w:val="22"/>
          <w:szCs w:val="22"/>
          <w:lang w:val="sr-Latn-ME"/>
        </w:rPr>
        <w:t xml:space="preserve">lijeka </w:t>
      </w:r>
      <w:r w:rsidR="005161DC"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5161DC" w:rsidRPr="001B3E42">
        <w:rPr>
          <w:rFonts w:ascii="Times New Roman" w:hAnsi="Times New Roman" w:cs="Times New Roman"/>
          <w:color w:val="auto"/>
          <w:sz w:val="22"/>
          <w:szCs w:val="22"/>
          <w:lang w:val="sr-Latn-ME"/>
        </w:rPr>
        <w:t xml:space="preserve"> u liječenju reumatoidnog artritisa procjenjivane su u pet randomizovanih, dvostruko slijepih, dobro kontrolisanih ispitivanja.</w:t>
      </w:r>
    </w:p>
    <w:p w:rsidR="005D003D" w:rsidRPr="001B3E42" w:rsidRDefault="00635624"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Neki su pacijenti</w:t>
      </w:r>
      <w:r w:rsidR="005D003D" w:rsidRPr="001B3E42">
        <w:rPr>
          <w:rFonts w:ascii="Times New Roman" w:hAnsi="Times New Roman" w:cs="Times New Roman"/>
          <w:color w:val="auto"/>
          <w:sz w:val="22"/>
          <w:szCs w:val="22"/>
          <w:lang w:val="sr-Latn-ME"/>
        </w:rPr>
        <w:t xml:space="preserve"> liječeni kroz perio</w:t>
      </w:r>
      <w:r w:rsidR="00261C26" w:rsidRPr="001B3E42">
        <w:rPr>
          <w:rFonts w:ascii="Times New Roman" w:hAnsi="Times New Roman" w:cs="Times New Roman"/>
          <w:color w:val="auto"/>
          <w:sz w:val="22"/>
          <w:szCs w:val="22"/>
          <w:lang w:val="sr-Latn-ME"/>
        </w:rPr>
        <w:t>d i do 12</w:t>
      </w:r>
      <w:r w:rsidR="00686E37" w:rsidRPr="001B3E42">
        <w:rPr>
          <w:rFonts w:ascii="Times New Roman" w:hAnsi="Times New Roman" w:cs="Times New Roman"/>
          <w:color w:val="auto"/>
          <w:sz w:val="22"/>
          <w:szCs w:val="22"/>
          <w:lang w:val="sr-Latn-ME"/>
        </w:rPr>
        <w:t xml:space="preserve">0 mjeseci. </w:t>
      </w:r>
    </w:p>
    <w:p w:rsidR="005161DC" w:rsidRPr="001B3E42" w:rsidRDefault="005161DC"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RA ispitivan</w:t>
      </w:r>
      <w:r w:rsidR="00686E37" w:rsidRPr="001B3E42">
        <w:rPr>
          <w:rFonts w:ascii="Times New Roman" w:hAnsi="Times New Roman" w:cs="Times New Roman"/>
          <w:color w:val="auto"/>
          <w:sz w:val="22"/>
          <w:szCs w:val="22"/>
          <w:lang w:val="sr-Latn-ME"/>
        </w:rPr>
        <w:t>j</w:t>
      </w:r>
      <w:r w:rsidR="00CD3511" w:rsidRPr="001B3E42">
        <w:rPr>
          <w:rFonts w:ascii="Times New Roman" w:hAnsi="Times New Roman" w:cs="Times New Roman"/>
          <w:color w:val="auto"/>
          <w:sz w:val="22"/>
          <w:szCs w:val="22"/>
          <w:lang w:val="sr-Latn-ME"/>
        </w:rPr>
        <w:t>e I obuhvatilo je 271 pacijenta</w:t>
      </w:r>
      <w:r w:rsidRPr="001B3E42">
        <w:rPr>
          <w:rFonts w:ascii="Times New Roman" w:hAnsi="Times New Roman" w:cs="Times New Roman"/>
          <w:color w:val="auto"/>
          <w:sz w:val="22"/>
          <w:szCs w:val="22"/>
          <w:lang w:val="sr-Latn-ME"/>
        </w:rPr>
        <w:t xml:space="preserve"> s umjereno teškim do teškim aktivnim reumatoidnim artritisom </w:t>
      </w:r>
      <w:r w:rsidR="005161DC" w:rsidRPr="001B3E42">
        <w:rPr>
          <w:rFonts w:ascii="Times New Roman" w:hAnsi="Times New Roman" w:cs="Times New Roman"/>
          <w:color w:val="auto"/>
          <w:sz w:val="22"/>
          <w:szCs w:val="22"/>
          <w:lang w:val="sr-Latn-ME"/>
        </w:rPr>
        <w:t>u dobi od 18 godina i starijih kod</w:t>
      </w:r>
      <w:r w:rsidRPr="001B3E42">
        <w:rPr>
          <w:rFonts w:ascii="Times New Roman" w:hAnsi="Times New Roman" w:cs="Times New Roman"/>
          <w:color w:val="auto"/>
          <w:sz w:val="22"/>
          <w:szCs w:val="22"/>
          <w:lang w:val="sr-Latn-ME"/>
        </w:rPr>
        <w:t xml:space="preserve"> kojih prethodna terapija barem jednim antire</w:t>
      </w:r>
      <w:r w:rsidR="00686E37" w:rsidRPr="001B3E42">
        <w:rPr>
          <w:rFonts w:ascii="Times New Roman" w:hAnsi="Times New Roman" w:cs="Times New Roman"/>
          <w:color w:val="auto"/>
          <w:sz w:val="22"/>
          <w:szCs w:val="22"/>
          <w:lang w:val="sr-Latn-ME"/>
        </w:rPr>
        <w:t>umatskim lijekom koji modifkuje</w:t>
      </w:r>
      <w:r w:rsidRPr="001B3E42">
        <w:rPr>
          <w:rFonts w:ascii="Times New Roman" w:hAnsi="Times New Roman" w:cs="Times New Roman"/>
          <w:color w:val="auto"/>
          <w:sz w:val="22"/>
          <w:szCs w:val="22"/>
          <w:lang w:val="sr-Latn-ME"/>
        </w:rPr>
        <w:t xml:space="preserve"> t</w:t>
      </w:r>
      <w:r w:rsidR="001E4AB9" w:rsidRPr="001B3E42">
        <w:rPr>
          <w:rFonts w:ascii="Times New Roman" w:hAnsi="Times New Roman" w:cs="Times New Roman"/>
          <w:color w:val="auto"/>
          <w:sz w:val="22"/>
          <w:szCs w:val="22"/>
          <w:lang w:val="sr-Latn-ME"/>
        </w:rPr>
        <w:t>ok bolesti nije bila efikasna</w:t>
      </w:r>
      <w:r w:rsidRPr="001B3E42">
        <w:rPr>
          <w:rFonts w:ascii="Times New Roman" w:hAnsi="Times New Roman" w:cs="Times New Roman"/>
          <w:color w:val="auto"/>
          <w:sz w:val="22"/>
          <w:szCs w:val="22"/>
          <w:lang w:val="sr-Latn-ME"/>
        </w:rPr>
        <w:t xml:space="preserve">, i kod kojih nije bio dovoljno </w:t>
      </w:r>
      <w:r w:rsidR="004C1FEC" w:rsidRPr="001B3E42">
        <w:rPr>
          <w:rFonts w:ascii="Times New Roman" w:hAnsi="Times New Roman" w:cs="Times New Roman"/>
          <w:color w:val="auto"/>
          <w:sz w:val="22"/>
          <w:szCs w:val="22"/>
          <w:lang w:val="sr-Latn-ME"/>
        </w:rPr>
        <w:t xml:space="preserve">efikasan </w:t>
      </w:r>
      <w:r w:rsidRPr="001B3E42">
        <w:rPr>
          <w:rFonts w:ascii="Times New Roman" w:hAnsi="Times New Roman" w:cs="Times New Roman"/>
          <w:color w:val="auto"/>
          <w:sz w:val="22"/>
          <w:szCs w:val="22"/>
          <w:lang w:val="sr-Latn-ME"/>
        </w:rPr>
        <w:t>metotreksat u dozi od 1</w:t>
      </w:r>
      <w:r w:rsidR="00686E37" w:rsidRPr="001B3E42">
        <w:rPr>
          <w:rFonts w:ascii="Times New Roman" w:hAnsi="Times New Roman" w:cs="Times New Roman"/>
          <w:color w:val="auto"/>
          <w:sz w:val="22"/>
          <w:szCs w:val="22"/>
          <w:lang w:val="sr-Latn-ME"/>
        </w:rPr>
        <w:t>2,5 do 25 mg (10 mg ako pacijent</w:t>
      </w:r>
      <w:r w:rsidRPr="001B3E42">
        <w:rPr>
          <w:rFonts w:ascii="Times New Roman" w:hAnsi="Times New Roman" w:cs="Times New Roman"/>
          <w:color w:val="auto"/>
          <w:sz w:val="22"/>
          <w:szCs w:val="22"/>
          <w:lang w:val="sr-Latn-ME"/>
        </w:rPr>
        <w:t xml:space="preserve"> ne podn</w:t>
      </w:r>
      <w:r w:rsidR="00686E37" w:rsidRPr="001B3E42">
        <w:rPr>
          <w:rFonts w:ascii="Times New Roman" w:hAnsi="Times New Roman" w:cs="Times New Roman"/>
          <w:color w:val="auto"/>
          <w:sz w:val="22"/>
          <w:szCs w:val="22"/>
          <w:lang w:val="sr-Latn-ME"/>
        </w:rPr>
        <w:t>osi metotreksat) jednom ned</w:t>
      </w:r>
      <w:r w:rsidR="0000633A" w:rsidRPr="001B3E42">
        <w:rPr>
          <w:rFonts w:ascii="Times New Roman" w:hAnsi="Times New Roman" w:cs="Times New Roman"/>
          <w:color w:val="auto"/>
          <w:sz w:val="22"/>
          <w:szCs w:val="22"/>
          <w:lang w:val="sr-Latn-ME"/>
        </w:rPr>
        <w:t>j</w:t>
      </w:r>
      <w:r w:rsidR="00686E37" w:rsidRPr="001B3E42">
        <w:rPr>
          <w:rFonts w:ascii="Times New Roman" w:hAnsi="Times New Roman" w:cs="Times New Roman"/>
          <w:color w:val="auto"/>
          <w:sz w:val="22"/>
          <w:szCs w:val="22"/>
          <w:lang w:val="sr-Latn-ME"/>
        </w:rPr>
        <w:t>eljno</w:t>
      </w:r>
      <w:r w:rsidRPr="001B3E42">
        <w:rPr>
          <w:rFonts w:ascii="Times New Roman" w:hAnsi="Times New Roman" w:cs="Times New Roman"/>
          <w:color w:val="auto"/>
          <w:sz w:val="22"/>
          <w:szCs w:val="22"/>
          <w:lang w:val="sr-Latn-ME"/>
        </w:rPr>
        <w:t xml:space="preserve"> i kod kojih je doza metotreksata bila konstantno 10 do 25 mg </w:t>
      </w:r>
      <w:r w:rsidRPr="001B3E42">
        <w:rPr>
          <w:rFonts w:ascii="Times New Roman" w:hAnsi="Times New Roman" w:cs="Times New Roman"/>
          <w:iCs/>
          <w:color w:val="auto"/>
          <w:sz w:val="22"/>
          <w:szCs w:val="22"/>
          <w:lang w:val="sr-Latn-ME"/>
        </w:rPr>
        <w:t>jednom</w:t>
      </w:r>
      <w:r w:rsidRPr="001B3E42">
        <w:rPr>
          <w:rFonts w:ascii="Times New Roman" w:hAnsi="Times New Roman" w:cs="Times New Roman"/>
          <w:i/>
          <w:iCs/>
          <w:color w:val="auto"/>
          <w:sz w:val="22"/>
          <w:szCs w:val="22"/>
          <w:lang w:val="sr-Latn-ME"/>
        </w:rPr>
        <w:t xml:space="preserve"> </w:t>
      </w:r>
      <w:r w:rsidR="00686E37" w:rsidRPr="001B3E42">
        <w:rPr>
          <w:rFonts w:ascii="Times New Roman" w:hAnsi="Times New Roman" w:cs="Times New Roman"/>
          <w:iCs/>
          <w:color w:val="auto"/>
          <w:sz w:val="22"/>
          <w:szCs w:val="22"/>
          <w:lang w:val="sr-Latn-ME"/>
        </w:rPr>
        <w:t>ned</w:t>
      </w:r>
      <w:r w:rsidR="0000633A" w:rsidRPr="001B3E42">
        <w:rPr>
          <w:rFonts w:ascii="Times New Roman" w:hAnsi="Times New Roman" w:cs="Times New Roman"/>
          <w:iCs/>
          <w:color w:val="auto"/>
          <w:sz w:val="22"/>
          <w:szCs w:val="22"/>
          <w:lang w:val="sr-Latn-ME"/>
        </w:rPr>
        <w:t>j</w:t>
      </w:r>
      <w:r w:rsidR="00686E37" w:rsidRPr="001B3E42">
        <w:rPr>
          <w:rFonts w:ascii="Times New Roman" w:hAnsi="Times New Roman" w:cs="Times New Roman"/>
          <w:iCs/>
          <w:color w:val="auto"/>
          <w:sz w:val="22"/>
          <w:szCs w:val="22"/>
          <w:lang w:val="sr-Latn-ME"/>
        </w:rPr>
        <w:t>eljno</w:t>
      </w:r>
      <w:r w:rsidR="00686E37" w:rsidRPr="001B3E42">
        <w:rPr>
          <w:rFonts w:ascii="Times New Roman" w:hAnsi="Times New Roman" w:cs="Times New Roman"/>
          <w:color w:val="auto"/>
          <w:sz w:val="22"/>
          <w:szCs w:val="22"/>
          <w:lang w:val="sr-Latn-ME"/>
        </w:rPr>
        <w:t xml:space="preserve">. Svake druge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u </w:t>
      </w:r>
      <w:r w:rsidR="00686E37" w:rsidRPr="001B3E42">
        <w:rPr>
          <w:rFonts w:ascii="Times New Roman" w:hAnsi="Times New Roman" w:cs="Times New Roman"/>
          <w:color w:val="auto"/>
          <w:sz w:val="22"/>
          <w:szCs w:val="22"/>
          <w:lang w:val="sr-Latn-ME"/>
        </w:rPr>
        <w:t xml:space="preserve">periodu od 24 </w:t>
      </w:r>
      <w:r w:rsidR="009065F5" w:rsidRPr="001B3E42">
        <w:rPr>
          <w:rFonts w:ascii="Times New Roman" w:hAnsi="Times New Roman" w:cs="Times New Roman"/>
          <w:color w:val="auto"/>
          <w:sz w:val="22"/>
          <w:szCs w:val="22"/>
          <w:lang w:val="sr-Latn-ME"/>
        </w:rPr>
        <w:t>nedjelje</w:t>
      </w:r>
      <w:r w:rsidR="00686E37" w:rsidRPr="001B3E42">
        <w:rPr>
          <w:rFonts w:ascii="Times New Roman" w:hAnsi="Times New Roman" w:cs="Times New Roman"/>
          <w:color w:val="auto"/>
          <w:sz w:val="22"/>
          <w:szCs w:val="22"/>
          <w:lang w:val="sr-Latn-ME"/>
        </w:rPr>
        <w:t xml:space="preserve"> dobij</w:t>
      </w:r>
      <w:r w:rsidRPr="001B3E42">
        <w:rPr>
          <w:rFonts w:ascii="Times New Roman" w:hAnsi="Times New Roman" w:cs="Times New Roman"/>
          <w:color w:val="auto"/>
          <w:sz w:val="22"/>
          <w:szCs w:val="22"/>
          <w:lang w:val="sr-Latn-ME"/>
        </w:rPr>
        <w:t xml:space="preserve">ali su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color w:val="auto"/>
          <w:sz w:val="22"/>
          <w:szCs w:val="22"/>
          <w:lang w:val="sr-Latn-ME"/>
        </w:rPr>
        <w:t>Humir</w:t>
      </w:r>
      <w:r w:rsidR="00872668"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ili placebo u dozi od 20, 40 ili 80 mg.</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CD3511">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RA ispitivanj</w:t>
      </w:r>
      <w:r w:rsidR="001E4AB9" w:rsidRPr="001B3E42">
        <w:rPr>
          <w:rFonts w:ascii="Times New Roman" w:hAnsi="Times New Roman" w:cs="Times New Roman"/>
          <w:color w:val="auto"/>
          <w:sz w:val="22"/>
          <w:szCs w:val="22"/>
          <w:lang w:val="sr-Latn-ME"/>
        </w:rPr>
        <w:t xml:space="preserve">e II obuhvatilo je 544 </w:t>
      </w:r>
      <w:r w:rsidR="00CD3511" w:rsidRPr="001B3E42">
        <w:rPr>
          <w:rFonts w:ascii="Times New Roman" w:hAnsi="Times New Roman" w:cs="Times New Roman"/>
          <w:color w:val="auto"/>
          <w:sz w:val="22"/>
          <w:szCs w:val="22"/>
          <w:lang w:val="sr-Latn-ME"/>
        </w:rPr>
        <w:t>pacijenta</w:t>
      </w:r>
      <w:r w:rsidRPr="001B3E42">
        <w:rPr>
          <w:rFonts w:ascii="Times New Roman" w:hAnsi="Times New Roman" w:cs="Times New Roman"/>
          <w:color w:val="auto"/>
          <w:sz w:val="22"/>
          <w:szCs w:val="22"/>
          <w:lang w:val="sr-Latn-ME"/>
        </w:rPr>
        <w:t xml:space="preserve"> s umjereno teškim do teškim aktivnim reumatoidnim artritisom </w:t>
      </w:r>
      <w:r w:rsidR="005161DC" w:rsidRPr="001B3E42">
        <w:rPr>
          <w:rFonts w:ascii="Times New Roman" w:hAnsi="Times New Roman" w:cs="Times New Roman"/>
          <w:color w:val="auto"/>
          <w:sz w:val="22"/>
          <w:szCs w:val="22"/>
          <w:lang w:val="sr-Latn-ME"/>
        </w:rPr>
        <w:t>u dobi od 18 godina i starijih kod</w:t>
      </w:r>
      <w:r w:rsidRPr="001B3E42">
        <w:rPr>
          <w:rFonts w:ascii="Times New Roman" w:hAnsi="Times New Roman" w:cs="Times New Roman"/>
          <w:color w:val="auto"/>
          <w:sz w:val="22"/>
          <w:szCs w:val="22"/>
          <w:lang w:val="sr-Latn-ME"/>
        </w:rPr>
        <w:t xml:space="preserve"> kojih prethodna terapija barem jednim antire</w:t>
      </w:r>
      <w:r w:rsidR="001E4AB9" w:rsidRPr="001B3E42">
        <w:rPr>
          <w:rFonts w:ascii="Times New Roman" w:hAnsi="Times New Roman" w:cs="Times New Roman"/>
          <w:color w:val="auto"/>
          <w:sz w:val="22"/>
          <w:szCs w:val="22"/>
          <w:lang w:val="sr-Latn-ME"/>
        </w:rPr>
        <w:t>umatskim lijekom koji modifikuje</w:t>
      </w:r>
      <w:r w:rsidRPr="001B3E42">
        <w:rPr>
          <w:rFonts w:ascii="Times New Roman" w:hAnsi="Times New Roman" w:cs="Times New Roman"/>
          <w:color w:val="auto"/>
          <w:sz w:val="22"/>
          <w:szCs w:val="22"/>
          <w:lang w:val="sr-Latn-ME"/>
        </w:rPr>
        <w:t xml:space="preserve"> t</w:t>
      </w:r>
      <w:r w:rsidR="001E4AB9" w:rsidRPr="001B3E42">
        <w:rPr>
          <w:rFonts w:ascii="Times New Roman" w:hAnsi="Times New Roman" w:cs="Times New Roman"/>
          <w:color w:val="auto"/>
          <w:sz w:val="22"/>
          <w:szCs w:val="22"/>
          <w:lang w:val="sr-Latn-ME"/>
        </w:rPr>
        <w:t>ok bolesti nije bila efikasna. Pacijenti</w:t>
      </w:r>
      <w:r w:rsidR="00CD3511" w:rsidRPr="001B3E42">
        <w:rPr>
          <w:rFonts w:ascii="Times New Roman" w:hAnsi="Times New Roman" w:cs="Times New Roman"/>
          <w:color w:val="auto"/>
          <w:sz w:val="22"/>
          <w:szCs w:val="22"/>
          <w:lang w:val="sr-Latn-ME"/>
        </w:rPr>
        <w:t xml:space="preserve"> su svake dvije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u periodu od 26 </w:t>
      </w:r>
      <w:r w:rsidR="009065F5" w:rsidRPr="001B3E42">
        <w:rPr>
          <w:rFonts w:ascii="Times New Roman" w:hAnsi="Times New Roman" w:cs="Times New Roman"/>
          <w:color w:val="auto"/>
          <w:sz w:val="22"/>
          <w:szCs w:val="22"/>
          <w:lang w:val="sr-Latn-ME"/>
        </w:rPr>
        <w:t>nedjelja</w:t>
      </w:r>
      <w:r w:rsidR="00CD3511" w:rsidRPr="001B3E42">
        <w:rPr>
          <w:rFonts w:ascii="Times New Roman" w:hAnsi="Times New Roman" w:cs="Times New Roman"/>
          <w:color w:val="auto"/>
          <w:sz w:val="22"/>
          <w:szCs w:val="22"/>
          <w:lang w:val="sr-Latn-ME"/>
        </w:rPr>
        <w:t xml:space="preserve"> dobij</w:t>
      </w:r>
      <w:r w:rsidRPr="001B3E42">
        <w:rPr>
          <w:rFonts w:ascii="Times New Roman" w:hAnsi="Times New Roman" w:cs="Times New Roman"/>
          <w:color w:val="auto"/>
          <w:sz w:val="22"/>
          <w:szCs w:val="22"/>
          <w:lang w:val="sr-Latn-ME"/>
        </w:rPr>
        <w:t xml:space="preserve">ali naizmjenično supkutane injekcije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u dozi od 20 ili 40 mg, odnosno placeba (jednu </w:t>
      </w:r>
      <w:r w:rsidR="0000633A" w:rsidRPr="001B3E42">
        <w:rPr>
          <w:rFonts w:ascii="Times New Roman" w:hAnsi="Times New Roman" w:cs="Times New Roman"/>
          <w:color w:val="auto"/>
          <w:sz w:val="22"/>
          <w:szCs w:val="22"/>
          <w:lang w:val="sr-Latn-ME"/>
        </w:rPr>
        <w:t>n</w:t>
      </w:r>
      <w:r w:rsidR="00CD3511" w:rsidRPr="001B3E42">
        <w:rPr>
          <w:rFonts w:ascii="Times New Roman" w:hAnsi="Times New Roman" w:cs="Times New Roman"/>
          <w:color w:val="auto"/>
          <w:sz w:val="22"/>
          <w:szCs w:val="22"/>
          <w:lang w:val="sr-Latn-ME"/>
        </w:rPr>
        <w:t>ed</w:t>
      </w:r>
      <w:r w:rsidR="00575FD8" w:rsidRPr="001B3E42">
        <w:rPr>
          <w:rFonts w:ascii="Times New Roman" w:hAnsi="Times New Roman" w:cs="Times New Roman"/>
          <w:color w:val="auto"/>
          <w:sz w:val="22"/>
          <w:szCs w:val="22"/>
          <w:lang w:val="sr-Latn-ME"/>
        </w:rPr>
        <w:t>j</w:t>
      </w:r>
      <w:r w:rsidR="00CD3511" w:rsidRPr="001B3E42">
        <w:rPr>
          <w:rFonts w:ascii="Times New Roman" w:hAnsi="Times New Roman" w:cs="Times New Roman"/>
          <w:color w:val="auto"/>
          <w:sz w:val="22"/>
          <w:szCs w:val="22"/>
          <w:lang w:val="sr-Latn-ME"/>
        </w:rPr>
        <w:t>elju aktivni lijek, drugu ned</w:t>
      </w:r>
      <w:r w:rsidR="00575FD8" w:rsidRPr="001B3E42">
        <w:rPr>
          <w:rFonts w:ascii="Times New Roman" w:hAnsi="Times New Roman" w:cs="Times New Roman"/>
          <w:color w:val="auto"/>
          <w:sz w:val="22"/>
          <w:szCs w:val="22"/>
          <w:lang w:val="sr-Latn-ME"/>
        </w:rPr>
        <w:t>j</w:t>
      </w:r>
      <w:r w:rsidR="00CD3511" w:rsidRPr="001B3E42">
        <w:rPr>
          <w:rFonts w:ascii="Times New Roman" w:hAnsi="Times New Roman" w:cs="Times New Roman"/>
          <w:color w:val="auto"/>
          <w:sz w:val="22"/>
          <w:szCs w:val="22"/>
          <w:lang w:val="sr-Latn-ME"/>
        </w:rPr>
        <w:t>elju</w:t>
      </w:r>
      <w:r w:rsidRPr="001B3E42">
        <w:rPr>
          <w:rFonts w:ascii="Times New Roman" w:hAnsi="Times New Roman" w:cs="Times New Roman"/>
          <w:color w:val="auto"/>
          <w:sz w:val="22"/>
          <w:szCs w:val="22"/>
          <w:lang w:val="sr-Latn-ME"/>
        </w:rPr>
        <w:t xml:space="preserve"> placebo) ili po jednu injekciju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placeba svake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w:t>
      </w:r>
      <w:r w:rsidR="001E4AB9" w:rsidRPr="001B3E42">
        <w:rPr>
          <w:rFonts w:ascii="Times New Roman" w:hAnsi="Times New Roman" w:cs="Times New Roman"/>
          <w:color w:val="auto"/>
          <w:sz w:val="22"/>
          <w:szCs w:val="22"/>
          <w:lang w:val="sr-Latn-ME"/>
        </w:rPr>
        <w:t xml:space="preserve">Pacijenti </w:t>
      </w:r>
      <w:r w:rsidRPr="001B3E42">
        <w:rPr>
          <w:rFonts w:ascii="Times New Roman" w:hAnsi="Times New Roman" w:cs="Times New Roman"/>
          <w:color w:val="auto"/>
          <w:sz w:val="22"/>
          <w:szCs w:val="22"/>
          <w:lang w:val="sr-Latn-ME"/>
        </w:rPr>
        <w:t>nisu smjeli uzimat</w:t>
      </w:r>
      <w:r w:rsidR="003B3490" w:rsidRPr="001B3E42">
        <w:rPr>
          <w:rFonts w:ascii="Times New Roman" w:hAnsi="Times New Roman" w:cs="Times New Roman"/>
          <w:color w:val="auto"/>
          <w:sz w:val="22"/>
          <w:szCs w:val="22"/>
          <w:lang w:val="sr-Latn-ME"/>
        </w:rPr>
        <w:t>i nikakve druge antireumatske l</w:t>
      </w:r>
      <w:r w:rsidRPr="001B3E42">
        <w:rPr>
          <w:rFonts w:ascii="Times New Roman" w:hAnsi="Times New Roman" w:cs="Times New Roman"/>
          <w:color w:val="auto"/>
          <w:sz w:val="22"/>
          <w:szCs w:val="22"/>
          <w:lang w:val="sr-Latn-ME"/>
        </w:rPr>
        <w:t>jekove</w:t>
      </w:r>
      <w:r w:rsidR="00CD3511" w:rsidRPr="001B3E42">
        <w:rPr>
          <w:rFonts w:ascii="Times New Roman" w:hAnsi="Times New Roman" w:cs="Times New Roman"/>
          <w:color w:val="auto"/>
          <w:sz w:val="22"/>
          <w:szCs w:val="22"/>
          <w:lang w:val="sr-Latn-ME"/>
        </w:rPr>
        <w:t xml:space="preserve"> koji modifikuju</w:t>
      </w:r>
      <w:r w:rsidRPr="001B3E42">
        <w:rPr>
          <w:rFonts w:ascii="Times New Roman" w:hAnsi="Times New Roman" w:cs="Times New Roman"/>
          <w:color w:val="auto"/>
          <w:sz w:val="22"/>
          <w:szCs w:val="22"/>
          <w:lang w:val="sr-Latn-ME"/>
        </w:rPr>
        <w:t xml:space="preserve"> tok bolesti.</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RA ispitivanje</w:t>
      </w:r>
      <w:r w:rsidR="001E4AB9" w:rsidRPr="001B3E42">
        <w:rPr>
          <w:rFonts w:ascii="Times New Roman" w:hAnsi="Times New Roman" w:cs="Times New Roman"/>
          <w:color w:val="auto"/>
          <w:sz w:val="22"/>
          <w:szCs w:val="22"/>
          <w:lang w:val="sr-Latn-ME"/>
        </w:rPr>
        <w:t xml:space="preserve"> III obuhvatilo je 619 pacijenata</w:t>
      </w:r>
      <w:r w:rsidRPr="001B3E42">
        <w:rPr>
          <w:rFonts w:ascii="Times New Roman" w:hAnsi="Times New Roman" w:cs="Times New Roman"/>
          <w:color w:val="auto"/>
          <w:sz w:val="22"/>
          <w:szCs w:val="22"/>
          <w:lang w:val="sr-Latn-ME"/>
        </w:rPr>
        <w:t xml:space="preserve"> s umjereno teškim do teškim aktivnim reumatoidnim artritisom u dobi ≥18 godina </w:t>
      </w:r>
      <w:r w:rsidR="00575FD8" w:rsidRPr="001B3E42">
        <w:rPr>
          <w:rFonts w:ascii="Times New Roman" w:hAnsi="Times New Roman" w:cs="Times New Roman"/>
          <w:color w:val="auto"/>
          <w:sz w:val="22"/>
          <w:szCs w:val="22"/>
          <w:lang w:val="sr-Latn-ME"/>
        </w:rPr>
        <w:t>kod</w:t>
      </w:r>
      <w:r w:rsidRPr="001B3E42">
        <w:rPr>
          <w:rFonts w:ascii="Times New Roman" w:hAnsi="Times New Roman" w:cs="Times New Roman"/>
          <w:color w:val="auto"/>
          <w:sz w:val="22"/>
          <w:szCs w:val="22"/>
          <w:lang w:val="sr-Latn-ME"/>
        </w:rPr>
        <w:t xml:space="preserve"> kojih prethodna terapija metotreksatom u dozi od 12,5 do 25 mg  </w:t>
      </w:r>
      <w:r w:rsidRPr="001B3E42">
        <w:rPr>
          <w:rFonts w:ascii="Times New Roman" w:hAnsi="Times New Roman" w:cs="Times New Roman"/>
          <w:iCs/>
          <w:color w:val="auto"/>
          <w:sz w:val="22"/>
          <w:szCs w:val="22"/>
          <w:lang w:val="sr-Latn-ME"/>
        </w:rPr>
        <w:t>jednom</w:t>
      </w:r>
      <w:r w:rsidRPr="001B3E42">
        <w:rPr>
          <w:rFonts w:ascii="Times New Roman" w:hAnsi="Times New Roman" w:cs="Times New Roman"/>
          <w:i/>
          <w:iCs/>
          <w:color w:val="auto"/>
          <w:sz w:val="22"/>
          <w:szCs w:val="22"/>
          <w:lang w:val="sr-Latn-ME"/>
        </w:rPr>
        <w:t xml:space="preserve"> </w:t>
      </w:r>
      <w:r w:rsidR="00CD3511" w:rsidRPr="001B3E42">
        <w:rPr>
          <w:rFonts w:ascii="Times New Roman" w:hAnsi="Times New Roman" w:cs="Times New Roman"/>
          <w:iCs/>
          <w:color w:val="auto"/>
          <w:sz w:val="22"/>
          <w:szCs w:val="22"/>
          <w:lang w:val="sr-Latn-ME"/>
        </w:rPr>
        <w:t>nedeljno</w:t>
      </w:r>
      <w:r w:rsidRPr="001B3E42">
        <w:rPr>
          <w:rFonts w:ascii="Times New Roman" w:hAnsi="Times New Roman" w:cs="Times New Roman"/>
          <w:i/>
          <w:iCs/>
          <w:color w:val="auto"/>
          <w:sz w:val="22"/>
          <w:szCs w:val="22"/>
          <w:lang w:val="sr-Latn-ME"/>
        </w:rPr>
        <w:t xml:space="preserve"> </w:t>
      </w:r>
      <w:r w:rsidRPr="001B3E42">
        <w:rPr>
          <w:rFonts w:ascii="Times New Roman" w:hAnsi="Times New Roman" w:cs="Times New Roman"/>
          <w:color w:val="auto"/>
          <w:sz w:val="22"/>
          <w:szCs w:val="22"/>
          <w:lang w:val="sr-Latn-ME"/>
        </w:rPr>
        <w:t xml:space="preserve">nije dala zadovoljavajuće rezultate ili nisu podnosili metotreksat u dozi od </w:t>
      </w:r>
      <w:r w:rsidR="00CD3511" w:rsidRPr="001B3E42">
        <w:rPr>
          <w:rFonts w:ascii="Times New Roman" w:hAnsi="Times New Roman" w:cs="Times New Roman"/>
          <w:color w:val="auto"/>
          <w:sz w:val="22"/>
          <w:szCs w:val="22"/>
          <w:lang w:val="sr-Latn-ME"/>
        </w:rPr>
        <w:t>10 mg jednom nedeljno</w:t>
      </w:r>
      <w:r w:rsidR="001E4AB9" w:rsidRPr="001B3E42">
        <w:rPr>
          <w:rFonts w:ascii="Times New Roman" w:hAnsi="Times New Roman" w:cs="Times New Roman"/>
          <w:color w:val="auto"/>
          <w:sz w:val="22"/>
          <w:szCs w:val="22"/>
          <w:lang w:val="sr-Latn-ME"/>
        </w:rPr>
        <w:t>. Pacijenti</w:t>
      </w:r>
      <w:r w:rsidRPr="001B3E42">
        <w:rPr>
          <w:rFonts w:ascii="Times New Roman" w:hAnsi="Times New Roman" w:cs="Times New Roman"/>
          <w:color w:val="auto"/>
          <w:sz w:val="22"/>
          <w:szCs w:val="22"/>
          <w:lang w:val="sr-Latn-ME"/>
        </w:rPr>
        <w:t xml:space="preserve"> su podije</w:t>
      </w:r>
      <w:r w:rsidR="00CD3511" w:rsidRPr="001B3E42">
        <w:rPr>
          <w:rFonts w:ascii="Times New Roman" w:hAnsi="Times New Roman" w:cs="Times New Roman"/>
          <w:color w:val="auto"/>
          <w:sz w:val="22"/>
          <w:szCs w:val="22"/>
          <w:lang w:val="sr-Latn-ME"/>
        </w:rPr>
        <w:t>ljeni u tri grupe. Prva je dobij</w:t>
      </w:r>
      <w:r w:rsidRPr="001B3E42">
        <w:rPr>
          <w:rFonts w:ascii="Times New Roman" w:hAnsi="Times New Roman" w:cs="Times New Roman"/>
          <w:color w:val="auto"/>
          <w:sz w:val="22"/>
          <w:szCs w:val="22"/>
          <w:lang w:val="sr-Latn-ME"/>
        </w:rPr>
        <w:t xml:space="preserve">ala injekcije placeba svake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u periodu od 52 </w:t>
      </w:r>
      <w:r w:rsidR="009065F5" w:rsidRPr="001B3E42">
        <w:rPr>
          <w:rFonts w:ascii="Times New Roman" w:hAnsi="Times New Roman" w:cs="Times New Roman"/>
          <w:color w:val="auto"/>
          <w:sz w:val="22"/>
          <w:szCs w:val="22"/>
          <w:lang w:val="sr-Latn-ME"/>
        </w:rPr>
        <w:t>nedjelje</w:t>
      </w:r>
      <w:r w:rsidR="00575FD8" w:rsidRPr="001B3E42">
        <w:rPr>
          <w:rFonts w:ascii="Times New Roman" w:hAnsi="Times New Roman" w:cs="Times New Roman"/>
          <w:color w:val="auto"/>
          <w:sz w:val="22"/>
          <w:szCs w:val="22"/>
          <w:lang w:val="sr-Latn-ME"/>
        </w:rPr>
        <w:t xml:space="preserve">. </w:t>
      </w:r>
      <w:r w:rsidR="003B3490" w:rsidRPr="001B3E42">
        <w:rPr>
          <w:rFonts w:ascii="Times New Roman" w:hAnsi="Times New Roman" w:cs="Times New Roman"/>
          <w:color w:val="auto"/>
          <w:sz w:val="22"/>
          <w:szCs w:val="22"/>
          <w:lang w:val="sr-Latn-ME"/>
        </w:rPr>
        <w:t xml:space="preserve">Druga je dobijala 20 mg </w:t>
      </w:r>
      <w:r w:rsidR="00B11AAE" w:rsidRPr="001B3E42">
        <w:rPr>
          <w:rFonts w:ascii="Times New Roman" w:hAnsi="Times New Roman" w:cs="Times New Roman"/>
          <w:color w:val="auto"/>
          <w:sz w:val="22"/>
          <w:szCs w:val="22"/>
          <w:lang w:val="sr-Latn-ME"/>
        </w:rPr>
        <w:t xml:space="preserve">lijeka </w:t>
      </w:r>
      <w:r w:rsidR="003B3490" w:rsidRPr="001B3E42">
        <w:rPr>
          <w:rFonts w:ascii="Times New Roman" w:hAnsi="Times New Roman" w:cs="Times New Roman"/>
          <w:color w:val="auto"/>
          <w:sz w:val="22"/>
          <w:szCs w:val="22"/>
          <w:lang w:val="sr-Latn-ME"/>
        </w:rPr>
        <w:t>Humir</w:t>
      </w:r>
      <w:r w:rsidR="00B11AAE" w:rsidRPr="001B3E42">
        <w:rPr>
          <w:rFonts w:ascii="Times New Roman" w:hAnsi="Times New Roman" w:cs="Times New Roman"/>
          <w:color w:val="auto"/>
          <w:sz w:val="22"/>
          <w:szCs w:val="22"/>
          <w:lang w:val="sr-Latn-ME"/>
        </w:rPr>
        <w:t>a</w:t>
      </w:r>
      <w:r w:rsidR="003B3490" w:rsidRPr="001B3E42">
        <w:rPr>
          <w:rFonts w:ascii="Times New Roman" w:hAnsi="Times New Roman" w:cs="Times New Roman"/>
          <w:color w:val="auto"/>
          <w:sz w:val="22"/>
          <w:szCs w:val="22"/>
          <w:lang w:val="sr-Latn-ME"/>
        </w:rPr>
        <w:t xml:space="preserve"> svake nedjelje u periodu od 52 nedjelje</w:t>
      </w:r>
      <w:r w:rsidR="00575FD8" w:rsidRPr="001B3E42">
        <w:rPr>
          <w:rFonts w:ascii="Times New Roman" w:hAnsi="Times New Roman" w:cs="Times New Roman"/>
          <w:color w:val="auto"/>
          <w:sz w:val="22"/>
          <w:szCs w:val="22"/>
          <w:lang w:val="sr-Latn-ME"/>
        </w:rPr>
        <w:t>.</w:t>
      </w:r>
      <w:r w:rsidR="003B3490" w:rsidRPr="001B3E42">
        <w:rPr>
          <w:rFonts w:ascii="Times New Roman" w:hAnsi="Times New Roman" w:cs="Times New Roman"/>
          <w:color w:val="auto"/>
          <w:sz w:val="22"/>
          <w:szCs w:val="22"/>
          <w:lang w:val="sr-Latn-ME"/>
        </w:rPr>
        <w:t xml:space="preserve"> Treća grupa je dobijala 40 mg </w:t>
      </w:r>
      <w:r w:rsidR="00377FE9" w:rsidRPr="001B3E42">
        <w:rPr>
          <w:rFonts w:ascii="Times New Roman" w:hAnsi="Times New Roman" w:cs="Times New Roman"/>
          <w:color w:val="auto"/>
          <w:sz w:val="22"/>
          <w:szCs w:val="22"/>
          <w:lang w:val="sr-Latn-ME"/>
        </w:rPr>
        <w:t xml:space="preserve">lijeka </w:t>
      </w:r>
      <w:r w:rsidR="003B3490"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003B3490" w:rsidRPr="001B3E42">
        <w:rPr>
          <w:rFonts w:ascii="Times New Roman" w:hAnsi="Times New Roman" w:cs="Times New Roman"/>
          <w:color w:val="auto"/>
          <w:sz w:val="22"/>
          <w:szCs w:val="22"/>
          <w:lang w:val="sr-Latn-ME"/>
        </w:rPr>
        <w:t xml:space="preserve"> svake druge nedjelje, sa placebo injekcijama, naizmjenično. Po završetku prve 52 nedjelje, 457 pacijen</w:t>
      </w:r>
      <w:r w:rsidR="00575FD8" w:rsidRPr="001B3E42">
        <w:rPr>
          <w:rFonts w:ascii="Times New Roman" w:hAnsi="Times New Roman" w:cs="Times New Roman"/>
          <w:color w:val="auto"/>
          <w:sz w:val="22"/>
          <w:szCs w:val="22"/>
          <w:lang w:val="sr-Latn-ME"/>
        </w:rPr>
        <w:t>a</w:t>
      </w:r>
      <w:r w:rsidR="003B3490" w:rsidRPr="001B3E42">
        <w:rPr>
          <w:rFonts w:ascii="Times New Roman" w:hAnsi="Times New Roman" w:cs="Times New Roman"/>
          <w:color w:val="auto"/>
          <w:sz w:val="22"/>
          <w:szCs w:val="22"/>
          <w:lang w:val="sr-Latn-ME"/>
        </w:rPr>
        <w:t xml:space="preserve">ta je uključeno u otvorenu produženu fazu u kojoj je davano 40 mg </w:t>
      </w:r>
      <w:r w:rsidR="00377FE9" w:rsidRPr="001B3E42">
        <w:rPr>
          <w:rFonts w:ascii="Times New Roman" w:hAnsi="Times New Roman" w:cs="Times New Roman"/>
          <w:color w:val="auto"/>
          <w:sz w:val="22"/>
          <w:szCs w:val="22"/>
          <w:lang w:val="sr-Latn-ME"/>
        </w:rPr>
        <w:t xml:space="preserve">lijeka </w:t>
      </w:r>
      <w:r w:rsidR="003B3490"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003B3490" w:rsidRPr="001B3E42">
        <w:rPr>
          <w:rFonts w:ascii="Times New Roman" w:hAnsi="Times New Roman" w:cs="Times New Roman"/>
          <w:color w:val="auto"/>
          <w:sz w:val="22"/>
          <w:szCs w:val="22"/>
          <w:lang w:val="sr-Latn-ME"/>
        </w:rPr>
        <w:t>/MTX svake druge nedjelje u trajanju od 10 godina.</w:t>
      </w:r>
    </w:p>
    <w:p w:rsidR="00575FD8" w:rsidRPr="001B3E42" w:rsidRDefault="00575FD8" w:rsidP="005D003D">
      <w:pPr>
        <w:pStyle w:val="Default"/>
        <w:jc w:val="both"/>
        <w:rPr>
          <w:rFonts w:ascii="Times New Roman" w:hAnsi="Times New Roman" w:cs="Times New Roman"/>
          <w:color w:val="auto"/>
          <w:sz w:val="22"/>
          <w:szCs w:val="22"/>
          <w:lang w:val="sr-Latn-ME"/>
        </w:rPr>
      </w:pPr>
    </w:p>
    <w:p w:rsidR="005D003D" w:rsidRPr="001B3E42" w:rsidRDefault="005D003D" w:rsidP="00CD3511">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RA ispitivanju IV prvens</w:t>
      </w:r>
      <w:r w:rsidR="00CD3511" w:rsidRPr="001B3E42">
        <w:rPr>
          <w:rFonts w:ascii="Times New Roman" w:hAnsi="Times New Roman" w:cs="Times New Roman"/>
          <w:color w:val="auto"/>
          <w:sz w:val="22"/>
          <w:szCs w:val="22"/>
          <w:lang w:val="sr-Latn-ME"/>
        </w:rPr>
        <w:t>tveno je ocjenjivana sigurnost kod</w:t>
      </w:r>
      <w:r w:rsidRPr="001B3E42">
        <w:rPr>
          <w:rFonts w:ascii="Times New Roman" w:hAnsi="Times New Roman" w:cs="Times New Roman"/>
          <w:color w:val="auto"/>
          <w:sz w:val="22"/>
          <w:szCs w:val="22"/>
          <w:lang w:val="sr-Latn-ME"/>
        </w:rPr>
        <w:t xml:space="preserve"> 636 </w:t>
      </w:r>
      <w:r w:rsidR="001E4AB9" w:rsidRPr="001B3E42">
        <w:rPr>
          <w:rFonts w:ascii="Times New Roman" w:hAnsi="Times New Roman" w:cs="Times New Roman"/>
          <w:color w:val="auto"/>
          <w:sz w:val="22"/>
          <w:szCs w:val="22"/>
          <w:lang w:val="sr-Latn-ME"/>
        </w:rPr>
        <w:t xml:space="preserve">pacijenata </w:t>
      </w:r>
      <w:r w:rsidRPr="001B3E42">
        <w:rPr>
          <w:rFonts w:ascii="Times New Roman" w:hAnsi="Times New Roman" w:cs="Times New Roman"/>
          <w:color w:val="auto"/>
          <w:sz w:val="22"/>
          <w:szCs w:val="22"/>
          <w:lang w:val="sr-Latn-ME"/>
        </w:rPr>
        <w:t>u dobi ≥18 godina s umjereno teškim do teškim aktivnim reumatoidnim artritisom. U ispi</w:t>
      </w:r>
      <w:r w:rsidR="001E4AB9" w:rsidRPr="001B3E42">
        <w:rPr>
          <w:rFonts w:ascii="Times New Roman" w:hAnsi="Times New Roman" w:cs="Times New Roman"/>
          <w:color w:val="auto"/>
          <w:sz w:val="22"/>
          <w:szCs w:val="22"/>
          <w:lang w:val="sr-Latn-ME"/>
        </w:rPr>
        <w:t>tivanje su uključeni i pacijenti</w:t>
      </w:r>
      <w:r w:rsidRPr="001B3E42">
        <w:rPr>
          <w:rFonts w:ascii="Times New Roman" w:hAnsi="Times New Roman" w:cs="Times New Roman"/>
          <w:color w:val="auto"/>
          <w:sz w:val="22"/>
          <w:szCs w:val="22"/>
          <w:lang w:val="sr-Latn-ME"/>
        </w:rPr>
        <w:t xml:space="preserve"> koji su prethodno liječeni antireuma</w:t>
      </w:r>
      <w:r w:rsidR="00CD3511" w:rsidRPr="001B3E42">
        <w:rPr>
          <w:rFonts w:ascii="Times New Roman" w:hAnsi="Times New Roman" w:cs="Times New Roman"/>
          <w:color w:val="auto"/>
          <w:sz w:val="22"/>
          <w:szCs w:val="22"/>
          <w:lang w:val="sr-Latn-ME"/>
        </w:rPr>
        <w:t>tskim l</w:t>
      </w:r>
      <w:r w:rsidRPr="001B3E42">
        <w:rPr>
          <w:rFonts w:ascii="Times New Roman" w:hAnsi="Times New Roman" w:cs="Times New Roman"/>
          <w:color w:val="auto"/>
          <w:sz w:val="22"/>
          <w:szCs w:val="22"/>
          <w:lang w:val="sr-Latn-ME"/>
        </w:rPr>
        <w:t xml:space="preserve">jekovima </w:t>
      </w:r>
      <w:r w:rsidRPr="001B3E42">
        <w:rPr>
          <w:rFonts w:ascii="Times New Roman" w:hAnsi="Times New Roman" w:cs="Times New Roman"/>
          <w:iCs/>
          <w:color w:val="auto"/>
          <w:sz w:val="22"/>
          <w:szCs w:val="22"/>
          <w:lang w:val="sr-Latn-ME"/>
        </w:rPr>
        <w:t>koji modifi</w:t>
      </w:r>
      <w:r w:rsidR="00CD3511" w:rsidRPr="001B3E42">
        <w:rPr>
          <w:rFonts w:ascii="Times New Roman" w:hAnsi="Times New Roman" w:cs="Times New Roman"/>
          <w:iCs/>
          <w:color w:val="auto"/>
          <w:sz w:val="22"/>
          <w:szCs w:val="22"/>
          <w:lang w:val="sr-Latn-ME"/>
        </w:rPr>
        <w:t>kuju</w:t>
      </w:r>
      <w:r w:rsidRPr="001B3E42">
        <w:rPr>
          <w:rFonts w:ascii="Times New Roman" w:hAnsi="Times New Roman" w:cs="Times New Roman"/>
          <w:color w:val="auto"/>
          <w:sz w:val="22"/>
          <w:szCs w:val="22"/>
          <w:lang w:val="sr-Latn-ME"/>
        </w:rPr>
        <w:t xml:space="preserve"> tok bolesti, koji prethodno nisu bi</w:t>
      </w:r>
      <w:r w:rsidR="00CD3511" w:rsidRPr="001B3E42">
        <w:rPr>
          <w:rFonts w:ascii="Times New Roman" w:hAnsi="Times New Roman" w:cs="Times New Roman"/>
          <w:color w:val="auto"/>
          <w:sz w:val="22"/>
          <w:szCs w:val="22"/>
          <w:lang w:val="sr-Latn-ME"/>
        </w:rPr>
        <w:t>li liječeni i oni koji već dobij</w:t>
      </w:r>
      <w:r w:rsidRPr="001B3E42">
        <w:rPr>
          <w:rFonts w:ascii="Times New Roman" w:hAnsi="Times New Roman" w:cs="Times New Roman"/>
          <w:color w:val="auto"/>
          <w:sz w:val="22"/>
          <w:szCs w:val="22"/>
          <w:lang w:val="sr-Latn-ME"/>
        </w:rPr>
        <w:t xml:space="preserve">aju antireumatsku terapiju pod uslovom da je ta terapija stabilna </w:t>
      </w:r>
      <w:r w:rsidRPr="001B3E42">
        <w:rPr>
          <w:rFonts w:ascii="Times New Roman" w:hAnsi="Times New Roman" w:cs="Times New Roman"/>
          <w:color w:val="auto"/>
          <w:sz w:val="22"/>
          <w:szCs w:val="22"/>
          <w:lang w:val="sr-Latn-ME"/>
        </w:rPr>
        <w:lastRenderedPageBreak/>
        <w:t>najmanje 28 dana. Ove terapije uključuju metotreksat, leflunomid, hidroksi</w:t>
      </w:r>
      <w:r w:rsidR="00B3420B" w:rsidRPr="001B3E42">
        <w:rPr>
          <w:rFonts w:ascii="Times New Roman" w:hAnsi="Times New Roman" w:cs="Times New Roman"/>
          <w:color w:val="auto"/>
          <w:sz w:val="22"/>
          <w:szCs w:val="22"/>
          <w:lang w:val="sr-Latn-ME"/>
        </w:rPr>
        <w:t>h</w:t>
      </w:r>
      <w:r w:rsidRPr="001B3E42">
        <w:rPr>
          <w:rFonts w:ascii="Times New Roman" w:hAnsi="Times New Roman" w:cs="Times New Roman"/>
          <w:color w:val="auto"/>
          <w:sz w:val="22"/>
          <w:szCs w:val="22"/>
          <w:lang w:val="sr-Latn-ME"/>
        </w:rPr>
        <w:t>loro</w:t>
      </w:r>
      <w:r w:rsidR="00B3420B" w:rsidRPr="001B3E42">
        <w:rPr>
          <w:rFonts w:ascii="Times New Roman" w:hAnsi="Times New Roman" w:cs="Times New Roman"/>
          <w:color w:val="auto"/>
          <w:sz w:val="22"/>
          <w:szCs w:val="22"/>
          <w:lang w:val="sr-Latn-ME"/>
        </w:rPr>
        <w:t>h</w:t>
      </w:r>
      <w:r w:rsidRPr="001B3E42">
        <w:rPr>
          <w:rFonts w:ascii="Times New Roman" w:hAnsi="Times New Roman" w:cs="Times New Roman"/>
          <w:color w:val="auto"/>
          <w:sz w:val="22"/>
          <w:szCs w:val="22"/>
          <w:lang w:val="sr-Latn-ME"/>
        </w:rPr>
        <w:t xml:space="preserve">in, sulfasalazin i/ili soli zlata. </w:t>
      </w:r>
      <w:r w:rsidR="001E4AB9" w:rsidRPr="001B3E42">
        <w:rPr>
          <w:rFonts w:ascii="Times New Roman" w:hAnsi="Times New Roman" w:cs="Times New Roman"/>
          <w:color w:val="auto"/>
          <w:sz w:val="22"/>
          <w:szCs w:val="22"/>
          <w:lang w:val="sr-Latn-ME"/>
        </w:rPr>
        <w:t xml:space="preserve">Pacijenati </w:t>
      </w:r>
      <w:r w:rsidRPr="001B3E42">
        <w:rPr>
          <w:rFonts w:ascii="Times New Roman" w:hAnsi="Times New Roman" w:cs="Times New Roman"/>
          <w:color w:val="auto"/>
          <w:sz w:val="22"/>
          <w:szCs w:val="22"/>
          <w:lang w:val="sr-Latn-ME"/>
        </w:rPr>
        <w:t>su podijeljeni u dvi</w:t>
      </w:r>
      <w:r w:rsidR="00CD3511" w:rsidRPr="001B3E42">
        <w:rPr>
          <w:rFonts w:ascii="Times New Roman" w:hAnsi="Times New Roman" w:cs="Times New Roman"/>
          <w:color w:val="auto"/>
          <w:sz w:val="22"/>
          <w:szCs w:val="22"/>
          <w:lang w:val="sr-Latn-ME"/>
        </w:rPr>
        <w:t>je grupe od kojih je jedna dobij</w:t>
      </w:r>
      <w:r w:rsidRPr="001B3E42">
        <w:rPr>
          <w:rFonts w:ascii="Times New Roman" w:hAnsi="Times New Roman" w:cs="Times New Roman"/>
          <w:color w:val="auto"/>
          <w:sz w:val="22"/>
          <w:szCs w:val="22"/>
          <w:lang w:val="sr-Latn-ME"/>
        </w:rPr>
        <w:t xml:space="preserve">ala 40 mg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a druga placebo svake druge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u periodu od 24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A762EB">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RA ispitivanjem V obuhvaćeno je 799 odraslih </w:t>
      </w:r>
      <w:r w:rsidR="001E4AB9" w:rsidRPr="001B3E42">
        <w:rPr>
          <w:rFonts w:ascii="Times New Roman" w:hAnsi="Times New Roman" w:cs="Times New Roman"/>
          <w:color w:val="auto"/>
          <w:sz w:val="22"/>
          <w:szCs w:val="22"/>
          <w:lang w:val="sr-Latn-ME"/>
        </w:rPr>
        <w:t xml:space="preserve">pacijenata </w:t>
      </w:r>
      <w:r w:rsidRPr="001B3E42">
        <w:rPr>
          <w:rFonts w:ascii="Times New Roman" w:hAnsi="Times New Roman" w:cs="Times New Roman"/>
          <w:color w:val="auto"/>
          <w:sz w:val="22"/>
          <w:szCs w:val="22"/>
          <w:lang w:val="sr-Latn-ME"/>
        </w:rPr>
        <w:t xml:space="preserve">s umjereno teškim do teškim aktivnim reumatoidnim artritisom u ranoj fazi (prosječno trajanje bolesti kraće od 9 mjeseci) koji do tada nisu bili liječeni metotreksatom. Tokom 104 </w:t>
      </w:r>
      <w:r w:rsidR="009065F5" w:rsidRPr="001B3E42">
        <w:rPr>
          <w:rFonts w:ascii="Times New Roman" w:hAnsi="Times New Roman" w:cs="Times New Roman"/>
          <w:color w:val="auto"/>
          <w:sz w:val="22"/>
          <w:szCs w:val="22"/>
          <w:lang w:val="sr-Latn-ME"/>
        </w:rPr>
        <w:t>nedjelje</w:t>
      </w:r>
      <w:r w:rsidR="001E4AB9" w:rsidRPr="001B3E42">
        <w:rPr>
          <w:rFonts w:ascii="Times New Roman" w:hAnsi="Times New Roman" w:cs="Times New Roman"/>
          <w:color w:val="auto"/>
          <w:sz w:val="22"/>
          <w:szCs w:val="22"/>
          <w:lang w:val="sr-Latn-ME"/>
        </w:rPr>
        <w:t xml:space="preserve"> upoređivana je efikasnost</w:t>
      </w:r>
      <w:r w:rsidRPr="001B3E42">
        <w:rPr>
          <w:rFonts w:ascii="Times New Roman" w:hAnsi="Times New Roman" w:cs="Times New Roman"/>
          <w:color w:val="auto"/>
          <w:sz w:val="22"/>
          <w:szCs w:val="22"/>
          <w:lang w:val="sr-Latn-ME"/>
        </w:rPr>
        <w:t xml:space="preserve"> kombinovanog liječenja (40 mg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svake dvije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/metotreksat), monoterapije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(40 mg svake dvije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w:t>
      </w:r>
      <w:r w:rsidR="00B3420B" w:rsidRPr="001B3E42">
        <w:rPr>
          <w:rFonts w:ascii="Times New Roman" w:hAnsi="Times New Roman" w:cs="Times New Roman"/>
          <w:color w:val="auto"/>
          <w:sz w:val="22"/>
          <w:szCs w:val="22"/>
          <w:lang w:val="sr-Latn-ME"/>
        </w:rPr>
        <w:t xml:space="preserve">kao i </w:t>
      </w:r>
      <w:r w:rsidRPr="001B3E42">
        <w:rPr>
          <w:rFonts w:ascii="Times New Roman" w:hAnsi="Times New Roman" w:cs="Times New Roman"/>
          <w:color w:val="auto"/>
          <w:sz w:val="22"/>
          <w:szCs w:val="22"/>
          <w:lang w:val="sr-Latn-ME"/>
        </w:rPr>
        <w:t xml:space="preserve"> monoterapije metotreksatom na smanjenje simptoma i znakova te brzine napredovanja oštećenja zglobova kod reumatoidnog artritisa.</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A762EB" w:rsidP="00A762EB">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Primarni cilj</w:t>
      </w:r>
      <w:r w:rsidR="005D003D" w:rsidRPr="001B3E42">
        <w:rPr>
          <w:rFonts w:ascii="Times New Roman" w:hAnsi="Times New Roman" w:cs="Times New Roman"/>
          <w:color w:val="auto"/>
          <w:sz w:val="22"/>
          <w:szCs w:val="22"/>
          <w:lang w:val="sr-Latn-ME"/>
        </w:rPr>
        <w:t xml:space="preserve"> RA ispitivanja I, II i III te sekund</w:t>
      </w:r>
      <w:r w:rsidRPr="001B3E42">
        <w:rPr>
          <w:rFonts w:ascii="Times New Roman" w:hAnsi="Times New Roman" w:cs="Times New Roman"/>
          <w:color w:val="auto"/>
          <w:sz w:val="22"/>
          <w:szCs w:val="22"/>
          <w:lang w:val="sr-Latn-ME"/>
        </w:rPr>
        <w:t>arni cilj</w:t>
      </w:r>
      <w:r w:rsidR="005D003D" w:rsidRPr="001B3E42">
        <w:rPr>
          <w:rFonts w:ascii="Times New Roman" w:hAnsi="Times New Roman" w:cs="Times New Roman"/>
          <w:color w:val="auto"/>
          <w:sz w:val="22"/>
          <w:szCs w:val="22"/>
          <w:lang w:val="sr-Latn-ME"/>
        </w:rPr>
        <w:t xml:space="preserve"> RA ispitiv</w:t>
      </w:r>
      <w:r w:rsidRPr="001B3E42">
        <w:rPr>
          <w:rFonts w:ascii="Times New Roman" w:hAnsi="Times New Roman" w:cs="Times New Roman"/>
          <w:color w:val="auto"/>
          <w:sz w:val="22"/>
          <w:szCs w:val="22"/>
          <w:lang w:val="sr-Latn-ME"/>
        </w:rPr>
        <w:t>anja IV bio je utvrditi procenat</w:t>
      </w:r>
      <w:r w:rsidR="005D003D" w:rsidRPr="001B3E42">
        <w:rPr>
          <w:rFonts w:ascii="Times New Roman" w:hAnsi="Times New Roman" w:cs="Times New Roman"/>
          <w:color w:val="auto"/>
          <w:sz w:val="22"/>
          <w:szCs w:val="22"/>
          <w:lang w:val="sr-Latn-ME"/>
        </w:rPr>
        <w:t xml:space="preserve"> </w:t>
      </w:r>
      <w:r w:rsidR="001E4AB9" w:rsidRPr="001B3E42">
        <w:rPr>
          <w:rFonts w:ascii="Times New Roman" w:hAnsi="Times New Roman" w:cs="Times New Roman"/>
          <w:color w:val="auto"/>
          <w:sz w:val="22"/>
          <w:szCs w:val="22"/>
          <w:lang w:val="sr-Latn-ME"/>
        </w:rPr>
        <w:t>pacijenata</w:t>
      </w:r>
      <w:r w:rsidR="005D003D" w:rsidRPr="001B3E42">
        <w:rPr>
          <w:rFonts w:ascii="Times New Roman" w:hAnsi="Times New Roman" w:cs="Times New Roman"/>
          <w:color w:val="auto"/>
          <w:sz w:val="22"/>
          <w:szCs w:val="22"/>
          <w:lang w:val="sr-Latn-ME"/>
        </w:rPr>
        <w:t xml:space="preserve"> </w:t>
      </w:r>
      <w:r w:rsidR="00B3420B" w:rsidRPr="001B3E42">
        <w:rPr>
          <w:rFonts w:ascii="Times New Roman" w:hAnsi="Times New Roman" w:cs="Times New Roman"/>
          <w:color w:val="auto"/>
          <w:sz w:val="22"/>
          <w:szCs w:val="22"/>
          <w:lang w:val="sr-Latn-ME"/>
        </w:rPr>
        <w:t>kod</w:t>
      </w:r>
      <w:r w:rsidR="005D003D" w:rsidRPr="001B3E42">
        <w:rPr>
          <w:rFonts w:ascii="Times New Roman" w:hAnsi="Times New Roman" w:cs="Times New Roman"/>
          <w:color w:val="auto"/>
          <w:sz w:val="22"/>
          <w:szCs w:val="22"/>
          <w:lang w:val="sr-Latn-ME"/>
        </w:rPr>
        <w:t xml:space="preserve"> kojih je postignut terapijski odgovor ACR 20 nakon 24, odnosn</w:t>
      </w:r>
      <w:r w:rsidRPr="001B3E42">
        <w:rPr>
          <w:rFonts w:ascii="Times New Roman" w:hAnsi="Times New Roman" w:cs="Times New Roman"/>
          <w:color w:val="auto"/>
          <w:sz w:val="22"/>
          <w:szCs w:val="22"/>
          <w:lang w:val="sr-Latn-ME"/>
        </w:rPr>
        <w:t xml:space="preserve">o 26 </w:t>
      </w:r>
      <w:r w:rsidR="009065F5" w:rsidRPr="001B3E42">
        <w:rPr>
          <w:rFonts w:ascii="Times New Roman" w:hAnsi="Times New Roman" w:cs="Times New Roman"/>
          <w:color w:val="auto"/>
          <w:sz w:val="22"/>
          <w:szCs w:val="22"/>
          <w:lang w:val="sr-Latn-ME"/>
        </w:rPr>
        <w:t>nedjelja</w:t>
      </w:r>
      <w:r w:rsidRPr="001B3E42">
        <w:rPr>
          <w:rFonts w:ascii="Times New Roman" w:hAnsi="Times New Roman" w:cs="Times New Roman"/>
          <w:color w:val="auto"/>
          <w:sz w:val="22"/>
          <w:szCs w:val="22"/>
          <w:lang w:val="sr-Latn-ME"/>
        </w:rPr>
        <w:t xml:space="preserve"> liječenja. Primarni cilj RA ispitivanja V bio je procenat</w:t>
      </w:r>
      <w:r w:rsidR="005D003D" w:rsidRPr="001B3E42">
        <w:rPr>
          <w:rFonts w:ascii="Times New Roman" w:hAnsi="Times New Roman" w:cs="Times New Roman"/>
          <w:color w:val="auto"/>
          <w:sz w:val="22"/>
          <w:szCs w:val="22"/>
          <w:lang w:val="sr-Latn-ME"/>
        </w:rPr>
        <w:t xml:space="preserve"> </w:t>
      </w:r>
      <w:r w:rsidR="001E4AB9" w:rsidRPr="001B3E42">
        <w:rPr>
          <w:rFonts w:ascii="Times New Roman" w:hAnsi="Times New Roman" w:cs="Times New Roman"/>
          <w:color w:val="auto"/>
          <w:sz w:val="22"/>
          <w:szCs w:val="22"/>
          <w:lang w:val="sr-Latn-ME"/>
        </w:rPr>
        <w:t>pacijenata</w:t>
      </w:r>
      <w:r w:rsidR="005D003D" w:rsidRPr="001B3E42">
        <w:rPr>
          <w:rFonts w:ascii="Times New Roman" w:hAnsi="Times New Roman" w:cs="Times New Roman"/>
          <w:color w:val="auto"/>
          <w:sz w:val="22"/>
          <w:szCs w:val="22"/>
          <w:lang w:val="sr-Latn-ME"/>
        </w:rPr>
        <w:t xml:space="preserve"> </w:t>
      </w:r>
      <w:r w:rsidR="00B3420B" w:rsidRPr="001B3E42">
        <w:rPr>
          <w:rFonts w:ascii="Times New Roman" w:hAnsi="Times New Roman" w:cs="Times New Roman"/>
          <w:color w:val="auto"/>
          <w:sz w:val="22"/>
          <w:szCs w:val="22"/>
          <w:lang w:val="sr-Latn-ME"/>
        </w:rPr>
        <w:t>kod</w:t>
      </w:r>
      <w:r w:rsidR="005D003D" w:rsidRPr="001B3E42">
        <w:rPr>
          <w:rFonts w:ascii="Times New Roman" w:hAnsi="Times New Roman" w:cs="Times New Roman"/>
          <w:color w:val="auto"/>
          <w:sz w:val="22"/>
          <w:szCs w:val="22"/>
          <w:lang w:val="sr-Latn-ME"/>
        </w:rPr>
        <w:t xml:space="preserve"> kojih je postignut terapijski odgovor ACR 50 nakon 52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liječenja. Dodatni primarni cilj RA ispitivanja III i V bio</w:t>
      </w:r>
      <w:r w:rsidR="005D003D" w:rsidRPr="001B3E42">
        <w:rPr>
          <w:rFonts w:ascii="Times New Roman" w:hAnsi="Times New Roman" w:cs="Times New Roman"/>
          <w:color w:val="auto"/>
          <w:sz w:val="22"/>
          <w:szCs w:val="22"/>
          <w:lang w:val="sr-Latn-ME"/>
        </w:rPr>
        <w:t xml:space="preserve"> je usporavanje </w:t>
      </w:r>
      <w:r w:rsidRPr="001B3E42">
        <w:rPr>
          <w:rFonts w:ascii="Times New Roman" w:hAnsi="Times New Roman" w:cs="Times New Roman"/>
          <w:color w:val="auto"/>
          <w:sz w:val="22"/>
          <w:szCs w:val="22"/>
          <w:lang w:val="sr-Latn-ME"/>
        </w:rPr>
        <w:t>napredovanja bolesti (na osnovu</w:t>
      </w:r>
      <w:r w:rsidR="005D003D" w:rsidRPr="001B3E42">
        <w:rPr>
          <w:rFonts w:ascii="Times New Roman" w:hAnsi="Times New Roman" w:cs="Times New Roman"/>
          <w:color w:val="auto"/>
          <w:sz w:val="22"/>
          <w:szCs w:val="22"/>
          <w:lang w:val="sr-Latn-ME"/>
        </w:rPr>
        <w:t xml:space="preserve"> radi</w:t>
      </w:r>
      <w:r w:rsidRPr="001B3E42">
        <w:rPr>
          <w:rFonts w:ascii="Times New Roman" w:hAnsi="Times New Roman" w:cs="Times New Roman"/>
          <w:color w:val="auto"/>
          <w:sz w:val="22"/>
          <w:szCs w:val="22"/>
          <w:lang w:val="sr-Latn-ME"/>
        </w:rPr>
        <w:t xml:space="preserve">oloških nalaza) nakon 52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 xml:space="preserve"> l</w:t>
      </w:r>
      <w:r w:rsidRPr="001B3E42">
        <w:rPr>
          <w:rFonts w:ascii="Times New Roman" w:hAnsi="Times New Roman" w:cs="Times New Roman"/>
          <w:color w:val="auto"/>
          <w:sz w:val="22"/>
          <w:szCs w:val="22"/>
          <w:lang w:val="sr-Latn-ME"/>
        </w:rPr>
        <w:t>iječenja. Primarni cilj RA ispitivanja III, takođe</w:t>
      </w:r>
      <w:r w:rsidR="005D003D" w:rsidRPr="001B3E42">
        <w:rPr>
          <w:rFonts w:ascii="Times New Roman" w:hAnsi="Times New Roman" w:cs="Times New Roman"/>
          <w:color w:val="auto"/>
          <w:sz w:val="22"/>
          <w:szCs w:val="22"/>
          <w:lang w:val="sr-Latn-ME"/>
        </w:rPr>
        <w:t>, su bile promjene u kvalitetu života.</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u w:val="single"/>
          <w:lang w:val="sr-Latn-ME"/>
        </w:rPr>
        <w:t>ACR odgovor</w:t>
      </w:r>
    </w:p>
    <w:p w:rsidR="005D003D" w:rsidRPr="001B3E42" w:rsidRDefault="00A762EB" w:rsidP="005760A7">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Procenat</w:t>
      </w:r>
      <w:r w:rsidR="005D003D" w:rsidRPr="001B3E42">
        <w:rPr>
          <w:rFonts w:ascii="Times New Roman" w:hAnsi="Times New Roman" w:cs="Times New Roman"/>
          <w:color w:val="auto"/>
          <w:sz w:val="22"/>
          <w:szCs w:val="22"/>
          <w:lang w:val="sr-Latn-ME"/>
        </w:rPr>
        <w:t xml:space="preserve"> </w:t>
      </w:r>
      <w:r w:rsidR="001E4AB9" w:rsidRPr="001B3E42">
        <w:rPr>
          <w:rFonts w:ascii="Times New Roman" w:hAnsi="Times New Roman" w:cs="Times New Roman"/>
          <w:color w:val="auto"/>
          <w:sz w:val="22"/>
          <w:szCs w:val="22"/>
          <w:lang w:val="sr-Latn-ME"/>
        </w:rPr>
        <w:t xml:space="preserve">pacijenata </w:t>
      </w:r>
      <w:r w:rsidRPr="001B3E42">
        <w:rPr>
          <w:rFonts w:ascii="Times New Roman" w:hAnsi="Times New Roman" w:cs="Times New Roman"/>
          <w:color w:val="auto"/>
          <w:sz w:val="22"/>
          <w:szCs w:val="22"/>
          <w:lang w:val="sr-Latn-ME"/>
        </w:rPr>
        <w:t xml:space="preserve">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kod</w:t>
      </w:r>
      <w:r w:rsidR="005D003D" w:rsidRPr="001B3E42">
        <w:rPr>
          <w:rFonts w:ascii="Times New Roman" w:hAnsi="Times New Roman" w:cs="Times New Roman"/>
          <w:color w:val="auto"/>
          <w:sz w:val="22"/>
          <w:szCs w:val="22"/>
          <w:lang w:val="sr-Latn-ME"/>
        </w:rPr>
        <w:t xml:space="preserve"> kojih je postignut terapijski odgovor ACR 20, 50 i 70 bio je podjednak u RA ispitivanjima I, II i III. Rezultati zabilježeni u grupi koja je </w:t>
      </w:r>
      <w:r w:rsidRPr="001B3E42">
        <w:rPr>
          <w:rFonts w:ascii="Times New Roman" w:hAnsi="Times New Roman" w:cs="Times New Roman"/>
          <w:color w:val="auto"/>
          <w:sz w:val="22"/>
          <w:szCs w:val="22"/>
          <w:lang w:val="sr-Latn-ME"/>
        </w:rPr>
        <w:t>dobijala</w:t>
      </w:r>
      <w:r w:rsidR="005D003D" w:rsidRPr="001B3E42">
        <w:rPr>
          <w:rFonts w:ascii="Times New Roman" w:hAnsi="Times New Roman" w:cs="Times New Roman"/>
          <w:color w:val="auto"/>
          <w:sz w:val="22"/>
          <w:szCs w:val="22"/>
          <w:lang w:val="sr-Latn-ME"/>
        </w:rPr>
        <w:t xml:space="preserve"> 40 mg svake dvije </w:t>
      </w:r>
      <w:r w:rsidR="009065F5" w:rsidRPr="001B3E42">
        <w:rPr>
          <w:rFonts w:ascii="Times New Roman" w:hAnsi="Times New Roman" w:cs="Times New Roman"/>
          <w:color w:val="auto"/>
          <w:sz w:val="22"/>
          <w:szCs w:val="22"/>
          <w:lang w:val="sr-Latn-ME"/>
        </w:rPr>
        <w:t>nedjelje</w:t>
      </w:r>
      <w:r w:rsidR="005D003D" w:rsidRPr="001B3E42">
        <w:rPr>
          <w:rFonts w:ascii="Times New Roman" w:hAnsi="Times New Roman" w:cs="Times New Roman"/>
          <w:color w:val="auto"/>
          <w:sz w:val="22"/>
          <w:szCs w:val="22"/>
          <w:lang w:val="sr-Latn-ME"/>
        </w:rPr>
        <w:t xml:space="preserve"> prikazani su u Tabeli 5.</w:t>
      </w:r>
    </w:p>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p>
    <w:p w:rsidR="00A762EB" w:rsidRPr="001B3E42" w:rsidRDefault="005D003D" w:rsidP="00BD53A4">
      <w:pPr>
        <w:pStyle w:val="Default"/>
        <w:ind w:left="567" w:hanging="567"/>
        <w:jc w:val="center"/>
        <w:rPr>
          <w:rFonts w:ascii="Times New Roman" w:hAnsi="Times New Roman" w:cs="Times New Roman"/>
          <w:b/>
          <w:bCs/>
          <w:color w:val="auto"/>
          <w:sz w:val="22"/>
          <w:szCs w:val="22"/>
          <w:lang w:val="sr-Latn-ME"/>
        </w:rPr>
      </w:pPr>
      <w:r w:rsidRPr="001B3E42">
        <w:rPr>
          <w:rFonts w:ascii="Times New Roman" w:hAnsi="Times New Roman" w:cs="Times New Roman"/>
          <w:b/>
          <w:bCs/>
          <w:color w:val="auto"/>
          <w:sz w:val="22"/>
          <w:szCs w:val="22"/>
          <w:lang w:val="sr-Latn-ME"/>
        </w:rPr>
        <w:t xml:space="preserve">Tabela 5. ACR odgovori </w:t>
      </w:r>
      <w:r w:rsidR="001E4AB9" w:rsidRPr="001B3E42">
        <w:rPr>
          <w:rFonts w:ascii="Times New Roman" w:hAnsi="Times New Roman" w:cs="Times New Roman"/>
          <w:b/>
          <w:bCs/>
          <w:color w:val="auto"/>
          <w:sz w:val="22"/>
          <w:szCs w:val="22"/>
          <w:lang w:val="sr-Latn-ME"/>
        </w:rPr>
        <w:t xml:space="preserve">pacijenata </w:t>
      </w:r>
      <w:r w:rsidRPr="001B3E42">
        <w:rPr>
          <w:rFonts w:ascii="Times New Roman" w:hAnsi="Times New Roman" w:cs="Times New Roman"/>
          <w:b/>
          <w:bCs/>
          <w:color w:val="auto"/>
          <w:sz w:val="22"/>
          <w:szCs w:val="22"/>
          <w:lang w:val="sr-Latn-ME"/>
        </w:rPr>
        <w:t>u ispitivanjima kontrolisanim placebom</w:t>
      </w:r>
    </w:p>
    <w:p w:rsidR="005D003D" w:rsidRPr="001B3E42" w:rsidRDefault="005D003D" w:rsidP="005760A7">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b/>
          <w:bCs/>
          <w:color w:val="auto"/>
          <w:sz w:val="22"/>
          <w:szCs w:val="22"/>
          <w:lang w:val="sr-Latn-ME"/>
        </w:rPr>
        <w:t>(</w:t>
      </w:r>
      <w:r w:rsidR="00A762EB" w:rsidRPr="001B3E42">
        <w:rPr>
          <w:rFonts w:ascii="Times New Roman" w:hAnsi="Times New Roman" w:cs="Times New Roman"/>
          <w:b/>
          <w:bCs/>
          <w:color w:val="auto"/>
          <w:sz w:val="22"/>
          <w:szCs w:val="22"/>
          <w:lang w:val="sr-Latn-ME"/>
        </w:rPr>
        <w:t>procenat</w:t>
      </w:r>
      <w:r w:rsidRPr="001B3E42">
        <w:rPr>
          <w:rFonts w:ascii="Times New Roman" w:hAnsi="Times New Roman" w:cs="Times New Roman"/>
          <w:b/>
          <w:bCs/>
          <w:color w:val="auto"/>
          <w:sz w:val="22"/>
          <w:szCs w:val="22"/>
          <w:lang w:val="sr-Latn-ME"/>
        </w:rPr>
        <w:t xml:space="preserve"> </w:t>
      </w:r>
      <w:r w:rsidR="001E4AB9" w:rsidRPr="001B3E42">
        <w:rPr>
          <w:rFonts w:ascii="Times New Roman" w:hAnsi="Times New Roman" w:cs="Times New Roman"/>
          <w:b/>
          <w:bCs/>
          <w:color w:val="auto"/>
          <w:sz w:val="22"/>
          <w:szCs w:val="22"/>
          <w:lang w:val="sr-Latn-ME"/>
        </w:rPr>
        <w:t>pacijenata)</w:t>
      </w:r>
    </w:p>
    <w:tbl>
      <w:tblPr>
        <w:tblW w:w="0" w:type="auto"/>
        <w:tblCellMar>
          <w:left w:w="0" w:type="dxa"/>
        </w:tblCellMar>
        <w:tblLook w:val="0000" w:firstRow="0" w:lastRow="0" w:firstColumn="0" w:lastColumn="0" w:noHBand="0" w:noVBand="0"/>
      </w:tblPr>
      <w:tblGrid>
        <w:gridCol w:w="1537"/>
        <w:gridCol w:w="2348"/>
        <w:gridCol w:w="2119"/>
        <w:gridCol w:w="2568"/>
      </w:tblGrid>
      <w:tr w:rsidR="005D003D" w:rsidRPr="001B3E42" w:rsidTr="005D003D">
        <w:trPr>
          <w:trHeight w:val="324"/>
        </w:trPr>
        <w:tc>
          <w:tcPr>
            <w:tcW w:w="1537" w:type="dxa"/>
            <w:vMerge w:val="restart"/>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rPr>
                <w:sz w:val="22"/>
                <w:szCs w:val="22"/>
              </w:rPr>
            </w:pPr>
            <w:r w:rsidRPr="001B3E42">
              <w:rPr>
                <w:sz w:val="22"/>
                <w:szCs w:val="22"/>
              </w:rPr>
              <w:t>Odgovor</w:t>
            </w:r>
          </w:p>
        </w:tc>
        <w:tc>
          <w:tcPr>
            <w:tcW w:w="234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RA Ispitivanje I</w:t>
            </w:r>
            <w:r w:rsidRPr="001B3E42">
              <w:rPr>
                <w:rFonts w:ascii="Times New Roman" w:hAnsi="Times New Roman" w:cs="Times New Roman"/>
                <w:b/>
                <w:bCs/>
                <w:position w:val="8"/>
                <w:sz w:val="22"/>
                <w:szCs w:val="22"/>
                <w:vertAlign w:val="superscript"/>
                <w:lang w:val="sr-Latn-ME"/>
              </w:rPr>
              <w:t>a</w:t>
            </w:r>
            <w:r w:rsidRPr="001B3E42">
              <w:rPr>
                <w:rFonts w:ascii="Times New Roman" w:hAnsi="Times New Roman" w:cs="Times New Roman"/>
                <w:b/>
                <w:bCs/>
                <w:sz w:val="22"/>
                <w:szCs w:val="22"/>
                <w:lang w:val="sr-Latn-ME"/>
              </w:rPr>
              <w:t>**</w:t>
            </w:r>
          </w:p>
        </w:tc>
        <w:tc>
          <w:tcPr>
            <w:tcW w:w="2119"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RA IspitivanjeII</w:t>
            </w:r>
            <w:r w:rsidRPr="001B3E42">
              <w:rPr>
                <w:rFonts w:ascii="Times New Roman" w:hAnsi="Times New Roman" w:cs="Times New Roman"/>
                <w:b/>
                <w:bCs/>
                <w:position w:val="8"/>
                <w:sz w:val="22"/>
                <w:szCs w:val="22"/>
                <w:vertAlign w:val="superscript"/>
                <w:lang w:val="sr-Latn-ME"/>
              </w:rPr>
              <w:t>a</w:t>
            </w:r>
            <w:r w:rsidRPr="001B3E42">
              <w:rPr>
                <w:rFonts w:ascii="Times New Roman" w:hAnsi="Times New Roman" w:cs="Times New Roman"/>
                <w:b/>
                <w:bCs/>
                <w:sz w:val="22"/>
                <w:szCs w:val="22"/>
                <w:lang w:val="sr-Latn-ME"/>
              </w:rPr>
              <w:t>**</w:t>
            </w:r>
          </w:p>
        </w:tc>
        <w:tc>
          <w:tcPr>
            <w:tcW w:w="256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RA Ispitivanje III</w:t>
            </w:r>
            <w:r w:rsidRPr="001B3E42">
              <w:rPr>
                <w:rFonts w:ascii="Times New Roman" w:hAnsi="Times New Roman" w:cs="Times New Roman"/>
                <w:b/>
                <w:bCs/>
                <w:position w:val="8"/>
                <w:sz w:val="22"/>
                <w:szCs w:val="22"/>
                <w:vertAlign w:val="superscript"/>
                <w:lang w:val="sr-Latn-ME"/>
              </w:rPr>
              <w:t>a</w:t>
            </w:r>
            <w:r w:rsidRPr="001B3E42">
              <w:rPr>
                <w:rFonts w:ascii="Times New Roman" w:hAnsi="Times New Roman" w:cs="Times New Roman"/>
                <w:b/>
                <w:bCs/>
                <w:sz w:val="22"/>
                <w:szCs w:val="22"/>
                <w:lang w:val="sr-Latn-ME"/>
              </w:rPr>
              <w:t>**</w:t>
            </w:r>
          </w:p>
        </w:tc>
      </w:tr>
      <w:tr w:rsidR="005D003D" w:rsidRPr="001B3E42" w:rsidTr="005D003D">
        <w:trPr>
          <w:trHeight w:val="819"/>
        </w:trPr>
        <w:tc>
          <w:tcPr>
            <w:tcW w:w="1537" w:type="dxa"/>
            <w:vMerge/>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color w:val="auto"/>
                <w:sz w:val="22"/>
                <w:szCs w:val="22"/>
                <w:lang w:val="sr-Latn-ME"/>
              </w:rPr>
            </w:pPr>
          </w:p>
        </w:tc>
        <w:tc>
          <w:tcPr>
            <w:tcW w:w="234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placebo/    Humira</w:t>
            </w:r>
            <w:r w:rsidRPr="001B3E42">
              <w:rPr>
                <w:rFonts w:ascii="Times New Roman" w:hAnsi="Times New Roman" w:cs="Times New Roman"/>
                <w:position w:val="8"/>
                <w:sz w:val="22"/>
                <w:szCs w:val="22"/>
                <w:vertAlign w:val="superscript"/>
                <w:lang w:val="sr-Latn-ME"/>
              </w:rPr>
              <w:t>b</w:t>
            </w:r>
            <w:r w:rsidRPr="001B3E42">
              <w:rPr>
                <w:rFonts w:ascii="Times New Roman" w:hAnsi="Times New Roman" w:cs="Times New Roman"/>
                <w:sz w:val="22"/>
                <w:szCs w:val="22"/>
                <w:lang w:val="sr-Latn-ME"/>
              </w:rPr>
              <w:t>/</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MTX</w:t>
            </w:r>
            <w:r w:rsidRPr="001B3E42">
              <w:rPr>
                <w:rFonts w:ascii="Times New Roman" w:hAnsi="Times New Roman" w:cs="Times New Roman"/>
                <w:position w:val="8"/>
                <w:sz w:val="22"/>
                <w:szCs w:val="22"/>
                <w:vertAlign w:val="superscript"/>
                <w:lang w:val="sr-Latn-ME"/>
              </w:rPr>
              <w:t>c</w:t>
            </w:r>
            <w:r w:rsidRPr="001B3E42">
              <w:rPr>
                <w:rFonts w:ascii="Times New Roman" w:hAnsi="Times New Roman" w:cs="Times New Roman"/>
                <w:sz w:val="22"/>
                <w:szCs w:val="22"/>
                <w:lang w:val="sr-Latn-ME"/>
              </w:rPr>
              <w:t xml:space="preserve">         MTX</w:t>
            </w:r>
            <w:r w:rsidRPr="001B3E42">
              <w:rPr>
                <w:rFonts w:ascii="Times New Roman" w:hAnsi="Times New Roman" w:cs="Times New Roman"/>
                <w:position w:val="8"/>
                <w:sz w:val="22"/>
                <w:szCs w:val="22"/>
                <w:vertAlign w:val="superscript"/>
                <w:lang w:val="sr-Latn-ME"/>
              </w:rPr>
              <w:t>c</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n=60          n=63</w:t>
            </w:r>
          </w:p>
        </w:tc>
        <w:tc>
          <w:tcPr>
            <w:tcW w:w="2119"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placebo   Humira</w:t>
            </w:r>
            <w:r w:rsidRPr="001B3E42">
              <w:rPr>
                <w:rFonts w:ascii="Times New Roman" w:hAnsi="Times New Roman" w:cs="Times New Roman"/>
                <w:position w:val="8"/>
                <w:sz w:val="22"/>
                <w:szCs w:val="22"/>
                <w:vertAlign w:val="superscript"/>
                <w:lang w:val="sr-Latn-ME"/>
              </w:rPr>
              <w:t>b</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n=110      n=113</w:t>
            </w:r>
          </w:p>
        </w:tc>
        <w:tc>
          <w:tcPr>
            <w:tcW w:w="256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placebo/      Humira</w:t>
            </w:r>
            <w:r w:rsidRPr="001B3E42">
              <w:rPr>
                <w:rFonts w:ascii="Times New Roman" w:hAnsi="Times New Roman" w:cs="Times New Roman"/>
                <w:position w:val="8"/>
                <w:sz w:val="22"/>
                <w:szCs w:val="22"/>
                <w:vertAlign w:val="superscript"/>
                <w:lang w:val="sr-Latn-ME"/>
              </w:rPr>
              <w:t>b</w:t>
            </w:r>
            <w:r w:rsidRPr="001B3E42">
              <w:rPr>
                <w:rFonts w:ascii="Times New Roman" w:hAnsi="Times New Roman" w:cs="Times New Roman"/>
                <w:sz w:val="22"/>
                <w:szCs w:val="22"/>
                <w:lang w:val="sr-Latn-ME"/>
              </w:rPr>
              <w:t>/</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MTX</w:t>
            </w:r>
            <w:r w:rsidRPr="001B3E42">
              <w:rPr>
                <w:rFonts w:ascii="Times New Roman" w:hAnsi="Times New Roman" w:cs="Times New Roman"/>
                <w:position w:val="8"/>
                <w:sz w:val="22"/>
                <w:szCs w:val="22"/>
                <w:vertAlign w:val="superscript"/>
                <w:lang w:val="sr-Latn-ME"/>
              </w:rPr>
              <w:t>c</w:t>
            </w:r>
            <w:r w:rsidRPr="001B3E42">
              <w:rPr>
                <w:rFonts w:ascii="Times New Roman" w:hAnsi="Times New Roman" w:cs="Times New Roman"/>
                <w:sz w:val="22"/>
                <w:szCs w:val="22"/>
                <w:lang w:val="sr-Latn-ME"/>
              </w:rPr>
              <w:t xml:space="preserve">            MTX</w:t>
            </w:r>
            <w:r w:rsidRPr="001B3E42">
              <w:rPr>
                <w:rFonts w:ascii="Times New Roman" w:hAnsi="Times New Roman" w:cs="Times New Roman"/>
                <w:position w:val="8"/>
                <w:sz w:val="22"/>
                <w:szCs w:val="22"/>
                <w:vertAlign w:val="superscript"/>
                <w:lang w:val="sr-Latn-ME"/>
              </w:rPr>
              <w:t>c</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n=200          n=207</w:t>
            </w:r>
          </w:p>
        </w:tc>
      </w:tr>
      <w:tr w:rsidR="005D003D" w:rsidRPr="001B3E42" w:rsidTr="005D003D">
        <w:trPr>
          <w:trHeight w:val="2822"/>
        </w:trPr>
        <w:tc>
          <w:tcPr>
            <w:tcW w:w="1537"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ACR 20</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6 mjeseci</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12 mjeseci</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ACR 50</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6 mjeseci</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12 mjeseci</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ACR 70</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6 mjeseci</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12 mjeseci</w:t>
            </w:r>
          </w:p>
        </w:tc>
        <w:tc>
          <w:tcPr>
            <w:tcW w:w="234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13,3 %      65,1 %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NA             NA</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6,7 %        52,4 %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NA            NA</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3,3 %       23,8 %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NA            NA</w:t>
            </w:r>
          </w:p>
        </w:tc>
        <w:tc>
          <w:tcPr>
            <w:tcW w:w="2119"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19,1 %      46,0 %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NA            NA</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8,2 %        22,1 %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NA            NA</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1,8 %       12,4 %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NA            NA</w:t>
            </w:r>
          </w:p>
        </w:tc>
        <w:tc>
          <w:tcPr>
            <w:tcW w:w="256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29,5 %         63,3 %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24,0 %         58,9 %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9,5 %           39,1 %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9,5 %           41,5 %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2,5 %          20,8 %</w:t>
            </w:r>
          </w:p>
          <w:p w:rsidR="005D003D" w:rsidRPr="001B3E42" w:rsidRDefault="005D003D"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4,5 %          23,2 %</w:t>
            </w:r>
          </w:p>
        </w:tc>
      </w:tr>
    </w:tbl>
    <w:p w:rsidR="005D003D" w:rsidRPr="001B3E42" w:rsidRDefault="005D003D" w:rsidP="005D003D">
      <w:pPr>
        <w:pStyle w:val="Default"/>
        <w:jc w:val="both"/>
        <w:rPr>
          <w:rFonts w:ascii="Times New Roman" w:hAnsi="Times New Roman" w:cs="Times New Roman"/>
          <w:color w:val="auto"/>
          <w:sz w:val="20"/>
          <w:szCs w:val="20"/>
          <w:lang w:val="sr-Latn-ME"/>
        </w:rPr>
      </w:pPr>
      <w:r w:rsidRPr="001B3E42">
        <w:rPr>
          <w:rFonts w:ascii="Times New Roman" w:hAnsi="Times New Roman" w:cs="Times New Roman"/>
          <w:color w:val="auto"/>
          <w:position w:val="8"/>
          <w:sz w:val="20"/>
          <w:szCs w:val="20"/>
          <w:vertAlign w:val="superscript"/>
          <w:lang w:val="sr-Latn-ME"/>
        </w:rPr>
        <w:t>a</w:t>
      </w:r>
      <w:r w:rsidRPr="001B3E42">
        <w:rPr>
          <w:rFonts w:ascii="Times New Roman" w:hAnsi="Times New Roman" w:cs="Times New Roman"/>
          <w:color w:val="auto"/>
          <w:sz w:val="20"/>
          <w:szCs w:val="20"/>
          <w:lang w:val="sr-Latn-ME"/>
        </w:rPr>
        <w:t xml:space="preserve">RA ispitivanje I nakon 24 </w:t>
      </w:r>
      <w:r w:rsidR="009065F5" w:rsidRPr="001B3E42">
        <w:rPr>
          <w:rFonts w:ascii="Times New Roman" w:hAnsi="Times New Roman" w:cs="Times New Roman"/>
          <w:color w:val="auto"/>
          <w:sz w:val="20"/>
          <w:szCs w:val="20"/>
          <w:lang w:val="sr-Latn-ME"/>
        </w:rPr>
        <w:t>nedjelje</w:t>
      </w:r>
      <w:r w:rsidRPr="001B3E42">
        <w:rPr>
          <w:rFonts w:ascii="Times New Roman" w:hAnsi="Times New Roman" w:cs="Times New Roman"/>
          <w:color w:val="auto"/>
          <w:sz w:val="20"/>
          <w:szCs w:val="20"/>
          <w:lang w:val="sr-Latn-ME"/>
        </w:rPr>
        <w:t xml:space="preserve">, RA ispitivanje II nakon 26 </w:t>
      </w:r>
      <w:r w:rsidR="009065F5" w:rsidRPr="001B3E42">
        <w:rPr>
          <w:rFonts w:ascii="Times New Roman" w:hAnsi="Times New Roman" w:cs="Times New Roman"/>
          <w:color w:val="auto"/>
          <w:sz w:val="20"/>
          <w:szCs w:val="20"/>
          <w:lang w:val="sr-Latn-ME"/>
        </w:rPr>
        <w:t>nedjelja</w:t>
      </w:r>
      <w:r w:rsidRPr="001B3E42">
        <w:rPr>
          <w:rFonts w:ascii="Times New Roman" w:hAnsi="Times New Roman" w:cs="Times New Roman"/>
          <w:color w:val="auto"/>
          <w:sz w:val="20"/>
          <w:szCs w:val="20"/>
          <w:lang w:val="sr-Latn-ME"/>
        </w:rPr>
        <w:t xml:space="preserve">, RA ispitivanje III nakon 24 </w:t>
      </w:r>
      <w:r w:rsidR="009065F5" w:rsidRPr="001B3E42">
        <w:rPr>
          <w:rFonts w:ascii="Times New Roman" w:hAnsi="Times New Roman" w:cs="Times New Roman"/>
          <w:color w:val="auto"/>
          <w:sz w:val="20"/>
          <w:szCs w:val="20"/>
          <w:lang w:val="sr-Latn-ME"/>
        </w:rPr>
        <w:t>nedjelje</w:t>
      </w:r>
      <w:r w:rsidRPr="001B3E42">
        <w:rPr>
          <w:rFonts w:ascii="Times New Roman" w:hAnsi="Times New Roman" w:cs="Times New Roman"/>
          <w:color w:val="auto"/>
          <w:sz w:val="20"/>
          <w:szCs w:val="20"/>
          <w:lang w:val="sr-Latn-ME"/>
        </w:rPr>
        <w:t xml:space="preserve"> i nakon 52 </w:t>
      </w:r>
      <w:r w:rsidR="009065F5" w:rsidRPr="001B3E42">
        <w:rPr>
          <w:rFonts w:ascii="Times New Roman" w:hAnsi="Times New Roman" w:cs="Times New Roman"/>
          <w:color w:val="auto"/>
          <w:sz w:val="20"/>
          <w:szCs w:val="20"/>
          <w:lang w:val="sr-Latn-ME"/>
        </w:rPr>
        <w:t>nedjelje</w:t>
      </w:r>
    </w:p>
    <w:p w:rsidR="005D003D" w:rsidRPr="001B3E42" w:rsidRDefault="005D003D" w:rsidP="005D003D">
      <w:pPr>
        <w:pStyle w:val="Default"/>
        <w:ind w:left="567" w:hanging="567"/>
        <w:jc w:val="both"/>
        <w:rPr>
          <w:rFonts w:ascii="Times New Roman" w:hAnsi="Times New Roman" w:cs="Times New Roman"/>
          <w:color w:val="auto"/>
          <w:sz w:val="20"/>
          <w:szCs w:val="20"/>
          <w:lang w:val="sr-Latn-ME"/>
        </w:rPr>
      </w:pPr>
      <w:r w:rsidRPr="001B3E42">
        <w:rPr>
          <w:rFonts w:ascii="Times New Roman" w:hAnsi="Times New Roman" w:cs="Times New Roman"/>
          <w:color w:val="auto"/>
          <w:position w:val="8"/>
          <w:sz w:val="20"/>
          <w:szCs w:val="20"/>
          <w:vertAlign w:val="superscript"/>
          <w:lang w:val="sr-Latn-ME"/>
        </w:rPr>
        <w:t>b</w:t>
      </w:r>
      <w:r w:rsidRPr="001B3E42">
        <w:rPr>
          <w:rFonts w:ascii="Times New Roman" w:hAnsi="Times New Roman" w:cs="Times New Roman"/>
          <w:color w:val="auto"/>
          <w:sz w:val="20"/>
          <w:szCs w:val="20"/>
          <w:lang w:val="sr-Latn-ME"/>
        </w:rPr>
        <w:t xml:space="preserve">40 mg </w:t>
      </w:r>
      <w:r w:rsidR="00377FE9" w:rsidRPr="001B3E42">
        <w:rPr>
          <w:rFonts w:ascii="Times New Roman" w:hAnsi="Times New Roman" w:cs="Times New Roman"/>
          <w:color w:val="auto"/>
          <w:sz w:val="20"/>
          <w:szCs w:val="22"/>
          <w:lang w:val="sr-Latn-ME"/>
        </w:rPr>
        <w:t xml:space="preserve">lijeka </w:t>
      </w:r>
      <w:r w:rsidRPr="001B3E42">
        <w:rPr>
          <w:rFonts w:ascii="Times New Roman" w:hAnsi="Times New Roman" w:cs="Times New Roman"/>
          <w:color w:val="auto"/>
          <w:sz w:val="20"/>
          <w:szCs w:val="20"/>
          <w:lang w:val="sr-Latn-ME"/>
        </w:rPr>
        <w:t>Humir</w:t>
      </w:r>
      <w:r w:rsidR="00377FE9" w:rsidRPr="001B3E42">
        <w:rPr>
          <w:rFonts w:ascii="Times New Roman" w:hAnsi="Times New Roman" w:cs="Times New Roman"/>
          <w:color w:val="auto"/>
          <w:sz w:val="20"/>
          <w:szCs w:val="20"/>
          <w:lang w:val="sr-Latn-ME"/>
        </w:rPr>
        <w:t>a</w:t>
      </w:r>
      <w:r w:rsidRPr="001B3E42">
        <w:rPr>
          <w:rFonts w:ascii="Times New Roman" w:hAnsi="Times New Roman" w:cs="Times New Roman"/>
          <w:color w:val="auto"/>
          <w:sz w:val="20"/>
          <w:szCs w:val="20"/>
          <w:lang w:val="sr-Latn-ME"/>
        </w:rPr>
        <w:t xml:space="preserve"> primijenjene svake druge </w:t>
      </w:r>
      <w:r w:rsidR="009065F5" w:rsidRPr="001B3E42">
        <w:rPr>
          <w:rFonts w:ascii="Times New Roman" w:hAnsi="Times New Roman" w:cs="Times New Roman"/>
          <w:color w:val="auto"/>
          <w:sz w:val="20"/>
          <w:szCs w:val="20"/>
          <w:lang w:val="sr-Latn-ME"/>
        </w:rPr>
        <w:t>nedjelje</w:t>
      </w:r>
    </w:p>
    <w:p w:rsidR="005D003D" w:rsidRPr="001B3E42" w:rsidRDefault="005D003D" w:rsidP="005D003D">
      <w:pPr>
        <w:pStyle w:val="Default"/>
        <w:ind w:left="567" w:hanging="567"/>
        <w:jc w:val="both"/>
        <w:rPr>
          <w:rFonts w:ascii="Times New Roman" w:hAnsi="Times New Roman" w:cs="Times New Roman"/>
          <w:color w:val="auto"/>
          <w:sz w:val="20"/>
          <w:szCs w:val="20"/>
          <w:lang w:val="sr-Latn-ME"/>
        </w:rPr>
      </w:pPr>
      <w:r w:rsidRPr="001B3E42">
        <w:rPr>
          <w:rFonts w:ascii="Times New Roman" w:hAnsi="Times New Roman" w:cs="Times New Roman"/>
          <w:color w:val="auto"/>
          <w:position w:val="8"/>
          <w:sz w:val="20"/>
          <w:szCs w:val="20"/>
          <w:vertAlign w:val="superscript"/>
          <w:lang w:val="sr-Latn-ME"/>
        </w:rPr>
        <w:t>c</w:t>
      </w:r>
      <w:r w:rsidRPr="001B3E42">
        <w:rPr>
          <w:rFonts w:ascii="Times New Roman" w:hAnsi="Times New Roman" w:cs="Times New Roman"/>
          <w:color w:val="auto"/>
          <w:sz w:val="20"/>
          <w:szCs w:val="20"/>
          <w:lang w:val="sr-Latn-ME"/>
        </w:rPr>
        <w:t>MTX = metotreksat</w:t>
      </w:r>
    </w:p>
    <w:p w:rsidR="005D003D" w:rsidRPr="001B3E42" w:rsidRDefault="005D003D" w:rsidP="005D003D">
      <w:pPr>
        <w:pStyle w:val="Default"/>
        <w:ind w:left="567" w:hanging="567"/>
        <w:jc w:val="both"/>
        <w:rPr>
          <w:rFonts w:ascii="Times New Roman" w:hAnsi="Times New Roman" w:cs="Times New Roman"/>
          <w:color w:val="auto"/>
          <w:sz w:val="20"/>
          <w:szCs w:val="20"/>
          <w:lang w:val="sr-Latn-ME"/>
        </w:rPr>
      </w:pPr>
      <w:r w:rsidRPr="001B3E42">
        <w:rPr>
          <w:rFonts w:ascii="Times New Roman" w:hAnsi="Times New Roman" w:cs="Times New Roman"/>
          <w:color w:val="auto"/>
          <w:sz w:val="20"/>
          <w:szCs w:val="20"/>
          <w:lang w:val="sr-Latn-ME"/>
        </w:rPr>
        <w:t>**p&lt;0,01, Humira u poređenju sa placebom</w:t>
      </w:r>
    </w:p>
    <w:p w:rsidR="005D003D" w:rsidRPr="001B3E42" w:rsidRDefault="005D003D" w:rsidP="005D003D">
      <w:pPr>
        <w:pStyle w:val="Default"/>
        <w:ind w:left="567" w:hanging="567"/>
        <w:jc w:val="both"/>
        <w:rPr>
          <w:rFonts w:ascii="Times New Roman" w:hAnsi="Times New Roman" w:cs="Times New Roman"/>
          <w:color w:val="auto"/>
          <w:lang w:val="sr-Latn-ME"/>
        </w:rPr>
      </w:pPr>
    </w:p>
    <w:p w:rsidR="00DC18FB" w:rsidRPr="001B3E42" w:rsidRDefault="005D003D" w:rsidP="001E4AB9">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lastRenderedPageBreak/>
        <w:t xml:space="preserve">U RA ispitivanjima I – IV sve </w:t>
      </w:r>
      <w:r w:rsidR="00A762EB" w:rsidRPr="001B3E42">
        <w:rPr>
          <w:rFonts w:ascii="Times New Roman" w:hAnsi="Times New Roman" w:cs="Times New Roman"/>
          <w:color w:val="auto"/>
          <w:sz w:val="22"/>
          <w:szCs w:val="22"/>
          <w:lang w:val="sr-Latn-ME"/>
        </w:rPr>
        <w:t>pojedinačne komponente kriterijuma</w:t>
      </w:r>
      <w:r w:rsidRPr="001B3E42">
        <w:rPr>
          <w:rFonts w:ascii="Times New Roman" w:hAnsi="Times New Roman" w:cs="Times New Roman"/>
          <w:color w:val="auto"/>
          <w:sz w:val="22"/>
          <w:szCs w:val="22"/>
          <w:lang w:val="sr-Latn-ME"/>
        </w:rPr>
        <w:t xml:space="preserve"> ACR odgovora (broj bolnih i otečenih z</w:t>
      </w:r>
      <w:r w:rsidR="001E4AB9" w:rsidRPr="001B3E42">
        <w:rPr>
          <w:rFonts w:ascii="Times New Roman" w:hAnsi="Times New Roman" w:cs="Times New Roman"/>
          <w:color w:val="auto"/>
          <w:sz w:val="22"/>
          <w:szCs w:val="22"/>
          <w:lang w:val="sr-Latn-ME"/>
        </w:rPr>
        <w:t>globova, ljekar</w:t>
      </w:r>
      <w:r w:rsidR="00C75F49" w:rsidRPr="001B3E42">
        <w:rPr>
          <w:rFonts w:ascii="Times New Roman" w:hAnsi="Times New Roman" w:cs="Times New Roman"/>
          <w:color w:val="auto"/>
          <w:sz w:val="22"/>
          <w:szCs w:val="22"/>
          <w:lang w:val="sr-Latn-ME"/>
        </w:rPr>
        <w:t>ska</w:t>
      </w:r>
      <w:r w:rsidR="001E4AB9" w:rsidRPr="001B3E42">
        <w:rPr>
          <w:rFonts w:ascii="Times New Roman" w:hAnsi="Times New Roman" w:cs="Times New Roman"/>
          <w:color w:val="auto"/>
          <w:sz w:val="22"/>
          <w:szCs w:val="22"/>
          <w:lang w:val="sr-Latn-ME"/>
        </w:rPr>
        <w:t xml:space="preserve"> i pacijentova</w:t>
      </w:r>
      <w:r w:rsidRPr="001B3E42">
        <w:rPr>
          <w:rFonts w:ascii="Times New Roman" w:hAnsi="Times New Roman" w:cs="Times New Roman"/>
          <w:color w:val="auto"/>
          <w:sz w:val="22"/>
          <w:szCs w:val="22"/>
          <w:lang w:val="sr-Latn-ME"/>
        </w:rPr>
        <w:t xml:space="preserve"> </w:t>
      </w:r>
      <w:r w:rsidR="00A762EB" w:rsidRPr="001B3E42">
        <w:rPr>
          <w:rFonts w:ascii="Times New Roman" w:hAnsi="Times New Roman" w:cs="Times New Roman"/>
          <w:color w:val="auto"/>
          <w:sz w:val="22"/>
          <w:szCs w:val="22"/>
          <w:lang w:val="sr-Latn-ME"/>
        </w:rPr>
        <w:t>ocjena aktivnosti bolesti i bola</w:t>
      </w:r>
      <w:r w:rsidRPr="001B3E42">
        <w:rPr>
          <w:rFonts w:ascii="Times New Roman" w:hAnsi="Times New Roman" w:cs="Times New Roman"/>
          <w:color w:val="auto"/>
          <w:sz w:val="22"/>
          <w:szCs w:val="22"/>
          <w:lang w:val="sr-Latn-ME"/>
        </w:rPr>
        <w:t xml:space="preserve">, indeks funkcionalne nesposobnosti (HAQ) i nivoa CRP-a (mg/dl)) pokazale su poboljšanje nakon 24 ili 26 </w:t>
      </w:r>
      <w:r w:rsidR="009065F5" w:rsidRPr="001B3E42">
        <w:rPr>
          <w:rFonts w:ascii="Times New Roman" w:hAnsi="Times New Roman" w:cs="Times New Roman"/>
          <w:color w:val="auto"/>
          <w:sz w:val="22"/>
          <w:szCs w:val="22"/>
          <w:lang w:val="sr-Latn-ME"/>
        </w:rPr>
        <w:t>nedjelja</w:t>
      </w:r>
      <w:r w:rsidRPr="001B3E42">
        <w:rPr>
          <w:rFonts w:ascii="Times New Roman" w:hAnsi="Times New Roman" w:cs="Times New Roman"/>
          <w:color w:val="auto"/>
          <w:sz w:val="22"/>
          <w:szCs w:val="22"/>
          <w:lang w:val="sr-Latn-ME"/>
        </w:rPr>
        <w:t xml:space="preserve"> primjene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u odnosu na placebo. U RA ispitivanju III to se poboljšanje održalo 52 </w:t>
      </w:r>
      <w:r w:rsidR="009065F5" w:rsidRPr="001B3E42">
        <w:rPr>
          <w:rFonts w:ascii="Times New Roman" w:hAnsi="Times New Roman" w:cs="Times New Roman"/>
          <w:color w:val="auto"/>
          <w:sz w:val="22"/>
          <w:szCs w:val="22"/>
          <w:lang w:val="sr-Latn-ME"/>
        </w:rPr>
        <w:t>nedjelje</w:t>
      </w:r>
      <w:r w:rsidR="001E4AB9" w:rsidRPr="001B3E42">
        <w:rPr>
          <w:rFonts w:ascii="Times New Roman" w:hAnsi="Times New Roman" w:cs="Times New Roman"/>
          <w:color w:val="auto"/>
          <w:sz w:val="22"/>
          <w:szCs w:val="22"/>
          <w:lang w:val="sr-Latn-ME"/>
        </w:rPr>
        <w:t xml:space="preserve">. </w:t>
      </w:r>
    </w:p>
    <w:p w:rsidR="00DC18FB" w:rsidRPr="001B3E42" w:rsidRDefault="00DC18FB" w:rsidP="001E4AB9">
      <w:pPr>
        <w:pStyle w:val="Default"/>
        <w:jc w:val="both"/>
        <w:rPr>
          <w:rFonts w:ascii="Times New Roman" w:hAnsi="Times New Roman" w:cs="Times New Roman"/>
          <w:color w:val="auto"/>
          <w:sz w:val="22"/>
          <w:szCs w:val="22"/>
          <w:lang w:val="sr-Latn-ME"/>
        </w:rPr>
      </w:pPr>
    </w:p>
    <w:p w:rsidR="00DC18FB" w:rsidRPr="001B3E42" w:rsidRDefault="00DC18FB" w:rsidP="001E4AB9">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Kod većine pacijenata postignut ACR odgovor je zadržan u produženoj otvorenoj fazi RA III kada su praćeni do 10 godina. Kroz 5 godina 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40 mg svake dvije nedjelje nastavilo je 114 od 207 pacijenata. Među njima je 86 (75,4%) odnosno 72</w:t>
      </w:r>
      <w:r w:rsidR="0031555A" w:rsidRPr="001B3E42">
        <w:rPr>
          <w:rFonts w:ascii="Times New Roman" w:hAnsi="Times New Roman" w:cs="Times New Roman"/>
          <w:color w:val="auto"/>
          <w:sz w:val="22"/>
          <w:szCs w:val="22"/>
          <w:lang w:val="sr-Latn-ME"/>
        </w:rPr>
        <w:t xml:space="preserve"> </w:t>
      </w:r>
      <w:r w:rsidRPr="001B3E42">
        <w:rPr>
          <w:rFonts w:ascii="Times New Roman" w:hAnsi="Times New Roman" w:cs="Times New Roman"/>
          <w:color w:val="auto"/>
          <w:sz w:val="22"/>
          <w:szCs w:val="22"/>
          <w:lang w:val="sr-Latn-ME"/>
        </w:rPr>
        <w:t xml:space="preserve">(63,2%) odnosno 41 (36%) pacijenata imalo odgovor ACR 20, ACR 50, odnosno ACR 70. Kroz 10 godina 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40 mg svake dvije nedjelje nastavilo je 81 od 207 pacijenata. Među njima je njih 64 (79%), odnosno 56 (69,1%), odnosno 43 (53,1%) imalo odgovor ACR 20, ACR 50, odnosno ACR 70.</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1E4AB9">
      <w:pPr>
        <w:pStyle w:val="Default"/>
        <w:jc w:val="both"/>
        <w:rPr>
          <w:rFonts w:ascii="Times New Roman" w:hAnsi="Times New Roman" w:cs="Times New Roman"/>
          <w:sz w:val="22"/>
          <w:szCs w:val="22"/>
          <w:lang w:val="sr-Latn-ME"/>
        </w:rPr>
      </w:pPr>
      <w:r w:rsidRPr="001B3E42">
        <w:rPr>
          <w:rFonts w:ascii="Times New Roman" w:hAnsi="Times New Roman" w:cs="Times New Roman"/>
          <w:color w:val="auto"/>
          <w:sz w:val="22"/>
          <w:szCs w:val="22"/>
          <w:lang w:val="sr-Latn-ME"/>
        </w:rPr>
        <w:t xml:space="preserve">U  RA ispitivanju IV, ACR 20 odgovor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color w:val="auto"/>
          <w:sz w:val="22"/>
          <w:szCs w:val="22"/>
          <w:lang w:val="sr-Latn-ME"/>
        </w:rPr>
        <w:t xml:space="preserve"> 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uz standardnu njegu</w:t>
      </w:r>
      <w:r w:rsidRPr="001B3E42">
        <w:rPr>
          <w:rFonts w:ascii="Times New Roman" w:hAnsi="Times New Roman" w:cs="Times New Roman"/>
          <w:color w:val="FF0000"/>
          <w:sz w:val="22"/>
          <w:szCs w:val="22"/>
          <w:lang w:val="sr-Latn-ME"/>
        </w:rPr>
        <w:t xml:space="preserve"> </w:t>
      </w:r>
      <w:r w:rsidRPr="001B3E42">
        <w:rPr>
          <w:rFonts w:ascii="Times New Roman" w:hAnsi="Times New Roman" w:cs="Times New Roman"/>
          <w:sz w:val="22"/>
          <w:szCs w:val="22"/>
          <w:lang w:val="sr-Latn-ME"/>
        </w:rPr>
        <w:t>bio je s</w:t>
      </w:r>
      <w:r w:rsidR="00A762EB" w:rsidRPr="001B3E42">
        <w:rPr>
          <w:rFonts w:ascii="Times New Roman" w:hAnsi="Times New Roman" w:cs="Times New Roman"/>
          <w:sz w:val="22"/>
          <w:szCs w:val="22"/>
          <w:lang w:val="sr-Latn-ME"/>
        </w:rPr>
        <w:t>tatistički značajno bolji nego kod</w:t>
      </w:r>
      <w:r w:rsidRPr="001B3E42">
        <w:rPr>
          <w:rFonts w:ascii="Times New Roman" w:hAnsi="Times New Roman" w:cs="Times New Roman"/>
          <w:sz w:val="22"/>
          <w:szCs w:val="22"/>
          <w:lang w:val="sr-Latn-ME"/>
        </w:rPr>
        <w:t xml:space="preserve">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sz w:val="22"/>
          <w:szCs w:val="22"/>
          <w:lang w:val="sr-Latn-ME"/>
        </w:rPr>
        <w:t xml:space="preserve"> liječenih placebom uz standardnu njegu (p&lt;0,001).</w:t>
      </w:r>
    </w:p>
    <w:p w:rsidR="005D003D" w:rsidRPr="001B3E42" w:rsidRDefault="005D003D" w:rsidP="005D003D">
      <w:pPr>
        <w:pStyle w:val="Default"/>
        <w:jc w:val="both"/>
        <w:rPr>
          <w:rFonts w:ascii="Times New Roman" w:hAnsi="Times New Roman" w:cs="Times New Roman"/>
          <w:sz w:val="22"/>
          <w:szCs w:val="22"/>
          <w:lang w:val="sr-Latn-ME"/>
        </w:rPr>
      </w:pPr>
    </w:p>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RA</w:t>
      </w:r>
      <w:r w:rsidR="001E4AB9" w:rsidRPr="001B3E42">
        <w:rPr>
          <w:rFonts w:ascii="Times New Roman" w:hAnsi="Times New Roman" w:cs="Times New Roman"/>
          <w:sz w:val="22"/>
          <w:szCs w:val="22"/>
          <w:lang w:val="sr-Latn-ME"/>
        </w:rPr>
        <w:t xml:space="preserve"> ispitivanjima I – IV, pacijenti</w:t>
      </w:r>
      <w:r w:rsidRPr="001B3E42">
        <w:rPr>
          <w:rFonts w:ascii="Times New Roman" w:hAnsi="Times New Roman" w:cs="Times New Roman"/>
          <w:sz w:val="22"/>
          <w:szCs w:val="22"/>
          <w:lang w:val="sr-Latn-ME"/>
        </w:rPr>
        <w:t xml:space="preserve"> liječeni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postigli su statistički značajno bolje odgovore ACR 20 i 50 u poređenju sa placebom već jednu do dvije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 xml:space="preserve"> nakon početka liječenja.</w:t>
      </w:r>
    </w:p>
    <w:p w:rsidR="005D003D" w:rsidRPr="001B3E42" w:rsidRDefault="005D003D" w:rsidP="005D003D">
      <w:pPr>
        <w:pStyle w:val="Default"/>
        <w:jc w:val="both"/>
        <w:rPr>
          <w:rFonts w:ascii="Times New Roman" w:hAnsi="Times New Roman" w:cs="Times New Roman"/>
          <w:sz w:val="22"/>
          <w:szCs w:val="22"/>
          <w:lang w:val="sr-Latn-ME"/>
        </w:rPr>
      </w:pPr>
    </w:p>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  RA ispitivanju</w:t>
      </w:r>
      <w:r w:rsidR="001E4AB9" w:rsidRPr="001B3E42">
        <w:rPr>
          <w:rFonts w:ascii="Times New Roman" w:hAnsi="Times New Roman" w:cs="Times New Roman"/>
          <w:sz w:val="22"/>
          <w:szCs w:val="22"/>
          <w:lang w:val="sr-Latn-ME"/>
        </w:rPr>
        <w:t xml:space="preserve"> V kojim su obuhvaćeni pacijenti</w:t>
      </w:r>
      <w:r w:rsidRPr="001B3E42">
        <w:rPr>
          <w:rFonts w:ascii="Times New Roman" w:hAnsi="Times New Roman" w:cs="Times New Roman"/>
          <w:sz w:val="22"/>
          <w:szCs w:val="22"/>
          <w:lang w:val="sr-Latn-ME"/>
        </w:rPr>
        <w:t xml:space="preserve"> u ranoj fazi reumatoidnog artritisa koji do tada nisu bili liječeni metotreksatom, kombinovanom primjenom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377FE9"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i metotreksata tokom 52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 xml:space="preserve"> postignut je brži i statistički značajno bolji ACR odgovor nego uz monoterapiju metotreksatom, odnosno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sz w:val="22"/>
          <w:szCs w:val="22"/>
          <w:lang w:val="sr-Latn-ME"/>
        </w:rPr>
        <w:t>Humir</w:t>
      </w:r>
      <w:r w:rsidR="00AC4C8C"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Postignuti ACR odgovor nije se mijenjao tokom 104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 xml:space="preserve"> liječenja (Tabela 6). </w:t>
      </w:r>
    </w:p>
    <w:p w:rsidR="005D003D" w:rsidRPr="001B3E42" w:rsidRDefault="001E4AB9" w:rsidP="00BD53A4">
      <w:pPr>
        <w:pStyle w:val="Default"/>
        <w:ind w:left="567" w:hanging="567"/>
        <w:jc w:val="center"/>
        <w:rPr>
          <w:rFonts w:ascii="Times New Roman" w:hAnsi="Times New Roman" w:cs="Times New Roman"/>
          <w:b/>
          <w:bCs/>
          <w:sz w:val="22"/>
          <w:szCs w:val="22"/>
          <w:lang w:val="sr-Latn-ME"/>
        </w:rPr>
      </w:pPr>
      <w:r w:rsidRPr="001B3E42">
        <w:rPr>
          <w:rFonts w:ascii="Times New Roman" w:hAnsi="Times New Roman" w:cs="Times New Roman"/>
          <w:b/>
          <w:bCs/>
          <w:sz w:val="22"/>
          <w:szCs w:val="22"/>
          <w:lang w:val="sr-Latn-ME"/>
        </w:rPr>
        <w:t>Tabela 6. ACR odgovori pacijenata</w:t>
      </w:r>
      <w:r w:rsidR="005D003D" w:rsidRPr="001B3E42">
        <w:rPr>
          <w:rFonts w:ascii="Times New Roman" w:hAnsi="Times New Roman" w:cs="Times New Roman"/>
          <w:b/>
          <w:bCs/>
          <w:sz w:val="22"/>
          <w:szCs w:val="22"/>
          <w:lang w:val="sr-Latn-ME"/>
        </w:rPr>
        <w:t xml:space="preserve"> u RA ispitivanju V</w:t>
      </w:r>
    </w:p>
    <w:p w:rsidR="005D003D" w:rsidRPr="001B3E42" w:rsidRDefault="001E4AB9" w:rsidP="003428F0">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w:t>
      </w:r>
      <w:r w:rsidR="00A762EB" w:rsidRPr="001B3E42">
        <w:rPr>
          <w:rFonts w:ascii="Times New Roman" w:hAnsi="Times New Roman" w:cs="Times New Roman"/>
          <w:b/>
          <w:bCs/>
          <w:sz w:val="22"/>
          <w:szCs w:val="22"/>
          <w:lang w:val="sr-Latn-ME"/>
        </w:rPr>
        <w:t>procenat</w:t>
      </w:r>
      <w:r w:rsidRPr="001B3E42">
        <w:rPr>
          <w:rFonts w:ascii="Times New Roman" w:hAnsi="Times New Roman" w:cs="Times New Roman"/>
          <w:b/>
          <w:bCs/>
          <w:sz w:val="22"/>
          <w:szCs w:val="22"/>
          <w:lang w:val="sr-Latn-ME"/>
        </w:rPr>
        <w:t xml:space="preserve"> pacijenata</w:t>
      </w:r>
      <w:r w:rsidR="005D003D" w:rsidRPr="001B3E42">
        <w:rPr>
          <w:rFonts w:ascii="Times New Roman" w:hAnsi="Times New Roman" w:cs="Times New Roman"/>
          <w:b/>
          <w:bCs/>
          <w:sz w:val="22"/>
          <w:szCs w:val="22"/>
          <w:lang w:val="sr-Latn-ME"/>
        </w:rPr>
        <w:t xml:space="preserve">) </w:t>
      </w:r>
    </w:p>
    <w:tbl>
      <w:tblPr>
        <w:tblW w:w="0" w:type="auto"/>
        <w:tblInd w:w="10" w:type="dxa"/>
        <w:tblLayout w:type="fixed"/>
        <w:tblCellMar>
          <w:left w:w="0" w:type="dxa"/>
        </w:tblCellMar>
        <w:tblLook w:val="0000" w:firstRow="0" w:lastRow="0" w:firstColumn="0" w:lastColumn="0" w:noHBand="0" w:noVBand="0"/>
      </w:tblPr>
      <w:tblGrid>
        <w:gridCol w:w="1843"/>
        <w:gridCol w:w="851"/>
        <w:gridCol w:w="850"/>
        <w:gridCol w:w="1418"/>
        <w:gridCol w:w="1275"/>
        <w:gridCol w:w="1418"/>
        <w:gridCol w:w="1440"/>
      </w:tblGrid>
      <w:tr w:rsidR="004C2087" w:rsidRPr="001B3E42" w:rsidTr="00947F3A">
        <w:trPr>
          <w:trHeight w:val="306"/>
        </w:trPr>
        <w:tc>
          <w:tcPr>
            <w:tcW w:w="1843"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Odgovor</w:t>
            </w:r>
          </w:p>
        </w:tc>
        <w:tc>
          <w:tcPr>
            <w:tcW w:w="851"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b/>
                <w:bCs/>
                <w:sz w:val="22"/>
                <w:szCs w:val="22"/>
                <w:lang w:val="sr-Latn-ME"/>
              </w:rPr>
            </w:pPr>
            <w:r w:rsidRPr="001B3E42">
              <w:rPr>
                <w:rFonts w:ascii="Times New Roman" w:hAnsi="Times New Roman" w:cs="Times New Roman"/>
                <w:b/>
                <w:bCs/>
                <w:sz w:val="22"/>
                <w:szCs w:val="22"/>
                <w:lang w:val="sr-Latn-ME"/>
              </w:rPr>
              <w:t>MTX</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n=257</w:t>
            </w:r>
          </w:p>
        </w:tc>
        <w:tc>
          <w:tcPr>
            <w:tcW w:w="85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b/>
                <w:bCs/>
                <w:sz w:val="22"/>
                <w:szCs w:val="22"/>
                <w:lang w:val="sr-Latn-ME"/>
              </w:rPr>
            </w:pPr>
            <w:r w:rsidRPr="001B3E42">
              <w:rPr>
                <w:rFonts w:ascii="Times New Roman" w:hAnsi="Times New Roman" w:cs="Times New Roman"/>
                <w:b/>
                <w:bCs/>
                <w:sz w:val="22"/>
                <w:szCs w:val="22"/>
                <w:lang w:val="sr-Latn-ME"/>
              </w:rPr>
              <w:t>Humira</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n=274</w:t>
            </w:r>
          </w:p>
        </w:tc>
        <w:tc>
          <w:tcPr>
            <w:tcW w:w="141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b/>
                <w:bCs/>
                <w:sz w:val="22"/>
                <w:szCs w:val="22"/>
                <w:lang w:val="sr-Latn-ME"/>
              </w:rPr>
            </w:pPr>
            <w:r w:rsidRPr="001B3E42">
              <w:rPr>
                <w:rFonts w:ascii="Times New Roman" w:hAnsi="Times New Roman" w:cs="Times New Roman"/>
                <w:b/>
                <w:bCs/>
                <w:sz w:val="22"/>
                <w:szCs w:val="22"/>
                <w:lang w:val="sr-Latn-ME"/>
              </w:rPr>
              <w:t>Humira/MTX</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n=268</w:t>
            </w:r>
          </w:p>
        </w:tc>
        <w:tc>
          <w:tcPr>
            <w:tcW w:w="1275"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right="-108"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 xml:space="preserve">p vrijednost </w:t>
            </w:r>
            <w:r w:rsidRPr="001B3E42">
              <w:rPr>
                <w:rFonts w:ascii="Times New Roman" w:hAnsi="Times New Roman" w:cs="Times New Roman"/>
                <w:b/>
                <w:bCs/>
                <w:position w:val="8"/>
                <w:sz w:val="22"/>
                <w:szCs w:val="22"/>
                <w:vertAlign w:val="superscript"/>
                <w:lang w:val="sr-Latn-ME"/>
              </w:rPr>
              <w:t>a</w:t>
            </w:r>
          </w:p>
        </w:tc>
        <w:tc>
          <w:tcPr>
            <w:tcW w:w="141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right="-134" w:hanging="567"/>
              <w:jc w:val="center"/>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p vrijednost</w:t>
            </w:r>
            <w:r w:rsidRPr="001B3E42">
              <w:rPr>
                <w:rFonts w:ascii="Times New Roman" w:hAnsi="Times New Roman" w:cs="Times New Roman"/>
                <w:b/>
                <w:bCs/>
                <w:position w:val="8"/>
                <w:sz w:val="22"/>
                <w:szCs w:val="22"/>
                <w:vertAlign w:val="superscript"/>
                <w:lang w:val="sr-Latn-ME"/>
              </w:rPr>
              <w:t>b</w:t>
            </w:r>
          </w:p>
        </w:tc>
        <w:tc>
          <w:tcPr>
            <w:tcW w:w="1440" w:type="dxa"/>
            <w:tcBorders>
              <w:top w:val="single" w:sz="8" w:space="0" w:color="000000"/>
              <w:left w:val="single" w:sz="8" w:space="0" w:color="000000"/>
              <w:bottom w:val="single" w:sz="8" w:space="0" w:color="000000"/>
              <w:right w:val="single" w:sz="8" w:space="0" w:color="000000"/>
            </w:tcBorders>
          </w:tcPr>
          <w:p w:rsidR="005D003D" w:rsidRPr="001B3E42" w:rsidRDefault="00A762EB" w:rsidP="005D003D">
            <w:pPr>
              <w:pStyle w:val="Default"/>
              <w:ind w:left="567" w:right="-85" w:hanging="567"/>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 xml:space="preserve"> </w:t>
            </w:r>
            <w:r w:rsidR="005D003D" w:rsidRPr="001B3E42">
              <w:rPr>
                <w:rFonts w:ascii="Times New Roman" w:hAnsi="Times New Roman" w:cs="Times New Roman"/>
                <w:b/>
                <w:bCs/>
                <w:sz w:val="22"/>
                <w:szCs w:val="22"/>
                <w:lang w:val="sr-Latn-ME"/>
              </w:rPr>
              <w:t xml:space="preserve">p vrijednost </w:t>
            </w:r>
            <w:r w:rsidR="005D003D" w:rsidRPr="001B3E42">
              <w:rPr>
                <w:rFonts w:ascii="Times New Roman" w:hAnsi="Times New Roman" w:cs="Times New Roman"/>
                <w:b/>
                <w:bCs/>
                <w:position w:val="8"/>
                <w:sz w:val="22"/>
                <w:szCs w:val="22"/>
                <w:vertAlign w:val="superscript"/>
                <w:lang w:val="sr-Latn-ME"/>
              </w:rPr>
              <w:t>c</w:t>
            </w:r>
          </w:p>
        </w:tc>
      </w:tr>
      <w:tr w:rsidR="004C2087" w:rsidRPr="001B3E42" w:rsidTr="00947F3A">
        <w:trPr>
          <w:trHeight w:val="2567"/>
        </w:trPr>
        <w:tc>
          <w:tcPr>
            <w:tcW w:w="1843"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ACR 20</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52 </w:t>
            </w:r>
            <w:r w:rsidR="009065F5" w:rsidRPr="001B3E42">
              <w:rPr>
                <w:rFonts w:ascii="Times New Roman" w:hAnsi="Times New Roman" w:cs="Times New Roman"/>
                <w:sz w:val="22"/>
                <w:szCs w:val="22"/>
                <w:lang w:val="sr-Latn-ME"/>
              </w:rPr>
              <w:t>nedjelje</w:t>
            </w:r>
          </w:p>
          <w:p w:rsidR="005D003D" w:rsidRPr="001B3E42" w:rsidRDefault="00947F3A"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r w:rsidR="005D003D" w:rsidRPr="001B3E42">
              <w:rPr>
                <w:rFonts w:ascii="Times New Roman" w:hAnsi="Times New Roman" w:cs="Times New Roman"/>
                <w:sz w:val="22"/>
                <w:szCs w:val="22"/>
                <w:lang w:val="sr-Latn-ME"/>
              </w:rPr>
              <w:t>104</w:t>
            </w:r>
            <w:r w:rsidR="00A762EB" w:rsidRPr="001B3E42">
              <w:rPr>
                <w:rFonts w:ascii="Times New Roman" w:hAnsi="Times New Roman" w:cs="Times New Roman"/>
                <w:sz w:val="22"/>
                <w:szCs w:val="22"/>
                <w:lang w:val="sr-Latn-ME"/>
              </w:rPr>
              <w:t xml:space="preserve"> </w:t>
            </w:r>
            <w:r w:rsidR="009065F5" w:rsidRPr="001B3E42">
              <w:rPr>
                <w:rFonts w:ascii="Times New Roman" w:hAnsi="Times New Roman" w:cs="Times New Roman"/>
                <w:sz w:val="22"/>
                <w:szCs w:val="22"/>
                <w:lang w:val="sr-Latn-ME"/>
              </w:rPr>
              <w:t>nedjelje</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ACR 50</w:t>
            </w:r>
          </w:p>
          <w:p w:rsidR="005D003D" w:rsidRPr="001B3E42" w:rsidRDefault="00947F3A"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r w:rsidR="005D003D" w:rsidRPr="001B3E42">
              <w:rPr>
                <w:rFonts w:ascii="Times New Roman" w:hAnsi="Times New Roman" w:cs="Times New Roman"/>
                <w:sz w:val="22"/>
                <w:szCs w:val="22"/>
                <w:lang w:val="sr-Latn-ME"/>
              </w:rPr>
              <w:t xml:space="preserve">52 </w:t>
            </w:r>
            <w:r w:rsidR="009065F5" w:rsidRPr="001B3E42">
              <w:rPr>
                <w:rFonts w:ascii="Times New Roman" w:hAnsi="Times New Roman" w:cs="Times New Roman"/>
                <w:sz w:val="22"/>
                <w:szCs w:val="22"/>
                <w:lang w:val="sr-Latn-ME"/>
              </w:rPr>
              <w:t>nedjelje</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104</w:t>
            </w:r>
            <w:r w:rsidR="00A762EB" w:rsidRPr="001B3E42">
              <w:rPr>
                <w:rFonts w:ascii="Times New Roman" w:hAnsi="Times New Roman" w:cs="Times New Roman"/>
                <w:sz w:val="22"/>
                <w:szCs w:val="22"/>
                <w:lang w:val="sr-Latn-ME"/>
              </w:rPr>
              <w:t xml:space="preserve"> </w:t>
            </w:r>
            <w:r w:rsidR="009065F5" w:rsidRPr="001B3E42">
              <w:rPr>
                <w:rFonts w:ascii="Times New Roman" w:hAnsi="Times New Roman" w:cs="Times New Roman"/>
                <w:sz w:val="22"/>
                <w:szCs w:val="22"/>
                <w:lang w:val="sr-Latn-ME"/>
              </w:rPr>
              <w:t>nedjelje</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ACR 70</w:t>
            </w:r>
          </w:p>
          <w:p w:rsidR="005D003D" w:rsidRPr="001B3E42" w:rsidRDefault="00947F3A"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r w:rsidR="005D003D" w:rsidRPr="001B3E42">
              <w:rPr>
                <w:rFonts w:ascii="Times New Roman" w:hAnsi="Times New Roman" w:cs="Times New Roman"/>
                <w:sz w:val="22"/>
                <w:szCs w:val="22"/>
                <w:lang w:val="sr-Latn-ME"/>
              </w:rPr>
              <w:t xml:space="preserve">52 </w:t>
            </w:r>
            <w:r w:rsidR="009065F5" w:rsidRPr="001B3E42">
              <w:rPr>
                <w:rFonts w:ascii="Times New Roman" w:hAnsi="Times New Roman" w:cs="Times New Roman"/>
                <w:sz w:val="22"/>
                <w:szCs w:val="22"/>
                <w:lang w:val="sr-Latn-ME"/>
              </w:rPr>
              <w:t>nedjelje</w:t>
            </w:r>
          </w:p>
          <w:p w:rsidR="005D003D" w:rsidRPr="001B3E42" w:rsidRDefault="00947F3A" w:rsidP="005D003D">
            <w:pPr>
              <w:pStyle w:val="Default"/>
              <w:ind w:left="567" w:hanging="567"/>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r w:rsidR="005D003D" w:rsidRPr="001B3E42">
              <w:rPr>
                <w:rFonts w:ascii="Times New Roman" w:hAnsi="Times New Roman" w:cs="Times New Roman"/>
                <w:sz w:val="22"/>
                <w:szCs w:val="22"/>
                <w:lang w:val="sr-Latn-ME"/>
              </w:rPr>
              <w:t>104</w:t>
            </w:r>
            <w:r w:rsidR="00A762EB" w:rsidRPr="001B3E42">
              <w:rPr>
                <w:rFonts w:ascii="Times New Roman" w:hAnsi="Times New Roman" w:cs="Times New Roman"/>
                <w:sz w:val="22"/>
                <w:szCs w:val="22"/>
                <w:lang w:val="sr-Latn-ME"/>
              </w:rPr>
              <w:t xml:space="preserve"> </w:t>
            </w:r>
            <w:r w:rsidR="009065F5" w:rsidRPr="001B3E42">
              <w:rPr>
                <w:rFonts w:ascii="Times New Roman" w:hAnsi="Times New Roman" w:cs="Times New Roman"/>
                <w:sz w:val="22"/>
                <w:szCs w:val="22"/>
                <w:lang w:val="sr-Latn-ME"/>
              </w:rPr>
              <w:t>nedjelje</w:t>
            </w:r>
          </w:p>
        </w:tc>
        <w:tc>
          <w:tcPr>
            <w:tcW w:w="851"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62,6 %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56,0 %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45,9 %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42,8 %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27,2 %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28,4 %</w:t>
            </w:r>
          </w:p>
        </w:tc>
        <w:tc>
          <w:tcPr>
            <w:tcW w:w="85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54,4 %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49,3 %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41,2 %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36,9 %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25,9 %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28,1 %</w:t>
            </w:r>
          </w:p>
        </w:tc>
        <w:tc>
          <w:tcPr>
            <w:tcW w:w="141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72,8 %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69,4 %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61,6%</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59,0 %</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45,5 %</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46,6 %</w:t>
            </w:r>
          </w:p>
        </w:tc>
        <w:tc>
          <w:tcPr>
            <w:tcW w:w="1275"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0,013</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0,002</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tc>
        <w:tc>
          <w:tcPr>
            <w:tcW w:w="1418"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p w:rsidR="005D003D" w:rsidRPr="001B3E42" w:rsidRDefault="005D003D" w:rsidP="005D003D">
            <w:pPr>
              <w:pStyle w:val="Default"/>
              <w:ind w:left="567" w:hanging="567"/>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p>
        </w:tc>
        <w:tc>
          <w:tcPr>
            <w:tcW w:w="144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0,043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0,140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0,317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0,162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0,656 </w:t>
            </w:r>
          </w:p>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0,864 </w:t>
            </w:r>
          </w:p>
        </w:tc>
      </w:tr>
    </w:tbl>
    <w:p w:rsidR="005D003D" w:rsidRPr="001B3E42" w:rsidRDefault="005D003D" w:rsidP="005D003D">
      <w:pPr>
        <w:pStyle w:val="Default"/>
        <w:jc w:val="both"/>
        <w:rPr>
          <w:rFonts w:ascii="Times New Roman" w:hAnsi="Times New Roman" w:cs="Times New Roman"/>
          <w:color w:val="auto"/>
          <w:position w:val="8"/>
          <w:vertAlign w:val="superscript"/>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5D003D" w:rsidRPr="001B3E42" w:rsidTr="005D003D">
        <w:tc>
          <w:tcPr>
            <w:tcW w:w="9280" w:type="dxa"/>
            <w:shd w:val="clear" w:color="auto" w:fill="auto"/>
          </w:tcPr>
          <w:p w:rsidR="005D003D" w:rsidRPr="001B3E42" w:rsidRDefault="005D003D" w:rsidP="005D003D">
            <w:pPr>
              <w:pStyle w:val="Default"/>
              <w:jc w:val="both"/>
              <w:rPr>
                <w:rFonts w:ascii="Times New Roman" w:hAnsi="Times New Roman" w:cs="Times New Roman"/>
                <w:color w:val="auto"/>
                <w:sz w:val="20"/>
                <w:szCs w:val="20"/>
                <w:lang w:val="sr-Latn-ME"/>
              </w:rPr>
            </w:pPr>
            <w:r w:rsidRPr="001B3E42">
              <w:rPr>
                <w:rFonts w:ascii="Times New Roman" w:hAnsi="Times New Roman" w:cs="Times New Roman"/>
                <w:color w:val="auto"/>
                <w:position w:val="8"/>
                <w:sz w:val="20"/>
                <w:szCs w:val="20"/>
                <w:vertAlign w:val="superscript"/>
                <w:lang w:val="sr-Latn-ME"/>
              </w:rPr>
              <w:t>a</w:t>
            </w:r>
            <w:r w:rsidR="00A762EB" w:rsidRPr="001B3E42">
              <w:rPr>
                <w:rFonts w:ascii="Times New Roman" w:hAnsi="Times New Roman" w:cs="Times New Roman"/>
                <w:color w:val="auto"/>
                <w:sz w:val="20"/>
                <w:szCs w:val="20"/>
                <w:lang w:val="sr-Latn-ME"/>
              </w:rPr>
              <w:t>p vrijednost dobij</w:t>
            </w:r>
            <w:r w:rsidRPr="001B3E42">
              <w:rPr>
                <w:rFonts w:ascii="Times New Roman" w:hAnsi="Times New Roman" w:cs="Times New Roman"/>
                <w:color w:val="auto"/>
                <w:sz w:val="20"/>
                <w:szCs w:val="20"/>
                <w:lang w:val="sr-Latn-ME"/>
              </w:rPr>
              <w:t xml:space="preserve">ena poređenjem monoterapije metotreksatom i kombinovane terapije </w:t>
            </w:r>
            <w:r w:rsidR="00AC4C8C" w:rsidRPr="001B3E42">
              <w:rPr>
                <w:rFonts w:ascii="Times New Roman" w:hAnsi="Times New Roman" w:cs="Times New Roman"/>
                <w:color w:val="auto"/>
                <w:sz w:val="20"/>
                <w:szCs w:val="20"/>
                <w:lang w:val="sr-Latn-ME"/>
              </w:rPr>
              <w:t xml:space="preserve">lijekom </w:t>
            </w:r>
            <w:r w:rsidRPr="001B3E42">
              <w:rPr>
                <w:rFonts w:ascii="Times New Roman" w:hAnsi="Times New Roman" w:cs="Times New Roman"/>
                <w:color w:val="auto"/>
                <w:sz w:val="20"/>
                <w:szCs w:val="20"/>
                <w:lang w:val="sr-Latn-ME"/>
              </w:rPr>
              <w:t>Humir</w:t>
            </w:r>
            <w:r w:rsidR="00AC4C8C" w:rsidRPr="001B3E42">
              <w:rPr>
                <w:rFonts w:ascii="Times New Roman" w:hAnsi="Times New Roman" w:cs="Times New Roman"/>
                <w:color w:val="auto"/>
                <w:sz w:val="20"/>
                <w:szCs w:val="20"/>
                <w:lang w:val="sr-Latn-ME"/>
              </w:rPr>
              <w:t>a</w:t>
            </w:r>
            <w:r w:rsidRPr="001B3E42">
              <w:rPr>
                <w:rFonts w:ascii="Times New Roman" w:hAnsi="Times New Roman" w:cs="Times New Roman"/>
                <w:color w:val="auto"/>
                <w:sz w:val="20"/>
                <w:szCs w:val="20"/>
                <w:lang w:val="sr-Latn-ME"/>
              </w:rPr>
              <w:t xml:space="preserve"> i metotreksatom uz primjenu Mann-Whitney U testa</w:t>
            </w:r>
          </w:p>
          <w:p w:rsidR="005D003D" w:rsidRPr="001B3E42" w:rsidRDefault="005D003D" w:rsidP="005D003D">
            <w:pPr>
              <w:pStyle w:val="Default"/>
              <w:jc w:val="both"/>
              <w:rPr>
                <w:rFonts w:ascii="Times New Roman" w:hAnsi="Times New Roman" w:cs="Times New Roman"/>
                <w:color w:val="auto"/>
                <w:sz w:val="20"/>
                <w:szCs w:val="20"/>
                <w:lang w:val="sr-Latn-ME"/>
              </w:rPr>
            </w:pPr>
            <w:r w:rsidRPr="001B3E42">
              <w:rPr>
                <w:rFonts w:ascii="Times New Roman" w:hAnsi="Times New Roman" w:cs="Times New Roman"/>
                <w:color w:val="auto"/>
                <w:position w:val="8"/>
                <w:sz w:val="20"/>
                <w:szCs w:val="20"/>
                <w:vertAlign w:val="superscript"/>
                <w:lang w:val="sr-Latn-ME"/>
              </w:rPr>
              <w:t>b</w:t>
            </w:r>
            <w:r w:rsidR="00A762EB" w:rsidRPr="001B3E42">
              <w:rPr>
                <w:rFonts w:ascii="Times New Roman" w:hAnsi="Times New Roman" w:cs="Times New Roman"/>
                <w:color w:val="auto"/>
                <w:sz w:val="20"/>
                <w:szCs w:val="20"/>
                <w:lang w:val="sr-Latn-ME"/>
              </w:rPr>
              <w:t>p vrijednost dobij</w:t>
            </w:r>
            <w:r w:rsidRPr="001B3E42">
              <w:rPr>
                <w:rFonts w:ascii="Times New Roman" w:hAnsi="Times New Roman" w:cs="Times New Roman"/>
                <w:color w:val="auto"/>
                <w:sz w:val="20"/>
                <w:szCs w:val="20"/>
                <w:lang w:val="sr-Latn-ME"/>
              </w:rPr>
              <w:t xml:space="preserve">ena poređenjem monoterapije </w:t>
            </w:r>
            <w:r w:rsidR="00AC4C8C" w:rsidRPr="001B3E42">
              <w:rPr>
                <w:rFonts w:ascii="Times New Roman" w:hAnsi="Times New Roman" w:cs="Times New Roman"/>
                <w:color w:val="auto"/>
                <w:sz w:val="20"/>
                <w:szCs w:val="20"/>
                <w:lang w:val="sr-Latn-ME"/>
              </w:rPr>
              <w:t xml:space="preserve">lijekom </w:t>
            </w:r>
            <w:r w:rsidRPr="001B3E42">
              <w:rPr>
                <w:rFonts w:ascii="Times New Roman" w:hAnsi="Times New Roman" w:cs="Times New Roman"/>
                <w:color w:val="auto"/>
                <w:sz w:val="20"/>
                <w:szCs w:val="20"/>
                <w:lang w:val="sr-Latn-ME"/>
              </w:rPr>
              <w:t>Humir</w:t>
            </w:r>
            <w:r w:rsidR="00AC4C8C" w:rsidRPr="001B3E42">
              <w:rPr>
                <w:rFonts w:ascii="Times New Roman" w:hAnsi="Times New Roman" w:cs="Times New Roman"/>
                <w:color w:val="auto"/>
                <w:sz w:val="20"/>
                <w:szCs w:val="20"/>
                <w:lang w:val="sr-Latn-ME"/>
              </w:rPr>
              <w:t>a</w:t>
            </w:r>
            <w:r w:rsidRPr="001B3E42">
              <w:rPr>
                <w:rFonts w:ascii="Times New Roman" w:hAnsi="Times New Roman" w:cs="Times New Roman"/>
                <w:color w:val="auto"/>
                <w:sz w:val="20"/>
                <w:szCs w:val="20"/>
                <w:lang w:val="sr-Latn-ME"/>
              </w:rPr>
              <w:t xml:space="preserve"> i kombinovane terapije </w:t>
            </w:r>
            <w:r w:rsidR="00AC4C8C" w:rsidRPr="001B3E42">
              <w:rPr>
                <w:rFonts w:ascii="Times New Roman" w:hAnsi="Times New Roman" w:cs="Times New Roman"/>
                <w:color w:val="auto"/>
                <w:sz w:val="20"/>
                <w:szCs w:val="20"/>
                <w:lang w:val="sr-Latn-ME"/>
              </w:rPr>
              <w:t xml:space="preserve">lijekom </w:t>
            </w:r>
            <w:r w:rsidRPr="001B3E42">
              <w:rPr>
                <w:rFonts w:ascii="Times New Roman" w:hAnsi="Times New Roman" w:cs="Times New Roman"/>
                <w:color w:val="auto"/>
                <w:sz w:val="20"/>
                <w:szCs w:val="20"/>
                <w:lang w:val="sr-Latn-ME"/>
              </w:rPr>
              <w:t>Humir</w:t>
            </w:r>
            <w:r w:rsidR="00AC4C8C" w:rsidRPr="001B3E42">
              <w:rPr>
                <w:rFonts w:ascii="Times New Roman" w:hAnsi="Times New Roman" w:cs="Times New Roman"/>
                <w:color w:val="auto"/>
                <w:sz w:val="20"/>
                <w:szCs w:val="20"/>
                <w:lang w:val="sr-Latn-ME"/>
              </w:rPr>
              <w:t>a</w:t>
            </w:r>
            <w:r w:rsidRPr="001B3E42">
              <w:rPr>
                <w:rFonts w:ascii="Times New Roman" w:hAnsi="Times New Roman" w:cs="Times New Roman"/>
                <w:color w:val="auto"/>
                <w:sz w:val="20"/>
                <w:szCs w:val="20"/>
                <w:lang w:val="sr-Latn-ME"/>
              </w:rPr>
              <w:t xml:space="preserve"> i metotreksatom uz primjenu Mann-Whitney U testa</w:t>
            </w:r>
          </w:p>
          <w:p w:rsidR="005D003D" w:rsidRPr="001B3E42" w:rsidRDefault="005D003D" w:rsidP="00AC4C8C">
            <w:pPr>
              <w:pStyle w:val="Default"/>
              <w:jc w:val="both"/>
              <w:rPr>
                <w:rFonts w:ascii="Times New Roman" w:hAnsi="Times New Roman" w:cs="Times New Roman"/>
                <w:color w:val="auto"/>
                <w:position w:val="8"/>
                <w:vertAlign w:val="superscript"/>
                <w:lang w:val="sr-Latn-ME"/>
              </w:rPr>
            </w:pPr>
            <w:r w:rsidRPr="001B3E42">
              <w:rPr>
                <w:rFonts w:ascii="Times New Roman" w:hAnsi="Times New Roman" w:cs="Times New Roman"/>
                <w:color w:val="auto"/>
                <w:position w:val="8"/>
                <w:sz w:val="20"/>
                <w:szCs w:val="20"/>
                <w:vertAlign w:val="superscript"/>
                <w:lang w:val="sr-Latn-ME"/>
              </w:rPr>
              <w:t>c</w:t>
            </w:r>
            <w:r w:rsidR="00A762EB" w:rsidRPr="001B3E42">
              <w:rPr>
                <w:rFonts w:ascii="Times New Roman" w:hAnsi="Times New Roman" w:cs="Times New Roman"/>
                <w:color w:val="auto"/>
                <w:sz w:val="20"/>
                <w:szCs w:val="20"/>
                <w:lang w:val="sr-Latn-ME"/>
              </w:rPr>
              <w:t>p vrijednost dobij</w:t>
            </w:r>
            <w:r w:rsidRPr="001B3E42">
              <w:rPr>
                <w:rFonts w:ascii="Times New Roman" w:hAnsi="Times New Roman" w:cs="Times New Roman"/>
                <w:color w:val="auto"/>
                <w:sz w:val="20"/>
                <w:szCs w:val="20"/>
                <w:lang w:val="sr-Latn-ME"/>
              </w:rPr>
              <w:t xml:space="preserve">ena poređenjem monoterapije </w:t>
            </w:r>
            <w:r w:rsidR="00AC4C8C" w:rsidRPr="001B3E42">
              <w:rPr>
                <w:rFonts w:ascii="Times New Roman" w:hAnsi="Times New Roman" w:cs="Times New Roman"/>
                <w:color w:val="auto"/>
                <w:sz w:val="20"/>
                <w:szCs w:val="20"/>
                <w:lang w:val="sr-Latn-ME"/>
              </w:rPr>
              <w:t xml:space="preserve">lijekom </w:t>
            </w:r>
            <w:r w:rsidRPr="001B3E42">
              <w:rPr>
                <w:rFonts w:ascii="Times New Roman" w:hAnsi="Times New Roman" w:cs="Times New Roman"/>
                <w:color w:val="auto"/>
                <w:sz w:val="20"/>
                <w:szCs w:val="20"/>
                <w:lang w:val="sr-Latn-ME"/>
              </w:rPr>
              <w:t>Humir</w:t>
            </w:r>
            <w:r w:rsidR="00AC4C8C" w:rsidRPr="001B3E42">
              <w:rPr>
                <w:rFonts w:ascii="Times New Roman" w:hAnsi="Times New Roman" w:cs="Times New Roman"/>
                <w:color w:val="auto"/>
                <w:sz w:val="20"/>
                <w:szCs w:val="20"/>
                <w:lang w:val="sr-Latn-ME"/>
              </w:rPr>
              <w:t>a</w:t>
            </w:r>
            <w:r w:rsidRPr="001B3E42">
              <w:rPr>
                <w:rFonts w:ascii="Times New Roman" w:hAnsi="Times New Roman" w:cs="Times New Roman"/>
                <w:color w:val="auto"/>
                <w:sz w:val="20"/>
                <w:szCs w:val="20"/>
                <w:lang w:val="sr-Latn-ME"/>
              </w:rPr>
              <w:t xml:space="preserve"> i monoterapije metotreksatom uz primjenu Mann-Whitney U testa</w:t>
            </w:r>
          </w:p>
        </w:tc>
      </w:tr>
    </w:tbl>
    <w:p w:rsidR="005D003D" w:rsidRPr="001B3E42" w:rsidRDefault="005D003D" w:rsidP="001E4AB9">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lastRenderedPageBreak/>
        <w:t xml:space="preserve">Nakon 52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liječenja, klinička remisija postignuta je kod 42,9 %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color w:val="auto"/>
          <w:sz w:val="22"/>
          <w:szCs w:val="22"/>
          <w:lang w:val="sr-Latn-ME"/>
        </w:rPr>
        <w:t xml:space="preserve"> liječenih kombinacijom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metotreksata (DAS28 &lt; 2,6) u poređenju sa 20,6 %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color w:val="auto"/>
          <w:sz w:val="22"/>
          <w:szCs w:val="22"/>
          <w:lang w:val="sr-Latn-ME"/>
        </w:rPr>
        <w:t xml:space="preserve"> koji su </w:t>
      </w:r>
      <w:r w:rsidR="00A762EB" w:rsidRPr="001B3E42">
        <w:rPr>
          <w:rFonts w:ascii="Times New Roman" w:hAnsi="Times New Roman" w:cs="Times New Roman"/>
          <w:color w:val="auto"/>
          <w:sz w:val="22"/>
          <w:szCs w:val="22"/>
          <w:lang w:val="sr-Latn-ME"/>
        </w:rPr>
        <w:t>dobijali</w:t>
      </w:r>
      <w:r w:rsidRPr="001B3E42">
        <w:rPr>
          <w:rFonts w:ascii="Times New Roman" w:hAnsi="Times New Roman" w:cs="Times New Roman"/>
          <w:color w:val="auto"/>
          <w:sz w:val="22"/>
          <w:szCs w:val="22"/>
          <w:lang w:val="sr-Latn-ME"/>
        </w:rPr>
        <w:t xml:space="preserve"> monoterapiju metotreksatom, odnosno 23,4 %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color w:val="auto"/>
          <w:sz w:val="22"/>
          <w:szCs w:val="22"/>
          <w:lang w:val="sr-Latn-ME"/>
        </w:rPr>
        <w:t xml:space="preserve"> koji su dobili m</w:t>
      </w:r>
      <w:r w:rsidR="00A762EB" w:rsidRPr="001B3E42">
        <w:rPr>
          <w:rFonts w:ascii="Times New Roman" w:hAnsi="Times New Roman" w:cs="Times New Roman"/>
          <w:color w:val="auto"/>
          <w:sz w:val="22"/>
          <w:szCs w:val="22"/>
          <w:lang w:val="sr-Latn-ME"/>
        </w:rPr>
        <w:t xml:space="preserve">onoterapiju </w:t>
      </w:r>
      <w:r w:rsidR="00AC4C8C" w:rsidRPr="001B3E42">
        <w:rPr>
          <w:rFonts w:ascii="Times New Roman" w:hAnsi="Times New Roman" w:cs="Times New Roman"/>
          <w:color w:val="auto"/>
          <w:sz w:val="22"/>
          <w:szCs w:val="22"/>
          <w:lang w:val="sr-Latn-ME"/>
        </w:rPr>
        <w:t xml:space="preserve">lijekom </w:t>
      </w:r>
      <w:r w:rsidR="00A762EB"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00A762EB" w:rsidRPr="001B3E42">
        <w:rPr>
          <w:rFonts w:ascii="Times New Roman" w:hAnsi="Times New Roman" w:cs="Times New Roman"/>
          <w:color w:val="auto"/>
          <w:sz w:val="22"/>
          <w:szCs w:val="22"/>
          <w:lang w:val="sr-Latn-ME"/>
        </w:rPr>
        <w:t>. Kombinovana</w:t>
      </w:r>
      <w:r w:rsidRPr="001B3E42">
        <w:rPr>
          <w:rFonts w:ascii="Times New Roman" w:hAnsi="Times New Roman" w:cs="Times New Roman"/>
          <w:color w:val="auto"/>
          <w:sz w:val="22"/>
          <w:szCs w:val="22"/>
          <w:lang w:val="sr-Latn-ME"/>
        </w:rPr>
        <w:t xml:space="preserve"> primjena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metotreksata pokazala se </w:t>
      </w:r>
      <w:r w:rsidR="00A762EB" w:rsidRPr="001B3E42">
        <w:rPr>
          <w:rFonts w:ascii="Times New Roman" w:hAnsi="Times New Roman" w:cs="Times New Roman"/>
          <w:color w:val="auto"/>
          <w:sz w:val="22"/>
          <w:szCs w:val="22"/>
          <w:lang w:val="sr-Latn-ME"/>
        </w:rPr>
        <w:t>klinički i statistički efikasnijom</w:t>
      </w:r>
      <w:r w:rsidRPr="001B3E42">
        <w:rPr>
          <w:rFonts w:ascii="Times New Roman" w:hAnsi="Times New Roman" w:cs="Times New Roman"/>
          <w:color w:val="auto"/>
          <w:sz w:val="22"/>
          <w:szCs w:val="22"/>
          <w:lang w:val="sr-Latn-ME"/>
        </w:rPr>
        <w:t xml:space="preserve"> od monoterapije metotreksatom (p &lt;</w:t>
      </w:r>
      <w:r w:rsidR="0031555A" w:rsidRPr="001B3E42">
        <w:rPr>
          <w:rFonts w:ascii="Times New Roman" w:hAnsi="Times New Roman" w:cs="Times New Roman"/>
          <w:color w:val="auto"/>
          <w:sz w:val="22"/>
          <w:szCs w:val="22"/>
          <w:lang w:val="sr-Latn-ME"/>
        </w:rPr>
        <w:t xml:space="preserve"> </w:t>
      </w:r>
      <w:r w:rsidRPr="001B3E42">
        <w:rPr>
          <w:rFonts w:ascii="Times New Roman" w:hAnsi="Times New Roman" w:cs="Times New Roman"/>
          <w:color w:val="auto"/>
          <w:sz w:val="22"/>
          <w:szCs w:val="22"/>
          <w:lang w:val="sr-Latn-ME"/>
        </w:rPr>
        <w:t xml:space="preserve">0,001) i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(p &lt; 0,001) u suzbijanju simptoma bolesti kod </w:t>
      </w:r>
      <w:r w:rsidR="001E4AB9" w:rsidRPr="001B3E42">
        <w:rPr>
          <w:rFonts w:ascii="Times New Roman" w:hAnsi="Times New Roman" w:cs="Times New Roman"/>
          <w:color w:val="auto"/>
          <w:sz w:val="22"/>
          <w:szCs w:val="22"/>
          <w:lang w:val="sr-Latn-ME"/>
        </w:rPr>
        <w:t>pacijenata</w:t>
      </w:r>
      <w:r w:rsidR="00A762EB" w:rsidRPr="001B3E42">
        <w:rPr>
          <w:rFonts w:ascii="Times New Roman" w:hAnsi="Times New Roman" w:cs="Times New Roman"/>
          <w:color w:val="auto"/>
          <w:sz w:val="22"/>
          <w:szCs w:val="22"/>
          <w:lang w:val="sr-Latn-ME"/>
        </w:rPr>
        <w:t xml:space="preserve"> s nedavno dijagnostikovanim</w:t>
      </w:r>
      <w:r w:rsidRPr="001B3E42">
        <w:rPr>
          <w:rFonts w:ascii="Times New Roman" w:hAnsi="Times New Roman" w:cs="Times New Roman"/>
          <w:color w:val="auto"/>
          <w:sz w:val="22"/>
          <w:szCs w:val="22"/>
          <w:lang w:val="sr-Latn-ME"/>
        </w:rPr>
        <w:t xml:space="preserve"> umjereno teškim do teškim reumatoidnim artritisom. Terapijski odgovor </w:t>
      </w:r>
      <w:r w:rsidR="001E4AB9" w:rsidRPr="001B3E42">
        <w:rPr>
          <w:rFonts w:ascii="Times New Roman" w:hAnsi="Times New Roman" w:cs="Times New Roman"/>
          <w:color w:val="auto"/>
          <w:sz w:val="22"/>
          <w:szCs w:val="22"/>
          <w:lang w:val="sr-Latn-ME"/>
        </w:rPr>
        <w:t xml:space="preserve">pacijenata </w:t>
      </w:r>
      <w:r w:rsidRPr="001B3E42">
        <w:rPr>
          <w:rFonts w:ascii="Times New Roman" w:hAnsi="Times New Roman" w:cs="Times New Roman"/>
          <w:color w:val="auto"/>
          <w:sz w:val="22"/>
          <w:szCs w:val="22"/>
          <w:lang w:val="sr-Latn-ME"/>
        </w:rPr>
        <w:t>liječenih monoterapijom bio je približno podjednak (p=0,447).</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Radiološki odgovor</w:t>
      </w:r>
    </w:p>
    <w:p w:rsidR="005161DC" w:rsidRPr="001B3E42" w:rsidRDefault="005D003D" w:rsidP="001E4AB9">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U RA ispitivanju III u kojem je prosječno trajanje </w:t>
      </w:r>
      <w:r w:rsidRPr="001B3E42">
        <w:rPr>
          <w:rFonts w:ascii="Times New Roman" w:hAnsi="Times New Roman" w:cs="Times New Roman"/>
          <w:sz w:val="22"/>
          <w:szCs w:val="22"/>
          <w:lang w:val="sr-Latn-ME"/>
        </w:rPr>
        <w:t xml:space="preserve">reumatoidnog artritisa </w:t>
      </w:r>
      <w:r w:rsidRPr="001B3E42">
        <w:rPr>
          <w:rFonts w:ascii="Times New Roman" w:hAnsi="Times New Roman" w:cs="Times New Roman"/>
          <w:color w:val="auto"/>
          <w:sz w:val="22"/>
          <w:szCs w:val="22"/>
          <w:lang w:val="sr-Latn-ME"/>
        </w:rPr>
        <w:t xml:space="preserve">kod </w:t>
      </w:r>
      <w:r w:rsidR="001E4AB9" w:rsidRPr="001B3E42">
        <w:rPr>
          <w:rFonts w:ascii="Times New Roman" w:hAnsi="Times New Roman" w:cs="Times New Roman"/>
          <w:color w:val="auto"/>
          <w:sz w:val="22"/>
          <w:szCs w:val="22"/>
          <w:lang w:val="sr-Latn-ME"/>
        </w:rPr>
        <w:t xml:space="preserve">pacijenata </w:t>
      </w:r>
      <w:r w:rsidRPr="001B3E42">
        <w:rPr>
          <w:rFonts w:ascii="Times New Roman" w:hAnsi="Times New Roman" w:cs="Times New Roman"/>
          <w:color w:val="auto"/>
          <w:sz w:val="22"/>
          <w:szCs w:val="22"/>
          <w:lang w:val="sr-Latn-ME"/>
        </w:rPr>
        <w:t xml:space="preserve">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bilo 11 godina strukturno oštećenje zglobova procjenjivano je radiološki, a stepen oštećenja izražen je promjenom ukupn</w:t>
      </w:r>
      <w:r w:rsidR="00A762EB" w:rsidRPr="001B3E42">
        <w:rPr>
          <w:rFonts w:ascii="Times New Roman" w:hAnsi="Times New Roman" w:cs="Times New Roman"/>
          <w:color w:val="auto"/>
          <w:sz w:val="22"/>
          <w:szCs w:val="22"/>
          <w:lang w:val="sr-Latn-ME"/>
        </w:rPr>
        <w:t>og zbira bodova po modifikovanom</w:t>
      </w:r>
      <w:r w:rsidRPr="001B3E42">
        <w:rPr>
          <w:rFonts w:ascii="Times New Roman" w:hAnsi="Times New Roman" w:cs="Times New Roman"/>
          <w:color w:val="auto"/>
          <w:sz w:val="22"/>
          <w:szCs w:val="22"/>
          <w:lang w:val="sr-Latn-ME"/>
        </w:rPr>
        <w:t xml:space="preserve"> Sharpu (</w:t>
      </w:r>
      <w:r w:rsidRPr="001B3E42">
        <w:rPr>
          <w:rFonts w:ascii="Times New Roman" w:hAnsi="Times New Roman" w:cs="Times New Roman"/>
          <w:i/>
          <w:color w:val="auto"/>
          <w:sz w:val="22"/>
          <w:szCs w:val="22"/>
          <w:lang w:val="sr-Latn-ME"/>
        </w:rPr>
        <w:t>Total Sharp Score</w:t>
      </w:r>
      <w:r w:rsidRPr="001B3E42">
        <w:rPr>
          <w:rFonts w:ascii="Times New Roman" w:hAnsi="Times New Roman" w:cs="Times New Roman"/>
          <w:color w:val="auto"/>
          <w:sz w:val="22"/>
          <w:szCs w:val="22"/>
          <w:lang w:val="sr-Latn-ME"/>
        </w:rPr>
        <w:t xml:space="preserve"> - TSS) i njegovih komponenti, stepenu erozije zglobnih hrskavica i suženju zglobnih prostora. Radiološki nalazi </w:t>
      </w:r>
      <w:r w:rsidR="001E4AB9" w:rsidRPr="001B3E42">
        <w:rPr>
          <w:rFonts w:ascii="Times New Roman" w:hAnsi="Times New Roman" w:cs="Times New Roman"/>
          <w:color w:val="auto"/>
          <w:sz w:val="22"/>
          <w:szCs w:val="22"/>
          <w:lang w:val="sr-Latn-ME"/>
        </w:rPr>
        <w:t xml:space="preserve">kod pacijenata </w:t>
      </w:r>
      <w:r w:rsidRPr="001B3E42">
        <w:rPr>
          <w:rFonts w:ascii="Times New Roman" w:hAnsi="Times New Roman" w:cs="Times New Roman"/>
          <w:color w:val="auto"/>
          <w:sz w:val="22"/>
          <w:szCs w:val="22"/>
          <w:lang w:val="sr-Latn-ME"/>
        </w:rPr>
        <w:t xml:space="preserve">liječenih kombinacijom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metotreksata pokazali su znatno sporije napredovanje struk</w:t>
      </w:r>
      <w:r w:rsidR="001E4AB9" w:rsidRPr="001B3E42">
        <w:rPr>
          <w:rFonts w:ascii="Times New Roman" w:hAnsi="Times New Roman" w:cs="Times New Roman"/>
          <w:color w:val="auto"/>
          <w:sz w:val="22"/>
          <w:szCs w:val="22"/>
          <w:lang w:val="sr-Latn-ME"/>
        </w:rPr>
        <w:t>turnih oštećenja zglobova nego kod</w:t>
      </w:r>
      <w:r w:rsidRPr="001B3E42">
        <w:rPr>
          <w:rFonts w:ascii="Times New Roman" w:hAnsi="Times New Roman" w:cs="Times New Roman"/>
          <w:color w:val="auto"/>
          <w:sz w:val="22"/>
          <w:szCs w:val="22"/>
          <w:lang w:val="sr-Latn-ME"/>
        </w:rPr>
        <w:t xml:space="preserve">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color w:val="auto"/>
          <w:sz w:val="22"/>
          <w:szCs w:val="22"/>
          <w:lang w:val="sr-Latn-ME"/>
        </w:rPr>
        <w:t xml:space="preserve"> liječenih samo metotreksatom tokom 6 i 12 mjeseci (vidjeti Tabelu 7). </w:t>
      </w:r>
    </w:p>
    <w:p w:rsidR="005161DC" w:rsidRPr="001B3E42" w:rsidRDefault="005161DC" w:rsidP="001E4AB9">
      <w:pPr>
        <w:pStyle w:val="Default"/>
        <w:jc w:val="both"/>
        <w:rPr>
          <w:rFonts w:ascii="Times New Roman" w:hAnsi="Times New Roman" w:cs="Times New Roman"/>
          <w:color w:val="auto"/>
          <w:sz w:val="22"/>
          <w:szCs w:val="22"/>
          <w:lang w:val="sr-Latn-ME"/>
        </w:rPr>
      </w:pPr>
    </w:p>
    <w:p w:rsidR="005D003D" w:rsidRPr="001B3E42" w:rsidRDefault="005D003D" w:rsidP="001E4AB9">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Podaci iz </w:t>
      </w:r>
      <w:r w:rsidRPr="001B3E42">
        <w:rPr>
          <w:rFonts w:ascii="Times New Roman" w:hAnsi="Times New Roman" w:cs="Times New Roman"/>
          <w:iCs/>
          <w:sz w:val="22"/>
          <w:szCs w:val="22"/>
          <w:lang w:val="sr-Latn-ME"/>
        </w:rPr>
        <w:t>otvorenog</w:t>
      </w:r>
      <w:r w:rsidR="005161DC" w:rsidRPr="001B3E42">
        <w:rPr>
          <w:rFonts w:ascii="Times New Roman" w:hAnsi="Times New Roman" w:cs="Times New Roman"/>
          <w:iCs/>
          <w:sz w:val="22"/>
          <w:szCs w:val="22"/>
          <w:lang w:val="sr-Latn-ME"/>
        </w:rPr>
        <w:t xml:space="preserve"> produženog</w:t>
      </w:r>
      <w:r w:rsidRPr="001B3E42">
        <w:rPr>
          <w:rFonts w:ascii="Times New Roman" w:hAnsi="Times New Roman" w:cs="Times New Roman"/>
          <w:iCs/>
          <w:sz w:val="22"/>
          <w:szCs w:val="22"/>
          <w:lang w:val="sr-Latn-ME"/>
        </w:rPr>
        <w:t xml:space="preserve"> </w:t>
      </w:r>
      <w:r w:rsidRPr="001B3E42">
        <w:rPr>
          <w:rFonts w:ascii="Times New Roman" w:hAnsi="Times New Roman" w:cs="Times New Roman"/>
          <w:sz w:val="22"/>
          <w:szCs w:val="22"/>
          <w:lang w:val="sr-Latn-ME"/>
        </w:rPr>
        <w:t xml:space="preserve">dijela </w:t>
      </w:r>
      <w:r w:rsidR="005161DC" w:rsidRPr="001B3E42">
        <w:rPr>
          <w:rFonts w:ascii="Times New Roman" w:hAnsi="Times New Roman" w:cs="Times New Roman"/>
          <w:sz w:val="22"/>
          <w:szCs w:val="22"/>
          <w:lang w:val="sr-Latn-ME"/>
        </w:rPr>
        <w:t>RA ispitivanja III</w:t>
      </w:r>
      <w:r w:rsidRPr="001B3E42">
        <w:rPr>
          <w:rFonts w:ascii="Times New Roman" w:hAnsi="Times New Roman" w:cs="Times New Roman"/>
          <w:sz w:val="22"/>
          <w:szCs w:val="22"/>
          <w:lang w:val="sr-Latn-ME"/>
        </w:rPr>
        <w:t xml:space="preserve"> pokazuju da je smanjenje</w:t>
      </w:r>
      <w:r w:rsidR="00A762EB" w:rsidRPr="001B3E42">
        <w:rPr>
          <w:rFonts w:ascii="Times New Roman" w:hAnsi="Times New Roman" w:cs="Times New Roman"/>
          <w:sz w:val="22"/>
          <w:szCs w:val="22"/>
          <w:lang w:val="sr-Latn-ME"/>
        </w:rPr>
        <w:t xml:space="preserve"> stepena strukturnog oštećenja kod</w:t>
      </w:r>
      <w:r w:rsidRPr="001B3E42">
        <w:rPr>
          <w:rFonts w:ascii="Times New Roman" w:hAnsi="Times New Roman" w:cs="Times New Roman"/>
          <w:sz w:val="22"/>
          <w:szCs w:val="22"/>
          <w:lang w:val="sr-Latn-ME"/>
        </w:rPr>
        <w:t xml:space="preserve"> određenog dijela </w:t>
      </w:r>
      <w:r w:rsidR="001E4AB9" w:rsidRPr="001B3E42">
        <w:rPr>
          <w:rFonts w:ascii="Times New Roman" w:hAnsi="Times New Roman" w:cs="Times New Roman"/>
          <w:color w:val="auto"/>
          <w:sz w:val="22"/>
          <w:szCs w:val="22"/>
          <w:lang w:val="sr-Latn-ME"/>
        </w:rPr>
        <w:t>pacijenata</w:t>
      </w:r>
      <w:r w:rsidRPr="001B3E42">
        <w:rPr>
          <w:rFonts w:ascii="Times New Roman" w:hAnsi="Times New Roman" w:cs="Times New Roman"/>
          <w:sz w:val="22"/>
          <w:szCs w:val="22"/>
          <w:lang w:val="sr-Latn-ME"/>
        </w:rPr>
        <w:t xml:space="preserve"> održano kroz 8-10 godina. Među </w:t>
      </w:r>
      <w:r w:rsidR="001E4AB9" w:rsidRPr="001B3E42">
        <w:rPr>
          <w:rFonts w:ascii="Times New Roman" w:hAnsi="Times New Roman" w:cs="Times New Roman"/>
          <w:sz w:val="22"/>
          <w:szCs w:val="22"/>
          <w:lang w:val="sr-Latn-ME"/>
        </w:rPr>
        <w:t>pacijentima</w:t>
      </w:r>
      <w:r w:rsidRPr="001B3E42">
        <w:rPr>
          <w:rFonts w:ascii="Times New Roman" w:hAnsi="Times New Roman" w:cs="Times New Roman"/>
          <w:sz w:val="22"/>
          <w:szCs w:val="22"/>
          <w:lang w:val="sr-Latn-ME"/>
        </w:rPr>
        <w:t xml:space="preserve"> koji su uzimali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40 mg svake druge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 xml:space="preserve"> (njih 81 od 207) učinjena je radiografska kontrola nakon 8 godina. Njih 48 nije imalo znakove progresije strukturnog oštećenja, definisane kao promjena TSS jednaka 0.5 ili manje.</w:t>
      </w:r>
      <w:r w:rsidRPr="001B3E42">
        <w:rPr>
          <w:sz w:val="22"/>
          <w:szCs w:val="22"/>
          <w:lang w:val="sr-Latn-ME"/>
        </w:rPr>
        <w:t xml:space="preserve"> </w:t>
      </w:r>
      <w:r w:rsidRPr="001B3E42">
        <w:rPr>
          <w:rFonts w:ascii="Times New Roman" w:hAnsi="Times New Roman" w:cs="Times New Roman"/>
          <w:sz w:val="22"/>
          <w:szCs w:val="22"/>
          <w:lang w:val="sr-Latn-ME"/>
        </w:rPr>
        <w:t xml:space="preserve">Među </w:t>
      </w:r>
      <w:r w:rsidR="001E4AB9" w:rsidRPr="001B3E42">
        <w:rPr>
          <w:rFonts w:ascii="Times New Roman" w:hAnsi="Times New Roman" w:cs="Times New Roman"/>
          <w:color w:val="auto"/>
          <w:sz w:val="22"/>
          <w:szCs w:val="22"/>
          <w:lang w:val="sr-Latn-ME"/>
        </w:rPr>
        <w:t>pacijenatima</w:t>
      </w:r>
      <w:r w:rsidRPr="001B3E42">
        <w:rPr>
          <w:rFonts w:ascii="Times New Roman" w:hAnsi="Times New Roman" w:cs="Times New Roman"/>
          <w:sz w:val="22"/>
          <w:szCs w:val="22"/>
          <w:lang w:val="sr-Latn-ME"/>
        </w:rPr>
        <w:t xml:space="preserve"> koji su uzimali </w:t>
      </w:r>
      <w:r w:rsidR="00872668" w:rsidRPr="001B3E42">
        <w:rPr>
          <w:rFonts w:ascii="Times New Roman" w:hAnsi="Times New Roman" w:cs="Times New Roman"/>
          <w:sz w:val="22"/>
          <w:szCs w:val="22"/>
          <w:lang w:val="sr-Latn-ME"/>
        </w:rPr>
        <w:t xml:space="preserve">lijek </w:t>
      </w:r>
      <w:r w:rsidRPr="001B3E42">
        <w:rPr>
          <w:rFonts w:ascii="Times New Roman" w:hAnsi="Times New Roman" w:cs="Times New Roman"/>
          <w:sz w:val="22"/>
          <w:szCs w:val="22"/>
          <w:lang w:val="sr-Latn-ME"/>
        </w:rPr>
        <w:t>Humir</w:t>
      </w:r>
      <w:r w:rsidR="00872668"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40 mg svake druge </w:t>
      </w:r>
      <w:r w:rsidR="009065F5" w:rsidRPr="001B3E42">
        <w:rPr>
          <w:rFonts w:ascii="Times New Roman" w:hAnsi="Times New Roman" w:cs="Times New Roman"/>
          <w:sz w:val="22"/>
          <w:szCs w:val="22"/>
          <w:lang w:val="sr-Latn-ME"/>
        </w:rPr>
        <w:t>nedjelje</w:t>
      </w:r>
      <w:r w:rsidRPr="001B3E42">
        <w:rPr>
          <w:rFonts w:ascii="Times New Roman" w:hAnsi="Times New Roman" w:cs="Times New Roman"/>
          <w:sz w:val="22"/>
          <w:szCs w:val="22"/>
          <w:lang w:val="sr-Latn-ME"/>
        </w:rPr>
        <w:t xml:space="preserve"> (njih 79 od 207) učinjena je radiografska kontrola nakon 10 godina. Njih 40 nije imalo znakove progresije strukturnog oštećenja, definisane kao promjena TSS jednaka 0.5 ili manje.</w:t>
      </w:r>
    </w:p>
    <w:p w:rsidR="002D7CE0"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p>
    <w:p w:rsidR="005D003D" w:rsidRPr="001B3E42" w:rsidRDefault="005D003D" w:rsidP="00BD53A4">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b/>
          <w:bCs/>
          <w:color w:val="auto"/>
          <w:sz w:val="22"/>
          <w:szCs w:val="22"/>
          <w:lang w:val="sr-Latn-ME"/>
        </w:rPr>
        <w:t>Tabela 7. Radiološke promjene tokom 12 mjeseci u RA ispitivanju III</w:t>
      </w:r>
    </w:p>
    <w:p w:rsidR="005D003D" w:rsidRPr="001B3E42" w:rsidRDefault="005D003D" w:rsidP="005D003D">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p>
    <w:tbl>
      <w:tblPr>
        <w:tblW w:w="9356" w:type="dxa"/>
        <w:tblInd w:w="250" w:type="dxa"/>
        <w:tblLayout w:type="fixed"/>
        <w:tblLook w:val="0000" w:firstRow="0" w:lastRow="0" w:firstColumn="0" w:lastColumn="0" w:noHBand="0" w:noVBand="0"/>
      </w:tblPr>
      <w:tblGrid>
        <w:gridCol w:w="2693"/>
        <w:gridCol w:w="1276"/>
        <w:gridCol w:w="1701"/>
        <w:gridCol w:w="2410"/>
        <w:gridCol w:w="1276"/>
      </w:tblGrid>
      <w:tr w:rsidR="005D003D" w:rsidRPr="001B3E42" w:rsidTr="005D003D">
        <w:trPr>
          <w:trHeight w:val="755"/>
        </w:trPr>
        <w:tc>
          <w:tcPr>
            <w:tcW w:w="2693"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2A19E8">
            <w:pPr>
              <w:pStyle w:val="Default"/>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Placebo/ MTX</w:t>
            </w:r>
            <w:r w:rsidRPr="001B3E42">
              <w:rPr>
                <w:rFonts w:ascii="Times New Roman" w:hAnsi="Times New Roman" w:cs="Times New Roman"/>
                <w:position w:val="8"/>
                <w:sz w:val="22"/>
                <w:szCs w:val="22"/>
                <w:vertAlign w:val="superscript"/>
                <w:lang w:val="sr-Latn-ME"/>
              </w:rPr>
              <w:t>a</w:t>
            </w:r>
          </w:p>
        </w:tc>
        <w:tc>
          <w:tcPr>
            <w:tcW w:w="1701" w:type="dxa"/>
            <w:tcBorders>
              <w:top w:val="single" w:sz="8" w:space="0" w:color="000000"/>
              <w:left w:val="single" w:sz="8" w:space="0" w:color="000000"/>
              <w:bottom w:val="single" w:sz="8" w:space="0" w:color="000000"/>
              <w:right w:val="single" w:sz="8" w:space="0" w:color="000000"/>
            </w:tcBorders>
          </w:tcPr>
          <w:p w:rsidR="005D003D" w:rsidRPr="001B3E42" w:rsidRDefault="005D003D" w:rsidP="002A19E8">
            <w:pPr>
              <w:pStyle w:val="Default"/>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Humira/MTX</w:t>
            </w:r>
          </w:p>
          <w:p w:rsidR="005D003D" w:rsidRPr="001B3E42" w:rsidRDefault="005D003D" w:rsidP="002A19E8">
            <w:pPr>
              <w:pStyle w:val="Default"/>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40 mg svake dvije </w:t>
            </w:r>
            <w:r w:rsidR="009065F5" w:rsidRPr="001B3E42">
              <w:rPr>
                <w:rFonts w:ascii="Times New Roman" w:hAnsi="Times New Roman" w:cs="Times New Roman"/>
                <w:sz w:val="22"/>
                <w:szCs w:val="22"/>
                <w:lang w:val="sr-Latn-ME"/>
              </w:rPr>
              <w:t>nedjelje</w:t>
            </w:r>
          </w:p>
        </w:tc>
        <w:tc>
          <w:tcPr>
            <w:tcW w:w="2410" w:type="dxa"/>
            <w:tcBorders>
              <w:top w:val="single" w:sz="8" w:space="0" w:color="000000"/>
              <w:left w:val="single" w:sz="8" w:space="0" w:color="000000"/>
              <w:bottom w:val="single" w:sz="8" w:space="0" w:color="000000"/>
              <w:right w:val="single" w:sz="8" w:space="0" w:color="000000"/>
            </w:tcBorders>
          </w:tcPr>
          <w:p w:rsidR="005D003D" w:rsidRPr="001B3E42" w:rsidRDefault="005D003D" w:rsidP="002A19E8">
            <w:pPr>
              <w:pStyle w:val="Default"/>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Placebo/MTX - Humira/MTX</w:t>
            </w:r>
          </w:p>
          <w:p w:rsidR="005D003D" w:rsidRPr="001B3E42" w:rsidRDefault="005D003D" w:rsidP="002A19E8">
            <w:pPr>
              <w:pStyle w:val="Default"/>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(95%-tni nivo pouzdanosti</w:t>
            </w:r>
            <w:r w:rsidRPr="001B3E42">
              <w:rPr>
                <w:rFonts w:ascii="Times New Roman" w:hAnsi="Times New Roman" w:cs="Times New Roman"/>
                <w:position w:val="8"/>
                <w:sz w:val="22"/>
                <w:szCs w:val="22"/>
                <w:vertAlign w:val="superscript"/>
                <w:lang w:val="sr-Latn-ME"/>
              </w:rPr>
              <w:t>b</w:t>
            </w:r>
            <w:r w:rsidRPr="001B3E42">
              <w:rPr>
                <w:rFonts w:ascii="Times New Roman" w:hAnsi="Times New Roman" w:cs="Times New Roman"/>
                <w:sz w:val="22"/>
                <w:szCs w:val="22"/>
                <w:lang w:val="sr-Latn-ME"/>
              </w:rPr>
              <w:t>)</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2A19E8">
            <w:pPr>
              <w:pStyle w:val="Default"/>
              <w:jc w:val="center"/>
              <w:rPr>
                <w:rFonts w:ascii="Times New Roman" w:hAnsi="Times New Roman" w:cs="Times New Roman"/>
                <w:sz w:val="22"/>
                <w:szCs w:val="22"/>
                <w:lang w:val="sr-Latn-ME"/>
              </w:rPr>
            </w:pPr>
            <w:r w:rsidRPr="001B3E42">
              <w:rPr>
                <w:rFonts w:ascii="Times New Roman" w:hAnsi="Times New Roman" w:cs="Times New Roman"/>
                <w:sz w:val="22"/>
                <w:szCs w:val="22"/>
                <w:lang w:val="sr-Latn-ME"/>
              </w:rPr>
              <w:t>p vrijednost</w:t>
            </w:r>
          </w:p>
        </w:tc>
      </w:tr>
      <w:tr w:rsidR="005D003D" w:rsidRPr="001B3E42" w:rsidTr="005D003D">
        <w:trPr>
          <w:trHeight w:val="526"/>
        </w:trPr>
        <w:tc>
          <w:tcPr>
            <w:tcW w:w="2693" w:type="dxa"/>
            <w:tcBorders>
              <w:top w:val="single" w:sz="8" w:space="0" w:color="000000"/>
              <w:left w:val="single" w:sz="8" w:space="0" w:color="000000"/>
              <w:bottom w:val="single" w:sz="8" w:space="0" w:color="000000"/>
              <w:right w:val="single" w:sz="8" w:space="0" w:color="000000"/>
            </w:tcBorders>
          </w:tcPr>
          <w:p w:rsidR="005D003D" w:rsidRPr="001B3E42" w:rsidRDefault="005161DC"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U</w:t>
            </w:r>
            <w:r w:rsidR="005D003D" w:rsidRPr="001B3E42">
              <w:rPr>
                <w:rFonts w:ascii="Times New Roman" w:hAnsi="Times New Roman" w:cs="Times New Roman"/>
                <w:sz w:val="22"/>
                <w:szCs w:val="22"/>
                <w:lang w:val="sr-Latn-ME"/>
              </w:rPr>
              <w:t xml:space="preserve">kupan zbir bodova po Sharpu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2,7 </w:t>
            </w:r>
          </w:p>
        </w:tc>
        <w:tc>
          <w:tcPr>
            <w:tcW w:w="1701"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0,1 </w:t>
            </w:r>
          </w:p>
        </w:tc>
        <w:tc>
          <w:tcPr>
            <w:tcW w:w="241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2,6 (1,4; 3,8)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&lt; 0,001</w:t>
            </w:r>
            <w:r w:rsidRPr="001B3E42">
              <w:rPr>
                <w:rFonts w:ascii="Times New Roman" w:hAnsi="Times New Roman" w:cs="Times New Roman"/>
                <w:position w:val="8"/>
                <w:sz w:val="22"/>
                <w:szCs w:val="22"/>
                <w:vertAlign w:val="superscript"/>
                <w:lang w:val="sr-Latn-ME"/>
              </w:rPr>
              <w:t>c</w:t>
            </w:r>
          </w:p>
        </w:tc>
      </w:tr>
      <w:tr w:rsidR="005D003D" w:rsidRPr="001B3E42" w:rsidTr="005D003D">
        <w:trPr>
          <w:trHeight w:val="267"/>
        </w:trPr>
        <w:tc>
          <w:tcPr>
            <w:tcW w:w="2693" w:type="dxa"/>
            <w:tcBorders>
              <w:top w:val="single" w:sz="8" w:space="0" w:color="000000"/>
              <w:left w:val="single" w:sz="8" w:space="0" w:color="000000"/>
              <w:bottom w:val="single" w:sz="8" w:space="0" w:color="000000"/>
              <w:right w:val="single" w:sz="8" w:space="0" w:color="000000"/>
            </w:tcBorders>
          </w:tcPr>
          <w:p w:rsidR="005D003D" w:rsidRPr="001B3E42" w:rsidRDefault="005161DC"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E</w:t>
            </w:r>
            <w:r w:rsidR="005D003D" w:rsidRPr="001B3E42">
              <w:rPr>
                <w:rFonts w:ascii="Times New Roman" w:hAnsi="Times New Roman" w:cs="Times New Roman"/>
                <w:sz w:val="22"/>
                <w:szCs w:val="22"/>
                <w:lang w:val="sr-Latn-ME"/>
              </w:rPr>
              <w:t xml:space="preserve">rozija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1,6 </w:t>
            </w:r>
          </w:p>
        </w:tc>
        <w:tc>
          <w:tcPr>
            <w:tcW w:w="1701"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0,0 </w:t>
            </w:r>
          </w:p>
        </w:tc>
        <w:tc>
          <w:tcPr>
            <w:tcW w:w="241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1,6 (0,9; 2,2)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&lt; 0,001 </w:t>
            </w:r>
          </w:p>
        </w:tc>
      </w:tr>
      <w:tr w:rsidR="005D003D" w:rsidRPr="001B3E42" w:rsidTr="005D003D">
        <w:trPr>
          <w:trHeight w:val="496"/>
        </w:trPr>
        <w:tc>
          <w:tcPr>
            <w:tcW w:w="2693"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JSN zbir</w:t>
            </w:r>
            <w:r w:rsidRPr="001B3E42">
              <w:rPr>
                <w:rFonts w:ascii="Times New Roman" w:hAnsi="Times New Roman" w:cs="Times New Roman"/>
                <w:sz w:val="22"/>
                <w:szCs w:val="22"/>
                <w:vertAlign w:val="superscript"/>
                <w:lang w:val="sr-Latn-ME"/>
              </w:rPr>
              <w:t>d</w:t>
            </w:r>
            <w:r w:rsidRPr="001B3E42">
              <w:rPr>
                <w:rFonts w:ascii="Times New Roman" w:hAnsi="Times New Roman" w:cs="Times New Roman"/>
                <w:sz w:val="22"/>
                <w:szCs w:val="22"/>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1,0 </w:t>
            </w:r>
          </w:p>
        </w:tc>
        <w:tc>
          <w:tcPr>
            <w:tcW w:w="1701"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0,1 </w:t>
            </w:r>
          </w:p>
        </w:tc>
        <w:tc>
          <w:tcPr>
            <w:tcW w:w="241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0,9 (0,3; 1,4) </w:t>
            </w:r>
          </w:p>
        </w:tc>
        <w:tc>
          <w:tcPr>
            <w:tcW w:w="127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0,002 </w:t>
            </w:r>
          </w:p>
        </w:tc>
      </w:tr>
    </w:tbl>
    <w:p w:rsidR="005D003D" w:rsidRPr="003428F0" w:rsidRDefault="005D003D" w:rsidP="005D003D">
      <w:pPr>
        <w:pStyle w:val="Default"/>
        <w:ind w:left="567" w:hanging="567"/>
        <w:jc w:val="both"/>
        <w:rPr>
          <w:rFonts w:ascii="Times New Roman" w:hAnsi="Times New Roman" w:cs="Times New Roman"/>
          <w:color w:val="auto"/>
          <w:sz w:val="20"/>
          <w:szCs w:val="20"/>
          <w:lang w:val="sr-Latn-ME"/>
        </w:rPr>
      </w:pPr>
      <w:r w:rsidRPr="003428F0">
        <w:rPr>
          <w:rFonts w:ascii="Times New Roman" w:hAnsi="Times New Roman" w:cs="Times New Roman"/>
          <w:color w:val="auto"/>
          <w:position w:val="8"/>
          <w:sz w:val="20"/>
          <w:szCs w:val="20"/>
          <w:vertAlign w:val="superscript"/>
          <w:lang w:val="sr-Latn-ME"/>
        </w:rPr>
        <w:t>a</w:t>
      </w:r>
      <w:r w:rsidRPr="003428F0">
        <w:rPr>
          <w:rFonts w:ascii="Times New Roman" w:hAnsi="Times New Roman" w:cs="Times New Roman"/>
          <w:color w:val="auto"/>
          <w:sz w:val="20"/>
          <w:szCs w:val="20"/>
          <w:lang w:val="sr-Latn-ME"/>
        </w:rPr>
        <w:t>metotreksat</w:t>
      </w:r>
    </w:p>
    <w:p w:rsidR="005D003D" w:rsidRPr="003428F0" w:rsidRDefault="005D003D" w:rsidP="005D003D">
      <w:pPr>
        <w:pStyle w:val="Default"/>
        <w:jc w:val="both"/>
        <w:rPr>
          <w:rFonts w:ascii="Times New Roman" w:hAnsi="Times New Roman" w:cs="Times New Roman"/>
          <w:color w:val="auto"/>
          <w:sz w:val="20"/>
          <w:szCs w:val="20"/>
          <w:lang w:val="sr-Latn-ME"/>
        </w:rPr>
      </w:pPr>
      <w:r w:rsidRPr="003428F0">
        <w:rPr>
          <w:rFonts w:ascii="Times New Roman" w:hAnsi="Times New Roman" w:cs="Times New Roman"/>
          <w:color w:val="auto"/>
          <w:position w:val="8"/>
          <w:sz w:val="20"/>
          <w:szCs w:val="20"/>
          <w:vertAlign w:val="superscript"/>
          <w:lang w:val="sr-Latn-ME"/>
        </w:rPr>
        <w:t>b</w:t>
      </w:r>
      <w:r w:rsidRPr="003428F0">
        <w:rPr>
          <w:rFonts w:ascii="Times New Roman" w:hAnsi="Times New Roman" w:cs="Times New Roman"/>
          <w:color w:val="auto"/>
          <w:sz w:val="20"/>
          <w:szCs w:val="20"/>
          <w:lang w:val="sr-Latn-ME"/>
        </w:rPr>
        <w:t xml:space="preserve">razlike između metotreksata i </w:t>
      </w:r>
      <w:r w:rsidR="00377FE9" w:rsidRPr="003428F0">
        <w:rPr>
          <w:rFonts w:ascii="Times New Roman" w:hAnsi="Times New Roman" w:cs="Times New Roman"/>
          <w:color w:val="auto"/>
          <w:sz w:val="20"/>
          <w:szCs w:val="20"/>
          <w:lang w:val="sr-Latn-ME"/>
        </w:rPr>
        <w:t xml:space="preserve">lijeka </w:t>
      </w:r>
      <w:r w:rsidRPr="003428F0">
        <w:rPr>
          <w:rFonts w:ascii="Times New Roman" w:hAnsi="Times New Roman" w:cs="Times New Roman"/>
          <w:color w:val="auto"/>
          <w:sz w:val="20"/>
          <w:szCs w:val="20"/>
          <w:lang w:val="sr-Latn-ME"/>
        </w:rPr>
        <w:t>Humir</w:t>
      </w:r>
      <w:r w:rsidR="00377FE9" w:rsidRPr="003428F0">
        <w:rPr>
          <w:rFonts w:ascii="Times New Roman" w:hAnsi="Times New Roman" w:cs="Times New Roman"/>
          <w:color w:val="auto"/>
          <w:sz w:val="20"/>
          <w:szCs w:val="20"/>
          <w:lang w:val="sr-Latn-ME"/>
        </w:rPr>
        <w:t>a</w:t>
      </w:r>
      <w:r w:rsidRPr="003428F0">
        <w:rPr>
          <w:rFonts w:ascii="Times New Roman" w:hAnsi="Times New Roman" w:cs="Times New Roman"/>
          <w:color w:val="auto"/>
          <w:sz w:val="20"/>
          <w:szCs w:val="20"/>
          <w:lang w:val="sr-Latn-ME"/>
        </w:rPr>
        <w:t xml:space="preserve"> s obzirom na promjene ukupnog zbira bodova na nivou pouzdanosti od 95 %</w:t>
      </w:r>
    </w:p>
    <w:p w:rsidR="005D003D" w:rsidRPr="003428F0" w:rsidRDefault="005D003D" w:rsidP="005D003D">
      <w:pPr>
        <w:pStyle w:val="Default"/>
        <w:ind w:left="567" w:hanging="567"/>
        <w:jc w:val="both"/>
        <w:rPr>
          <w:rFonts w:ascii="Times New Roman" w:hAnsi="Times New Roman" w:cs="Times New Roman"/>
          <w:color w:val="auto"/>
          <w:sz w:val="20"/>
          <w:szCs w:val="20"/>
          <w:lang w:val="sr-Latn-ME"/>
        </w:rPr>
      </w:pPr>
      <w:r w:rsidRPr="003428F0">
        <w:rPr>
          <w:rFonts w:ascii="Times New Roman" w:hAnsi="Times New Roman" w:cs="Times New Roman"/>
          <w:color w:val="auto"/>
          <w:position w:val="8"/>
          <w:sz w:val="20"/>
          <w:szCs w:val="20"/>
          <w:vertAlign w:val="superscript"/>
          <w:lang w:val="sr-Latn-ME"/>
        </w:rPr>
        <w:t>c</w:t>
      </w:r>
      <w:r w:rsidRPr="003428F0">
        <w:rPr>
          <w:rFonts w:ascii="Times New Roman" w:hAnsi="Times New Roman" w:cs="Times New Roman"/>
          <w:color w:val="auto"/>
          <w:sz w:val="20"/>
          <w:szCs w:val="20"/>
          <w:lang w:val="sr-Latn-ME"/>
        </w:rPr>
        <w:t>na osnovi analize ranga</w:t>
      </w:r>
    </w:p>
    <w:p w:rsidR="005D003D" w:rsidRPr="003428F0" w:rsidRDefault="005D003D" w:rsidP="005D003D">
      <w:pPr>
        <w:pStyle w:val="Default"/>
        <w:ind w:left="567" w:hanging="567"/>
        <w:jc w:val="both"/>
        <w:rPr>
          <w:rFonts w:ascii="Times New Roman" w:hAnsi="Times New Roman" w:cs="Times New Roman"/>
          <w:color w:val="auto"/>
          <w:sz w:val="20"/>
          <w:szCs w:val="20"/>
          <w:lang w:val="sr-Latn-ME"/>
        </w:rPr>
      </w:pPr>
      <w:r w:rsidRPr="003428F0">
        <w:rPr>
          <w:rFonts w:ascii="Times New Roman" w:hAnsi="Times New Roman" w:cs="Times New Roman"/>
          <w:sz w:val="20"/>
          <w:szCs w:val="20"/>
          <w:vertAlign w:val="superscript"/>
          <w:lang w:val="sr-Latn-ME"/>
        </w:rPr>
        <w:t xml:space="preserve">d </w:t>
      </w:r>
      <w:r w:rsidRPr="003428F0">
        <w:rPr>
          <w:rFonts w:ascii="Times New Roman" w:hAnsi="Times New Roman" w:cs="Times New Roman"/>
          <w:sz w:val="20"/>
          <w:szCs w:val="20"/>
          <w:lang w:val="sr-Latn-ME"/>
        </w:rPr>
        <w:t>suženje zglobnih prostora</w:t>
      </w:r>
    </w:p>
    <w:p w:rsidR="005D003D" w:rsidRPr="001B3E42" w:rsidRDefault="005D003D" w:rsidP="005D003D">
      <w:pPr>
        <w:pStyle w:val="Default"/>
        <w:ind w:left="567" w:hanging="567"/>
        <w:jc w:val="both"/>
        <w:rPr>
          <w:rFonts w:ascii="Times New Roman" w:hAnsi="Times New Roman" w:cs="Times New Roman"/>
          <w:color w:val="auto"/>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U  RA ispitivanju V, strukturno oštećenje zglobova procjenjivano je radiološki, a stepen oštećenja izražen je promjenom ukupnog zbira bodova po Sharpu (Tabela 8).</w:t>
      </w:r>
    </w:p>
    <w:p w:rsidR="00E34552" w:rsidRPr="001B3E42" w:rsidRDefault="005D003D" w:rsidP="002D7CE0">
      <w:pPr>
        <w:pStyle w:val="Default"/>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p>
    <w:p w:rsidR="00FD4048" w:rsidRPr="001B3E42" w:rsidRDefault="00FD4048" w:rsidP="002D7CE0">
      <w:pPr>
        <w:pStyle w:val="Default"/>
        <w:ind w:left="567" w:hanging="567"/>
        <w:jc w:val="both"/>
        <w:rPr>
          <w:rFonts w:ascii="Times New Roman" w:hAnsi="Times New Roman" w:cs="Times New Roman"/>
          <w:color w:val="auto"/>
          <w:sz w:val="22"/>
          <w:szCs w:val="22"/>
          <w:lang w:val="sr-Latn-ME"/>
        </w:rPr>
      </w:pPr>
    </w:p>
    <w:p w:rsidR="005D003D" w:rsidRPr="001B3E42" w:rsidRDefault="005D003D" w:rsidP="003428F0">
      <w:pPr>
        <w:pStyle w:val="Default"/>
        <w:ind w:left="567" w:hanging="567"/>
        <w:jc w:val="center"/>
        <w:rPr>
          <w:rFonts w:ascii="Times New Roman" w:hAnsi="Times New Roman" w:cs="Times New Roman"/>
          <w:color w:val="auto"/>
          <w:sz w:val="22"/>
          <w:szCs w:val="22"/>
          <w:lang w:val="sr-Latn-ME"/>
        </w:rPr>
      </w:pPr>
      <w:r w:rsidRPr="001B3E42">
        <w:rPr>
          <w:rFonts w:ascii="Times New Roman" w:hAnsi="Times New Roman" w:cs="Times New Roman"/>
          <w:b/>
          <w:bCs/>
          <w:color w:val="auto"/>
          <w:sz w:val="22"/>
          <w:szCs w:val="22"/>
          <w:lang w:val="sr-Latn-ME"/>
        </w:rPr>
        <w:lastRenderedPageBreak/>
        <w:t xml:space="preserve">Tabela 8. Radiološke promjene nakon 52 </w:t>
      </w:r>
      <w:r w:rsidR="009065F5" w:rsidRPr="001B3E42">
        <w:rPr>
          <w:rFonts w:ascii="Times New Roman" w:hAnsi="Times New Roman" w:cs="Times New Roman"/>
          <w:b/>
          <w:bCs/>
          <w:color w:val="auto"/>
          <w:sz w:val="22"/>
          <w:szCs w:val="22"/>
          <w:lang w:val="sr-Latn-ME"/>
        </w:rPr>
        <w:t>nedjelje</w:t>
      </w:r>
      <w:r w:rsidRPr="001B3E42">
        <w:rPr>
          <w:rFonts w:ascii="Times New Roman" w:hAnsi="Times New Roman" w:cs="Times New Roman"/>
          <w:b/>
          <w:bCs/>
          <w:color w:val="auto"/>
          <w:sz w:val="22"/>
          <w:szCs w:val="22"/>
          <w:lang w:val="sr-Latn-ME"/>
        </w:rPr>
        <w:t xml:space="preserve"> u RA ispitivanju V</w:t>
      </w:r>
      <w:r w:rsidRPr="001B3E42">
        <w:rPr>
          <w:rFonts w:ascii="Times New Roman" w:hAnsi="Times New Roman" w:cs="Times New Roman"/>
          <w:color w:val="auto"/>
          <w:sz w:val="22"/>
          <w:szCs w:val="22"/>
          <w:lang w:val="sr-Latn-ME"/>
        </w:rPr>
        <w:t xml:space="preserve"> </w:t>
      </w:r>
    </w:p>
    <w:tbl>
      <w:tblPr>
        <w:tblW w:w="0" w:type="auto"/>
        <w:tblInd w:w="-34" w:type="dxa"/>
        <w:tblLook w:val="0000" w:firstRow="0" w:lastRow="0" w:firstColumn="0" w:lastColumn="0" w:noHBand="0" w:noVBand="0"/>
      </w:tblPr>
      <w:tblGrid>
        <w:gridCol w:w="1641"/>
        <w:gridCol w:w="1708"/>
        <w:gridCol w:w="1708"/>
        <w:gridCol w:w="1785"/>
        <w:gridCol w:w="836"/>
        <w:gridCol w:w="821"/>
        <w:gridCol w:w="836"/>
      </w:tblGrid>
      <w:tr w:rsidR="005D003D" w:rsidRPr="001B3E42" w:rsidTr="005D003D">
        <w:trPr>
          <w:trHeight w:val="902"/>
        </w:trPr>
        <w:tc>
          <w:tcPr>
            <w:tcW w:w="164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567" w:hanging="567"/>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MTX </w:t>
            </w:r>
          </w:p>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n=257 </w:t>
            </w:r>
          </w:p>
          <w:p w:rsidR="005D003D" w:rsidRPr="001B3E42" w:rsidRDefault="005D003D" w:rsidP="002E69AE">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(95%-tni nivo pouzdanosti)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Humira </w:t>
            </w:r>
          </w:p>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n=274 </w:t>
            </w:r>
          </w:p>
          <w:p w:rsidR="005D003D" w:rsidRPr="001B3E42" w:rsidRDefault="005D003D" w:rsidP="002E69AE">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(95%-tni nivo pouzdanosti) </w:t>
            </w:r>
          </w:p>
        </w:tc>
        <w:tc>
          <w:tcPr>
            <w:tcW w:w="1785"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Humira/MTX </w:t>
            </w:r>
          </w:p>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n=268 </w:t>
            </w:r>
          </w:p>
          <w:p w:rsidR="005D003D" w:rsidRPr="001B3E42" w:rsidRDefault="005D003D" w:rsidP="002E69AE">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(95%-tni nivo pouzdanosti) </w:t>
            </w:r>
          </w:p>
        </w:tc>
        <w:tc>
          <w:tcPr>
            <w:tcW w:w="83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p</w:t>
            </w:r>
            <w:r w:rsidRPr="001B3E42">
              <w:rPr>
                <w:rFonts w:ascii="Times New Roman" w:hAnsi="Times New Roman" w:cs="Times New Roman"/>
                <w:b/>
                <w:bCs/>
                <w:position w:val="8"/>
                <w:sz w:val="22"/>
                <w:szCs w:val="22"/>
                <w:vertAlign w:val="superscript"/>
                <w:lang w:val="sr-Latn-ME"/>
              </w:rPr>
              <w:t>a</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p</w:t>
            </w:r>
            <w:r w:rsidRPr="001B3E42">
              <w:rPr>
                <w:rFonts w:ascii="Times New Roman" w:hAnsi="Times New Roman" w:cs="Times New Roman"/>
                <w:b/>
                <w:bCs/>
                <w:position w:val="8"/>
                <w:sz w:val="22"/>
                <w:szCs w:val="22"/>
                <w:vertAlign w:val="superscript"/>
                <w:lang w:val="sr-Latn-ME"/>
              </w:rPr>
              <w:t>b</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jc w:val="both"/>
              <w:rPr>
                <w:rFonts w:ascii="Times New Roman" w:hAnsi="Times New Roman" w:cs="Times New Roman"/>
                <w:sz w:val="22"/>
                <w:szCs w:val="22"/>
                <w:lang w:val="sr-Latn-ME"/>
              </w:rPr>
            </w:pPr>
            <w:r w:rsidRPr="001B3E42">
              <w:rPr>
                <w:rFonts w:ascii="Times New Roman" w:hAnsi="Times New Roman" w:cs="Times New Roman"/>
                <w:b/>
                <w:bCs/>
                <w:sz w:val="22"/>
                <w:szCs w:val="22"/>
                <w:lang w:val="sr-Latn-ME"/>
              </w:rPr>
              <w:t>p</w:t>
            </w:r>
            <w:r w:rsidRPr="001B3E42">
              <w:rPr>
                <w:rFonts w:ascii="Times New Roman" w:hAnsi="Times New Roman" w:cs="Times New Roman"/>
                <w:b/>
                <w:bCs/>
                <w:position w:val="8"/>
                <w:sz w:val="22"/>
                <w:szCs w:val="22"/>
                <w:vertAlign w:val="superscript"/>
                <w:lang w:val="sr-Latn-ME"/>
              </w:rPr>
              <w:t>c</w:t>
            </w:r>
          </w:p>
        </w:tc>
      </w:tr>
      <w:tr w:rsidR="005D003D" w:rsidRPr="001B3E42" w:rsidTr="005D003D">
        <w:trPr>
          <w:trHeight w:val="957"/>
        </w:trPr>
        <w:tc>
          <w:tcPr>
            <w:tcW w:w="164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ukupan zbir bodova po Sharpu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5,7 (4,2 – 7,3)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3,0 (1,7 – 4,3) </w:t>
            </w:r>
          </w:p>
        </w:tc>
        <w:tc>
          <w:tcPr>
            <w:tcW w:w="1785"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1,3 (0,5 – 2,1) </w:t>
            </w:r>
          </w:p>
        </w:tc>
        <w:tc>
          <w:tcPr>
            <w:tcW w:w="83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&lt;0,001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0,0020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21" w:firstLine="21"/>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&lt;0,001 </w:t>
            </w:r>
          </w:p>
        </w:tc>
      </w:tr>
      <w:tr w:rsidR="005D003D" w:rsidRPr="001B3E42" w:rsidTr="005D003D">
        <w:trPr>
          <w:trHeight w:val="278"/>
        </w:trPr>
        <w:tc>
          <w:tcPr>
            <w:tcW w:w="164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erozija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3,7 (2,7 – 4,7)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1,7 (1,0 – 2,4) </w:t>
            </w:r>
          </w:p>
        </w:tc>
        <w:tc>
          <w:tcPr>
            <w:tcW w:w="1785"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0,8 (0,4 – 1,2) </w:t>
            </w:r>
          </w:p>
        </w:tc>
        <w:tc>
          <w:tcPr>
            <w:tcW w:w="83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&lt;0,001</w:t>
            </w:r>
            <w:r w:rsidRPr="001B3E42">
              <w:rPr>
                <w:rFonts w:ascii="Times New Roman" w:hAnsi="Times New Roman" w:cs="Times New Roman"/>
                <w:b/>
                <w:bCs/>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0,0082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&lt;0,001 </w:t>
            </w:r>
          </w:p>
        </w:tc>
      </w:tr>
      <w:tr w:rsidR="005D003D" w:rsidRPr="001B3E42" w:rsidTr="005D003D">
        <w:trPr>
          <w:trHeight w:val="727"/>
        </w:trPr>
        <w:tc>
          <w:tcPr>
            <w:tcW w:w="1640"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JSN zbir</w:t>
            </w:r>
            <w:r w:rsidRPr="001B3E42">
              <w:rPr>
                <w:rFonts w:ascii="Times New Roman" w:hAnsi="Times New Roman" w:cs="Times New Roman"/>
                <w:sz w:val="22"/>
                <w:szCs w:val="22"/>
                <w:vertAlign w:val="superscript"/>
                <w:lang w:val="sr-Latn-ME"/>
              </w:rPr>
              <w:t>d</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2,0 (1,2 – 2,8)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1,3 (0,5 – 2,1) </w:t>
            </w:r>
          </w:p>
        </w:tc>
        <w:tc>
          <w:tcPr>
            <w:tcW w:w="1785"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0,5 (0 – 1,0) </w:t>
            </w:r>
          </w:p>
        </w:tc>
        <w:tc>
          <w:tcPr>
            <w:tcW w:w="836" w:type="dxa"/>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&lt;0,001</w:t>
            </w:r>
            <w:r w:rsidRPr="001B3E42">
              <w:rPr>
                <w:rFonts w:ascii="Times New Roman" w:hAnsi="Times New Roman" w:cs="Times New Roman"/>
                <w:b/>
                <w:bCs/>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0,0037 </w:t>
            </w:r>
          </w:p>
        </w:tc>
        <w:tc>
          <w:tcPr>
            <w:tcW w:w="0" w:type="auto"/>
            <w:tcBorders>
              <w:top w:val="single" w:sz="8" w:space="0" w:color="000000"/>
              <w:left w:val="single" w:sz="8" w:space="0" w:color="000000"/>
              <w:bottom w:val="single" w:sz="8" w:space="0" w:color="000000"/>
              <w:right w:val="single" w:sz="8" w:space="0" w:color="000000"/>
            </w:tcBorders>
          </w:tcPr>
          <w:p w:rsidR="005D003D" w:rsidRPr="001B3E42" w:rsidRDefault="005D003D" w:rsidP="005D003D">
            <w:pPr>
              <w:pStyle w:val="Default"/>
              <w:ind w:left="34" w:hanging="34"/>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0,151 </w:t>
            </w:r>
          </w:p>
        </w:tc>
      </w:tr>
    </w:tbl>
    <w:p w:rsidR="005D003D" w:rsidRPr="001B3E42" w:rsidRDefault="005D003D" w:rsidP="005D003D">
      <w:pPr>
        <w:pStyle w:val="Default"/>
        <w:jc w:val="both"/>
        <w:rPr>
          <w:rFonts w:ascii="Times New Roman" w:hAnsi="Times New Roman" w:cs="Times New Roman"/>
          <w:color w:val="auto"/>
          <w:position w:val="8"/>
          <w:sz w:val="22"/>
          <w:szCs w:val="22"/>
          <w:vertAlign w:val="superscript"/>
          <w:lang w:val="sr-Latn-ME"/>
        </w:rPr>
      </w:pPr>
    </w:p>
    <w:p w:rsidR="005D003D" w:rsidRPr="001B3E42" w:rsidRDefault="005D003D" w:rsidP="005D003D">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color w:val="auto"/>
          <w:sz w:val="22"/>
          <w:szCs w:val="22"/>
          <w:lang w:val="sr-Latn-ME"/>
        </w:rPr>
      </w:pPr>
      <w:r w:rsidRPr="001B3E42">
        <w:rPr>
          <w:rFonts w:ascii="Times New Roman" w:hAnsi="Times New Roman" w:cs="Times New Roman"/>
          <w:color w:val="auto"/>
          <w:position w:val="8"/>
          <w:sz w:val="22"/>
          <w:szCs w:val="22"/>
          <w:vertAlign w:val="superscript"/>
          <w:lang w:val="sr-Latn-ME"/>
        </w:rPr>
        <w:t>a</w:t>
      </w:r>
      <w:r w:rsidR="00E34552" w:rsidRPr="001B3E42">
        <w:rPr>
          <w:rFonts w:ascii="Times New Roman" w:hAnsi="Times New Roman" w:cs="Times New Roman"/>
          <w:color w:val="auto"/>
          <w:sz w:val="22"/>
          <w:szCs w:val="22"/>
          <w:lang w:val="sr-Latn-ME"/>
        </w:rPr>
        <w:t>p vrijednost dobij</w:t>
      </w:r>
      <w:r w:rsidRPr="001B3E42">
        <w:rPr>
          <w:rFonts w:ascii="Times New Roman" w:hAnsi="Times New Roman" w:cs="Times New Roman"/>
          <w:color w:val="auto"/>
          <w:sz w:val="22"/>
          <w:szCs w:val="22"/>
          <w:lang w:val="sr-Latn-ME"/>
        </w:rPr>
        <w:t xml:space="preserve">ena poređenjem monoterapije metotreksatom i kombinovane 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metotreksatom uz primjenu Mann-Whitney U testa</w:t>
      </w:r>
    </w:p>
    <w:p w:rsidR="005D003D" w:rsidRPr="001B3E42" w:rsidRDefault="005D003D" w:rsidP="005D003D">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color w:val="auto"/>
          <w:sz w:val="22"/>
          <w:szCs w:val="22"/>
          <w:lang w:val="sr-Latn-ME"/>
        </w:rPr>
      </w:pPr>
      <w:r w:rsidRPr="001B3E42">
        <w:rPr>
          <w:rFonts w:ascii="Times New Roman" w:hAnsi="Times New Roman" w:cs="Times New Roman"/>
          <w:color w:val="auto"/>
          <w:position w:val="8"/>
          <w:sz w:val="22"/>
          <w:szCs w:val="22"/>
          <w:vertAlign w:val="superscript"/>
          <w:lang w:val="sr-Latn-ME"/>
        </w:rPr>
        <w:t>b</w:t>
      </w:r>
      <w:r w:rsidR="00E34552" w:rsidRPr="001B3E42">
        <w:rPr>
          <w:rFonts w:ascii="Times New Roman" w:hAnsi="Times New Roman" w:cs="Times New Roman"/>
          <w:color w:val="auto"/>
          <w:sz w:val="22"/>
          <w:szCs w:val="22"/>
          <w:lang w:val="sr-Latn-ME"/>
        </w:rPr>
        <w:t>p vrijednost dobij</w:t>
      </w:r>
      <w:r w:rsidRPr="001B3E42">
        <w:rPr>
          <w:rFonts w:ascii="Times New Roman" w:hAnsi="Times New Roman" w:cs="Times New Roman"/>
          <w:color w:val="auto"/>
          <w:sz w:val="22"/>
          <w:szCs w:val="22"/>
          <w:lang w:val="sr-Latn-ME"/>
        </w:rPr>
        <w:t xml:space="preserve">ena poređenjem monoterapije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kombinovane 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metotreksatom uz primjenu Mann-Whitney U testa</w:t>
      </w:r>
    </w:p>
    <w:p w:rsidR="005D003D" w:rsidRPr="001B3E42" w:rsidRDefault="005D003D" w:rsidP="005D003D">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color w:val="auto"/>
          <w:sz w:val="22"/>
          <w:szCs w:val="22"/>
          <w:lang w:val="sr-Latn-ME"/>
        </w:rPr>
      </w:pPr>
      <w:r w:rsidRPr="001B3E42">
        <w:rPr>
          <w:rFonts w:ascii="Times New Roman" w:hAnsi="Times New Roman" w:cs="Times New Roman"/>
          <w:color w:val="auto"/>
          <w:position w:val="8"/>
          <w:sz w:val="22"/>
          <w:szCs w:val="22"/>
          <w:vertAlign w:val="superscript"/>
          <w:lang w:val="sr-Latn-ME"/>
        </w:rPr>
        <w:t>c</w:t>
      </w:r>
      <w:r w:rsidR="00E34552" w:rsidRPr="001B3E42">
        <w:rPr>
          <w:rFonts w:ascii="Times New Roman" w:hAnsi="Times New Roman" w:cs="Times New Roman"/>
          <w:color w:val="auto"/>
          <w:sz w:val="22"/>
          <w:szCs w:val="22"/>
          <w:lang w:val="sr-Latn-ME"/>
        </w:rPr>
        <w:t>p vrijednost dobij</w:t>
      </w:r>
      <w:r w:rsidRPr="001B3E42">
        <w:rPr>
          <w:rFonts w:ascii="Times New Roman" w:hAnsi="Times New Roman" w:cs="Times New Roman"/>
          <w:color w:val="auto"/>
          <w:sz w:val="22"/>
          <w:szCs w:val="22"/>
          <w:lang w:val="sr-Latn-ME"/>
        </w:rPr>
        <w:t xml:space="preserve">ena poređenjem monoterapije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monoterapije metotreksatom uz primjenu Mann-Whitney U testa</w:t>
      </w:r>
    </w:p>
    <w:p w:rsidR="005D003D" w:rsidRPr="001B3E42" w:rsidRDefault="005D003D" w:rsidP="005D003D">
      <w:pPr>
        <w:pStyle w:val="Defaul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color w:val="auto"/>
          <w:sz w:val="22"/>
          <w:szCs w:val="22"/>
          <w:lang w:val="sr-Latn-ME"/>
        </w:rPr>
      </w:pPr>
      <w:r w:rsidRPr="001B3E42">
        <w:rPr>
          <w:rFonts w:ascii="Times New Roman" w:hAnsi="Times New Roman" w:cs="Times New Roman"/>
          <w:sz w:val="22"/>
          <w:szCs w:val="22"/>
          <w:vertAlign w:val="superscript"/>
          <w:lang w:val="sr-Latn-ME"/>
        </w:rPr>
        <w:t xml:space="preserve">d </w:t>
      </w:r>
      <w:r w:rsidRPr="001B3E42">
        <w:rPr>
          <w:rFonts w:ascii="Times New Roman" w:hAnsi="Times New Roman" w:cs="Times New Roman"/>
          <w:sz w:val="22"/>
          <w:szCs w:val="22"/>
          <w:lang w:val="sr-Latn-ME"/>
        </w:rPr>
        <w:t>suženje zglobnih prostora</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Nakon 52 i 104 </w:t>
      </w:r>
      <w:r w:rsidR="009065F5" w:rsidRPr="001B3E42">
        <w:rPr>
          <w:rFonts w:ascii="Times New Roman" w:hAnsi="Times New Roman" w:cs="Times New Roman"/>
          <w:color w:val="auto"/>
          <w:sz w:val="22"/>
          <w:szCs w:val="22"/>
          <w:lang w:val="sr-Latn-ME"/>
        </w:rPr>
        <w:t>nedjelje</w:t>
      </w:r>
      <w:r w:rsidR="001E4AB9" w:rsidRPr="001B3E42">
        <w:rPr>
          <w:rFonts w:ascii="Times New Roman" w:hAnsi="Times New Roman" w:cs="Times New Roman"/>
          <w:color w:val="auto"/>
          <w:sz w:val="22"/>
          <w:szCs w:val="22"/>
          <w:lang w:val="sr-Latn-ME"/>
        </w:rPr>
        <w:t xml:space="preserve"> liječenja </w:t>
      </w:r>
      <w:r w:rsidR="00A762EB" w:rsidRPr="001B3E42">
        <w:rPr>
          <w:rFonts w:ascii="Times New Roman" w:hAnsi="Times New Roman" w:cs="Times New Roman"/>
          <w:color w:val="auto"/>
          <w:sz w:val="22"/>
          <w:szCs w:val="22"/>
          <w:lang w:val="sr-Latn-ME"/>
        </w:rPr>
        <w:t>procenat</w:t>
      </w:r>
      <w:r w:rsidR="001E4AB9" w:rsidRPr="001B3E42">
        <w:rPr>
          <w:rFonts w:ascii="Times New Roman" w:hAnsi="Times New Roman" w:cs="Times New Roman"/>
          <w:color w:val="auto"/>
          <w:sz w:val="22"/>
          <w:szCs w:val="22"/>
          <w:lang w:val="sr-Latn-ME"/>
        </w:rPr>
        <w:t xml:space="preserve"> pacijenata</w:t>
      </w:r>
      <w:r w:rsidRPr="001B3E42">
        <w:rPr>
          <w:rFonts w:ascii="Times New Roman" w:hAnsi="Times New Roman" w:cs="Times New Roman"/>
          <w:color w:val="auto"/>
          <w:sz w:val="22"/>
          <w:szCs w:val="22"/>
          <w:lang w:val="sr-Latn-ME"/>
        </w:rPr>
        <w:t xml:space="preserve"> bez znakova napredovanja bolesti (promjena ukupnog zbira bodova po Sharpu ≤ 0,5) bio je značajno veći u grupi liječenoj kombinacijom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metotreksata (63,8 % i 61,2 %) u poređenju sa grupom koja je </w:t>
      </w:r>
      <w:r w:rsidR="00A762EB" w:rsidRPr="001B3E42">
        <w:rPr>
          <w:rFonts w:ascii="Times New Roman" w:hAnsi="Times New Roman" w:cs="Times New Roman"/>
          <w:color w:val="auto"/>
          <w:sz w:val="22"/>
          <w:szCs w:val="22"/>
          <w:lang w:val="sr-Latn-ME"/>
        </w:rPr>
        <w:t>dobijala</w:t>
      </w:r>
      <w:r w:rsidRPr="001B3E42">
        <w:rPr>
          <w:rFonts w:ascii="Times New Roman" w:hAnsi="Times New Roman" w:cs="Times New Roman"/>
          <w:color w:val="auto"/>
          <w:sz w:val="22"/>
          <w:szCs w:val="22"/>
          <w:lang w:val="sr-Latn-ME"/>
        </w:rPr>
        <w:t xml:space="preserve"> monoterapiju metotreksatom (37,4 % i 33,5 %, p &lt; 0,001), odnosno monoterapiju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(50,7 %, p &lt; 0,002 odnosno 44,5 %, p &lt; 0,001).</w:t>
      </w: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 </w:t>
      </w:r>
    </w:p>
    <w:p w:rsidR="005D003D" w:rsidRPr="001B3E42" w:rsidRDefault="005D003D" w:rsidP="005D003D">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Kvalitet života i funkcionalna sposobnost</w:t>
      </w:r>
    </w:p>
    <w:p w:rsidR="005D003D" w:rsidRPr="001B3E42" w:rsidRDefault="005D003D" w:rsidP="001E4AB9">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Kvalitet života koja zavisi od zdravstvenog stanja i funkcionalna sposobnost ocjenjivane su pomoću indeksa funkcionalne nesposobnosti Upitnika za ocjenu zdravstvenog stanja (</w:t>
      </w:r>
      <w:r w:rsidRPr="001B3E42">
        <w:rPr>
          <w:rFonts w:ascii="Times New Roman" w:hAnsi="Times New Roman" w:cs="Times New Roman"/>
          <w:i/>
          <w:color w:val="auto"/>
          <w:sz w:val="22"/>
          <w:szCs w:val="22"/>
          <w:lang w:val="sr-Latn-ME"/>
        </w:rPr>
        <w:t>Health Assessment Questionnaire</w:t>
      </w:r>
      <w:r w:rsidRPr="001B3E42">
        <w:rPr>
          <w:rFonts w:ascii="Times New Roman" w:hAnsi="Times New Roman" w:cs="Times New Roman"/>
          <w:color w:val="auto"/>
          <w:sz w:val="22"/>
          <w:szCs w:val="22"/>
          <w:lang w:val="sr-Latn-ME"/>
        </w:rPr>
        <w:t xml:space="preserve"> – HAQ) u sva četiri kontrolisana klinička ispitiv</w:t>
      </w:r>
      <w:r w:rsidR="00E34552" w:rsidRPr="001B3E42">
        <w:rPr>
          <w:rFonts w:ascii="Times New Roman" w:hAnsi="Times New Roman" w:cs="Times New Roman"/>
          <w:color w:val="auto"/>
          <w:sz w:val="22"/>
          <w:szCs w:val="22"/>
          <w:lang w:val="sr-Latn-ME"/>
        </w:rPr>
        <w:t>anja, a to je bi</w:t>
      </w:r>
      <w:r w:rsidR="00B559D5" w:rsidRPr="001B3E42">
        <w:rPr>
          <w:rFonts w:ascii="Times New Roman" w:hAnsi="Times New Roman" w:cs="Times New Roman"/>
          <w:color w:val="auto"/>
          <w:sz w:val="22"/>
          <w:szCs w:val="22"/>
          <w:lang w:val="sr-Latn-ME"/>
        </w:rPr>
        <w:t>o</w:t>
      </w:r>
      <w:r w:rsidR="00A762EB" w:rsidRPr="001B3E42">
        <w:rPr>
          <w:rFonts w:ascii="Times New Roman" w:hAnsi="Times New Roman" w:cs="Times New Roman"/>
          <w:color w:val="auto"/>
          <w:sz w:val="22"/>
          <w:szCs w:val="22"/>
          <w:lang w:val="sr-Latn-ME"/>
        </w:rPr>
        <w:t xml:space="preserve"> i postavljen primarni cilj</w:t>
      </w:r>
      <w:r w:rsidRPr="001B3E42">
        <w:rPr>
          <w:rFonts w:ascii="Times New Roman" w:hAnsi="Times New Roman" w:cs="Times New Roman"/>
          <w:color w:val="auto"/>
          <w:sz w:val="22"/>
          <w:szCs w:val="22"/>
          <w:lang w:val="sr-Latn-ME"/>
        </w:rPr>
        <w:t xml:space="preserve"> ocjenjivanja nakon 52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liječenja u RA ispitivanju III. Nakon 6 mjeseci praćenja u sva četiri ispitivanja zabilježeno je statistički značajno veće poboljšanje indeksa funkcionalne nesposobnosti HAQ s obzirom na početne vrijednosti </w:t>
      </w:r>
      <w:r w:rsidR="001E4AB9" w:rsidRPr="001B3E42">
        <w:rPr>
          <w:rFonts w:ascii="Times New Roman" w:hAnsi="Times New Roman" w:cs="Times New Roman"/>
          <w:color w:val="auto"/>
          <w:sz w:val="22"/>
          <w:szCs w:val="22"/>
          <w:lang w:val="sr-Latn-ME"/>
        </w:rPr>
        <w:t>kod pacijenata</w:t>
      </w:r>
      <w:r w:rsidRPr="001B3E42">
        <w:rPr>
          <w:rFonts w:ascii="Times New Roman" w:hAnsi="Times New Roman" w:cs="Times New Roman"/>
          <w:color w:val="auto"/>
          <w:sz w:val="22"/>
          <w:szCs w:val="22"/>
          <w:lang w:val="sr-Latn-ME"/>
        </w:rPr>
        <w:t xml:space="preserve"> liječenih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pri svim dozama/režimima davanja nego kod placeba, a identičan je nalaz nađen nakon 52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(tj. 12 mjeseci) u RA isp</w:t>
      </w:r>
      <w:r w:rsidR="00E34552" w:rsidRPr="001B3E42">
        <w:rPr>
          <w:rFonts w:ascii="Times New Roman" w:hAnsi="Times New Roman" w:cs="Times New Roman"/>
          <w:color w:val="auto"/>
          <w:sz w:val="22"/>
          <w:szCs w:val="22"/>
          <w:lang w:val="sr-Latn-ME"/>
        </w:rPr>
        <w:t>itivanju III. Rezultati Kratke Zdravstvene A</w:t>
      </w:r>
      <w:r w:rsidRPr="001B3E42">
        <w:rPr>
          <w:rFonts w:ascii="Times New Roman" w:hAnsi="Times New Roman" w:cs="Times New Roman"/>
          <w:color w:val="auto"/>
          <w:sz w:val="22"/>
          <w:szCs w:val="22"/>
          <w:lang w:val="sr-Latn-ME"/>
        </w:rPr>
        <w:t>nkete (</w:t>
      </w:r>
      <w:r w:rsidRPr="001B3E42">
        <w:rPr>
          <w:rFonts w:ascii="Times New Roman" w:hAnsi="Times New Roman" w:cs="Times New Roman"/>
          <w:i/>
          <w:color w:val="auto"/>
          <w:sz w:val="22"/>
          <w:szCs w:val="22"/>
          <w:lang w:val="sr-Latn-ME"/>
        </w:rPr>
        <w:t>Short Form Health Survey</w:t>
      </w:r>
      <w:r w:rsidRPr="001B3E42">
        <w:rPr>
          <w:rFonts w:ascii="Times New Roman" w:hAnsi="Times New Roman" w:cs="Times New Roman"/>
          <w:color w:val="auto"/>
          <w:sz w:val="22"/>
          <w:szCs w:val="22"/>
          <w:lang w:val="sr-Latn-ME"/>
        </w:rPr>
        <w:t xml:space="preserve"> – SF 36) podupiru te nalaze za sve doze/režime davanja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u sva četiri ispitivanja sa statistički značajno boljim vrijednostima funkcionalne komponente (PCS) te statistički značajno boljom ocjenom boli i vitalnosti pri dozi od 40 mg svake druge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Statistički značajno smanjenje umora prema funkcionalnoj procjeni terapije hroničnih bolesti (FACIT) zabilježeno je u sva tri ispitivanja u kojima je taj parametar ispitivan (RA I, III, IV).</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 xml:space="preserve">U RA ispitivanju III, poboljšanje funkcionalne sposobnosti održalo se tokom 520 </w:t>
      </w:r>
      <w:r w:rsidR="009065F5" w:rsidRPr="001B3E42">
        <w:rPr>
          <w:rFonts w:ascii="Times New Roman" w:hAnsi="Times New Roman" w:cs="Times New Roman"/>
          <w:color w:val="auto"/>
          <w:sz w:val="22"/>
          <w:szCs w:val="22"/>
          <w:lang w:val="sr-Latn-ME"/>
        </w:rPr>
        <w:t>nedjelja</w:t>
      </w:r>
      <w:r w:rsidRPr="001B3E42">
        <w:rPr>
          <w:rFonts w:ascii="Times New Roman" w:hAnsi="Times New Roman" w:cs="Times New Roman"/>
          <w:color w:val="auto"/>
          <w:sz w:val="22"/>
          <w:szCs w:val="22"/>
          <w:lang w:val="sr-Latn-ME"/>
        </w:rPr>
        <w:t xml:space="preserve"> (120 mjeseci) otvorenog liječenja. Poboljšanje kva</w:t>
      </w:r>
      <w:r w:rsidR="00BB6AE8" w:rsidRPr="001B3E42">
        <w:rPr>
          <w:rFonts w:ascii="Times New Roman" w:hAnsi="Times New Roman" w:cs="Times New Roman"/>
          <w:color w:val="auto"/>
          <w:sz w:val="22"/>
          <w:szCs w:val="22"/>
          <w:lang w:val="sr-Latn-ME"/>
        </w:rPr>
        <w:t>liteta života mjereno je do 156</w:t>
      </w:r>
      <w:r w:rsidRPr="001B3E42">
        <w:rPr>
          <w:rFonts w:ascii="Times New Roman" w:hAnsi="Times New Roman" w:cs="Times New Roman"/>
          <w:color w:val="auto"/>
          <w:sz w:val="22"/>
          <w:szCs w:val="22"/>
          <w:lang w:val="sr-Latn-ME"/>
        </w:rPr>
        <w:t xml:space="preserve">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(36 mjeseci) i poboljšanje se održalo tokom tog perioda.</w:t>
      </w:r>
    </w:p>
    <w:p w:rsidR="00E34552"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lastRenderedPageBreak/>
        <w:t xml:space="preserve">U RA ispitivanju V, poboljšanje indeksa funkcionalne nesposobnosti HAQ i funkcionalne komponente SF 36 nakon 52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bilo je značajno bolje </w:t>
      </w:r>
      <w:r w:rsidR="001E4AB9" w:rsidRPr="001B3E42">
        <w:rPr>
          <w:rFonts w:ascii="Times New Roman" w:hAnsi="Times New Roman" w:cs="Times New Roman"/>
          <w:color w:val="auto"/>
          <w:sz w:val="22"/>
          <w:szCs w:val="22"/>
          <w:lang w:val="sr-Latn-ME"/>
        </w:rPr>
        <w:t>kod pacijenata</w:t>
      </w:r>
      <w:r w:rsidRPr="001B3E42">
        <w:rPr>
          <w:rFonts w:ascii="Times New Roman" w:hAnsi="Times New Roman" w:cs="Times New Roman"/>
          <w:color w:val="auto"/>
          <w:sz w:val="22"/>
          <w:szCs w:val="22"/>
          <w:lang w:val="sr-Latn-ME"/>
        </w:rPr>
        <w:t xml:space="preserve"> liječenih kombinacijom </w:t>
      </w:r>
      <w:r w:rsidR="00377FE9"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color w:val="auto"/>
          <w:sz w:val="22"/>
          <w:szCs w:val="22"/>
          <w:lang w:val="sr-Latn-ME"/>
        </w:rPr>
        <w:t>Humir</w:t>
      </w:r>
      <w:r w:rsidR="00377FE9"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metotreksata (p &lt; 0,001) u poređenju sa </w:t>
      </w:r>
      <w:r w:rsidR="001E4AB9" w:rsidRPr="001B3E42">
        <w:rPr>
          <w:rFonts w:ascii="Times New Roman" w:hAnsi="Times New Roman" w:cs="Times New Roman"/>
          <w:color w:val="auto"/>
          <w:sz w:val="22"/>
          <w:szCs w:val="22"/>
          <w:lang w:val="sr-Latn-ME"/>
        </w:rPr>
        <w:t>pacijenatima</w:t>
      </w:r>
      <w:r w:rsidR="00E34552" w:rsidRPr="001B3E42">
        <w:rPr>
          <w:rFonts w:ascii="Times New Roman" w:hAnsi="Times New Roman" w:cs="Times New Roman"/>
          <w:color w:val="auto"/>
          <w:sz w:val="22"/>
          <w:szCs w:val="22"/>
          <w:lang w:val="sr-Latn-ME"/>
        </w:rPr>
        <w:t xml:space="preserve"> </w:t>
      </w:r>
      <w:r w:rsidR="001E4AB9" w:rsidRPr="001B3E42">
        <w:rPr>
          <w:rFonts w:ascii="Times New Roman" w:hAnsi="Times New Roman" w:cs="Times New Roman"/>
          <w:color w:val="auto"/>
          <w:sz w:val="22"/>
          <w:szCs w:val="22"/>
          <w:lang w:val="sr-Latn-ME"/>
        </w:rPr>
        <w:t>koji su dobij</w:t>
      </w:r>
      <w:r w:rsidRPr="001B3E42">
        <w:rPr>
          <w:rFonts w:ascii="Times New Roman" w:hAnsi="Times New Roman" w:cs="Times New Roman"/>
          <w:color w:val="auto"/>
          <w:sz w:val="22"/>
          <w:szCs w:val="22"/>
          <w:lang w:val="sr-Latn-ME"/>
        </w:rPr>
        <w:t xml:space="preserve">ali monoterapiju metotreksatom, odnosno </w:t>
      </w:r>
      <w:r w:rsidR="00AC4C8C" w:rsidRPr="001B3E42">
        <w:rPr>
          <w:rFonts w:ascii="Times New Roman" w:hAnsi="Times New Roman" w:cs="Times New Roman"/>
          <w:color w:val="auto"/>
          <w:sz w:val="22"/>
          <w:szCs w:val="22"/>
          <w:lang w:val="sr-Latn-ME"/>
        </w:rPr>
        <w:t xml:space="preserve">lijekom </w:t>
      </w:r>
      <w:r w:rsidRPr="001B3E42">
        <w:rPr>
          <w:rFonts w:ascii="Times New Roman" w:hAnsi="Times New Roman" w:cs="Times New Roman"/>
          <w:color w:val="auto"/>
          <w:sz w:val="22"/>
          <w:szCs w:val="22"/>
          <w:lang w:val="sr-Latn-ME"/>
        </w:rPr>
        <w:t>Humir</w:t>
      </w:r>
      <w:r w:rsidR="00AC4C8C" w:rsidRPr="001B3E42">
        <w:rPr>
          <w:rFonts w:ascii="Times New Roman" w:hAnsi="Times New Roman" w:cs="Times New Roman"/>
          <w:color w:val="auto"/>
          <w:sz w:val="22"/>
          <w:szCs w:val="22"/>
          <w:lang w:val="sr-Latn-ME"/>
        </w:rPr>
        <w:t>a</w:t>
      </w:r>
      <w:r w:rsidRPr="001B3E42">
        <w:rPr>
          <w:rFonts w:ascii="Times New Roman" w:hAnsi="Times New Roman" w:cs="Times New Roman"/>
          <w:color w:val="auto"/>
          <w:sz w:val="22"/>
          <w:szCs w:val="22"/>
          <w:lang w:val="sr-Latn-ME"/>
        </w:rPr>
        <w:t xml:space="preserve"> i to se poboljšanje održalo tokom 104 </w:t>
      </w:r>
      <w:r w:rsidR="009065F5" w:rsidRPr="001B3E42">
        <w:rPr>
          <w:rFonts w:ascii="Times New Roman" w:hAnsi="Times New Roman" w:cs="Times New Roman"/>
          <w:color w:val="auto"/>
          <w:sz w:val="22"/>
          <w:szCs w:val="22"/>
          <w:lang w:val="sr-Latn-ME"/>
        </w:rPr>
        <w:t>nedjelje</w:t>
      </w:r>
      <w:r w:rsidRPr="001B3E42">
        <w:rPr>
          <w:rFonts w:ascii="Times New Roman" w:hAnsi="Times New Roman" w:cs="Times New Roman"/>
          <w:color w:val="auto"/>
          <w:sz w:val="22"/>
          <w:szCs w:val="22"/>
          <w:lang w:val="sr-Latn-ME"/>
        </w:rPr>
        <w:t xml:space="preserve"> liječenja.</w:t>
      </w:r>
    </w:p>
    <w:p w:rsidR="00E34552" w:rsidRPr="001B3E42" w:rsidRDefault="00E34552" w:rsidP="005D003D">
      <w:pPr>
        <w:pStyle w:val="Default"/>
        <w:jc w:val="both"/>
        <w:rPr>
          <w:rFonts w:ascii="Times New Roman" w:hAnsi="Times New Roman" w:cs="Times New Roman"/>
          <w:color w:val="auto"/>
          <w:sz w:val="22"/>
          <w:szCs w:val="22"/>
          <w:lang w:val="sr-Latn-ME"/>
        </w:rPr>
      </w:pPr>
    </w:p>
    <w:p w:rsidR="005D003D" w:rsidRPr="001B3E42" w:rsidRDefault="005D003D" w:rsidP="005D003D">
      <w:pPr>
        <w:pStyle w:val="Default"/>
        <w:jc w:val="both"/>
        <w:rPr>
          <w:rFonts w:ascii="Times New Roman" w:hAnsi="Times New Roman" w:cs="Times New Roman"/>
          <w:i/>
          <w:color w:val="auto"/>
          <w:sz w:val="22"/>
          <w:szCs w:val="22"/>
          <w:u w:val="single"/>
          <w:lang w:val="sr-Latn-ME"/>
        </w:rPr>
      </w:pPr>
      <w:r w:rsidRPr="001B3E42">
        <w:rPr>
          <w:rFonts w:ascii="Times New Roman" w:hAnsi="Times New Roman" w:cs="Times New Roman"/>
          <w:i/>
          <w:color w:val="auto"/>
          <w:sz w:val="22"/>
          <w:szCs w:val="22"/>
          <w:u w:val="single"/>
          <w:lang w:val="sr-Latn-ME"/>
        </w:rPr>
        <w:t>Chronova bol</w:t>
      </w:r>
      <w:r w:rsidR="001E4AB9" w:rsidRPr="001B3E42">
        <w:rPr>
          <w:rFonts w:ascii="Times New Roman" w:hAnsi="Times New Roman" w:cs="Times New Roman"/>
          <w:i/>
          <w:color w:val="auto"/>
          <w:sz w:val="22"/>
          <w:szCs w:val="22"/>
          <w:u w:val="single"/>
          <w:lang w:val="sr-Latn-ME"/>
        </w:rPr>
        <w:t>est kod pedijatrijskih pacijenata</w:t>
      </w:r>
    </w:p>
    <w:p w:rsidR="005D003D" w:rsidRPr="001B3E42" w:rsidRDefault="005D003D" w:rsidP="005D003D">
      <w:pPr>
        <w:tabs>
          <w:tab w:val="left" w:pos="172"/>
          <w:tab w:val="left" w:pos="1344"/>
        </w:tabs>
        <w:snapToGrid w:val="0"/>
        <w:jc w:val="both"/>
        <w:rPr>
          <w:sz w:val="22"/>
          <w:szCs w:val="22"/>
        </w:rPr>
      </w:pPr>
      <w:r w:rsidRPr="001B3E42">
        <w:rPr>
          <w:sz w:val="22"/>
          <w:szCs w:val="22"/>
        </w:rPr>
        <w:t xml:space="preserve">Humira je ispitivana u multicentričnoj, </w:t>
      </w:r>
      <w:r w:rsidR="0011658F" w:rsidRPr="001B3E42">
        <w:rPr>
          <w:sz w:val="22"/>
          <w:szCs w:val="22"/>
        </w:rPr>
        <w:t>randomizovanoj</w:t>
      </w:r>
      <w:r w:rsidRPr="001B3E42">
        <w:rPr>
          <w:sz w:val="22"/>
          <w:szCs w:val="22"/>
        </w:rPr>
        <w:t xml:space="preserve">, dvostruko-slijepoj kliničkoj studiji, dizajniranoj za evaluaciju efikasnosti i bezbjednosti indukcione terapije i terapije održavanja, u dozi koja zavisi od tjelesne težine (&lt; od 40 kg ili ≥ od 40 kg) kod 192 </w:t>
      </w:r>
      <w:r w:rsidR="001E4AB9" w:rsidRPr="001B3E42">
        <w:rPr>
          <w:sz w:val="22"/>
          <w:szCs w:val="22"/>
        </w:rPr>
        <w:t>pedijatrijsk</w:t>
      </w:r>
      <w:r w:rsidR="00C75F49" w:rsidRPr="001B3E42">
        <w:rPr>
          <w:sz w:val="22"/>
          <w:szCs w:val="22"/>
        </w:rPr>
        <w:t>a</w:t>
      </w:r>
      <w:r w:rsidR="001E4AB9" w:rsidRPr="001B3E42">
        <w:rPr>
          <w:sz w:val="22"/>
          <w:szCs w:val="22"/>
        </w:rPr>
        <w:t xml:space="preserve"> pacijenata</w:t>
      </w:r>
      <w:r w:rsidRPr="001B3E42">
        <w:rPr>
          <w:sz w:val="22"/>
          <w:szCs w:val="22"/>
        </w:rPr>
        <w:t xml:space="preserve">, starosti između 6 i 17 godina, sa umjerenim do teškim oblikom Crohnove bolesti, definisanim sa Pediatric Crohn’s Disease Activity Index-om (PCDAI) &gt;30. Ispitanici su prethodno morali imati neadekvatan odgovor na konvencionalnu terapiju u liječenju Crohnove bolesti (uključujući kortikosteroide i / ili imunomodulator). Ispitanici su mogli imati slabiji odgovor na infliksimab ili ga nisu podnosili. </w:t>
      </w:r>
    </w:p>
    <w:p w:rsidR="005D003D" w:rsidRPr="001B3E42" w:rsidRDefault="005D003D" w:rsidP="005D003D">
      <w:pPr>
        <w:tabs>
          <w:tab w:val="left" w:pos="172"/>
          <w:tab w:val="left" w:pos="1344"/>
        </w:tabs>
        <w:snapToGrid w:val="0"/>
        <w:jc w:val="both"/>
        <w:rPr>
          <w:sz w:val="22"/>
          <w:szCs w:val="22"/>
        </w:rPr>
      </w:pPr>
    </w:p>
    <w:p w:rsidR="005D003D" w:rsidRPr="001B3E42" w:rsidRDefault="005D003D" w:rsidP="001E4AB9">
      <w:pPr>
        <w:tabs>
          <w:tab w:val="left" w:pos="172"/>
          <w:tab w:val="left" w:pos="1344"/>
        </w:tabs>
        <w:snapToGrid w:val="0"/>
        <w:jc w:val="both"/>
        <w:rPr>
          <w:sz w:val="22"/>
          <w:szCs w:val="22"/>
        </w:rPr>
      </w:pPr>
      <w:r w:rsidRPr="001B3E42">
        <w:rPr>
          <w:sz w:val="22"/>
          <w:szCs w:val="22"/>
        </w:rPr>
        <w:t>Svi ispitanici su primili indukcionu terapiju u dozi u odnosu n</w:t>
      </w:r>
      <w:r w:rsidR="001E4AB9" w:rsidRPr="001B3E42">
        <w:rPr>
          <w:sz w:val="22"/>
          <w:szCs w:val="22"/>
        </w:rPr>
        <w:t xml:space="preserve">a svoju tjelesnu masu: </w:t>
      </w:r>
      <w:r w:rsidR="00E34552" w:rsidRPr="001B3E42">
        <w:rPr>
          <w:sz w:val="22"/>
          <w:szCs w:val="22"/>
        </w:rPr>
        <w:t>pacijen</w:t>
      </w:r>
      <w:r w:rsidR="001E4AB9" w:rsidRPr="001B3E42">
        <w:rPr>
          <w:sz w:val="22"/>
          <w:szCs w:val="22"/>
        </w:rPr>
        <w:t>ti</w:t>
      </w:r>
      <w:r w:rsidRPr="001B3E42">
        <w:rPr>
          <w:sz w:val="22"/>
          <w:szCs w:val="22"/>
        </w:rPr>
        <w:t xml:space="preserve"> sa tjelesnom težinom ≥ od 40 kg primili su 160 mg u </w:t>
      </w:r>
      <w:r w:rsidR="00BB6AE8" w:rsidRPr="001B3E42">
        <w:rPr>
          <w:sz w:val="22"/>
          <w:szCs w:val="22"/>
        </w:rPr>
        <w:t>n</w:t>
      </w:r>
      <w:r w:rsidR="009065F5" w:rsidRPr="001B3E42">
        <w:rPr>
          <w:sz w:val="22"/>
          <w:szCs w:val="22"/>
        </w:rPr>
        <w:t>edjelji</w:t>
      </w:r>
      <w:r w:rsidRPr="001B3E42">
        <w:rPr>
          <w:sz w:val="22"/>
          <w:szCs w:val="22"/>
        </w:rPr>
        <w:t xml:space="preserve"> 0 i 80 mg u </w:t>
      </w:r>
      <w:r w:rsidR="00BB6AE8" w:rsidRPr="001B3E42">
        <w:rPr>
          <w:sz w:val="22"/>
          <w:szCs w:val="22"/>
        </w:rPr>
        <w:t>n</w:t>
      </w:r>
      <w:r w:rsidR="009065F5" w:rsidRPr="001B3E42">
        <w:rPr>
          <w:sz w:val="22"/>
          <w:szCs w:val="22"/>
        </w:rPr>
        <w:t>edjelji</w:t>
      </w:r>
      <w:r w:rsidRPr="001B3E42">
        <w:rPr>
          <w:sz w:val="22"/>
          <w:szCs w:val="22"/>
        </w:rPr>
        <w:t xml:space="preserve"> 2, a </w:t>
      </w:r>
      <w:r w:rsidR="001E4AB9" w:rsidRPr="001B3E42">
        <w:rPr>
          <w:sz w:val="22"/>
          <w:szCs w:val="22"/>
        </w:rPr>
        <w:t>pacijenti</w:t>
      </w:r>
      <w:r w:rsidRPr="001B3E42">
        <w:rPr>
          <w:sz w:val="22"/>
          <w:szCs w:val="22"/>
        </w:rPr>
        <w:t xml:space="preserve"> sa tjelesnom težinom &lt; od 40 kg primili su 80 mg u </w:t>
      </w:r>
      <w:r w:rsidR="00BB6AE8" w:rsidRPr="001B3E42">
        <w:rPr>
          <w:sz w:val="22"/>
          <w:szCs w:val="22"/>
        </w:rPr>
        <w:t>n</w:t>
      </w:r>
      <w:r w:rsidR="009065F5" w:rsidRPr="001B3E42">
        <w:rPr>
          <w:sz w:val="22"/>
          <w:szCs w:val="22"/>
        </w:rPr>
        <w:t>edjelji</w:t>
      </w:r>
      <w:r w:rsidRPr="001B3E42">
        <w:rPr>
          <w:sz w:val="22"/>
          <w:szCs w:val="22"/>
        </w:rPr>
        <w:t xml:space="preserve"> 0 i 40 mg u </w:t>
      </w:r>
      <w:r w:rsidR="00BB6AE8" w:rsidRPr="001B3E42">
        <w:rPr>
          <w:sz w:val="22"/>
          <w:szCs w:val="22"/>
        </w:rPr>
        <w:t>n</w:t>
      </w:r>
      <w:r w:rsidR="009065F5" w:rsidRPr="001B3E42">
        <w:rPr>
          <w:sz w:val="22"/>
          <w:szCs w:val="22"/>
        </w:rPr>
        <w:t>edjelji</w:t>
      </w:r>
      <w:r w:rsidRPr="001B3E42">
        <w:rPr>
          <w:sz w:val="22"/>
          <w:szCs w:val="22"/>
        </w:rPr>
        <w:t xml:space="preserve"> 2.</w:t>
      </w:r>
    </w:p>
    <w:p w:rsidR="005D003D" w:rsidRPr="001B3E42" w:rsidRDefault="005D003D" w:rsidP="005D003D">
      <w:pPr>
        <w:tabs>
          <w:tab w:val="center" w:pos="4536"/>
          <w:tab w:val="right" w:pos="9072"/>
        </w:tabs>
        <w:jc w:val="both"/>
        <w:rPr>
          <w:bCs/>
          <w:sz w:val="22"/>
          <w:szCs w:val="22"/>
        </w:rPr>
      </w:pPr>
    </w:p>
    <w:p w:rsidR="008318D7" w:rsidRPr="001B3E42" w:rsidRDefault="005D003D" w:rsidP="003428F0">
      <w:pPr>
        <w:tabs>
          <w:tab w:val="center" w:pos="4536"/>
          <w:tab w:val="right" w:pos="9072"/>
        </w:tabs>
        <w:jc w:val="both"/>
        <w:rPr>
          <w:sz w:val="22"/>
          <w:szCs w:val="22"/>
        </w:rPr>
      </w:pPr>
      <w:r w:rsidRPr="001B3E42">
        <w:rPr>
          <w:bCs/>
          <w:sz w:val="22"/>
          <w:szCs w:val="22"/>
        </w:rPr>
        <w:t xml:space="preserve">U </w:t>
      </w:r>
      <w:r w:rsidR="00BB6AE8" w:rsidRPr="001B3E42">
        <w:rPr>
          <w:bCs/>
          <w:sz w:val="22"/>
          <w:szCs w:val="22"/>
        </w:rPr>
        <w:t>n</w:t>
      </w:r>
      <w:r w:rsidR="009065F5" w:rsidRPr="001B3E42">
        <w:rPr>
          <w:bCs/>
          <w:sz w:val="22"/>
          <w:szCs w:val="22"/>
        </w:rPr>
        <w:t>edjelji</w:t>
      </w:r>
      <w:r w:rsidRPr="001B3E42">
        <w:rPr>
          <w:bCs/>
          <w:sz w:val="22"/>
          <w:szCs w:val="22"/>
        </w:rPr>
        <w:t xml:space="preserve"> 4, ispitanici su randomizovani 1:1 u odnosu na tjelesnu masu da bi nastavili da primaju nižu dozu ili standardnu dozu u terapiji održavanja, kao što je prikazano u tabeli 9.</w:t>
      </w:r>
    </w:p>
    <w:p w:rsidR="005D003D" w:rsidRPr="001B3E42" w:rsidRDefault="002B2D84" w:rsidP="002B2D84">
      <w:pPr>
        <w:tabs>
          <w:tab w:val="left" w:pos="172"/>
          <w:tab w:val="left" w:pos="1344"/>
        </w:tabs>
        <w:snapToGrid w:val="0"/>
        <w:jc w:val="center"/>
        <w:rPr>
          <w:b/>
          <w:sz w:val="22"/>
          <w:szCs w:val="22"/>
        </w:rPr>
      </w:pPr>
      <w:r w:rsidRPr="001B3E42">
        <w:rPr>
          <w:b/>
          <w:sz w:val="22"/>
          <w:szCs w:val="22"/>
        </w:rPr>
        <w:t>Tabela 9</w:t>
      </w:r>
    </w:p>
    <w:p w:rsidR="008318D7" w:rsidRPr="001B3E42" w:rsidRDefault="002B2D84" w:rsidP="008318D7">
      <w:pPr>
        <w:tabs>
          <w:tab w:val="left" w:pos="172"/>
          <w:tab w:val="left" w:pos="1344"/>
        </w:tabs>
        <w:snapToGrid w:val="0"/>
        <w:jc w:val="center"/>
        <w:rPr>
          <w:b/>
          <w:sz w:val="22"/>
          <w:szCs w:val="22"/>
        </w:rPr>
      </w:pPr>
      <w:r w:rsidRPr="001B3E42">
        <w:rPr>
          <w:b/>
          <w:sz w:val="22"/>
          <w:szCs w:val="22"/>
        </w:rPr>
        <w:t>Terapija održavanja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3290"/>
        <w:gridCol w:w="3078"/>
      </w:tblGrid>
      <w:tr w:rsidR="005D003D" w:rsidRPr="001B3E42" w:rsidTr="00E34552">
        <w:trPr>
          <w:trHeight w:val="519"/>
        </w:trPr>
        <w:tc>
          <w:tcPr>
            <w:tcW w:w="2753"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Tjelesna težina pacijenta</w:t>
            </w:r>
          </w:p>
        </w:tc>
        <w:tc>
          <w:tcPr>
            <w:tcW w:w="329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Niska doza</w:t>
            </w:r>
          </w:p>
        </w:tc>
        <w:tc>
          <w:tcPr>
            <w:tcW w:w="3078"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Standardna doza</w:t>
            </w:r>
          </w:p>
        </w:tc>
      </w:tr>
      <w:tr w:rsidR="005D003D" w:rsidRPr="001B3E42" w:rsidTr="00E34552">
        <w:trPr>
          <w:trHeight w:val="270"/>
        </w:trPr>
        <w:tc>
          <w:tcPr>
            <w:tcW w:w="2753" w:type="dxa"/>
            <w:shd w:val="clear" w:color="auto" w:fill="auto"/>
          </w:tcPr>
          <w:p w:rsidR="005D003D" w:rsidRPr="001B3E42" w:rsidRDefault="005D003D" w:rsidP="005D003D">
            <w:pPr>
              <w:tabs>
                <w:tab w:val="center" w:pos="4536"/>
                <w:tab w:val="right" w:pos="9072"/>
              </w:tabs>
              <w:rPr>
                <w:bCs/>
                <w:sz w:val="22"/>
                <w:szCs w:val="22"/>
              </w:rPr>
            </w:pPr>
            <w:r w:rsidRPr="001B3E42">
              <w:rPr>
                <w:sz w:val="22"/>
                <w:szCs w:val="22"/>
              </w:rPr>
              <w:t>&lt; od 40 kg</w:t>
            </w:r>
          </w:p>
        </w:tc>
        <w:tc>
          <w:tcPr>
            <w:tcW w:w="329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 xml:space="preserve">10 mg svake druge </w:t>
            </w:r>
            <w:r w:rsidR="009065F5" w:rsidRPr="001B3E42">
              <w:rPr>
                <w:bCs/>
                <w:sz w:val="22"/>
                <w:szCs w:val="22"/>
              </w:rPr>
              <w:t>nedjelje</w:t>
            </w:r>
          </w:p>
        </w:tc>
        <w:tc>
          <w:tcPr>
            <w:tcW w:w="3078"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 xml:space="preserve">20 mg svake druge </w:t>
            </w:r>
            <w:r w:rsidR="009065F5" w:rsidRPr="001B3E42">
              <w:rPr>
                <w:bCs/>
                <w:sz w:val="22"/>
                <w:szCs w:val="22"/>
              </w:rPr>
              <w:t>nedjelje</w:t>
            </w:r>
          </w:p>
        </w:tc>
      </w:tr>
      <w:tr w:rsidR="005D003D" w:rsidRPr="001B3E42" w:rsidTr="00E34552">
        <w:trPr>
          <w:trHeight w:val="260"/>
        </w:trPr>
        <w:tc>
          <w:tcPr>
            <w:tcW w:w="2753" w:type="dxa"/>
            <w:shd w:val="clear" w:color="auto" w:fill="auto"/>
          </w:tcPr>
          <w:p w:rsidR="005D003D" w:rsidRPr="001B3E42" w:rsidRDefault="005D003D" w:rsidP="005D003D">
            <w:pPr>
              <w:tabs>
                <w:tab w:val="center" w:pos="4536"/>
                <w:tab w:val="right" w:pos="9072"/>
              </w:tabs>
              <w:rPr>
                <w:bCs/>
                <w:sz w:val="22"/>
                <w:szCs w:val="22"/>
              </w:rPr>
            </w:pPr>
            <w:r w:rsidRPr="001B3E42">
              <w:rPr>
                <w:sz w:val="22"/>
                <w:szCs w:val="22"/>
              </w:rPr>
              <w:t>≥ od 40 kg</w:t>
            </w:r>
          </w:p>
        </w:tc>
        <w:tc>
          <w:tcPr>
            <w:tcW w:w="329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 xml:space="preserve">20 mg svake druge </w:t>
            </w:r>
            <w:r w:rsidRPr="001B3E42">
              <w:rPr>
                <w:sz w:val="22"/>
                <w:szCs w:val="22"/>
              </w:rPr>
              <w:t xml:space="preserve"> </w:t>
            </w:r>
            <w:r w:rsidR="009065F5" w:rsidRPr="001B3E42">
              <w:rPr>
                <w:bCs/>
                <w:sz w:val="22"/>
                <w:szCs w:val="22"/>
              </w:rPr>
              <w:t>nedjelje</w:t>
            </w:r>
          </w:p>
        </w:tc>
        <w:tc>
          <w:tcPr>
            <w:tcW w:w="3078"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 xml:space="preserve">40 mg svake druge </w:t>
            </w:r>
            <w:r w:rsidR="009065F5" w:rsidRPr="001B3E42">
              <w:rPr>
                <w:bCs/>
                <w:sz w:val="22"/>
                <w:szCs w:val="22"/>
              </w:rPr>
              <w:t>nedjelje</w:t>
            </w:r>
          </w:p>
        </w:tc>
      </w:tr>
    </w:tbl>
    <w:p w:rsidR="005D003D" w:rsidRPr="001B3E42" w:rsidRDefault="005D003D" w:rsidP="005D003D">
      <w:pPr>
        <w:tabs>
          <w:tab w:val="left" w:pos="172"/>
          <w:tab w:val="left" w:pos="1344"/>
        </w:tabs>
        <w:snapToGrid w:val="0"/>
        <w:rPr>
          <w:sz w:val="22"/>
          <w:szCs w:val="22"/>
        </w:rPr>
      </w:pPr>
    </w:p>
    <w:p w:rsidR="005D003D" w:rsidRPr="001B3E42" w:rsidRDefault="005D003D" w:rsidP="005D003D">
      <w:pPr>
        <w:tabs>
          <w:tab w:val="center" w:pos="4536"/>
          <w:tab w:val="right" w:pos="9072"/>
        </w:tabs>
        <w:jc w:val="both"/>
        <w:rPr>
          <w:bCs/>
          <w:i/>
          <w:sz w:val="22"/>
          <w:szCs w:val="22"/>
        </w:rPr>
      </w:pPr>
      <w:r w:rsidRPr="001B3E42">
        <w:rPr>
          <w:bCs/>
          <w:i/>
          <w:sz w:val="22"/>
          <w:szCs w:val="22"/>
        </w:rPr>
        <w:t>Rezultati efikasnosti</w:t>
      </w:r>
    </w:p>
    <w:p w:rsidR="00336A50" w:rsidRPr="001B3E42" w:rsidRDefault="005D003D" w:rsidP="005D003D">
      <w:pPr>
        <w:tabs>
          <w:tab w:val="center" w:pos="4536"/>
          <w:tab w:val="right" w:pos="9072"/>
        </w:tabs>
        <w:jc w:val="both"/>
        <w:rPr>
          <w:sz w:val="22"/>
          <w:szCs w:val="22"/>
        </w:rPr>
      </w:pPr>
      <w:r w:rsidRPr="001B3E42">
        <w:rPr>
          <w:bCs/>
          <w:sz w:val="22"/>
          <w:szCs w:val="22"/>
        </w:rPr>
        <w:t>Primarni cilj s</w:t>
      </w:r>
      <w:r w:rsidR="002B2D84" w:rsidRPr="001B3E42">
        <w:rPr>
          <w:bCs/>
          <w:sz w:val="22"/>
          <w:szCs w:val="22"/>
        </w:rPr>
        <w:t>tudije bio je klinička remisija</w:t>
      </w:r>
      <w:r w:rsidRPr="001B3E42">
        <w:rPr>
          <w:bCs/>
          <w:sz w:val="22"/>
          <w:szCs w:val="22"/>
        </w:rPr>
        <w:t xml:space="preserve"> u 26-toj </w:t>
      </w:r>
      <w:r w:rsidR="009065F5" w:rsidRPr="001B3E42">
        <w:rPr>
          <w:bCs/>
          <w:sz w:val="22"/>
          <w:szCs w:val="22"/>
        </w:rPr>
        <w:t>nedjelji</w:t>
      </w:r>
      <w:r w:rsidRPr="001B3E42">
        <w:rPr>
          <w:bCs/>
          <w:sz w:val="22"/>
          <w:szCs w:val="22"/>
        </w:rPr>
        <w:t xml:space="preserve">,  definisana  kao  PCDAI score </w:t>
      </w:r>
      <w:r w:rsidRPr="001B3E42">
        <w:rPr>
          <w:sz w:val="22"/>
          <w:szCs w:val="22"/>
        </w:rPr>
        <w:t xml:space="preserve">≤ 10. </w:t>
      </w:r>
    </w:p>
    <w:p w:rsidR="00336A50" w:rsidRPr="001B3E42" w:rsidRDefault="00336A50" w:rsidP="005D003D">
      <w:pPr>
        <w:tabs>
          <w:tab w:val="center" w:pos="4536"/>
          <w:tab w:val="right" w:pos="9072"/>
        </w:tabs>
        <w:jc w:val="both"/>
        <w:rPr>
          <w:sz w:val="22"/>
          <w:szCs w:val="22"/>
        </w:rPr>
      </w:pPr>
    </w:p>
    <w:p w:rsidR="005D003D" w:rsidRPr="001B3E42" w:rsidRDefault="005D003D" w:rsidP="003428F0">
      <w:pPr>
        <w:tabs>
          <w:tab w:val="center" w:pos="4536"/>
          <w:tab w:val="right" w:pos="9072"/>
        </w:tabs>
        <w:jc w:val="both"/>
        <w:rPr>
          <w:sz w:val="22"/>
          <w:szCs w:val="22"/>
        </w:rPr>
      </w:pPr>
      <w:r w:rsidRPr="001B3E42">
        <w:rPr>
          <w:sz w:val="22"/>
          <w:szCs w:val="22"/>
        </w:rPr>
        <w:t>Klinička remisija i klinički odgovor (definisan kao redukcija PCDAI scora za najmanje 15 bodova od početne vrijedn</w:t>
      </w:r>
      <w:r w:rsidR="002B2D84" w:rsidRPr="001B3E42">
        <w:rPr>
          <w:sz w:val="22"/>
          <w:szCs w:val="22"/>
        </w:rPr>
        <w:t xml:space="preserve">osti) prikazani su u tabeli 10. </w:t>
      </w:r>
      <w:r w:rsidRPr="001B3E42">
        <w:rPr>
          <w:sz w:val="22"/>
          <w:szCs w:val="22"/>
        </w:rPr>
        <w:t>Stepen prekida upotrebe kortikosteroida i imunomodulatora prikazan je u tabeli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970"/>
        <w:gridCol w:w="2700"/>
        <w:gridCol w:w="1535"/>
      </w:tblGrid>
      <w:tr w:rsidR="005D003D" w:rsidRPr="001B3E42" w:rsidTr="005D003D">
        <w:tc>
          <w:tcPr>
            <w:tcW w:w="9180" w:type="dxa"/>
            <w:gridSpan w:val="4"/>
            <w:shd w:val="clear" w:color="auto" w:fill="auto"/>
          </w:tcPr>
          <w:p w:rsidR="00BD53A4" w:rsidRPr="001B3E42" w:rsidRDefault="005D003D" w:rsidP="00BD53A4">
            <w:pPr>
              <w:tabs>
                <w:tab w:val="center" w:pos="4536"/>
                <w:tab w:val="right" w:pos="9072"/>
              </w:tabs>
              <w:jc w:val="center"/>
              <w:rPr>
                <w:b/>
                <w:bCs/>
                <w:sz w:val="22"/>
                <w:szCs w:val="22"/>
              </w:rPr>
            </w:pPr>
            <w:r w:rsidRPr="001B3E42">
              <w:rPr>
                <w:b/>
                <w:bCs/>
                <w:sz w:val="22"/>
                <w:szCs w:val="22"/>
              </w:rPr>
              <w:t>Tabela 10.</w:t>
            </w:r>
          </w:p>
          <w:p w:rsidR="005D003D" w:rsidRPr="001B3E42" w:rsidRDefault="005D003D" w:rsidP="00BD53A4">
            <w:pPr>
              <w:tabs>
                <w:tab w:val="center" w:pos="4536"/>
                <w:tab w:val="right" w:pos="9072"/>
              </w:tabs>
              <w:jc w:val="center"/>
              <w:rPr>
                <w:b/>
                <w:bCs/>
                <w:sz w:val="22"/>
                <w:szCs w:val="22"/>
              </w:rPr>
            </w:pPr>
            <w:r w:rsidRPr="001B3E42">
              <w:rPr>
                <w:b/>
                <w:bCs/>
                <w:sz w:val="22"/>
                <w:szCs w:val="22"/>
              </w:rPr>
              <w:t>Pedijatrijska CD studija</w:t>
            </w:r>
          </w:p>
          <w:p w:rsidR="005D003D" w:rsidRPr="001B3E42" w:rsidRDefault="005D003D" w:rsidP="00BD53A4">
            <w:pPr>
              <w:tabs>
                <w:tab w:val="center" w:pos="4536"/>
                <w:tab w:val="right" w:pos="9072"/>
              </w:tabs>
              <w:jc w:val="center"/>
              <w:rPr>
                <w:bCs/>
                <w:sz w:val="22"/>
                <w:szCs w:val="22"/>
              </w:rPr>
            </w:pPr>
            <w:r w:rsidRPr="001B3E42">
              <w:rPr>
                <w:b/>
                <w:bCs/>
                <w:sz w:val="22"/>
                <w:szCs w:val="22"/>
              </w:rPr>
              <w:t>PCDAI klinička remisija i odgovor</w:t>
            </w: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Cs/>
                <w:sz w:val="22"/>
                <w:szCs w:val="22"/>
              </w:rPr>
            </w:pPr>
          </w:p>
        </w:tc>
        <w:tc>
          <w:tcPr>
            <w:tcW w:w="297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 xml:space="preserve">Standardna doza: 40/20 mg svake druge </w:t>
            </w:r>
            <w:r w:rsidR="009065F5" w:rsidRPr="001B3E42">
              <w:rPr>
                <w:b/>
                <w:bCs/>
                <w:sz w:val="22"/>
                <w:szCs w:val="22"/>
              </w:rPr>
              <w:t>nedjelje</w:t>
            </w:r>
            <w:r w:rsidRPr="001B3E42">
              <w:rPr>
                <w:b/>
                <w:bCs/>
                <w:sz w:val="22"/>
                <w:szCs w:val="22"/>
              </w:rPr>
              <w:t xml:space="preserve"> </w:t>
            </w:r>
          </w:p>
          <w:p w:rsidR="005D003D" w:rsidRPr="001B3E42" w:rsidRDefault="005D003D" w:rsidP="005D003D">
            <w:pPr>
              <w:tabs>
                <w:tab w:val="center" w:pos="4536"/>
                <w:tab w:val="right" w:pos="9072"/>
              </w:tabs>
              <w:rPr>
                <w:b/>
                <w:bCs/>
                <w:sz w:val="22"/>
                <w:szCs w:val="22"/>
              </w:rPr>
            </w:pPr>
            <w:r w:rsidRPr="001B3E42">
              <w:rPr>
                <w:b/>
                <w:bCs/>
                <w:sz w:val="22"/>
                <w:szCs w:val="22"/>
              </w:rPr>
              <w:t>N=93</w:t>
            </w:r>
          </w:p>
        </w:tc>
        <w:tc>
          <w:tcPr>
            <w:tcW w:w="270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 xml:space="preserve">Niska doza: 20/10 mg svake druge </w:t>
            </w:r>
            <w:r w:rsidR="009065F5" w:rsidRPr="001B3E42">
              <w:rPr>
                <w:b/>
                <w:bCs/>
                <w:sz w:val="22"/>
                <w:szCs w:val="22"/>
              </w:rPr>
              <w:t>nedjelje</w:t>
            </w:r>
          </w:p>
          <w:p w:rsidR="005D003D" w:rsidRPr="001B3E42" w:rsidRDefault="005D003D" w:rsidP="005D003D">
            <w:pPr>
              <w:tabs>
                <w:tab w:val="center" w:pos="4536"/>
                <w:tab w:val="right" w:pos="9072"/>
              </w:tabs>
              <w:rPr>
                <w:b/>
                <w:bCs/>
                <w:sz w:val="22"/>
                <w:szCs w:val="22"/>
              </w:rPr>
            </w:pPr>
            <w:r w:rsidRPr="001B3E42">
              <w:rPr>
                <w:b/>
                <w:bCs/>
                <w:sz w:val="22"/>
                <w:szCs w:val="22"/>
              </w:rPr>
              <w:t>N=95</w:t>
            </w:r>
          </w:p>
        </w:tc>
        <w:tc>
          <w:tcPr>
            <w:tcW w:w="1535"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P* vrijednost</w:t>
            </w: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 xml:space="preserve">26 </w:t>
            </w:r>
            <w:r w:rsidR="009065F5" w:rsidRPr="001B3E42">
              <w:rPr>
                <w:b/>
                <w:bCs/>
                <w:sz w:val="22"/>
                <w:szCs w:val="22"/>
              </w:rPr>
              <w:t>nedjelja</w:t>
            </w:r>
          </w:p>
        </w:tc>
        <w:tc>
          <w:tcPr>
            <w:tcW w:w="2970" w:type="dxa"/>
            <w:shd w:val="clear" w:color="auto" w:fill="auto"/>
          </w:tcPr>
          <w:p w:rsidR="005D003D" w:rsidRPr="001B3E42" w:rsidRDefault="005D003D" w:rsidP="005D003D">
            <w:pPr>
              <w:tabs>
                <w:tab w:val="center" w:pos="4536"/>
                <w:tab w:val="right" w:pos="9072"/>
              </w:tabs>
              <w:rPr>
                <w:bCs/>
                <w:sz w:val="22"/>
                <w:szCs w:val="22"/>
              </w:rPr>
            </w:pPr>
          </w:p>
        </w:tc>
        <w:tc>
          <w:tcPr>
            <w:tcW w:w="2700" w:type="dxa"/>
            <w:shd w:val="clear" w:color="auto" w:fill="auto"/>
          </w:tcPr>
          <w:p w:rsidR="005D003D" w:rsidRPr="001B3E42" w:rsidRDefault="005D003D" w:rsidP="005D003D">
            <w:pPr>
              <w:tabs>
                <w:tab w:val="center" w:pos="4536"/>
                <w:tab w:val="right" w:pos="9072"/>
              </w:tabs>
              <w:rPr>
                <w:bCs/>
                <w:sz w:val="22"/>
                <w:szCs w:val="22"/>
              </w:rPr>
            </w:pPr>
          </w:p>
        </w:tc>
        <w:tc>
          <w:tcPr>
            <w:tcW w:w="1535" w:type="dxa"/>
            <w:shd w:val="clear" w:color="auto" w:fill="auto"/>
          </w:tcPr>
          <w:p w:rsidR="005D003D" w:rsidRPr="001B3E42" w:rsidRDefault="005D003D" w:rsidP="005D003D">
            <w:pPr>
              <w:tabs>
                <w:tab w:val="center" w:pos="4536"/>
                <w:tab w:val="right" w:pos="9072"/>
              </w:tabs>
              <w:rPr>
                <w:bCs/>
                <w:sz w:val="22"/>
                <w:szCs w:val="22"/>
              </w:rPr>
            </w:pP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Klinička remisija</w:t>
            </w:r>
          </w:p>
        </w:tc>
        <w:tc>
          <w:tcPr>
            <w:tcW w:w="297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38,7%</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28,4%</w:t>
            </w:r>
          </w:p>
        </w:tc>
        <w:tc>
          <w:tcPr>
            <w:tcW w:w="153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0.075</w:t>
            </w: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Klinički odgovor</w:t>
            </w:r>
          </w:p>
        </w:tc>
        <w:tc>
          <w:tcPr>
            <w:tcW w:w="297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59,1%</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48,4%</w:t>
            </w:r>
          </w:p>
        </w:tc>
        <w:tc>
          <w:tcPr>
            <w:tcW w:w="153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0.073</w:t>
            </w: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 xml:space="preserve">52 </w:t>
            </w:r>
            <w:r w:rsidR="009065F5" w:rsidRPr="001B3E42">
              <w:rPr>
                <w:b/>
                <w:bCs/>
                <w:sz w:val="22"/>
                <w:szCs w:val="22"/>
              </w:rPr>
              <w:t>nedjelja</w:t>
            </w:r>
          </w:p>
        </w:tc>
        <w:tc>
          <w:tcPr>
            <w:tcW w:w="2970" w:type="dxa"/>
            <w:shd w:val="clear" w:color="auto" w:fill="auto"/>
          </w:tcPr>
          <w:p w:rsidR="005D003D" w:rsidRPr="001B3E42" w:rsidRDefault="005D003D" w:rsidP="005D003D">
            <w:pPr>
              <w:tabs>
                <w:tab w:val="center" w:pos="4536"/>
                <w:tab w:val="right" w:pos="9072"/>
              </w:tabs>
              <w:jc w:val="center"/>
              <w:rPr>
                <w:bCs/>
                <w:sz w:val="22"/>
                <w:szCs w:val="22"/>
              </w:rPr>
            </w:pPr>
          </w:p>
        </w:tc>
        <w:tc>
          <w:tcPr>
            <w:tcW w:w="2700" w:type="dxa"/>
            <w:shd w:val="clear" w:color="auto" w:fill="auto"/>
          </w:tcPr>
          <w:p w:rsidR="005D003D" w:rsidRPr="001B3E42" w:rsidRDefault="005D003D" w:rsidP="005D003D">
            <w:pPr>
              <w:tabs>
                <w:tab w:val="center" w:pos="4536"/>
                <w:tab w:val="right" w:pos="9072"/>
              </w:tabs>
              <w:jc w:val="center"/>
              <w:rPr>
                <w:bCs/>
                <w:sz w:val="22"/>
                <w:szCs w:val="22"/>
              </w:rPr>
            </w:pPr>
          </w:p>
        </w:tc>
        <w:tc>
          <w:tcPr>
            <w:tcW w:w="1535" w:type="dxa"/>
            <w:shd w:val="clear" w:color="auto" w:fill="auto"/>
          </w:tcPr>
          <w:p w:rsidR="005D003D" w:rsidRPr="001B3E42" w:rsidRDefault="005D003D" w:rsidP="005D003D">
            <w:pPr>
              <w:tabs>
                <w:tab w:val="center" w:pos="4536"/>
                <w:tab w:val="right" w:pos="9072"/>
              </w:tabs>
              <w:jc w:val="center"/>
              <w:rPr>
                <w:bCs/>
                <w:sz w:val="22"/>
                <w:szCs w:val="22"/>
              </w:rPr>
            </w:pP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Klinička remisija</w:t>
            </w:r>
          </w:p>
        </w:tc>
        <w:tc>
          <w:tcPr>
            <w:tcW w:w="297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33,3%</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23,2%</w:t>
            </w:r>
          </w:p>
        </w:tc>
        <w:tc>
          <w:tcPr>
            <w:tcW w:w="153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0.100</w:t>
            </w:r>
          </w:p>
        </w:tc>
      </w:tr>
      <w:tr w:rsidR="005D003D" w:rsidRPr="001B3E42" w:rsidTr="005D003D">
        <w:tc>
          <w:tcPr>
            <w:tcW w:w="197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Klinički odgovor</w:t>
            </w:r>
          </w:p>
        </w:tc>
        <w:tc>
          <w:tcPr>
            <w:tcW w:w="297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41,9%</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28,4%</w:t>
            </w:r>
          </w:p>
        </w:tc>
        <w:tc>
          <w:tcPr>
            <w:tcW w:w="153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0.038</w:t>
            </w:r>
          </w:p>
        </w:tc>
      </w:tr>
      <w:tr w:rsidR="005D003D" w:rsidRPr="001B3E42" w:rsidTr="005D003D">
        <w:tc>
          <w:tcPr>
            <w:tcW w:w="9180" w:type="dxa"/>
            <w:gridSpan w:val="4"/>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*p vrijednost poređenja standardne doze u odnosu na nisku dozu</w:t>
            </w:r>
          </w:p>
        </w:tc>
      </w:tr>
    </w:tbl>
    <w:p w:rsidR="005D003D" w:rsidRPr="001B3E42" w:rsidRDefault="005D003D" w:rsidP="005D003D">
      <w:pPr>
        <w:tabs>
          <w:tab w:val="center" w:pos="4536"/>
          <w:tab w:val="right" w:pos="9072"/>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980"/>
        <w:gridCol w:w="2700"/>
        <w:gridCol w:w="1530"/>
      </w:tblGrid>
      <w:tr w:rsidR="005D003D" w:rsidRPr="001B3E42" w:rsidTr="005D003D">
        <w:tc>
          <w:tcPr>
            <w:tcW w:w="9175" w:type="dxa"/>
            <w:gridSpan w:val="4"/>
            <w:shd w:val="clear" w:color="auto" w:fill="auto"/>
          </w:tcPr>
          <w:p w:rsidR="00BD53A4" w:rsidRPr="001B3E42" w:rsidRDefault="005D003D" w:rsidP="00BD53A4">
            <w:pPr>
              <w:tabs>
                <w:tab w:val="center" w:pos="4536"/>
                <w:tab w:val="right" w:pos="9072"/>
              </w:tabs>
              <w:jc w:val="center"/>
              <w:rPr>
                <w:b/>
                <w:bCs/>
                <w:sz w:val="22"/>
                <w:szCs w:val="22"/>
              </w:rPr>
            </w:pPr>
            <w:r w:rsidRPr="001B3E42">
              <w:rPr>
                <w:b/>
                <w:bCs/>
                <w:sz w:val="22"/>
                <w:szCs w:val="22"/>
              </w:rPr>
              <w:lastRenderedPageBreak/>
              <w:t>Tabela 11.</w:t>
            </w:r>
          </w:p>
          <w:p w:rsidR="005D003D" w:rsidRPr="001B3E42" w:rsidRDefault="005D003D" w:rsidP="00BD53A4">
            <w:pPr>
              <w:tabs>
                <w:tab w:val="center" w:pos="4536"/>
                <w:tab w:val="right" w:pos="9072"/>
              </w:tabs>
              <w:jc w:val="center"/>
              <w:rPr>
                <w:b/>
                <w:bCs/>
                <w:sz w:val="22"/>
                <w:szCs w:val="22"/>
              </w:rPr>
            </w:pPr>
            <w:r w:rsidRPr="001B3E42">
              <w:rPr>
                <w:b/>
                <w:bCs/>
                <w:sz w:val="22"/>
                <w:szCs w:val="22"/>
              </w:rPr>
              <w:t>Pedijatrijska CD studija</w:t>
            </w:r>
          </w:p>
          <w:p w:rsidR="005D003D" w:rsidRPr="001B3E42" w:rsidRDefault="005D003D" w:rsidP="00BD53A4">
            <w:pPr>
              <w:tabs>
                <w:tab w:val="center" w:pos="4536"/>
                <w:tab w:val="right" w:pos="9072"/>
              </w:tabs>
              <w:jc w:val="center"/>
              <w:rPr>
                <w:bCs/>
                <w:sz w:val="22"/>
                <w:szCs w:val="22"/>
              </w:rPr>
            </w:pPr>
            <w:r w:rsidRPr="001B3E42">
              <w:rPr>
                <w:b/>
                <w:bCs/>
                <w:sz w:val="22"/>
                <w:szCs w:val="22"/>
              </w:rPr>
              <w:t>Prekid upotrebe kortikosteroida i imunomodulatora i remisija fistula</w:t>
            </w: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Cs/>
                <w:sz w:val="22"/>
                <w:szCs w:val="22"/>
              </w:rPr>
            </w:pPr>
          </w:p>
        </w:tc>
        <w:tc>
          <w:tcPr>
            <w:tcW w:w="198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 xml:space="preserve">Standardna doza: 40/20 mg svake druge </w:t>
            </w:r>
            <w:r w:rsidR="009065F5" w:rsidRPr="001B3E42">
              <w:rPr>
                <w:b/>
                <w:bCs/>
                <w:sz w:val="22"/>
                <w:szCs w:val="22"/>
              </w:rPr>
              <w:t>nedjelje</w:t>
            </w:r>
            <w:r w:rsidRPr="001B3E42">
              <w:rPr>
                <w:b/>
                <w:bCs/>
                <w:sz w:val="22"/>
                <w:szCs w:val="22"/>
              </w:rPr>
              <w:t xml:space="preserve"> </w:t>
            </w:r>
          </w:p>
        </w:tc>
        <w:tc>
          <w:tcPr>
            <w:tcW w:w="270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 xml:space="preserve">Niska doza: 20/10 mg svake druge </w:t>
            </w:r>
            <w:r w:rsidR="009065F5" w:rsidRPr="001B3E42">
              <w:rPr>
                <w:b/>
                <w:bCs/>
                <w:sz w:val="22"/>
                <w:szCs w:val="22"/>
              </w:rPr>
              <w:t>nedjelje</w:t>
            </w:r>
          </w:p>
        </w:tc>
        <w:tc>
          <w:tcPr>
            <w:tcW w:w="153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P¹ vrijednost</w:t>
            </w: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Prekid kortikosteroida</w:t>
            </w:r>
          </w:p>
        </w:tc>
        <w:tc>
          <w:tcPr>
            <w:tcW w:w="198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N=33</w:t>
            </w:r>
          </w:p>
        </w:tc>
        <w:tc>
          <w:tcPr>
            <w:tcW w:w="270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N=38</w:t>
            </w:r>
          </w:p>
        </w:tc>
        <w:tc>
          <w:tcPr>
            <w:tcW w:w="1530" w:type="dxa"/>
            <w:shd w:val="clear" w:color="auto" w:fill="auto"/>
          </w:tcPr>
          <w:p w:rsidR="005D003D" w:rsidRPr="001B3E42" w:rsidRDefault="005D003D" w:rsidP="005D003D">
            <w:pPr>
              <w:tabs>
                <w:tab w:val="center" w:pos="4536"/>
                <w:tab w:val="right" w:pos="9072"/>
              </w:tabs>
              <w:jc w:val="center"/>
              <w:rPr>
                <w:bCs/>
                <w:sz w:val="22"/>
                <w:szCs w:val="22"/>
              </w:rPr>
            </w:pP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26</w:t>
            </w:r>
            <w:r w:rsidRPr="001B3E42">
              <w:rPr>
                <w:sz w:val="22"/>
                <w:szCs w:val="22"/>
              </w:rPr>
              <w:t xml:space="preserve"> </w:t>
            </w:r>
            <w:r w:rsidR="009065F5" w:rsidRPr="001B3E42">
              <w:rPr>
                <w:bCs/>
                <w:sz w:val="22"/>
                <w:szCs w:val="22"/>
              </w:rPr>
              <w:t>nedjelja</w:t>
            </w:r>
          </w:p>
        </w:tc>
        <w:tc>
          <w:tcPr>
            <w:tcW w:w="198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84,8%</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65,8%</w:t>
            </w:r>
          </w:p>
        </w:tc>
        <w:tc>
          <w:tcPr>
            <w:tcW w:w="153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0.066</w:t>
            </w: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52</w:t>
            </w:r>
            <w:r w:rsidRPr="001B3E42">
              <w:rPr>
                <w:sz w:val="22"/>
                <w:szCs w:val="22"/>
              </w:rPr>
              <w:t xml:space="preserve"> </w:t>
            </w:r>
            <w:r w:rsidR="009065F5" w:rsidRPr="001B3E42">
              <w:rPr>
                <w:bCs/>
                <w:sz w:val="22"/>
                <w:szCs w:val="22"/>
              </w:rPr>
              <w:t>nedjelja</w:t>
            </w:r>
          </w:p>
        </w:tc>
        <w:tc>
          <w:tcPr>
            <w:tcW w:w="198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69,7%</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60,5%</w:t>
            </w:r>
          </w:p>
        </w:tc>
        <w:tc>
          <w:tcPr>
            <w:tcW w:w="153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0.420</w:t>
            </w: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Prekid imunomodulatora²</w:t>
            </w:r>
          </w:p>
        </w:tc>
        <w:tc>
          <w:tcPr>
            <w:tcW w:w="198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N=60</w:t>
            </w:r>
          </w:p>
        </w:tc>
        <w:tc>
          <w:tcPr>
            <w:tcW w:w="270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N=57</w:t>
            </w:r>
          </w:p>
        </w:tc>
        <w:tc>
          <w:tcPr>
            <w:tcW w:w="1530" w:type="dxa"/>
            <w:shd w:val="clear" w:color="auto" w:fill="auto"/>
          </w:tcPr>
          <w:p w:rsidR="005D003D" w:rsidRPr="001B3E42" w:rsidRDefault="005D003D" w:rsidP="005D003D">
            <w:pPr>
              <w:tabs>
                <w:tab w:val="center" w:pos="4536"/>
                <w:tab w:val="right" w:pos="9072"/>
              </w:tabs>
              <w:jc w:val="center"/>
              <w:rPr>
                <w:bCs/>
                <w:sz w:val="22"/>
                <w:szCs w:val="22"/>
              </w:rPr>
            </w:pP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52</w:t>
            </w:r>
            <w:r w:rsidRPr="001B3E42">
              <w:rPr>
                <w:sz w:val="22"/>
                <w:szCs w:val="22"/>
              </w:rPr>
              <w:t xml:space="preserve"> </w:t>
            </w:r>
            <w:r w:rsidR="009065F5" w:rsidRPr="001B3E42">
              <w:rPr>
                <w:bCs/>
                <w:sz w:val="22"/>
                <w:szCs w:val="22"/>
              </w:rPr>
              <w:t>nedjelja</w:t>
            </w:r>
          </w:p>
        </w:tc>
        <w:tc>
          <w:tcPr>
            <w:tcW w:w="198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30,0%</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29,8%</w:t>
            </w:r>
          </w:p>
        </w:tc>
        <w:tc>
          <w:tcPr>
            <w:tcW w:w="153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0.983</w:t>
            </w: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Remisija fistula³</w:t>
            </w:r>
          </w:p>
        </w:tc>
        <w:tc>
          <w:tcPr>
            <w:tcW w:w="198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N=15</w:t>
            </w:r>
          </w:p>
        </w:tc>
        <w:tc>
          <w:tcPr>
            <w:tcW w:w="2700" w:type="dxa"/>
            <w:shd w:val="clear" w:color="auto" w:fill="auto"/>
          </w:tcPr>
          <w:p w:rsidR="005D003D" w:rsidRPr="001B3E42" w:rsidRDefault="005D003D" w:rsidP="005D003D">
            <w:pPr>
              <w:tabs>
                <w:tab w:val="center" w:pos="4536"/>
                <w:tab w:val="right" w:pos="9072"/>
              </w:tabs>
              <w:rPr>
                <w:b/>
                <w:bCs/>
                <w:sz w:val="22"/>
                <w:szCs w:val="22"/>
              </w:rPr>
            </w:pPr>
            <w:r w:rsidRPr="001B3E42">
              <w:rPr>
                <w:b/>
                <w:bCs/>
                <w:sz w:val="22"/>
                <w:szCs w:val="22"/>
              </w:rPr>
              <w:t>N=21</w:t>
            </w:r>
          </w:p>
        </w:tc>
        <w:tc>
          <w:tcPr>
            <w:tcW w:w="1530" w:type="dxa"/>
            <w:shd w:val="clear" w:color="auto" w:fill="auto"/>
          </w:tcPr>
          <w:p w:rsidR="005D003D" w:rsidRPr="001B3E42" w:rsidRDefault="005D003D" w:rsidP="005D003D">
            <w:pPr>
              <w:tabs>
                <w:tab w:val="center" w:pos="4536"/>
                <w:tab w:val="right" w:pos="9072"/>
              </w:tabs>
              <w:jc w:val="center"/>
              <w:rPr>
                <w:bCs/>
                <w:sz w:val="22"/>
                <w:szCs w:val="22"/>
              </w:rPr>
            </w:pP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26</w:t>
            </w:r>
            <w:r w:rsidRPr="001B3E42">
              <w:rPr>
                <w:sz w:val="22"/>
                <w:szCs w:val="22"/>
              </w:rPr>
              <w:t xml:space="preserve"> </w:t>
            </w:r>
            <w:r w:rsidR="009065F5" w:rsidRPr="001B3E42">
              <w:rPr>
                <w:bCs/>
                <w:sz w:val="22"/>
                <w:szCs w:val="22"/>
              </w:rPr>
              <w:t>nedjelja</w:t>
            </w:r>
          </w:p>
        </w:tc>
        <w:tc>
          <w:tcPr>
            <w:tcW w:w="198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46,7%</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38,1%</w:t>
            </w:r>
          </w:p>
        </w:tc>
        <w:tc>
          <w:tcPr>
            <w:tcW w:w="153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0.608</w:t>
            </w:r>
          </w:p>
        </w:tc>
      </w:tr>
      <w:tr w:rsidR="005D003D" w:rsidRPr="001B3E42" w:rsidTr="005D003D">
        <w:tc>
          <w:tcPr>
            <w:tcW w:w="2965"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52</w:t>
            </w:r>
            <w:r w:rsidRPr="001B3E42">
              <w:rPr>
                <w:sz w:val="22"/>
                <w:szCs w:val="22"/>
              </w:rPr>
              <w:t xml:space="preserve"> </w:t>
            </w:r>
            <w:r w:rsidR="009065F5" w:rsidRPr="001B3E42">
              <w:rPr>
                <w:bCs/>
                <w:sz w:val="22"/>
                <w:szCs w:val="22"/>
              </w:rPr>
              <w:t>nedjelja</w:t>
            </w:r>
          </w:p>
        </w:tc>
        <w:tc>
          <w:tcPr>
            <w:tcW w:w="198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40,0%</w:t>
            </w:r>
          </w:p>
        </w:tc>
        <w:tc>
          <w:tcPr>
            <w:tcW w:w="270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23,8%</w:t>
            </w:r>
          </w:p>
        </w:tc>
        <w:tc>
          <w:tcPr>
            <w:tcW w:w="1530" w:type="dxa"/>
            <w:shd w:val="clear" w:color="auto" w:fill="auto"/>
          </w:tcPr>
          <w:p w:rsidR="005D003D" w:rsidRPr="001B3E42" w:rsidRDefault="005D003D" w:rsidP="005D003D">
            <w:pPr>
              <w:tabs>
                <w:tab w:val="center" w:pos="4536"/>
                <w:tab w:val="right" w:pos="9072"/>
              </w:tabs>
              <w:rPr>
                <w:bCs/>
                <w:sz w:val="22"/>
                <w:szCs w:val="22"/>
              </w:rPr>
            </w:pPr>
            <w:r w:rsidRPr="001B3E42">
              <w:rPr>
                <w:bCs/>
                <w:sz w:val="22"/>
                <w:szCs w:val="22"/>
              </w:rPr>
              <w:t>0.303</w:t>
            </w:r>
          </w:p>
        </w:tc>
      </w:tr>
    </w:tbl>
    <w:p w:rsidR="005D003D" w:rsidRPr="001B3E42" w:rsidRDefault="005D003D" w:rsidP="00E34552">
      <w:pPr>
        <w:tabs>
          <w:tab w:val="center" w:pos="4536"/>
          <w:tab w:val="right" w:pos="9072"/>
        </w:tabs>
        <w:jc w:val="both"/>
        <w:rPr>
          <w:bCs/>
          <w:sz w:val="20"/>
          <w:szCs w:val="20"/>
        </w:rPr>
      </w:pPr>
      <w:r w:rsidRPr="001B3E42">
        <w:rPr>
          <w:bCs/>
          <w:sz w:val="20"/>
          <w:szCs w:val="20"/>
        </w:rPr>
        <w:t>¹p vrijednost za standardnu dozu u odnosu na nisku dozu</w:t>
      </w:r>
    </w:p>
    <w:p w:rsidR="005D003D" w:rsidRPr="001B3E42" w:rsidRDefault="005D003D" w:rsidP="00E34552">
      <w:pPr>
        <w:tabs>
          <w:tab w:val="center" w:pos="4536"/>
          <w:tab w:val="right" w:pos="9072"/>
        </w:tabs>
        <w:jc w:val="both"/>
        <w:rPr>
          <w:bCs/>
          <w:sz w:val="20"/>
          <w:szCs w:val="20"/>
        </w:rPr>
      </w:pPr>
      <w:r w:rsidRPr="001B3E42">
        <w:rPr>
          <w:bCs/>
          <w:sz w:val="20"/>
          <w:szCs w:val="20"/>
        </w:rPr>
        <w:t>²imunosupresivna terapija mogla je biti prekinuta samo u 26</w:t>
      </w:r>
      <w:r w:rsidRPr="001B3E42">
        <w:rPr>
          <w:sz w:val="20"/>
          <w:szCs w:val="20"/>
        </w:rPr>
        <w:t xml:space="preserve"> </w:t>
      </w:r>
      <w:r w:rsidR="009065F5" w:rsidRPr="001B3E42">
        <w:rPr>
          <w:bCs/>
          <w:sz w:val="20"/>
          <w:szCs w:val="20"/>
        </w:rPr>
        <w:t>nedjelji</w:t>
      </w:r>
      <w:r w:rsidRPr="001B3E42">
        <w:rPr>
          <w:bCs/>
          <w:sz w:val="20"/>
          <w:szCs w:val="20"/>
        </w:rPr>
        <w:t xml:space="preserve"> ili nakon 26 </w:t>
      </w:r>
      <w:r w:rsidR="009065F5" w:rsidRPr="001B3E42">
        <w:rPr>
          <w:bCs/>
          <w:sz w:val="20"/>
          <w:szCs w:val="20"/>
        </w:rPr>
        <w:t>nedjelje</w:t>
      </w:r>
      <w:r w:rsidRPr="001B3E42">
        <w:rPr>
          <w:bCs/>
          <w:sz w:val="20"/>
          <w:szCs w:val="20"/>
        </w:rPr>
        <w:t xml:space="preserve"> ukoliko je kod ispitanika ispunjen kriterijum za klinički odgovor</w:t>
      </w:r>
    </w:p>
    <w:p w:rsidR="005D003D" w:rsidRPr="001B3E42" w:rsidRDefault="005D003D" w:rsidP="00E34552">
      <w:pPr>
        <w:tabs>
          <w:tab w:val="center" w:pos="4536"/>
          <w:tab w:val="right" w:pos="9072"/>
        </w:tabs>
        <w:jc w:val="both"/>
        <w:rPr>
          <w:bCs/>
          <w:sz w:val="20"/>
          <w:szCs w:val="20"/>
        </w:rPr>
      </w:pPr>
      <w:r w:rsidRPr="001B3E42">
        <w:rPr>
          <w:bCs/>
          <w:sz w:val="20"/>
          <w:szCs w:val="20"/>
        </w:rPr>
        <w:t>³definisana kao zatvaranje svih fistula koje su bile drenirane na početku studije, tokom najmanje 2 uzastopne posjete nakon početka liječenja.</w:t>
      </w:r>
    </w:p>
    <w:p w:rsidR="005D003D" w:rsidRPr="001B3E42" w:rsidRDefault="005D003D" w:rsidP="005D003D">
      <w:pPr>
        <w:tabs>
          <w:tab w:val="center" w:pos="4536"/>
          <w:tab w:val="right" w:pos="9072"/>
        </w:tabs>
        <w:rPr>
          <w:bCs/>
        </w:rPr>
      </w:pPr>
    </w:p>
    <w:p w:rsidR="005D003D" w:rsidRPr="001B3E42" w:rsidRDefault="005D003D" w:rsidP="005D003D">
      <w:pPr>
        <w:tabs>
          <w:tab w:val="center" w:pos="4536"/>
          <w:tab w:val="right" w:pos="9072"/>
        </w:tabs>
        <w:jc w:val="both"/>
        <w:rPr>
          <w:bCs/>
          <w:sz w:val="22"/>
          <w:szCs w:val="22"/>
        </w:rPr>
      </w:pPr>
      <w:r w:rsidRPr="001B3E42">
        <w:rPr>
          <w:bCs/>
          <w:sz w:val="22"/>
          <w:szCs w:val="22"/>
        </w:rPr>
        <w:t xml:space="preserve">Statistički značajno povećanje (poboljšanje) indeksa tjelesne mase i brzine rasta, u odnosu na početne vrijednosti, uočeno je </w:t>
      </w:r>
      <w:r w:rsidR="00C75F49" w:rsidRPr="001B3E42">
        <w:rPr>
          <w:bCs/>
          <w:sz w:val="22"/>
          <w:szCs w:val="22"/>
        </w:rPr>
        <w:t>kod</w:t>
      </w:r>
      <w:r w:rsidRPr="001B3E42">
        <w:rPr>
          <w:bCs/>
          <w:sz w:val="22"/>
          <w:szCs w:val="22"/>
        </w:rPr>
        <w:t xml:space="preserve"> obje grupe ispitanika, u 26-toj</w:t>
      </w:r>
      <w:r w:rsidRPr="001B3E42">
        <w:rPr>
          <w:sz w:val="22"/>
          <w:szCs w:val="22"/>
        </w:rPr>
        <w:t xml:space="preserve"> </w:t>
      </w:r>
      <w:r w:rsidR="00BB6AE8" w:rsidRPr="001B3E42">
        <w:rPr>
          <w:bCs/>
          <w:sz w:val="22"/>
          <w:szCs w:val="22"/>
        </w:rPr>
        <w:t>n</w:t>
      </w:r>
      <w:r w:rsidR="009065F5" w:rsidRPr="001B3E42">
        <w:rPr>
          <w:bCs/>
          <w:sz w:val="22"/>
          <w:szCs w:val="22"/>
        </w:rPr>
        <w:t>edjelji</w:t>
      </w:r>
      <w:r w:rsidRPr="001B3E42">
        <w:rPr>
          <w:bCs/>
          <w:sz w:val="22"/>
          <w:szCs w:val="22"/>
        </w:rPr>
        <w:t xml:space="preserve"> i u 52-oj</w:t>
      </w:r>
      <w:r w:rsidRPr="001B3E42">
        <w:rPr>
          <w:sz w:val="22"/>
          <w:szCs w:val="22"/>
        </w:rPr>
        <w:t xml:space="preserve"> </w:t>
      </w:r>
      <w:r w:rsidR="00BB6AE8" w:rsidRPr="001B3E42">
        <w:rPr>
          <w:bCs/>
          <w:sz w:val="22"/>
          <w:szCs w:val="22"/>
        </w:rPr>
        <w:t>n</w:t>
      </w:r>
      <w:r w:rsidR="009065F5" w:rsidRPr="001B3E42">
        <w:rPr>
          <w:bCs/>
          <w:sz w:val="22"/>
          <w:szCs w:val="22"/>
        </w:rPr>
        <w:t>edjelji</w:t>
      </w:r>
      <w:r w:rsidRPr="001B3E42">
        <w:rPr>
          <w:bCs/>
          <w:sz w:val="22"/>
          <w:szCs w:val="22"/>
        </w:rPr>
        <w:t>.</w:t>
      </w:r>
    </w:p>
    <w:p w:rsidR="00BD53A4" w:rsidRPr="001B3E42" w:rsidRDefault="00BD53A4" w:rsidP="005D003D">
      <w:pPr>
        <w:tabs>
          <w:tab w:val="center" w:pos="4536"/>
          <w:tab w:val="right" w:pos="9072"/>
        </w:tabs>
        <w:jc w:val="both"/>
        <w:rPr>
          <w:bCs/>
          <w:sz w:val="22"/>
          <w:szCs w:val="22"/>
        </w:rPr>
      </w:pPr>
    </w:p>
    <w:p w:rsidR="005D003D" w:rsidRPr="001B3E42" w:rsidRDefault="005D003D" w:rsidP="005D003D">
      <w:pPr>
        <w:tabs>
          <w:tab w:val="center" w:pos="4536"/>
          <w:tab w:val="right" w:pos="9072"/>
        </w:tabs>
        <w:jc w:val="both"/>
        <w:rPr>
          <w:bCs/>
          <w:sz w:val="22"/>
          <w:szCs w:val="22"/>
        </w:rPr>
      </w:pPr>
      <w:r w:rsidRPr="001B3E42">
        <w:rPr>
          <w:bCs/>
          <w:sz w:val="22"/>
          <w:szCs w:val="22"/>
        </w:rPr>
        <w:t>Statistički i klinički značajno poboljšanje parametara kvaliteta života (uključujući IMPACT III), u odnosu</w:t>
      </w:r>
      <w:r w:rsidR="00E34552" w:rsidRPr="001B3E42">
        <w:rPr>
          <w:bCs/>
          <w:sz w:val="22"/>
          <w:szCs w:val="22"/>
        </w:rPr>
        <w:t xml:space="preserve"> na početne vrijednosti, takođe</w:t>
      </w:r>
      <w:r w:rsidRPr="001B3E42">
        <w:rPr>
          <w:bCs/>
          <w:sz w:val="22"/>
          <w:szCs w:val="22"/>
        </w:rPr>
        <w:t xml:space="preserve"> je primjećeno u</w:t>
      </w:r>
      <w:r w:rsidR="001E4AB9" w:rsidRPr="001B3E42">
        <w:rPr>
          <w:bCs/>
          <w:sz w:val="22"/>
          <w:szCs w:val="22"/>
        </w:rPr>
        <w:t xml:space="preserve"> obje ispitivane grupe pacijenata</w:t>
      </w:r>
      <w:r w:rsidRPr="001B3E42">
        <w:rPr>
          <w:bCs/>
          <w:sz w:val="22"/>
          <w:szCs w:val="22"/>
        </w:rPr>
        <w:t>.</w:t>
      </w:r>
    </w:p>
    <w:p w:rsidR="005D003D" w:rsidRPr="001B3E42" w:rsidRDefault="005D003D" w:rsidP="005D003D">
      <w:pPr>
        <w:snapToGrid w:val="0"/>
        <w:rPr>
          <w:bCs/>
          <w:sz w:val="22"/>
          <w:szCs w:val="22"/>
        </w:rPr>
      </w:pPr>
    </w:p>
    <w:p w:rsidR="005D003D" w:rsidRPr="001B3E42" w:rsidRDefault="001E4AB9" w:rsidP="005D003D">
      <w:pPr>
        <w:autoSpaceDE w:val="0"/>
        <w:autoSpaceDN w:val="0"/>
        <w:adjustRightInd w:val="0"/>
        <w:jc w:val="both"/>
        <w:rPr>
          <w:i/>
          <w:sz w:val="22"/>
          <w:szCs w:val="22"/>
          <w:u w:val="single"/>
        </w:rPr>
      </w:pPr>
      <w:r w:rsidRPr="001B3E42">
        <w:rPr>
          <w:i/>
          <w:sz w:val="22"/>
          <w:szCs w:val="22"/>
          <w:u w:val="single"/>
        </w:rPr>
        <w:t>Chronova bolest kod odraslih pacijenata</w:t>
      </w:r>
    </w:p>
    <w:p w:rsidR="005D003D" w:rsidRPr="001B3E42" w:rsidRDefault="001E4AB9" w:rsidP="005D003D">
      <w:pPr>
        <w:autoSpaceDE w:val="0"/>
        <w:autoSpaceDN w:val="0"/>
        <w:adjustRightInd w:val="0"/>
        <w:jc w:val="both"/>
        <w:rPr>
          <w:sz w:val="22"/>
          <w:szCs w:val="22"/>
        </w:rPr>
      </w:pPr>
      <w:r w:rsidRPr="001B3E42">
        <w:rPr>
          <w:sz w:val="22"/>
          <w:szCs w:val="22"/>
        </w:rPr>
        <w:t>Efikasnost</w:t>
      </w:r>
      <w:r w:rsidR="005D003D" w:rsidRPr="001B3E42">
        <w:rPr>
          <w:sz w:val="22"/>
          <w:szCs w:val="22"/>
        </w:rPr>
        <w:t xml:space="preserve"> i sigu</w:t>
      </w:r>
      <w:r w:rsidR="0011658F" w:rsidRPr="001B3E42">
        <w:rPr>
          <w:sz w:val="22"/>
          <w:szCs w:val="22"/>
        </w:rPr>
        <w:t xml:space="preserve">rnost primjene </w:t>
      </w:r>
      <w:r w:rsidR="00377FE9" w:rsidRPr="001B3E42">
        <w:rPr>
          <w:sz w:val="22"/>
          <w:szCs w:val="22"/>
        </w:rPr>
        <w:t xml:space="preserve">lijeka </w:t>
      </w:r>
      <w:r w:rsidR="0011658F" w:rsidRPr="001B3E42">
        <w:rPr>
          <w:sz w:val="22"/>
          <w:szCs w:val="22"/>
        </w:rPr>
        <w:t>Humir</w:t>
      </w:r>
      <w:r w:rsidR="00377FE9" w:rsidRPr="001B3E42">
        <w:rPr>
          <w:sz w:val="22"/>
          <w:szCs w:val="22"/>
        </w:rPr>
        <w:t>a</w:t>
      </w:r>
      <w:r w:rsidR="0011658F" w:rsidRPr="001B3E42">
        <w:rPr>
          <w:sz w:val="22"/>
          <w:szCs w:val="22"/>
        </w:rPr>
        <w:t xml:space="preserve"> ispitivani su u randomizovanim</w:t>
      </w:r>
      <w:r w:rsidR="005D003D" w:rsidRPr="001B3E42">
        <w:rPr>
          <w:sz w:val="22"/>
          <w:szCs w:val="22"/>
        </w:rPr>
        <w:t>, dvostruko slijepim, placebo kontroli</w:t>
      </w:r>
      <w:r w:rsidR="00B559D5" w:rsidRPr="001B3E42">
        <w:rPr>
          <w:sz w:val="22"/>
          <w:szCs w:val="22"/>
        </w:rPr>
        <w:t>s</w:t>
      </w:r>
      <w:r w:rsidR="005D003D" w:rsidRPr="001B3E42">
        <w:rPr>
          <w:sz w:val="22"/>
          <w:szCs w:val="22"/>
        </w:rPr>
        <w:t>anim ispiti</w:t>
      </w:r>
      <w:r w:rsidRPr="001B3E42">
        <w:rPr>
          <w:sz w:val="22"/>
          <w:szCs w:val="22"/>
        </w:rPr>
        <w:t>vanjima na preko 1.500 pacijenata</w:t>
      </w:r>
      <w:r w:rsidR="005D003D" w:rsidRPr="001B3E42">
        <w:rPr>
          <w:sz w:val="22"/>
          <w:szCs w:val="22"/>
        </w:rPr>
        <w:t xml:space="preserve"> s umjereno do izrazito aktivnom Crohnovom bolešću (Indeks aktivnosti Crohnove bolesti (CDAI) ≥ 220 i ≤ 450). Istovremena primjena aminosalicilata, kortikoster</w:t>
      </w:r>
      <w:r w:rsidR="00E34552" w:rsidRPr="001B3E42">
        <w:rPr>
          <w:sz w:val="22"/>
          <w:szCs w:val="22"/>
        </w:rPr>
        <w:t>oida i/ili imunomodulatorskih l</w:t>
      </w:r>
      <w:r w:rsidR="005D003D" w:rsidRPr="001B3E42">
        <w:rPr>
          <w:sz w:val="22"/>
          <w:szCs w:val="22"/>
        </w:rPr>
        <w:t>jekova u stabilnim dozama bila je</w:t>
      </w:r>
      <w:r w:rsidRPr="001B3E42">
        <w:rPr>
          <w:sz w:val="22"/>
          <w:szCs w:val="22"/>
        </w:rPr>
        <w:t xml:space="preserve"> dozvoljena, te je 80% pacijenata</w:t>
      </w:r>
      <w:r w:rsidR="005D003D" w:rsidRPr="001B3E42">
        <w:rPr>
          <w:sz w:val="22"/>
          <w:szCs w:val="22"/>
        </w:rPr>
        <w:t xml:space="preserve"> nastavilo u</w:t>
      </w:r>
      <w:r w:rsidRPr="001B3E42">
        <w:rPr>
          <w:sz w:val="22"/>
          <w:szCs w:val="22"/>
        </w:rPr>
        <w:t>zimati najmanje jedan od ovih l</w:t>
      </w:r>
      <w:r w:rsidR="005D003D" w:rsidRPr="001B3E42">
        <w:rPr>
          <w:sz w:val="22"/>
          <w:szCs w:val="22"/>
        </w:rPr>
        <w:t>jekova.</w:t>
      </w:r>
    </w:p>
    <w:p w:rsidR="005D003D" w:rsidRPr="001B3E42" w:rsidRDefault="005D003D" w:rsidP="005D003D">
      <w:pPr>
        <w:autoSpaceDE w:val="0"/>
        <w:autoSpaceDN w:val="0"/>
        <w:adjustRightInd w:val="0"/>
        <w:jc w:val="both"/>
        <w:rPr>
          <w:sz w:val="22"/>
          <w:szCs w:val="22"/>
        </w:rPr>
      </w:pPr>
    </w:p>
    <w:p w:rsidR="005D003D" w:rsidRPr="001B3E42" w:rsidRDefault="005D003D" w:rsidP="005D003D">
      <w:pPr>
        <w:autoSpaceDE w:val="0"/>
        <w:autoSpaceDN w:val="0"/>
        <w:adjustRightInd w:val="0"/>
        <w:jc w:val="both"/>
        <w:rPr>
          <w:sz w:val="22"/>
          <w:szCs w:val="22"/>
        </w:rPr>
      </w:pPr>
      <w:r w:rsidRPr="001B3E42">
        <w:rPr>
          <w:sz w:val="22"/>
          <w:szCs w:val="22"/>
        </w:rPr>
        <w:t>Indukcija kliničke remisije (defini</w:t>
      </w:r>
      <w:r w:rsidR="00B559D5" w:rsidRPr="001B3E42">
        <w:rPr>
          <w:sz w:val="22"/>
          <w:szCs w:val="22"/>
        </w:rPr>
        <w:t>s</w:t>
      </w:r>
      <w:r w:rsidRPr="001B3E42">
        <w:rPr>
          <w:sz w:val="22"/>
          <w:szCs w:val="22"/>
        </w:rPr>
        <w:t>ana kao CDAI &lt; 150) ispitivana je u dva ispitivanja, CD I (CLASSIC I) i CD II (GAIN). U</w:t>
      </w:r>
      <w:r w:rsidR="001E4AB9" w:rsidRPr="001B3E42">
        <w:rPr>
          <w:sz w:val="22"/>
          <w:szCs w:val="22"/>
        </w:rPr>
        <w:t xml:space="preserve"> ispitivanju CD I, 299 pacijenata</w:t>
      </w:r>
      <w:r w:rsidRPr="001B3E42">
        <w:rPr>
          <w:sz w:val="22"/>
          <w:szCs w:val="22"/>
        </w:rPr>
        <w:t xml:space="preserve"> koji nikad nisu primali terapiju </w:t>
      </w:r>
      <w:r w:rsidR="0011658F" w:rsidRPr="001B3E42">
        <w:rPr>
          <w:sz w:val="22"/>
          <w:szCs w:val="22"/>
        </w:rPr>
        <w:t>antagonistom TNF-a randomizovani</w:t>
      </w:r>
      <w:r w:rsidRPr="001B3E42">
        <w:rPr>
          <w:sz w:val="22"/>
          <w:szCs w:val="22"/>
        </w:rPr>
        <w:t xml:space="preserve"> su u jednu od 4 terapijske grupe: placebo u </w:t>
      </w:r>
      <w:r w:rsidR="00BB6AE8" w:rsidRPr="001B3E42">
        <w:rPr>
          <w:sz w:val="22"/>
          <w:szCs w:val="22"/>
        </w:rPr>
        <w:t>n</w:t>
      </w:r>
      <w:r w:rsidR="009065F5" w:rsidRPr="001B3E42">
        <w:rPr>
          <w:sz w:val="22"/>
          <w:szCs w:val="22"/>
        </w:rPr>
        <w:t>edjelji</w:t>
      </w:r>
      <w:r w:rsidRPr="001B3E42">
        <w:rPr>
          <w:sz w:val="22"/>
          <w:szCs w:val="22"/>
        </w:rPr>
        <w:t xml:space="preserve"> 0 i u </w:t>
      </w:r>
      <w:r w:rsidR="00BB6AE8" w:rsidRPr="001B3E42">
        <w:rPr>
          <w:sz w:val="22"/>
          <w:szCs w:val="22"/>
        </w:rPr>
        <w:t>n</w:t>
      </w:r>
      <w:r w:rsidR="009065F5" w:rsidRPr="001B3E42">
        <w:rPr>
          <w:sz w:val="22"/>
          <w:szCs w:val="22"/>
        </w:rPr>
        <w:t>edjelji</w:t>
      </w:r>
      <w:r w:rsidRPr="001B3E42">
        <w:rPr>
          <w:sz w:val="22"/>
          <w:szCs w:val="22"/>
        </w:rPr>
        <w:t xml:space="preserve"> 2, Humira 160 mg u </w:t>
      </w:r>
      <w:r w:rsidR="00BB6AE8" w:rsidRPr="001B3E42">
        <w:rPr>
          <w:sz w:val="22"/>
          <w:szCs w:val="22"/>
        </w:rPr>
        <w:t>n</w:t>
      </w:r>
      <w:r w:rsidR="009065F5" w:rsidRPr="001B3E42">
        <w:rPr>
          <w:sz w:val="22"/>
          <w:szCs w:val="22"/>
        </w:rPr>
        <w:t>edjelji</w:t>
      </w:r>
      <w:r w:rsidRPr="001B3E42">
        <w:rPr>
          <w:sz w:val="22"/>
          <w:szCs w:val="22"/>
        </w:rPr>
        <w:t xml:space="preserve"> 0 i 80 mg u </w:t>
      </w:r>
      <w:r w:rsidR="00BB6AE8" w:rsidRPr="001B3E42">
        <w:rPr>
          <w:sz w:val="22"/>
          <w:szCs w:val="22"/>
        </w:rPr>
        <w:t>n</w:t>
      </w:r>
      <w:r w:rsidR="009065F5" w:rsidRPr="001B3E42">
        <w:rPr>
          <w:sz w:val="22"/>
          <w:szCs w:val="22"/>
        </w:rPr>
        <w:t>edjelji</w:t>
      </w:r>
      <w:r w:rsidRPr="001B3E42">
        <w:rPr>
          <w:sz w:val="22"/>
          <w:szCs w:val="22"/>
        </w:rPr>
        <w:t xml:space="preserve"> 2, Humira 80 mg u </w:t>
      </w:r>
      <w:r w:rsidR="00BB6AE8" w:rsidRPr="001B3E42">
        <w:rPr>
          <w:sz w:val="22"/>
          <w:szCs w:val="22"/>
        </w:rPr>
        <w:t>n</w:t>
      </w:r>
      <w:r w:rsidR="009065F5" w:rsidRPr="001B3E42">
        <w:rPr>
          <w:sz w:val="22"/>
          <w:szCs w:val="22"/>
        </w:rPr>
        <w:t>edjelji</w:t>
      </w:r>
      <w:r w:rsidRPr="001B3E42">
        <w:rPr>
          <w:sz w:val="22"/>
          <w:szCs w:val="22"/>
        </w:rPr>
        <w:t xml:space="preserve"> 0 i 40 mg u </w:t>
      </w:r>
      <w:r w:rsidR="00BB6AE8" w:rsidRPr="001B3E42">
        <w:rPr>
          <w:sz w:val="22"/>
          <w:szCs w:val="22"/>
        </w:rPr>
        <w:t>n</w:t>
      </w:r>
      <w:r w:rsidR="009065F5" w:rsidRPr="001B3E42">
        <w:rPr>
          <w:sz w:val="22"/>
          <w:szCs w:val="22"/>
        </w:rPr>
        <w:t>edjelji</w:t>
      </w:r>
      <w:r w:rsidRPr="001B3E42">
        <w:rPr>
          <w:sz w:val="22"/>
          <w:szCs w:val="22"/>
        </w:rPr>
        <w:t xml:space="preserve"> 2, Humira 40 mg u </w:t>
      </w:r>
      <w:r w:rsidR="00BB6AE8" w:rsidRPr="001B3E42">
        <w:rPr>
          <w:sz w:val="22"/>
          <w:szCs w:val="22"/>
        </w:rPr>
        <w:t>n</w:t>
      </w:r>
      <w:r w:rsidR="009065F5" w:rsidRPr="001B3E42">
        <w:rPr>
          <w:sz w:val="22"/>
          <w:szCs w:val="22"/>
        </w:rPr>
        <w:t>edjelji</w:t>
      </w:r>
      <w:r w:rsidRPr="001B3E42">
        <w:rPr>
          <w:sz w:val="22"/>
          <w:szCs w:val="22"/>
        </w:rPr>
        <w:t xml:space="preserve"> 0 i 20 mg u </w:t>
      </w:r>
      <w:r w:rsidR="00BB6AE8" w:rsidRPr="001B3E42">
        <w:rPr>
          <w:sz w:val="22"/>
          <w:szCs w:val="22"/>
        </w:rPr>
        <w:t>n</w:t>
      </w:r>
      <w:r w:rsidR="009065F5" w:rsidRPr="001B3E42">
        <w:rPr>
          <w:sz w:val="22"/>
          <w:szCs w:val="22"/>
        </w:rPr>
        <w:t>edjelji</w:t>
      </w:r>
      <w:r w:rsidRPr="001B3E42">
        <w:rPr>
          <w:sz w:val="22"/>
          <w:szCs w:val="22"/>
        </w:rPr>
        <w:t xml:space="preserve"> 2. U </w:t>
      </w:r>
      <w:r w:rsidR="001E4AB9" w:rsidRPr="001B3E42">
        <w:rPr>
          <w:sz w:val="22"/>
          <w:szCs w:val="22"/>
        </w:rPr>
        <w:t>ispitivanju CD II, 325 pacijenata</w:t>
      </w:r>
      <w:r w:rsidRPr="001B3E42">
        <w:rPr>
          <w:sz w:val="22"/>
          <w:szCs w:val="22"/>
        </w:rPr>
        <w:t xml:space="preserve"> koji su izgubili odgovor ili nisu podnosili tera</w:t>
      </w:r>
      <w:r w:rsidR="0011658F" w:rsidRPr="001B3E42">
        <w:rPr>
          <w:sz w:val="22"/>
          <w:szCs w:val="22"/>
        </w:rPr>
        <w:t>piju infliksimabom randomizovani</w:t>
      </w:r>
      <w:r w:rsidRPr="001B3E42">
        <w:rPr>
          <w:sz w:val="22"/>
          <w:szCs w:val="22"/>
        </w:rPr>
        <w:t xml:space="preserve"> su ili u grupu koja je primala 160 mg </w:t>
      </w:r>
      <w:r w:rsidR="00377FE9" w:rsidRPr="001B3E42">
        <w:rPr>
          <w:sz w:val="22"/>
          <w:szCs w:val="22"/>
        </w:rPr>
        <w:t xml:space="preserve">lijeka </w:t>
      </w:r>
      <w:r w:rsidRPr="001B3E42">
        <w:rPr>
          <w:sz w:val="22"/>
          <w:szCs w:val="22"/>
        </w:rPr>
        <w:t>Humir</w:t>
      </w:r>
      <w:r w:rsidR="00377FE9" w:rsidRPr="001B3E42">
        <w:rPr>
          <w:sz w:val="22"/>
          <w:szCs w:val="22"/>
        </w:rPr>
        <w:t>a</w:t>
      </w:r>
      <w:r w:rsidRPr="001B3E42">
        <w:rPr>
          <w:sz w:val="22"/>
          <w:szCs w:val="22"/>
        </w:rPr>
        <w:t xml:space="preserve"> u </w:t>
      </w:r>
      <w:r w:rsidR="00BB6AE8" w:rsidRPr="001B3E42">
        <w:rPr>
          <w:sz w:val="22"/>
          <w:szCs w:val="22"/>
        </w:rPr>
        <w:t>n</w:t>
      </w:r>
      <w:r w:rsidR="009065F5" w:rsidRPr="001B3E42">
        <w:rPr>
          <w:sz w:val="22"/>
          <w:szCs w:val="22"/>
        </w:rPr>
        <w:t>edjelji</w:t>
      </w:r>
      <w:r w:rsidRPr="001B3E42">
        <w:rPr>
          <w:sz w:val="22"/>
          <w:szCs w:val="22"/>
        </w:rPr>
        <w:t xml:space="preserve"> 0 i 80 mg </w:t>
      </w:r>
      <w:r w:rsidR="00377FE9" w:rsidRPr="001B3E42">
        <w:rPr>
          <w:sz w:val="22"/>
          <w:szCs w:val="22"/>
        </w:rPr>
        <w:t xml:space="preserve">lijeka </w:t>
      </w:r>
      <w:r w:rsidRPr="001B3E42">
        <w:rPr>
          <w:sz w:val="22"/>
          <w:szCs w:val="22"/>
        </w:rPr>
        <w:t>Humir</w:t>
      </w:r>
      <w:r w:rsidR="00377FE9" w:rsidRPr="001B3E42">
        <w:rPr>
          <w:sz w:val="22"/>
          <w:szCs w:val="22"/>
        </w:rPr>
        <w:t>a</w:t>
      </w:r>
      <w:r w:rsidRPr="001B3E42">
        <w:rPr>
          <w:sz w:val="22"/>
          <w:szCs w:val="22"/>
        </w:rPr>
        <w:t xml:space="preserve"> </w:t>
      </w:r>
      <w:r w:rsidR="00BB6AE8" w:rsidRPr="001B3E42">
        <w:rPr>
          <w:sz w:val="22"/>
          <w:szCs w:val="22"/>
        </w:rPr>
        <w:t>n</w:t>
      </w:r>
      <w:r w:rsidR="009065F5" w:rsidRPr="001B3E42">
        <w:rPr>
          <w:sz w:val="22"/>
          <w:szCs w:val="22"/>
        </w:rPr>
        <w:t>edjelji</w:t>
      </w:r>
      <w:r w:rsidRPr="001B3E42">
        <w:rPr>
          <w:sz w:val="22"/>
          <w:szCs w:val="22"/>
        </w:rPr>
        <w:t xml:space="preserve"> 2 ili u grupu koja je primala placebo u </w:t>
      </w:r>
      <w:r w:rsidR="00BB6AE8" w:rsidRPr="001B3E42">
        <w:rPr>
          <w:sz w:val="22"/>
          <w:szCs w:val="22"/>
        </w:rPr>
        <w:t>n</w:t>
      </w:r>
      <w:r w:rsidR="009065F5" w:rsidRPr="001B3E42">
        <w:rPr>
          <w:sz w:val="22"/>
          <w:szCs w:val="22"/>
        </w:rPr>
        <w:t>edjelji</w:t>
      </w:r>
      <w:r w:rsidRPr="001B3E42">
        <w:rPr>
          <w:sz w:val="22"/>
          <w:szCs w:val="22"/>
        </w:rPr>
        <w:t xml:space="preserve"> 0, odno</w:t>
      </w:r>
      <w:r w:rsidR="001E4AB9" w:rsidRPr="001B3E42">
        <w:rPr>
          <w:sz w:val="22"/>
          <w:szCs w:val="22"/>
        </w:rPr>
        <w:t xml:space="preserve">sno u </w:t>
      </w:r>
      <w:r w:rsidR="00BB6AE8" w:rsidRPr="001B3E42">
        <w:rPr>
          <w:sz w:val="22"/>
          <w:szCs w:val="22"/>
        </w:rPr>
        <w:t>n</w:t>
      </w:r>
      <w:r w:rsidR="009065F5" w:rsidRPr="001B3E42">
        <w:rPr>
          <w:sz w:val="22"/>
          <w:szCs w:val="22"/>
        </w:rPr>
        <w:t>edjelji</w:t>
      </w:r>
      <w:r w:rsidR="001E4AB9" w:rsidRPr="001B3E42">
        <w:rPr>
          <w:sz w:val="22"/>
          <w:szCs w:val="22"/>
        </w:rPr>
        <w:t xml:space="preserve"> 2. Pacijenti</w:t>
      </w:r>
      <w:r w:rsidRPr="001B3E42">
        <w:rPr>
          <w:sz w:val="22"/>
          <w:szCs w:val="22"/>
        </w:rPr>
        <w:t xml:space="preserve"> kod kojih nije postignut odgovor nakon prve doze isključeni su iz daljnjeg toka istraživanja.</w:t>
      </w:r>
    </w:p>
    <w:p w:rsidR="005D003D" w:rsidRPr="001B3E42" w:rsidRDefault="005D003D" w:rsidP="005D003D">
      <w:pPr>
        <w:autoSpaceDE w:val="0"/>
        <w:autoSpaceDN w:val="0"/>
        <w:adjustRightInd w:val="0"/>
        <w:jc w:val="both"/>
        <w:rPr>
          <w:sz w:val="22"/>
          <w:szCs w:val="22"/>
        </w:rPr>
      </w:pPr>
    </w:p>
    <w:p w:rsidR="005D003D" w:rsidRPr="001B3E42" w:rsidRDefault="005D003D" w:rsidP="001E4AB9">
      <w:pPr>
        <w:autoSpaceDE w:val="0"/>
        <w:autoSpaceDN w:val="0"/>
        <w:adjustRightInd w:val="0"/>
        <w:jc w:val="both"/>
        <w:rPr>
          <w:sz w:val="22"/>
          <w:szCs w:val="22"/>
        </w:rPr>
      </w:pPr>
      <w:r w:rsidRPr="001B3E42">
        <w:rPr>
          <w:sz w:val="22"/>
          <w:szCs w:val="22"/>
        </w:rPr>
        <w:t>Održavanje kliničke remisije ocjenjivano je u ispitivanju CD III (CHARM). U ovom otvo</w:t>
      </w:r>
      <w:r w:rsidR="001E4AB9" w:rsidRPr="001B3E42">
        <w:rPr>
          <w:sz w:val="22"/>
          <w:szCs w:val="22"/>
        </w:rPr>
        <w:t>renom ispitivanju, 854 pacijenata</w:t>
      </w:r>
      <w:r w:rsidRPr="001B3E42">
        <w:rPr>
          <w:sz w:val="22"/>
          <w:szCs w:val="22"/>
        </w:rPr>
        <w:t xml:space="preserve"> primilo je 80 mg </w:t>
      </w:r>
      <w:r w:rsidR="00377FE9" w:rsidRPr="001B3E42">
        <w:rPr>
          <w:sz w:val="22"/>
          <w:szCs w:val="22"/>
        </w:rPr>
        <w:t xml:space="preserve">lijeka </w:t>
      </w:r>
      <w:r w:rsidRPr="001B3E42">
        <w:rPr>
          <w:sz w:val="22"/>
          <w:szCs w:val="22"/>
        </w:rPr>
        <w:t>Humir</w:t>
      </w:r>
      <w:r w:rsidR="00377FE9" w:rsidRPr="001B3E42">
        <w:rPr>
          <w:sz w:val="22"/>
          <w:szCs w:val="22"/>
        </w:rPr>
        <w:t>a</w:t>
      </w:r>
      <w:r w:rsidRPr="001B3E42">
        <w:rPr>
          <w:sz w:val="22"/>
          <w:szCs w:val="22"/>
        </w:rPr>
        <w:t xml:space="preserve"> u </w:t>
      </w:r>
      <w:r w:rsidR="00BB6AE8" w:rsidRPr="001B3E42">
        <w:rPr>
          <w:sz w:val="22"/>
          <w:szCs w:val="22"/>
        </w:rPr>
        <w:t>n</w:t>
      </w:r>
      <w:r w:rsidR="009065F5" w:rsidRPr="001B3E42">
        <w:rPr>
          <w:sz w:val="22"/>
          <w:szCs w:val="22"/>
        </w:rPr>
        <w:t>edjelji</w:t>
      </w:r>
      <w:r w:rsidRPr="001B3E42">
        <w:rPr>
          <w:sz w:val="22"/>
          <w:szCs w:val="22"/>
        </w:rPr>
        <w:t xml:space="preserve"> 0, a 40 mg u </w:t>
      </w:r>
      <w:r w:rsidR="00BB6AE8" w:rsidRPr="001B3E42">
        <w:rPr>
          <w:sz w:val="22"/>
          <w:szCs w:val="22"/>
        </w:rPr>
        <w:t>n</w:t>
      </w:r>
      <w:r w:rsidR="009065F5" w:rsidRPr="001B3E42">
        <w:rPr>
          <w:sz w:val="22"/>
          <w:szCs w:val="22"/>
        </w:rPr>
        <w:t>edjelji</w:t>
      </w:r>
      <w:r w:rsidR="001E4AB9" w:rsidRPr="001B3E42">
        <w:rPr>
          <w:sz w:val="22"/>
          <w:szCs w:val="22"/>
        </w:rPr>
        <w:t xml:space="preserve"> 2. U četvrtoj </w:t>
      </w:r>
      <w:r w:rsidR="009065F5" w:rsidRPr="001B3E42">
        <w:rPr>
          <w:sz w:val="22"/>
          <w:szCs w:val="22"/>
        </w:rPr>
        <w:t>nedjelji</w:t>
      </w:r>
      <w:r w:rsidR="001E4AB9" w:rsidRPr="001B3E42">
        <w:rPr>
          <w:sz w:val="22"/>
          <w:szCs w:val="22"/>
        </w:rPr>
        <w:t xml:space="preserve"> pacijenti</w:t>
      </w:r>
      <w:r w:rsidR="0011658F" w:rsidRPr="001B3E42">
        <w:rPr>
          <w:sz w:val="22"/>
          <w:szCs w:val="22"/>
        </w:rPr>
        <w:t xml:space="preserve"> su randomizovani</w:t>
      </w:r>
      <w:r w:rsidRPr="001B3E42">
        <w:rPr>
          <w:sz w:val="22"/>
          <w:szCs w:val="22"/>
        </w:rPr>
        <w:t xml:space="preserve"> u grupe koje su primale 40 mg </w:t>
      </w:r>
      <w:r w:rsidR="00377FE9" w:rsidRPr="001B3E42">
        <w:rPr>
          <w:sz w:val="22"/>
          <w:szCs w:val="22"/>
        </w:rPr>
        <w:t xml:space="preserve">lijeka </w:t>
      </w:r>
      <w:r w:rsidRPr="001B3E42">
        <w:rPr>
          <w:sz w:val="22"/>
          <w:szCs w:val="22"/>
        </w:rPr>
        <w:t>Humir</w:t>
      </w:r>
      <w:r w:rsidR="00377FE9" w:rsidRPr="001B3E42">
        <w:rPr>
          <w:sz w:val="22"/>
          <w:szCs w:val="22"/>
        </w:rPr>
        <w:t>a</w:t>
      </w:r>
      <w:r w:rsidRPr="001B3E42">
        <w:rPr>
          <w:sz w:val="22"/>
          <w:szCs w:val="22"/>
        </w:rPr>
        <w:t xml:space="preserve"> svake </w:t>
      </w:r>
      <w:r w:rsidR="009065F5" w:rsidRPr="001B3E42">
        <w:rPr>
          <w:sz w:val="22"/>
          <w:szCs w:val="22"/>
        </w:rPr>
        <w:t>nedjelje</w:t>
      </w:r>
      <w:r w:rsidRPr="001B3E42">
        <w:rPr>
          <w:sz w:val="22"/>
          <w:szCs w:val="22"/>
        </w:rPr>
        <w:t xml:space="preserve">, 40 mg </w:t>
      </w:r>
      <w:r w:rsidR="00377FE9" w:rsidRPr="001B3E42">
        <w:rPr>
          <w:sz w:val="22"/>
          <w:szCs w:val="22"/>
        </w:rPr>
        <w:t xml:space="preserve">lijeka </w:t>
      </w:r>
      <w:r w:rsidRPr="001B3E42">
        <w:rPr>
          <w:sz w:val="22"/>
          <w:szCs w:val="22"/>
        </w:rPr>
        <w:t>Humir</w:t>
      </w:r>
      <w:r w:rsidR="00377FE9" w:rsidRPr="001B3E42">
        <w:rPr>
          <w:sz w:val="22"/>
          <w:szCs w:val="22"/>
        </w:rPr>
        <w:t>a</w:t>
      </w:r>
      <w:r w:rsidRPr="001B3E42">
        <w:rPr>
          <w:sz w:val="22"/>
          <w:szCs w:val="22"/>
        </w:rPr>
        <w:t xml:space="preserve"> svake druge </w:t>
      </w:r>
      <w:r w:rsidR="009065F5" w:rsidRPr="001B3E42">
        <w:rPr>
          <w:sz w:val="22"/>
          <w:szCs w:val="22"/>
        </w:rPr>
        <w:t>nedjelje</w:t>
      </w:r>
      <w:r w:rsidRPr="001B3E42">
        <w:rPr>
          <w:sz w:val="22"/>
          <w:szCs w:val="22"/>
        </w:rPr>
        <w:t xml:space="preserve"> ili placebo tokom ukupnog perioda trajanja ispi</w:t>
      </w:r>
      <w:r w:rsidR="001E4AB9" w:rsidRPr="001B3E42">
        <w:rPr>
          <w:sz w:val="22"/>
          <w:szCs w:val="22"/>
        </w:rPr>
        <w:t xml:space="preserve">tivanja od 56 </w:t>
      </w:r>
      <w:r w:rsidR="009065F5" w:rsidRPr="001B3E42">
        <w:rPr>
          <w:sz w:val="22"/>
          <w:szCs w:val="22"/>
        </w:rPr>
        <w:t>nedjelja</w:t>
      </w:r>
      <w:r w:rsidR="001E4AB9" w:rsidRPr="001B3E42">
        <w:rPr>
          <w:sz w:val="22"/>
          <w:szCs w:val="22"/>
        </w:rPr>
        <w:t xml:space="preserve">. </w:t>
      </w:r>
      <w:r w:rsidRPr="001B3E42">
        <w:rPr>
          <w:sz w:val="22"/>
          <w:szCs w:val="22"/>
        </w:rPr>
        <w:t xml:space="preserve"> </w:t>
      </w:r>
      <w:r w:rsidR="001E4AB9" w:rsidRPr="001B3E42">
        <w:rPr>
          <w:sz w:val="22"/>
          <w:szCs w:val="22"/>
        </w:rPr>
        <w:t xml:space="preserve">Pacijenti </w:t>
      </w:r>
      <w:r w:rsidRPr="001B3E42">
        <w:rPr>
          <w:sz w:val="22"/>
          <w:szCs w:val="22"/>
        </w:rPr>
        <w:t>s kliničkim odgo</w:t>
      </w:r>
      <w:r w:rsidR="00BB6AE8" w:rsidRPr="001B3E42">
        <w:rPr>
          <w:sz w:val="22"/>
          <w:szCs w:val="22"/>
        </w:rPr>
        <w:t>vorom (smanjenje CDAI ≥ 70) u 4</w:t>
      </w:r>
      <w:r w:rsidRPr="001B3E42">
        <w:rPr>
          <w:sz w:val="22"/>
          <w:szCs w:val="22"/>
        </w:rPr>
        <w:t xml:space="preserve"> </w:t>
      </w:r>
      <w:r w:rsidR="009065F5" w:rsidRPr="001B3E42">
        <w:rPr>
          <w:sz w:val="22"/>
          <w:szCs w:val="22"/>
        </w:rPr>
        <w:t>nedjelji</w:t>
      </w:r>
      <w:r w:rsidRPr="001B3E42">
        <w:rPr>
          <w:sz w:val="22"/>
          <w:szCs w:val="22"/>
        </w:rPr>
        <w:t xml:space="preserve"> su stratificirani i </w:t>
      </w:r>
      <w:r w:rsidRPr="001B3E42">
        <w:rPr>
          <w:sz w:val="22"/>
          <w:szCs w:val="22"/>
        </w:rPr>
        <w:lastRenderedPageBreak/>
        <w:t xml:space="preserve">analizirani odvojeno od </w:t>
      </w:r>
      <w:r w:rsidR="001E4AB9" w:rsidRPr="001B3E42">
        <w:rPr>
          <w:sz w:val="22"/>
          <w:szCs w:val="22"/>
        </w:rPr>
        <w:t>pacijenata</w:t>
      </w:r>
      <w:r w:rsidRPr="001B3E42">
        <w:rPr>
          <w:sz w:val="22"/>
          <w:szCs w:val="22"/>
        </w:rPr>
        <w:t xml:space="preserve"> bez kliničkog odgovora u 4-toj </w:t>
      </w:r>
      <w:r w:rsidR="009065F5" w:rsidRPr="001B3E42">
        <w:rPr>
          <w:sz w:val="22"/>
          <w:szCs w:val="22"/>
        </w:rPr>
        <w:t>nedjelji</w:t>
      </w:r>
      <w:r w:rsidRPr="001B3E42">
        <w:rPr>
          <w:sz w:val="22"/>
          <w:szCs w:val="22"/>
        </w:rPr>
        <w:t xml:space="preserve">. Dozvoljeno je smanjenje doze kortikosteroida nakon 8 </w:t>
      </w:r>
      <w:r w:rsidR="009065F5" w:rsidRPr="001B3E42">
        <w:rPr>
          <w:sz w:val="22"/>
          <w:szCs w:val="22"/>
        </w:rPr>
        <w:t>nedjelja</w:t>
      </w:r>
      <w:r w:rsidRPr="001B3E42">
        <w:rPr>
          <w:sz w:val="22"/>
          <w:szCs w:val="22"/>
        </w:rPr>
        <w:t xml:space="preserve">. </w:t>
      </w:r>
    </w:p>
    <w:p w:rsidR="005D003D" w:rsidRPr="001B3E42" w:rsidRDefault="005D003D" w:rsidP="005D003D">
      <w:pPr>
        <w:autoSpaceDE w:val="0"/>
        <w:autoSpaceDN w:val="0"/>
        <w:adjustRightInd w:val="0"/>
        <w:jc w:val="both"/>
        <w:rPr>
          <w:sz w:val="22"/>
          <w:szCs w:val="22"/>
        </w:rPr>
      </w:pPr>
    </w:p>
    <w:p w:rsidR="005D003D" w:rsidRPr="001B3E42" w:rsidRDefault="005D003D" w:rsidP="005D003D">
      <w:pPr>
        <w:autoSpaceDE w:val="0"/>
        <w:autoSpaceDN w:val="0"/>
        <w:adjustRightInd w:val="0"/>
        <w:jc w:val="both"/>
        <w:rPr>
          <w:sz w:val="22"/>
          <w:szCs w:val="22"/>
        </w:rPr>
      </w:pPr>
      <w:r w:rsidRPr="001B3E42">
        <w:rPr>
          <w:sz w:val="22"/>
          <w:szCs w:val="22"/>
        </w:rPr>
        <w:t xml:space="preserve">Indukcija remisije i stopa kliničkog odgovora ispitivanja CD I i II prikazani su u Tabeli 12. </w:t>
      </w:r>
    </w:p>
    <w:p w:rsidR="005D003D" w:rsidRPr="001B3E42" w:rsidRDefault="005D003D" w:rsidP="00BD53A4">
      <w:pPr>
        <w:autoSpaceDE w:val="0"/>
        <w:autoSpaceDN w:val="0"/>
        <w:adjustRightInd w:val="0"/>
        <w:jc w:val="center"/>
        <w:rPr>
          <w:b/>
          <w:sz w:val="22"/>
          <w:szCs w:val="22"/>
        </w:rPr>
      </w:pPr>
      <w:r w:rsidRPr="001B3E42">
        <w:rPr>
          <w:b/>
          <w:sz w:val="22"/>
          <w:szCs w:val="22"/>
        </w:rPr>
        <w:t>Tabela 12</w:t>
      </w:r>
    </w:p>
    <w:p w:rsidR="005D003D" w:rsidRPr="001B3E42" w:rsidRDefault="005D003D" w:rsidP="00BD53A4">
      <w:pPr>
        <w:autoSpaceDE w:val="0"/>
        <w:autoSpaceDN w:val="0"/>
        <w:adjustRightInd w:val="0"/>
        <w:jc w:val="center"/>
        <w:rPr>
          <w:b/>
          <w:sz w:val="22"/>
          <w:szCs w:val="22"/>
        </w:rPr>
      </w:pPr>
      <w:r w:rsidRPr="001B3E42">
        <w:rPr>
          <w:b/>
          <w:sz w:val="22"/>
          <w:szCs w:val="22"/>
        </w:rPr>
        <w:t>Indukcija kliničke remisije i kliničkog odgovora</w:t>
      </w:r>
    </w:p>
    <w:p w:rsidR="005D003D" w:rsidRDefault="005D003D" w:rsidP="003428F0">
      <w:pPr>
        <w:autoSpaceDE w:val="0"/>
        <w:autoSpaceDN w:val="0"/>
        <w:adjustRightInd w:val="0"/>
        <w:jc w:val="center"/>
        <w:rPr>
          <w:b/>
          <w:sz w:val="22"/>
          <w:szCs w:val="22"/>
        </w:rPr>
      </w:pPr>
      <w:r w:rsidRPr="001B3E42">
        <w:rPr>
          <w:b/>
          <w:sz w:val="22"/>
          <w:szCs w:val="22"/>
        </w:rPr>
        <w:t xml:space="preserve">(Procenat </w:t>
      </w:r>
      <w:r w:rsidR="001E4AB9" w:rsidRPr="001B3E42">
        <w:rPr>
          <w:b/>
          <w:sz w:val="22"/>
          <w:szCs w:val="22"/>
        </w:rPr>
        <w:t>pacijenata)</w:t>
      </w:r>
    </w:p>
    <w:p w:rsidR="003428F0" w:rsidRPr="001B3E42" w:rsidRDefault="003428F0" w:rsidP="003428F0">
      <w:pPr>
        <w:autoSpaceDE w:val="0"/>
        <w:autoSpaceDN w:val="0"/>
        <w:adjustRightInd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418"/>
        <w:gridCol w:w="1417"/>
        <w:gridCol w:w="1418"/>
        <w:gridCol w:w="1375"/>
      </w:tblGrid>
      <w:tr w:rsidR="005D003D" w:rsidRPr="001B3E42" w:rsidTr="005D003D">
        <w:tc>
          <w:tcPr>
            <w:tcW w:w="2235" w:type="dxa"/>
            <w:shd w:val="clear" w:color="auto" w:fill="auto"/>
          </w:tcPr>
          <w:p w:rsidR="005D003D" w:rsidRPr="001B3E42" w:rsidRDefault="005D003D" w:rsidP="005D003D">
            <w:pPr>
              <w:autoSpaceDE w:val="0"/>
              <w:autoSpaceDN w:val="0"/>
              <w:adjustRightInd w:val="0"/>
              <w:jc w:val="both"/>
              <w:rPr>
                <w:sz w:val="22"/>
                <w:szCs w:val="22"/>
              </w:rPr>
            </w:pPr>
          </w:p>
        </w:tc>
        <w:tc>
          <w:tcPr>
            <w:tcW w:w="4252" w:type="dxa"/>
            <w:gridSpan w:val="3"/>
            <w:shd w:val="clear" w:color="auto" w:fill="auto"/>
          </w:tcPr>
          <w:p w:rsidR="005D003D" w:rsidRPr="001B3E42" w:rsidRDefault="00635624" w:rsidP="00CC67E5">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CD I: pacijenti</w:t>
            </w:r>
            <w:r w:rsidR="005D003D" w:rsidRPr="001B3E42">
              <w:rPr>
                <w:rFonts w:ascii="TimesNewRomanPS-BoldMT" w:hAnsi="TimesNewRomanPS-BoldMT" w:cs="TimesNewRomanPS-BoldMT"/>
                <w:b/>
                <w:bCs/>
                <w:sz w:val="22"/>
                <w:szCs w:val="22"/>
              </w:rPr>
              <w:t xml:space="preserve"> koji prethodno nisu uzimali </w:t>
            </w:r>
            <w:r w:rsidR="00CC67E5" w:rsidRPr="001B3E42">
              <w:rPr>
                <w:rFonts w:ascii="TimesNewRomanPS-BoldMT" w:hAnsi="TimesNewRomanPS-BoldMT" w:cs="TimesNewRomanPS-BoldMT"/>
                <w:b/>
                <w:bCs/>
                <w:sz w:val="22"/>
                <w:szCs w:val="22"/>
              </w:rPr>
              <w:t>i</w:t>
            </w:r>
            <w:r w:rsidR="005D003D" w:rsidRPr="001B3E42">
              <w:rPr>
                <w:rFonts w:ascii="TimesNewRomanPS-BoldMT" w:hAnsi="TimesNewRomanPS-BoldMT" w:cs="TimesNewRomanPS-BoldMT"/>
                <w:b/>
                <w:bCs/>
                <w:sz w:val="22"/>
                <w:szCs w:val="22"/>
              </w:rPr>
              <w:t>nfliksimab</w:t>
            </w:r>
          </w:p>
        </w:tc>
        <w:tc>
          <w:tcPr>
            <w:tcW w:w="2793" w:type="dxa"/>
            <w:gridSpan w:val="2"/>
            <w:shd w:val="clear" w:color="auto" w:fill="auto"/>
          </w:tcPr>
          <w:p w:rsidR="005D003D" w:rsidRPr="001B3E42" w:rsidRDefault="001E4AB9" w:rsidP="005D003D">
            <w:pPr>
              <w:autoSpaceDE w:val="0"/>
              <w:autoSpaceDN w:val="0"/>
              <w:adjustRightInd w:val="0"/>
              <w:rPr>
                <w:sz w:val="22"/>
                <w:szCs w:val="22"/>
              </w:rPr>
            </w:pPr>
            <w:r w:rsidRPr="001B3E42">
              <w:rPr>
                <w:rFonts w:ascii="TimesNewRomanPS-BoldMT" w:hAnsi="TimesNewRomanPS-BoldMT" w:cs="TimesNewRomanPS-BoldMT"/>
                <w:b/>
                <w:bCs/>
                <w:sz w:val="22"/>
                <w:szCs w:val="22"/>
              </w:rPr>
              <w:t>CD II: pacijenti</w:t>
            </w:r>
            <w:r w:rsidR="005D003D" w:rsidRPr="001B3E42">
              <w:rPr>
                <w:rFonts w:ascii="TimesNewRomanPS-BoldMT" w:hAnsi="TimesNewRomanPS-BoldMT" w:cs="TimesNewRomanPS-BoldMT"/>
                <w:b/>
                <w:bCs/>
                <w:sz w:val="22"/>
                <w:szCs w:val="22"/>
              </w:rPr>
              <w:t xml:space="preserve"> koji su uzimali </w:t>
            </w:r>
            <w:r w:rsidR="00CC67E5" w:rsidRPr="001B3E42">
              <w:rPr>
                <w:rFonts w:ascii="TimesNewRomanPS-BoldMT" w:hAnsi="TimesNewRomanPS-BoldMT" w:cs="TimesNewRomanPS-BoldMT"/>
                <w:b/>
                <w:bCs/>
                <w:sz w:val="22"/>
                <w:szCs w:val="22"/>
              </w:rPr>
              <w:t>i</w:t>
            </w:r>
            <w:r w:rsidR="005D003D" w:rsidRPr="001B3E42">
              <w:rPr>
                <w:rFonts w:ascii="TimesNewRomanPS-BoldMT" w:hAnsi="TimesNewRomanPS-BoldMT" w:cs="TimesNewRomanPS-BoldMT"/>
                <w:b/>
                <w:bCs/>
                <w:sz w:val="22"/>
                <w:szCs w:val="22"/>
              </w:rPr>
              <w:t>nfliksimab</w:t>
            </w:r>
          </w:p>
        </w:tc>
      </w:tr>
      <w:tr w:rsidR="005D003D" w:rsidRPr="001B3E42" w:rsidTr="005D003D">
        <w:tc>
          <w:tcPr>
            <w:tcW w:w="2235" w:type="dxa"/>
            <w:shd w:val="clear" w:color="auto" w:fill="auto"/>
          </w:tcPr>
          <w:p w:rsidR="005D003D" w:rsidRPr="001B3E42" w:rsidRDefault="005D003D" w:rsidP="005D003D">
            <w:pPr>
              <w:autoSpaceDE w:val="0"/>
              <w:autoSpaceDN w:val="0"/>
              <w:adjustRightInd w:val="0"/>
              <w:jc w:val="both"/>
              <w:rPr>
                <w:sz w:val="22"/>
                <w:szCs w:val="22"/>
              </w:rPr>
            </w:pPr>
          </w:p>
        </w:tc>
        <w:tc>
          <w:tcPr>
            <w:tcW w:w="1417" w:type="dxa"/>
            <w:shd w:val="clear" w:color="auto" w:fill="auto"/>
          </w:tcPr>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Placebo</w:t>
            </w:r>
          </w:p>
          <w:p w:rsidR="005D003D" w:rsidRPr="001B3E42" w:rsidRDefault="005D003D" w:rsidP="005D003D">
            <w:pPr>
              <w:autoSpaceDE w:val="0"/>
              <w:autoSpaceDN w:val="0"/>
              <w:adjustRightInd w:val="0"/>
              <w:rPr>
                <w:sz w:val="22"/>
                <w:szCs w:val="22"/>
              </w:rPr>
            </w:pPr>
            <w:r w:rsidRPr="001B3E42">
              <w:rPr>
                <w:rFonts w:ascii="TimesNewRomanPS-BoldMT" w:hAnsi="TimesNewRomanPS-BoldMT" w:cs="TimesNewRomanPS-BoldMT"/>
                <w:b/>
                <w:bCs/>
                <w:sz w:val="22"/>
                <w:szCs w:val="22"/>
              </w:rPr>
              <w:t>N=74</w:t>
            </w:r>
          </w:p>
        </w:tc>
        <w:tc>
          <w:tcPr>
            <w:tcW w:w="1418" w:type="dxa"/>
            <w:shd w:val="clear" w:color="auto" w:fill="auto"/>
          </w:tcPr>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Humira</w:t>
            </w:r>
          </w:p>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80/40 mg</w:t>
            </w:r>
          </w:p>
          <w:p w:rsidR="005D003D" w:rsidRPr="001B3E42" w:rsidRDefault="005D003D" w:rsidP="005D003D">
            <w:pPr>
              <w:autoSpaceDE w:val="0"/>
              <w:autoSpaceDN w:val="0"/>
              <w:adjustRightInd w:val="0"/>
              <w:rPr>
                <w:sz w:val="22"/>
                <w:szCs w:val="22"/>
              </w:rPr>
            </w:pPr>
            <w:r w:rsidRPr="001B3E42">
              <w:rPr>
                <w:rFonts w:ascii="TimesNewRomanPS-BoldMT" w:hAnsi="TimesNewRomanPS-BoldMT" w:cs="TimesNewRomanPS-BoldMT"/>
                <w:b/>
                <w:bCs/>
                <w:sz w:val="22"/>
                <w:szCs w:val="22"/>
              </w:rPr>
              <w:t>N = 75</w:t>
            </w:r>
          </w:p>
        </w:tc>
        <w:tc>
          <w:tcPr>
            <w:tcW w:w="1417" w:type="dxa"/>
            <w:shd w:val="clear" w:color="auto" w:fill="auto"/>
          </w:tcPr>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Humira</w:t>
            </w:r>
          </w:p>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160/80 mg</w:t>
            </w:r>
          </w:p>
          <w:p w:rsidR="005D003D" w:rsidRPr="001B3E42" w:rsidRDefault="005D003D" w:rsidP="005D003D">
            <w:pPr>
              <w:autoSpaceDE w:val="0"/>
              <w:autoSpaceDN w:val="0"/>
              <w:adjustRightInd w:val="0"/>
              <w:rPr>
                <w:sz w:val="22"/>
                <w:szCs w:val="22"/>
              </w:rPr>
            </w:pPr>
            <w:r w:rsidRPr="001B3E42">
              <w:rPr>
                <w:rFonts w:ascii="TimesNewRomanPS-BoldMT" w:hAnsi="TimesNewRomanPS-BoldMT" w:cs="TimesNewRomanPS-BoldMT"/>
                <w:b/>
                <w:bCs/>
                <w:sz w:val="22"/>
                <w:szCs w:val="22"/>
              </w:rPr>
              <w:t>N=76</w:t>
            </w:r>
          </w:p>
        </w:tc>
        <w:tc>
          <w:tcPr>
            <w:tcW w:w="1418" w:type="dxa"/>
            <w:shd w:val="clear" w:color="auto" w:fill="auto"/>
          </w:tcPr>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Placebo</w:t>
            </w:r>
          </w:p>
          <w:p w:rsidR="005D003D" w:rsidRPr="001B3E42" w:rsidRDefault="005D003D" w:rsidP="005D003D">
            <w:pPr>
              <w:autoSpaceDE w:val="0"/>
              <w:autoSpaceDN w:val="0"/>
              <w:adjustRightInd w:val="0"/>
              <w:rPr>
                <w:sz w:val="22"/>
                <w:szCs w:val="22"/>
              </w:rPr>
            </w:pPr>
            <w:r w:rsidRPr="001B3E42">
              <w:rPr>
                <w:rFonts w:ascii="TimesNewRomanPS-BoldMT" w:hAnsi="TimesNewRomanPS-BoldMT" w:cs="TimesNewRomanPS-BoldMT"/>
                <w:b/>
                <w:bCs/>
                <w:sz w:val="22"/>
                <w:szCs w:val="22"/>
              </w:rPr>
              <w:t>N=166</w:t>
            </w:r>
          </w:p>
        </w:tc>
        <w:tc>
          <w:tcPr>
            <w:tcW w:w="1375" w:type="dxa"/>
            <w:shd w:val="clear" w:color="auto" w:fill="auto"/>
          </w:tcPr>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Humira</w:t>
            </w:r>
          </w:p>
          <w:p w:rsidR="005D003D" w:rsidRPr="001B3E42" w:rsidRDefault="005D003D" w:rsidP="005D003D">
            <w:pPr>
              <w:autoSpaceDE w:val="0"/>
              <w:autoSpaceDN w:val="0"/>
              <w:adjustRightInd w:val="0"/>
              <w:rPr>
                <w:rFonts w:ascii="TimesNewRomanPS-BoldMT" w:hAnsi="TimesNewRomanPS-BoldMT" w:cs="TimesNewRomanPS-BoldMT"/>
                <w:b/>
                <w:bCs/>
                <w:sz w:val="22"/>
                <w:szCs w:val="22"/>
              </w:rPr>
            </w:pPr>
            <w:r w:rsidRPr="001B3E42">
              <w:rPr>
                <w:rFonts w:ascii="TimesNewRomanPS-BoldMT" w:hAnsi="TimesNewRomanPS-BoldMT" w:cs="TimesNewRomanPS-BoldMT"/>
                <w:b/>
                <w:bCs/>
                <w:sz w:val="22"/>
                <w:szCs w:val="22"/>
              </w:rPr>
              <w:t>160/80 mg</w:t>
            </w:r>
          </w:p>
          <w:p w:rsidR="005D003D" w:rsidRPr="001B3E42" w:rsidRDefault="005D003D" w:rsidP="005D003D">
            <w:pPr>
              <w:autoSpaceDE w:val="0"/>
              <w:autoSpaceDN w:val="0"/>
              <w:adjustRightInd w:val="0"/>
              <w:rPr>
                <w:sz w:val="22"/>
                <w:szCs w:val="22"/>
              </w:rPr>
            </w:pPr>
            <w:r w:rsidRPr="001B3E42">
              <w:rPr>
                <w:rFonts w:ascii="TimesNewRomanPS-BoldMT" w:hAnsi="TimesNewRomanPS-BoldMT" w:cs="TimesNewRomanPS-BoldMT"/>
                <w:b/>
                <w:bCs/>
                <w:sz w:val="22"/>
                <w:szCs w:val="22"/>
              </w:rPr>
              <w:t>N=159</w:t>
            </w:r>
          </w:p>
        </w:tc>
      </w:tr>
      <w:tr w:rsidR="005D003D" w:rsidRPr="001B3E42" w:rsidTr="005D003D">
        <w:tc>
          <w:tcPr>
            <w:tcW w:w="2235" w:type="dxa"/>
            <w:shd w:val="clear" w:color="auto" w:fill="auto"/>
          </w:tcPr>
          <w:p w:rsidR="005D003D" w:rsidRPr="001B3E42" w:rsidRDefault="009065F5" w:rsidP="005D003D">
            <w:pPr>
              <w:autoSpaceDE w:val="0"/>
              <w:autoSpaceDN w:val="0"/>
              <w:adjustRightInd w:val="0"/>
              <w:jc w:val="both"/>
              <w:rPr>
                <w:sz w:val="22"/>
                <w:szCs w:val="22"/>
              </w:rPr>
            </w:pPr>
            <w:r w:rsidRPr="001B3E42">
              <w:rPr>
                <w:sz w:val="22"/>
                <w:szCs w:val="22"/>
              </w:rPr>
              <w:t>Nedjelja</w:t>
            </w:r>
            <w:r w:rsidR="005D003D" w:rsidRPr="001B3E42">
              <w:rPr>
                <w:sz w:val="22"/>
                <w:szCs w:val="22"/>
              </w:rPr>
              <w:t xml:space="preserve"> 4 </w:t>
            </w:r>
          </w:p>
        </w:tc>
        <w:tc>
          <w:tcPr>
            <w:tcW w:w="1417" w:type="dxa"/>
            <w:shd w:val="clear" w:color="auto" w:fill="auto"/>
          </w:tcPr>
          <w:p w:rsidR="005D003D" w:rsidRPr="001B3E42" w:rsidRDefault="005D003D" w:rsidP="005D003D">
            <w:pPr>
              <w:autoSpaceDE w:val="0"/>
              <w:autoSpaceDN w:val="0"/>
              <w:adjustRightInd w:val="0"/>
              <w:jc w:val="center"/>
              <w:rPr>
                <w:sz w:val="22"/>
                <w:szCs w:val="22"/>
              </w:rPr>
            </w:pPr>
          </w:p>
        </w:tc>
        <w:tc>
          <w:tcPr>
            <w:tcW w:w="1418" w:type="dxa"/>
            <w:shd w:val="clear" w:color="auto" w:fill="auto"/>
          </w:tcPr>
          <w:p w:rsidR="005D003D" w:rsidRPr="001B3E42" w:rsidRDefault="005D003D" w:rsidP="005D003D">
            <w:pPr>
              <w:autoSpaceDE w:val="0"/>
              <w:autoSpaceDN w:val="0"/>
              <w:adjustRightInd w:val="0"/>
              <w:jc w:val="center"/>
              <w:rPr>
                <w:sz w:val="22"/>
                <w:szCs w:val="22"/>
              </w:rPr>
            </w:pPr>
          </w:p>
        </w:tc>
        <w:tc>
          <w:tcPr>
            <w:tcW w:w="1417" w:type="dxa"/>
            <w:shd w:val="clear" w:color="auto" w:fill="auto"/>
          </w:tcPr>
          <w:p w:rsidR="005D003D" w:rsidRPr="001B3E42" w:rsidRDefault="005D003D" w:rsidP="005D003D">
            <w:pPr>
              <w:autoSpaceDE w:val="0"/>
              <w:autoSpaceDN w:val="0"/>
              <w:adjustRightInd w:val="0"/>
              <w:jc w:val="center"/>
              <w:rPr>
                <w:sz w:val="22"/>
                <w:szCs w:val="22"/>
              </w:rPr>
            </w:pPr>
          </w:p>
        </w:tc>
        <w:tc>
          <w:tcPr>
            <w:tcW w:w="1418" w:type="dxa"/>
            <w:shd w:val="clear" w:color="auto" w:fill="auto"/>
          </w:tcPr>
          <w:p w:rsidR="005D003D" w:rsidRPr="001B3E42" w:rsidRDefault="005D003D" w:rsidP="005D003D">
            <w:pPr>
              <w:autoSpaceDE w:val="0"/>
              <w:autoSpaceDN w:val="0"/>
              <w:adjustRightInd w:val="0"/>
              <w:jc w:val="center"/>
              <w:rPr>
                <w:sz w:val="22"/>
                <w:szCs w:val="22"/>
              </w:rPr>
            </w:pPr>
          </w:p>
        </w:tc>
        <w:tc>
          <w:tcPr>
            <w:tcW w:w="1375" w:type="dxa"/>
            <w:shd w:val="clear" w:color="auto" w:fill="auto"/>
          </w:tcPr>
          <w:p w:rsidR="005D003D" w:rsidRPr="001B3E42" w:rsidRDefault="005D003D" w:rsidP="005D003D">
            <w:pPr>
              <w:autoSpaceDE w:val="0"/>
              <w:autoSpaceDN w:val="0"/>
              <w:adjustRightInd w:val="0"/>
              <w:jc w:val="center"/>
              <w:rPr>
                <w:sz w:val="22"/>
                <w:szCs w:val="22"/>
              </w:rPr>
            </w:pPr>
          </w:p>
        </w:tc>
      </w:tr>
      <w:tr w:rsidR="005D003D" w:rsidRPr="001B3E42" w:rsidTr="005D003D">
        <w:tc>
          <w:tcPr>
            <w:tcW w:w="2235" w:type="dxa"/>
            <w:shd w:val="clear" w:color="auto" w:fill="auto"/>
          </w:tcPr>
          <w:p w:rsidR="005D003D" w:rsidRPr="001B3E42" w:rsidRDefault="005D003D" w:rsidP="005D003D">
            <w:pPr>
              <w:autoSpaceDE w:val="0"/>
              <w:autoSpaceDN w:val="0"/>
              <w:adjustRightInd w:val="0"/>
              <w:jc w:val="both"/>
              <w:rPr>
                <w:sz w:val="22"/>
                <w:szCs w:val="22"/>
              </w:rPr>
            </w:pPr>
            <w:r w:rsidRPr="001B3E42">
              <w:rPr>
                <w:sz w:val="22"/>
                <w:szCs w:val="22"/>
              </w:rPr>
              <w:t xml:space="preserve">Klinička remisija </w:t>
            </w:r>
          </w:p>
        </w:tc>
        <w:tc>
          <w:tcPr>
            <w:tcW w:w="1417"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12%</w:t>
            </w:r>
          </w:p>
        </w:tc>
        <w:tc>
          <w:tcPr>
            <w:tcW w:w="1418"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24%</w:t>
            </w:r>
          </w:p>
        </w:tc>
        <w:tc>
          <w:tcPr>
            <w:tcW w:w="1417"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36%*</w:t>
            </w:r>
          </w:p>
        </w:tc>
        <w:tc>
          <w:tcPr>
            <w:tcW w:w="1418"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7%</w:t>
            </w:r>
          </w:p>
        </w:tc>
        <w:tc>
          <w:tcPr>
            <w:tcW w:w="1375"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21%*</w:t>
            </w:r>
          </w:p>
        </w:tc>
      </w:tr>
      <w:tr w:rsidR="005D003D" w:rsidRPr="001B3E42" w:rsidTr="005D003D">
        <w:tc>
          <w:tcPr>
            <w:tcW w:w="2235"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Klinički odgovor (CR-</w:t>
            </w:r>
          </w:p>
          <w:p w:rsidR="005D003D" w:rsidRPr="001B3E42" w:rsidRDefault="005D003D" w:rsidP="005D003D">
            <w:pPr>
              <w:autoSpaceDE w:val="0"/>
              <w:autoSpaceDN w:val="0"/>
              <w:adjustRightInd w:val="0"/>
              <w:jc w:val="both"/>
              <w:rPr>
                <w:sz w:val="22"/>
                <w:szCs w:val="22"/>
              </w:rPr>
            </w:pPr>
            <w:r w:rsidRPr="001B3E42">
              <w:rPr>
                <w:sz w:val="22"/>
                <w:szCs w:val="22"/>
              </w:rPr>
              <w:t>100)</w:t>
            </w:r>
          </w:p>
        </w:tc>
        <w:tc>
          <w:tcPr>
            <w:tcW w:w="1417"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24%</w:t>
            </w:r>
          </w:p>
        </w:tc>
        <w:tc>
          <w:tcPr>
            <w:tcW w:w="1418"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37%</w:t>
            </w:r>
          </w:p>
        </w:tc>
        <w:tc>
          <w:tcPr>
            <w:tcW w:w="1417"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49%**</w:t>
            </w:r>
          </w:p>
        </w:tc>
        <w:tc>
          <w:tcPr>
            <w:tcW w:w="1418"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25%</w:t>
            </w:r>
          </w:p>
        </w:tc>
        <w:tc>
          <w:tcPr>
            <w:tcW w:w="1375"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38%**</w:t>
            </w:r>
          </w:p>
        </w:tc>
      </w:tr>
    </w:tbl>
    <w:p w:rsidR="005D003D" w:rsidRPr="001B3E42" w:rsidRDefault="005D003D" w:rsidP="005D003D">
      <w:pPr>
        <w:autoSpaceDE w:val="0"/>
        <w:autoSpaceDN w:val="0"/>
        <w:adjustRightInd w:val="0"/>
        <w:rPr>
          <w:sz w:val="20"/>
          <w:szCs w:val="20"/>
        </w:rPr>
      </w:pPr>
      <w:r w:rsidRPr="001B3E42">
        <w:rPr>
          <w:sz w:val="20"/>
          <w:szCs w:val="20"/>
        </w:rPr>
        <w:t>Sve p vrijednosti date u parovi</w:t>
      </w:r>
      <w:r w:rsidR="00A762EB" w:rsidRPr="001B3E42">
        <w:rPr>
          <w:sz w:val="20"/>
          <w:szCs w:val="20"/>
        </w:rPr>
        <w:t>ma odnose se na poređenje odnosa</w:t>
      </w:r>
      <w:r w:rsidRPr="001B3E42">
        <w:rPr>
          <w:sz w:val="20"/>
          <w:szCs w:val="20"/>
        </w:rPr>
        <w:t xml:space="preserve"> </w:t>
      </w:r>
      <w:r w:rsidR="00377FE9" w:rsidRPr="001B3E42">
        <w:rPr>
          <w:sz w:val="20"/>
          <w:szCs w:val="20"/>
        </w:rPr>
        <w:t xml:space="preserve">lijeka </w:t>
      </w:r>
      <w:r w:rsidRPr="001B3E42">
        <w:rPr>
          <w:sz w:val="20"/>
          <w:szCs w:val="20"/>
        </w:rPr>
        <w:t>Humir</w:t>
      </w:r>
      <w:r w:rsidR="00377FE9" w:rsidRPr="001B3E42">
        <w:rPr>
          <w:sz w:val="20"/>
          <w:szCs w:val="20"/>
        </w:rPr>
        <w:t>a</w:t>
      </w:r>
      <w:r w:rsidRPr="001B3E42">
        <w:rPr>
          <w:sz w:val="20"/>
          <w:szCs w:val="20"/>
        </w:rPr>
        <w:t xml:space="preserve"> i placeba </w:t>
      </w:r>
    </w:p>
    <w:p w:rsidR="005D003D" w:rsidRPr="001B3E42" w:rsidRDefault="005D003D" w:rsidP="005D003D">
      <w:pPr>
        <w:autoSpaceDE w:val="0"/>
        <w:autoSpaceDN w:val="0"/>
        <w:adjustRightInd w:val="0"/>
        <w:rPr>
          <w:sz w:val="20"/>
          <w:szCs w:val="20"/>
        </w:rPr>
      </w:pPr>
      <w:r w:rsidRPr="001B3E42">
        <w:rPr>
          <w:sz w:val="20"/>
          <w:szCs w:val="20"/>
        </w:rPr>
        <w:t>*</w:t>
      </w:r>
      <w:r w:rsidR="00E34552" w:rsidRPr="001B3E42">
        <w:rPr>
          <w:sz w:val="20"/>
          <w:szCs w:val="20"/>
        </w:rPr>
        <w:t xml:space="preserve">  </w:t>
      </w:r>
      <w:r w:rsidRPr="001B3E42">
        <w:rPr>
          <w:sz w:val="20"/>
          <w:szCs w:val="20"/>
        </w:rPr>
        <w:t xml:space="preserve"> p &lt; 0,001</w:t>
      </w:r>
    </w:p>
    <w:p w:rsidR="005D003D" w:rsidRPr="001B3E42" w:rsidRDefault="005D003D" w:rsidP="005D003D">
      <w:pPr>
        <w:autoSpaceDE w:val="0"/>
        <w:autoSpaceDN w:val="0"/>
        <w:adjustRightInd w:val="0"/>
        <w:rPr>
          <w:sz w:val="20"/>
          <w:szCs w:val="20"/>
        </w:rPr>
      </w:pPr>
      <w:r w:rsidRPr="001B3E42">
        <w:rPr>
          <w:sz w:val="20"/>
          <w:szCs w:val="20"/>
        </w:rPr>
        <w:t>** p &lt; 0,01</w:t>
      </w:r>
    </w:p>
    <w:p w:rsidR="005D003D" w:rsidRPr="001B3E42" w:rsidRDefault="005D003D" w:rsidP="005D003D">
      <w:pPr>
        <w:autoSpaceDE w:val="0"/>
        <w:autoSpaceDN w:val="0"/>
        <w:adjustRightInd w:val="0"/>
        <w:jc w:val="center"/>
        <w:rPr>
          <w:b/>
        </w:rPr>
      </w:pPr>
    </w:p>
    <w:p w:rsidR="005D003D" w:rsidRPr="001B3E42" w:rsidRDefault="00BB6AE8" w:rsidP="005D003D">
      <w:pPr>
        <w:autoSpaceDE w:val="0"/>
        <w:autoSpaceDN w:val="0"/>
        <w:adjustRightInd w:val="0"/>
        <w:jc w:val="both"/>
        <w:rPr>
          <w:sz w:val="22"/>
          <w:szCs w:val="22"/>
        </w:rPr>
      </w:pPr>
      <w:r w:rsidRPr="001B3E42">
        <w:rPr>
          <w:sz w:val="22"/>
          <w:szCs w:val="22"/>
        </w:rPr>
        <w:t>Slične stope remisije do 8</w:t>
      </w:r>
      <w:r w:rsidR="005D003D" w:rsidRPr="001B3E42">
        <w:rPr>
          <w:sz w:val="22"/>
          <w:szCs w:val="22"/>
        </w:rPr>
        <w:t xml:space="preserve"> </w:t>
      </w:r>
      <w:r w:rsidR="009065F5" w:rsidRPr="001B3E42">
        <w:rPr>
          <w:sz w:val="22"/>
          <w:szCs w:val="22"/>
        </w:rPr>
        <w:t>nedjelje</w:t>
      </w:r>
      <w:r w:rsidR="001E4AB9" w:rsidRPr="001B3E42">
        <w:rPr>
          <w:sz w:val="22"/>
          <w:szCs w:val="22"/>
        </w:rPr>
        <w:t xml:space="preserve"> uočene su za grupe pacijenata</w:t>
      </w:r>
      <w:r w:rsidR="005D003D" w:rsidRPr="001B3E42">
        <w:rPr>
          <w:sz w:val="22"/>
          <w:szCs w:val="22"/>
        </w:rPr>
        <w:t xml:space="preserve"> koji su uzimali </w:t>
      </w:r>
      <w:r w:rsidR="00872668" w:rsidRPr="001B3E42">
        <w:rPr>
          <w:sz w:val="22"/>
          <w:szCs w:val="22"/>
        </w:rPr>
        <w:t xml:space="preserve">lijek </w:t>
      </w:r>
      <w:r w:rsidR="005D003D" w:rsidRPr="001B3E42">
        <w:rPr>
          <w:sz w:val="22"/>
          <w:szCs w:val="22"/>
        </w:rPr>
        <w:t>Humir</w:t>
      </w:r>
      <w:r w:rsidR="00872668" w:rsidRPr="001B3E42">
        <w:rPr>
          <w:sz w:val="22"/>
          <w:szCs w:val="22"/>
        </w:rPr>
        <w:t>a</w:t>
      </w:r>
      <w:r w:rsidR="005D003D" w:rsidRPr="001B3E42">
        <w:rPr>
          <w:sz w:val="22"/>
          <w:szCs w:val="22"/>
        </w:rPr>
        <w:t xml:space="preserve"> 160/80 mg i </w:t>
      </w:r>
      <w:r w:rsidR="00872668" w:rsidRPr="001B3E42">
        <w:rPr>
          <w:sz w:val="22"/>
          <w:szCs w:val="22"/>
        </w:rPr>
        <w:t xml:space="preserve">lijek </w:t>
      </w:r>
      <w:r w:rsidR="005D003D" w:rsidRPr="001B3E42">
        <w:rPr>
          <w:sz w:val="22"/>
          <w:szCs w:val="22"/>
        </w:rPr>
        <w:t>Humir</w:t>
      </w:r>
      <w:r w:rsidR="00872668" w:rsidRPr="001B3E42">
        <w:rPr>
          <w:sz w:val="22"/>
          <w:szCs w:val="22"/>
        </w:rPr>
        <w:t>a</w:t>
      </w:r>
      <w:r w:rsidR="005D003D" w:rsidRPr="001B3E42">
        <w:rPr>
          <w:sz w:val="22"/>
          <w:szCs w:val="22"/>
        </w:rPr>
        <w:t xml:space="preserve"> 80/40 mg,</w:t>
      </w:r>
      <w:r w:rsidR="00E34552" w:rsidRPr="001B3E42">
        <w:rPr>
          <w:sz w:val="22"/>
          <w:szCs w:val="22"/>
        </w:rPr>
        <w:t xml:space="preserve"> a stopa pojavljivanja nežel</w:t>
      </w:r>
      <w:r w:rsidRPr="001B3E42">
        <w:rPr>
          <w:sz w:val="22"/>
          <w:szCs w:val="22"/>
        </w:rPr>
        <w:t>j</w:t>
      </w:r>
      <w:r w:rsidR="00E34552" w:rsidRPr="001B3E42">
        <w:rPr>
          <w:sz w:val="22"/>
          <w:szCs w:val="22"/>
        </w:rPr>
        <w:t>enih dejst</w:t>
      </w:r>
      <w:r w:rsidRPr="001B3E42">
        <w:rPr>
          <w:sz w:val="22"/>
          <w:szCs w:val="22"/>
        </w:rPr>
        <w:t>a</w:t>
      </w:r>
      <w:r w:rsidR="00E34552" w:rsidRPr="001B3E42">
        <w:rPr>
          <w:sz w:val="22"/>
          <w:szCs w:val="22"/>
        </w:rPr>
        <w:t>va</w:t>
      </w:r>
      <w:r w:rsidR="005D003D" w:rsidRPr="001B3E42">
        <w:rPr>
          <w:sz w:val="22"/>
          <w:szCs w:val="22"/>
        </w:rPr>
        <w:t xml:space="preserve"> bila je veća u grupi koja je uzimala </w:t>
      </w:r>
      <w:r w:rsidR="00872668" w:rsidRPr="001B3E42">
        <w:rPr>
          <w:sz w:val="22"/>
          <w:szCs w:val="22"/>
        </w:rPr>
        <w:t xml:space="preserve">lijek </w:t>
      </w:r>
      <w:r w:rsidR="005D003D" w:rsidRPr="001B3E42">
        <w:rPr>
          <w:sz w:val="22"/>
          <w:szCs w:val="22"/>
        </w:rPr>
        <w:t>Humir</w:t>
      </w:r>
      <w:r w:rsidR="00872668" w:rsidRPr="001B3E42">
        <w:rPr>
          <w:sz w:val="22"/>
          <w:szCs w:val="22"/>
        </w:rPr>
        <w:t>a</w:t>
      </w:r>
      <w:r w:rsidR="005D003D" w:rsidRPr="001B3E42">
        <w:rPr>
          <w:sz w:val="22"/>
          <w:szCs w:val="22"/>
        </w:rPr>
        <w:t xml:space="preserve"> 160/80 mg.</w:t>
      </w:r>
    </w:p>
    <w:p w:rsidR="005D003D" w:rsidRPr="001B3E42" w:rsidRDefault="005D003D" w:rsidP="005D003D">
      <w:pPr>
        <w:autoSpaceDE w:val="0"/>
        <w:autoSpaceDN w:val="0"/>
        <w:adjustRightInd w:val="0"/>
        <w:jc w:val="both"/>
        <w:rPr>
          <w:sz w:val="22"/>
          <w:szCs w:val="22"/>
        </w:rPr>
      </w:pPr>
    </w:p>
    <w:p w:rsidR="005D003D" w:rsidRPr="001B3E42" w:rsidRDefault="00BB6AE8" w:rsidP="001E4AB9">
      <w:pPr>
        <w:autoSpaceDE w:val="0"/>
        <w:autoSpaceDN w:val="0"/>
        <w:adjustRightInd w:val="0"/>
        <w:jc w:val="both"/>
        <w:rPr>
          <w:sz w:val="22"/>
          <w:szCs w:val="22"/>
        </w:rPr>
      </w:pPr>
      <w:r w:rsidRPr="001B3E42">
        <w:rPr>
          <w:sz w:val="22"/>
          <w:szCs w:val="22"/>
        </w:rPr>
        <w:t>U ispitivanju CD III, u 4</w:t>
      </w:r>
      <w:r w:rsidR="005D003D" w:rsidRPr="001B3E42">
        <w:rPr>
          <w:sz w:val="22"/>
          <w:szCs w:val="22"/>
        </w:rPr>
        <w:t xml:space="preserve"> </w:t>
      </w:r>
      <w:r w:rsidR="009065F5" w:rsidRPr="001B3E42">
        <w:rPr>
          <w:sz w:val="22"/>
          <w:szCs w:val="22"/>
        </w:rPr>
        <w:t>nedjelji</w:t>
      </w:r>
      <w:r w:rsidR="005D003D" w:rsidRPr="001B3E42">
        <w:rPr>
          <w:sz w:val="22"/>
          <w:szCs w:val="22"/>
        </w:rPr>
        <w:t xml:space="preserve">, 58% </w:t>
      </w:r>
      <w:r w:rsidR="001E4AB9" w:rsidRPr="001B3E42">
        <w:rPr>
          <w:sz w:val="22"/>
          <w:szCs w:val="22"/>
        </w:rPr>
        <w:t>pacijenata</w:t>
      </w:r>
      <w:r w:rsidR="005D003D" w:rsidRPr="001B3E42">
        <w:rPr>
          <w:sz w:val="22"/>
          <w:szCs w:val="22"/>
        </w:rPr>
        <w:t xml:space="preserve"> (499/854) imalo je klinički odgovor i uvršteni su u primarnu analizu. Od ovih </w:t>
      </w:r>
      <w:r w:rsidR="001E4AB9" w:rsidRPr="001B3E42">
        <w:rPr>
          <w:sz w:val="22"/>
          <w:szCs w:val="22"/>
        </w:rPr>
        <w:t xml:space="preserve">pacijenata </w:t>
      </w:r>
      <w:r w:rsidR="005D003D" w:rsidRPr="001B3E42">
        <w:rPr>
          <w:sz w:val="22"/>
          <w:szCs w:val="22"/>
        </w:rPr>
        <w:t xml:space="preserve">sa kliničkim odgovorom  u 4-toj </w:t>
      </w:r>
      <w:r w:rsidR="009065F5" w:rsidRPr="001B3E42">
        <w:rPr>
          <w:sz w:val="22"/>
          <w:szCs w:val="22"/>
        </w:rPr>
        <w:t>nedjelji</w:t>
      </w:r>
      <w:r w:rsidR="005D003D" w:rsidRPr="001B3E42">
        <w:rPr>
          <w:sz w:val="22"/>
          <w:szCs w:val="22"/>
        </w:rPr>
        <w:t xml:space="preserve">, 48% </w:t>
      </w:r>
      <w:r w:rsidR="001E4AB9" w:rsidRPr="001B3E42">
        <w:rPr>
          <w:sz w:val="22"/>
          <w:szCs w:val="22"/>
        </w:rPr>
        <w:t>pacijenata</w:t>
      </w:r>
      <w:r w:rsidR="005D003D" w:rsidRPr="001B3E42">
        <w:rPr>
          <w:sz w:val="22"/>
          <w:szCs w:val="22"/>
        </w:rPr>
        <w:t xml:space="preserve"> je već ranije koristilo neki drugi antagonist TNF-a. Održanje remisije i stopa kliničkog odgovora nalaze se u Tabeli 13. Rezultati kliničke remisije su se relativno održali bez obzira na prethodno liječenje antagonistima TNF-a.</w:t>
      </w:r>
    </w:p>
    <w:p w:rsidR="005D003D" w:rsidRPr="001B3E42" w:rsidRDefault="005D003D" w:rsidP="005D003D">
      <w:pPr>
        <w:autoSpaceDE w:val="0"/>
        <w:autoSpaceDN w:val="0"/>
        <w:adjustRightInd w:val="0"/>
        <w:jc w:val="both"/>
        <w:rPr>
          <w:sz w:val="22"/>
          <w:szCs w:val="22"/>
        </w:rPr>
      </w:pPr>
    </w:p>
    <w:p w:rsidR="00FD4048" w:rsidRPr="001B3E42" w:rsidRDefault="00BB6AE8" w:rsidP="008D1FC7">
      <w:pPr>
        <w:autoSpaceDE w:val="0"/>
        <w:autoSpaceDN w:val="0"/>
        <w:adjustRightInd w:val="0"/>
        <w:jc w:val="both"/>
        <w:rPr>
          <w:sz w:val="22"/>
          <w:szCs w:val="22"/>
        </w:rPr>
      </w:pPr>
      <w:r w:rsidRPr="001B3E42">
        <w:rPr>
          <w:sz w:val="22"/>
          <w:szCs w:val="22"/>
        </w:rPr>
        <w:t>U 56</w:t>
      </w:r>
      <w:r w:rsidR="005D003D" w:rsidRPr="001B3E42">
        <w:rPr>
          <w:sz w:val="22"/>
          <w:szCs w:val="22"/>
        </w:rPr>
        <w:t xml:space="preserve"> </w:t>
      </w:r>
      <w:r w:rsidR="009065F5" w:rsidRPr="001B3E42">
        <w:rPr>
          <w:sz w:val="22"/>
          <w:szCs w:val="22"/>
        </w:rPr>
        <w:t>nedjelji</w:t>
      </w:r>
      <w:r w:rsidR="005D003D" w:rsidRPr="001B3E42">
        <w:rPr>
          <w:sz w:val="22"/>
          <w:szCs w:val="22"/>
        </w:rPr>
        <w:t xml:space="preserve"> terapije broj hospitalizacija i operacija povezanih s bolešću statistički je značajno s</w:t>
      </w:r>
      <w:r w:rsidR="001E4AB9" w:rsidRPr="001B3E42">
        <w:rPr>
          <w:sz w:val="22"/>
          <w:szCs w:val="22"/>
        </w:rPr>
        <w:t>manjen kod pacijenata</w:t>
      </w:r>
      <w:r w:rsidR="005D003D" w:rsidRPr="001B3E42">
        <w:rPr>
          <w:sz w:val="22"/>
          <w:szCs w:val="22"/>
        </w:rPr>
        <w:t xml:space="preserve"> koji su primali adalim</w:t>
      </w:r>
      <w:r w:rsidR="00635624" w:rsidRPr="001B3E42">
        <w:rPr>
          <w:sz w:val="22"/>
          <w:szCs w:val="22"/>
        </w:rPr>
        <w:t>umab u odnosu na grupu pacijenata</w:t>
      </w:r>
      <w:r w:rsidR="005D003D" w:rsidRPr="001B3E42">
        <w:rPr>
          <w:sz w:val="22"/>
          <w:szCs w:val="22"/>
        </w:rPr>
        <w:t xml:space="preserve"> koja je primala placebo.</w:t>
      </w:r>
    </w:p>
    <w:p w:rsidR="005D003D" w:rsidRPr="001B3E42" w:rsidRDefault="005D003D" w:rsidP="00BD53A4">
      <w:pPr>
        <w:autoSpaceDE w:val="0"/>
        <w:autoSpaceDN w:val="0"/>
        <w:adjustRightInd w:val="0"/>
        <w:jc w:val="center"/>
        <w:rPr>
          <w:b/>
          <w:sz w:val="22"/>
          <w:szCs w:val="22"/>
        </w:rPr>
      </w:pPr>
      <w:r w:rsidRPr="001B3E42">
        <w:rPr>
          <w:b/>
          <w:sz w:val="22"/>
          <w:szCs w:val="22"/>
        </w:rPr>
        <w:t>Tabela 13</w:t>
      </w:r>
    </w:p>
    <w:p w:rsidR="005D003D" w:rsidRPr="001B3E42" w:rsidRDefault="005D003D" w:rsidP="00BD53A4">
      <w:pPr>
        <w:autoSpaceDE w:val="0"/>
        <w:autoSpaceDN w:val="0"/>
        <w:adjustRightInd w:val="0"/>
        <w:jc w:val="center"/>
        <w:rPr>
          <w:b/>
          <w:sz w:val="22"/>
          <w:szCs w:val="22"/>
        </w:rPr>
      </w:pPr>
      <w:r w:rsidRPr="001B3E42">
        <w:rPr>
          <w:rFonts w:ascii="TimesNewRomanPS-BoldMT" w:hAnsi="TimesNewRomanPS-BoldMT" w:cs="TimesNewRomanPS-BoldMT"/>
          <w:b/>
          <w:bCs/>
          <w:sz w:val="22"/>
          <w:szCs w:val="22"/>
        </w:rPr>
        <w:t>Održavanje kliničke remisije i kliničkog odgovora</w:t>
      </w:r>
    </w:p>
    <w:p w:rsidR="005D003D" w:rsidRPr="001B3E42" w:rsidRDefault="005D003D" w:rsidP="00BD53A4">
      <w:pPr>
        <w:autoSpaceDE w:val="0"/>
        <w:autoSpaceDN w:val="0"/>
        <w:adjustRightInd w:val="0"/>
        <w:jc w:val="center"/>
        <w:rPr>
          <w:b/>
          <w:sz w:val="22"/>
          <w:szCs w:val="22"/>
        </w:rPr>
      </w:pPr>
      <w:r w:rsidRPr="001B3E42">
        <w:rPr>
          <w:b/>
          <w:sz w:val="22"/>
          <w:szCs w:val="22"/>
        </w:rPr>
        <w:t xml:space="preserve">(procenat </w:t>
      </w:r>
      <w:r w:rsidR="001E4AB9" w:rsidRPr="001B3E42">
        <w:rPr>
          <w:b/>
          <w:sz w:val="22"/>
          <w:szCs w:val="22"/>
        </w:rPr>
        <w:t>pacijenata</w:t>
      </w:r>
      <w:r w:rsidRPr="001B3E42">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5D003D" w:rsidRPr="001B3E42" w:rsidTr="005D003D">
        <w:tc>
          <w:tcPr>
            <w:tcW w:w="2320" w:type="dxa"/>
            <w:shd w:val="clear" w:color="auto" w:fill="auto"/>
          </w:tcPr>
          <w:p w:rsidR="005D003D" w:rsidRPr="001B3E42" w:rsidRDefault="005D003D" w:rsidP="005D003D">
            <w:pPr>
              <w:autoSpaceDE w:val="0"/>
              <w:autoSpaceDN w:val="0"/>
              <w:adjustRightInd w:val="0"/>
              <w:rPr>
                <w:sz w:val="22"/>
                <w:szCs w:val="22"/>
              </w:rPr>
            </w:pP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Placebo</w:t>
            </w:r>
          </w:p>
        </w:tc>
        <w:tc>
          <w:tcPr>
            <w:tcW w:w="2320" w:type="dxa"/>
            <w:shd w:val="clear" w:color="auto" w:fill="auto"/>
          </w:tcPr>
          <w:p w:rsidR="005D003D" w:rsidRPr="001B3E42" w:rsidRDefault="001E4AB9" w:rsidP="005D003D">
            <w:pPr>
              <w:autoSpaceDE w:val="0"/>
              <w:autoSpaceDN w:val="0"/>
              <w:adjustRightInd w:val="0"/>
              <w:rPr>
                <w:b/>
                <w:sz w:val="22"/>
                <w:szCs w:val="22"/>
              </w:rPr>
            </w:pPr>
            <w:r w:rsidRPr="001B3E42">
              <w:rPr>
                <w:b/>
                <w:sz w:val="22"/>
                <w:szCs w:val="22"/>
              </w:rPr>
              <w:t xml:space="preserve">Humira 40 mg svake druge </w:t>
            </w:r>
            <w:r w:rsidR="009065F5" w:rsidRPr="001B3E42">
              <w:rPr>
                <w:b/>
                <w:sz w:val="22"/>
                <w:szCs w:val="22"/>
              </w:rPr>
              <w:t>nedjelje</w:t>
            </w:r>
          </w:p>
        </w:tc>
        <w:tc>
          <w:tcPr>
            <w:tcW w:w="2320" w:type="dxa"/>
            <w:shd w:val="clear" w:color="auto" w:fill="auto"/>
          </w:tcPr>
          <w:p w:rsidR="005D003D" w:rsidRPr="001B3E42" w:rsidRDefault="001E4AB9" w:rsidP="005D003D">
            <w:pPr>
              <w:autoSpaceDE w:val="0"/>
              <w:autoSpaceDN w:val="0"/>
              <w:adjustRightInd w:val="0"/>
              <w:rPr>
                <w:b/>
                <w:sz w:val="22"/>
                <w:szCs w:val="22"/>
              </w:rPr>
            </w:pPr>
            <w:r w:rsidRPr="001B3E42">
              <w:rPr>
                <w:b/>
                <w:sz w:val="22"/>
                <w:szCs w:val="22"/>
              </w:rPr>
              <w:t xml:space="preserve">Humira 40 mg svake </w:t>
            </w:r>
            <w:r w:rsidR="009065F5" w:rsidRPr="001B3E42">
              <w:rPr>
                <w:b/>
                <w:sz w:val="22"/>
                <w:szCs w:val="22"/>
              </w:rPr>
              <w:t>nedjelje</w:t>
            </w:r>
          </w:p>
        </w:tc>
      </w:tr>
      <w:tr w:rsidR="005D003D" w:rsidRPr="001B3E42" w:rsidTr="005D003D">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 xml:space="preserve">26. </w:t>
            </w:r>
            <w:r w:rsidR="009065F5" w:rsidRPr="001B3E42">
              <w:rPr>
                <w:b/>
                <w:sz w:val="22"/>
                <w:szCs w:val="22"/>
              </w:rPr>
              <w:t>nedjelja</w:t>
            </w: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N=170</w:t>
            </w: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N=172</w:t>
            </w: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N=157</w:t>
            </w:r>
          </w:p>
        </w:tc>
      </w:tr>
      <w:tr w:rsidR="005D003D" w:rsidRPr="001B3E42" w:rsidTr="005D003D">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 xml:space="preserve">Klinička remisija </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17%</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40%*</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47%*</w:t>
            </w:r>
          </w:p>
        </w:tc>
      </w:tr>
      <w:tr w:rsidR="005D003D" w:rsidRPr="001B3E42" w:rsidTr="005D003D">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Klinički odgovor (CR-100)</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27%</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52%*</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52%*</w:t>
            </w:r>
          </w:p>
        </w:tc>
      </w:tr>
      <w:tr w:rsidR="005D003D" w:rsidRPr="001B3E42" w:rsidTr="005D003D">
        <w:tc>
          <w:tcPr>
            <w:tcW w:w="2320" w:type="dxa"/>
            <w:shd w:val="clear" w:color="auto" w:fill="auto"/>
          </w:tcPr>
          <w:p w:rsidR="005D003D" w:rsidRPr="001B3E42" w:rsidRDefault="00635624" w:rsidP="005D003D">
            <w:pPr>
              <w:autoSpaceDE w:val="0"/>
              <w:autoSpaceDN w:val="0"/>
              <w:adjustRightInd w:val="0"/>
              <w:rPr>
                <w:sz w:val="22"/>
                <w:szCs w:val="22"/>
              </w:rPr>
            </w:pPr>
            <w:r w:rsidRPr="001B3E42">
              <w:rPr>
                <w:sz w:val="22"/>
                <w:szCs w:val="22"/>
              </w:rPr>
              <w:t>Pacijenti</w:t>
            </w:r>
            <w:r w:rsidR="005D003D" w:rsidRPr="001B3E42">
              <w:rPr>
                <w:sz w:val="22"/>
                <w:szCs w:val="22"/>
              </w:rPr>
              <w:t xml:space="preserve"> u remisiji bez upotrebe steroida &gt;= 90 dana</w:t>
            </w:r>
            <w:r w:rsidR="005D003D" w:rsidRPr="001B3E42">
              <w:rPr>
                <w:sz w:val="22"/>
                <w:szCs w:val="22"/>
                <w:vertAlign w:val="superscript"/>
              </w:rPr>
              <w:t>a</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3% (2/66)</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19% (11/58)**</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15% (11/74)**</w:t>
            </w:r>
          </w:p>
        </w:tc>
      </w:tr>
      <w:tr w:rsidR="005D003D" w:rsidRPr="001B3E42" w:rsidTr="005D003D">
        <w:tc>
          <w:tcPr>
            <w:tcW w:w="2320" w:type="dxa"/>
            <w:shd w:val="clear" w:color="auto" w:fill="auto"/>
          </w:tcPr>
          <w:p w:rsidR="005D003D" w:rsidRPr="001B3E42" w:rsidRDefault="001E4AB9" w:rsidP="005D003D">
            <w:pPr>
              <w:autoSpaceDE w:val="0"/>
              <w:autoSpaceDN w:val="0"/>
              <w:adjustRightInd w:val="0"/>
              <w:rPr>
                <w:b/>
                <w:sz w:val="22"/>
                <w:szCs w:val="22"/>
              </w:rPr>
            </w:pPr>
            <w:r w:rsidRPr="001B3E42">
              <w:rPr>
                <w:b/>
                <w:sz w:val="22"/>
                <w:szCs w:val="22"/>
              </w:rPr>
              <w:t xml:space="preserve">56. </w:t>
            </w:r>
            <w:r w:rsidR="009065F5" w:rsidRPr="001B3E42">
              <w:rPr>
                <w:b/>
                <w:sz w:val="22"/>
                <w:szCs w:val="22"/>
              </w:rPr>
              <w:t>nedjelja</w:t>
            </w: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N=170</w:t>
            </w: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N=172</w:t>
            </w:r>
          </w:p>
        </w:tc>
        <w:tc>
          <w:tcPr>
            <w:tcW w:w="2320" w:type="dxa"/>
            <w:shd w:val="clear" w:color="auto" w:fill="auto"/>
          </w:tcPr>
          <w:p w:rsidR="005D003D" w:rsidRPr="001B3E42" w:rsidRDefault="005D003D" w:rsidP="005D003D">
            <w:pPr>
              <w:autoSpaceDE w:val="0"/>
              <w:autoSpaceDN w:val="0"/>
              <w:adjustRightInd w:val="0"/>
              <w:rPr>
                <w:b/>
                <w:sz w:val="22"/>
                <w:szCs w:val="22"/>
              </w:rPr>
            </w:pPr>
            <w:r w:rsidRPr="001B3E42">
              <w:rPr>
                <w:b/>
                <w:sz w:val="22"/>
                <w:szCs w:val="22"/>
              </w:rPr>
              <w:t>N=157</w:t>
            </w:r>
          </w:p>
        </w:tc>
      </w:tr>
      <w:tr w:rsidR="005D003D" w:rsidRPr="001B3E42" w:rsidTr="005D003D">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 xml:space="preserve">Klinička remisija </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12%</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36%*</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41%*</w:t>
            </w:r>
          </w:p>
        </w:tc>
      </w:tr>
      <w:tr w:rsidR="005D003D" w:rsidRPr="001B3E42" w:rsidTr="005D003D">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lastRenderedPageBreak/>
              <w:t>Klinički odgovor (CR-100)</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17%</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41%*</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48%*</w:t>
            </w:r>
          </w:p>
        </w:tc>
      </w:tr>
      <w:tr w:rsidR="005D003D" w:rsidRPr="001B3E42" w:rsidTr="005D003D">
        <w:tc>
          <w:tcPr>
            <w:tcW w:w="2320" w:type="dxa"/>
            <w:shd w:val="clear" w:color="auto" w:fill="auto"/>
          </w:tcPr>
          <w:p w:rsidR="005D003D" w:rsidRPr="001B3E42" w:rsidRDefault="001E4AB9" w:rsidP="005D003D">
            <w:pPr>
              <w:autoSpaceDE w:val="0"/>
              <w:autoSpaceDN w:val="0"/>
              <w:adjustRightInd w:val="0"/>
              <w:rPr>
                <w:sz w:val="22"/>
                <w:szCs w:val="22"/>
              </w:rPr>
            </w:pPr>
            <w:r w:rsidRPr="001B3E42">
              <w:rPr>
                <w:sz w:val="22"/>
                <w:szCs w:val="22"/>
              </w:rPr>
              <w:t>Pacijenti</w:t>
            </w:r>
            <w:r w:rsidR="005D003D" w:rsidRPr="001B3E42">
              <w:rPr>
                <w:sz w:val="22"/>
                <w:szCs w:val="22"/>
              </w:rPr>
              <w:t xml:space="preserve"> u remisiji bez upotrebe steroida &gt;= 90 dana</w:t>
            </w:r>
            <w:r w:rsidR="005D003D" w:rsidRPr="001B3E42">
              <w:rPr>
                <w:sz w:val="22"/>
                <w:szCs w:val="22"/>
                <w:vertAlign w:val="superscript"/>
              </w:rPr>
              <w:t>a</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 xml:space="preserve">5% (3/66) </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29% (17/58)*</w:t>
            </w:r>
          </w:p>
        </w:tc>
        <w:tc>
          <w:tcPr>
            <w:tcW w:w="2320" w:type="dxa"/>
            <w:shd w:val="clear" w:color="auto" w:fill="auto"/>
          </w:tcPr>
          <w:p w:rsidR="005D003D" w:rsidRPr="001B3E42" w:rsidRDefault="005D003D" w:rsidP="005D003D">
            <w:pPr>
              <w:autoSpaceDE w:val="0"/>
              <w:autoSpaceDN w:val="0"/>
              <w:adjustRightInd w:val="0"/>
              <w:rPr>
                <w:sz w:val="22"/>
                <w:szCs w:val="22"/>
              </w:rPr>
            </w:pPr>
            <w:r w:rsidRPr="001B3E42">
              <w:rPr>
                <w:sz w:val="22"/>
                <w:szCs w:val="22"/>
              </w:rPr>
              <w:t>20% (15/74)**</w:t>
            </w:r>
          </w:p>
        </w:tc>
      </w:tr>
    </w:tbl>
    <w:p w:rsidR="005D003D" w:rsidRPr="001B3E42" w:rsidRDefault="00635624" w:rsidP="005D003D">
      <w:pPr>
        <w:autoSpaceDE w:val="0"/>
        <w:autoSpaceDN w:val="0"/>
        <w:adjustRightInd w:val="0"/>
        <w:rPr>
          <w:sz w:val="22"/>
          <w:szCs w:val="22"/>
        </w:rPr>
      </w:pPr>
      <w:r w:rsidRPr="001B3E42">
        <w:rPr>
          <w:sz w:val="22"/>
          <w:szCs w:val="22"/>
        </w:rPr>
        <w:t>* p &lt; 0,001 za poređenje odnosa</w:t>
      </w:r>
      <w:r w:rsidR="005D003D" w:rsidRPr="001B3E42">
        <w:rPr>
          <w:sz w:val="22"/>
          <w:szCs w:val="22"/>
        </w:rPr>
        <w:t xml:space="preserve"> </w:t>
      </w:r>
      <w:r w:rsidR="00377FE9" w:rsidRPr="001B3E42">
        <w:rPr>
          <w:sz w:val="22"/>
          <w:szCs w:val="22"/>
        </w:rPr>
        <w:t xml:space="preserve">lijeka </w:t>
      </w:r>
      <w:r w:rsidR="005D003D" w:rsidRPr="001B3E42">
        <w:rPr>
          <w:sz w:val="22"/>
          <w:szCs w:val="22"/>
        </w:rPr>
        <w:t>Humir</w:t>
      </w:r>
      <w:r w:rsidR="00377FE9" w:rsidRPr="001B3E42">
        <w:rPr>
          <w:sz w:val="22"/>
          <w:szCs w:val="22"/>
        </w:rPr>
        <w:t>a</w:t>
      </w:r>
      <w:r w:rsidR="005D003D" w:rsidRPr="001B3E42">
        <w:rPr>
          <w:sz w:val="22"/>
          <w:szCs w:val="22"/>
        </w:rPr>
        <w:t xml:space="preserve"> i placeba u parovima </w:t>
      </w:r>
    </w:p>
    <w:p w:rsidR="005D003D" w:rsidRPr="001B3E42" w:rsidRDefault="00635624" w:rsidP="005D003D">
      <w:pPr>
        <w:autoSpaceDE w:val="0"/>
        <w:autoSpaceDN w:val="0"/>
        <w:adjustRightInd w:val="0"/>
        <w:rPr>
          <w:sz w:val="22"/>
          <w:szCs w:val="22"/>
        </w:rPr>
      </w:pPr>
      <w:r w:rsidRPr="001B3E42">
        <w:rPr>
          <w:sz w:val="22"/>
          <w:szCs w:val="22"/>
        </w:rPr>
        <w:t>** p &lt; 0,02 za poređenje odnosa</w:t>
      </w:r>
      <w:r w:rsidR="005D003D" w:rsidRPr="001B3E42">
        <w:rPr>
          <w:sz w:val="22"/>
          <w:szCs w:val="22"/>
        </w:rPr>
        <w:t xml:space="preserve"> </w:t>
      </w:r>
      <w:r w:rsidR="00377FE9" w:rsidRPr="001B3E42">
        <w:rPr>
          <w:sz w:val="22"/>
          <w:szCs w:val="22"/>
        </w:rPr>
        <w:t xml:space="preserve">lijeka </w:t>
      </w:r>
      <w:r w:rsidR="005D003D" w:rsidRPr="001B3E42">
        <w:rPr>
          <w:sz w:val="22"/>
          <w:szCs w:val="22"/>
        </w:rPr>
        <w:t>Humir</w:t>
      </w:r>
      <w:r w:rsidR="00377FE9" w:rsidRPr="001B3E42">
        <w:rPr>
          <w:sz w:val="22"/>
          <w:szCs w:val="22"/>
        </w:rPr>
        <w:t>a</w:t>
      </w:r>
      <w:r w:rsidR="005D003D" w:rsidRPr="001B3E42">
        <w:rPr>
          <w:sz w:val="22"/>
          <w:szCs w:val="22"/>
        </w:rPr>
        <w:t xml:space="preserve"> i placeba u parovima </w:t>
      </w:r>
    </w:p>
    <w:p w:rsidR="005D003D" w:rsidRPr="001B3E42" w:rsidRDefault="005D003D" w:rsidP="005D003D">
      <w:pPr>
        <w:autoSpaceDE w:val="0"/>
        <w:autoSpaceDN w:val="0"/>
        <w:adjustRightInd w:val="0"/>
        <w:rPr>
          <w:sz w:val="22"/>
          <w:szCs w:val="22"/>
        </w:rPr>
      </w:pPr>
      <w:r w:rsidRPr="001B3E42">
        <w:rPr>
          <w:sz w:val="22"/>
          <w:szCs w:val="22"/>
          <w:vertAlign w:val="superscript"/>
        </w:rPr>
        <w:t>a</w:t>
      </w:r>
      <w:r w:rsidRPr="001B3E42">
        <w:rPr>
          <w:sz w:val="22"/>
          <w:szCs w:val="22"/>
        </w:rPr>
        <w:t xml:space="preserve"> od onih koji su na početku uzimali kortikosteroide</w:t>
      </w:r>
    </w:p>
    <w:p w:rsidR="005D003D" w:rsidRPr="001B3E42" w:rsidRDefault="005D003D" w:rsidP="005D003D">
      <w:pPr>
        <w:autoSpaceDE w:val="0"/>
        <w:autoSpaceDN w:val="0"/>
        <w:adjustRightInd w:val="0"/>
        <w:rPr>
          <w:sz w:val="22"/>
          <w:szCs w:val="22"/>
        </w:rPr>
      </w:pPr>
    </w:p>
    <w:p w:rsidR="005D003D" w:rsidRPr="001B3E42" w:rsidRDefault="005D003D" w:rsidP="00635624">
      <w:pPr>
        <w:autoSpaceDE w:val="0"/>
        <w:autoSpaceDN w:val="0"/>
        <w:adjustRightInd w:val="0"/>
        <w:jc w:val="both"/>
        <w:rPr>
          <w:sz w:val="22"/>
          <w:szCs w:val="22"/>
        </w:rPr>
      </w:pPr>
      <w:r w:rsidRPr="001B3E42">
        <w:rPr>
          <w:sz w:val="22"/>
          <w:szCs w:val="22"/>
        </w:rPr>
        <w:t xml:space="preserve">Među </w:t>
      </w:r>
      <w:r w:rsidR="00635624" w:rsidRPr="001B3E42">
        <w:rPr>
          <w:sz w:val="22"/>
          <w:szCs w:val="22"/>
        </w:rPr>
        <w:t>pacijenata</w:t>
      </w:r>
      <w:r w:rsidR="00BB6AE8" w:rsidRPr="001B3E42">
        <w:rPr>
          <w:sz w:val="22"/>
          <w:szCs w:val="22"/>
        </w:rPr>
        <w:t xml:space="preserve"> kod kojih u 4</w:t>
      </w:r>
      <w:r w:rsidRPr="001B3E42">
        <w:rPr>
          <w:sz w:val="22"/>
          <w:szCs w:val="22"/>
        </w:rPr>
        <w:t xml:space="preserve"> </w:t>
      </w:r>
      <w:r w:rsidR="009065F5" w:rsidRPr="001B3E42">
        <w:rPr>
          <w:sz w:val="22"/>
          <w:szCs w:val="22"/>
        </w:rPr>
        <w:t>nedjelji</w:t>
      </w:r>
      <w:r w:rsidRPr="001B3E42">
        <w:rPr>
          <w:sz w:val="22"/>
          <w:szCs w:val="22"/>
        </w:rPr>
        <w:t xml:space="preserve"> nije ostvaren klinički odgovor, 43% </w:t>
      </w:r>
      <w:r w:rsidR="00635624" w:rsidRPr="001B3E42">
        <w:rPr>
          <w:sz w:val="22"/>
          <w:szCs w:val="22"/>
        </w:rPr>
        <w:t>pacijenata</w:t>
      </w:r>
      <w:r w:rsidRPr="001B3E42">
        <w:rPr>
          <w:sz w:val="22"/>
          <w:szCs w:val="22"/>
        </w:rPr>
        <w:t xml:space="preserve"> na terapiji održavanja </w:t>
      </w:r>
      <w:r w:rsidR="00BB6AE8" w:rsidRPr="001B3E42">
        <w:rPr>
          <w:sz w:val="22"/>
          <w:szCs w:val="22"/>
        </w:rPr>
        <w:t>imalo je klinički odgovor do 12</w:t>
      </w:r>
      <w:r w:rsidRPr="001B3E42">
        <w:rPr>
          <w:sz w:val="22"/>
          <w:szCs w:val="22"/>
        </w:rPr>
        <w:t xml:space="preserve"> </w:t>
      </w:r>
      <w:r w:rsidR="009065F5" w:rsidRPr="001B3E42">
        <w:rPr>
          <w:sz w:val="22"/>
          <w:szCs w:val="22"/>
        </w:rPr>
        <w:t>nedjelje</w:t>
      </w:r>
      <w:r w:rsidRPr="001B3E42">
        <w:rPr>
          <w:sz w:val="22"/>
          <w:szCs w:val="22"/>
        </w:rPr>
        <w:t xml:space="preserve">, u odnosu na 30% u grupi </w:t>
      </w:r>
      <w:r w:rsidR="00635624" w:rsidRPr="001B3E42">
        <w:rPr>
          <w:sz w:val="22"/>
          <w:szCs w:val="22"/>
        </w:rPr>
        <w:t>pacijenata</w:t>
      </w:r>
      <w:r w:rsidRPr="001B3E42">
        <w:rPr>
          <w:sz w:val="22"/>
          <w:szCs w:val="22"/>
        </w:rPr>
        <w:t xml:space="preserve"> koji su d</w:t>
      </w:r>
      <w:r w:rsidR="00635624" w:rsidRPr="001B3E42">
        <w:rPr>
          <w:sz w:val="22"/>
          <w:szCs w:val="22"/>
        </w:rPr>
        <w:t>obij</w:t>
      </w:r>
      <w:r w:rsidRPr="001B3E42">
        <w:rPr>
          <w:sz w:val="22"/>
          <w:szCs w:val="22"/>
        </w:rPr>
        <w:t>ali placebo. Ovi rezu</w:t>
      </w:r>
      <w:r w:rsidR="00635624" w:rsidRPr="001B3E42">
        <w:rPr>
          <w:sz w:val="22"/>
          <w:szCs w:val="22"/>
        </w:rPr>
        <w:t>ltati pokazuju da neki pacijenti</w:t>
      </w:r>
      <w:r w:rsidRPr="001B3E42">
        <w:rPr>
          <w:sz w:val="22"/>
          <w:szCs w:val="22"/>
        </w:rPr>
        <w:t xml:space="preserve">, koji ne </w:t>
      </w:r>
      <w:r w:rsidR="00BB6AE8" w:rsidRPr="001B3E42">
        <w:rPr>
          <w:sz w:val="22"/>
          <w:szCs w:val="22"/>
        </w:rPr>
        <w:t>ostvare terapijski odgovor do 4</w:t>
      </w:r>
      <w:r w:rsidRPr="001B3E42">
        <w:rPr>
          <w:sz w:val="22"/>
          <w:szCs w:val="22"/>
        </w:rPr>
        <w:t xml:space="preserve"> </w:t>
      </w:r>
      <w:r w:rsidR="009065F5" w:rsidRPr="001B3E42">
        <w:rPr>
          <w:sz w:val="22"/>
          <w:szCs w:val="22"/>
        </w:rPr>
        <w:t>nedjelje</w:t>
      </w:r>
      <w:r w:rsidRPr="001B3E42">
        <w:rPr>
          <w:sz w:val="22"/>
          <w:szCs w:val="22"/>
        </w:rPr>
        <w:t>, imaju koristi uk</w:t>
      </w:r>
      <w:r w:rsidR="00BB6AE8" w:rsidRPr="001B3E42">
        <w:rPr>
          <w:sz w:val="22"/>
          <w:szCs w:val="22"/>
        </w:rPr>
        <w:t>oliko se terapija nastavi do 12</w:t>
      </w:r>
      <w:r w:rsidRPr="001B3E42">
        <w:rPr>
          <w:sz w:val="22"/>
          <w:szCs w:val="22"/>
        </w:rPr>
        <w:t xml:space="preserve"> </w:t>
      </w:r>
      <w:r w:rsidR="009065F5" w:rsidRPr="001B3E42">
        <w:rPr>
          <w:sz w:val="22"/>
          <w:szCs w:val="22"/>
        </w:rPr>
        <w:t>nedjelje</w:t>
      </w:r>
      <w:r w:rsidRPr="001B3E42">
        <w:rPr>
          <w:sz w:val="22"/>
          <w:szCs w:val="22"/>
        </w:rPr>
        <w:t xml:space="preserve">. Nastavak terapije nakon 12 </w:t>
      </w:r>
      <w:r w:rsidR="009065F5" w:rsidRPr="001B3E42">
        <w:rPr>
          <w:sz w:val="22"/>
          <w:szCs w:val="22"/>
        </w:rPr>
        <w:t>nedjelja</w:t>
      </w:r>
      <w:r w:rsidRPr="001B3E42">
        <w:rPr>
          <w:sz w:val="22"/>
          <w:szCs w:val="22"/>
        </w:rPr>
        <w:t xml:space="preserve"> nije dao bitno već</w:t>
      </w:r>
      <w:r w:rsidR="00A762EB" w:rsidRPr="001B3E42">
        <w:rPr>
          <w:sz w:val="22"/>
          <w:szCs w:val="22"/>
        </w:rPr>
        <w:t>i procenat</w:t>
      </w:r>
      <w:r w:rsidR="00635624" w:rsidRPr="001B3E42">
        <w:rPr>
          <w:sz w:val="22"/>
          <w:szCs w:val="22"/>
        </w:rPr>
        <w:t xml:space="preserve"> odgovora (vidjeti </w:t>
      </w:r>
      <w:r w:rsidR="002D5061" w:rsidRPr="001B3E42">
        <w:rPr>
          <w:sz w:val="22"/>
          <w:szCs w:val="22"/>
        </w:rPr>
        <w:t>odjeljak</w:t>
      </w:r>
      <w:r w:rsidRPr="001B3E42">
        <w:rPr>
          <w:sz w:val="22"/>
          <w:szCs w:val="22"/>
        </w:rPr>
        <w:t xml:space="preserve"> 4.2).</w:t>
      </w:r>
    </w:p>
    <w:p w:rsidR="005D003D" w:rsidRPr="001B3E42" w:rsidRDefault="005D003D" w:rsidP="005D003D">
      <w:pPr>
        <w:autoSpaceDE w:val="0"/>
        <w:autoSpaceDN w:val="0"/>
        <w:adjustRightInd w:val="0"/>
        <w:jc w:val="both"/>
        <w:rPr>
          <w:sz w:val="22"/>
          <w:szCs w:val="22"/>
        </w:rPr>
      </w:pPr>
    </w:p>
    <w:p w:rsidR="005D003D" w:rsidRPr="001B3E42" w:rsidRDefault="005D003D" w:rsidP="00635624">
      <w:pPr>
        <w:autoSpaceDE w:val="0"/>
        <w:autoSpaceDN w:val="0"/>
        <w:adjustRightInd w:val="0"/>
        <w:jc w:val="both"/>
        <w:rPr>
          <w:sz w:val="22"/>
          <w:szCs w:val="22"/>
        </w:rPr>
      </w:pPr>
      <w:r w:rsidRPr="001B3E42">
        <w:rPr>
          <w:sz w:val="22"/>
          <w:szCs w:val="22"/>
        </w:rPr>
        <w:t xml:space="preserve">117/276 </w:t>
      </w:r>
      <w:r w:rsidR="00635624" w:rsidRPr="001B3E42">
        <w:rPr>
          <w:sz w:val="22"/>
          <w:szCs w:val="22"/>
        </w:rPr>
        <w:t>pacijenata</w:t>
      </w:r>
      <w:r w:rsidRPr="001B3E42">
        <w:rPr>
          <w:sz w:val="22"/>
          <w:szCs w:val="22"/>
        </w:rPr>
        <w:t xml:space="preserve"> iz ispitivanja CD I i 272/777 </w:t>
      </w:r>
      <w:r w:rsidR="00635624" w:rsidRPr="001B3E42">
        <w:rPr>
          <w:sz w:val="22"/>
          <w:szCs w:val="22"/>
        </w:rPr>
        <w:t xml:space="preserve">pacijenata </w:t>
      </w:r>
      <w:r w:rsidRPr="001B3E42">
        <w:rPr>
          <w:sz w:val="22"/>
          <w:szCs w:val="22"/>
        </w:rPr>
        <w:t xml:space="preserve">iz ispitivanja CD II i III su praćeni najmanje 3 godine u otvorenom dijelu terapije adalimumabom. 88, odnosno 189 </w:t>
      </w:r>
      <w:r w:rsidR="00635624" w:rsidRPr="001B3E42">
        <w:rPr>
          <w:sz w:val="22"/>
          <w:szCs w:val="22"/>
        </w:rPr>
        <w:t xml:space="preserve">pacijenata </w:t>
      </w:r>
      <w:r w:rsidRPr="001B3E42">
        <w:rPr>
          <w:sz w:val="22"/>
          <w:szCs w:val="22"/>
        </w:rPr>
        <w:t xml:space="preserve">je nastavilo biti u kliničkoj remisiji. Klinički odgovor (CR-100) je održan kod 102, odnosno 233 </w:t>
      </w:r>
      <w:r w:rsidR="00635624" w:rsidRPr="001B3E42">
        <w:rPr>
          <w:sz w:val="22"/>
          <w:szCs w:val="22"/>
        </w:rPr>
        <w:t>pacijenata</w:t>
      </w:r>
      <w:r w:rsidRPr="001B3E42">
        <w:rPr>
          <w:sz w:val="22"/>
          <w:szCs w:val="22"/>
        </w:rPr>
        <w:t>.</w:t>
      </w:r>
    </w:p>
    <w:p w:rsidR="005D003D" w:rsidRPr="001B3E42" w:rsidRDefault="005D003D" w:rsidP="005D003D">
      <w:pPr>
        <w:autoSpaceDE w:val="0"/>
        <w:autoSpaceDN w:val="0"/>
        <w:adjustRightInd w:val="0"/>
        <w:jc w:val="both"/>
        <w:rPr>
          <w:sz w:val="22"/>
          <w:szCs w:val="22"/>
        </w:rPr>
      </w:pPr>
    </w:p>
    <w:p w:rsidR="005D003D" w:rsidRPr="001B3E42" w:rsidRDefault="005D003D" w:rsidP="005D003D">
      <w:pPr>
        <w:autoSpaceDE w:val="0"/>
        <w:autoSpaceDN w:val="0"/>
        <w:adjustRightInd w:val="0"/>
        <w:jc w:val="both"/>
        <w:rPr>
          <w:sz w:val="22"/>
          <w:szCs w:val="22"/>
          <w:u w:val="single"/>
        </w:rPr>
      </w:pPr>
      <w:r w:rsidRPr="001B3E42">
        <w:rPr>
          <w:sz w:val="22"/>
          <w:szCs w:val="22"/>
          <w:u w:val="single"/>
        </w:rPr>
        <w:t>Kvalitet života</w:t>
      </w:r>
    </w:p>
    <w:p w:rsidR="005D003D" w:rsidRPr="001B3E42" w:rsidRDefault="005D003D" w:rsidP="00845C47">
      <w:pPr>
        <w:snapToGrid w:val="0"/>
        <w:jc w:val="both"/>
        <w:rPr>
          <w:sz w:val="22"/>
          <w:szCs w:val="22"/>
        </w:rPr>
      </w:pPr>
      <w:r w:rsidRPr="001B3E42">
        <w:rPr>
          <w:sz w:val="22"/>
          <w:szCs w:val="22"/>
        </w:rPr>
        <w:t xml:space="preserve">U ispitivanjima CD I i CD II, u 4. </w:t>
      </w:r>
      <w:r w:rsidR="009065F5" w:rsidRPr="001B3E42">
        <w:rPr>
          <w:sz w:val="22"/>
          <w:szCs w:val="22"/>
        </w:rPr>
        <w:t>nedjelji</w:t>
      </w:r>
      <w:r w:rsidRPr="001B3E42">
        <w:rPr>
          <w:sz w:val="22"/>
          <w:szCs w:val="22"/>
        </w:rPr>
        <w:t xml:space="preserve"> kod </w:t>
      </w:r>
      <w:r w:rsidR="00635624" w:rsidRPr="001B3E42">
        <w:rPr>
          <w:sz w:val="22"/>
          <w:szCs w:val="22"/>
        </w:rPr>
        <w:t>pacijenata</w:t>
      </w:r>
      <w:r w:rsidRPr="001B3E42">
        <w:rPr>
          <w:sz w:val="22"/>
          <w:szCs w:val="22"/>
        </w:rPr>
        <w:t xml:space="preserve"> koji su uzimali </w:t>
      </w:r>
      <w:r w:rsidR="00872668" w:rsidRPr="001B3E42">
        <w:rPr>
          <w:sz w:val="22"/>
          <w:szCs w:val="22"/>
        </w:rPr>
        <w:t xml:space="preserve">lijek </w:t>
      </w:r>
      <w:r w:rsidRPr="001B3E42">
        <w:rPr>
          <w:sz w:val="22"/>
          <w:szCs w:val="22"/>
        </w:rPr>
        <w:t>Humir</w:t>
      </w:r>
      <w:r w:rsidR="00872668" w:rsidRPr="001B3E42">
        <w:rPr>
          <w:sz w:val="22"/>
          <w:szCs w:val="22"/>
        </w:rPr>
        <w:t>a</w:t>
      </w:r>
      <w:r w:rsidRPr="001B3E42">
        <w:rPr>
          <w:sz w:val="22"/>
          <w:szCs w:val="22"/>
        </w:rPr>
        <w:t xml:space="preserve"> 80/40 mg i </w:t>
      </w:r>
      <w:r w:rsidR="00872668" w:rsidRPr="001B3E42">
        <w:rPr>
          <w:sz w:val="22"/>
          <w:szCs w:val="22"/>
        </w:rPr>
        <w:t xml:space="preserve">lijek </w:t>
      </w:r>
      <w:r w:rsidRPr="001B3E42">
        <w:rPr>
          <w:sz w:val="22"/>
          <w:szCs w:val="22"/>
        </w:rPr>
        <w:t>Humir</w:t>
      </w:r>
      <w:r w:rsidR="00872668" w:rsidRPr="001B3E42">
        <w:rPr>
          <w:sz w:val="22"/>
          <w:szCs w:val="22"/>
        </w:rPr>
        <w:t>a</w:t>
      </w:r>
      <w:r w:rsidRPr="001B3E42">
        <w:rPr>
          <w:sz w:val="22"/>
          <w:szCs w:val="22"/>
        </w:rPr>
        <w:t xml:space="preserve"> 160/80 mg došlo je do statistički značajnog poboljšanja u rezultatima prema Upitniku o upalnim bolestima crijeva (IBDQ) u odnosu na grupu </w:t>
      </w:r>
      <w:r w:rsidR="00635624" w:rsidRPr="001B3E42">
        <w:rPr>
          <w:sz w:val="22"/>
          <w:szCs w:val="22"/>
        </w:rPr>
        <w:t>pacijenata</w:t>
      </w:r>
      <w:r w:rsidRPr="001B3E42">
        <w:rPr>
          <w:sz w:val="22"/>
          <w:szCs w:val="22"/>
        </w:rPr>
        <w:t xml:space="preserve"> koji su uzimali placebo. U ispitivanju CD III grupe </w:t>
      </w:r>
      <w:r w:rsidR="00635624" w:rsidRPr="001B3E42">
        <w:rPr>
          <w:sz w:val="22"/>
          <w:szCs w:val="22"/>
        </w:rPr>
        <w:t>pacijenata</w:t>
      </w:r>
      <w:r w:rsidRPr="001B3E42">
        <w:rPr>
          <w:sz w:val="22"/>
          <w:szCs w:val="22"/>
        </w:rPr>
        <w:t xml:space="preserve"> koje su uz</w:t>
      </w:r>
      <w:r w:rsidR="00BB6AE8" w:rsidRPr="001B3E42">
        <w:rPr>
          <w:sz w:val="22"/>
          <w:szCs w:val="22"/>
        </w:rPr>
        <w:t>imale adalimumab imale su, u 26 i 56</w:t>
      </w:r>
      <w:r w:rsidRPr="001B3E42">
        <w:rPr>
          <w:sz w:val="22"/>
          <w:szCs w:val="22"/>
        </w:rPr>
        <w:t xml:space="preserve"> </w:t>
      </w:r>
      <w:r w:rsidR="009065F5" w:rsidRPr="001B3E42">
        <w:rPr>
          <w:sz w:val="22"/>
          <w:szCs w:val="22"/>
        </w:rPr>
        <w:t>nedjelji</w:t>
      </w:r>
      <w:r w:rsidRPr="001B3E42">
        <w:rPr>
          <w:sz w:val="22"/>
          <w:szCs w:val="22"/>
        </w:rPr>
        <w:t>, bolje rezultate od grupe koja je uzimala placebo</w:t>
      </w:r>
      <w:r w:rsidR="00845C47" w:rsidRPr="001B3E42">
        <w:rPr>
          <w:sz w:val="22"/>
          <w:szCs w:val="22"/>
        </w:rPr>
        <w:t>.</w:t>
      </w:r>
    </w:p>
    <w:p w:rsidR="005D003D" w:rsidRPr="001B3E42" w:rsidRDefault="005D003D" w:rsidP="005D003D">
      <w:pPr>
        <w:snapToGrid w:val="0"/>
        <w:rPr>
          <w:sz w:val="22"/>
          <w:szCs w:val="22"/>
        </w:rPr>
      </w:pPr>
    </w:p>
    <w:p w:rsidR="005D003D" w:rsidRPr="001B3E42" w:rsidRDefault="005D003D" w:rsidP="005D003D">
      <w:pPr>
        <w:pStyle w:val="Default"/>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Imunogenost</w:t>
      </w:r>
    </w:p>
    <w:p w:rsidR="005D003D" w:rsidRPr="001B3E42" w:rsidRDefault="005D003D" w:rsidP="005D003D">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Stvaranje anti-adalimumab antitijela povezano je s bržim uklanjanjem</w:t>
      </w:r>
      <w:r w:rsidR="00845C47" w:rsidRPr="001B3E42">
        <w:rPr>
          <w:rFonts w:ascii="Times New Roman" w:hAnsi="Times New Roman" w:cs="Times New Roman"/>
          <w:color w:val="auto"/>
          <w:sz w:val="22"/>
          <w:szCs w:val="22"/>
          <w:lang w:val="sr-Latn-ME"/>
        </w:rPr>
        <w:t xml:space="preserve"> i slabijim terapeutskim djelovanjem</w:t>
      </w:r>
      <w:r w:rsidRPr="001B3E42">
        <w:rPr>
          <w:rFonts w:ascii="Times New Roman" w:hAnsi="Times New Roman" w:cs="Times New Roman"/>
          <w:color w:val="auto"/>
          <w:sz w:val="22"/>
          <w:szCs w:val="22"/>
          <w:lang w:val="sr-Latn-ME"/>
        </w:rPr>
        <w:t xml:space="preserve"> adalimumaba. Prisutnost antitijela na adalimumab nije povezan</w:t>
      </w:r>
      <w:r w:rsidR="00E34552" w:rsidRPr="001B3E42">
        <w:rPr>
          <w:rFonts w:ascii="Times New Roman" w:hAnsi="Times New Roman" w:cs="Times New Roman"/>
          <w:color w:val="auto"/>
          <w:sz w:val="22"/>
          <w:szCs w:val="22"/>
          <w:lang w:val="sr-Latn-ME"/>
        </w:rPr>
        <w:t>a sa stopom pojave neželjenih dejstva</w:t>
      </w:r>
      <w:r w:rsidRPr="001B3E42">
        <w:rPr>
          <w:rFonts w:ascii="Times New Roman" w:hAnsi="Times New Roman" w:cs="Times New Roman"/>
          <w:color w:val="auto"/>
          <w:sz w:val="22"/>
          <w:szCs w:val="22"/>
          <w:lang w:val="sr-Latn-ME"/>
        </w:rPr>
        <w:t>.</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635624" w:rsidP="0063562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Kod pacijenata</w:t>
      </w:r>
      <w:r w:rsidR="005D003D" w:rsidRPr="001B3E42">
        <w:rPr>
          <w:rFonts w:ascii="Times New Roman" w:hAnsi="Times New Roman" w:cs="Times New Roman"/>
          <w:color w:val="auto"/>
          <w:sz w:val="22"/>
          <w:szCs w:val="22"/>
          <w:lang w:val="sr-Latn-ME"/>
        </w:rPr>
        <w:t xml:space="preserve"> s poliartikularnim juvenilnim idiopatskim artritisom, anti-adalimumab ant</w:t>
      </w:r>
      <w:r w:rsidR="00845C47" w:rsidRPr="001B3E42">
        <w:rPr>
          <w:rFonts w:ascii="Times New Roman" w:hAnsi="Times New Roman" w:cs="Times New Roman"/>
          <w:color w:val="auto"/>
          <w:sz w:val="22"/>
          <w:szCs w:val="22"/>
          <w:lang w:val="sr-Latn-ME"/>
        </w:rPr>
        <w:t>itijela su identifikovana kod</w:t>
      </w:r>
      <w:r w:rsidR="005D003D" w:rsidRPr="001B3E42">
        <w:rPr>
          <w:rFonts w:ascii="Times New Roman" w:hAnsi="Times New Roman" w:cs="Times New Roman"/>
          <w:color w:val="auto"/>
          <w:sz w:val="22"/>
          <w:szCs w:val="22"/>
          <w:lang w:val="sr-Latn-ME"/>
        </w:rPr>
        <w:t xml:space="preserve"> 27/171 </w:t>
      </w:r>
      <w:r w:rsidRPr="001B3E42">
        <w:rPr>
          <w:rFonts w:ascii="Times New Roman" w:hAnsi="Times New Roman" w:cs="Times New Roman"/>
          <w:color w:val="auto"/>
          <w:sz w:val="22"/>
          <w:szCs w:val="22"/>
          <w:lang w:val="sr-Latn-ME"/>
        </w:rPr>
        <w:t>pacijenata</w:t>
      </w:r>
      <w:r w:rsidR="005D003D" w:rsidRPr="001B3E42">
        <w:rPr>
          <w:rFonts w:ascii="Times New Roman" w:hAnsi="Times New Roman" w:cs="Times New Roman"/>
          <w:color w:val="auto"/>
          <w:sz w:val="22"/>
          <w:szCs w:val="22"/>
          <w:lang w:val="sr-Latn-ME"/>
        </w:rPr>
        <w:t xml:space="preserve"> (15,8%) lij</w:t>
      </w:r>
      <w:r w:rsidRPr="001B3E42">
        <w:rPr>
          <w:rFonts w:ascii="Times New Roman" w:hAnsi="Times New Roman" w:cs="Times New Roman"/>
          <w:color w:val="auto"/>
          <w:sz w:val="22"/>
          <w:szCs w:val="22"/>
          <w:lang w:val="sr-Latn-ME"/>
        </w:rPr>
        <w:t>ečenih adalimumabom. Kod pacijenata</w:t>
      </w:r>
      <w:r w:rsidR="005D003D" w:rsidRPr="001B3E42">
        <w:rPr>
          <w:rFonts w:ascii="Times New Roman" w:hAnsi="Times New Roman" w:cs="Times New Roman"/>
          <w:color w:val="auto"/>
          <w:sz w:val="22"/>
          <w:szCs w:val="22"/>
          <w:lang w:val="sr-Latn-ME"/>
        </w:rPr>
        <w:t xml:space="preserve"> koji nisu</w:t>
      </w:r>
      <w:r w:rsidR="00845C47" w:rsidRPr="001B3E42">
        <w:rPr>
          <w:rFonts w:ascii="Times New Roman" w:hAnsi="Times New Roman" w:cs="Times New Roman"/>
          <w:color w:val="auto"/>
          <w:sz w:val="22"/>
          <w:szCs w:val="22"/>
          <w:lang w:val="sr-Latn-ME"/>
        </w:rPr>
        <w:t xml:space="preserve"> primili metotreksat incidenca</w:t>
      </w:r>
      <w:r w:rsidR="005D003D" w:rsidRPr="001B3E42">
        <w:rPr>
          <w:rFonts w:ascii="Times New Roman" w:hAnsi="Times New Roman" w:cs="Times New Roman"/>
          <w:color w:val="auto"/>
          <w:sz w:val="22"/>
          <w:szCs w:val="22"/>
          <w:lang w:val="sr-Latn-ME"/>
        </w:rPr>
        <w:t xml:space="preserve"> antitijela bila je 22/86 (25,6%</w:t>
      </w:r>
      <w:r w:rsidRPr="001B3E42">
        <w:rPr>
          <w:rFonts w:ascii="Times New Roman" w:hAnsi="Times New Roman" w:cs="Times New Roman"/>
          <w:color w:val="auto"/>
          <w:sz w:val="22"/>
          <w:szCs w:val="22"/>
          <w:lang w:val="sr-Latn-ME"/>
        </w:rPr>
        <w:t>), u poređenju sa 5/85 (5,9%) kod pacijenata</w:t>
      </w:r>
      <w:r w:rsidR="005D003D" w:rsidRPr="001B3E42">
        <w:rPr>
          <w:rFonts w:ascii="Times New Roman" w:hAnsi="Times New Roman" w:cs="Times New Roman"/>
          <w:color w:val="auto"/>
          <w:sz w:val="22"/>
          <w:szCs w:val="22"/>
          <w:lang w:val="sr-Latn-ME"/>
        </w:rPr>
        <w:t xml:space="preserve"> koji su primali i metotreksat.</w:t>
      </w:r>
    </w:p>
    <w:p w:rsidR="005D003D" w:rsidRPr="001B3E42" w:rsidRDefault="005D003D" w:rsidP="005D003D">
      <w:pPr>
        <w:pStyle w:val="Default"/>
        <w:jc w:val="both"/>
        <w:rPr>
          <w:rFonts w:ascii="Times New Roman" w:hAnsi="Times New Roman" w:cs="Times New Roman"/>
          <w:color w:val="auto"/>
          <w:sz w:val="22"/>
          <w:szCs w:val="22"/>
          <w:lang w:val="sr-Latn-ME"/>
        </w:rPr>
      </w:pPr>
    </w:p>
    <w:p w:rsidR="005D003D" w:rsidRPr="001B3E42" w:rsidRDefault="00635624" w:rsidP="00635624">
      <w:pPr>
        <w:pStyle w:val="Default"/>
        <w:jc w:val="both"/>
        <w:rPr>
          <w:rFonts w:ascii="Times New Roman" w:hAnsi="Times New Roman" w:cs="Times New Roman"/>
          <w:color w:val="auto"/>
          <w:sz w:val="22"/>
          <w:szCs w:val="22"/>
          <w:lang w:val="sr-Latn-ME"/>
        </w:rPr>
      </w:pPr>
      <w:r w:rsidRPr="001B3E42">
        <w:rPr>
          <w:rFonts w:ascii="Times New Roman" w:hAnsi="Times New Roman" w:cs="Times New Roman"/>
          <w:color w:val="auto"/>
          <w:sz w:val="22"/>
          <w:szCs w:val="22"/>
          <w:lang w:val="sr-Latn-ME"/>
        </w:rPr>
        <w:t>Kod pacijenata</w:t>
      </w:r>
      <w:r w:rsidR="005D003D" w:rsidRPr="001B3E42">
        <w:rPr>
          <w:rFonts w:ascii="Times New Roman" w:hAnsi="Times New Roman" w:cs="Times New Roman"/>
          <w:color w:val="auto"/>
          <w:sz w:val="22"/>
          <w:szCs w:val="22"/>
          <w:lang w:val="sr-Latn-ME"/>
        </w:rPr>
        <w:t xml:space="preserve"> u Ispitivanjima RA I, II i III između 6. i 12. mjeseca terapije u više navrata vršene su pretrage kako bi se utvrdila prisutnost anti-adalimumab antitijela. U pivot</w:t>
      </w:r>
      <w:r w:rsidR="00E001CC" w:rsidRPr="001B3E42">
        <w:rPr>
          <w:rFonts w:ascii="Times New Roman" w:hAnsi="Times New Roman" w:cs="Times New Roman"/>
          <w:color w:val="auto"/>
          <w:sz w:val="22"/>
          <w:szCs w:val="22"/>
          <w:lang w:val="sr-Latn-ME"/>
        </w:rPr>
        <w:t>al</w:t>
      </w:r>
      <w:r w:rsidR="005D003D" w:rsidRPr="001B3E42">
        <w:rPr>
          <w:rFonts w:ascii="Times New Roman" w:hAnsi="Times New Roman" w:cs="Times New Roman"/>
          <w:color w:val="auto"/>
          <w:sz w:val="22"/>
          <w:szCs w:val="22"/>
          <w:lang w:val="sr-Latn-ME"/>
        </w:rPr>
        <w:t xml:space="preserve">nim kliničkim ispitivanjima anti-adalimumab antitijela nađena su u 58 od 1053 </w:t>
      </w:r>
      <w:r w:rsidRPr="001B3E42">
        <w:rPr>
          <w:rFonts w:ascii="Times New Roman" w:hAnsi="Times New Roman" w:cs="Times New Roman"/>
          <w:color w:val="auto"/>
          <w:sz w:val="22"/>
          <w:szCs w:val="22"/>
          <w:lang w:val="sr-Latn-ME"/>
        </w:rPr>
        <w:t>pacijenata</w:t>
      </w:r>
      <w:r w:rsidR="00845C47" w:rsidRPr="001B3E42">
        <w:rPr>
          <w:rFonts w:ascii="Times New Roman" w:hAnsi="Times New Roman" w:cs="Times New Roman"/>
          <w:color w:val="auto"/>
          <w:sz w:val="22"/>
          <w:szCs w:val="22"/>
          <w:lang w:val="sr-Latn-ME"/>
        </w:rPr>
        <w:t xml:space="preserve"> </w:t>
      </w:r>
      <w:r w:rsidR="005D003D" w:rsidRPr="001B3E42">
        <w:rPr>
          <w:rFonts w:ascii="Times New Roman" w:hAnsi="Times New Roman" w:cs="Times New Roman"/>
          <w:color w:val="auto"/>
          <w:sz w:val="22"/>
          <w:szCs w:val="22"/>
          <w:lang w:val="sr-Latn-ME"/>
        </w:rPr>
        <w:t>(5,5%) koji su uzimali ada</w:t>
      </w:r>
      <w:r w:rsidRPr="001B3E42">
        <w:rPr>
          <w:rFonts w:ascii="Times New Roman" w:hAnsi="Times New Roman" w:cs="Times New Roman"/>
          <w:color w:val="auto"/>
          <w:sz w:val="22"/>
          <w:szCs w:val="22"/>
          <w:lang w:val="sr-Latn-ME"/>
        </w:rPr>
        <w:t>limumab, u odnosu na 2 pacijenta</w:t>
      </w:r>
      <w:r w:rsidR="005D003D" w:rsidRPr="001B3E42">
        <w:rPr>
          <w:rFonts w:ascii="Times New Roman" w:hAnsi="Times New Roman" w:cs="Times New Roman"/>
          <w:color w:val="auto"/>
          <w:sz w:val="22"/>
          <w:szCs w:val="22"/>
          <w:lang w:val="sr-Latn-ME"/>
        </w:rPr>
        <w:t xml:space="preserve"> od 370 (0,5%) koji</w:t>
      </w:r>
      <w:r w:rsidRPr="001B3E42">
        <w:rPr>
          <w:rFonts w:ascii="Times New Roman" w:hAnsi="Times New Roman" w:cs="Times New Roman"/>
          <w:color w:val="auto"/>
          <w:sz w:val="22"/>
          <w:szCs w:val="22"/>
          <w:lang w:val="sr-Latn-ME"/>
        </w:rPr>
        <w:t xml:space="preserve"> su uzimali placebo. Kod pacijenata</w:t>
      </w:r>
      <w:r w:rsidR="005D003D" w:rsidRPr="001B3E42">
        <w:rPr>
          <w:rFonts w:ascii="Times New Roman" w:hAnsi="Times New Roman" w:cs="Times New Roman"/>
          <w:color w:val="auto"/>
          <w:sz w:val="22"/>
          <w:szCs w:val="22"/>
          <w:lang w:val="sr-Latn-ME"/>
        </w:rPr>
        <w:t xml:space="preserve"> koji istovremeno ni</w:t>
      </w:r>
      <w:r w:rsidR="00845C47" w:rsidRPr="001B3E42">
        <w:rPr>
          <w:rFonts w:ascii="Times New Roman" w:hAnsi="Times New Roman" w:cs="Times New Roman"/>
          <w:color w:val="auto"/>
          <w:sz w:val="22"/>
          <w:szCs w:val="22"/>
          <w:lang w:val="sr-Latn-ME"/>
        </w:rPr>
        <w:t>su primali metotreksat pojava</w:t>
      </w:r>
      <w:r w:rsidR="005D003D" w:rsidRPr="001B3E42">
        <w:rPr>
          <w:rFonts w:ascii="Times New Roman" w:hAnsi="Times New Roman" w:cs="Times New Roman"/>
          <w:color w:val="auto"/>
          <w:sz w:val="22"/>
          <w:szCs w:val="22"/>
          <w:lang w:val="sr-Latn-ME"/>
        </w:rPr>
        <w:t xml:space="preserve"> anti-adalimumab antitijela bila je 12,4% u </w:t>
      </w:r>
      <w:r w:rsidRPr="001B3E42">
        <w:rPr>
          <w:rFonts w:ascii="Times New Roman" w:hAnsi="Times New Roman" w:cs="Times New Roman"/>
          <w:color w:val="auto"/>
          <w:sz w:val="22"/>
          <w:szCs w:val="22"/>
          <w:lang w:val="sr-Latn-ME"/>
        </w:rPr>
        <w:t>odnosu na 0,6% u grupi pacijenata</w:t>
      </w:r>
      <w:r w:rsidR="005D003D" w:rsidRPr="001B3E42">
        <w:rPr>
          <w:rFonts w:ascii="Times New Roman" w:hAnsi="Times New Roman" w:cs="Times New Roman"/>
          <w:color w:val="auto"/>
          <w:sz w:val="22"/>
          <w:szCs w:val="22"/>
          <w:lang w:val="sr-Latn-ME"/>
        </w:rPr>
        <w:t xml:space="preserve"> koji su primali metotreksat uz adalimumab.</w:t>
      </w:r>
    </w:p>
    <w:p w:rsidR="005D003D" w:rsidRPr="001B3E42" w:rsidRDefault="005D003D" w:rsidP="005D003D">
      <w:pPr>
        <w:pStyle w:val="Default"/>
        <w:jc w:val="both"/>
        <w:rPr>
          <w:rFonts w:ascii="Times New Roman" w:hAnsi="Times New Roman" w:cs="Times New Roman"/>
          <w:b/>
          <w:bCs/>
          <w:color w:val="auto"/>
          <w:sz w:val="22"/>
          <w:szCs w:val="22"/>
          <w:lang w:val="sr-Latn-ME"/>
        </w:rPr>
      </w:pPr>
    </w:p>
    <w:p w:rsidR="005D003D" w:rsidRDefault="005D003D" w:rsidP="005D003D">
      <w:pPr>
        <w:pStyle w:val="Default"/>
        <w:jc w:val="both"/>
        <w:rPr>
          <w:rFonts w:ascii="Times New Roman" w:hAnsi="Times New Roman" w:cs="Times New Roman"/>
          <w:color w:val="auto"/>
          <w:lang w:val="sr-Latn-ME"/>
        </w:rPr>
      </w:pPr>
      <w:r w:rsidRPr="001B3E42">
        <w:rPr>
          <w:rFonts w:ascii="Times New Roman" w:hAnsi="Times New Roman" w:cs="Times New Roman"/>
          <w:color w:val="auto"/>
          <w:sz w:val="22"/>
          <w:szCs w:val="22"/>
          <w:lang w:val="sr-Latn-ME"/>
        </w:rPr>
        <w:t>Zbog toga što je analiza imunogenosti specifična za svaki lijek, nije prikladno porediti ni</w:t>
      </w:r>
      <w:r w:rsidR="00845C47" w:rsidRPr="001B3E42">
        <w:rPr>
          <w:rFonts w:ascii="Times New Roman" w:hAnsi="Times New Roman" w:cs="Times New Roman"/>
          <w:color w:val="auto"/>
          <w:sz w:val="22"/>
          <w:szCs w:val="22"/>
          <w:lang w:val="sr-Latn-ME"/>
        </w:rPr>
        <w:t>voe antitijela kod različitih l</w:t>
      </w:r>
      <w:r w:rsidRPr="001B3E42">
        <w:rPr>
          <w:rFonts w:ascii="Times New Roman" w:hAnsi="Times New Roman" w:cs="Times New Roman"/>
          <w:color w:val="auto"/>
          <w:sz w:val="22"/>
          <w:szCs w:val="22"/>
          <w:lang w:val="sr-Latn-ME"/>
        </w:rPr>
        <w:t>jekova</w:t>
      </w:r>
      <w:r w:rsidRPr="001B3E42">
        <w:rPr>
          <w:rFonts w:ascii="Times New Roman" w:hAnsi="Times New Roman" w:cs="Times New Roman"/>
          <w:color w:val="auto"/>
          <w:lang w:val="sr-Latn-ME"/>
        </w:rPr>
        <w:t>.</w:t>
      </w:r>
    </w:p>
    <w:p w:rsidR="003428F0" w:rsidRDefault="003428F0" w:rsidP="005D003D">
      <w:pPr>
        <w:pStyle w:val="Default"/>
        <w:jc w:val="both"/>
        <w:rPr>
          <w:rFonts w:ascii="Times New Roman" w:hAnsi="Times New Roman" w:cs="Times New Roman"/>
          <w:color w:val="auto"/>
          <w:lang w:val="sr-Latn-ME"/>
        </w:rPr>
      </w:pPr>
    </w:p>
    <w:p w:rsidR="003428F0" w:rsidRPr="001B3E42" w:rsidRDefault="003428F0" w:rsidP="005D003D">
      <w:pPr>
        <w:pStyle w:val="Default"/>
        <w:jc w:val="both"/>
        <w:rPr>
          <w:rFonts w:ascii="Times New Roman" w:hAnsi="Times New Roman" w:cs="Times New Roman"/>
          <w:color w:val="auto"/>
          <w:lang w:val="sr-Latn-ME"/>
        </w:rPr>
      </w:pPr>
    </w:p>
    <w:p w:rsidR="005D003D" w:rsidRPr="001B3E42" w:rsidRDefault="005D003D"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lastRenderedPageBreak/>
        <w:t xml:space="preserve">5.2. </w:t>
      </w:r>
      <w:r w:rsidR="00480FB1" w:rsidRPr="001B3E42">
        <w:rPr>
          <w:b/>
          <w:bCs/>
          <w:sz w:val="22"/>
          <w:szCs w:val="22"/>
        </w:rPr>
        <w:tab/>
      </w:r>
      <w:r w:rsidRPr="001B3E42">
        <w:rPr>
          <w:b/>
          <w:bCs/>
          <w:sz w:val="22"/>
          <w:szCs w:val="22"/>
        </w:rPr>
        <w:t>Farmakokinetički podaci</w:t>
      </w:r>
    </w:p>
    <w:p w:rsidR="0072020E" w:rsidRPr="001B3E42" w:rsidRDefault="0072020E" w:rsidP="00480FB1">
      <w:pPr>
        <w:tabs>
          <w:tab w:val="left" w:pos="540"/>
          <w:tab w:val="left" w:pos="569"/>
        </w:tabs>
        <w:rPr>
          <w:bCs/>
          <w:sz w:val="22"/>
          <w:szCs w:val="22"/>
        </w:rPr>
      </w:pPr>
    </w:p>
    <w:p w:rsidR="00892AA9" w:rsidRPr="001B3E42" w:rsidRDefault="00FD4048" w:rsidP="00892AA9">
      <w:pPr>
        <w:pStyle w:val="Default"/>
        <w:ind w:left="567" w:hanging="567"/>
        <w:jc w:val="both"/>
        <w:rPr>
          <w:rFonts w:ascii="Times New Roman" w:hAnsi="Times New Roman" w:cs="Times New Roman"/>
          <w:color w:val="auto"/>
          <w:sz w:val="22"/>
          <w:szCs w:val="22"/>
          <w:u w:val="single"/>
          <w:lang w:val="sr-Latn-ME"/>
        </w:rPr>
      </w:pPr>
      <w:r w:rsidRPr="001B3E42">
        <w:rPr>
          <w:rFonts w:ascii="Times New Roman" w:hAnsi="Times New Roman" w:cs="Times New Roman"/>
          <w:color w:val="auto"/>
          <w:sz w:val="22"/>
          <w:szCs w:val="22"/>
          <w:u w:val="single"/>
          <w:lang w:val="sr-Latn-ME"/>
        </w:rPr>
        <w:t>Re</w:t>
      </w:r>
      <w:r w:rsidR="00892AA9" w:rsidRPr="001B3E42">
        <w:rPr>
          <w:rFonts w:ascii="Times New Roman" w:hAnsi="Times New Roman" w:cs="Times New Roman"/>
          <w:color w:val="auto"/>
          <w:sz w:val="22"/>
          <w:szCs w:val="22"/>
          <w:u w:val="single"/>
          <w:lang w:val="sr-Latn-ME"/>
        </w:rPr>
        <w:t>sorpcija i distribucija</w:t>
      </w:r>
    </w:p>
    <w:p w:rsidR="00712B41" w:rsidRPr="001B3E42" w:rsidRDefault="00712B41" w:rsidP="00712B41">
      <w:pPr>
        <w:pStyle w:val="EMEANormal"/>
        <w:tabs>
          <w:tab w:val="clear" w:pos="562"/>
        </w:tabs>
        <w:jc w:val="both"/>
        <w:rPr>
          <w:lang w:val="sr-Latn-ME"/>
        </w:rPr>
      </w:pPr>
      <w:r w:rsidRPr="001B3E42">
        <w:rPr>
          <w:lang w:val="sr-Latn-ME"/>
        </w:rPr>
        <w:t>Nakon primjene 24 mg/m</w:t>
      </w:r>
      <w:r w:rsidRPr="001B3E42">
        <w:rPr>
          <w:vertAlign w:val="superscript"/>
          <w:lang w:val="sr-Latn-ME"/>
        </w:rPr>
        <w:t>2</w:t>
      </w:r>
      <w:r w:rsidRPr="001B3E42">
        <w:rPr>
          <w:lang w:val="sr-Latn-ME"/>
        </w:rPr>
        <w:t xml:space="preserve"> (do maksimalno 40 mg) potkožno svake druge nedjelje kod pacijenata s poliartikularnim juvenilnim idiopatskim artritisom (JIA) u dobi od 4-17 godina, srednja vrijednost najniže koncentracije adalimumaba u serumu u stanju dinamičke ravnoteže (vrijednosti mjerene od</w:t>
      </w:r>
      <w:r w:rsidR="00BD53A4" w:rsidRPr="001B3E42">
        <w:rPr>
          <w:lang w:val="sr-Latn-ME"/>
        </w:rPr>
        <w:t xml:space="preserve"> 20</w:t>
      </w:r>
      <w:r w:rsidRPr="001B3E42">
        <w:rPr>
          <w:lang w:val="sr-Latn-ME"/>
        </w:rPr>
        <w:t xml:space="preserve"> do</w:t>
      </w:r>
      <w:r w:rsidR="00BD53A4" w:rsidRPr="001B3E42">
        <w:rPr>
          <w:lang w:val="sr-Latn-ME"/>
        </w:rPr>
        <w:t xml:space="preserve"> 48</w:t>
      </w:r>
      <w:r w:rsidRPr="001B3E42">
        <w:rPr>
          <w:lang w:val="sr-Latn-ME"/>
        </w:rPr>
        <w:t xml:space="preserve"> nedjelje) bila je 5,6 ± 5,6 µg/ml (102% CV) na monoterapiji </w:t>
      </w:r>
      <w:r w:rsidR="00AC4C8C" w:rsidRPr="001B3E42">
        <w:rPr>
          <w:lang w:val="sr-Latn-ME"/>
        </w:rPr>
        <w:t xml:space="preserve">lijekom </w:t>
      </w:r>
      <w:r w:rsidRPr="001B3E42">
        <w:rPr>
          <w:lang w:val="sr-Latn-ME"/>
        </w:rPr>
        <w:t>Humir</w:t>
      </w:r>
      <w:r w:rsidR="00AC4C8C" w:rsidRPr="001B3E42">
        <w:rPr>
          <w:lang w:val="sr-Latn-ME"/>
        </w:rPr>
        <w:t>a</w:t>
      </w:r>
      <w:r w:rsidRPr="001B3E42">
        <w:rPr>
          <w:lang w:val="sr-Latn-ME"/>
        </w:rPr>
        <w:t xml:space="preserve"> i 10,9 ± 5,2 µg/ml (47,7% CV) s istovremenom primjenom metotreksata. </w:t>
      </w:r>
    </w:p>
    <w:p w:rsidR="00712B41" w:rsidRPr="001B3E42" w:rsidRDefault="00712B41" w:rsidP="00712B41">
      <w:pPr>
        <w:pStyle w:val="EMEANormal"/>
        <w:tabs>
          <w:tab w:val="clear" w:pos="562"/>
        </w:tabs>
        <w:jc w:val="both"/>
        <w:rPr>
          <w:lang w:val="sr-Latn-ME"/>
        </w:rPr>
      </w:pPr>
    </w:p>
    <w:p w:rsidR="00712B41" w:rsidRPr="001B3E42" w:rsidRDefault="00712B41" w:rsidP="00712B41">
      <w:pPr>
        <w:pStyle w:val="EMEANormal"/>
        <w:tabs>
          <w:tab w:val="clear" w:pos="562"/>
        </w:tabs>
        <w:jc w:val="both"/>
        <w:rPr>
          <w:lang w:val="sr-Latn-ME"/>
        </w:rPr>
      </w:pPr>
      <w:r w:rsidRPr="001B3E42">
        <w:rPr>
          <w:lang w:val="sr-Latn-ME"/>
        </w:rPr>
        <w:t>Kod pacijenata sa JIA starosti od 2 do manje od 4 godine ili starosti od 4 godine i starijih s tjelesnom težinom manjom od 15 kg nakon primjene 24 mg/m</w:t>
      </w:r>
      <w:r w:rsidRPr="001B3E42">
        <w:rPr>
          <w:vertAlign w:val="superscript"/>
          <w:lang w:val="sr-Latn-ME"/>
        </w:rPr>
        <w:t>2</w:t>
      </w:r>
      <w:r w:rsidRPr="001B3E42">
        <w:rPr>
          <w:lang w:val="sr-Latn-ME"/>
        </w:rPr>
        <w:t xml:space="preserve"> </w:t>
      </w:r>
      <w:r w:rsidR="00377FE9" w:rsidRPr="001B3E42">
        <w:rPr>
          <w:lang w:val="sr-Latn-ME"/>
        </w:rPr>
        <w:t xml:space="preserve">lijeka </w:t>
      </w:r>
      <w:r w:rsidRPr="001B3E42">
        <w:rPr>
          <w:lang w:val="sr-Latn-ME"/>
        </w:rPr>
        <w:t>Humir</w:t>
      </w:r>
      <w:r w:rsidR="00377FE9" w:rsidRPr="001B3E42">
        <w:rPr>
          <w:lang w:val="sr-Latn-ME"/>
        </w:rPr>
        <w:t>a</w:t>
      </w:r>
      <w:r w:rsidRPr="001B3E42">
        <w:rPr>
          <w:lang w:val="sr-Latn-ME"/>
        </w:rPr>
        <w:t xml:space="preserve">, srednja vrijednost najniže koncentracije adalimumaba u serumu u stanju dinamičke ravnoteže bila je 6,0 ± 6,1 µg/ml (101% CV) na monoterapiji </w:t>
      </w:r>
      <w:r w:rsidR="00AC4C8C" w:rsidRPr="001B3E42">
        <w:rPr>
          <w:lang w:val="sr-Latn-ME"/>
        </w:rPr>
        <w:t xml:space="preserve">lijekom </w:t>
      </w:r>
      <w:r w:rsidRPr="001B3E42">
        <w:rPr>
          <w:lang w:val="sr-Latn-ME"/>
        </w:rPr>
        <w:t>Humir</w:t>
      </w:r>
      <w:r w:rsidR="00AC4C8C" w:rsidRPr="001B3E42">
        <w:rPr>
          <w:lang w:val="sr-Latn-ME"/>
        </w:rPr>
        <w:t>a</w:t>
      </w:r>
      <w:r w:rsidRPr="001B3E42">
        <w:rPr>
          <w:lang w:val="sr-Latn-ME"/>
        </w:rPr>
        <w:t xml:space="preserve"> i 7,9 ± 5,6 µg/ml (71,2 % CV) s istovremenom primjenom metotreksata.</w:t>
      </w:r>
    </w:p>
    <w:p w:rsidR="00712B41" w:rsidRPr="001B3E42" w:rsidRDefault="00712B41" w:rsidP="00712B41">
      <w:pPr>
        <w:autoSpaceDE w:val="0"/>
        <w:autoSpaceDN w:val="0"/>
        <w:adjustRightInd w:val="0"/>
        <w:jc w:val="both"/>
        <w:rPr>
          <w:sz w:val="22"/>
          <w:szCs w:val="22"/>
        </w:rPr>
      </w:pPr>
    </w:p>
    <w:p w:rsidR="00712B41" w:rsidRPr="001B3E42" w:rsidRDefault="00712B41" w:rsidP="00712B41">
      <w:pPr>
        <w:autoSpaceDE w:val="0"/>
        <w:autoSpaceDN w:val="0"/>
        <w:adjustRightInd w:val="0"/>
        <w:jc w:val="both"/>
        <w:rPr>
          <w:sz w:val="22"/>
          <w:szCs w:val="22"/>
        </w:rPr>
      </w:pPr>
      <w:r w:rsidRPr="001B3E42">
        <w:rPr>
          <w:sz w:val="22"/>
          <w:szCs w:val="22"/>
        </w:rPr>
        <w:t>Kod pedijatrijskih pacijenata sa umjerenim do teškim oblikom Crohn-ove bolesti, indukciona doza u otvorenoj studiji bila je 160/80 mg ili 80/40 mg u nultoj nedjelji i nedjelji 2, u zavisnosti od tjelesne težine (granična vrijednost od 40 kg). Nakon 4 nedjelje, bolesnici su randomizovani 1:1, da bi primali ili standardnu dozu održavanja (40/20 mg svake druge nedjelje) ili nisku dozu održavanja (20/10 mg svake druge nedjelje), na osnovu tjelesne težine. Prosječna (±SD) koncentracija adalimumaba u serumu nakon 4 nedjelje bila je 15,7 ± 6,6 µg/ml kod ispitanika sa tjelesnom težinom ≥40 kg (160/80 mg), i 10.6±6.1 µg/ml kod ispitanika sa tjelesnom težinom &lt;40 kg (80/40 mg).</w:t>
      </w:r>
    </w:p>
    <w:p w:rsidR="007B78C4" w:rsidRPr="001B3E42" w:rsidRDefault="007B78C4" w:rsidP="00712B41">
      <w:pPr>
        <w:autoSpaceDE w:val="0"/>
        <w:autoSpaceDN w:val="0"/>
        <w:adjustRightInd w:val="0"/>
        <w:jc w:val="both"/>
        <w:rPr>
          <w:sz w:val="22"/>
          <w:szCs w:val="22"/>
        </w:rPr>
      </w:pPr>
    </w:p>
    <w:p w:rsidR="00712B41" w:rsidRPr="001B3E42" w:rsidRDefault="00712B41" w:rsidP="00712B41">
      <w:pPr>
        <w:autoSpaceDE w:val="0"/>
        <w:autoSpaceDN w:val="0"/>
        <w:adjustRightInd w:val="0"/>
        <w:jc w:val="both"/>
        <w:rPr>
          <w:sz w:val="22"/>
          <w:szCs w:val="22"/>
        </w:rPr>
      </w:pPr>
      <w:r w:rsidRPr="001B3E42">
        <w:rPr>
          <w:sz w:val="22"/>
          <w:szCs w:val="22"/>
        </w:rPr>
        <w:t>Kod ispitanika koji su ostali na svojoj randomizovanoj terapiji, prosječne koncentracije adalimumaba u serumu nakon 52 nedjelje bile su 9,5 ± 5,6 µg/ml u grupi koja je primala standardnu dozu i 3,5 ± 2,2 µg/ml u grupi koja je primala nisku dozu. Prosječne koncentracije su održane kod pacijenata koji su nastavili da primaju adalimumab terapiju svake druge nedjelje tokom 52 nedjelje. Kod ispitanika kod kojih je doza povećana i koji su primali terapiju jednom nedjeljno, prosječna koncentracija adalimumaba u serumu nakon 52 nedjelje bila je 15,3 ± 11,4 µg/ml (40/20 mg nedjeljno) i 6,7 ± 3,5  µg/ml (20/10 mg nedjeljno)</w:t>
      </w:r>
      <w:r w:rsidR="00244697" w:rsidRPr="001B3E42">
        <w:rPr>
          <w:sz w:val="22"/>
          <w:szCs w:val="22"/>
        </w:rPr>
        <w:t>.</w:t>
      </w:r>
    </w:p>
    <w:p w:rsidR="00712B41" w:rsidRPr="001B3E42" w:rsidRDefault="00712B41" w:rsidP="00712B41">
      <w:pPr>
        <w:autoSpaceDE w:val="0"/>
        <w:autoSpaceDN w:val="0"/>
        <w:adjustRightInd w:val="0"/>
        <w:jc w:val="both"/>
        <w:rPr>
          <w:sz w:val="22"/>
          <w:szCs w:val="22"/>
        </w:rPr>
      </w:pPr>
    </w:p>
    <w:p w:rsidR="007B78C4" w:rsidRPr="001B3E42" w:rsidRDefault="007B78C4" w:rsidP="00712B41">
      <w:pPr>
        <w:autoSpaceDE w:val="0"/>
        <w:autoSpaceDN w:val="0"/>
        <w:adjustRightInd w:val="0"/>
        <w:jc w:val="both"/>
        <w:rPr>
          <w:sz w:val="22"/>
          <w:szCs w:val="22"/>
          <w:u w:val="single"/>
        </w:rPr>
      </w:pPr>
      <w:r w:rsidRPr="001B3E42">
        <w:rPr>
          <w:sz w:val="22"/>
          <w:szCs w:val="22"/>
          <w:u w:val="single"/>
        </w:rPr>
        <w:t>Odrasli</w:t>
      </w:r>
    </w:p>
    <w:p w:rsidR="007B78C4" w:rsidRPr="001B3E42" w:rsidRDefault="007B78C4" w:rsidP="007B78C4">
      <w:pPr>
        <w:pStyle w:val="Default"/>
        <w:jc w:val="both"/>
        <w:rPr>
          <w:rFonts w:ascii="Times New Roman" w:hAnsi="Times New Roman" w:cs="Times New Roman"/>
          <w:sz w:val="22"/>
          <w:szCs w:val="22"/>
          <w:lang w:val="sr-Latn-ME"/>
        </w:rPr>
      </w:pPr>
      <w:r w:rsidRPr="001B3E42">
        <w:rPr>
          <w:rFonts w:ascii="Times New Roman" w:hAnsi="Times New Roman" w:cs="Times New Roman"/>
          <w:color w:val="auto"/>
          <w:sz w:val="22"/>
          <w:szCs w:val="22"/>
          <w:lang w:val="sr-Latn-ME"/>
        </w:rPr>
        <w:t xml:space="preserve">Nakon supkutane primjene jednokratne doze od 40 mg, adalimumab se sporo </w:t>
      </w:r>
      <w:r w:rsidR="00607BB3" w:rsidRPr="001B3E42">
        <w:rPr>
          <w:rFonts w:ascii="Times New Roman" w:hAnsi="Times New Roman" w:cs="Times New Roman"/>
          <w:color w:val="auto"/>
          <w:sz w:val="22"/>
          <w:szCs w:val="22"/>
          <w:lang w:val="sr-Latn-ME"/>
        </w:rPr>
        <w:t>re</w:t>
      </w:r>
      <w:r w:rsidRPr="001B3E42">
        <w:rPr>
          <w:rFonts w:ascii="Times New Roman" w:hAnsi="Times New Roman" w:cs="Times New Roman"/>
          <w:color w:val="auto"/>
          <w:sz w:val="22"/>
          <w:szCs w:val="22"/>
          <w:lang w:val="sr-Latn-ME"/>
        </w:rPr>
        <w:t>sorbuje i raspoređuje po tkivima, a vršne koncentracije u serumu postižu se približno 5 dana nakon primjene. Prosječna apsolutna bioraspoloživost adalimumaba nakon primjene jednokratne potkožne doze od 40 mg bila je 64 % u tri ispitivanja. Nakon pojedinačnih intravenskih doza koje su se kretale od 0,25 do 10 mg/kg, koncentracije su bile proporcionalne dozi. Nakon primjene doza od 0,5 mg/kg (~40 mg) klirens adalimumaba je bio u rasponu od 11 do 15 ml/sat, a volumen raspodjele (V</w:t>
      </w:r>
      <w:r w:rsidRPr="001B3E42">
        <w:rPr>
          <w:rFonts w:ascii="Times New Roman" w:hAnsi="Times New Roman" w:cs="Times New Roman"/>
          <w:color w:val="auto"/>
          <w:position w:val="-8"/>
          <w:sz w:val="22"/>
          <w:szCs w:val="22"/>
          <w:vertAlign w:val="subscript"/>
          <w:lang w:val="sr-Latn-ME"/>
        </w:rPr>
        <w:t>ss</w:t>
      </w:r>
      <w:r w:rsidRPr="001B3E42">
        <w:rPr>
          <w:rFonts w:ascii="Times New Roman" w:hAnsi="Times New Roman" w:cs="Times New Roman"/>
          <w:color w:val="auto"/>
          <w:sz w:val="22"/>
          <w:szCs w:val="22"/>
          <w:lang w:val="sr-Latn-ME"/>
        </w:rPr>
        <w:t>) je iznosio od 5 do 6 litara. Srednj</w:t>
      </w:r>
      <w:r w:rsidR="006D5486" w:rsidRPr="001B3E42">
        <w:rPr>
          <w:rFonts w:ascii="Times New Roman" w:hAnsi="Times New Roman" w:cs="Times New Roman"/>
          <w:color w:val="auto"/>
          <w:sz w:val="22"/>
          <w:szCs w:val="22"/>
          <w:lang w:val="sr-Latn-ME"/>
        </w:rPr>
        <w:t>e</w:t>
      </w:r>
      <w:r w:rsidRPr="001B3E42">
        <w:rPr>
          <w:rFonts w:ascii="Times New Roman" w:hAnsi="Times New Roman" w:cs="Times New Roman"/>
          <w:color w:val="auto"/>
          <w:sz w:val="22"/>
          <w:szCs w:val="22"/>
          <w:lang w:val="sr-Latn-ME"/>
        </w:rPr>
        <w:t xml:space="preserve"> poluv</w:t>
      </w:r>
      <w:r w:rsidR="006D5486" w:rsidRPr="001B3E42">
        <w:rPr>
          <w:rFonts w:ascii="Times New Roman" w:hAnsi="Times New Roman" w:cs="Times New Roman"/>
          <w:color w:val="auto"/>
          <w:sz w:val="22"/>
          <w:szCs w:val="22"/>
          <w:lang w:val="sr-Latn-ME"/>
        </w:rPr>
        <w:t>rijeme eliminacije</w:t>
      </w:r>
      <w:r w:rsidRPr="001B3E42">
        <w:rPr>
          <w:rFonts w:ascii="Times New Roman" w:hAnsi="Times New Roman" w:cs="Times New Roman"/>
          <w:color w:val="auto"/>
          <w:sz w:val="22"/>
          <w:szCs w:val="22"/>
          <w:lang w:val="sr-Latn-ME"/>
        </w:rPr>
        <w:t xml:space="preserve"> u terminalnoj fazi približno je </w:t>
      </w:r>
      <w:r w:rsidR="006D5486" w:rsidRPr="001B3E42">
        <w:rPr>
          <w:rFonts w:ascii="Times New Roman" w:hAnsi="Times New Roman" w:cs="Times New Roman"/>
          <w:color w:val="auto"/>
          <w:sz w:val="22"/>
          <w:szCs w:val="22"/>
          <w:lang w:val="sr-Latn-ME"/>
        </w:rPr>
        <w:t xml:space="preserve">iznosilo </w:t>
      </w:r>
      <w:r w:rsidRPr="001B3E42">
        <w:rPr>
          <w:rFonts w:ascii="Times New Roman" w:hAnsi="Times New Roman" w:cs="Times New Roman"/>
          <w:color w:val="auto"/>
          <w:sz w:val="22"/>
          <w:szCs w:val="22"/>
          <w:lang w:val="sr-Latn-ME"/>
        </w:rPr>
        <w:t>dvije nedelje. Koncentracije adalimumaba u sinovijalnoj</w:t>
      </w:r>
      <w:r w:rsidRPr="001B3E42">
        <w:rPr>
          <w:rFonts w:ascii="Times New Roman" w:hAnsi="Times New Roman" w:cs="Times New Roman"/>
          <w:color w:val="FF0000"/>
          <w:sz w:val="22"/>
          <w:szCs w:val="22"/>
          <w:lang w:val="sr-Latn-ME"/>
        </w:rPr>
        <w:t xml:space="preserve"> </w:t>
      </w:r>
      <w:r w:rsidRPr="001B3E42">
        <w:rPr>
          <w:rFonts w:ascii="Times New Roman" w:hAnsi="Times New Roman" w:cs="Times New Roman"/>
          <w:sz w:val="22"/>
          <w:szCs w:val="22"/>
          <w:lang w:val="sr-Latn-ME"/>
        </w:rPr>
        <w:t>tečnosti nekolicine pacijenata s reumatoidnim artritisom iznosile su 31% – 96% koncentracija u serumu.</w:t>
      </w:r>
    </w:p>
    <w:p w:rsidR="007B78C4" w:rsidRPr="001B3E42" w:rsidRDefault="007B78C4" w:rsidP="007B78C4">
      <w:pPr>
        <w:pStyle w:val="Default"/>
        <w:ind w:left="567" w:hanging="567"/>
        <w:jc w:val="both"/>
        <w:rPr>
          <w:rFonts w:ascii="Times New Roman" w:hAnsi="Times New Roman" w:cs="Times New Roman"/>
          <w:sz w:val="22"/>
          <w:szCs w:val="22"/>
          <w:lang w:val="sr-Latn-ME"/>
        </w:rPr>
      </w:pPr>
    </w:p>
    <w:p w:rsidR="007B78C4" w:rsidRPr="001B3E42" w:rsidRDefault="007B78C4" w:rsidP="007B78C4">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Nakon potkožne primjene </w:t>
      </w:r>
      <w:r w:rsidR="00B11AAE" w:rsidRPr="001B3E42">
        <w:rPr>
          <w:rFonts w:ascii="Times New Roman" w:hAnsi="Times New Roman" w:cs="Times New Roman"/>
          <w:color w:val="auto"/>
          <w:sz w:val="22"/>
          <w:szCs w:val="22"/>
          <w:lang w:val="sr-Latn-ME"/>
        </w:rPr>
        <w:t xml:space="preserve">lijeka </w:t>
      </w:r>
      <w:r w:rsidRPr="001B3E42">
        <w:rPr>
          <w:rFonts w:ascii="Times New Roman" w:hAnsi="Times New Roman" w:cs="Times New Roman"/>
          <w:sz w:val="22"/>
          <w:szCs w:val="22"/>
          <w:lang w:val="sr-Latn-ME"/>
        </w:rPr>
        <w:t>Humir</w:t>
      </w:r>
      <w:r w:rsidR="00B11AAE" w:rsidRPr="001B3E42">
        <w:rPr>
          <w:rFonts w:ascii="Times New Roman" w:hAnsi="Times New Roman" w:cs="Times New Roman"/>
          <w:sz w:val="22"/>
          <w:szCs w:val="22"/>
          <w:lang w:val="sr-Latn-ME"/>
        </w:rPr>
        <w:t>a</w:t>
      </w:r>
      <w:r w:rsidRPr="001B3E42">
        <w:rPr>
          <w:rFonts w:ascii="Times New Roman" w:hAnsi="Times New Roman" w:cs="Times New Roman"/>
          <w:sz w:val="22"/>
          <w:szCs w:val="22"/>
          <w:lang w:val="sr-Latn-ME"/>
        </w:rPr>
        <w:t xml:space="preserve"> u dozi od 40 mg svake dvije nedelje kod odraslih pacijenata s reumatoidnim artritisom srednje najniže koncentracije u serumu u stanju dinamičke ravnoteže bile su približno 5 μg/ml (bez istovremene primjene metotreksata), odnosno 8 – 9 μg/ml (uz metotreksat). Najniži nivoi adalimumaba u serumu u stanju dinamičke ravnoteže povećavali su se uglavnom srazmjerno dozi nakon potkožne primjene 20, 40 i 80 mg svake </w:t>
      </w:r>
      <w:r w:rsidR="00C4761D" w:rsidRPr="001B3E42">
        <w:rPr>
          <w:rFonts w:ascii="Times New Roman" w:hAnsi="Times New Roman" w:cs="Times New Roman"/>
          <w:sz w:val="22"/>
          <w:szCs w:val="22"/>
          <w:lang w:val="sr-Latn-ME"/>
        </w:rPr>
        <w:t xml:space="preserve">druge </w:t>
      </w:r>
      <w:r w:rsidRPr="001B3E42">
        <w:rPr>
          <w:rFonts w:ascii="Times New Roman" w:hAnsi="Times New Roman" w:cs="Times New Roman"/>
          <w:sz w:val="22"/>
          <w:szCs w:val="22"/>
          <w:lang w:val="sr-Latn-ME"/>
        </w:rPr>
        <w:t>ned</w:t>
      </w:r>
      <w:r w:rsidR="00926A30" w:rsidRPr="001B3E42">
        <w:rPr>
          <w:rFonts w:ascii="Times New Roman" w:hAnsi="Times New Roman" w:cs="Times New Roman"/>
          <w:sz w:val="22"/>
          <w:szCs w:val="22"/>
          <w:lang w:val="sr-Latn-ME"/>
        </w:rPr>
        <w:t>j</w:t>
      </w:r>
      <w:r w:rsidRPr="001B3E42">
        <w:rPr>
          <w:rFonts w:ascii="Times New Roman" w:hAnsi="Times New Roman" w:cs="Times New Roman"/>
          <w:sz w:val="22"/>
          <w:szCs w:val="22"/>
          <w:lang w:val="sr-Latn-ME"/>
        </w:rPr>
        <w:t>elje, odnosno svake ned</w:t>
      </w:r>
      <w:r w:rsidR="00926A30" w:rsidRPr="001B3E42">
        <w:rPr>
          <w:rFonts w:ascii="Times New Roman" w:hAnsi="Times New Roman" w:cs="Times New Roman"/>
          <w:sz w:val="22"/>
          <w:szCs w:val="22"/>
          <w:lang w:val="sr-Latn-ME"/>
        </w:rPr>
        <w:t>j</w:t>
      </w:r>
      <w:r w:rsidRPr="001B3E42">
        <w:rPr>
          <w:rFonts w:ascii="Times New Roman" w:hAnsi="Times New Roman" w:cs="Times New Roman"/>
          <w:sz w:val="22"/>
          <w:szCs w:val="22"/>
          <w:lang w:val="sr-Latn-ME"/>
        </w:rPr>
        <w:t>elje.</w:t>
      </w:r>
    </w:p>
    <w:p w:rsidR="00712B41" w:rsidRPr="001B3E42" w:rsidRDefault="00712B41" w:rsidP="00712B41">
      <w:pPr>
        <w:pStyle w:val="Default"/>
        <w:jc w:val="both"/>
        <w:rPr>
          <w:rFonts w:ascii="Times New Roman" w:hAnsi="Times New Roman" w:cs="Times New Roman"/>
          <w:sz w:val="22"/>
          <w:szCs w:val="22"/>
          <w:u w:val="single"/>
          <w:lang w:val="sr-Latn-ME"/>
        </w:rPr>
      </w:pPr>
      <w:r w:rsidRPr="001B3E42">
        <w:rPr>
          <w:rFonts w:ascii="Times New Roman" w:hAnsi="Times New Roman" w:cs="Times New Roman"/>
          <w:sz w:val="22"/>
          <w:szCs w:val="22"/>
          <w:u w:val="single"/>
          <w:lang w:val="sr-Latn-ME"/>
        </w:rPr>
        <w:lastRenderedPageBreak/>
        <w:t>Eliminacija</w:t>
      </w:r>
    </w:p>
    <w:p w:rsidR="00712B41" w:rsidRPr="001B3E42" w:rsidRDefault="00712B41" w:rsidP="00712B41">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Populacijske farmakokinetičke analize na osnovu podataka dobijenih kod više od 1300 pacijenata s reumatoidnim artritisom pokazale su tendenciju da se prividni klirens adalimumaba povećava s pacijentovom tjelesnom težinom. Nakon što se uzmu u obzir razlike u tjelesnoj težini, čini se da pol i starost pacijenata nemaju znatnijeg uticaja na klirens adalimumaba. Primjećeno je da su vrijednosti slobodnog adalimumaba u serumu (onoga koji nije vezan za antitijela na adalimumab – AAA) niže kod pacijenata s mjerljivim nivoima AAA. Lijek Humira nije ispitivan kod pacijenata s narušenom funkcijom bubrega ili jetre.</w:t>
      </w:r>
    </w:p>
    <w:p w:rsidR="00712B41" w:rsidRPr="001B3E42" w:rsidRDefault="00712B41" w:rsidP="00712B41">
      <w:pPr>
        <w:tabs>
          <w:tab w:val="left" w:pos="540"/>
          <w:tab w:val="left" w:pos="569"/>
        </w:tabs>
        <w:rPr>
          <w:bCs/>
          <w:sz w:val="22"/>
          <w:szCs w:val="22"/>
        </w:rPr>
      </w:pPr>
    </w:p>
    <w:p w:rsidR="00712B41" w:rsidRPr="001B3E42" w:rsidRDefault="00712B41" w:rsidP="00712B41">
      <w:pPr>
        <w:tabs>
          <w:tab w:val="left" w:pos="540"/>
          <w:tab w:val="left" w:pos="569"/>
        </w:tabs>
        <w:rPr>
          <w:bCs/>
          <w:sz w:val="22"/>
          <w:szCs w:val="22"/>
        </w:rPr>
      </w:pPr>
      <w:r w:rsidRPr="001B3E42">
        <w:rPr>
          <w:bCs/>
          <w:sz w:val="22"/>
          <w:szCs w:val="22"/>
        </w:rPr>
        <w:t>Oštećenje jetre ili bubrega</w:t>
      </w:r>
    </w:p>
    <w:p w:rsidR="007B78C4" w:rsidRPr="001B3E42" w:rsidRDefault="007B78C4" w:rsidP="00712B41">
      <w:pPr>
        <w:tabs>
          <w:tab w:val="left" w:pos="540"/>
          <w:tab w:val="left" w:pos="569"/>
        </w:tabs>
        <w:rPr>
          <w:bCs/>
          <w:sz w:val="22"/>
          <w:szCs w:val="22"/>
          <w:u w:val="single"/>
        </w:rPr>
      </w:pPr>
    </w:p>
    <w:p w:rsidR="00892AA9" w:rsidRPr="001B3E42" w:rsidRDefault="00712B41" w:rsidP="00480FB1">
      <w:pPr>
        <w:tabs>
          <w:tab w:val="left" w:pos="540"/>
          <w:tab w:val="left" w:pos="569"/>
        </w:tabs>
        <w:rPr>
          <w:bCs/>
          <w:sz w:val="22"/>
          <w:szCs w:val="22"/>
        </w:rPr>
      </w:pPr>
      <w:r w:rsidRPr="001B3E42">
        <w:rPr>
          <w:bCs/>
          <w:sz w:val="22"/>
          <w:szCs w:val="22"/>
        </w:rPr>
        <w:t>Lijek Humira nije ispitivan kod pacijenata sa oštećenom funkcijom bubrega ili jetre.</w:t>
      </w:r>
    </w:p>
    <w:p w:rsidR="00BD53A4" w:rsidRPr="001B3E42" w:rsidRDefault="00BD53A4"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5.3. </w:t>
      </w:r>
      <w:r w:rsidR="00480FB1" w:rsidRPr="001B3E42">
        <w:rPr>
          <w:b/>
          <w:bCs/>
          <w:sz w:val="22"/>
          <w:szCs w:val="22"/>
        </w:rPr>
        <w:tab/>
      </w:r>
      <w:r w:rsidRPr="001B3E42">
        <w:rPr>
          <w:b/>
          <w:bCs/>
          <w:sz w:val="22"/>
          <w:szCs w:val="22"/>
        </w:rPr>
        <w:t xml:space="preserve">Pretklinički podaci o bezbjednosti </w:t>
      </w:r>
    </w:p>
    <w:p w:rsidR="00836B35" w:rsidRPr="001B3E42" w:rsidRDefault="00836B35" w:rsidP="00480FB1">
      <w:pPr>
        <w:tabs>
          <w:tab w:val="left" w:pos="540"/>
          <w:tab w:val="left" w:pos="569"/>
        </w:tabs>
        <w:rPr>
          <w:bCs/>
          <w:sz w:val="22"/>
          <w:szCs w:val="22"/>
        </w:rPr>
      </w:pPr>
    </w:p>
    <w:p w:rsidR="00DE43A5" w:rsidRPr="001B3E42" w:rsidRDefault="00DE43A5" w:rsidP="00DE43A5">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Pretklinički podaci ne ukazuju na poseban rizik za ljude na osnovu ispitivanja toksičnosti pojedinačne doze, toksičnosti ponovljenih doza i genotoksičnosti.</w:t>
      </w:r>
    </w:p>
    <w:p w:rsidR="00DE43A5" w:rsidRPr="001B3E42" w:rsidRDefault="00DE43A5" w:rsidP="00DE43A5">
      <w:pPr>
        <w:pStyle w:val="Default"/>
        <w:jc w:val="both"/>
        <w:rPr>
          <w:rFonts w:ascii="Times New Roman" w:hAnsi="Times New Roman" w:cs="Times New Roman"/>
          <w:sz w:val="22"/>
          <w:szCs w:val="22"/>
          <w:lang w:val="sr-Latn-ME"/>
        </w:rPr>
      </w:pPr>
    </w:p>
    <w:p w:rsidR="00DE43A5" w:rsidRPr="001B3E42" w:rsidRDefault="00DE43A5" w:rsidP="00DE43A5">
      <w:pPr>
        <w:pStyle w:val="Default"/>
        <w:jc w:val="both"/>
        <w:rPr>
          <w:rFonts w:ascii="Times New Roman" w:hAnsi="Times New Roman" w:cs="Times New Roman"/>
          <w:sz w:val="22"/>
          <w:szCs w:val="22"/>
          <w:lang w:val="sr-Latn-ME"/>
        </w:rPr>
      </w:pPr>
      <w:r w:rsidRPr="001B3E42">
        <w:rPr>
          <w:rFonts w:ascii="Times New Roman" w:hAnsi="Times New Roman" w:cs="Times New Roman"/>
          <w:sz w:val="22"/>
          <w:szCs w:val="22"/>
          <w:lang w:val="sr-Latn-ME"/>
        </w:rPr>
        <w:t xml:space="preserve">Ispitivanja embriofetalne i perinatalne razvojne toksičnosti </w:t>
      </w:r>
      <w:r w:rsidR="00FD4048" w:rsidRPr="001B3E42">
        <w:rPr>
          <w:rFonts w:ascii="Times New Roman" w:hAnsi="Times New Roman" w:cs="Times New Roman"/>
          <w:sz w:val="22"/>
          <w:szCs w:val="22"/>
          <w:lang w:val="sr-Latn-ME"/>
        </w:rPr>
        <w:t>s</w:t>
      </w:r>
      <w:r w:rsidRPr="001B3E42">
        <w:rPr>
          <w:rFonts w:ascii="Times New Roman" w:hAnsi="Times New Roman" w:cs="Times New Roman"/>
          <w:sz w:val="22"/>
          <w:szCs w:val="22"/>
          <w:lang w:val="sr-Latn-ME"/>
        </w:rPr>
        <w:t xml:space="preserve">provedena na makaki majmunima s dozama od 0,30 i 100 mg/kg (9 – 17 majmuna u grupi) nisu pokazala znakove oštećenja fetusa usljed primjene adalimumaba. Ispitivanja kancerogenosti te standardna procjena toksičnosti za plodnost i postnatalne toksičnosti nisu </w:t>
      </w:r>
      <w:r w:rsidR="00FD4048" w:rsidRPr="001B3E42">
        <w:rPr>
          <w:rFonts w:ascii="Times New Roman" w:hAnsi="Times New Roman" w:cs="Times New Roman"/>
          <w:sz w:val="22"/>
          <w:szCs w:val="22"/>
          <w:lang w:val="sr-Latn-ME"/>
        </w:rPr>
        <w:t>s</w:t>
      </w:r>
      <w:r w:rsidRPr="001B3E42">
        <w:rPr>
          <w:rFonts w:ascii="Times New Roman" w:hAnsi="Times New Roman" w:cs="Times New Roman"/>
          <w:sz w:val="22"/>
          <w:szCs w:val="22"/>
          <w:lang w:val="sr-Latn-ME"/>
        </w:rPr>
        <w:t>provedena s adalimumabom zbog nepostojanja odgovarajućih modela za antitijela s ograničenom unakrsnom</w:t>
      </w:r>
      <w:r w:rsidR="002302AF" w:rsidRPr="001B3E42">
        <w:rPr>
          <w:rFonts w:ascii="Times New Roman" w:hAnsi="Times New Roman" w:cs="Times New Roman"/>
          <w:sz w:val="22"/>
          <w:szCs w:val="22"/>
          <w:lang w:val="sr-Latn-ME"/>
        </w:rPr>
        <w:t xml:space="preserve"> reaktivnošću s TNF-om glodara</w:t>
      </w:r>
      <w:r w:rsidRPr="001B3E42">
        <w:rPr>
          <w:rFonts w:ascii="Times New Roman" w:hAnsi="Times New Roman" w:cs="Times New Roman"/>
          <w:sz w:val="22"/>
          <w:szCs w:val="22"/>
          <w:lang w:val="sr-Latn-ME"/>
        </w:rPr>
        <w:t xml:space="preserve">, odnosno stvaranje </w:t>
      </w:r>
      <w:r w:rsidR="00FD4048" w:rsidRPr="001B3E42">
        <w:rPr>
          <w:rFonts w:ascii="Times New Roman" w:hAnsi="Times New Roman" w:cs="Times New Roman"/>
          <w:sz w:val="22"/>
          <w:szCs w:val="22"/>
          <w:lang w:val="sr-Latn-ME"/>
        </w:rPr>
        <w:t xml:space="preserve">neutrališućih </w:t>
      </w:r>
      <w:r w:rsidR="002302AF" w:rsidRPr="001B3E42">
        <w:rPr>
          <w:rFonts w:ascii="Times New Roman" w:hAnsi="Times New Roman" w:cs="Times New Roman"/>
          <w:sz w:val="22"/>
          <w:szCs w:val="22"/>
          <w:lang w:val="sr-Latn-ME"/>
        </w:rPr>
        <w:t>antitijela kod glodara</w:t>
      </w:r>
      <w:r w:rsidRPr="001B3E42">
        <w:rPr>
          <w:rFonts w:ascii="Times New Roman" w:hAnsi="Times New Roman" w:cs="Times New Roman"/>
          <w:sz w:val="22"/>
          <w:szCs w:val="22"/>
          <w:lang w:val="sr-Latn-ME"/>
        </w:rPr>
        <w:t>.</w:t>
      </w:r>
    </w:p>
    <w:p w:rsidR="00396DFD" w:rsidRDefault="00396DFD" w:rsidP="00480FB1">
      <w:pPr>
        <w:tabs>
          <w:tab w:val="left" w:pos="540"/>
          <w:tab w:val="left" w:pos="569"/>
        </w:tabs>
        <w:rPr>
          <w:b/>
          <w:bCs/>
          <w:sz w:val="22"/>
          <w:szCs w:val="22"/>
        </w:rPr>
      </w:pPr>
    </w:p>
    <w:p w:rsidR="003428F0" w:rsidRDefault="003428F0" w:rsidP="00480FB1">
      <w:pPr>
        <w:tabs>
          <w:tab w:val="left" w:pos="540"/>
          <w:tab w:val="left" w:pos="569"/>
        </w:tabs>
        <w:rPr>
          <w:b/>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6. </w:t>
      </w:r>
      <w:r w:rsidR="00480FB1" w:rsidRPr="001B3E42">
        <w:rPr>
          <w:b/>
          <w:bCs/>
          <w:sz w:val="22"/>
          <w:szCs w:val="22"/>
        </w:rPr>
        <w:tab/>
      </w:r>
      <w:r w:rsidRPr="001B3E42">
        <w:rPr>
          <w:b/>
          <w:bCs/>
          <w:sz w:val="22"/>
          <w:szCs w:val="22"/>
        </w:rPr>
        <w:t>FARMACEUTSKI PODACI</w:t>
      </w:r>
    </w:p>
    <w:p w:rsidR="00836B35" w:rsidRPr="001B3E42" w:rsidRDefault="00836B35" w:rsidP="00480FB1">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6.1. </w:t>
      </w:r>
      <w:r w:rsidR="00480FB1" w:rsidRPr="001B3E42">
        <w:rPr>
          <w:b/>
          <w:bCs/>
          <w:sz w:val="22"/>
          <w:szCs w:val="22"/>
        </w:rPr>
        <w:tab/>
      </w:r>
      <w:r w:rsidRPr="001B3E42">
        <w:rPr>
          <w:b/>
          <w:bCs/>
          <w:sz w:val="22"/>
          <w:szCs w:val="22"/>
        </w:rPr>
        <w:t>Lista pomoćnih supstanci</w:t>
      </w:r>
    </w:p>
    <w:p w:rsidR="003428F0" w:rsidRDefault="003428F0" w:rsidP="00EF7E9E">
      <w:pPr>
        <w:tabs>
          <w:tab w:val="left" w:pos="540"/>
          <w:tab w:val="left" w:pos="569"/>
        </w:tabs>
        <w:rPr>
          <w:sz w:val="22"/>
          <w:szCs w:val="22"/>
        </w:rPr>
      </w:pPr>
    </w:p>
    <w:p w:rsidR="00EF7E9E" w:rsidRPr="001B3E42" w:rsidRDefault="00EF7E9E" w:rsidP="00EF7E9E">
      <w:pPr>
        <w:tabs>
          <w:tab w:val="left" w:pos="540"/>
          <w:tab w:val="left" w:pos="569"/>
        </w:tabs>
        <w:rPr>
          <w:sz w:val="22"/>
          <w:szCs w:val="22"/>
        </w:rPr>
      </w:pPr>
      <w:r w:rsidRPr="001B3E42">
        <w:rPr>
          <w:sz w:val="22"/>
          <w:szCs w:val="22"/>
        </w:rPr>
        <w:t>manitol</w:t>
      </w:r>
    </w:p>
    <w:p w:rsidR="00EF7E9E" w:rsidRPr="001B3E42" w:rsidRDefault="00EF7E9E" w:rsidP="00EF7E9E">
      <w:pPr>
        <w:tabs>
          <w:tab w:val="left" w:pos="540"/>
          <w:tab w:val="left" w:pos="569"/>
        </w:tabs>
        <w:rPr>
          <w:sz w:val="22"/>
          <w:szCs w:val="22"/>
        </w:rPr>
      </w:pPr>
      <w:r w:rsidRPr="001B3E42">
        <w:rPr>
          <w:sz w:val="22"/>
          <w:szCs w:val="22"/>
        </w:rPr>
        <w:t>limunska kiselina, monohidrat</w:t>
      </w:r>
    </w:p>
    <w:p w:rsidR="00EF7E9E" w:rsidRPr="001B3E42" w:rsidRDefault="00EF7E9E" w:rsidP="00EF7E9E">
      <w:pPr>
        <w:tabs>
          <w:tab w:val="left" w:pos="540"/>
          <w:tab w:val="left" w:pos="569"/>
        </w:tabs>
        <w:rPr>
          <w:sz w:val="22"/>
          <w:szCs w:val="22"/>
        </w:rPr>
      </w:pPr>
      <w:r w:rsidRPr="001B3E42">
        <w:rPr>
          <w:sz w:val="22"/>
          <w:szCs w:val="22"/>
        </w:rPr>
        <w:t>natrijum citrat</w:t>
      </w:r>
    </w:p>
    <w:p w:rsidR="00EF7E9E" w:rsidRPr="001B3E42" w:rsidRDefault="00EF7E9E" w:rsidP="00EF7E9E">
      <w:pPr>
        <w:tabs>
          <w:tab w:val="left" w:pos="540"/>
          <w:tab w:val="left" w:pos="569"/>
        </w:tabs>
        <w:rPr>
          <w:sz w:val="22"/>
          <w:szCs w:val="22"/>
        </w:rPr>
      </w:pPr>
      <w:r w:rsidRPr="001B3E42">
        <w:rPr>
          <w:sz w:val="22"/>
          <w:szCs w:val="22"/>
        </w:rPr>
        <w:t>natrijum dihirogen fosfat, dihidrat</w:t>
      </w:r>
    </w:p>
    <w:p w:rsidR="00EF7E9E" w:rsidRPr="001B3E42" w:rsidRDefault="00EF7E9E" w:rsidP="00EF7E9E">
      <w:pPr>
        <w:tabs>
          <w:tab w:val="left" w:pos="540"/>
          <w:tab w:val="left" w:pos="569"/>
        </w:tabs>
        <w:rPr>
          <w:sz w:val="22"/>
          <w:szCs w:val="22"/>
        </w:rPr>
      </w:pPr>
      <w:r w:rsidRPr="001B3E42">
        <w:rPr>
          <w:sz w:val="22"/>
          <w:szCs w:val="22"/>
        </w:rPr>
        <w:t>dinatrijum fosfat, dihidrat</w:t>
      </w:r>
    </w:p>
    <w:p w:rsidR="00EF7E9E" w:rsidRPr="001B3E42" w:rsidRDefault="00EF7E9E" w:rsidP="00EF7E9E">
      <w:pPr>
        <w:tabs>
          <w:tab w:val="left" w:pos="540"/>
          <w:tab w:val="left" w:pos="569"/>
        </w:tabs>
        <w:rPr>
          <w:sz w:val="22"/>
          <w:szCs w:val="22"/>
        </w:rPr>
      </w:pPr>
      <w:r w:rsidRPr="001B3E42">
        <w:rPr>
          <w:sz w:val="22"/>
          <w:szCs w:val="22"/>
        </w:rPr>
        <w:t>natrijum hlorid</w:t>
      </w:r>
    </w:p>
    <w:p w:rsidR="00EF7E9E" w:rsidRPr="001B3E42" w:rsidRDefault="00EF7E9E" w:rsidP="00EF7E9E">
      <w:pPr>
        <w:tabs>
          <w:tab w:val="left" w:pos="540"/>
          <w:tab w:val="left" w:pos="569"/>
        </w:tabs>
        <w:rPr>
          <w:sz w:val="22"/>
          <w:szCs w:val="22"/>
        </w:rPr>
      </w:pPr>
      <w:r w:rsidRPr="001B3E42">
        <w:rPr>
          <w:sz w:val="22"/>
          <w:szCs w:val="22"/>
        </w:rPr>
        <w:t>polisorbat 80</w:t>
      </w:r>
    </w:p>
    <w:p w:rsidR="00EF7E9E" w:rsidRPr="001B3E42" w:rsidRDefault="00EF7E9E" w:rsidP="00EF7E9E">
      <w:pPr>
        <w:tabs>
          <w:tab w:val="left" w:pos="540"/>
          <w:tab w:val="left" w:pos="569"/>
        </w:tabs>
        <w:rPr>
          <w:sz w:val="22"/>
          <w:szCs w:val="22"/>
        </w:rPr>
      </w:pPr>
      <w:r w:rsidRPr="001B3E42">
        <w:rPr>
          <w:sz w:val="22"/>
          <w:szCs w:val="22"/>
        </w:rPr>
        <w:t>natrijum hidoksid</w:t>
      </w:r>
    </w:p>
    <w:p w:rsidR="00EF7E9E" w:rsidRPr="001B3E42" w:rsidRDefault="00EF7E9E" w:rsidP="00EF7E9E">
      <w:pPr>
        <w:tabs>
          <w:tab w:val="left" w:pos="540"/>
          <w:tab w:val="left" w:pos="569"/>
        </w:tabs>
        <w:rPr>
          <w:bCs/>
          <w:sz w:val="22"/>
          <w:szCs w:val="22"/>
        </w:rPr>
      </w:pPr>
      <w:r w:rsidRPr="001B3E42">
        <w:rPr>
          <w:sz w:val="22"/>
          <w:szCs w:val="22"/>
        </w:rPr>
        <w:t>voda za injekcije.</w:t>
      </w:r>
    </w:p>
    <w:p w:rsidR="00681949" w:rsidRPr="001B3E42" w:rsidRDefault="00681949" w:rsidP="008D1FC7">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6.2. </w:t>
      </w:r>
      <w:r w:rsidR="00480FB1" w:rsidRPr="001B3E42">
        <w:rPr>
          <w:b/>
          <w:bCs/>
          <w:sz w:val="22"/>
          <w:szCs w:val="22"/>
        </w:rPr>
        <w:tab/>
      </w:r>
      <w:r w:rsidRPr="001B3E42">
        <w:rPr>
          <w:b/>
          <w:bCs/>
          <w:sz w:val="22"/>
          <w:szCs w:val="22"/>
        </w:rPr>
        <w:t>Inkompatibilnost</w:t>
      </w:r>
      <w:r w:rsidR="002846DB" w:rsidRPr="001B3E42">
        <w:rPr>
          <w:b/>
          <w:bCs/>
          <w:sz w:val="22"/>
          <w:szCs w:val="22"/>
        </w:rPr>
        <w:t>i</w:t>
      </w:r>
    </w:p>
    <w:p w:rsidR="0072020E" w:rsidRPr="001B3E42" w:rsidRDefault="008D1FC7" w:rsidP="008D1FC7">
      <w:pPr>
        <w:tabs>
          <w:tab w:val="left" w:pos="540"/>
        </w:tabs>
        <w:rPr>
          <w:bCs/>
          <w:sz w:val="22"/>
          <w:szCs w:val="22"/>
        </w:rPr>
      </w:pPr>
      <w:r w:rsidRPr="001B3E42">
        <w:rPr>
          <w:bCs/>
          <w:sz w:val="22"/>
          <w:szCs w:val="22"/>
        </w:rPr>
        <w:tab/>
      </w:r>
    </w:p>
    <w:p w:rsidR="008D1FC7" w:rsidRDefault="008D1FC7" w:rsidP="008D1FC7">
      <w:pPr>
        <w:tabs>
          <w:tab w:val="left" w:pos="540"/>
        </w:tabs>
        <w:rPr>
          <w:bCs/>
          <w:sz w:val="22"/>
          <w:szCs w:val="22"/>
        </w:rPr>
      </w:pPr>
      <w:r w:rsidRPr="001B3E42">
        <w:rPr>
          <w:bCs/>
          <w:sz w:val="22"/>
          <w:szCs w:val="22"/>
        </w:rPr>
        <w:t>Zbog nedostatka ispitivanja kompatibilnosti, ovaj lijek se ne smije miješati s drugim</w:t>
      </w:r>
      <w:r w:rsidR="002D5061" w:rsidRPr="001B3E42">
        <w:rPr>
          <w:bCs/>
          <w:sz w:val="22"/>
          <w:szCs w:val="22"/>
        </w:rPr>
        <w:t xml:space="preserve"> </w:t>
      </w:r>
      <w:r w:rsidRPr="001B3E42">
        <w:rPr>
          <w:bCs/>
          <w:sz w:val="22"/>
          <w:szCs w:val="22"/>
        </w:rPr>
        <w:t>ljekovima.</w:t>
      </w:r>
    </w:p>
    <w:p w:rsidR="003428F0" w:rsidRPr="001B3E42" w:rsidRDefault="003428F0" w:rsidP="008D1FC7">
      <w:pPr>
        <w:tabs>
          <w:tab w:val="left" w:pos="540"/>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6.3.</w:t>
      </w:r>
      <w:r w:rsidR="00480FB1" w:rsidRPr="001B3E42">
        <w:rPr>
          <w:b/>
          <w:bCs/>
          <w:sz w:val="22"/>
          <w:szCs w:val="22"/>
        </w:rPr>
        <w:tab/>
      </w:r>
      <w:r w:rsidRPr="001B3E42">
        <w:rPr>
          <w:b/>
          <w:bCs/>
          <w:sz w:val="22"/>
          <w:szCs w:val="22"/>
        </w:rPr>
        <w:t>Rok upotrebe</w:t>
      </w:r>
    </w:p>
    <w:p w:rsidR="0072020E" w:rsidRPr="001B3E42" w:rsidRDefault="0072020E" w:rsidP="00480FB1">
      <w:pPr>
        <w:tabs>
          <w:tab w:val="left" w:pos="540"/>
          <w:tab w:val="left" w:pos="569"/>
        </w:tabs>
        <w:rPr>
          <w:bCs/>
          <w:sz w:val="22"/>
          <w:szCs w:val="22"/>
        </w:rPr>
      </w:pPr>
    </w:p>
    <w:p w:rsidR="008D1FC7" w:rsidRPr="001B3E42" w:rsidRDefault="008D1FC7" w:rsidP="00480FB1">
      <w:pPr>
        <w:tabs>
          <w:tab w:val="left" w:pos="540"/>
          <w:tab w:val="left" w:pos="569"/>
        </w:tabs>
        <w:rPr>
          <w:bCs/>
          <w:sz w:val="22"/>
          <w:szCs w:val="22"/>
        </w:rPr>
      </w:pPr>
      <w:r w:rsidRPr="001B3E42">
        <w:rPr>
          <w:bCs/>
          <w:sz w:val="22"/>
          <w:szCs w:val="22"/>
        </w:rPr>
        <w:t>24 mjeseca</w:t>
      </w:r>
    </w:p>
    <w:p w:rsidR="008D1FC7" w:rsidRPr="001B3E42" w:rsidRDefault="008D1FC7" w:rsidP="00480FB1">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lastRenderedPageBreak/>
        <w:t xml:space="preserve">6.4. </w:t>
      </w:r>
      <w:r w:rsidR="00480FB1" w:rsidRPr="001B3E42">
        <w:rPr>
          <w:b/>
          <w:bCs/>
          <w:sz w:val="22"/>
          <w:szCs w:val="22"/>
        </w:rPr>
        <w:tab/>
      </w:r>
      <w:r w:rsidRPr="001B3E42">
        <w:rPr>
          <w:b/>
          <w:bCs/>
          <w:sz w:val="22"/>
          <w:szCs w:val="22"/>
        </w:rPr>
        <w:t>Posebne mjere upozorenja pri čuvanju</w:t>
      </w:r>
      <w:r w:rsidR="00F8570A" w:rsidRPr="001B3E42">
        <w:rPr>
          <w:b/>
          <w:bCs/>
          <w:sz w:val="22"/>
          <w:szCs w:val="22"/>
        </w:rPr>
        <w:t xml:space="preserve"> lijeka</w:t>
      </w:r>
    </w:p>
    <w:p w:rsidR="00EC2532" w:rsidRPr="001B3E42" w:rsidRDefault="00EC2532" w:rsidP="00480FB1">
      <w:pPr>
        <w:tabs>
          <w:tab w:val="left" w:pos="540"/>
          <w:tab w:val="left" w:pos="569"/>
        </w:tabs>
        <w:rPr>
          <w:bCs/>
          <w:sz w:val="22"/>
          <w:szCs w:val="22"/>
        </w:rPr>
      </w:pPr>
    </w:p>
    <w:p w:rsidR="008D1FC7" w:rsidRPr="001B3E42" w:rsidRDefault="008D1FC7" w:rsidP="008D1FC7">
      <w:pPr>
        <w:tabs>
          <w:tab w:val="left" w:pos="540"/>
          <w:tab w:val="left" w:pos="569"/>
        </w:tabs>
        <w:rPr>
          <w:bCs/>
          <w:sz w:val="22"/>
          <w:szCs w:val="22"/>
        </w:rPr>
      </w:pPr>
      <w:r w:rsidRPr="001B3E42">
        <w:rPr>
          <w:bCs/>
          <w:sz w:val="22"/>
          <w:szCs w:val="22"/>
        </w:rPr>
        <w:t xml:space="preserve">Čuvati u frižideru (2°C – 8°C). Ne zamrzavati. </w:t>
      </w:r>
    </w:p>
    <w:p w:rsidR="008D1FC7" w:rsidRPr="001B3E42" w:rsidRDefault="008D1FC7" w:rsidP="008D1FC7">
      <w:pPr>
        <w:tabs>
          <w:tab w:val="left" w:pos="540"/>
          <w:tab w:val="left" w:pos="569"/>
        </w:tabs>
        <w:rPr>
          <w:bCs/>
          <w:sz w:val="22"/>
          <w:szCs w:val="22"/>
        </w:rPr>
      </w:pPr>
      <w:r w:rsidRPr="001B3E42">
        <w:rPr>
          <w:bCs/>
          <w:sz w:val="22"/>
          <w:szCs w:val="22"/>
        </w:rPr>
        <w:t>Čuvati u originalnom pakovanju</w:t>
      </w:r>
      <w:r w:rsidR="0028555F" w:rsidRPr="001B3E42">
        <w:rPr>
          <w:bCs/>
          <w:sz w:val="22"/>
          <w:szCs w:val="22"/>
        </w:rPr>
        <w:t xml:space="preserve"> radi zaštite od svijetlosti</w:t>
      </w:r>
      <w:r w:rsidRPr="001B3E42">
        <w:rPr>
          <w:bCs/>
          <w:sz w:val="22"/>
          <w:szCs w:val="22"/>
        </w:rPr>
        <w:t>.</w:t>
      </w:r>
    </w:p>
    <w:p w:rsidR="008D1FC7" w:rsidRPr="001B3E42" w:rsidRDefault="008D1FC7" w:rsidP="008D1FC7">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6.5. </w:t>
      </w:r>
      <w:r w:rsidR="00480FB1" w:rsidRPr="001B3E42">
        <w:rPr>
          <w:b/>
          <w:bCs/>
          <w:sz w:val="22"/>
          <w:szCs w:val="22"/>
        </w:rPr>
        <w:tab/>
      </w:r>
      <w:r w:rsidR="002846DB" w:rsidRPr="001B3E42">
        <w:rPr>
          <w:b/>
          <w:bCs/>
          <w:sz w:val="22"/>
          <w:szCs w:val="22"/>
        </w:rPr>
        <w:t xml:space="preserve">Vrsta i sadržaj </w:t>
      </w:r>
      <w:r w:rsidR="00F8570A" w:rsidRPr="001B3E42">
        <w:rPr>
          <w:b/>
          <w:bCs/>
          <w:sz w:val="22"/>
          <w:szCs w:val="22"/>
        </w:rPr>
        <w:t>pakovanja</w:t>
      </w:r>
    </w:p>
    <w:p w:rsidR="0072020E" w:rsidRPr="001B3E42" w:rsidRDefault="0072020E" w:rsidP="00480FB1">
      <w:pPr>
        <w:tabs>
          <w:tab w:val="left" w:pos="540"/>
          <w:tab w:val="left" w:pos="569"/>
        </w:tabs>
        <w:rPr>
          <w:bCs/>
          <w:sz w:val="22"/>
          <w:szCs w:val="22"/>
        </w:rPr>
      </w:pPr>
    </w:p>
    <w:p w:rsidR="008D1FC7" w:rsidRPr="001B3E42" w:rsidRDefault="00F458BA" w:rsidP="002D5061">
      <w:pPr>
        <w:tabs>
          <w:tab w:val="left" w:pos="540"/>
          <w:tab w:val="left" w:pos="569"/>
        </w:tabs>
        <w:jc w:val="both"/>
        <w:rPr>
          <w:bCs/>
          <w:sz w:val="22"/>
          <w:szCs w:val="22"/>
        </w:rPr>
      </w:pPr>
      <w:r w:rsidRPr="001B3E42">
        <w:rPr>
          <w:bCs/>
          <w:sz w:val="22"/>
          <w:szCs w:val="22"/>
        </w:rPr>
        <w:t xml:space="preserve">Lijek </w:t>
      </w:r>
      <w:r w:rsidR="008D1FC7" w:rsidRPr="001B3E42">
        <w:rPr>
          <w:bCs/>
          <w:sz w:val="22"/>
          <w:szCs w:val="22"/>
        </w:rPr>
        <w:t xml:space="preserve">Humira 40 mg rastvor za injekciju u bočici za jednokratnu primjenu (staklo tipa I), sa gumenim </w:t>
      </w:r>
      <w:r w:rsidR="00207788" w:rsidRPr="001B3E42">
        <w:rPr>
          <w:bCs/>
          <w:sz w:val="22"/>
          <w:szCs w:val="22"/>
        </w:rPr>
        <w:t>čepom, aluminijskim prstenom i „flip-off“ zatvaračem.</w:t>
      </w:r>
    </w:p>
    <w:p w:rsidR="008D1FC7" w:rsidRPr="001B3E42" w:rsidRDefault="008D1FC7" w:rsidP="002D5061">
      <w:pPr>
        <w:tabs>
          <w:tab w:val="left" w:pos="540"/>
          <w:tab w:val="left" w:pos="569"/>
        </w:tabs>
        <w:jc w:val="both"/>
        <w:rPr>
          <w:bCs/>
          <w:sz w:val="22"/>
          <w:szCs w:val="22"/>
        </w:rPr>
      </w:pPr>
    </w:p>
    <w:p w:rsidR="008D1FC7" w:rsidRPr="001B3E42" w:rsidRDefault="008D1FC7" w:rsidP="002D5061">
      <w:pPr>
        <w:tabs>
          <w:tab w:val="left" w:pos="540"/>
          <w:tab w:val="left" w:pos="569"/>
        </w:tabs>
        <w:jc w:val="both"/>
        <w:rPr>
          <w:bCs/>
          <w:sz w:val="22"/>
          <w:szCs w:val="22"/>
        </w:rPr>
      </w:pPr>
      <w:r w:rsidRPr="001B3E42">
        <w:rPr>
          <w:bCs/>
          <w:sz w:val="22"/>
          <w:szCs w:val="22"/>
        </w:rPr>
        <w:t>1 pakovanje od 2 kutije od kojih svaka sadrži:</w:t>
      </w:r>
    </w:p>
    <w:p w:rsidR="008D1FC7" w:rsidRPr="001B3E42" w:rsidRDefault="008D1FC7" w:rsidP="002D5061">
      <w:pPr>
        <w:tabs>
          <w:tab w:val="left" w:pos="540"/>
          <w:tab w:val="left" w:pos="569"/>
        </w:tabs>
        <w:jc w:val="both"/>
        <w:rPr>
          <w:bCs/>
          <w:sz w:val="22"/>
          <w:szCs w:val="22"/>
        </w:rPr>
      </w:pPr>
      <w:r w:rsidRPr="001B3E42">
        <w:rPr>
          <w:bCs/>
          <w:sz w:val="22"/>
          <w:szCs w:val="22"/>
        </w:rPr>
        <w:t xml:space="preserve">1 bočicu (0,8 ml sterilnog rastvora), 1 prazni sterilni špric za injekciju, 1 iglu, 1 adapter za bočicu i 2 </w:t>
      </w:r>
      <w:r w:rsidR="00F458BA" w:rsidRPr="001B3E42">
        <w:rPr>
          <w:bCs/>
          <w:sz w:val="22"/>
          <w:szCs w:val="22"/>
        </w:rPr>
        <w:t xml:space="preserve"> alkoholna tupfera.</w:t>
      </w:r>
    </w:p>
    <w:p w:rsidR="008D1FC7" w:rsidRPr="001B3E42" w:rsidRDefault="008D1FC7" w:rsidP="008D1FC7">
      <w:pPr>
        <w:tabs>
          <w:tab w:val="left" w:pos="540"/>
          <w:tab w:val="left" w:pos="569"/>
        </w:tabs>
        <w:rPr>
          <w:bCs/>
          <w:sz w:val="22"/>
          <w:szCs w:val="22"/>
        </w:rPr>
      </w:pPr>
    </w:p>
    <w:p w:rsidR="002846DB" w:rsidRPr="001B3E42" w:rsidRDefault="0072020E" w:rsidP="00480FB1">
      <w:pPr>
        <w:tabs>
          <w:tab w:val="left" w:pos="540"/>
          <w:tab w:val="left" w:pos="569"/>
        </w:tabs>
        <w:rPr>
          <w:b/>
          <w:bCs/>
          <w:sz w:val="22"/>
          <w:szCs w:val="22"/>
        </w:rPr>
      </w:pPr>
      <w:r w:rsidRPr="001B3E42">
        <w:rPr>
          <w:b/>
          <w:bCs/>
          <w:sz w:val="22"/>
          <w:szCs w:val="22"/>
        </w:rPr>
        <w:t xml:space="preserve">6.6. </w:t>
      </w:r>
      <w:r w:rsidR="00480FB1" w:rsidRPr="001B3E42">
        <w:rPr>
          <w:b/>
          <w:bCs/>
          <w:sz w:val="22"/>
          <w:szCs w:val="22"/>
        </w:rPr>
        <w:tab/>
      </w:r>
      <w:r w:rsidRPr="001B3E42">
        <w:rPr>
          <w:b/>
          <w:bCs/>
          <w:sz w:val="22"/>
          <w:szCs w:val="22"/>
        </w:rPr>
        <w:t xml:space="preserve">Posebne mjere opreza pri odlaganju materijala koji treba odbaciti nakon primjene lijeka </w:t>
      </w:r>
    </w:p>
    <w:p w:rsidR="008D1FC7" w:rsidRPr="001B3E42" w:rsidRDefault="008D1FC7" w:rsidP="008D1FC7">
      <w:pPr>
        <w:tabs>
          <w:tab w:val="left" w:pos="540"/>
          <w:tab w:val="left" w:pos="569"/>
        </w:tabs>
        <w:rPr>
          <w:bCs/>
          <w:sz w:val="22"/>
          <w:szCs w:val="22"/>
        </w:rPr>
      </w:pPr>
    </w:p>
    <w:p w:rsidR="008D1FC7" w:rsidRPr="001B3E42" w:rsidRDefault="00F458BA" w:rsidP="008D1FC7">
      <w:pPr>
        <w:tabs>
          <w:tab w:val="left" w:pos="540"/>
          <w:tab w:val="left" w:pos="569"/>
        </w:tabs>
        <w:rPr>
          <w:bCs/>
          <w:sz w:val="22"/>
          <w:szCs w:val="22"/>
        </w:rPr>
      </w:pPr>
      <w:r w:rsidRPr="001B3E42">
        <w:rPr>
          <w:bCs/>
          <w:sz w:val="22"/>
          <w:szCs w:val="22"/>
        </w:rPr>
        <w:t xml:space="preserve">Lijek </w:t>
      </w:r>
      <w:r w:rsidR="0028555F" w:rsidRPr="001B3E42">
        <w:rPr>
          <w:bCs/>
          <w:sz w:val="22"/>
          <w:szCs w:val="22"/>
        </w:rPr>
        <w:t xml:space="preserve">Humira 40 mg rastvor za injekciju ne sadrži konzervanse. </w:t>
      </w:r>
      <w:r w:rsidR="008D1FC7" w:rsidRPr="001B3E42">
        <w:rPr>
          <w:bCs/>
          <w:sz w:val="22"/>
          <w:szCs w:val="22"/>
        </w:rPr>
        <w:t>Neiskorišteni lijek ili otpadni materijal se odlaže u skladu sa propisima za zbrinjavanje medicinskog otpada.</w:t>
      </w:r>
    </w:p>
    <w:p w:rsidR="00FA0344" w:rsidRPr="001B3E42" w:rsidRDefault="00FA0344" w:rsidP="00480FB1">
      <w:pPr>
        <w:tabs>
          <w:tab w:val="left" w:pos="540"/>
          <w:tab w:val="left" w:pos="569"/>
        </w:tabs>
        <w:rPr>
          <w:b/>
          <w:bCs/>
          <w:sz w:val="22"/>
          <w:szCs w:val="22"/>
        </w:rPr>
      </w:pPr>
    </w:p>
    <w:p w:rsidR="00483928" w:rsidRPr="001B3E42" w:rsidRDefault="00483928" w:rsidP="00480FB1">
      <w:pPr>
        <w:tabs>
          <w:tab w:val="left" w:pos="540"/>
          <w:tab w:val="left" w:pos="569"/>
        </w:tabs>
        <w:rPr>
          <w:b/>
          <w:bCs/>
          <w:sz w:val="22"/>
          <w:szCs w:val="22"/>
        </w:rPr>
      </w:pPr>
      <w:r w:rsidRPr="001B3E42">
        <w:rPr>
          <w:b/>
          <w:bCs/>
          <w:sz w:val="22"/>
          <w:szCs w:val="22"/>
        </w:rPr>
        <w:t xml:space="preserve">6.7. </w:t>
      </w:r>
      <w:r w:rsidR="00480FB1" w:rsidRPr="001B3E42">
        <w:rPr>
          <w:b/>
          <w:bCs/>
          <w:sz w:val="22"/>
          <w:szCs w:val="22"/>
        </w:rPr>
        <w:tab/>
      </w:r>
      <w:r w:rsidR="00C44CF3" w:rsidRPr="001B3E42">
        <w:rPr>
          <w:b/>
          <w:bCs/>
          <w:sz w:val="22"/>
          <w:szCs w:val="22"/>
        </w:rPr>
        <w:t>Režim</w:t>
      </w:r>
      <w:r w:rsidRPr="001B3E42">
        <w:rPr>
          <w:b/>
          <w:bCs/>
          <w:sz w:val="22"/>
          <w:szCs w:val="22"/>
        </w:rPr>
        <w:t xml:space="preserve"> izdavanja lijeka</w:t>
      </w:r>
    </w:p>
    <w:p w:rsidR="002846DB" w:rsidRPr="001B3E42" w:rsidRDefault="002846DB" w:rsidP="00480FB1">
      <w:pPr>
        <w:tabs>
          <w:tab w:val="left" w:pos="540"/>
          <w:tab w:val="left" w:pos="569"/>
        </w:tabs>
        <w:rPr>
          <w:bCs/>
          <w:sz w:val="22"/>
          <w:szCs w:val="22"/>
        </w:rPr>
      </w:pPr>
    </w:p>
    <w:p w:rsidR="008D1FC7" w:rsidRPr="001B3E42" w:rsidRDefault="00712B41" w:rsidP="002D7CE0">
      <w:pPr>
        <w:widowControl w:val="0"/>
        <w:autoSpaceDE w:val="0"/>
        <w:autoSpaceDN w:val="0"/>
        <w:adjustRightInd w:val="0"/>
        <w:jc w:val="both"/>
        <w:rPr>
          <w:color w:val="000000"/>
          <w:sz w:val="22"/>
          <w:szCs w:val="22"/>
        </w:rPr>
      </w:pPr>
      <w:r w:rsidRPr="001B3E42">
        <w:rPr>
          <w:color w:val="000000"/>
          <w:sz w:val="22"/>
          <w:szCs w:val="22"/>
        </w:rPr>
        <w:t xml:space="preserve">Lijek se </w:t>
      </w:r>
      <w:r w:rsidR="00F458BA" w:rsidRPr="001B3E42">
        <w:rPr>
          <w:color w:val="000000"/>
          <w:sz w:val="22"/>
          <w:szCs w:val="22"/>
        </w:rPr>
        <w:t xml:space="preserve">može upotrebljavati </w:t>
      </w:r>
      <w:r w:rsidRPr="001B3E42">
        <w:rPr>
          <w:color w:val="000000"/>
          <w:sz w:val="22"/>
          <w:szCs w:val="22"/>
        </w:rPr>
        <w:t>u stacionarnoj zdravstvenoj ustanovi; Izuzetno na recept.</w:t>
      </w:r>
    </w:p>
    <w:p w:rsidR="0028555F" w:rsidRPr="001B3E42" w:rsidRDefault="0028555F" w:rsidP="00480FB1">
      <w:pPr>
        <w:tabs>
          <w:tab w:val="left" w:pos="540"/>
          <w:tab w:val="left" w:pos="569"/>
        </w:tabs>
        <w:rPr>
          <w:b/>
          <w:bCs/>
          <w:sz w:val="22"/>
          <w:szCs w:val="22"/>
        </w:rPr>
      </w:pPr>
    </w:p>
    <w:p w:rsidR="00F8570A" w:rsidRPr="001B3E42" w:rsidRDefault="0072020E" w:rsidP="00480FB1">
      <w:pPr>
        <w:tabs>
          <w:tab w:val="left" w:pos="540"/>
          <w:tab w:val="left" w:pos="569"/>
        </w:tabs>
        <w:rPr>
          <w:b/>
          <w:bCs/>
          <w:sz w:val="22"/>
          <w:szCs w:val="22"/>
        </w:rPr>
      </w:pPr>
      <w:r w:rsidRPr="001B3E42">
        <w:rPr>
          <w:b/>
          <w:bCs/>
          <w:sz w:val="22"/>
          <w:szCs w:val="22"/>
        </w:rPr>
        <w:t xml:space="preserve">7. </w:t>
      </w:r>
      <w:r w:rsidR="00480FB1" w:rsidRPr="001B3E42">
        <w:rPr>
          <w:b/>
          <w:bCs/>
          <w:sz w:val="22"/>
          <w:szCs w:val="22"/>
        </w:rPr>
        <w:tab/>
      </w:r>
      <w:r w:rsidRPr="001B3E42">
        <w:rPr>
          <w:b/>
          <w:bCs/>
          <w:sz w:val="22"/>
          <w:szCs w:val="22"/>
        </w:rPr>
        <w:t>NOSILAC DOZVOLE</w:t>
      </w:r>
      <w:r w:rsidR="00483928" w:rsidRPr="001B3E42">
        <w:rPr>
          <w:b/>
          <w:bCs/>
          <w:sz w:val="22"/>
          <w:szCs w:val="22"/>
        </w:rPr>
        <w:t xml:space="preserve"> </w:t>
      </w:r>
    </w:p>
    <w:p w:rsidR="0072020E" w:rsidRPr="001B3E42" w:rsidRDefault="00480FB1" w:rsidP="00480FB1">
      <w:pPr>
        <w:tabs>
          <w:tab w:val="left" w:pos="540"/>
          <w:tab w:val="left" w:pos="569"/>
        </w:tabs>
        <w:rPr>
          <w:b/>
          <w:bCs/>
          <w:sz w:val="22"/>
          <w:szCs w:val="22"/>
        </w:rPr>
      </w:pPr>
      <w:r w:rsidRPr="001B3E42">
        <w:rPr>
          <w:b/>
          <w:bCs/>
          <w:sz w:val="22"/>
          <w:szCs w:val="22"/>
        </w:rPr>
        <w:tab/>
      </w:r>
    </w:p>
    <w:p w:rsidR="00D520DD" w:rsidRPr="00D520DD" w:rsidRDefault="00D520DD" w:rsidP="00D520DD">
      <w:pPr>
        <w:tabs>
          <w:tab w:val="left" w:pos="540"/>
          <w:tab w:val="left" w:pos="569"/>
        </w:tabs>
        <w:rPr>
          <w:color w:val="000000"/>
          <w:sz w:val="22"/>
          <w:szCs w:val="22"/>
        </w:rPr>
      </w:pPr>
      <w:r w:rsidRPr="00D520DD">
        <w:rPr>
          <w:color w:val="000000"/>
          <w:sz w:val="22"/>
          <w:szCs w:val="22"/>
        </w:rPr>
        <w:t>Glosarij d.o.o.</w:t>
      </w:r>
    </w:p>
    <w:p w:rsidR="008D1FC7" w:rsidRDefault="00D520DD" w:rsidP="00D520DD">
      <w:pPr>
        <w:tabs>
          <w:tab w:val="left" w:pos="540"/>
          <w:tab w:val="left" w:pos="569"/>
        </w:tabs>
        <w:rPr>
          <w:color w:val="000000"/>
          <w:sz w:val="22"/>
          <w:szCs w:val="22"/>
        </w:rPr>
      </w:pPr>
      <w:r w:rsidRPr="00D520DD">
        <w:rPr>
          <w:color w:val="000000"/>
          <w:sz w:val="22"/>
          <w:szCs w:val="22"/>
        </w:rPr>
        <w:t>Vojislavljevića 76, Podgorica, Crna Gora</w:t>
      </w:r>
    </w:p>
    <w:p w:rsidR="00D520DD" w:rsidRPr="001B3E42" w:rsidRDefault="00D520DD" w:rsidP="00D520DD">
      <w:pPr>
        <w:tabs>
          <w:tab w:val="left" w:pos="540"/>
          <w:tab w:val="left" w:pos="569"/>
        </w:tabs>
        <w:rPr>
          <w:bCs/>
          <w:sz w:val="22"/>
          <w:szCs w:val="22"/>
        </w:rPr>
      </w:pPr>
      <w:bookmarkStart w:id="2" w:name="_GoBack"/>
      <w:bookmarkEnd w:id="2"/>
    </w:p>
    <w:p w:rsidR="003428F0" w:rsidRPr="003428F0" w:rsidRDefault="008D1FC7" w:rsidP="008D1FC7">
      <w:pPr>
        <w:tabs>
          <w:tab w:val="left" w:pos="540"/>
          <w:tab w:val="left" w:pos="569"/>
        </w:tabs>
        <w:rPr>
          <w:bCs/>
          <w:sz w:val="22"/>
          <w:szCs w:val="22"/>
        </w:rPr>
      </w:pPr>
      <w:r w:rsidRPr="003428F0">
        <w:rPr>
          <w:bCs/>
          <w:sz w:val="22"/>
          <w:szCs w:val="22"/>
        </w:rPr>
        <w:t xml:space="preserve">Proizvođač gotovog lijeka </w:t>
      </w:r>
    </w:p>
    <w:p w:rsidR="008D1FC7" w:rsidRPr="003428F0" w:rsidRDefault="00F458BA" w:rsidP="008D1FC7">
      <w:pPr>
        <w:tabs>
          <w:tab w:val="left" w:pos="540"/>
          <w:tab w:val="left" w:pos="569"/>
        </w:tabs>
        <w:rPr>
          <w:bCs/>
          <w:sz w:val="22"/>
          <w:szCs w:val="22"/>
        </w:rPr>
      </w:pPr>
      <w:r w:rsidRPr="003428F0">
        <w:rPr>
          <w:bCs/>
          <w:sz w:val="22"/>
          <w:szCs w:val="22"/>
        </w:rPr>
        <w:t>AbbVie Biotechnology GmbH</w:t>
      </w:r>
      <w:r w:rsidR="008D1FC7" w:rsidRPr="003428F0">
        <w:rPr>
          <w:bCs/>
          <w:sz w:val="22"/>
          <w:szCs w:val="22"/>
        </w:rPr>
        <w:t xml:space="preserve">, </w:t>
      </w:r>
    </w:p>
    <w:p w:rsidR="008D1FC7" w:rsidRPr="003428F0" w:rsidRDefault="008D1FC7" w:rsidP="008D1FC7">
      <w:pPr>
        <w:tabs>
          <w:tab w:val="left" w:pos="540"/>
          <w:tab w:val="left" w:pos="569"/>
        </w:tabs>
        <w:rPr>
          <w:bCs/>
          <w:sz w:val="22"/>
          <w:szCs w:val="22"/>
        </w:rPr>
      </w:pPr>
      <w:r w:rsidRPr="003428F0">
        <w:rPr>
          <w:bCs/>
          <w:sz w:val="22"/>
          <w:szCs w:val="22"/>
        </w:rPr>
        <w:t>Max-Planck-Ring 2</w:t>
      </w:r>
    </w:p>
    <w:p w:rsidR="00836B35" w:rsidRPr="003428F0" w:rsidRDefault="008D1FC7" w:rsidP="008D1FC7">
      <w:pPr>
        <w:tabs>
          <w:tab w:val="left" w:pos="540"/>
          <w:tab w:val="left" w:pos="569"/>
        </w:tabs>
        <w:rPr>
          <w:bCs/>
          <w:sz w:val="22"/>
          <w:szCs w:val="22"/>
        </w:rPr>
      </w:pPr>
      <w:r w:rsidRPr="003428F0">
        <w:rPr>
          <w:bCs/>
          <w:sz w:val="22"/>
          <w:szCs w:val="22"/>
        </w:rPr>
        <w:t>65 205 Wiesbaden, Njemačka</w:t>
      </w:r>
    </w:p>
    <w:p w:rsidR="008D1FC7" w:rsidRPr="003428F0" w:rsidRDefault="008D1FC7" w:rsidP="008D1FC7">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8. </w:t>
      </w:r>
      <w:r w:rsidR="00480FB1" w:rsidRPr="001B3E42">
        <w:rPr>
          <w:b/>
          <w:bCs/>
          <w:sz w:val="22"/>
          <w:szCs w:val="22"/>
        </w:rPr>
        <w:tab/>
      </w:r>
      <w:r w:rsidRPr="001B3E42">
        <w:rPr>
          <w:b/>
          <w:bCs/>
          <w:sz w:val="22"/>
          <w:szCs w:val="22"/>
        </w:rPr>
        <w:t>BROJ PRVE DOZVOLE</w:t>
      </w:r>
      <w:r w:rsidR="004534C7" w:rsidRPr="001B3E42">
        <w:rPr>
          <w:b/>
          <w:bCs/>
          <w:sz w:val="22"/>
          <w:szCs w:val="22"/>
        </w:rPr>
        <w:t>/</w:t>
      </w:r>
      <w:r w:rsidRPr="001B3E42">
        <w:rPr>
          <w:b/>
          <w:bCs/>
          <w:sz w:val="22"/>
          <w:szCs w:val="22"/>
        </w:rPr>
        <w:t xml:space="preserve"> OBNOVE DOZVOLE</w:t>
      </w:r>
    </w:p>
    <w:p w:rsidR="0072020E" w:rsidRPr="001B3E42" w:rsidRDefault="0072020E" w:rsidP="00480FB1">
      <w:pPr>
        <w:tabs>
          <w:tab w:val="left" w:pos="540"/>
          <w:tab w:val="left" w:pos="569"/>
        </w:tabs>
        <w:rPr>
          <w:bCs/>
          <w:sz w:val="22"/>
          <w:szCs w:val="22"/>
        </w:rPr>
      </w:pPr>
    </w:p>
    <w:p w:rsidR="00F45F77" w:rsidRDefault="003428F0" w:rsidP="00480FB1">
      <w:pPr>
        <w:tabs>
          <w:tab w:val="left" w:pos="540"/>
          <w:tab w:val="left" w:pos="569"/>
        </w:tabs>
        <w:rPr>
          <w:bCs/>
          <w:sz w:val="22"/>
          <w:szCs w:val="22"/>
        </w:rPr>
      </w:pPr>
      <w:r w:rsidRPr="003428F0">
        <w:rPr>
          <w:bCs/>
          <w:sz w:val="22"/>
          <w:szCs w:val="22"/>
        </w:rPr>
        <w:t>Humira, rastvor za injekciju, 40 mg/0,8 ml, bočic</w:t>
      </w:r>
      <w:r>
        <w:rPr>
          <w:bCs/>
          <w:sz w:val="22"/>
          <w:szCs w:val="22"/>
        </w:rPr>
        <w:t>a, 2 x</w:t>
      </w:r>
      <w:r w:rsidRPr="003428F0">
        <w:rPr>
          <w:bCs/>
          <w:sz w:val="22"/>
          <w:szCs w:val="22"/>
        </w:rPr>
        <w:t xml:space="preserve"> 0,8 ml</w:t>
      </w:r>
      <w:r>
        <w:rPr>
          <w:bCs/>
          <w:sz w:val="22"/>
          <w:szCs w:val="22"/>
        </w:rPr>
        <w:t xml:space="preserve">: </w:t>
      </w:r>
      <w:r w:rsidR="003C1756" w:rsidRPr="003C1756">
        <w:rPr>
          <w:bCs/>
          <w:sz w:val="22"/>
          <w:szCs w:val="22"/>
        </w:rPr>
        <w:t>2030/14/213 - 2499</w:t>
      </w:r>
    </w:p>
    <w:p w:rsidR="003428F0" w:rsidRPr="001B3E42" w:rsidRDefault="003428F0" w:rsidP="00480FB1">
      <w:pPr>
        <w:tabs>
          <w:tab w:val="left" w:pos="540"/>
          <w:tab w:val="left" w:pos="569"/>
        </w:tabs>
        <w:rPr>
          <w:bCs/>
          <w:sz w:val="22"/>
          <w:szCs w:val="22"/>
        </w:rPr>
      </w:pPr>
    </w:p>
    <w:p w:rsidR="0072020E" w:rsidRPr="001B3E42" w:rsidRDefault="0072020E" w:rsidP="00480FB1">
      <w:pPr>
        <w:tabs>
          <w:tab w:val="left" w:pos="540"/>
          <w:tab w:val="left" w:pos="569"/>
        </w:tabs>
        <w:rPr>
          <w:b/>
          <w:bCs/>
          <w:sz w:val="22"/>
          <w:szCs w:val="22"/>
        </w:rPr>
      </w:pPr>
      <w:r w:rsidRPr="001B3E42">
        <w:rPr>
          <w:b/>
          <w:bCs/>
          <w:sz w:val="22"/>
          <w:szCs w:val="22"/>
        </w:rPr>
        <w:t xml:space="preserve">9. </w:t>
      </w:r>
      <w:r w:rsidR="00480FB1" w:rsidRPr="001B3E42">
        <w:rPr>
          <w:b/>
          <w:bCs/>
          <w:sz w:val="22"/>
          <w:szCs w:val="22"/>
        </w:rPr>
        <w:tab/>
      </w:r>
      <w:r w:rsidRPr="001B3E42">
        <w:rPr>
          <w:b/>
          <w:bCs/>
          <w:sz w:val="22"/>
          <w:szCs w:val="22"/>
        </w:rPr>
        <w:t>DATUM PRVE DOZVOLE</w:t>
      </w:r>
      <w:r w:rsidR="00F8570A" w:rsidRPr="001B3E42">
        <w:rPr>
          <w:b/>
          <w:bCs/>
          <w:sz w:val="22"/>
          <w:szCs w:val="22"/>
        </w:rPr>
        <w:t>/</w:t>
      </w:r>
      <w:r w:rsidRPr="001B3E42">
        <w:rPr>
          <w:b/>
          <w:bCs/>
          <w:sz w:val="22"/>
          <w:szCs w:val="22"/>
        </w:rPr>
        <w:t xml:space="preserve"> DATUM OBNOVE DOZVOLE</w:t>
      </w:r>
    </w:p>
    <w:p w:rsidR="0072020E" w:rsidRDefault="0072020E" w:rsidP="00480FB1">
      <w:pPr>
        <w:tabs>
          <w:tab w:val="left" w:pos="540"/>
          <w:tab w:val="left" w:pos="569"/>
        </w:tabs>
        <w:rPr>
          <w:bCs/>
          <w:sz w:val="22"/>
          <w:szCs w:val="22"/>
        </w:rPr>
      </w:pPr>
    </w:p>
    <w:p w:rsidR="003428F0" w:rsidRDefault="003428F0" w:rsidP="003428F0">
      <w:pPr>
        <w:tabs>
          <w:tab w:val="left" w:pos="540"/>
          <w:tab w:val="left" w:pos="569"/>
        </w:tabs>
        <w:rPr>
          <w:bCs/>
          <w:sz w:val="22"/>
          <w:szCs w:val="22"/>
        </w:rPr>
      </w:pPr>
      <w:r w:rsidRPr="003428F0">
        <w:rPr>
          <w:bCs/>
          <w:sz w:val="22"/>
          <w:szCs w:val="22"/>
        </w:rPr>
        <w:t>Humira, rastvor za injekciju, 40 mg/0,8 ml, bočic</w:t>
      </w:r>
      <w:r>
        <w:rPr>
          <w:bCs/>
          <w:sz w:val="22"/>
          <w:szCs w:val="22"/>
        </w:rPr>
        <w:t>a, 2 x</w:t>
      </w:r>
      <w:r w:rsidRPr="003428F0">
        <w:rPr>
          <w:bCs/>
          <w:sz w:val="22"/>
          <w:szCs w:val="22"/>
        </w:rPr>
        <w:t xml:space="preserve"> 0,8 ml</w:t>
      </w:r>
      <w:r>
        <w:rPr>
          <w:bCs/>
          <w:sz w:val="22"/>
          <w:szCs w:val="22"/>
        </w:rPr>
        <w:t xml:space="preserve">: </w:t>
      </w:r>
      <w:r w:rsidR="003C1756">
        <w:rPr>
          <w:rFonts w:ascii="TimesNewRoman" w:hAnsi="TimesNewRoman" w:cs="TimesNewRoman"/>
          <w:sz w:val="22"/>
          <w:szCs w:val="22"/>
          <w:lang w:eastAsia="sr-Latn-ME"/>
        </w:rPr>
        <w:t>10.07.2014. godine</w:t>
      </w:r>
    </w:p>
    <w:p w:rsidR="00836B35" w:rsidRPr="001B3E42" w:rsidRDefault="00836B35" w:rsidP="00480FB1">
      <w:pPr>
        <w:tabs>
          <w:tab w:val="left" w:pos="540"/>
          <w:tab w:val="left" w:pos="569"/>
        </w:tabs>
        <w:rPr>
          <w:bCs/>
          <w:sz w:val="22"/>
          <w:szCs w:val="22"/>
        </w:rPr>
      </w:pPr>
    </w:p>
    <w:p w:rsidR="00281499" w:rsidRDefault="0072020E" w:rsidP="00681949">
      <w:pPr>
        <w:tabs>
          <w:tab w:val="left" w:pos="540"/>
          <w:tab w:val="left" w:pos="569"/>
        </w:tabs>
        <w:ind w:left="540" w:hanging="540"/>
        <w:rPr>
          <w:b/>
          <w:bCs/>
          <w:sz w:val="22"/>
          <w:szCs w:val="22"/>
        </w:rPr>
      </w:pPr>
      <w:r w:rsidRPr="001B3E42">
        <w:rPr>
          <w:b/>
          <w:bCs/>
          <w:sz w:val="22"/>
          <w:szCs w:val="22"/>
        </w:rPr>
        <w:t xml:space="preserve">10. </w:t>
      </w:r>
      <w:r w:rsidR="00480FB1" w:rsidRPr="001B3E42">
        <w:rPr>
          <w:b/>
          <w:bCs/>
          <w:sz w:val="22"/>
          <w:szCs w:val="22"/>
        </w:rPr>
        <w:tab/>
      </w:r>
      <w:r w:rsidR="002846DB" w:rsidRPr="001B3E42">
        <w:rPr>
          <w:b/>
          <w:bCs/>
          <w:sz w:val="22"/>
          <w:szCs w:val="22"/>
        </w:rPr>
        <w:t>D</w:t>
      </w:r>
      <w:r w:rsidR="00EC2532" w:rsidRPr="001B3E42">
        <w:rPr>
          <w:b/>
          <w:bCs/>
          <w:sz w:val="22"/>
          <w:szCs w:val="22"/>
        </w:rPr>
        <w:t xml:space="preserve">ATUM </w:t>
      </w:r>
      <w:r w:rsidR="004534C7" w:rsidRPr="001B3E42">
        <w:rPr>
          <w:b/>
          <w:bCs/>
          <w:sz w:val="22"/>
          <w:szCs w:val="22"/>
        </w:rPr>
        <w:t>POSLEDNJE</w:t>
      </w:r>
      <w:r w:rsidR="00EC2532" w:rsidRPr="001B3E42">
        <w:rPr>
          <w:b/>
          <w:bCs/>
          <w:sz w:val="22"/>
          <w:szCs w:val="22"/>
        </w:rPr>
        <w:t xml:space="preserve"> REVIZIJE TEKSTA SAŽETKA OSNOVNIH KARAKTERISTIKA LIJEKA</w:t>
      </w:r>
    </w:p>
    <w:p w:rsidR="003428F0" w:rsidRDefault="003428F0" w:rsidP="00681949">
      <w:pPr>
        <w:tabs>
          <w:tab w:val="left" w:pos="540"/>
          <w:tab w:val="left" w:pos="569"/>
        </w:tabs>
        <w:ind w:left="540" w:hanging="540"/>
        <w:rPr>
          <w:b/>
          <w:bCs/>
          <w:sz w:val="22"/>
          <w:szCs w:val="22"/>
        </w:rPr>
      </w:pPr>
    </w:p>
    <w:p w:rsidR="003428F0" w:rsidRPr="003428F0" w:rsidRDefault="003428F0" w:rsidP="00681949">
      <w:pPr>
        <w:tabs>
          <w:tab w:val="left" w:pos="540"/>
          <w:tab w:val="left" w:pos="569"/>
        </w:tabs>
        <w:ind w:left="540" w:hanging="540"/>
        <w:rPr>
          <w:bCs/>
          <w:sz w:val="22"/>
          <w:szCs w:val="22"/>
        </w:rPr>
      </w:pPr>
      <w:r w:rsidRPr="003428F0">
        <w:rPr>
          <w:bCs/>
          <w:sz w:val="22"/>
          <w:szCs w:val="22"/>
        </w:rPr>
        <w:t>Jul, 2014.</w:t>
      </w:r>
    </w:p>
    <w:sectPr w:rsidR="003428F0" w:rsidRPr="003428F0" w:rsidSect="00EF3B86">
      <w:headerReference w:type="default" r:id="rId9"/>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A78" w:rsidRDefault="00CC1A78">
      <w:r>
        <w:separator/>
      </w:r>
    </w:p>
  </w:endnote>
  <w:endnote w:type="continuationSeparator" w:id="0">
    <w:p w:rsidR="00CC1A78" w:rsidRDefault="00CC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11" w:rsidRDefault="00983211" w:rsidP="00281499">
    <w:pPr>
      <w:pStyle w:val="Footer"/>
      <w:framePr w:wrap="around" w:vAnchor="text" w:hAnchor="margin" w:xAlign="right" w:y="1"/>
      <w:rPr>
        <w:rStyle w:val="PageNumber"/>
      </w:rPr>
    </w:pPr>
  </w:p>
  <w:p w:rsidR="00983211" w:rsidRDefault="00983211" w:rsidP="00281499">
    <w:pPr>
      <w:pStyle w:val="Header"/>
      <w:pBdr>
        <w:top w:val="thinThickSmallGap" w:sz="24" w:space="1" w:color="auto"/>
      </w:pBdr>
      <w:jc w:val="center"/>
    </w:pPr>
  </w:p>
  <w:p w:rsidR="00983211" w:rsidRPr="00743A79" w:rsidRDefault="00983211" w:rsidP="00281499">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983211" w:rsidRDefault="00983211" w:rsidP="00281499">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983211" w:rsidRDefault="00983211" w:rsidP="00281499">
    <w:pPr>
      <w:pStyle w:val="Header"/>
    </w:pPr>
  </w:p>
  <w:p w:rsidR="00983211" w:rsidRPr="00281499" w:rsidRDefault="00983211" w:rsidP="00281499">
    <w:pPr>
      <w:pStyle w:val="Header"/>
      <w:jc w:val="center"/>
      <w:rPr>
        <w:sz w:val="18"/>
        <w:szCs w:val="22"/>
      </w:rPr>
    </w:pPr>
    <w:r w:rsidRPr="00281499">
      <w:rPr>
        <w:rStyle w:val="PageNumber"/>
        <w:sz w:val="20"/>
      </w:rPr>
      <w:fldChar w:fldCharType="begin"/>
    </w:r>
    <w:r w:rsidRPr="00281499">
      <w:rPr>
        <w:rStyle w:val="PageNumber"/>
        <w:sz w:val="20"/>
      </w:rPr>
      <w:instrText xml:space="preserve"> PAGE </w:instrText>
    </w:r>
    <w:r w:rsidRPr="00281499">
      <w:rPr>
        <w:rStyle w:val="PageNumber"/>
        <w:sz w:val="20"/>
      </w:rPr>
      <w:fldChar w:fldCharType="separate"/>
    </w:r>
    <w:r w:rsidR="00D520DD">
      <w:rPr>
        <w:rStyle w:val="PageNumber"/>
        <w:noProof/>
        <w:sz w:val="20"/>
      </w:rPr>
      <w:t>1</w:t>
    </w:r>
    <w:r w:rsidRPr="00281499">
      <w:rPr>
        <w:rStyle w:val="PageNumber"/>
        <w:sz w:val="20"/>
      </w:rPr>
      <w:fldChar w:fldCharType="end"/>
    </w:r>
    <w:r w:rsidRPr="00281499">
      <w:rPr>
        <w:rStyle w:val="PageNumber"/>
        <w:sz w:val="20"/>
      </w:rPr>
      <w:t xml:space="preserve"> / </w:t>
    </w:r>
    <w:r w:rsidRPr="00281499">
      <w:rPr>
        <w:rStyle w:val="PageNumber"/>
        <w:sz w:val="20"/>
      </w:rPr>
      <w:fldChar w:fldCharType="begin"/>
    </w:r>
    <w:r w:rsidRPr="00281499">
      <w:rPr>
        <w:rStyle w:val="PageNumber"/>
        <w:sz w:val="20"/>
      </w:rPr>
      <w:instrText xml:space="preserve"> NUMPAGES </w:instrText>
    </w:r>
    <w:r w:rsidRPr="00281499">
      <w:rPr>
        <w:rStyle w:val="PageNumber"/>
        <w:sz w:val="20"/>
      </w:rPr>
      <w:fldChar w:fldCharType="separate"/>
    </w:r>
    <w:r w:rsidR="00D520DD">
      <w:rPr>
        <w:rStyle w:val="PageNumber"/>
        <w:noProof/>
        <w:sz w:val="20"/>
      </w:rPr>
      <w:t>32</w:t>
    </w:r>
    <w:r w:rsidRPr="00281499">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A78" w:rsidRDefault="00CC1A78">
      <w:r>
        <w:separator/>
      </w:r>
    </w:p>
  </w:footnote>
  <w:footnote w:type="continuationSeparator" w:id="0">
    <w:p w:rsidR="00CC1A78" w:rsidRDefault="00CC1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11" w:rsidRDefault="00983211" w:rsidP="00281499">
    <w:pPr>
      <w:pStyle w:val="Header"/>
      <w:rPr>
        <w:sz w:val="16"/>
        <w:szCs w:val="16"/>
      </w:rPr>
    </w:pPr>
  </w:p>
  <w:p w:rsidR="00983211" w:rsidRPr="00FD4723" w:rsidRDefault="00983211" w:rsidP="00281499">
    <w:pPr>
      <w:pStyle w:val="Header"/>
      <w:pBdr>
        <w:top w:val="thinThickSmallGap" w:sz="24" w:space="2" w:color="auto"/>
      </w:pBd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D8F3B"/>
    <w:multiLevelType w:val="hybridMultilevel"/>
    <w:tmpl w:val="FF44E9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813C0D"/>
    <w:multiLevelType w:val="hybridMultilevel"/>
    <w:tmpl w:val="34615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67097"/>
    <w:multiLevelType w:val="hybridMultilevel"/>
    <w:tmpl w:val="B92104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2EC03C"/>
    <w:multiLevelType w:val="hybridMultilevel"/>
    <w:tmpl w:val="622A27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833738"/>
    <w:multiLevelType w:val="multilevel"/>
    <w:tmpl w:val="B86EE5E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3B13BE"/>
    <w:multiLevelType w:val="multilevel"/>
    <w:tmpl w:val="55A29D1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676744"/>
    <w:multiLevelType w:val="hybridMultilevel"/>
    <w:tmpl w:val="E8F6CE50"/>
    <w:lvl w:ilvl="0" w:tplc="531A649C">
      <w:start w:val="1"/>
      <w:numFmt w:val="decimal"/>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1190E9B"/>
    <w:multiLevelType w:val="multilevel"/>
    <w:tmpl w:val="F3CC5C48"/>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FE3090"/>
    <w:multiLevelType w:val="multilevel"/>
    <w:tmpl w:val="B921041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887AF0"/>
    <w:multiLevelType w:val="multilevel"/>
    <w:tmpl w:val="D242BAB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4447F25"/>
    <w:multiLevelType w:val="hybridMultilevel"/>
    <w:tmpl w:val="C3345E16"/>
    <w:lvl w:ilvl="0" w:tplc="F594E43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F186579"/>
    <w:multiLevelType w:val="hybridMultilevel"/>
    <w:tmpl w:val="3A12583A"/>
    <w:lvl w:ilvl="0" w:tplc="08063AC6">
      <w:start w:val="4"/>
      <w:numFmt w:val="bullet"/>
      <w:lvlText w:val="–"/>
      <w:lvlJc w:val="left"/>
      <w:pPr>
        <w:tabs>
          <w:tab w:val="num" w:pos="420"/>
        </w:tabs>
        <w:ind w:left="420" w:hanging="360"/>
      </w:pPr>
      <w:rPr>
        <w:rFonts w:ascii="Times New Roman" w:eastAsia="Times New Roman" w:hAnsi="Times New Roman" w:cs="Times New Roman"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31D152D6"/>
    <w:multiLevelType w:val="multilevel"/>
    <w:tmpl w:val="3BB034BC"/>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8719BD"/>
    <w:multiLevelType w:val="hybridMultilevel"/>
    <w:tmpl w:val="2F88E486"/>
    <w:lvl w:ilvl="0" w:tplc="041A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341EC7CF"/>
    <w:multiLevelType w:val="hybridMultilevel"/>
    <w:tmpl w:val="01DD47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753AC5"/>
    <w:multiLevelType w:val="hybridMultilevel"/>
    <w:tmpl w:val="E33AD9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744E7"/>
    <w:multiLevelType w:val="multilevel"/>
    <w:tmpl w:val="CAE8B818"/>
    <w:lvl w:ilvl="0">
      <w:start w:val="5"/>
      <w:numFmt w:val="decimal"/>
      <w:lvlText w:val="%1."/>
      <w:lvlJc w:val="left"/>
      <w:pPr>
        <w:tabs>
          <w:tab w:val="num" w:pos="480"/>
        </w:tabs>
        <w:ind w:left="480" w:hanging="48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3E3A766A"/>
    <w:multiLevelType w:val="multilevel"/>
    <w:tmpl w:val="2A00BD4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EC971F3"/>
    <w:multiLevelType w:val="multilevel"/>
    <w:tmpl w:val="FEC0A46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247D31"/>
    <w:multiLevelType w:val="multilevel"/>
    <w:tmpl w:val="3A3681EE"/>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7915681"/>
    <w:multiLevelType w:val="hybridMultilevel"/>
    <w:tmpl w:val="CEDC5A24"/>
    <w:lvl w:ilvl="0" w:tplc="041A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820CB5"/>
    <w:multiLevelType w:val="multilevel"/>
    <w:tmpl w:val="7CCE4DA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AE7B93"/>
    <w:multiLevelType w:val="multilevel"/>
    <w:tmpl w:val="FEC0A46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A426680"/>
    <w:multiLevelType w:val="hybridMultilevel"/>
    <w:tmpl w:val="D242BAB0"/>
    <w:lvl w:ilvl="0" w:tplc="C6289D7A">
      <w:start w:val="1"/>
      <w:numFmt w:val="decimal"/>
      <w:lvlText w:val="%1)"/>
      <w:lvlJc w:val="left"/>
      <w:pPr>
        <w:ind w:left="720" w:hanging="360"/>
      </w:pPr>
      <w:rPr>
        <w:rFonts w:hint="default"/>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5DB42937"/>
    <w:multiLevelType w:val="hybridMultilevel"/>
    <w:tmpl w:val="EE080C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9F53A9"/>
    <w:multiLevelType w:val="multilevel"/>
    <w:tmpl w:val="989AFB7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B9DE61"/>
    <w:multiLevelType w:val="hybridMultilevel"/>
    <w:tmpl w:val="4B2AA9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424488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AA51C9"/>
    <w:multiLevelType w:val="multilevel"/>
    <w:tmpl w:val="3F72681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A67C00"/>
    <w:multiLevelType w:val="multilevel"/>
    <w:tmpl w:val="4A12173A"/>
    <w:lvl w:ilvl="0">
      <w:start w:val="5"/>
      <w:numFmt w:val="decimal"/>
      <w:lvlText w:val="%1."/>
      <w:lvlJc w:val="left"/>
      <w:pPr>
        <w:tabs>
          <w:tab w:val="num" w:pos="480"/>
        </w:tabs>
        <w:ind w:left="480" w:hanging="48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7E7B7A71"/>
    <w:multiLevelType w:val="hybridMultilevel"/>
    <w:tmpl w:val="BF5EE8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F640155"/>
    <w:multiLevelType w:val="hybridMultilevel"/>
    <w:tmpl w:val="989AFB7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2"/>
  </w:num>
  <w:num w:numId="2">
    <w:abstractNumId w:val="34"/>
  </w:num>
  <w:num w:numId="3">
    <w:abstractNumId w:val="7"/>
  </w:num>
  <w:num w:numId="4">
    <w:abstractNumId w:val="30"/>
  </w:num>
  <w:num w:numId="5">
    <w:abstractNumId w:val="15"/>
  </w:num>
  <w:num w:numId="6">
    <w:abstractNumId w:val="8"/>
  </w:num>
  <w:num w:numId="7">
    <w:abstractNumId w:val="26"/>
  </w:num>
  <w:num w:numId="8">
    <w:abstractNumId w:val="13"/>
  </w:num>
  <w:num w:numId="9">
    <w:abstractNumId w:val="16"/>
  </w:num>
  <w:num w:numId="10">
    <w:abstractNumId w:val="2"/>
  </w:num>
  <w:num w:numId="11">
    <w:abstractNumId w:val="3"/>
  </w:num>
  <w:num w:numId="12">
    <w:abstractNumId w:val="32"/>
  </w:num>
  <w:num w:numId="13">
    <w:abstractNumId w:val="1"/>
  </w:num>
  <w:num w:numId="14">
    <w:abstractNumId w:val="35"/>
  </w:num>
  <w:num w:numId="15">
    <w:abstractNumId w:val="0"/>
  </w:num>
  <w:num w:numId="16">
    <w:abstractNumId w:val="20"/>
  </w:num>
  <w:num w:numId="17">
    <w:abstractNumId w:val="40"/>
  </w:num>
  <w:num w:numId="18">
    <w:abstractNumId w:val="36"/>
  </w:num>
  <w:num w:numId="19">
    <w:abstractNumId w:val="5"/>
  </w:num>
  <w:num w:numId="20">
    <w:abstractNumId w:val="39"/>
  </w:num>
  <w:num w:numId="21">
    <w:abstractNumId w:val="38"/>
  </w:num>
  <w:num w:numId="22">
    <w:abstractNumId w:val="33"/>
  </w:num>
  <w:num w:numId="23">
    <w:abstractNumId w:val="19"/>
  </w:num>
  <w:num w:numId="24">
    <w:abstractNumId w:val="10"/>
  </w:num>
  <w:num w:numId="25">
    <w:abstractNumId w:val="27"/>
  </w:num>
  <w:num w:numId="26">
    <w:abstractNumId w:val="17"/>
  </w:num>
  <w:num w:numId="27">
    <w:abstractNumId w:val="37"/>
  </w:num>
  <w:num w:numId="28">
    <w:abstractNumId w:val="4"/>
  </w:num>
  <w:num w:numId="29">
    <w:abstractNumId w:val="22"/>
  </w:num>
  <w:num w:numId="30">
    <w:abstractNumId w:val="31"/>
  </w:num>
  <w:num w:numId="31">
    <w:abstractNumId w:val="29"/>
  </w:num>
  <w:num w:numId="32">
    <w:abstractNumId w:val="24"/>
  </w:num>
  <w:num w:numId="33">
    <w:abstractNumId w:val="14"/>
  </w:num>
  <w:num w:numId="34">
    <w:abstractNumId w:val="25"/>
  </w:num>
  <w:num w:numId="35">
    <w:abstractNumId w:val="9"/>
  </w:num>
  <w:num w:numId="36">
    <w:abstractNumId w:val="18"/>
  </w:num>
  <w:num w:numId="37">
    <w:abstractNumId w:val="28"/>
  </w:num>
  <w:num w:numId="38">
    <w:abstractNumId w:val="21"/>
  </w:num>
  <w:num w:numId="39">
    <w:abstractNumId w:val="23"/>
  </w:num>
  <w:num w:numId="40">
    <w:abstractNumId w:val="1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D6"/>
    <w:rsid w:val="0000633A"/>
    <w:rsid w:val="00007785"/>
    <w:rsid w:val="0001325D"/>
    <w:rsid w:val="00014DCE"/>
    <w:rsid w:val="000176CA"/>
    <w:rsid w:val="00030852"/>
    <w:rsid w:val="00032F32"/>
    <w:rsid w:val="000337E2"/>
    <w:rsid w:val="00034D2C"/>
    <w:rsid w:val="00043BF7"/>
    <w:rsid w:val="000550AB"/>
    <w:rsid w:val="00056BE7"/>
    <w:rsid w:val="00064DF0"/>
    <w:rsid w:val="00067196"/>
    <w:rsid w:val="00084C34"/>
    <w:rsid w:val="00093EF6"/>
    <w:rsid w:val="000961E2"/>
    <w:rsid w:val="00097D9A"/>
    <w:rsid w:val="000B3C88"/>
    <w:rsid w:val="000B630F"/>
    <w:rsid w:val="000C1515"/>
    <w:rsid w:val="000C3263"/>
    <w:rsid w:val="000D2343"/>
    <w:rsid w:val="000D425A"/>
    <w:rsid w:val="000E2084"/>
    <w:rsid w:val="000E6F55"/>
    <w:rsid w:val="000F39DF"/>
    <w:rsid w:val="00101CDD"/>
    <w:rsid w:val="001109E5"/>
    <w:rsid w:val="0011658F"/>
    <w:rsid w:val="00136E8F"/>
    <w:rsid w:val="00142BEC"/>
    <w:rsid w:val="0014766D"/>
    <w:rsid w:val="001636FD"/>
    <w:rsid w:val="00172A0C"/>
    <w:rsid w:val="00180787"/>
    <w:rsid w:val="00187055"/>
    <w:rsid w:val="001A249D"/>
    <w:rsid w:val="001A3F58"/>
    <w:rsid w:val="001A3FBA"/>
    <w:rsid w:val="001A5518"/>
    <w:rsid w:val="001B3E42"/>
    <w:rsid w:val="001C1263"/>
    <w:rsid w:val="001C63F9"/>
    <w:rsid w:val="001D3E32"/>
    <w:rsid w:val="001E345A"/>
    <w:rsid w:val="001E390B"/>
    <w:rsid w:val="001E4AB9"/>
    <w:rsid w:val="001F0303"/>
    <w:rsid w:val="001F42FB"/>
    <w:rsid w:val="001F68B8"/>
    <w:rsid w:val="001F719A"/>
    <w:rsid w:val="001F7423"/>
    <w:rsid w:val="00201296"/>
    <w:rsid w:val="00207788"/>
    <w:rsid w:val="00212289"/>
    <w:rsid w:val="002164EA"/>
    <w:rsid w:val="002302AF"/>
    <w:rsid w:val="00244697"/>
    <w:rsid w:val="00254A0A"/>
    <w:rsid w:val="00261C26"/>
    <w:rsid w:val="00266046"/>
    <w:rsid w:val="002724A6"/>
    <w:rsid w:val="0027287B"/>
    <w:rsid w:val="00281499"/>
    <w:rsid w:val="002846DB"/>
    <w:rsid w:val="0028555F"/>
    <w:rsid w:val="002A19E8"/>
    <w:rsid w:val="002A444D"/>
    <w:rsid w:val="002A509C"/>
    <w:rsid w:val="002B2D84"/>
    <w:rsid w:val="002C6637"/>
    <w:rsid w:val="002D37B0"/>
    <w:rsid w:val="002D5061"/>
    <w:rsid w:val="002D7CE0"/>
    <w:rsid w:val="002E37A5"/>
    <w:rsid w:val="002E69AE"/>
    <w:rsid w:val="002F10B6"/>
    <w:rsid w:val="003009DD"/>
    <w:rsid w:val="0031555A"/>
    <w:rsid w:val="0032554F"/>
    <w:rsid w:val="00330F31"/>
    <w:rsid w:val="00332595"/>
    <w:rsid w:val="00336A50"/>
    <w:rsid w:val="003428F0"/>
    <w:rsid w:val="00350297"/>
    <w:rsid w:val="00355B61"/>
    <w:rsid w:val="00362686"/>
    <w:rsid w:val="00367CE7"/>
    <w:rsid w:val="00371510"/>
    <w:rsid w:val="00377FE9"/>
    <w:rsid w:val="00387473"/>
    <w:rsid w:val="00396C4F"/>
    <w:rsid w:val="00396DFD"/>
    <w:rsid w:val="003A6D6D"/>
    <w:rsid w:val="003B2D1D"/>
    <w:rsid w:val="003B3490"/>
    <w:rsid w:val="003B7A36"/>
    <w:rsid w:val="003C0FC7"/>
    <w:rsid w:val="003C1756"/>
    <w:rsid w:val="003C7823"/>
    <w:rsid w:val="003D2926"/>
    <w:rsid w:val="003D74F9"/>
    <w:rsid w:val="003E1DCC"/>
    <w:rsid w:val="003F6A59"/>
    <w:rsid w:val="004039BF"/>
    <w:rsid w:val="004059C1"/>
    <w:rsid w:val="004065C8"/>
    <w:rsid w:val="004067E7"/>
    <w:rsid w:val="00411B4B"/>
    <w:rsid w:val="004131F9"/>
    <w:rsid w:val="00420FBA"/>
    <w:rsid w:val="00436F42"/>
    <w:rsid w:val="00444CA5"/>
    <w:rsid w:val="00446C7B"/>
    <w:rsid w:val="00451314"/>
    <w:rsid w:val="004534C7"/>
    <w:rsid w:val="004616A3"/>
    <w:rsid w:val="00472539"/>
    <w:rsid w:val="00480FB1"/>
    <w:rsid w:val="00483928"/>
    <w:rsid w:val="0049472E"/>
    <w:rsid w:val="004B02DE"/>
    <w:rsid w:val="004B38A4"/>
    <w:rsid w:val="004C1FEC"/>
    <w:rsid w:val="004C2087"/>
    <w:rsid w:val="004D561B"/>
    <w:rsid w:val="004D6103"/>
    <w:rsid w:val="004E3BCE"/>
    <w:rsid w:val="004F0E97"/>
    <w:rsid w:val="004F29E8"/>
    <w:rsid w:val="00500B86"/>
    <w:rsid w:val="00515C21"/>
    <w:rsid w:val="005161DC"/>
    <w:rsid w:val="00530BD7"/>
    <w:rsid w:val="00537DC6"/>
    <w:rsid w:val="00545CD2"/>
    <w:rsid w:val="00546359"/>
    <w:rsid w:val="005524DC"/>
    <w:rsid w:val="00573E40"/>
    <w:rsid w:val="00575FD8"/>
    <w:rsid w:val="005760A7"/>
    <w:rsid w:val="00576348"/>
    <w:rsid w:val="00577D63"/>
    <w:rsid w:val="005A0B2E"/>
    <w:rsid w:val="005A36CB"/>
    <w:rsid w:val="005B30A8"/>
    <w:rsid w:val="005B35A1"/>
    <w:rsid w:val="005B49B8"/>
    <w:rsid w:val="005C1110"/>
    <w:rsid w:val="005D003D"/>
    <w:rsid w:val="005D1148"/>
    <w:rsid w:val="005E2894"/>
    <w:rsid w:val="005E2E0B"/>
    <w:rsid w:val="005E7A7D"/>
    <w:rsid w:val="00607BB3"/>
    <w:rsid w:val="00615AB5"/>
    <w:rsid w:val="006304BF"/>
    <w:rsid w:val="0063269D"/>
    <w:rsid w:val="00632792"/>
    <w:rsid w:val="006341AC"/>
    <w:rsid w:val="00635624"/>
    <w:rsid w:val="00644FFD"/>
    <w:rsid w:val="00652B01"/>
    <w:rsid w:val="00655124"/>
    <w:rsid w:val="00661E8A"/>
    <w:rsid w:val="00674BAF"/>
    <w:rsid w:val="00681949"/>
    <w:rsid w:val="00686E37"/>
    <w:rsid w:val="006A1497"/>
    <w:rsid w:val="006A6093"/>
    <w:rsid w:val="006B0BD1"/>
    <w:rsid w:val="006B1C2F"/>
    <w:rsid w:val="006D5486"/>
    <w:rsid w:val="006D7AA5"/>
    <w:rsid w:val="00712B41"/>
    <w:rsid w:val="0072020E"/>
    <w:rsid w:val="00736024"/>
    <w:rsid w:val="00776A62"/>
    <w:rsid w:val="007B5B3A"/>
    <w:rsid w:val="007B78C4"/>
    <w:rsid w:val="007D408B"/>
    <w:rsid w:val="007D6ABC"/>
    <w:rsid w:val="007E1D5D"/>
    <w:rsid w:val="007F31DB"/>
    <w:rsid w:val="007F5540"/>
    <w:rsid w:val="007F7B20"/>
    <w:rsid w:val="00824AB9"/>
    <w:rsid w:val="008318D7"/>
    <w:rsid w:val="00836B35"/>
    <w:rsid w:val="00845C47"/>
    <w:rsid w:val="00872668"/>
    <w:rsid w:val="00892AA9"/>
    <w:rsid w:val="0089705C"/>
    <w:rsid w:val="008A5ACB"/>
    <w:rsid w:val="008C13EF"/>
    <w:rsid w:val="008C19AE"/>
    <w:rsid w:val="008C1A28"/>
    <w:rsid w:val="008C2E98"/>
    <w:rsid w:val="008D1FC7"/>
    <w:rsid w:val="008D5354"/>
    <w:rsid w:val="008E49BD"/>
    <w:rsid w:val="008E4A6B"/>
    <w:rsid w:val="008E53E9"/>
    <w:rsid w:val="008E5771"/>
    <w:rsid w:val="009065F5"/>
    <w:rsid w:val="00926A30"/>
    <w:rsid w:val="00943C26"/>
    <w:rsid w:val="00947F3A"/>
    <w:rsid w:val="00951D8D"/>
    <w:rsid w:val="00963CF0"/>
    <w:rsid w:val="0096798B"/>
    <w:rsid w:val="009775D9"/>
    <w:rsid w:val="00983211"/>
    <w:rsid w:val="00987A75"/>
    <w:rsid w:val="009A1847"/>
    <w:rsid w:val="009A340C"/>
    <w:rsid w:val="009D6FBC"/>
    <w:rsid w:val="009E4E76"/>
    <w:rsid w:val="009E7C6F"/>
    <w:rsid w:val="009E7D4D"/>
    <w:rsid w:val="009F1793"/>
    <w:rsid w:val="00A02335"/>
    <w:rsid w:val="00A12BDC"/>
    <w:rsid w:val="00A218D1"/>
    <w:rsid w:val="00A3115F"/>
    <w:rsid w:val="00A34D7A"/>
    <w:rsid w:val="00A67162"/>
    <w:rsid w:val="00A762EB"/>
    <w:rsid w:val="00A836F0"/>
    <w:rsid w:val="00A85616"/>
    <w:rsid w:val="00A870F0"/>
    <w:rsid w:val="00A92AEA"/>
    <w:rsid w:val="00AB17C6"/>
    <w:rsid w:val="00AC4C8C"/>
    <w:rsid w:val="00AC53CE"/>
    <w:rsid w:val="00AD1E7C"/>
    <w:rsid w:val="00AD2193"/>
    <w:rsid w:val="00AE58C1"/>
    <w:rsid w:val="00AF2AC7"/>
    <w:rsid w:val="00AF3287"/>
    <w:rsid w:val="00AF4F0E"/>
    <w:rsid w:val="00B03F03"/>
    <w:rsid w:val="00B11AAE"/>
    <w:rsid w:val="00B208DB"/>
    <w:rsid w:val="00B23F69"/>
    <w:rsid w:val="00B301BA"/>
    <w:rsid w:val="00B30B4A"/>
    <w:rsid w:val="00B3343A"/>
    <w:rsid w:val="00B3420B"/>
    <w:rsid w:val="00B54362"/>
    <w:rsid w:val="00B559D5"/>
    <w:rsid w:val="00B60619"/>
    <w:rsid w:val="00B66298"/>
    <w:rsid w:val="00B66A91"/>
    <w:rsid w:val="00B67366"/>
    <w:rsid w:val="00B8052A"/>
    <w:rsid w:val="00B80EE1"/>
    <w:rsid w:val="00B81677"/>
    <w:rsid w:val="00B91847"/>
    <w:rsid w:val="00BA6D2B"/>
    <w:rsid w:val="00BB4FB6"/>
    <w:rsid w:val="00BB6AE8"/>
    <w:rsid w:val="00BD53A4"/>
    <w:rsid w:val="00BF2E12"/>
    <w:rsid w:val="00C04D34"/>
    <w:rsid w:val="00C062FE"/>
    <w:rsid w:val="00C23D8D"/>
    <w:rsid w:val="00C37AA3"/>
    <w:rsid w:val="00C43419"/>
    <w:rsid w:val="00C44CF3"/>
    <w:rsid w:val="00C4761D"/>
    <w:rsid w:val="00C57AED"/>
    <w:rsid w:val="00C67AA6"/>
    <w:rsid w:val="00C70B0E"/>
    <w:rsid w:val="00C75F49"/>
    <w:rsid w:val="00C769F3"/>
    <w:rsid w:val="00C83785"/>
    <w:rsid w:val="00C86BD0"/>
    <w:rsid w:val="00C94C0D"/>
    <w:rsid w:val="00CA4E7E"/>
    <w:rsid w:val="00CC1A78"/>
    <w:rsid w:val="00CC67E5"/>
    <w:rsid w:val="00CD3511"/>
    <w:rsid w:val="00CD4F85"/>
    <w:rsid w:val="00CD6F02"/>
    <w:rsid w:val="00CE246D"/>
    <w:rsid w:val="00CE7337"/>
    <w:rsid w:val="00D0082A"/>
    <w:rsid w:val="00D41647"/>
    <w:rsid w:val="00D452E9"/>
    <w:rsid w:val="00D520DD"/>
    <w:rsid w:val="00D92618"/>
    <w:rsid w:val="00DA2ED6"/>
    <w:rsid w:val="00DA32ED"/>
    <w:rsid w:val="00DB76B8"/>
    <w:rsid w:val="00DC18FB"/>
    <w:rsid w:val="00DC2EA1"/>
    <w:rsid w:val="00DD6AAF"/>
    <w:rsid w:val="00DE3F5C"/>
    <w:rsid w:val="00DE43A5"/>
    <w:rsid w:val="00DF1D20"/>
    <w:rsid w:val="00E00015"/>
    <w:rsid w:val="00E001CC"/>
    <w:rsid w:val="00E060DC"/>
    <w:rsid w:val="00E246B9"/>
    <w:rsid w:val="00E34552"/>
    <w:rsid w:val="00E35A70"/>
    <w:rsid w:val="00E41BA7"/>
    <w:rsid w:val="00E424CC"/>
    <w:rsid w:val="00E45169"/>
    <w:rsid w:val="00E47787"/>
    <w:rsid w:val="00E5061F"/>
    <w:rsid w:val="00E51C30"/>
    <w:rsid w:val="00E64180"/>
    <w:rsid w:val="00E676D7"/>
    <w:rsid w:val="00E74AEE"/>
    <w:rsid w:val="00E75D27"/>
    <w:rsid w:val="00E8581F"/>
    <w:rsid w:val="00E868E5"/>
    <w:rsid w:val="00E939FA"/>
    <w:rsid w:val="00EA5B36"/>
    <w:rsid w:val="00EB1157"/>
    <w:rsid w:val="00EC2532"/>
    <w:rsid w:val="00EC7DA7"/>
    <w:rsid w:val="00ED0658"/>
    <w:rsid w:val="00ED7812"/>
    <w:rsid w:val="00EF3B86"/>
    <w:rsid w:val="00EF7E9E"/>
    <w:rsid w:val="00F065A0"/>
    <w:rsid w:val="00F10D70"/>
    <w:rsid w:val="00F218FE"/>
    <w:rsid w:val="00F230D0"/>
    <w:rsid w:val="00F30FB3"/>
    <w:rsid w:val="00F34554"/>
    <w:rsid w:val="00F40F1F"/>
    <w:rsid w:val="00F458BA"/>
    <w:rsid w:val="00F45F77"/>
    <w:rsid w:val="00F5167F"/>
    <w:rsid w:val="00F51A30"/>
    <w:rsid w:val="00F52258"/>
    <w:rsid w:val="00F8570A"/>
    <w:rsid w:val="00F85BD5"/>
    <w:rsid w:val="00F878DD"/>
    <w:rsid w:val="00F9075E"/>
    <w:rsid w:val="00FA0344"/>
    <w:rsid w:val="00FB779D"/>
    <w:rsid w:val="00FC4D74"/>
    <w:rsid w:val="00FD4048"/>
    <w:rsid w:val="00FD6A70"/>
    <w:rsid w:val="00FE0E1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F0281E-CC7C-48D8-8187-C70409E1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qFormat/>
    <w:rsid w:val="005E2894"/>
    <w:pPr>
      <w:keepNext/>
      <w:outlineLvl w:val="2"/>
    </w:pPr>
    <w:rPr>
      <w:rFonts w:ascii="Arial" w:hAnsi="Arial" w:cs="Arial"/>
      <w:b/>
      <w:bCs/>
      <w:i/>
      <w:iCs/>
      <w:color w:val="FF000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customStyle="1" w:styleId="Default">
    <w:name w:val="Default"/>
    <w:uiPriority w:val="99"/>
    <w:rsid w:val="00EA5B36"/>
    <w:pPr>
      <w:widowControl w:val="0"/>
      <w:autoSpaceDE w:val="0"/>
      <w:autoSpaceDN w:val="0"/>
      <w:adjustRightInd w:val="0"/>
    </w:pPr>
    <w:rPr>
      <w:rFonts w:ascii="Arial" w:hAnsi="Arial" w:cs="Arial"/>
      <w:color w:val="000000"/>
      <w:sz w:val="24"/>
      <w:szCs w:val="24"/>
      <w:lang w:val="en-US" w:eastAsia="en-US"/>
    </w:rPr>
  </w:style>
  <w:style w:type="paragraph" w:customStyle="1" w:styleId="DefaultText">
    <w:name w:val="Default Text"/>
    <w:basedOn w:val="Normal"/>
    <w:rsid w:val="005E2894"/>
    <w:pPr>
      <w:overflowPunct w:val="0"/>
      <w:autoSpaceDE w:val="0"/>
      <w:autoSpaceDN w:val="0"/>
      <w:adjustRightInd w:val="0"/>
      <w:textAlignment w:val="baseline"/>
    </w:pPr>
    <w:rPr>
      <w:rFonts w:ascii="Arial" w:hAnsi="Arial" w:cs="Arial"/>
      <w:sz w:val="22"/>
      <w:szCs w:val="22"/>
    </w:rPr>
  </w:style>
  <w:style w:type="paragraph" w:customStyle="1" w:styleId="EMEANormal">
    <w:name w:val="EMEA Normal"/>
    <w:rsid w:val="005E2894"/>
    <w:pPr>
      <w:tabs>
        <w:tab w:val="left" w:pos="562"/>
      </w:tabs>
      <w:suppressAutoHyphens/>
    </w:pPr>
    <w:rPr>
      <w:sz w:val="22"/>
      <w:szCs w:val="22"/>
      <w:lang w:val="en-US" w:eastAsia="en-US"/>
    </w:rPr>
  </w:style>
  <w:style w:type="paragraph" w:styleId="EndnoteText">
    <w:name w:val="endnote text"/>
    <w:basedOn w:val="Normal"/>
    <w:next w:val="Normal"/>
    <w:semiHidden/>
    <w:rsid w:val="005E2894"/>
    <w:pPr>
      <w:tabs>
        <w:tab w:val="left" w:pos="562"/>
      </w:tabs>
      <w:suppressAutoHyphens/>
    </w:pPr>
    <w:rPr>
      <w:sz w:val="22"/>
      <w:szCs w:val="22"/>
    </w:rPr>
  </w:style>
  <w:style w:type="paragraph" w:styleId="BodyText3">
    <w:name w:val="Body Text 3"/>
    <w:basedOn w:val="Normal"/>
    <w:rsid w:val="005E2894"/>
    <w:pPr>
      <w:tabs>
        <w:tab w:val="left" w:pos="562"/>
      </w:tabs>
      <w:suppressAutoHyphens/>
      <w:jc w:val="both"/>
    </w:pPr>
    <w:rPr>
      <w:b/>
      <w:bCs/>
      <w:i/>
      <w:iCs/>
      <w:sz w:val="22"/>
      <w:szCs w:val="22"/>
    </w:rPr>
  </w:style>
  <w:style w:type="paragraph" w:styleId="BodyTextIndent2">
    <w:name w:val="Body Text Indent 2"/>
    <w:basedOn w:val="Normal"/>
    <w:rsid w:val="005E2894"/>
    <w:pPr>
      <w:tabs>
        <w:tab w:val="left" w:pos="567"/>
      </w:tabs>
      <w:ind w:left="567" w:hanging="567"/>
    </w:pPr>
    <w:rPr>
      <w:rFonts w:ascii="Arial" w:hAnsi="Arial" w:cs="Arial"/>
      <w:lang w:val="hr-HR"/>
    </w:rPr>
  </w:style>
  <w:style w:type="paragraph" w:styleId="BodyText">
    <w:name w:val="Body Text"/>
    <w:basedOn w:val="Normal"/>
    <w:rsid w:val="005E2894"/>
    <w:pPr>
      <w:jc w:val="both"/>
    </w:pPr>
    <w:rPr>
      <w:rFonts w:ascii="Arial" w:hAnsi="Arial" w:cs="Arial"/>
    </w:rPr>
  </w:style>
  <w:style w:type="paragraph" w:customStyle="1" w:styleId="Tekstbalonia1">
    <w:name w:val="Tekst balončića1"/>
    <w:basedOn w:val="Normal"/>
    <w:semiHidden/>
    <w:rsid w:val="005E2894"/>
    <w:rPr>
      <w:rFonts w:ascii="Tahoma" w:hAnsi="Tahoma" w:cs="Tahoma"/>
      <w:sz w:val="16"/>
      <w:szCs w:val="16"/>
    </w:rPr>
  </w:style>
  <w:style w:type="paragraph" w:customStyle="1" w:styleId="CharCharCharCharCharChar">
    <w:name w:val="Char Char Char Char Char Char"/>
    <w:basedOn w:val="Normal"/>
    <w:rsid w:val="005E2894"/>
    <w:pPr>
      <w:spacing w:after="160" w:line="240" w:lineRule="exact"/>
    </w:pPr>
    <w:rPr>
      <w:rFonts w:ascii="Tahoma" w:hAnsi="Tahoma"/>
      <w:sz w:val="20"/>
      <w:szCs w:val="20"/>
    </w:rPr>
  </w:style>
  <w:style w:type="character" w:customStyle="1" w:styleId="FooterChar">
    <w:name w:val="Footer Char"/>
    <w:link w:val="Footer"/>
    <w:uiPriority w:val="99"/>
    <w:rsid w:val="005E2894"/>
    <w:rPr>
      <w:sz w:val="24"/>
      <w:szCs w:val="24"/>
      <w:lang w:val="en-US" w:eastAsia="en-US" w:bidi="ar-SA"/>
    </w:rPr>
  </w:style>
  <w:style w:type="table" w:styleId="TableGrid">
    <w:name w:val="Table Grid"/>
    <w:basedOn w:val="TableNormal"/>
    <w:rsid w:val="005E2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Header Char1 Char,Header Char Char Char,Header Char1 Char Char Char,Header Char Char Char Char Char,Char Char Char Char Char Char1,Char Char1 Char Char Char,Char Char Char Char,Char Char1 Char,Header Char1 Char Char Char Char Char,Char Char"/>
    <w:link w:val="Header"/>
    <w:locked/>
    <w:rsid w:val="002814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11958</Words>
  <Characters>68161</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79960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Miloš Krivokapić</cp:lastModifiedBy>
  <cp:revision>2</cp:revision>
  <cp:lastPrinted>2014-07-24T08:11:00Z</cp:lastPrinted>
  <dcterms:created xsi:type="dcterms:W3CDTF">2017-05-04T06:41:00Z</dcterms:created>
  <dcterms:modified xsi:type="dcterms:W3CDTF">2017-05-04T06:41:00Z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