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79D" w:rsidRPr="00B02AD6" w:rsidRDefault="0063379D" w:rsidP="00B12F97">
      <w:pPr>
        <w:pStyle w:val="Header"/>
        <w:rPr>
          <w:sz w:val="16"/>
          <w:szCs w:val="16"/>
        </w:rPr>
      </w:pPr>
    </w:p>
    <w:p w:rsidR="0063379D" w:rsidRPr="00B02AD6" w:rsidRDefault="0063379D" w:rsidP="00B12F97">
      <w:pPr>
        <w:pStyle w:val="Header"/>
        <w:rPr>
          <w:sz w:val="16"/>
          <w:szCs w:val="16"/>
        </w:rPr>
      </w:pPr>
    </w:p>
    <w:p w:rsidR="0063379D" w:rsidRPr="00B02AD6" w:rsidRDefault="0063379D" w:rsidP="00B12F97">
      <w:pPr>
        <w:pStyle w:val="Header"/>
        <w:rPr>
          <w:sz w:val="16"/>
          <w:szCs w:val="16"/>
          <w:lang w:eastAsia="en-US"/>
        </w:rPr>
      </w:pPr>
    </w:p>
    <w:p w:rsidR="0051655A" w:rsidRPr="00B02AD6" w:rsidRDefault="0051655A" w:rsidP="00206C34">
      <w:pPr>
        <w:pStyle w:val="Header"/>
      </w:pPr>
    </w:p>
    <w:tbl>
      <w:tblPr>
        <w:tblW w:w="9360" w:type="dxa"/>
        <w:jc w:val="center"/>
        <w:tblLayout w:type="fixed"/>
        <w:tblLook w:val="0000" w:firstRow="0" w:lastRow="0" w:firstColumn="0" w:lastColumn="0" w:noHBand="0" w:noVBand="0"/>
      </w:tblPr>
      <w:tblGrid>
        <w:gridCol w:w="9360"/>
      </w:tblGrid>
      <w:tr w:rsidR="0051655A" w:rsidRPr="00B02AD6" w:rsidTr="00A03C69">
        <w:trPr>
          <w:trHeight w:val="530"/>
          <w:jc w:val="center"/>
        </w:trPr>
        <w:tc>
          <w:tcPr>
            <w:tcW w:w="9360" w:type="dxa"/>
            <w:vAlign w:val="center"/>
          </w:tcPr>
          <w:p w:rsidR="0051655A" w:rsidRPr="00B02AD6" w:rsidRDefault="0051655A" w:rsidP="00A03C69">
            <w:pPr>
              <w:jc w:val="center"/>
              <w:rPr>
                <w:b/>
                <w:bCs/>
                <w:iCs/>
                <w:sz w:val="22"/>
                <w:szCs w:val="22"/>
              </w:rPr>
            </w:pPr>
            <w:r w:rsidRPr="00B02AD6">
              <w:rPr>
                <w:b/>
                <w:bCs/>
                <w:iCs/>
                <w:sz w:val="22"/>
                <w:szCs w:val="22"/>
              </w:rPr>
              <w:t>SAŽETAK KARAKTERISTIKA LIJEKA</w:t>
            </w:r>
          </w:p>
        </w:tc>
      </w:tr>
    </w:tbl>
    <w:p w:rsidR="0051655A" w:rsidRPr="00B02AD6" w:rsidRDefault="0051655A" w:rsidP="0051655A">
      <w:pPr>
        <w:pStyle w:val="Header"/>
        <w:tabs>
          <w:tab w:val="left" w:pos="284"/>
        </w:tabs>
        <w:spacing w:before="400"/>
        <w:rPr>
          <w:b/>
          <w:bCs/>
          <w:color w:val="FF0000"/>
          <w:sz w:val="22"/>
          <w:szCs w:val="22"/>
        </w:rPr>
      </w:pPr>
    </w:p>
    <w:p w:rsidR="0051655A" w:rsidRPr="00B02AD6" w:rsidRDefault="0051655A" w:rsidP="0051655A">
      <w:pPr>
        <w:pStyle w:val="Header"/>
        <w:tabs>
          <w:tab w:val="left" w:pos="284"/>
        </w:tabs>
        <w:spacing w:before="400"/>
        <w:rPr>
          <w:b/>
          <w:bCs/>
          <w:color w:val="FF0000"/>
          <w:sz w:val="22"/>
          <w:szCs w:val="22"/>
        </w:rPr>
      </w:pPr>
    </w:p>
    <w:p w:rsidR="0051655A" w:rsidRPr="00B02AD6" w:rsidRDefault="0051655A" w:rsidP="0051655A">
      <w:pPr>
        <w:jc w:val="center"/>
        <w:rPr>
          <w:sz w:val="22"/>
          <w:szCs w:val="22"/>
        </w:rPr>
      </w:pPr>
    </w:p>
    <w:p w:rsidR="0051655A" w:rsidRPr="00B02AD6" w:rsidRDefault="0051655A" w:rsidP="0063379D">
      <w:pPr>
        <w:jc w:val="center"/>
        <w:rPr>
          <w:b/>
          <w:sz w:val="22"/>
          <w:szCs w:val="22"/>
        </w:rPr>
      </w:pPr>
      <w:r w:rsidRPr="00B02AD6">
        <w:rPr>
          <w:sz w:val="22"/>
          <w:szCs w:val="22"/>
        </w:rPr>
        <w:t>Δ</w:t>
      </w:r>
      <w:r w:rsidRPr="00B02AD6">
        <w:rPr>
          <w:b/>
          <w:sz w:val="22"/>
          <w:szCs w:val="22"/>
        </w:rPr>
        <w:t xml:space="preserve"> Ecansya</w:t>
      </w:r>
      <w:r w:rsidRPr="00B02AD6">
        <w:rPr>
          <w:b/>
          <w:sz w:val="22"/>
          <w:szCs w:val="22"/>
          <w:vertAlign w:val="superscript"/>
        </w:rPr>
        <w:t>®</w:t>
      </w:r>
      <w:r w:rsidRPr="00B02AD6">
        <w:rPr>
          <w:b/>
          <w:sz w:val="22"/>
          <w:szCs w:val="22"/>
        </w:rPr>
        <w:t xml:space="preserve">, </w:t>
      </w:r>
      <w:r w:rsidRPr="00B02AD6">
        <w:rPr>
          <w:sz w:val="22"/>
          <w:szCs w:val="22"/>
        </w:rPr>
        <w:t>film tableta, 150 mg, blister, 60 film tableta</w:t>
      </w:r>
    </w:p>
    <w:p w:rsidR="0051655A" w:rsidRPr="00B02AD6" w:rsidRDefault="00206C34" w:rsidP="00E23FC9">
      <w:pPr>
        <w:jc w:val="center"/>
        <w:rPr>
          <w:sz w:val="22"/>
          <w:szCs w:val="22"/>
        </w:rPr>
      </w:pPr>
      <w:r w:rsidRPr="00B02AD6">
        <w:rPr>
          <w:sz w:val="22"/>
          <w:szCs w:val="22"/>
        </w:rPr>
        <w:t xml:space="preserve"> </w:t>
      </w:r>
      <w:r w:rsidR="0051655A" w:rsidRPr="00B02AD6">
        <w:rPr>
          <w:sz w:val="22"/>
          <w:szCs w:val="22"/>
        </w:rPr>
        <w:t>Δ</w:t>
      </w:r>
      <w:r w:rsidR="0051655A" w:rsidRPr="00B02AD6">
        <w:rPr>
          <w:b/>
          <w:sz w:val="22"/>
          <w:szCs w:val="22"/>
        </w:rPr>
        <w:t xml:space="preserve"> Ecansya</w:t>
      </w:r>
      <w:r w:rsidR="0051655A" w:rsidRPr="00B02AD6">
        <w:rPr>
          <w:b/>
          <w:sz w:val="22"/>
          <w:szCs w:val="22"/>
          <w:vertAlign w:val="superscript"/>
        </w:rPr>
        <w:t>®</w:t>
      </w:r>
      <w:r w:rsidR="0051655A" w:rsidRPr="00B02AD6">
        <w:rPr>
          <w:b/>
          <w:sz w:val="22"/>
          <w:szCs w:val="22"/>
        </w:rPr>
        <w:t xml:space="preserve">, </w:t>
      </w:r>
      <w:r w:rsidR="0051655A" w:rsidRPr="00B02AD6">
        <w:rPr>
          <w:sz w:val="22"/>
          <w:szCs w:val="22"/>
        </w:rPr>
        <w:t>film tableta, 150 mg, blister, 120 film tableta</w:t>
      </w:r>
    </w:p>
    <w:p w:rsidR="0063379D" w:rsidRPr="00B02AD6" w:rsidRDefault="0063379D" w:rsidP="00E23FC9">
      <w:pPr>
        <w:jc w:val="center"/>
        <w:rPr>
          <w:b/>
          <w:sz w:val="22"/>
          <w:szCs w:val="22"/>
        </w:rPr>
      </w:pPr>
    </w:p>
    <w:p w:rsidR="0051655A" w:rsidRPr="00B02AD6" w:rsidRDefault="00206C34" w:rsidP="00206C34">
      <w:pPr>
        <w:rPr>
          <w:b/>
          <w:sz w:val="22"/>
          <w:szCs w:val="22"/>
        </w:rPr>
      </w:pPr>
      <w:r w:rsidRPr="00B02AD6">
        <w:rPr>
          <w:sz w:val="22"/>
          <w:szCs w:val="22"/>
        </w:rPr>
        <w:t xml:space="preserve">                                    </w:t>
      </w:r>
      <w:r w:rsidR="0051655A" w:rsidRPr="00B02AD6">
        <w:rPr>
          <w:sz w:val="22"/>
          <w:szCs w:val="22"/>
        </w:rPr>
        <w:t>Δ</w:t>
      </w:r>
      <w:r w:rsidR="0051655A" w:rsidRPr="00B02AD6">
        <w:rPr>
          <w:b/>
          <w:sz w:val="22"/>
          <w:szCs w:val="22"/>
        </w:rPr>
        <w:t xml:space="preserve"> Ecansya</w:t>
      </w:r>
      <w:r w:rsidR="0051655A" w:rsidRPr="00B02AD6">
        <w:rPr>
          <w:b/>
          <w:sz w:val="22"/>
          <w:szCs w:val="22"/>
          <w:vertAlign w:val="superscript"/>
        </w:rPr>
        <w:t>®</w:t>
      </w:r>
      <w:r w:rsidR="0051655A" w:rsidRPr="00B02AD6">
        <w:rPr>
          <w:b/>
          <w:sz w:val="22"/>
          <w:szCs w:val="22"/>
        </w:rPr>
        <w:t xml:space="preserve">, </w:t>
      </w:r>
      <w:r w:rsidR="0051655A" w:rsidRPr="00B02AD6">
        <w:rPr>
          <w:sz w:val="22"/>
          <w:szCs w:val="22"/>
        </w:rPr>
        <w:t>film tableta, 300 mg, blister, 60 film tableta</w:t>
      </w:r>
    </w:p>
    <w:p w:rsidR="0051655A" w:rsidRPr="00B02AD6" w:rsidRDefault="0051655A">
      <w:pPr>
        <w:jc w:val="center"/>
        <w:rPr>
          <w:sz w:val="22"/>
          <w:szCs w:val="22"/>
        </w:rPr>
      </w:pPr>
      <w:r w:rsidRPr="00B02AD6">
        <w:rPr>
          <w:sz w:val="22"/>
          <w:szCs w:val="22"/>
        </w:rPr>
        <w:t>Δ</w:t>
      </w:r>
      <w:r w:rsidRPr="00B02AD6">
        <w:rPr>
          <w:b/>
          <w:sz w:val="22"/>
          <w:szCs w:val="22"/>
        </w:rPr>
        <w:t xml:space="preserve"> Ecansya</w:t>
      </w:r>
      <w:r w:rsidRPr="00B02AD6">
        <w:rPr>
          <w:b/>
          <w:sz w:val="22"/>
          <w:szCs w:val="22"/>
          <w:vertAlign w:val="superscript"/>
        </w:rPr>
        <w:t>®</w:t>
      </w:r>
      <w:r w:rsidRPr="00B02AD6">
        <w:rPr>
          <w:b/>
          <w:sz w:val="22"/>
          <w:szCs w:val="22"/>
        </w:rPr>
        <w:t xml:space="preserve">, </w:t>
      </w:r>
      <w:r w:rsidRPr="00B02AD6">
        <w:rPr>
          <w:sz w:val="22"/>
          <w:szCs w:val="22"/>
        </w:rPr>
        <w:t>film tableta, 300 mg, blister, 120 film tableta</w:t>
      </w:r>
    </w:p>
    <w:p w:rsidR="0063379D" w:rsidRPr="00B02AD6" w:rsidRDefault="0063379D">
      <w:pPr>
        <w:jc w:val="center"/>
        <w:rPr>
          <w:b/>
          <w:sz w:val="22"/>
          <w:szCs w:val="22"/>
        </w:rPr>
      </w:pPr>
    </w:p>
    <w:p w:rsidR="0051655A" w:rsidRPr="00B02AD6" w:rsidRDefault="00206C34" w:rsidP="00206C34">
      <w:pPr>
        <w:rPr>
          <w:b/>
          <w:sz w:val="22"/>
          <w:szCs w:val="22"/>
        </w:rPr>
      </w:pPr>
      <w:r w:rsidRPr="00B02AD6">
        <w:rPr>
          <w:sz w:val="22"/>
          <w:szCs w:val="22"/>
        </w:rPr>
        <w:t xml:space="preserve">                                    </w:t>
      </w:r>
      <w:r w:rsidR="0051655A" w:rsidRPr="00B02AD6">
        <w:rPr>
          <w:sz w:val="22"/>
          <w:szCs w:val="22"/>
        </w:rPr>
        <w:t>Δ</w:t>
      </w:r>
      <w:r w:rsidR="0051655A" w:rsidRPr="00B02AD6">
        <w:rPr>
          <w:b/>
          <w:sz w:val="22"/>
          <w:szCs w:val="22"/>
        </w:rPr>
        <w:t xml:space="preserve"> Ecansya</w:t>
      </w:r>
      <w:r w:rsidR="0051655A" w:rsidRPr="00B02AD6">
        <w:rPr>
          <w:b/>
          <w:sz w:val="22"/>
          <w:szCs w:val="22"/>
          <w:vertAlign w:val="superscript"/>
        </w:rPr>
        <w:t>®</w:t>
      </w:r>
      <w:r w:rsidR="0051655A" w:rsidRPr="00B02AD6">
        <w:rPr>
          <w:b/>
          <w:sz w:val="22"/>
          <w:szCs w:val="22"/>
        </w:rPr>
        <w:t xml:space="preserve">, </w:t>
      </w:r>
      <w:r w:rsidR="0051655A" w:rsidRPr="00B02AD6">
        <w:rPr>
          <w:sz w:val="22"/>
          <w:szCs w:val="22"/>
        </w:rPr>
        <w:t>film tableta, 500 mg, blister, 60 film tableta</w:t>
      </w:r>
    </w:p>
    <w:p w:rsidR="0051655A" w:rsidRPr="00B02AD6" w:rsidRDefault="0051655A">
      <w:pPr>
        <w:jc w:val="center"/>
        <w:rPr>
          <w:b/>
          <w:sz w:val="22"/>
          <w:szCs w:val="22"/>
        </w:rPr>
      </w:pPr>
      <w:r w:rsidRPr="00B02AD6">
        <w:rPr>
          <w:sz w:val="22"/>
          <w:szCs w:val="22"/>
        </w:rPr>
        <w:t>Δ</w:t>
      </w:r>
      <w:r w:rsidRPr="00B02AD6">
        <w:rPr>
          <w:b/>
          <w:sz w:val="22"/>
          <w:szCs w:val="22"/>
        </w:rPr>
        <w:t xml:space="preserve"> Ecansya</w:t>
      </w:r>
      <w:r w:rsidRPr="00B02AD6">
        <w:rPr>
          <w:b/>
          <w:sz w:val="22"/>
          <w:szCs w:val="22"/>
          <w:vertAlign w:val="superscript"/>
        </w:rPr>
        <w:t>®</w:t>
      </w:r>
      <w:r w:rsidRPr="00B02AD6">
        <w:rPr>
          <w:b/>
          <w:sz w:val="22"/>
          <w:szCs w:val="22"/>
        </w:rPr>
        <w:t xml:space="preserve">, </w:t>
      </w:r>
      <w:r w:rsidRPr="00B02AD6">
        <w:rPr>
          <w:sz w:val="22"/>
          <w:szCs w:val="22"/>
        </w:rPr>
        <w:t>film tableta, 500 mg, blister, 120 film tableta</w:t>
      </w:r>
    </w:p>
    <w:p w:rsidR="0051655A" w:rsidRPr="00B02AD6" w:rsidRDefault="0051655A" w:rsidP="0051655A">
      <w:pPr>
        <w:pStyle w:val="Header"/>
        <w:tabs>
          <w:tab w:val="left" w:pos="284"/>
        </w:tabs>
        <w:spacing w:before="400"/>
        <w:rPr>
          <w:b/>
          <w:bCs/>
          <w:color w:val="FF0000"/>
          <w:sz w:val="22"/>
          <w:szCs w:val="22"/>
        </w:rPr>
      </w:pPr>
    </w:p>
    <w:p w:rsidR="0051655A" w:rsidRPr="00B02AD6" w:rsidRDefault="0051655A" w:rsidP="0051655A">
      <w:pPr>
        <w:pStyle w:val="Header"/>
        <w:tabs>
          <w:tab w:val="left" w:pos="284"/>
        </w:tabs>
        <w:spacing w:before="400"/>
        <w:rPr>
          <w:b/>
          <w:bCs/>
          <w:color w:val="FF0000"/>
          <w:sz w:val="22"/>
          <w:szCs w:val="22"/>
        </w:rPr>
      </w:pPr>
    </w:p>
    <w:tbl>
      <w:tblPr>
        <w:tblW w:w="8519" w:type="dxa"/>
        <w:tblInd w:w="945" w:type="dxa"/>
        <w:tblLook w:val="04A0" w:firstRow="1" w:lastRow="0" w:firstColumn="1" w:lastColumn="0" w:noHBand="0" w:noVBand="1"/>
      </w:tblPr>
      <w:tblGrid>
        <w:gridCol w:w="2154"/>
        <w:gridCol w:w="6365"/>
      </w:tblGrid>
      <w:tr w:rsidR="0051655A" w:rsidRPr="00B02AD6" w:rsidTr="00206C34">
        <w:trPr>
          <w:trHeight w:val="992"/>
        </w:trPr>
        <w:tc>
          <w:tcPr>
            <w:tcW w:w="2154" w:type="dxa"/>
            <w:shd w:val="clear" w:color="auto" w:fill="auto"/>
            <w:vAlign w:val="center"/>
          </w:tcPr>
          <w:p w:rsidR="0051655A" w:rsidRPr="00B02AD6" w:rsidRDefault="0051655A" w:rsidP="0063379D">
            <w:pPr>
              <w:pStyle w:val="Header"/>
              <w:tabs>
                <w:tab w:val="left" w:pos="284"/>
              </w:tabs>
              <w:jc w:val="right"/>
              <w:rPr>
                <w:b/>
                <w:bCs/>
                <w:sz w:val="22"/>
                <w:szCs w:val="22"/>
              </w:rPr>
            </w:pPr>
            <w:r w:rsidRPr="00B02AD6">
              <w:rPr>
                <w:b/>
                <w:bCs/>
                <w:sz w:val="22"/>
                <w:szCs w:val="22"/>
              </w:rPr>
              <w:t>Proizvođač:</w:t>
            </w:r>
          </w:p>
        </w:tc>
        <w:tc>
          <w:tcPr>
            <w:tcW w:w="6365" w:type="dxa"/>
            <w:shd w:val="clear" w:color="auto" w:fill="auto"/>
            <w:vAlign w:val="center"/>
          </w:tcPr>
          <w:p w:rsidR="0063379D" w:rsidRPr="00B02AD6" w:rsidRDefault="0051655A" w:rsidP="00206C34">
            <w:pPr>
              <w:numPr>
                <w:ilvl w:val="0"/>
                <w:numId w:val="20"/>
              </w:numPr>
              <w:rPr>
                <w:sz w:val="22"/>
                <w:szCs w:val="22"/>
              </w:rPr>
            </w:pPr>
            <w:r w:rsidRPr="00B02AD6">
              <w:rPr>
                <w:sz w:val="22"/>
                <w:szCs w:val="22"/>
              </w:rPr>
              <w:t>Krka d.d., Novo mesto</w:t>
            </w:r>
          </w:p>
          <w:p w:rsidR="00C70E41" w:rsidRDefault="00C70E41" w:rsidP="00206C34">
            <w:pPr>
              <w:numPr>
                <w:ilvl w:val="0"/>
                <w:numId w:val="20"/>
              </w:numPr>
              <w:rPr>
                <w:sz w:val="22"/>
                <w:szCs w:val="22"/>
              </w:rPr>
            </w:pPr>
            <w:r w:rsidRPr="00B02AD6">
              <w:rPr>
                <w:sz w:val="22"/>
                <w:szCs w:val="22"/>
              </w:rPr>
              <w:t xml:space="preserve">Accord Healthcare Limited </w:t>
            </w:r>
          </w:p>
          <w:p w:rsidR="0051655A" w:rsidRPr="00B02AD6" w:rsidRDefault="0051655A" w:rsidP="00C70E41">
            <w:pPr>
              <w:numPr>
                <w:ilvl w:val="0"/>
                <w:numId w:val="20"/>
              </w:numPr>
              <w:rPr>
                <w:sz w:val="22"/>
                <w:szCs w:val="22"/>
              </w:rPr>
            </w:pPr>
            <w:r w:rsidRPr="00B02AD6">
              <w:rPr>
                <w:sz w:val="22"/>
                <w:szCs w:val="22"/>
              </w:rPr>
              <w:t>Pharmacare Premium Ltd</w:t>
            </w:r>
            <w:r w:rsidR="00BE5C2D">
              <w:rPr>
                <w:sz w:val="22"/>
                <w:szCs w:val="22"/>
              </w:rPr>
              <w:t>.</w:t>
            </w:r>
          </w:p>
        </w:tc>
      </w:tr>
      <w:tr w:rsidR="0051655A" w:rsidRPr="00B02AD6" w:rsidTr="00206C34">
        <w:trPr>
          <w:trHeight w:val="906"/>
        </w:trPr>
        <w:tc>
          <w:tcPr>
            <w:tcW w:w="2154" w:type="dxa"/>
            <w:shd w:val="clear" w:color="auto" w:fill="auto"/>
            <w:vAlign w:val="center"/>
          </w:tcPr>
          <w:p w:rsidR="0051655A" w:rsidRPr="00B02AD6" w:rsidRDefault="0051655A" w:rsidP="0063379D">
            <w:pPr>
              <w:pStyle w:val="Header"/>
              <w:tabs>
                <w:tab w:val="left" w:pos="284"/>
              </w:tabs>
              <w:jc w:val="right"/>
              <w:rPr>
                <w:b/>
                <w:bCs/>
                <w:sz w:val="22"/>
                <w:szCs w:val="22"/>
              </w:rPr>
            </w:pPr>
            <w:r w:rsidRPr="00B02AD6">
              <w:rPr>
                <w:b/>
                <w:bCs/>
                <w:sz w:val="22"/>
                <w:szCs w:val="22"/>
              </w:rPr>
              <w:t>Adresa:</w:t>
            </w:r>
          </w:p>
        </w:tc>
        <w:tc>
          <w:tcPr>
            <w:tcW w:w="6365" w:type="dxa"/>
            <w:shd w:val="clear" w:color="auto" w:fill="auto"/>
            <w:vAlign w:val="center"/>
          </w:tcPr>
          <w:p w:rsidR="0063379D" w:rsidRPr="00B02AD6" w:rsidRDefault="0051655A" w:rsidP="00206C34">
            <w:pPr>
              <w:numPr>
                <w:ilvl w:val="0"/>
                <w:numId w:val="23"/>
              </w:numPr>
              <w:rPr>
                <w:sz w:val="22"/>
                <w:szCs w:val="22"/>
              </w:rPr>
            </w:pPr>
            <w:r w:rsidRPr="00B02AD6">
              <w:rPr>
                <w:sz w:val="22"/>
                <w:szCs w:val="22"/>
              </w:rPr>
              <w:t>Šmarješka cesta 6, 8501 Novo mesto, Slovenija</w:t>
            </w:r>
          </w:p>
          <w:p w:rsidR="00C70E41" w:rsidRDefault="00C70E41" w:rsidP="00206C34">
            <w:pPr>
              <w:numPr>
                <w:ilvl w:val="0"/>
                <w:numId w:val="23"/>
              </w:numPr>
              <w:rPr>
                <w:sz w:val="22"/>
                <w:szCs w:val="22"/>
              </w:rPr>
            </w:pPr>
            <w:r>
              <w:rPr>
                <w:rFonts w:eastAsia="MS Mincho"/>
                <w:sz w:val="22"/>
                <w:szCs w:val="22"/>
              </w:rPr>
              <w:t>Ground Floor, Sage House</w:t>
            </w:r>
            <w:r w:rsidRPr="00B02AD6">
              <w:rPr>
                <w:rFonts w:eastAsia="MS Mincho"/>
                <w:sz w:val="22"/>
                <w:szCs w:val="22"/>
              </w:rPr>
              <w:t>, 319 Pinner Road, Harrow, Middlesex, HA1 4HF,</w:t>
            </w:r>
            <w:r>
              <w:rPr>
                <w:rFonts w:eastAsia="MS Mincho"/>
                <w:sz w:val="22"/>
                <w:szCs w:val="22"/>
              </w:rPr>
              <w:t xml:space="preserve"> </w:t>
            </w:r>
            <w:r w:rsidRPr="00B02AD6">
              <w:rPr>
                <w:rFonts w:eastAsia="MS Mincho"/>
                <w:sz w:val="22"/>
                <w:szCs w:val="22"/>
              </w:rPr>
              <w:t>Velika Britanija</w:t>
            </w:r>
            <w:r>
              <w:rPr>
                <w:sz w:val="22"/>
                <w:szCs w:val="22"/>
              </w:rPr>
              <w:t xml:space="preserve"> </w:t>
            </w:r>
          </w:p>
          <w:p w:rsidR="00BE5C2D" w:rsidRDefault="00BE5C2D" w:rsidP="00206C34">
            <w:pPr>
              <w:numPr>
                <w:ilvl w:val="0"/>
                <w:numId w:val="23"/>
              </w:numPr>
              <w:rPr>
                <w:sz w:val="22"/>
                <w:szCs w:val="22"/>
              </w:rPr>
            </w:pPr>
            <w:r>
              <w:rPr>
                <w:sz w:val="22"/>
                <w:szCs w:val="22"/>
              </w:rPr>
              <w:t>HHF</w:t>
            </w:r>
            <w:r w:rsidR="0051655A" w:rsidRPr="00B02AD6">
              <w:rPr>
                <w:sz w:val="22"/>
                <w:szCs w:val="22"/>
              </w:rPr>
              <w:t>003, Hal Far Industrial Estate, Hal Far</w:t>
            </w:r>
            <w:r w:rsidR="0063379D" w:rsidRPr="00B02AD6">
              <w:rPr>
                <w:sz w:val="22"/>
                <w:szCs w:val="22"/>
              </w:rPr>
              <w:t>,</w:t>
            </w:r>
            <w:r>
              <w:rPr>
                <w:sz w:val="22"/>
                <w:szCs w:val="22"/>
              </w:rPr>
              <w:t xml:space="preserve"> </w:t>
            </w:r>
            <w:r w:rsidR="0051655A" w:rsidRPr="00B02AD6">
              <w:rPr>
                <w:sz w:val="22"/>
                <w:szCs w:val="22"/>
              </w:rPr>
              <w:t xml:space="preserve">Birzebbugia, </w:t>
            </w:r>
          </w:p>
          <w:p w:rsidR="0051655A" w:rsidRPr="00B02AD6" w:rsidRDefault="0051655A" w:rsidP="00C70E41">
            <w:pPr>
              <w:ind w:left="360"/>
              <w:rPr>
                <w:rFonts w:eastAsia="MS Mincho"/>
                <w:sz w:val="22"/>
                <w:szCs w:val="22"/>
                <w:lang w:eastAsia="ja-JP"/>
              </w:rPr>
            </w:pPr>
            <w:r w:rsidRPr="00B02AD6">
              <w:rPr>
                <w:sz w:val="22"/>
                <w:szCs w:val="22"/>
              </w:rPr>
              <w:t xml:space="preserve">BBG 3000, Malta </w:t>
            </w:r>
          </w:p>
        </w:tc>
      </w:tr>
      <w:tr w:rsidR="0010432E" w:rsidRPr="00B02AD6" w:rsidTr="00D55636">
        <w:trPr>
          <w:trHeight w:val="539"/>
        </w:trPr>
        <w:tc>
          <w:tcPr>
            <w:tcW w:w="2154" w:type="dxa"/>
            <w:shd w:val="clear" w:color="auto" w:fill="auto"/>
            <w:vAlign w:val="center"/>
          </w:tcPr>
          <w:p w:rsidR="0010432E" w:rsidRPr="00B02AD6" w:rsidRDefault="0010432E" w:rsidP="0010432E">
            <w:pPr>
              <w:pStyle w:val="Header"/>
              <w:tabs>
                <w:tab w:val="left" w:pos="284"/>
              </w:tabs>
              <w:jc w:val="right"/>
              <w:rPr>
                <w:b/>
                <w:bCs/>
                <w:sz w:val="22"/>
                <w:szCs w:val="22"/>
              </w:rPr>
            </w:pPr>
            <w:r w:rsidRPr="00B02AD6">
              <w:rPr>
                <w:b/>
                <w:bCs/>
                <w:sz w:val="22"/>
                <w:szCs w:val="22"/>
              </w:rPr>
              <w:t>Podnosilac zahtjeva:</w:t>
            </w:r>
          </w:p>
        </w:tc>
        <w:tc>
          <w:tcPr>
            <w:tcW w:w="6365" w:type="dxa"/>
            <w:shd w:val="clear" w:color="auto" w:fill="auto"/>
          </w:tcPr>
          <w:p w:rsidR="0010432E" w:rsidRPr="0010432E" w:rsidRDefault="0010432E" w:rsidP="0010432E">
            <w:pPr>
              <w:ind w:left="72" w:hanging="72"/>
              <w:rPr>
                <w:bCs/>
                <w:sz w:val="22"/>
                <w:szCs w:val="22"/>
                <w:lang w:eastAsia="en-US"/>
              </w:rPr>
            </w:pPr>
          </w:p>
          <w:p w:rsidR="0010432E" w:rsidRPr="0010432E" w:rsidRDefault="0010432E" w:rsidP="0010432E">
            <w:pPr>
              <w:ind w:left="72" w:hanging="72"/>
              <w:rPr>
                <w:bCs/>
                <w:sz w:val="22"/>
                <w:szCs w:val="22"/>
              </w:rPr>
            </w:pPr>
            <w:r w:rsidRPr="0010432E">
              <w:rPr>
                <w:bCs/>
                <w:sz w:val="22"/>
                <w:szCs w:val="22"/>
                <w:lang w:val="hr-HR"/>
              </w:rPr>
              <w:t>DSD „KRKA, d.d., Novo mesto“ - predstavništvo Podgorica</w:t>
            </w:r>
          </w:p>
        </w:tc>
      </w:tr>
      <w:tr w:rsidR="0010432E" w:rsidRPr="00B02AD6" w:rsidTr="00D55636">
        <w:trPr>
          <w:trHeight w:val="405"/>
        </w:trPr>
        <w:tc>
          <w:tcPr>
            <w:tcW w:w="2154" w:type="dxa"/>
            <w:shd w:val="clear" w:color="auto" w:fill="auto"/>
            <w:vAlign w:val="center"/>
          </w:tcPr>
          <w:p w:rsidR="0010432E" w:rsidRPr="00B02AD6" w:rsidRDefault="0010432E" w:rsidP="0010432E">
            <w:pPr>
              <w:pStyle w:val="Header"/>
              <w:tabs>
                <w:tab w:val="left" w:pos="284"/>
              </w:tabs>
              <w:jc w:val="right"/>
              <w:rPr>
                <w:b/>
                <w:bCs/>
                <w:sz w:val="22"/>
                <w:szCs w:val="22"/>
              </w:rPr>
            </w:pPr>
            <w:r w:rsidRPr="00B02AD6">
              <w:rPr>
                <w:b/>
                <w:bCs/>
                <w:sz w:val="22"/>
                <w:szCs w:val="22"/>
              </w:rPr>
              <w:t>Adresa:</w:t>
            </w:r>
          </w:p>
        </w:tc>
        <w:tc>
          <w:tcPr>
            <w:tcW w:w="6365" w:type="dxa"/>
            <w:shd w:val="clear" w:color="auto" w:fill="auto"/>
          </w:tcPr>
          <w:p w:rsidR="0010432E" w:rsidRPr="0010432E" w:rsidRDefault="0010432E" w:rsidP="0010432E">
            <w:pPr>
              <w:ind w:left="72" w:hanging="72"/>
              <w:rPr>
                <w:bCs/>
                <w:sz w:val="22"/>
                <w:szCs w:val="22"/>
              </w:rPr>
            </w:pPr>
          </w:p>
          <w:p w:rsidR="0010432E" w:rsidRPr="0010432E" w:rsidRDefault="0010432E" w:rsidP="0010432E">
            <w:pPr>
              <w:ind w:left="72" w:hanging="72"/>
              <w:rPr>
                <w:bCs/>
                <w:sz w:val="22"/>
                <w:szCs w:val="22"/>
              </w:rPr>
            </w:pPr>
            <w:r w:rsidRPr="0010432E">
              <w:rPr>
                <w:bCs/>
                <w:sz w:val="22"/>
                <w:szCs w:val="22"/>
                <w:lang w:val="sl-SI"/>
              </w:rPr>
              <w:t>Svetlane Kane Radević br. 3, 81000 Podgorica, Crna Gora</w:t>
            </w:r>
          </w:p>
        </w:tc>
      </w:tr>
    </w:tbl>
    <w:p w:rsidR="0051655A" w:rsidRPr="00B02AD6" w:rsidRDefault="0051655A" w:rsidP="0051655A">
      <w:pPr>
        <w:pStyle w:val="Header"/>
        <w:tabs>
          <w:tab w:val="left" w:pos="284"/>
        </w:tabs>
        <w:spacing w:before="400"/>
        <w:rPr>
          <w:b/>
          <w:bCs/>
          <w:color w:val="FF0000"/>
          <w:sz w:val="22"/>
          <w:szCs w:val="22"/>
        </w:rPr>
      </w:pPr>
    </w:p>
    <w:p w:rsidR="0051655A" w:rsidRPr="00B02AD6" w:rsidRDefault="0051655A" w:rsidP="0051655A">
      <w:pPr>
        <w:pStyle w:val="Header"/>
        <w:tabs>
          <w:tab w:val="left" w:pos="284"/>
        </w:tabs>
        <w:spacing w:before="400"/>
        <w:rPr>
          <w:b/>
          <w:bCs/>
          <w:color w:val="FF0000"/>
          <w:sz w:val="22"/>
          <w:szCs w:val="22"/>
        </w:rPr>
      </w:pPr>
    </w:p>
    <w:p w:rsidR="0051655A" w:rsidRPr="00B02AD6" w:rsidRDefault="0051655A" w:rsidP="0051655A">
      <w:pPr>
        <w:pStyle w:val="Header"/>
        <w:tabs>
          <w:tab w:val="left" w:pos="284"/>
        </w:tabs>
        <w:spacing w:before="400"/>
        <w:rPr>
          <w:b/>
          <w:bCs/>
          <w:color w:val="FF0000"/>
          <w:sz w:val="22"/>
          <w:szCs w:val="22"/>
        </w:rPr>
      </w:pPr>
    </w:p>
    <w:p w:rsidR="0051655A" w:rsidRPr="00B02AD6" w:rsidRDefault="0051655A" w:rsidP="0051655A">
      <w:pPr>
        <w:pStyle w:val="Header"/>
        <w:tabs>
          <w:tab w:val="left" w:pos="284"/>
        </w:tabs>
        <w:spacing w:before="400"/>
        <w:rPr>
          <w:b/>
          <w:bCs/>
          <w:color w:val="FF0000"/>
          <w:sz w:val="22"/>
          <w:szCs w:val="22"/>
        </w:rPr>
      </w:pPr>
    </w:p>
    <w:p w:rsidR="0051655A" w:rsidRPr="00B02AD6" w:rsidRDefault="0051655A" w:rsidP="0051655A">
      <w:pPr>
        <w:pStyle w:val="Header"/>
        <w:tabs>
          <w:tab w:val="left" w:pos="284"/>
        </w:tabs>
        <w:spacing w:before="400"/>
        <w:rPr>
          <w:b/>
          <w:bCs/>
          <w:color w:val="FF0000"/>
          <w:sz w:val="22"/>
          <w:szCs w:val="22"/>
        </w:rPr>
      </w:pPr>
    </w:p>
    <w:tbl>
      <w:tblPr>
        <w:tblW w:w="5000" w:type="pct"/>
        <w:tblLook w:val="0000" w:firstRow="0" w:lastRow="0" w:firstColumn="0" w:lastColumn="0" w:noHBand="0" w:noVBand="0"/>
      </w:tblPr>
      <w:tblGrid>
        <w:gridCol w:w="994"/>
        <w:gridCol w:w="343"/>
        <w:gridCol w:w="1414"/>
        <w:gridCol w:w="6320"/>
      </w:tblGrid>
      <w:tr w:rsidR="0051655A" w:rsidRPr="00B02AD6" w:rsidTr="00985E90">
        <w:trPr>
          <w:trHeight w:val="284"/>
        </w:trPr>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1. NAZIV LIJEKA</w:t>
            </w:r>
          </w:p>
        </w:tc>
      </w:tr>
      <w:tr w:rsidR="0051655A" w:rsidRPr="00B02AD6" w:rsidTr="00985E90">
        <w:trPr>
          <w:trHeight w:val="525"/>
        </w:trPr>
        <w:tc>
          <w:tcPr>
            <w:tcW w:w="5000" w:type="pct"/>
            <w:gridSpan w:val="4"/>
            <w:vAlign w:val="center"/>
          </w:tcPr>
          <w:p w:rsidR="0051655A" w:rsidRPr="00B02AD6" w:rsidRDefault="0051655A"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Ecansya</w:t>
            </w:r>
            <w:r w:rsidRPr="00B02AD6">
              <w:rPr>
                <w:rFonts w:ascii="Garamond" w:hAnsi="Garamond"/>
                <w:sz w:val="22"/>
                <w:szCs w:val="22"/>
                <w:vertAlign w:val="superscript"/>
              </w:rPr>
              <w:t>®</w:t>
            </w:r>
            <w:r w:rsidRPr="00B02AD6">
              <w:rPr>
                <w:sz w:val="22"/>
                <w:szCs w:val="22"/>
              </w:rPr>
              <w:t xml:space="preserve"> 150 mg film tablete </w:t>
            </w:r>
          </w:p>
          <w:p w:rsidR="0051655A" w:rsidRPr="00B02AD6" w:rsidRDefault="0051655A" w:rsidP="00A03C69">
            <w:pPr>
              <w:pStyle w:val="Header"/>
              <w:tabs>
                <w:tab w:val="left" w:pos="284"/>
              </w:tabs>
              <w:rPr>
                <w:sz w:val="22"/>
                <w:szCs w:val="22"/>
              </w:rPr>
            </w:pPr>
            <w:r w:rsidRPr="00B02AD6">
              <w:rPr>
                <w:sz w:val="22"/>
                <w:szCs w:val="22"/>
              </w:rPr>
              <w:t>Ecansya</w:t>
            </w:r>
            <w:r w:rsidRPr="00B02AD6">
              <w:rPr>
                <w:rFonts w:ascii="Garamond" w:hAnsi="Garamond"/>
                <w:sz w:val="22"/>
                <w:szCs w:val="22"/>
                <w:vertAlign w:val="superscript"/>
              </w:rPr>
              <w:t>®</w:t>
            </w:r>
            <w:r w:rsidRPr="00B02AD6">
              <w:rPr>
                <w:sz w:val="22"/>
                <w:szCs w:val="22"/>
              </w:rPr>
              <w:t xml:space="preserve"> 300 mg film tablete </w:t>
            </w:r>
          </w:p>
          <w:p w:rsidR="0051655A" w:rsidRPr="00B02AD6" w:rsidRDefault="0051655A" w:rsidP="00A03C69">
            <w:pPr>
              <w:pStyle w:val="Header"/>
              <w:tabs>
                <w:tab w:val="left" w:pos="284"/>
              </w:tabs>
              <w:rPr>
                <w:sz w:val="22"/>
                <w:szCs w:val="22"/>
              </w:rPr>
            </w:pPr>
            <w:r w:rsidRPr="00B02AD6">
              <w:rPr>
                <w:sz w:val="22"/>
                <w:szCs w:val="22"/>
              </w:rPr>
              <w:t>Ecansya</w:t>
            </w:r>
            <w:r w:rsidRPr="00B02AD6">
              <w:rPr>
                <w:rFonts w:ascii="Garamond" w:hAnsi="Garamond"/>
                <w:sz w:val="22"/>
                <w:szCs w:val="22"/>
                <w:vertAlign w:val="superscript"/>
              </w:rPr>
              <w:t>®</w:t>
            </w:r>
            <w:r w:rsidRPr="00B02AD6">
              <w:rPr>
                <w:sz w:val="22"/>
                <w:szCs w:val="22"/>
              </w:rPr>
              <w:t xml:space="preserve"> 500 mg film tablete </w:t>
            </w:r>
          </w:p>
          <w:p w:rsidR="0051655A" w:rsidRPr="00B02AD6" w:rsidRDefault="0051655A" w:rsidP="00A03C69">
            <w:pPr>
              <w:pStyle w:val="Header"/>
              <w:tabs>
                <w:tab w:val="left" w:pos="284"/>
              </w:tabs>
              <w:rPr>
                <w:color w:val="FF0000"/>
                <w:sz w:val="22"/>
                <w:szCs w:val="22"/>
              </w:rPr>
            </w:pPr>
          </w:p>
        </w:tc>
      </w:tr>
      <w:tr w:rsidR="0051655A" w:rsidRPr="00B02AD6" w:rsidTr="00985E90">
        <w:tc>
          <w:tcPr>
            <w:tcW w:w="406" w:type="pct"/>
          </w:tcPr>
          <w:p w:rsidR="0051655A" w:rsidRPr="00B02AD6" w:rsidRDefault="0051655A" w:rsidP="00A03C69">
            <w:pPr>
              <w:pStyle w:val="Header"/>
              <w:tabs>
                <w:tab w:val="left" w:pos="284"/>
              </w:tabs>
              <w:rPr>
                <w:sz w:val="22"/>
                <w:szCs w:val="22"/>
              </w:rPr>
            </w:pPr>
            <w:r w:rsidRPr="00B02AD6">
              <w:rPr>
                <w:sz w:val="22"/>
                <w:szCs w:val="22"/>
              </w:rPr>
              <w:t>INN:</w:t>
            </w:r>
          </w:p>
        </w:tc>
        <w:tc>
          <w:tcPr>
            <w:tcW w:w="4594" w:type="pct"/>
            <w:gridSpan w:val="3"/>
            <w:vAlign w:val="center"/>
          </w:tcPr>
          <w:p w:rsidR="0051655A" w:rsidRPr="00B02AD6" w:rsidRDefault="0051655A" w:rsidP="00A03C69">
            <w:pPr>
              <w:pStyle w:val="Header"/>
              <w:tabs>
                <w:tab w:val="left" w:pos="284"/>
              </w:tabs>
              <w:rPr>
                <w:sz w:val="22"/>
                <w:szCs w:val="22"/>
              </w:rPr>
            </w:pPr>
            <w:r w:rsidRPr="00B02AD6">
              <w:rPr>
                <w:sz w:val="22"/>
                <w:szCs w:val="22"/>
              </w:rPr>
              <w:t>kapecitabin</w:t>
            </w:r>
          </w:p>
        </w:tc>
      </w:tr>
      <w:tr w:rsidR="0051655A" w:rsidRPr="00B02AD6" w:rsidTr="00985E90">
        <w:tc>
          <w:tcPr>
            <w:tcW w:w="5000" w:type="pct"/>
            <w:gridSpan w:val="4"/>
          </w:tcPr>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2. KVALITATIVNI I KVANTITATIVNI SASTAV</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rPr>
                <w:sz w:val="22"/>
                <w:szCs w:val="22"/>
              </w:rPr>
            </w:pPr>
            <w:r w:rsidRPr="00B02AD6">
              <w:rPr>
                <w:sz w:val="22"/>
                <w:szCs w:val="22"/>
              </w:rPr>
              <w:t>Jedna film</w:t>
            </w:r>
            <w:r w:rsidR="00E23FC9" w:rsidRPr="00B02AD6">
              <w:rPr>
                <w:sz w:val="22"/>
                <w:szCs w:val="22"/>
              </w:rPr>
              <w:t xml:space="preserve"> </w:t>
            </w:r>
            <w:r w:rsidRPr="00B02AD6">
              <w:rPr>
                <w:sz w:val="22"/>
                <w:szCs w:val="22"/>
              </w:rPr>
              <w:t>tableta sadrži 150 mg,</w:t>
            </w:r>
            <w:r w:rsidR="00E23FC9" w:rsidRPr="00B02AD6">
              <w:rPr>
                <w:sz w:val="22"/>
                <w:szCs w:val="22"/>
              </w:rPr>
              <w:t xml:space="preserve"> </w:t>
            </w:r>
            <w:r w:rsidRPr="00B02AD6">
              <w:rPr>
                <w:sz w:val="22"/>
                <w:szCs w:val="22"/>
              </w:rPr>
              <w:t>300 mg ili 500 mg kapecitabina.</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u w:val="single"/>
              </w:rPr>
            </w:pPr>
            <w:r w:rsidRPr="00B02AD6">
              <w:rPr>
                <w:sz w:val="22"/>
                <w:szCs w:val="22"/>
                <w:u w:val="single"/>
              </w:rPr>
              <w:t xml:space="preserve">Pomoćne materije sa potvrđenim dejstvom: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rPr>
            </w:pPr>
            <w:r w:rsidRPr="00B02AD6">
              <w:rPr>
                <w:sz w:val="22"/>
                <w:szCs w:val="22"/>
              </w:rPr>
              <w:t>Ecansya® film tablete 150 mg: jedna film tableta sadrži 7 mg laktoze, bezvodne.</w:t>
            </w:r>
          </w:p>
          <w:p w:rsidR="0051655A" w:rsidRPr="00B02AD6" w:rsidRDefault="0051655A" w:rsidP="00A03C69">
            <w:pPr>
              <w:pStyle w:val="Header"/>
              <w:tabs>
                <w:tab w:val="left" w:pos="284"/>
              </w:tabs>
              <w:rPr>
                <w:sz w:val="22"/>
                <w:szCs w:val="22"/>
              </w:rPr>
            </w:pPr>
            <w:r w:rsidRPr="00B02AD6">
              <w:rPr>
                <w:sz w:val="22"/>
                <w:szCs w:val="22"/>
              </w:rPr>
              <w:t>Ecansya® film tablete 300 mg: jedna film tableta sadrži 15 mg laktoze, bezvodne.</w:t>
            </w:r>
          </w:p>
          <w:p w:rsidR="0051655A" w:rsidRPr="00B02AD6" w:rsidRDefault="0051655A" w:rsidP="00A03C69">
            <w:pPr>
              <w:pStyle w:val="Header"/>
              <w:tabs>
                <w:tab w:val="left" w:pos="284"/>
              </w:tabs>
              <w:rPr>
                <w:sz w:val="22"/>
                <w:szCs w:val="22"/>
              </w:rPr>
            </w:pPr>
            <w:r w:rsidRPr="00B02AD6">
              <w:rPr>
                <w:sz w:val="22"/>
                <w:szCs w:val="22"/>
              </w:rPr>
              <w:t>Ecansya® film tablete 500 mg: jedna film tableta sadrži 25 mg laktoze, bezvodne.</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rPr>
            </w:pPr>
            <w:r w:rsidRPr="00B02AD6">
              <w:rPr>
                <w:sz w:val="22"/>
                <w:szCs w:val="22"/>
              </w:rPr>
              <w:t>Za ukupan popis pomoćnih supstanci vidjeti dio 6.1</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rPr>
                <w:b/>
                <w:bCs/>
                <w:color w:val="FF0000"/>
                <w:sz w:val="22"/>
                <w:szCs w:val="22"/>
              </w:rPr>
            </w:pP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3. FARMACEUTSKI OBLIK</w:t>
            </w:r>
          </w:p>
        </w:tc>
      </w:tr>
      <w:tr w:rsidR="0051655A" w:rsidRPr="00B02AD6" w:rsidTr="00985E90">
        <w:trPr>
          <w:trHeight w:val="1145"/>
        </w:trPr>
        <w:tc>
          <w:tcPr>
            <w:tcW w:w="5000" w:type="pct"/>
            <w:gridSpan w:val="4"/>
            <w:vAlign w:val="center"/>
          </w:tcPr>
          <w:p w:rsidR="00985E90" w:rsidRPr="00B02AD6" w:rsidRDefault="00985E90"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Film tableta.</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rPr>
            </w:pPr>
            <w:r w:rsidRPr="00B02AD6">
              <w:rPr>
                <w:sz w:val="22"/>
                <w:szCs w:val="22"/>
              </w:rPr>
              <w:t>Ecansya</w:t>
            </w:r>
            <w:r w:rsidRPr="00B02AD6">
              <w:rPr>
                <w:rFonts w:ascii="Garamond" w:hAnsi="Garamond"/>
                <w:sz w:val="22"/>
                <w:szCs w:val="22"/>
              </w:rPr>
              <w:t>®</w:t>
            </w:r>
            <w:r w:rsidRPr="00B02AD6">
              <w:rPr>
                <w:sz w:val="22"/>
                <w:szCs w:val="22"/>
              </w:rPr>
              <w:t>150 mg film tablete su svijetle boje breskve, duguljaste, bikonveksne tablete</w:t>
            </w:r>
          </w:p>
          <w:p w:rsidR="0051655A" w:rsidRPr="00B02AD6" w:rsidRDefault="0051655A" w:rsidP="00A03C69">
            <w:pPr>
              <w:pStyle w:val="Header"/>
              <w:tabs>
                <w:tab w:val="left" w:pos="284"/>
              </w:tabs>
              <w:rPr>
                <w:sz w:val="22"/>
                <w:szCs w:val="22"/>
              </w:rPr>
            </w:pPr>
            <w:r w:rsidRPr="00B02AD6">
              <w:rPr>
                <w:sz w:val="22"/>
                <w:szCs w:val="22"/>
              </w:rPr>
              <w:t>11,4 mm dužine i 5,3 mm širine, sa oznakom „150“ na jednoj strani i obične na drugoj strani.</w:t>
            </w:r>
          </w:p>
          <w:p w:rsidR="00985E90" w:rsidRPr="00B02AD6" w:rsidRDefault="00985E90"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Ecansya</w:t>
            </w:r>
            <w:r w:rsidRPr="00B02AD6">
              <w:rPr>
                <w:rFonts w:ascii="Garamond" w:hAnsi="Garamond"/>
                <w:sz w:val="22"/>
                <w:szCs w:val="22"/>
              </w:rPr>
              <w:t>®</w:t>
            </w:r>
            <w:r w:rsidRPr="00B02AD6">
              <w:rPr>
                <w:sz w:val="22"/>
                <w:szCs w:val="22"/>
              </w:rPr>
              <w:t xml:space="preserve"> 300 mg film  tablete su bijele do gotovo bijele boje, duguljaste, bikonveksne</w:t>
            </w:r>
          </w:p>
          <w:p w:rsidR="0051655A" w:rsidRPr="00B02AD6" w:rsidRDefault="0051655A" w:rsidP="00A03C69">
            <w:pPr>
              <w:pStyle w:val="Header"/>
              <w:tabs>
                <w:tab w:val="left" w:pos="284"/>
              </w:tabs>
              <w:rPr>
                <w:sz w:val="22"/>
                <w:szCs w:val="22"/>
              </w:rPr>
            </w:pPr>
            <w:r w:rsidRPr="00B02AD6">
              <w:rPr>
                <w:sz w:val="22"/>
                <w:szCs w:val="22"/>
              </w:rPr>
              <w:t>tablete 14,6 mm dužine i 6,7 mm širine, sa oznakom „300“ na jednoj strani i obične na drugoj strani.</w:t>
            </w:r>
          </w:p>
          <w:p w:rsidR="00985E90" w:rsidRPr="00B02AD6" w:rsidRDefault="00985E90"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Ecansya</w:t>
            </w:r>
            <w:r w:rsidRPr="00B02AD6">
              <w:rPr>
                <w:rFonts w:ascii="Garamond" w:hAnsi="Garamond"/>
                <w:sz w:val="22"/>
                <w:szCs w:val="22"/>
              </w:rPr>
              <w:t>®</w:t>
            </w:r>
            <w:r w:rsidRPr="00B02AD6">
              <w:rPr>
                <w:sz w:val="22"/>
                <w:szCs w:val="22"/>
              </w:rPr>
              <w:t xml:space="preserve"> 500 mg film tablete su boje breskve, duguljaste, bikonveksne tablete 15,9 mm</w:t>
            </w:r>
          </w:p>
          <w:p w:rsidR="0051655A" w:rsidRPr="00B02AD6" w:rsidRDefault="0051655A" w:rsidP="00985E90">
            <w:pPr>
              <w:pStyle w:val="Header"/>
              <w:tabs>
                <w:tab w:val="left" w:pos="284"/>
              </w:tabs>
              <w:rPr>
                <w:sz w:val="22"/>
                <w:szCs w:val="22"/>
              </w:rPr>
            </w:pPr>
            <w:r w:rsidRPr="00B02AD6">
              <w:rPr>
                <w:sz w:val="22"/>
                <w:szCs w:val="22"/>
              </w:rPr>
              <w:t>dužine i 8,4 mm širine, sa oznakom „500“ na jednoj strani i obične na drugoj strani.</w:t>
            </w:r>
          </w:p>
        </w:tc>
      </w:tr>
      <w:tr w:rsidR="0051655A" w:rsidRPr="00B02AD6" w:rsidTr="00985E90">
        <w:tc>
          <w:tcPr>
            <w:tcW w:w="5000" w:type="pct"/>
            <w:gridSpan w:val="4"/>
            <w:vAlign w:val="center"/>
          </w:tcPr>
          <w:p w:rsidR="0051655A" w:rsidRPr="00B02AD6" w:rsidRDefault="0051655A" w:rsidP="00A03C69">
            <w:pPr>
              <w:pStyle w:val="Header"/>
              <w:tabs>
                <w:tab w:val="left" w:pos="284"/>
              </w:tabs>
              <w:rPr>
                <w:b/>
                <w:bCs/>
                <w:color w:val="FF0000"/>
                <w:sz w:val="22"/>
                <w:szCs w:val="22"/>
              </w:rPr>
            </w:pP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4. KLINIČKI PODACI</w:t>
            </w: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4.1. Terapijske indikacije</w:t>
            </w:r>
          </w:p>
        </w:tc>
      </w:tr>
      <w:tr w:rsidR="0051655A" w:rsidRPr="00B02AD6" w:rsidTr="00985E90">
        <w:trPr>
          <w:trHeight w:val="360"/>
        </w:trPr>
        <w:tc>
          <w:tcPr>
            <w:tcW w:w="5000" w:type="pct"/>
            <w:gridSpan w:val="4"/>
            <w:vAlign w:val="center"/>
          </w:tcPr>
          <w:p w:rsidR="0051655A" w:rsidRPr="00B02AD6" w:rsidRDefault="0051655A" w:rsidP="00A03C69">
            <w:pPr>
              <w:pStyle w:val="Header"/>
              <w:tabs>
                <w:tab w:val="left" w:pos="284"/>
              </w:tabs>
              <w:jc w:val="both"/>
              <w:rPr>
                <w:sz w:val="22"/>
                <w:szCs w:val="22"/>
              </w:rPr>
            </w:pPr>
            <w:r w:rsidRPr="00B02AD6">
              <w:rPr>
                <w:sz w:val="22"/>
                <w:szCs w:val="22"/>
              </w:rPr>
              <w:t>Ecansya® je indikovana za adjuvantno liječenje pacijenata nakon operacije karcinoma kolona stadijuma III (Djuksov stadijum C) (vid</w:t>
            </w:r>
            <w:r w:rsidR="00313D7A" w:rsidRPr="00B02AD6">
              <w:rPr>
                <w:sz w:val="22"/>
                <w:szCs w:val="22"/>
              </w:rPr>
              <w:t>j</w:t>
            </w:r>
            <w:r w:rsidRPr="00B02AD6">
              <w:rPr>
                <w:sz w:val="22"/>
                <w:szCs w:val="22"/>
              </w:rPr>
              <w:t xml:space="preserve">eti odjeljak 5.1).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Ecansya® je indikovana za liječenje metastatskog kolorektalnog karcinoma (vidjeti odjeljak 5.1).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Ecansya® je indikovana u prvoj liniji liječenja uznapredovalog karcinoma želuca u kombinaciji sa terapijskim režimima na bazi platine (vidjeti odjeljak 5.1).</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Ecansya® u kombinaciji sa docetakselom (vidjeti odjeljak 5.1) je indikovan</w:t>
            </w:r>
            <w:r w:rsidR="00313D7A" w:rsidRPr="00B02AD6">
              <w:rPr>
                <w:sz w:val="22"/>
                <w:szCs w:val="22"/>
              </w:rPr>
              <w:t>a</w:t>
            </w:r>
            <w:r w:rsidRPr="00B02AD6">
              <w:rPr>
                <w:sz w:val="22"/>
                <w:szCs w:val="22"/>
              </w:rPr>
              <w:t xml:space="preserve"> za terapiju pacijenata sa lokalno uznapredovalim ili metastatskim karcinomom dojke nakon neuspjeha citotoksične hemoterapije. Prethodna terapija bi trebalo da je uključila antraciklin. Ecansya® je takođe indikovan</w:t>
            </w:r>
            <w:r w:rsidR="00313D7A" w:rsidRPr="00B02AD6">
              <w:rPr>
                <w:sz w:val="22"/>
                <w:szCs w:val="22"/>
              </w:rPr>
              <w:t>a</w:t>
            </w:r>
            <w:r w:rsidRPr="00B02AD6">
              <w:rPr>
                <w:sz w:val="22"/>
                <w:szCs w:val="22"/>
              </w:rPr>
              <w:t xml:space="preserve"> </w:t>
            </w:r>
            <w:r w:rsidRPr="00B02AD6">
              <w:rPr>
                <w:sz w:val="22"/>
                <w:szCs w:val="22"/>
              </w:rPr>
              <w:lastRenderedPageBreak/>
              <w:t xml:space="preserve">kao monoterapija u liječenju pacijenata sa lokalno uznapredovalim ili metastatskim karcinomom dojke nakon neuspjeha hemoterapijskog liječenja kombinacijom taksana i antraciklina ili u slučajevima u kojima dalja terapija antraciklinima nije indikovana.   </w:t>
            </w:r>
          </w:p>
          <w:p w:rsidR="0051655A" w:rsidRPr="00B02AD6" w:rsidRDefault="0051655A" w:rsidP="00A03C69"/>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lastRenderedPageBreak/>
              <w:t>4.2. Doziranje i način primjene</w:t>
            </w:r>
          </w:p>
        </w:tc>
      </w:tr>
      <w:tr w:rsidR="0051655A" w:rsidRPr="00B02AD6" w:rsidTr="00985E90">
        <w:trPr>
          <w:trHeight w:val="1145"/>
        </w:trPr>
        <w:tc>
          <w:tcPr>
            <w:tcW w:w="5000" w:type="pct"/>
            <w:gridSpan w:val="4"/>
            <w:vAlign w:val="center"/>
          </w:tcPr>
          <w:p w:rsidR="0051655A" w:rsidRPr="00B02AD6" w:rsidRDefault="0051655A" w:rsidP="00A03C69">
            <w:pPr>
              <w:rPr>
                <w:color w:val="FF0000"/>
                <w:sz w:val="22"/>
                <w:szCs w:val="22"/>
              </w:rPr>
            </w:pPr>
          </w:p>
          <w:p w:rsidR="0051655A" w:rsidRPr="00B02AD6" w:rsidRDefault="0051655A" w:rsidP="00A03C69">
            <w:pPr>
              <w:jc w:val="both"/>
              <w:rPr>
                <w:sz w:val="22"/>
                <w:szCs w:val="22"/>
              </w:rPr>
            </w:pPr>
            <w:r w:rsidRPr="00B02AD6">
              <w:rPr>
                <w:sz w:val="22"/>
                <w:szCs w:val="22"/>
              </w:rPr>
              <w:t>Lijek Ecansya® može prepisati samo ljekar specijalista sa iskustvom u primjeni antineoplastičnih ljekova.</w:t>
            </w:r>
            <w:r w:rsidRPr="00B02AD6">
              <w:rPr>
                <w:color w:val="FF0000"/>
                <w:sz w:val="22"/>
                <w:szCs w:val="22"/>
              </w:rPr>
              <w:t xml:space="preserve"> </w:t>
            </w:r>
            <w:r w:rsidRPr="00B02AD6">
              <w:rPr>
                <w:sz w:val="22"/>
                <w:szCs w:val="22"/>
              </w:rPr>
              <w:t>Preporučuje se pažljivo praćenje tokom prvog ciklusa liječenja za sve pacijente</w:t>
            </w:r>
            <w:r w:rsidRPr="00B02AD6">
              <w:t xml:space="preserve">. </w:t>
            </w:r>
            <w:r w:rsidRPr="00B02AD6">
              <w:rPr>
                <w:color w:val="FF0000"/>
                <w:sz w:val="22"/>
                <w:szCs w:val="22"/>
              </w:rPr>
              <w:t xml:space="preserve"> </w:t>
            </w:r>
            <w:r w:rsidRPr="00B02AD6">
              <w:rPr>
                <w:sz w:val="22"/>
                <w:szCs w:val="22"/>
              </w:rPr>
              <w:t>U slučaju progresije bolesti ili nepodnošljive toksičnosti lijeka, terapiju treba prekinuti.</w:t>
            </w:r>
            <w:r w:rsidRPr="00B02AD6">
              <w:rPr>
                <w:color w:val="FF0000"/>
                <w:sz w:val="22"/>
                <w:szCs w:val="22"/>
              </w:rPr>
              <w:t xml:space="preserve"> </w:t>
            </w:r>
            <w:r w:rsidRPr="00B02AD6">
              <w:rPr>
                <w:sz w:val="22"/>
                <w:szCs w:val="22"/>
              </w:rPr>
              <w:t>Izračunavanja standardnih i smanjenih doza prema  površini tijela za početne doze kapecitabina od 1250 mg/m</w:t>
            </w:r>
            <w:r w:rsidRPr="00B02AD6">
              <w:rPr>
                <w:sz w:val="22"/>
                <w:szCs w:val="22"/>
                <w:vertAlign w:val="superscript"/>
              </w:rPr>
              <w:t>2</w:t>
            </w:r>
            <w:r w:rsidRPr="00B02AD6">
              <w:rPr>
                <w:sz w:val="22"/>
                <w:szCs w:val="22"/>
              </w:rPr>
              <w:t xml:space="preserve"> i 1000 mg/m</w:t>
            </w:r>
            <w:r w:rsidRPr="00B02AD6">
              <w:rPr>
                <w:sz w:val="22"/>
                <w:szCs w:val="22"/>
                <w:vertAlign w:val="superscript"/>
              </w:rPr>
              <w:t>2</w:t>
            </w:r>
            <w:r w:rsidRPr="00B02AD6">
              <w:rPr>
                <w:sz w:val="22"/>
                <w:szCs w:val="22"/>
              </w:rPr>
              <w:t xml:space="preserve"> prikazana su u Tabeli 1, odnosno Tabeli 2.  </w:t>
            </w:r>
          </w:p>
          <w:p w:rsidR="0051655A" w:rsidRPr="00B02AD6" w:rsidRDefault="0051655A" w:rsidP="00A03C69">
            <w:pPr>
              <w:jc w:val="both"/>
              <w:rPr>
                <w:sz w:val="22"/>
                <w:szCs w:val="22"/>
              </w:rPr>
            </w:pPr>
          </w:p>
          <w:p w:rsidR="0051655A" w:rsidRPr="00B02AD6" w:rsidRDefault="0051655A" w:rsidP="00A03C69">
            <w:pPr>
              <w:jc w:val="both"/>
              <w:rPr>
                <w:sz w:val="22"/>
                <w:szCs w:val="22"/>
                <w:u w:val="single"/>
              </w:rPr>
            </w:pPr>
            <w:r w:rsidRPr="00B02AD6">
              <w:rPr>
                <w:sz w:val="22"/>
                <w:szCs w:val="22"/>
                <w:u w:val="single"/>
              </w:rPr>
              <w:t>Doziranje</w:t>
            </w:r>
          </w:p>
          <w:p w:rsidR="0051655A" w:rsidRPr="00B02AD6" w:rsidRDefault="0051655A" w:rsidP="00A03C69">
            <w:pPr>
              <w:jc w:val="both"/>
              <w:rPr>
                <w:sz w:val="22"/>
                <w:szCs w:val="22"/>
              </w:rPr>
            </w:pPr>
            <w:r w:rsidRPr="00B02AD6">
              <w:rPr>
                <w:sz w:val="22"/>
                <w:szCs w:val="22"/>
              </w:rPr>
              <w:t>Preporučeno doziranje (vidjeti odjeljak 5.1)</w:t>
            </w:r>
          </w:p>
          <w:p w:rsidR="0051655A" w:rsidRPr="00B02AD6" w:rsidRDefault="0051655A" w:rsidP="00A03C69">
            <w:pPr>
              <w:rPr>
                <w:color w:val="FF0000"/>
                <w:sz w:val="22"/>
                <w:szCs w:val="22"/>
              </w:rPr>
            </w:pPr>
          </w:p>
          <w:p w:rsidR="0051655A" w:rsidRPr="00B02AD6" w:rsidRDefault="0051655A" w:rsidP="00A03C69">
            <w:pPr>
              <w:rPr>
                <w:i/>
                <w:sz w:val="22"/>
                <w:szCs w:val="22"/>
                <w:u w:val="single"/>
              </w:rPr>
            </w:pPr>
            <w:r w:rsidRPr="00B02AD6">
              <w:rPr>
                <w:i/>
                <w:sz w:val="22"/>
                <w:szCs w:val="22"/>
                <w:u w:val="single"/>
              </w:rPr>
              <w:t>Monoterapija</w:t>
            </w:r>
          </w:p>
          <w:p w:rsidR="0051655A" w:rsidRPr="00B02AD6" w:rsidRDefault="0051655A" w:rsidP="00A03C69">
            <w:pPr>
              <w:rPr>
                <w:i/>
                <w:sz w:val="22"/>
                <w:szCs w:val="22"/>
              </w:rPr>
            </w:pPr>
            <w:r w:rsidRPr="00B02AD6">
              <w:rPr>
                <w:i/>
                <w:sz w:val="22"/>
                <w:szCs w:val="22"/>
              </w:rPr>
              <w:t>Karcinom kolona, kolorektalni karcinom i karcinom dojke</w:t>
            </w:r>
          </w:p>
          <w:p w:rsidR="0051655A" w:rsidRPr="00B02AD6" w:rsidRDefault="0051655A" w:rsidP="00A03C69">
            <w:pPr>
              <w:jc w:val="both"/>
              <w:rPr>
                <w:i/>
                <w:sz w:val="22"/>
                <w:szCs w:val="22"/>
              </w:rPr>
            </w:pPr>
            <w:r w:rsidRPr="00B02AD6">
              <w:rPr>
                <w:rFonts w:ascii="TimesNewRoman" w:hAnsi="TimesNewRoman" w:cs="TimesNewRoman"/>
                <w:sz w:val="22"/>
                <w:szCs w:val="22"/>
              </w:rPr>
              <w:t>P</w:t>
            </w:r>
            <w:r w:rsidRPr="00B02AD6">
              <w:rPr>
                <w:sz w:val="22"/>
                <w:szCs w:val="22"/>
              </w:rPr>
              <w:t>reporučena početna doza kapecitabina primijenjenog kao monoterapija u adjuvantnom liječenju</w:t>
            </w:r>
            <w:r w:rsidRPr="00B02AD6">
              <w:rPr>
                <w:i/>
                <w:sz w:val="22"/>
                <w:szCs w:val="22"/>
              </w:rPr>
              <w:t xml:space="preserve"> </w:t>
            </w:r>
            <w:r w:rsidRPr="00B02AD6">
              <w:rPr>
                <w:sz w:val="22"/>
                <w:szCs w:val="22"/>
              </w:rPr>
              <w:t>karcinoma kolona, liječenju metastatskog kolorektalnog karcinoma ili u liječenju lokalno uznapredovalog ili metastatskog karcinoma dojke iznosi  1250 mg/m</w:t>
            </w:r>
            <w:r w:rsidRPr="00B02AD6">
              <w:rPr>
                <w:sz w:val="22"/>
                <w:szCs w:val="22"/>
                <w:vertAlign w:val="superscript"/>
              </w:rPr>
              <w:t>2</w:t>
            </w:r>
            <w:r w:rsidRPr="00B02AD6">
              <w:rPr>
                <w:sz w:val="22"/>
                <w:szCs w:val="22"/>
              </w:rPr>
              <w:t xml:space="preserve"> i daje se dva puta dnevno (ujutru i uveče; što odgovara ukupnoj dnevnoj dozi od 2500 mg/m</w:t>
            </w:r>
            <w:r w:rsidRPr="00B02AD6">
              <w:rPr>
                <w:sz w:val="22"/>
                <w:szCs w:val="22"/>
                <w:vertAlign w:val="superscript"/>
              </w:rPr>
              <w:t>2</w:t>
            </w:r>
            <w:r w:rsidRPr="00B02AD6">
              <w:rPr>
                <w:sz w:val="22"/>
                <w:szCs w:val="22"/>
              </w:rPr>
              <w:t xml:space="preserve">) tokom 14 dana poslije čega slijedi sedam dana odmora, tj. neuzimanja lijeka. </w:t>
            </w:r>
          </w:p>
          <w:p w:rsidR="0051655A" w:rsidRPr="00B02AD6" w:rsidRDefault="0051655A" w:rsidP="00A03C69">
            <w:pPr>
              <w:rPr>
                <w:sz w:val="22"/>
                <w:szCs w:val="22"/>
              </w:rPr>
            </w:pPr>
            <w:r w:rsidRPr="00B02AD6">
              <w:rPr>
                <w:sz w:val="22"/>
                <w:szCs w:val="22"/>
              </w:rPr>
              <w:t xml:space="preserve">Preporučeno trajanje adjuvantnog liječenja pacijenata sa karcinomom kolona trećeg stadijuma je 6 mjeseci. </w:t>
            </w:r>
          </w:p>
          <w:p w:rsidR="0051655A" w:rsidRPr="00B02AD6" w:rsidRDefault="0051655A" w:rsidP="00A03C69">
            <w:pPr>
              <w:rPr>
                <w:color w:val="FF0000"/>
                <w:sz w:val="22"/>
                <w:szCs w:val="22"/>
              </w:rPr>
            </w:pPr>
          </w:p>
          <w:p w:rsidR="0051655A" w:rsidRPr="00B02AD6" w:rsidRDefault="0051655A" w:rsidP="00A03C69">
            <w:pPr>
              <w:rPr>
                <w:i/>
                <w:sz w:val="22"/>
                <w:szCs w:val="22"/>
                <w:u w:val="single"/>
              </w:rPr>
            </w:pPr>
            <w:r w:rsidRPr="00B02AD6">
              <w:rPr>
                <w:i/>
                <w:sz w:val="22"/>
                <w:szCs w:val="22"/>
                <w:u w:val="single"/>
              </w:rPr>
              <w:t>Kombinovana terapija</w:t>
            </w:r>
          </w:p>
          <w:p w:rsidR="0051655A" w:rsidRPr="00B02AD6" w:rsidRDefault="0051655A" w:rsidP="00A03C69">
            <w:pPr>
              <w:rPr>
                <w:i/>
                <w:sz w:val="22"/>
                <w:szCs w:val="22"/>
              </w:rPr>
            </w:pPr>
            <w:r w:rsidRPr="00B02AD6">
              <w:rPr>
                <w:i/>
                <w:sz w:val="22"/>
                <w:szCs w:val="22"/>
              </w:rPr>
              <w:t>Karcinom kolona, kolorektalni karcinom i karcinom želuca</w:t>
            </w: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sz w:val="22"/>
                <w:szCs w:val="22"/>
              </w:rPr>
              <w:t>U kombinovanoj terapiji, preporučenu početnu dozu kapecitabina treba smanjiti na 800-1000 mg/m</w:t>
            </w:r>
            <w:r w:rsidRPr="00B02AD6">
              <w:rPr>
                <w:sz w:val="22"/>
                <w:szCs w:val="22"/>
                <w:vertAlign w:val="superscript"/>
              </w:rPr>
              <w:t>2</w:t>
            </w:r>
            <w:r w:rsidRPr="00B02AD6">
              <w:rPr>
                <w:sz w:val="22"/>
                <w:szCs w:val="22"/>
              </w:rPr>
              <w:t xml:space="preserve">  i uzimati dva puta dnevno tokom 14 dana, nakon čega slijedi 7 dana pauze ili na 625 mg/m</w:t>
            </w:r>
            <w:r w:rsidRPr="00B02AD6">
              <w:rPr>
                <w:sz w:val="22"/>
                <w:szCs w:val="22"/>
                <w:vertAlign w:val="superscript"/>
              </w:rPr>
              <w:t xml:space="preserve">2 </w:t>
            </w:r>
            <w:r w:rsidRPr="00B02AD6">
              <w:rPr>
                <w:sz w:val="22"/>
                <w:szCs w:val="22"/>
              </w:rPr>
              <w:t>dva puta dnevno pri  kontinuiranoj (svakodnevnoj) primjeni (vidjeti odjeljak 5.1). Kada se primjenjuje</w:t>
            </w:r>
            <w:r w:rsidRPr="00B02AD6">
              <w:rPr>
                <w:color w:val="FF0000"/>
                <w:sz w:val="22"/>
                <w:szCs w:val="22"/>
              </w:rPr>
              <w:t xml:space="preserve"> </w:t>
            </w:r>
            <w:r w:rsidRPr="00B02AD6">
              <w:rPr>
                <w:rFonts w:ascii="TimesNewRoman" w:hAnsi="TimesNewRoman" w:cs="TimesNewRoman"/>
                <w:sz w:val="22"/>
                <w:szCs w:val="22"/>
              </w:rPr>
              <w:t xml:space="preserve">u kombinaciji sa irinotekanom, preporučena početna doza je 800 mg/m² dva puta dnevno tokom 14 dana, nakon čega slijedi 7 dana pauze uz primjenu irinotekana u dozi od 200 mg/m² 1. </w:t>
            </w:r>
            <w:r w:rsidR="00313D7A" w:rsidRPr="00B02AD6">
              <w:rPr>
                <w:rFonts w:ascii="TimesNewRoman" w:hAnsi="TimesNewRoman" w:cs="TimesNewRoman"/>
                <w:sz w:val="22"/>
                <w:szCs w:val="22"/>
              </w:rPr>
              <w:t>dana</w:t>
            </w:r>
            <w:r w:rsidRPr="00B02AD6">
              <w:rPr>
                <w:rFonts w:ascii="TimesNewRoman" w:hAnsi="TimesNewRoman" w:cs="TimesNewRoman"/>
                <w:sz w:val="22"/>
                <w:szCs w:val="22"/>
              </w:rPr>
              <w:t xml:space="preserve">. Primjena </w:t>
            </w:r>
            <w:r w:rsidR="00313D7A" w:rsidRPr="00B02AD6">
              <w:rPr>
                <w:rFonts w:ascii="TimesNewRoman" w:hAnsi="TimesNewRoman" w:cs="TimesNewRoman"/>
                <w:sz w:val="22"/>
                <w:szCs w:val="22"/>
              </w:rPr>
              <w:t xml:space="preserve">bevacizumaba </w:t>
            </w:r>
            <w:r w:rsidRPr="00B02AD6">
              <w:rPr>
                <w:rFonts w:ascii="TimesNewRoman" w:hAnsi="TimesNewRoman" w:cs="TimesNewRoman"/>
                <w:sz w:val="22"/>
                <w:szCs w:val="22"/>
              </w:rPr>
              <w:t>u kombinovanoj terapiji ne utiče na početnu dozu kapecitabina. Kod pacijenata koji uzimaju kapecitabin u kombinaciji sa cisplatinom, prije primjene cisplatina potrebno je započeti premedikaciju kako bi se održala primjerena hidracija i spriječilo povraćanje, kao što je opisano u Sažetku karakteristika lijeka za cisplatin. Za pacijente koji primaju kombinaciju kapecitabina i</w:t>
            </w:r>
            <w:r w:rsidR="00313D7A" w:rsidRPr="00B02AD6">
              <w:rPr>
                <w:rFonts w:ascii="TimesNewRoman" w:hAnsi="TimesNewRoman" w:cs="TimesNewRoman"/>
                <w:sz w:val="22"/>
                <w:szCs w:val="22"/>
              </w:rPr>
              <w:t xml:space="preserve"> </w:t>
            </w:r>
            <w:r w:rsidRPr="00B02AD6">
              <w:rPr>
                <w:rFonts w:ascii="TimesNewRoman" w:hAnsi="TimesNewRoman" w:cs="TimesNewRoman"/>
                <w:sz w:val="22"/>
                <w:szCs w:val="22"/>
              </w:rPr>
              <w:t>oksaliplatina preporučuje se premedikacija antiemeticima u skladu sa Sažetkom karakteristika lijeka za oksaliplatin. Kod pacijenata sa karcinomom kolona stadijuma III</w:t>
            </w:r>
            <w:r w:rsidR="00313D7A" w:rsidRPr="00B02AD6">
              <w:rPr>
                <w:rFonts w:ascii="TimesNewRoman" w:hAnsi="TimesNewRoman" w:cs="TimesNewRoman"/>
                <w:sz w:val="22"/>
                <w:szCs w:val="22"/>
              </w:rPr>
              <w:t>,</w:t>
            </w:r>
            <w:r w:rsidRPr="00B02AD6">
              <w:rPr>
                <w:rFonts w:ascii="TimesNewRoman" w:hAnsi="TimesNewRoman" w:cs="TimesNewRoman"/>
                <w:sz w:val="22"/>
                <w:szCs w:val="22"/>
              </w:rPr>
              <w:t xml:space="preserve"> preporučeno trajanje adjuvantnog liječenja je 6 mjeseci.</w:t>
            </w:r>
            <w:r w:rsidRPr="00B02AD6">
              <w:rPr>
                <w:sz w:val="22"/>
                <w:szCs w:val="22"/>
              </w:rPr>
              <w:t xml:space="preserve"> </w:t>
            </w:r>
          </w:p>
          <w:p w:rsidR="0051655A" w:rsidRPr="00B02AD6" w:rsidRDefault="0051655A" w:rsidP="00A03C69">
            <w:pPr>
              <w:rPr>
                <w:color w:val="FF0000"/>
                <w:sz w:val="22"/>
                <w:szCs w:val="22"/>
              </w:rPr>
            </w:pPr>
          </w:p>
          <w:p w:rsidR="0051655A" w:rsidRPr="00B02AD6" w:rsidRDefault="0051655A" w:rsidP="00A03C69">
            <w:pPr>
              <w:rPr>
                <w:i/>
                <w:sz w:val="22"/>
                <w:szCs w:val="22"/>
              </w:rPr>
            </w:pPr>
            <w:r w:rsidRPr="00B02AD6">
              <w:rPr>
                <w:i/>
                <w:sz w:val="22"/>
                <w:szCs w:val="22"/>
              </w:rPr>
              <w:t>Karcinom dojke</w:t>
            </w:r>
          </w:p>
          <w:p w:rsidR="0051655A" w:rsidRPr="00B02AD6" w:rsidRDefault="0051655A" w:rsidP="00A03C69">
            <w:pPr>
              <w:jc w:val="both"/>
              <w:rPr>
                <w:sz w:val="22"/>
                <w:szCs w:val="22"/>
              </w:rPr>
            </w:pPr>
            <w:r w:rsidRPr="00B02AD6">
              <w:rPr>
                <w:sz w:val="22"/>
                <w:szCs w:val="22"/>
              </w:rPr>
              <w:t>U kombinaciji sa docetakselom, preporučena doza kapecitabina za liječenje metastatskog karcinoma dojke iznosi 1250 mg/m</w:t>
            </w:r>
            <w:r w:rsidRPr="00B02AD6">
              <w:rPr>
                <w:sz w:val="22"/>
                <w:szCs w:val="22"/>
                <w:vertAlign w:val="superscript"/>
              </w:rPr>
              <w:t>2</w:t>
            </w:r>
            <w:r w:rsidRPr="00B02AD6">
              <w:rPr>
                <w:sz w:val="22"/>
                <w:szCs w:val="22"/>
              </w:rPr>
              <w:t xml:space="preserve"> i uzima se dva puta dnevno tokom 14 dana</w:t>
            </w:r>
            <w:r w:rsidR="00313D7A" w:rsidRPr="00B02AD6">
              <w:rPr>
                <w:sz w:val="22"/>
                <w:szCs w:val="22"/>
              </w:rPr>
              <w:t>,</w:t>
            </w:r>
            <w:r w:rsidRPr="00B02AD6">
              <w:rPr>
                <w:sz w:val="22"/>
                <w:szCs w:val="22"/>
              </w:rPr>
              <w:t xml:space="preserve"> poslije čega slijedi sedam dana pauze, dok je doza docetaksela 75 mg/m</w:t>
            </w:r>
            <w:r w:rsidRPr="00B02AD6">
              <w:rPr>
                <w:sz w:val="22"/>
                <w:szCs w:val="22"/>
                <w:vertAlign w:val="superscript"/>
              </w:rPr>
              <w:t>2</w:t>
            </w:r>
            <w:r w:rsidRPr="00B02AD6">
              <w:rPr>
                <w:sz w:val="22"/>
                <w:szCs w:val="22"/>
              </w:rPr>
              <w:t xml:space="preserve"> i primjenjuje se svake 3 nedjelje u vidu jednosatne intravenske infuzije. Premedikacija oralnim kortikosteroidima, kao što je deksametazon, mora započeti prije primjene docetaksela kod pacijenata liječenih kombinacijom kapecitabina i docetaksela, prema Sažetku karakteristika lijeka za docetaksel.</w:t>
            </w:r>
          </w:p>
          <w:p w:rsidR="0051655A" w:rsidRPr="00B02AD6" w:rsidRDefault="0051655A" w:rsidP="00A03C69">
            <w:pPr>
              <w:jc w:val="both"/>
              <w:rPr>
                <w:sz w:val="22"/>
                <w:szCs w:val="22"/>
              </w:rPr>
            </w:pPr>
            <w:r w:rsidRPr="00B02AD6">
              <w:rPr>
                <w:sz w:val="22"/>
                <w:szCs w:val="22"/>
              </w:rPr>
              <w:t xml:space="preserve"> </w:t>
            </w:r>
          </w:p>
          <w:p w:rsidR="0051655A" w:rsidRPr="00B02AD6" w:rsidRDefault="0051655A" w:rsidP="00A03C69">
            <w:pPr>
              <w:rPr>
                <w:sz w:val="22"/>
                <w:szCs w:val="22"/>
                <w:u w:val="single"/>
              </w:rPr>
            </w:pPr>
            <w:r w:rsidRPr="00B02AD6">
              <w:rPr>
                <w:sz w:val="22"/>
                <w:szCs w:val="22"/>
                <w:u w:val="single"/>
              </w:rPr>
              <w:lastRenderedPageBreak/>
              <w:t>Izračunavanje doze lijeka Ecansya</w:t>
            </w:r>
            <w:r w:rsidRPr="00B02AD6">
              <w:rPr>
                <w:rFonts w:ascii="Garamond" w:hAnsi="Garamond"/>
                <w:sz w:val="22"/>
                <w:szCs w:val="22"/>
                <w:u w:val="single"/>
                <w:vertAlign w:val="superscript"/>
              </w:rPr>
              <w:t>®</w:t>
            </w:r>
          </w:p>
          <w:p w:rsidR="0051655A" w:rsidRPr="00B02AD6" w:rsidRDefault="0051655A" w:rsidP="00A03C69">
            <w:pPr>
              <w:rPr>
                <w:sz w:val="22"/>
                <w:szCs w:val="22"/>
                <w:u w:val="single"/>
              </w:rPr>
            </w:pPr>
          </w:p>
          <w:p w:rsidR="009A4510" w:rsidRPr="00B02AD6" w:rsidRDefault="0051655A" w:rsidP="00A03C69">
            <w:pPr>
              <w:rPr>
                <w:sz w:val="22"/>
                <w:szCs w:val="22"/>
              </w:rPr>
            </w:pPr>
            <w:r w:rsidRPr="00B02AD6">
              <w:rPr>
                <w:sz w:val="22"/>
                <w:szCs w:val="22"/>
              </w:rPr>
              <w:t>Tabela 1: Izračunavanje standardnih i smanjenjih doza prema površini tijela za početnu dozu kapecitabina od  1250 mg/m</w:t>
            </w:r>
            <w:r w:rsidRPr="00B02AD6">
              <w:rPr>
                <w:sz w:val="22"/>
                <w:szCs w:val="22"/>
                <w:vertAlign w:val="superscript"/>
              </w:rPr>
              <w:t>2</w:t>
            </w:r>
          </w:p>
          <w:p w:rsidR="009A4510" w:rsidRPr="00B02AD6" w:rsidRDefault="009A4510" w:rsidP="00A03C69">
            <w:pPr>
              <w:rPr>
                <w:color w:val="FF0000"/>
                <w:sz w:val="22"/>
                <w:szCs w:val="22"/>
              </w:rPr>
            </w:pPr>
          </w:p>
          <w:tbl>
            <w:tblPr>
              <w:tblW w:w="4837" w:type="pct"/>
              <w:tblLook w:val="04A0" w:firstRow="1" w:lastRow="0" w:firstColumn="1" w:lastColumn="0" w:noHBand="0" w:noVBand="1"/>
            </w:tblPr>
            <w:tblGrid>
              <w:gridCol w:w="1352"/>
              <w:gridCol w:w="1458"/>
              <w:gridCol w:w="883"/>
              <w:gridCol w:w="883"/>
              <w:gridCol w:w="883"/>
              <w:gridCol w:w="1671"/>
              <w:gridCol w:w="1421"/>
            </w:tblGrid>
            <w:tr w:rsidR="009A4510" w:rsidRPr="00B02AD6" w:rsidTr="00985E90">
              <w:tc>
                <w:tcPr>
                  <w:tcW w:w="806" w:type="pct"/>
                  <w:tcBorders>
                    <w:top w:val="single" w:sz="6" w:space="0" w:color="000000"/>
                    <w:left w:val="single" w:sz="6" w:space="0" w:color="000000"/>
                    <w:bottom w:val="nil"/>
                    <w:right w:val="single" w:sz="6" w:space="0" w:color="000000"/>
                  </w:tcBorders>
                </w:tcPr>
                <w:p w:rsidR="009A4510" w:rsidRPr="00B02AD6" w:rsidRDefault="009A4510" w:rsidP="009A4510">
                  <w:pPr>
                    <w:widowControl w:val="0"/>
                    <w:autoSpaceDE w:val="0"/>
                    <w:autoSpaceDN w:val="0"/>
                    <w:adjustRightInd w:val="0"/>
                    <w:jc w:val="center"/>
                    <w:rPr>
                      <w:rFonts w:eastAsia="MS Mincho"/>
                      <w:sz w:val="22"/>
                      <w:szCs w:val="22"/>
                      <w:lang w:eastAsia="hr-HR" w:bidi="th-TH"/>
                    </w:rPr>
                  </w:pPr>
                </w:p>
              </w:tc>
              <w:tc>
                <w:tcPr>
                  <w:tcW w:w="4194" w:type="pct"/>
                  <w:gridSpan w:val="6"/>
                  <w:tcBorders>
                    <w:top w:val="single" w:sz="6" w:space="0" w:color="000000"/>
                    <w:left w:val="single" w:sz="6" w:space="0" w:color="000000"/>
                    <w:bottom w:val="nil"/>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Doza 1250 mg/m</w:t>
                  </w:r>
                  <w:r w:rsidRPr="00B02AD6">
                    <w:rPr>
                      <w:rFonts w:eastAsia="MS Mincho"/>
                      <w:position w:val="6"/>
                      <w:sz w:val="22"/>
                      <w:szCs w:val="22"/>
                      <w:vertAlign w:val="superscript"/>
                      <w:lang w:eastAsia="hr-HR" w:bidi="th-TH"/>
                    </w:rPr>
                    <w:t>2</w:t>
                  </w:r>
                  <w:r w:rsidRPr="00B02AD6">
                    <w:rPr>
                      <w:rFonts w:eastAsia="MS Mincho"/>
                      <w:sz w:val="22"/>
                      <w:szCs w:val="22"/>
                      <w:lang w:eastAsia="hr-HR" w:bidi="th-TH"/>
                    </w:rPr>
                    <w:t xml:space="preserve"> (dva put</w:t>
                  </w:r>
                  <w:r w:rsidR="00313D7A" w:rsidRPr="00B02AD6">
                    <w:rPr>
                      <w:rFonts w:eastAsia="MS Mincho"/>
                      <w:sz w:val="22"/>
                      <w:szCs w:val="22"/>
                      <w:lang w:eastAsia="hr-HR" w:bidi="th-TH"/>
                    </w:rPr>
                    <w:t>a</w:t>
                  </w:r>
                  <w:r w:rsidRPr="00B02AD6">
                    <w:rPr>
                      <w:rFonts w:eastAsia="MS Mincho"/>
                      <w:sz w:val="22"/>
                      <w:szCs w:val="22"/>
                      <w:lang w:eastAsia="hr-HR" w:bidi="th-TH"/>
                    </w:rPr>
                    <w:t xml:space="preserve"> dnevno)</w:t>
                  </w:r>
                </w:p>
              </w:tc>
            </w:tr>
            <w:tr w:rsidR="009A4510" w:rsidRPr="00B02AD6" w:rsidTr="00985E90">
              <w:tc>
                <w:tcPr>
                  <w:tcW w:w="806" w:type="pct"/>
                  <w:tcBorders>
                    <w:top w:val="single" w:sz="6" w:space="0" w:color="000000"/>
                    <w:left w:val="single" w:sz="6" w:space="0" w:color="000000"/>
                    <w:bottom w:val="nil"/>
                    <w:right w:val="single" w:sz="6" w:space="0" w:color="000000"/>
                  </w:tcBorders>
                </w:tcPr>
                <w:p w:rsidR="009A4510" w:rsidRPr="00B02AD6" w:rsidRDefault="009A4510" w:rsidP="009A4510">
                  <w:pPr>
                    <w:widowControl w:val="0"/>
                    <w:autoSpaceDE w:val="0"/>
                    <w:autoSpaceDN w:val="0"/>
                    <w:adjustRightInd w:val="0"/>
                    <w:jc w:val="center"/>
                    <w:rPr>
                      <w:rFonts w:eastAsia="MS Mincho"/>
                      <w:sz w:val="22"/>
                      <w:szCs w:val="22"/>
                      <w:lang w:eastAsia="hr-HR" w:bidi="th-TH"/>
                    </w:rPr>
                  </w:pPr>
                </w:p>
              </w:tc>
              <w:tc>
                <w:tcPr>
                  <w:tcW w:w="868" w:type="pct"/>
                  <w:tcBorders>
                    <w:top w:val="single" w:sz="6" w:space="0" w:color="000000"/>
                    <w:left w:val="single" w:sz="6" w:space="0" w:color="000000"/>
                    <w:bottom w:val="nil"/>
                    <w:right w:val="single" w:sz="6" w:space="0" w:color="000000"/>
                  </w:tcBorders>
                </w:tcPr>
                <w:p w:rsidR="009A4510" w:rsidRPr="00B02AD6" w:rsidRDefault="009A4510" w:rsidP="009A4510">
                  <w:pPr>
                    <w:widowControl w:val="0"/>
                    <w:autoSpaceDE w:val="0"/>
                    <w:autoSpaceDN w:val="0"/>
                    <w:adjustRightInd w:val="0"/>
                    <w:jc w:val="center"/>
                    <w:rPr>
                      <w:rFonts w:eastAsia="MS Mincho"/>
                      <w:sz w:val="22"/>
                      <w:szCs w:val="22"/>
                      <w:lang w:eastAsia="hr-HR" w:bidi="th-TH"/>
                    </w:rPr>
                  </w:pPr>
                </w:p>
                <w:p w:rsidR="009A4510" w:rsidRPr="00B02AD6" w:rsidRDefault="00D46756" w:rsidP="00D46756">
                  <w:pPr>
                    <w:widowControl w:val="0"/>
                    <w:autoSpaceDE w:val="0"/>
                    <w:autoSpaceDN w:val="0"/>
                    <w:adjustRightInd w:val="0"/>
                    <w:rPr>
                      <w:rFonts w:eastAsia="MS Mincho"/>
                      <w:sz w:val="22"/>
                      <w:szCs w:val="22"/>
                      <w:lang w:eastAsia="hr-HR" w:bidi="th-TH"/>
                    </w:rPr>
                  </w:pPr>
                  <w:r w:rsidRPr="00B02AD6">
                    <w:rPr>
                      <w:rFonts w:eastAsia="MS Mincho"/>
                      <w:sz w:val="22"/>
                      <w:szCs w:val="22"/>
                      <w:lang w:eastAsia="hr-HR" w:bidi="th-TH"/>
                    </w:rPr>
                    <w:t xml:space="preserve">     </w:t>
                  </w:r>
                  <w:r w:rsidR="009A4510" w:rsidRPr="00B02AD6">
                    <w:rPr>
                      <w:rFonts w:eastAsia="MS Mincho"/>
                      <w:sz w:val="22"/>
                      <w:szCs w:val="22"/>
                      <w:lang w:eastAsia="hr-HR" w:bidi="th-TH"/>
                    </w:rPr>
                    <w:t>Puna doza</w:t>
                  </w:r>
                </w:p>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1250 mg/m</w:t>
                  </w:r>
                  <w:r w:rsidRPr="00B02AD6">
                    <w:rPr>
                      <w:rFonts w:eastAsia="MS Mincho"/>
                      <w:sz w:val="22"/>
                      <w:szCs w:val="22"/>
                      <w:vertAlign w:val="superscript"/>
                      <w:lang w:eastAsia="hr-HR" w:bidi="th-TH"/>
                    </w:rPr>
                    <w:t>2</w:t>
                  </w:r>
                </w:p>
              </w:tc>
              <w:tc>
                <w:tcPr>
                  <w:tcW w:w="1488" w:type="pct"/>
                  <w:gridSpan w:val="3"/>
                  <w:tcBorders>
                    <w:top w:val="single" w:sz="6" w:space="0" w:color="000000"/>
                    <w:left w:val="single" w:sz="6" w:space="0" w:color="000000"/>
                    <w:bottom w:val="nil"/>
                    <w:right w:val="single" w:sz="6" w:space="0" w:color="000000"/>
                  </w:tcBorders>
                  <w:hideMark/>
                </w:tcPr>
                <w:p w:rsidR="009A4510" w:rsidRPr="00B02AD6" w:rsidRDefault="00D46756" w:rsidP="009A4510">
                  <w:pPr>
                    <w:widowControl w:val="0"/>
                    <w:autoSpaceDE w:val="0"/>
                    <w:autoSpaceDN w:val="0"/>
                    <w:adjustRightInd w:val="0"/>
                    <w:jc w:val="center"/>
                    <w:rPr>
                      <w:rFonts w:eastAsia="MS Mincho"/>
                      <w:sz w:val="22"/>
                      <w:szCs w:val="22"/>
                      <w:lang w:eastAsia="hr-HR" w:bidi="th-TH"/>
                    </w:rPr>
                  </w:pPr>
                  <w:r w:rsidRPr="00B02AD6">
                    <w:rPr>
                      <w:rFonts w:eastAsia="PMingLiU"/>
                      <w:sz w:val="22"/>
                      <w:szCs w:val="22"/>
                    </w:rPr>
                    <w:t>Broj tableta od 150 mg</w:t>
                  </w:r>
                  <w:r w:rsidR="00313D7A" w:rsidRPr="00B02AD6">
                    <w:rPr>
                      <w:rFonts w:eastAsia="PMingLiU"/>
                      <w:sz w:val="22"/>
                      <w:szCs w:val="22"/>
                    </w:rPr>
                    <w:t>, 300 mg</w:t>
                  </w:r>
                  <w:r w:rsidRPr="00B02AD6">
                    <w:rPr>
                      <w:rFonts w:eastAsia="PMingLiU"/>
                      <w:sz w:val="22"/>
                      <w:szCs w:val="22"/>
                    </w:rPr>
                    <w:t xml:space="preserve"> i/ili 500 mg po jednoj primjeni lijeka (svaka doza se uzima ujutru i uveče)</w:t>
                  </w:r>
                </w:p>
              </w:tc>
              <w:tc>
                <w:tcPr>
                  <w:tcW w:w="992" w:type="pct"/>
                  <w:tcBorders>
                    <w:top w:val="single" w:sz="6" w:space="0" w:color="000000"/>
                    <w:left w:val="single" w:sz="6" w:space="0" w:color="000000"/>
                    <w:bottom w:val="nil"/>
                    <w:right w:val="single" w:sz="6" w:space="0" w:color="000000"/>
                  </w:tcBorders>
                </w:tcPr>
                <w:p w:rsidR="009A4510" w:rsidRPr="00B02AD6" w:rsidRDefault="009A4510" w:rsidP="00220694">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Smanjena doza (75 %)</w:t>
                  </w:r>
                </w:p>
                <w:p w:rsidR="009A4510" w:rsidRPr="00B02AD6" w:rsidRDefault="009A4510" w:rsidP="009A4510">
                  <w:pPr>
                    <w:widowControl w:val="0"/>
                    <w:autoSpaceDE w:val="0"/>
                    <w:autoSpaceDN w:val="0"/>
                    <w:adjustRightInd w:val="0"/>
                    <w:jc w:val="center"/>
                    <w:rPr>
                      <w:rFonts w:eastAsia="MS Mincho"/>
                      <w:sz w:val="22"/>
                      <w:szCs w:val="22"/>
                      <w:vertAlign w:val="superscript"/>
                      <w:lang w:eastAsia="hr-HR" w:bidi="th-TH"/>
                    </w:rPr>
                  </w:pPr>
                  <w:r w:rsidRPr="00B02AD6">
                    <w:rPr>
                      <w:rFonts w:eastAsia="MS Mincho"/>
                      <w:sz w:val="22"/>
                      <w:szCs w:val="22"/>
                      <w:lang w:eastAsia="hr-HR" w:bidi="th-TH"/>
                    </w:rPr>
                    <w:t>950 mg/m</w:t>
                  </w:r>
                  <w:r w:rsidRPr="00B02AD6">
                    <w:rPr>
                      <w:rFonts w:eastAsia="MS Mincho"/>
                      <w:sz w:val="22"/>
                      <w:szCs w:val="22"/>
                      <w:vertAlign w:val="superscript"/>
                      <w:lang w:eastAsia="hr-HR" w:bidi="th-TH"/>
                    </w:rPr>
                    <w:t>2</w:t>
                  </w:r>
                </w:p>
              </w:tc>
              <w:tc>
                <w:tcPr>
                  <w:tcW w:w="846" w:type="pct"/>
                  <w:tcBorders>
                    <w:top w:val="single" w:sz="6" w:space="0" w:color="000000"/>
                    <w:left w:val="single" w:sz="6" w:space="0" w:color="000000"/>
                    <w:bottom w:val="nil"/>
                    <w:right w:val="single" w:sz="6" w:space="0" w:color="000000"/>
                  </w:tcBorders>
                </w:tcPr>
                <w:p w:rsidR="00220694" w:rsidRPr="00B02AD6" w:rsidRDefault="009A4510" w:rsidP="00220694">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Smanjena doza (50 %)</w:t>
                  </w:r>
                </w:p>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625 mg/m</w:t>
                  </w:r>
                  <w:r w:rsidRPr="00B02AD6">
                    <w:rPr>
                      <w:rFonts w:eastAsia="MS Mincho"/>
                      <w:sz w:val="22"/>
                      <w:szCs w:val="22"/>
                      <w:vertAlign w:val="superscript"/>
                      <w:lang w:eastAsia="hr-HR" w:bidi="th-TH"/>
                    </w:rPr>
                    <w:t>2</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45056D" w:rsidP="009A4510">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Tjelesna površina</w:t>
                  </w:r>
                  <w:r w:rsidR="004C226A" w:rsidRPr="00B02AD6">
                    <w:rPr>
                      <w:sz w:val="22"/>
                      <w:szCs w:val="22"/>
                      <w:lang w:eastAsia="hr-HR"/>
                    </w:rPr>
                    <w:t xml:space="preserve"> </w:t>
                  </w:r>
                  <w:r w:rsidR="009A4510" w:rsidRPr="00B02AD6">
                    <w:rPr>
                      <w:sz w:val="22"/>
                      <w:szCs w:val="22"/>
                      <w:lang w:eastAsia="hr-HR"/>
                    </w:rPr>
                    <w:t>(m</w:t>
                  </w:r>
                  <w:r w:rsidR="009A4510" w:rsidRPr="00B02AD6">
                    <w:rPr>
                      <w:position w:val="6"/>
                      <w:sz w:val="22"/>
                      <w:szCs w:val="22"/>
                      <w:vertAlign w:val="superscript"/>
                      <w:lang w:eastAsia="hr-HR"/>
                    </w:rPr>
                    <w:t>2</w:t>
                  </w:r>
                  <w:r w:rsidR="009A4510" w:rsidRPr="00B02AD6">
                    <w:rPr>
                      <w:sz w:val="22"/>
                      <w:szCs w:val="22"/>
                      <w:lang w:eastAsia="hr-HR"/>
                    </w:rPr>
                    <w:t>)</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4C226A" w:rsidP="004C226A">
                  <w:pPr>
                    <w:widowControl w:val="0"/>
                    <w:tabs>
                      <w:tab w:val="left" w:pos="162"/>
                    </w:tabs>
                    <w:autoSpaceDE w:val="0"/>
                    <w:autoSpaceDN w:val="0"/>
                    <w:adjustRightInd w:val="0"/>
                    <w:rPr>
                      <w:rFonts w:eastAsia="MS Mincho"/>
                      <w:sz w:val="22"/>
                      <w:szCs w:val="22"/>
                      <w:lang w:eastAsia="hr-HR" w:bidi="th-TH"/>
                    </w:rPr>
                  </w:pPr>
                  <w:r w:rsidRPr="00B02AD6">
                    <w:rPr>
                      <w:sz w:val="22"/>
                      <w:szCs w:val="22"/>
                      <w:lang w:eastAsia="hr-HR"/>
                    </w:rPr>
                    <w:t>D</w:t>
                  </w:r>
                  <w:r w:rsidR="009A4510" w:rsidRPr="00B02AD6">
                    <w:rPr>
                      <w:sz w:val="22"/>
                      <w:szCs w:val="22"/>
                      <w:lang w:eastAsia="hr-HR"/>
                    </w:rPr>
                    <w:t xml:space="preserve">oza </w:t>
                  </w:r>
                  <w:r w:rsidR="00803A50" w:rsidRPr="00B02AD6">
                    <w:rPr>
                      <w:sz w:val="22"/>
                      <w:szCs w:val="22"/>
                      <w:lang w:eastAsia="hr-HR"/>
                    </w:rPr>
                    <w:t>po jednoj primjeni</w:t>
                  </w:r>
                  <w:r w:rsidRPr="00B02AD6">
                    <w:rPr>
                      <w:sz w:val="22"/>
                      <w:szCs w:val="22"/>
                      <w:lang w:eastAsia="hr-HR"/>
                    </w:rPr>
                    <w:t xml:space="preserve"> </w:t>
                  </w:r>
                  <w:r w:rsidR="009A4510" w:rsidRPr="00B02AD6">
                    <w:rPr>
                      <w:sz w:val="22"/>
                      <w:szCs w:val="22"/>
                      <w:lang w:eastAsia="hr-HR"/>
                    </w:rPr>
                    <w:t>(mg)</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7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150 mg</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7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300 mg</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7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500 mg</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1F67D3" w:rsidP="009A4510">
                  <w:pPr>
                    <w:widowControl w:val="0"/>
                    <w:tabs>
                      <w:tab w:val="left" w:pos="72"/>
                    </w:tabs>
                    <w:autoSpaceDE w:val="0"/>
                    <w:autoSpaceDN w:val="0"/>
                    <w:adjustRightInd w:val="0"/>
                    <w:jc w:val="center"/>
                    <w:rPr>
                      <w:rFonts w:eastAsia="MS Mincho"/>
                      <w:sz w:val="22"/>
                      <w:szCs w:val="22"/>
                      <w:lang w:eastAsia="hr-HR" w:bidi="th-TH"/>
                    </w:rPr>
                  </w:pPr>
                  <w:r w:rsidRPr="00B02AD6">
                    <w:rPr>
                      <w:sz w:val="22"/>
                      <w:szCs w:val="22"/>
                      <w:lang w:eastAsia="hr-HR"/>
                    </w:rPr>
                    <w:t>Doza po jednoj prim</w:t>
                  </w:r>
                  <w:r w:rsidR="00803A50" w:rsidRPr="00B02AD6">
                    <w:rPr>
                      <w:sz w:val="22"/>
                      <w:szCs w:val="22"/>
                      <w:lang w:eastAsia="hr-HR"/>
                    </w:rPr>
                    <w:t>jeni</w:t>
                  </w:r>
                  <w:r w:rsidRPr="00B02AD6">
                    <w:rPr>
                      <w:sz w:val="22"/>
                      <w:szCs w:val="22"/>
                      <w:lang w:eastAsia="hr-HR"/>
                    </w:rPr>
                    <w:t xml:space="preserve"> (mg)</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1F67D3" w:rsidP="009A4510">
                  <w:pPr>
                    <w:widowControl w:val="0"/>
                    <w:tabs>
                      <w:tab w:val="left" w:pos="162"/>
                    </w:tabs>
                    <w:autoSpaceDE w:val="0"/>
                    <w:autoSpaceDN w:val="0"/>
                    <w:adjustRightInd w:val="0"/>
                    <w:jc w:val="center"/>
                    <w:rPr>
                      <w:rFonts w:eastAsia="MS Mincho"/>
                      <w:sz w:val="22"/>
                      <w:szCs w:val="22"/>
                      <w:lang w:eastAsia="hr-HR" w:bidi="th-TH"/>
                    </w:rPr>
                  </w:pPr>
                  <w:r w:rsidRPr="00B02AD6">
                    <w:rPr>
                      <w:sz w:val="22"/>
                      <w:szCs w:val="22"/>
                      <w:lang w:eastAsia="hr-HR"/>
                    </w:rPr>
                    <w:t xml:space="preserve">Doza </w:t>
                  </w:r>
                  <w:r w:rsidR="00803A50" w:rsidRPr="00B02AD6">
                    <w:rPr>
                      <w:sz w:val="22"/>
                      <w:szCs w:val="22"/>
                      <w:lang w:eastAsia="hr-HR"/>
                    </w:rPr>
                    <w:t>po jednoj primjeni</w:t>
                  </w:r>
                  <w:r w:rsidRPr="00B02AD6">
                    <w:rPr>
                      <w:sz w:val="22"/>
                      <w:szCs w:val="22"/>
                      <w:lang w:eastAsia="hr-HR"/>
                    </w:rPr>
                    <w:t xml:space="preserve"> (mg)</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sym w:font="Symbol" w:char="F0A3"/>
                  </w:r>
                  <w:r w:rsidRPr="00B02AD6">
                    <w:rPr>
                      <w:sz w:val="22"/>
                      <w:szCs w:val="22"/>
                      <w:lang w:eastAsia="hr-HR"/>
                    </w:rPr>
                    <w:t> 1,26</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1500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3</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1150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800</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1,27–1,38</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1650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3</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1300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800</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1,39–1,52</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1800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3</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1450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950</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1,53–1,66</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2000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4</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1500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1000</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1,67–1,78</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2150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4</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1650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1000</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1,79–1,92</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2300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4</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1800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1150</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1,93–2,06</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2500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5</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1950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1300</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Cs w:val="24"/>
                      <w:lang w:eastAsia="hr-HR" w:bidi="th-TH"/>
                    </w:rPr>
                  </w:pPr>
                  <w:r w:rsidRPr="00B02AD6">
                    <w:rPr>
                      <w:szCs w:val="24"/>
                      <w:lang w:eastAsia="hr-HR"/>
                    </w:rPr>
                    <w:t>2,07–2,18</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Cs w:val="24"/>
                      <w:lang w:eastAsia="hr-HR" w:bidi="th-TH"/>
                    </w:rPr>
                  </w:pPr>
                  <w:r w:rsidRPr="00B02AD6">
                    <w:rPr>
                      <w:rFonts w:eastAsia="MS Mincho"/>
                      <w:szCs w:val="24"/>
                      <w:lang w:eastAsia="hr-HR" w:bidi="th-TH"/>
                    </w:rPr>
                    <w:t>2650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Cs w:val="24"/>
                      <w:lang w:eastAsia="hr-HR" w:bidi="th-TH"/>
                    </w:rPr>
                  </w:pPr>
                  <w:r w:rsidRPr="00B02AD6">
                    <w:rPr>
                      <w:rFonts w:eastAsia="MS Mincho"/>
                      <w:szCs w:val="24"/>
                      <w:lang w:eastAsia="hr-HR" w:bidi="th-TH"/>
                    </w:rPr>
                    <w:t>1</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Cs w:val="24"/>
                      <w:lang w:eastAsia="hr-HR" w:bidi="th-TH"/>
                    </w:rPr>
                  </w:pPr>
                  <w:r w:rsidRPr="00B02AD6">
                    <w:rPr>
                      <w:rFonts w:eastAsia="MS Mincho"/>
                      <w:szCs w:val="24"/>
                      <w:lang w:eastAsia="hr-HR" w:bidi="th-TH"/>
                    </w:rPr>
                    <w:t>-</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Cs w:val="24"/>
                      <w:lang w:eastAsia="hr-HR" w:bidi="th-TH"/>
                    </w:rPr>
                  </w:pPr>
                  <w:r w:rsidRPr="00B02AD6">
                    <w:rPr>
                      <w:rFonts w:eastAsia="MS Mincho"/>
                      <w:szCs w:val="24"/>
                      <w:lang w:eastAsia="hr-HR" w:bidi="th-TH"/>
                    </w:rPr>
                    <w:t>5</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Cs w:val="24"/>
                      <w:lang w:eastAsia="hr-HR" w:bidi="th-TH"/>
                    </w:rPr>
                  </w:pPr>
                  <w:r w:rsidRPr="00B02AD6">
                    <w:rPr>
                      <w:rFonts w:eastAsia="MS Mincho"/>
                      <w:szCs w:val="24"/>
                      <w:lang w:eastAsia="hr-HR" w:bidi="th-TH"/>
                    </w:rPr>
                    <w:t>2000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Cs w:val="24"/>
                      <w:lang w:eastAsia="hr-HR" w:bidi="th-TH"/>
                    </w:rPr>
                  </w:pPr>
                  <w:r w:rsidRPr="00B02AD6">
                    <w:rPr>
                      <w:rFonts w:eastAsia="MS Mincho"/>
                      <w:szCs w:val="24"/>
                      <w:lang w:eastAsia="hr-HR" w:bidi="th-TH"/>
                    </w:rPr>
                    <w:t>1300</w:t>
                  </w:r>
                </w:p>
              </w:tc>
            </w:tr>
            <w:tr w:rsidR="009A4510" w:rsidRPr="00B02AD6" w:rsidTr="00985E90">
              <w:tc>
                <w:tcPr>
                  <w:tcW w:w="80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432"/>
                    </w:tabs>
                    <w:autoSpaceDE w:val="0"/>
                    <w:autoSpaceDN w:val="0"/>
                    <w:adjustRightInd w:val="0"/>
                    <w:rPr>
                      <w:rFonts w:eastAsia="MS Mincho"/>
                      <w:szCs w:val="24"/>
                      <w:lang w:eastAsia="hr-HR" w:bidi="th-TH"/>
                    </w:rPr>
                  </w:pPr>
                  <w:r w:rsidRPr="00B02AD6">
                    <w:rPr>
                      <w:szCs w:val="24"/>
                      <w:lang w:eastAsia="hr-HR"/>
                    </w:rPr>
                    <w:sym w:font="Symbol" w:char="F0B3"/>
                  </w:r>
                  <w:r w:rsidRPr="00B02AD6">
                    <w:rPr>
                      <w:szCs w:val="24"/>
                      <w:lang w:eastAsia="hr-HR"/>
                    </w:rPr>
                    <w:t> 2,19</w:t>
                  </w:r>
                </w:p>
              </w:tc>
              <w:tc>
                <w:tcPr>
                  <w:tcW w:w="868"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Cs w:val="24"/>
                      <w:lang w:eastAsia="hr-HR" w:bidi="th-TH"/>
                    </w:rPr>
                  </w:pPr>
                  <w:r w:rsidRPr="00B02AD6">
                    <w:rPr>
                      <w:rFonts w:eastAsia="MS Mincho"/>
                      <w:szCs w:val="24"/>
                      <w:lang w:eastAsia="hr-HR" w:bidi="th-TH"/>
                    </w:rPr>
                    <w:t>2800</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Cs w:val="24"/>
                      <w:lang w:eastAsia="hr-HR" w:bidi="th-TH"/>
                    </w:rPr>
                  </w:pPr>
                  <w:r w:rsidRPr="00B02AD6">
                    <w:rPr>
                      <w:rFonts w:eastAsia="MS Mincho"/>
                      <w:szCs w:val="24"/>
                      <w:lang w:eastAsia="hr-HR" w:bidi="th-TH"/>
                    </w:rPr>
                    <w:t>-</w:t>
                  </w:r>
                </w:p>
              </w:tc>
              <w:tc>
                <w:tcPr>
                  <w:tcW w:w="495"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Cs w:val="24"/>
                      <w:lang w:eastAsia="hr-HR" w:bidi="th-TH"/>
                    </w:rPr>
                  </w:pPr>
                  <w:r w:rsidRPr="00B02AD6">
                    <w:rPr>
                      <w:rFonts w:eastAsia="MS Mincho"/>
                      <w:szCs w:val="24"/>
                      <w:lang w:eastAsia="hr-HR" w:bidi="th-TH"/>
                    </w:rPr>
                    <w:t>1</w:t>
                  </w:r>
                </w:p>
              </w:tc>
              <w:tc>
                <w:tcPr>
                  <w:tcW w:w="497"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Cs w:val="24"/>
                      <w:lang w:eastAsia="hr-HR" w:bidi="th-TH"/>
                    </w:rPr>
                  </w:pPr>
                  <w:r w:rsidRPr="00B02AD6">
                    <w:rPr>
                      <w:rFonts w:eastAsia="MS Mincho"/>
                      <w:szCs w:val="24"/>
                      <w:lang w:eastAsia="hr-HR" w:bidi="th-TH"/>
                    </w:rPr>
                    <w:t>5</w:t>
                  </w:r>
                </w:p>
              </w:tc>
              <w:tc>
                <w:tcPr>
                  <w:tcW w:w="992"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autoSpaceDE w:val="0"/>
                    <w:autoSpaceDN w:val="0"/>
                    <w:adjustRightInd w:val="0"/>
                    <w:jc w:val="center"/>
                    <w:rPr>
                      <w:rFonts w:eastAsia="MS Mincho"/>
                      <w:szCs w:val="24"/>
                      <w:lang w:eastAsia="hr-HR" w:bidi="th-TH"/>
                    </w:rPr>
                  </w:pPr>
                  <w:r w:rsidRPr="00B02AD6">
                    <w:rPr>
                      <w:rFonts w:eastAsia="MS Mincho"/>
                      <w:szCs w:val="24"/>
                      <w:lang w:eastAsia="hr-HR" w:bidi="th-TH"/>
                    </w:rPr>
                    <w:t>2150</w:t>
                  </w:r>
                </w:p>
              </w:tc>
              <w:tc>
                <w:tcPr>
                  <w:tcW w:w="846" w:type="pct"/>
                  <w:tcBorders>
                    <w:top w:val="single" w:sz="6" w:space="0" w:color="000000"/>
                    <w:left w:val="single" w:sz="6" w:space="0" w:color="000000"/>
                    <w:bottom w:val="single" w:sz="6" w:space="0" w:color="000000"/>
                    <w:right w:val="single" w:sz="6" w:space="0" w:color="000000"/>
                  </w:tcBorders>
                  <w:hideMark/>
                </w:tcPr>
                <w:p w:rsidR="009A4510" w:rsidRPr="00B02AD6" w:rsidRDefault="009A4510" w:rsidP="009A4510">
                  <w:pPr>
                    <w:widowControl w:val="0"/>
                    <w:tabs>
                      <w:tab w:val="left" w:pos="162"/>
                    </w:tabs>
                    <w:autoSpaceDE w:val="0"/>
                    <w:autoSpaceDN w:val="0"/>
                    <w:adjustRightInd w:val="0"/>
                    <w:jc w:val="center"/>
                    <w:rPr>
                      <w:rFonts w:eastAsia="MS Mincho"/>
                      <w:szCs w:val="24"/>
                      <w:lang w:eastAsia="hr-HR" w:bidi="th-TH"/>
                    </w:rPr>
                  </w:pPr>
                  <w:r w:rsidRPr="00B02AD6">
                    <w:rPr>
                      <w:rFonts w:eastAsia="MS Mincho"/>
                      <w:szCs w:val="24"/>
                      <w:lang w:eastAsia="hr-HR" w:bidi="th-TH"/>
                    </w:rPr>
                    <w:t>1450</w:t>
                  </w:r>
                </w:p>
              </w:tc>
            </w:tr>
          </w:tbl>
          <w:p w:rsidR="009A4510" w:rsidRPr="00B02AD6" w:rsidRDefault="009A4510" w:rsidP="00A03C69">
            <w:pPr>
              <w:rPr>
                <w:color w:val="FF0000"/>
                <w:sz w:val="22"/>
                <w:szCs w:val="22"/>
              </w:rPr>
            </w:pPr>
          </w:p>
          <w:p w:rsidR="0051655A" w:rsidRPr="00B02AD6" w:rsidRDefault="0051655A" w:rsidP="00A03C69">
            <w:pPr>
              <w:rPr>
                <w:sz w:val="22"/>
                <w:szCs w:val="22"/>
              </w:rPr>
            </w:pPr>
            <w:r w:rsidRPr="00B02AD6">
              <w:rPr>
                <w:sz w:val="22"/>
                <w:szCs w:val="22"/>
              </w:rPr>
              <w:t>Tabela 2: Izračunavanje standardnih i smanjenjih doza prema površini tijela za početnu dozu kapecitabina od 1000 mg/m</w:t>
            </w:r>
            <w:r w:rsidRPr="00B02AD6">
              <w:rPr>
                <w:sz w:val="22"/>
                <w:szCs w:val="22"/>
                <w:vertAlign w:val="superscript"/>
              </w:rPr>
              <w:t>2</w:t>
            </w:r>
          </w:p>
          <w:p w:rsidR="001D14E3" w:rsidRPr="00B02AD6" w:rsidRDefault="001D14E3" w:rsidP="00A03C69">
            <w:pPr>
              <w:rPr>
                <w:color w:val="FF0000"/>
                <w:sz w:val="22"/>
                <w:szCs w:val="22"/>
              </w:rPr>
            </w:pPr>
          </w:p>
          <w:tbl>
            <w:tblPr>
              <w:tblW w:w="4837" w:type="pct"/>
              <w:tblLook w:val="04A0" w:firstRow="1" w:lastRow="0" w:firstColumn="1" w:lastColumn="0" w:noHBand="0" w:noVBand="1"/>
            </w:tblPr>
            <w:tblGrid>
              <w:gridCol w:w="1124"/>
              <w:gridCol w:w="1484"/>
              <w:gridCol w:w="891"/>
              <w:gridCol w:w="891"/>
              <w:gridCol w:w="1141"/>
              <w:gridCol w:w="1452"/>
              <w:gridCol w:w="1568"/>
            </w:tblGrid>
            <w:tr w:rsidR="001D14E3" w:rsidRPr="00B02AD6" w:rsidTr="00985E90">
              <w:tc>
                <w:tcPr>
                  <w:tcW w:w="657" w:type="pct"/>
                  <w:tcBorders>
                    <w:top w:val="single" w:sz="6" w:space="0" w:color="000000"/>
                    <w:left w:val="single" w:sz="6" w:space="0" w:color="000000"/>
                    <w:bottom w:val="nil"/>
                    <w:right w:val="single" w:sz="6" w:space="0" w:color="000000"/>
                  </w:tcBorders>
                </w:tcPr>
                <w:p w:rsidR="001D14E3" w:rsidRPr="00B02AD6" w:rsidRDefault="001D14E3" w:rsidP="001D14E3">
                  <w:pPr>
                    <w:widowControl w:val="0"/>
                    <w:autoSpaceDE w:val="0"/>
                    <w:autoSpaceDN w:val="0"/>
                    <w:adjustRightInd w:val="0"/>
                    <w:jc w:val="center"/>
                    <w:rPr>
                      <w:rFonts w:eastAsia="MS Mincho"/>
                      <w:sz w:val="22"/>
                      <w:szCs w:val="22"/>
                      <w:lang w:eastAsia="hr-HR" w:bidi="th-TH"/>
                    </w:rPr>
                  </w:pPr>
                </w:p>
              </w:tc>
              <w:tc>
                <w:tcPr>
                  <w:tcW w:w="4343" w:type="pct"/>
                  <w:gridSpan w:val="6"/>
                  <w:tcBorders>
                    <w:top w:val="single" w:sz="6" w:space="0" w:color="000000"/>
                    <w:left w:val="single" w:sz="6" w:space="0" w:color="000000"/>
                    <w:bottom w:val="nil"/>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Doza 1000 mg/m</w:t>
                  </w:r>
                  <w:r w:rsidRPr="00B02AD6">
                    <w:rPr>
                      <w:rFonts w:eastAsia="MS Mincho"/>
                      <w:position w:val="6"/>
                      <w:sz w:val="22"/>
                      <w:szCs w:val="22"/>
                      <w:vertAlign w:val="superscript"/>
                      <w:lang w:eastAsia="hr-HR" w:bidi="th-TH"/>
                    </w:rPr>
                    <w:t>2</w:t>
                  </w:r>
                  <w:r w:rsidRPr="00B02AD6">
                    <w:rPr>
                      <w:rFonts w:eastAsia="MS Mincho"/>
                      <w:sz w:val="22"/>
                      <w:szCs w:val="22"/>
                      <w:lang w:eastAsia="hr-HR" w:bidi="th-TH"/>
                    </w:rPr>
                    <w:t xml:space="preserve"> (dva put na dan)</w:t>
                  </w:r>
                </w:p>
              </w:tc>
            </w:tr>
            <w:tr w:rsidR="001D14E3" w:rsidRPr="00B02AD6" w:rsidTr="00985E90">
              <w:tc>
                <w:tcPr>
                  <w:tcW w:w="657" w:type="pct"/>
                  <w:tcBorders>
                    <w:top w:val="single" w:sz="6" w:space="0" w:color="000000"/>
                    <w:left w:val="single" w:sz="6" w:space="0" w:color="000000"/>
                    <w:bottom w:val="nil"/>
                    <w:right w:val="single" w:sz="6" w:space="0" w:color="000000"/>
                  </w:tcBorders>
                </w:tcPr>
                <w:p w:rsidR="001D14E3" w:rsidRPr="00B02AD6" w:rsidRDefault="001D14E3" w:rsidP="001D14E3">
                  <w:pPr>
                    <w:widowControl w:val="0"/>
                    <w:autoSpaceDE w:val="0"/>
                    <w:autoSpaceDN w:val="0"/>
                    <w:adjustRightInd w:val="0"/>
                    <w:jc w:val="center"/>
                    <w:rPr>
                      <w:rFonts w:eastAsia="MS Mincho"/>
                      <w:sz w:val="22"/>
                      <w:szCs w:val="22"/>
                      <w:lang w:eastAsia="hr-HR" w:bidi="th-TH"/>
                    </w:rPr>
                  </w:pPr>
                </w:p>
              </w:tc>
              <w:tc>
                <w:tcPr>
                  <w:tcW w:w="868" w:type="pct"/>
                  <w:tcBorders>
                    <w:top w:val="single" w:sz="6" w:space="0" w:color="000000"/>
                    <w:left w:val="single" w:sz="6" w:space="0" w:color="000000"/>
                    <w:bottom w:val="nil"/>
                    <w:right w:val="single" w:sz="6" w:space="0" w:color="000000"/>
                  </w:tcBorders>
                </w:tcPr>
                <w:p w:rsidR="004C537C" w:rsidRPr="00B02AD6" w:rsidRDefault="004C537C" w:rsidP="004C537C">
                  <w:pPr>
                    <w:widowControl w:val="0"/>
                    <w:autoSpaceDE w:val="0"/>
                    <w:autoSpaceDN w:val="0"/>
                    <w:adjustRightInd w:val="0"/>
                    <w:jc w:val="center"/>
                    <w:rPr>
                      <w:rFonts w:eastAsia="MS Mincho"/>
                      <w:sz w:val="22"/>
                      <w:szCs w:val="22"/>
                      <w:lang w:eastAsia="hr-HR" w:bidi="th-TH"/>
                    </w:rPr>
                  </w:pPr>
                </w:p>
                <w:p w:rsidR="001D14E3" w:rsidRPr="00B02AD6" w:rsidRDefault="004C537C" w:rsidP="004C537C">
                  <w:pPr>
                    <w:widowControl w:val="0"/>
                    <w:autoSpaceDE w:val="0"/>
                    <w:autoSpaceDN w:val="0"/>
                    <w:adjustRightInd w:val="0"/>
                    <w:rPr>
                      <w:rFonts w:eastAsia="MS Mincho"/>
                      <w:sz w:val="22"/>
                      <w:szCs w:val="22"/>
                      <w:lang w:eastAsia="hr-HR" w:bidi="th-TH"/>
                    </w:rPr>
                  </w:pPr>
                  <w:r w:rsidRPr="00B02AD6">
                    <w:rPr>
                      <w:rFonts w:eastAsia="MS Mincho"/>
                      <w:sz w:val="22"/>
                      <w:szCs w:val="22"/>
                      <w:lang w:eastAsia="hr-HR" w:bidi="th-TH"/>
                    </w:rPr>
                    <w:t xml:space="preserve">   </w:t>
                  </w:r>
                  <w:r w:rsidR="001D14E3" w:rsidRPr="00B02AD6">
                    <w:rPr>
                      <w:rFonts w:eastAsia="MS Mincho"/>
                      <w:sz w:val="22"/>
                      <w:szCs w:val="22"/>
                      <w:lang w:eastAsia="hr-HR" w:bidi="th-TH"/>
                    </w:rPr>
                    <w:t>Puna doza</w:t>
                  </w:r>
                </w:p>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1000 mg/m</w:t>
                  </w:r>
                  <w:r w:rsidRPr="00B02AD6">
                    <w:rPr>
                      <w:rFonts w:eastAsia="MS Mincho"/>
                      <w:sz w:val="22"/>
                      <w:szCs w:val="22"/>
                      <w:vertAlign w:val="superscript"/>
                      <w:lang w:eastAsia="hr-HR" w:bidi="th-TH"/>
                    </w:rPr>
                    <w:t>2</w:t>
                  </w:r>
                </w:p>
              </w:tc>
              <w:tc>
                <w:tcPr>
                  <w:tcW w:w="1709" w:type="pct"/>
                  <w:gridSpan w:val="3"/>
                  <w:tcBorders>
                    <w:top w:val="single" w:sz="6" w:space="0" w:color="000000"/>
                    <w:left w:val="single" w:sz="6" w:space="0" w:color="000000"/>
                    <w:bottom w:val="nil"/>
                    <w:right w:val="single" w:sz="6" w:space="0" w:color="000000"/>
                  </w:tcBorders>
                  <w:hideMark/>
                </w:tcPr>
                <w:p w:rsidR="002373F7" w:rsidRPr="00B02AD6" w:rsidRDefault="002373F7" w:rsidP="004A2109">
                  <w:pPr>
                    <w:autoSpaceDE w:val="0"/>
                    <w:autoSpaceDN w:val="0"/>
                    <w:adjustRightInd w:val="0"/>
                    <w:rPr>
                      <w:rFonts w:ascii="TimesNewRoman" w:hAnsi="TimesNewRoman" w:cs="TimesNewRoman"/>
                      <w:sz w:val="21"/>
                      <w:szCs w:val="21"/>
                      <w:lang w:eastAsia="en-US"/>
                    </w:rPr>
                  </w:pPr>
                </w:p>
                <w:p w:rsidR="004A2109" w:rsidRPr="00B02AD6" w:rsidRDefault="004A2109" w:rsidP="004A2109">
                  <w:pPr>
                    <w:autoSpaceDE w:val="0"/>
                    <w:autoSpaceDN w:val="0"/>
                    <w:adjustRightInd w:val="0"/>
                    <w:rPr>
                      <w:rFonts w:ascii="TimesNewRoman" w:hAnsi="TimesNewRoman" w:cs="TimesNewRoman"/>
                      <w:sz w:val="21"/>
                      <w:szCs w:val="21"/>
                      <w:lang w:eastAsia="en-US"/>
                    </w:rPr>
                  </w:pPr>
                  <w:r w:rsidRPr="00B02AD6">
                    <w:rPr>
                      <w:rFonts w:ascii="TimesNewRoman" w:hAnsi="TimesNewRoman" w:cs="TimesNewRoman"/>
                      <w:sz w:val="21"/>
                      <w:szCs w:val="21"/>
                      <w:lang w:eastAsia="en-US"/>
                    </w:rPr>
                    <w:t>Broj tableta od 150 mg, 300 mg</w:t>
                  </w:r>
                </w:p>
                <w:p w:rsidR="001D14E3" w:rsidRPr="00B02AD6" w:rsidRDefault="004A2109" w:rsidP="002373F7">
                  <w:pPr>
                    <w:autoSpaceDE w:val="0"/>
                    <w:autoSpaceDN w:val="0"/>
                    <w:adjustRightInd w:val="0"/>
                    <w:rPr>
                      <w:rFonts w:ascii="TimesNewRoman" w:hAnsi="TimesNewRoman" w:cs="TimesNewRoman"/>
                      <w:sz w:val="21"/>
                      <w:szCs w:val="21"/>
                      <w:lang w:eastAsia="en-US"/>
                    </w:rPr>
                  </w:pPr>
                  <w:r w:rsidRPr="00B02AD6">
                    <w:rPr>
                      <w:rFonts w:ascii="TimesNewRoman" w:hAnsi="TimesNewRoman" w:cs="TimesNewRoman"/>
                      <w:sz w:val="21"/>
                      <w:szCs w:val="21"/>
                      <w:lang w:eastAsia="en-US"/>
                    </w:rPr>
                    <w:t>i/ili 500 mg po jednoj primjeni</w:t>
                  </w:r>
                  <w:r w:rsidR="002373F7" w:rsidRPr="00B02AD6">
                    <w:rPr>
                      <w:rFonts w:ascii="TimesNewRoman" w:hAnsi="TimesNewRoman" w:cs="TimesNewRoman"/>
                      <w:sz w:val="21"/>
                      <w:szCs w:val="21"/>
                      <w:lang w:eastAsia="en-US"/>
                    </w:rPr>
                    <w:t xml:space="preserve"> </w:t>
                  </w:r>
                  <w:r w:rsidRPr="00B02AD6">
                    <w:rPr>
                      <w:rFonts w:ascii="TimesNewRoman" w:hAnsi="TimesNewRoman" w:cs="TimesNewRoman"/>
                      <w:sz w:val="21"/>
                      <w:szCs w:val="21"/>
                      <w:lang w:eastAsia="en-US"/>
                    </w:rPr>
                    <w:t xml:space="preserve">(svaka doza uzima se ujutro </w:t>
                  </w:r>
                  <w:r w:rsidR="002373F7" w:rsidRPr="00B02AD6">
                    <w:rPr>
                      <w:rFonts w:ascii="TimesNewRoman" w:hAnsi="TimesNewRoman" w:cs="TimesNewRoman"/>
                      <w:sz w:val="21"/>
                      <w:szCs w:val="21"/>
                      <w:lang w:eastAsia="en-US"/>
                    </w:rPr>
                    <w:t>i uveče)</w:t>
                  </w:r>
                </w:p>
              </w:tc>
              <w:tc>
                <w:tcPr>
                  <w:tcW w:w="849" w:type="pct"/>
                  <w:tcBorders>
                    <w:top w:val="single" w:sz="6" w:space="0" w:color="000000"/>
                    <w:left w:val="single" w:sz="6" w:space="0" w:color="000000"/>
                    <w:bottom w:val="nil"/>
                    <w:right w:val="single" w:sz="6" w:space="0" w:color="000000"/>
                  </w:tcBorders>
                </w:tcPr>
                <w:p w:rsidR="00F81203" w:rsidRPr="00B02AD6" w:rsidRDefault="00F81203" w:rsidP="002373F7">
                  <w:pPr>
                    <w:widowControl w:val="0"/>
                    <w:autoSpaceDE w:val="0"/>
                    <w:autoSpaceDN w:val="0"/>
                    <w:adjustRightInd w:val="0"/>
                    <w:rPr>
                      <w:rFonts w:eastAsia="MS Mincho"/>
                      <w:sz w:val="22"/>
                      <w:szCs w:val="22"/>
                      <w:lang w:eastAsia="hr-HR" w:bidi="th-TH"/>
                    </w:rPr>
                  </w:pPr>
                </w:p>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 xml:space="preserve">Smanjena doza </w:t>
                  </w:r>
                </w:p>
                <w:p w:rsidR="001D14E3" w:rsidRPr="00B02AD6" w:rsidRDefault="001D14E3" w:rsidP="00F8120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(75 %)</w:t>
                  </w:r>
                </w:p>
                <w:p w:rsidR="001D14E3" w:rsidRPr="00B02AD6" w:rsidRDefault="001D14E3" w:rsidP="001D14E3">
                  <w:pPr>
                    <w:widowControl w:val="0"/>
                    <w:autoSpaceDE w:val="0"/>
                    <w:autoSpaceDN w:val="0"/>
                    <w:adjustRightInd w:val="0"/>
                    <w:jc w:val="center"/>
                    <w:rPr>
                      <w:rFonts w:eastAsia="MS Mincho"/>
                      <w:sz w:val="22"/>
                      <w:szCs w:val="22"/>
                      <w:vertAlign w:val="superscript"/>
                      <w:lang w:eastAsia="hr-HR" w:bidi="th-TH"/>
                    </w:rPr>
                  </w:pPr>
                  <w:r w:rsidRPr="00B02AD6">
                    <w:rPr>
                      <w:rFonts w:eastAsia="MS Mincho"/>
                      <w:sz w:val="22"/>
                      <w:szCs w:val="22"/>
                      <w:lang w:eastAsia="hr-HR" w:bidi="th-TH"/>
                    </w:rPr>
                    <w:t>750 mg/m</w:t>
                  </w:r>
                  <w:r w:rsidRPr="00B02AD6">
                    <w:rPr>
                      <w:rFonts w:eastAsia="MS Mincho"/>
                      <w:sz w:val="22"/>
                      <w:szCs w:val="22"/>
                      <w:vertAlign w:val="superscript"/>
                      <w:lang w:eastAsia="hr-HR" w:bidi="th-TH"/>
                    </w:rPr>
                    <w:t>2</w:t>
                  </w:r>
                </w:p>
              </w:tc>
              <w:tc>
                <w:tcPr>
                  <w:tcW w:w="917" w:type="pct"/>
                  <w:tcBorders>
                    <w:top w:val="single" w:sz="6" w:space="0" w:color="000000"/>
                    <w:left w:val="single" w:sz="6" w:space="0" w:color="000000"/>
                    <w:bottom w:val="nil"/>
                    <w:right w:val="single" w:sz="6" w:space="0" w:color="000000"/>
                  </w:tcBorders>
                </w:tcPr>
                <w:p w:rsidR="00F81203" w:rsidRPr="00B02AD6" w:rsidRDefault="00F81203" w:rsidP="002373F7">
                  <w:pPr>
                    <w:widowControl w:val="0"/>
                    <w:autoSpaceDE w:val="0"/>
                    <w:autoSpaceDN w:val="0"/>
                    <w:adjustRightInd w:val="0"/>
                    <w:rPr>
                      <w:rFonts w:eastAsia="MS Mincho"/>
                      <w:sz w:val="22"/>
                      <w:szCs w:val="22"/>
                      <w:lang w:eastAsia="hr-HR" w:bidi="th-TH"/>
                    </w:rPr>
                  </w:pPr>
                </w:p>
                <w:p w:rsidR="001D14E3" w:rsidRPr="00B02AD6" w:rsidRDefault="001D14E3" w:rsidP="001D14E3">
                  <w:pPr>
                    <w:widowControl w:val="0"/>
                    <w:autoSpaceDE w:val="0"/>
                    <w:autoSpaceDN w:val="0"/>
                    <w:adjustRightInd w:val="0"/>
                    <w:rPr>
                      <w:rFonts w:eastAsia="MS Mincho"/>
                      <w:sz w:val="22"/>
                      <w:szCs w:val="22"/>
                      <w:lang w:eastAsia="hr-HR" w:bidi="th-TH"/>
                    </w:rPr>
                  </w:pPr>
                  <w:r w:rsidRPr="00B02AD6">
                    <w:rPr>
                      <w:rFonts w:eastAsia="MS Mincho"/>
                      <w:sz w:val="22"/>
                      <w:szCs w:val="22"/>
                      <w:lang w:eastAsia="hr-HR" w:bidi="th-TH"/>
                    </w:rPr>
                    <w:t xml:space="preserve">Smanjena doza </w:t>
                  </w:r>
                </w:p>
                <w:p w:rsidR="001D14E3" w:rsidRPr="00B02AD6" w:rsidRDefault="001D14E3" w:rsidP="00F8120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(50 %)</w:t>
                  </w:r>
                </w:p>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500 mg/m</w:t>
                  </w:r>
                  <w:r w:rsidRPr="00B02AD6">
                    <w:rPr>
                      <w:rFonts w:eastAsia="MS Mincho"/>
                      <w:sz w:val="22"/>
                      <w:szCs w:val="22"/>
                      <w:vertAlign w:val="superscript"/>
                      <w:lang w:eastAsia="hr-HR" w:bidi="th-TH"/>
                    </w:rPr>
                    <w:t>2</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Tjelesna površina (m</w:t>
                  </w:r>
                  <w:r w:rsidRPr="00B02AD6">
                    <w:rPr>
                      <w:position w:val="6"/>
                      <w:sz w:val="22"/>
                      <w:szCs w:val="22"/>
                      <w:vertAlign w:val="superscript"/>
                      <w:lang w:eastAsia="hr-HR"/>
                    </w:rPr>
                    <w:t>2</w:t>
                  </w:r>
                  <w:r w:rsidRPr="00B02AD6">
                    <w:rPr>
                      <w:sz w:val="22"/>
                      <w:szCs w:val="22"/>
                      <w:lang w:eastAsia="hr-HR"/>
                    </w:rPr>
                    <w:t>)</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755AD6" w:rsidP="00755AD6">
                  <w:pPr>
                    <w:widowControl w:val="0"/>
                    <w:tabs>
                      <w:tab w:val="left" w:pos="162"/>
                    </w:tabs>
                    <w:autoSpaceDE w:val="0"/>
                    <w:autoSpaceDN w:val="0"/>
                    <w:adjustRightInd w:val="0"/>
                    <w:rPr>
                      <w:rFonts w:eastAsia="MS Mincho"/>
                      <w:sz w:val="22"/>
                      <w:szCs w:val="22"/>
                      <w:lang w:eastAsia="hr-HR" w:bidi="th-TH"/>
                    </w:rPr>
                  </w:pPr>
                  <w:r w:rsidRPr="00B02AD6">
                    <w:rPr>
                      <w:sz w:val="22"/>
                      <w:szCs w:val="22"/>
                      <w:lang w:eastAsia="hr-HR"/>
                    </w:rPr>
                    <w:t xml:space="preserve">Doza </w:t>
                  </w:r>
                  <w:r w:rsidR="000559DD" w:rsidRPr="00B02AD6">
                    <w:rPr>
                      <w:sz w:val="22"/>
                      <w:szCs w:val="22"/>
                      <w:lang w:eastAsia="hr-HR"/>
                    </w:rPr>
                    <w:t>po</w:t>
                  </w:r>
                  <w:r w:rsidR="007A2E3F" w:rsidRPr="00B02AD6">
                    <w:rPr>
                      <w:sz w:val="22"/>
                      <w:szCs w:val="22"/>
                      <w:lang w:eastAsia="hr-HR"/>
                    </w:rPr>
                    <w:t xml:space="preserve"> jednoj primjeni</w:t>
                  </w:r>
                  <w:r w:rsidRPr="00B02AD6">
                    <w:rPr>
                      <w:sz w:val="22"/>
                      <w:szCs w:val="22"/>
                      <w:lang w:eastAsia="hr-HR"/>
                    </w:rPr>
                    <w:t xml:space="preserve"> (mg)</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7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150 mg</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755AD6">
                  <w:pPr>
                    <w:widowControl w:val="0"/>
                    <w:tabs>
                      <w:tab w:val="left" w:pos="7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300</w:t>
                  </w:r>
                  <w:r w:rsidR="00755AD6" w:rsidRPr="00B02AD6">
                    <w:rPr>
                      <w:rFonts w:eastAsia="MS Mincho"/>
                      <w:sz w:val="22"/>
                      <w:szCs w:val="22"/>
                      <w:lang w:eastAsia="hr-HR" w:bidi="th-TH"/>
                    </w:rPr>
                    <w:t xml:space="preserve"> </w:t>
                  </w:r>
                  <w:r w:rsidRPr="00B02AD6">
                    <w:rPr>
                      <w:rFonts w:eastAsia="MS Mincho"/>
                      <w:sz w:val="22"/>
                      <w:szCs w:val="22"/>
                      <w:lang w:eastAsia="hr-HR" w:bidi="th-TH"/>
                    </w:rPr>
                    <w:t>mg</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7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500 mg</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755AD6" w:rsidP="001D14E3">
                  <w:pPr>
                    <w:widowControl w:val="0"/>
                    <w:tabs>
                      <w:tab w:val="left" w:pos="72"/>
                    </w:tabs>
                    <w:autoSpaceDE w:val="0"/>
                    <w:autoSpaceDN w:val="0"/>
                    <w:adjustRightInd w:val="0"/>
                    <w:jc w:val="center"/>
                    <w:rPr>
                      <w:rFonts w:eastAsia="MS Mincho"/>
                      <w:sz w:val="22"/>
                      <w:szCs w:val="22"/>
                      <w:lang w:eastAsia="hr-HR" w:bidi="th-TH"/>
                    </w:rPr>
                  </w:pPr>
                  <w:r w:rsidRPr="00B02AD6">
                    <w:rPr>
                      <w:sz w:val="22"/>
                      <w:szCs w:val="22"/>
                      <w:lang w:eastAsia="hr-HR"/>
                    </w:rPr>
                    <w:t xml:space="preserve">Doza </w:t>
                  </w:r>
                  <w:r w:rsidR="007A2E3F" w:rsidRPr="00B02AD6">
                    <w:rPr>
                      <w:sz w:val="22"/>
                      <w:szCs w:val="22"/>
                      <w:lang w:eastAsia="hr-HR"/>
                    </w:rPr>
                    <w:t>po jednoj primjeni</w:t>
                  </w:r>
                  <w:r w:rsidRPr="00B02AD6">
                    <w:rPr>
                      <w:sz w:val="22"/>
                      <w:szCs w:val="22"/>
                      <w:lang w:eastAsia="hr-HR"/>
                    </w:rPr>
                    <w:t xml:space="preserve"> (mg)</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755AD6" w:rsidP="001D14E3">
                  <w:pPr>
                    <w:widowControl w:val="0"/>
                    <w:tabs>
                      <w:tab w:val="left" w:pos="162"/>
                    </w:tabs>
                    <w:autoSpaceDE w:val="0"/>
                    <w:autoSpaceDN w:val="0"/>
                    <w:adjustRightInd w:val="0"/>
                    <w:jc w:val="center"/>
                    <w:rPr>
                      <w:rFonts w:eastAsia="MS Mincho"/>
                      <w:sz w:val="22"/>
                      <w:szCs w:val="22"/>
                      <w:lang w:eastAsia="hr-HR" w:bidi="th-TH"/>
                    </w:rPr>
                  </w:pPr>
                  <w:r w:rsidRPr="00B02AD6">
                    <w:rPr>
                      <w:sz w:val="22"/>
                      <w:szCs w:val="22"/>
                      <w:lang w:eastAsia="hr-HR"/>
                    </w:rPr>
                    <w:t xml:space="preserve">Doza </w:t>
                  </w:r>
                  <w:r w:rsidR="007A2E3F" w:rsidRPr="00B02AD6">
                    <w:rPr>
                      <w:sz w:val="22"/>
                      <w:szCs w:val="22"/>
                      <w:lang w:eastAsia="hr-HR"/>
                    </w:rPr>
                    <w:t>po jednoj primjeni</w:t>
                  </w:r>
                  <w:r w:rsidRPr="00B02AD6">
                    <w:rPr>
                      <w:sz w:val="22"/>
                      <w:szCs w:val="22"/>
                      <w:lang w:eastAsia="hr-HR"/>
                    </w:rPr>
                    <w:t xml:space="preserve"> (mg)</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sym w:font="Symbol" w:char="F0A3"/>
                  </w:r>
                  <w:r w:rsidRPr="00B02AD6">
                    <w:rPr>
                      <w:sz w:val="22"/>
                      <w:szCs w:val="22"/>
                      <w:lang w:eastAsia="hr-HR"/>
                    </w:rPr>
                    <w:t> 1,26</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1150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800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600</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1,27–1,38</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1300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1000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600</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1,39–1,52</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1450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1100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750</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1,53–1,66</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1600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1200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800</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1,67–1,78</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1750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1300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800</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1,79–1,92</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1800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3</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1400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900</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1,93–2,06</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2000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4</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1500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1000</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t>2,07–2,18</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2150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4</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1600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1050</w:t>
                  </w:r>
                </w:p>
              </w:tc>
            </w:tr>
            <w:tr w:rsidR="001D14E3" w:rsidRPr="00B02AD6" w:rsidTr="00985E90">
              <w:tc>
                <w:tcPr>
                  <w:tcW w:w="65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432"/>
                    </w:tabs>
                    <w:autoSpaceDE w:val="0"/>
                    <w:autoSpaceDN w:val="0"/>
                    <w:adjustRightInd w:val="0"/>
                    <w:rPr>
                      <w:rFonts w:eastAsia="MS Mincho"/>
                      <w:sz w:val="22"/>
                      <w:szCs w:val="22"/>
                      <w:lang w:eastAsia="hr-HR" w:bidi="th-TH"/>
                    </w:rPr>
                  </w:pPr>
                  <w:r w:rsidRPr="00B02AD6">
                    <w:rPr>
                      <w:sz w:val="22"/>
                      <w:szCs w:val="22"/>
                      <w:lang w:eastAsia="hr-HR"/>
                    </w:rPr>
                    <w:sym w:font="Symbol" w:char="F0B3"/>
                  </w:r>
                  <w:r w:rsidRPr="00B02AD6">
                    <w:rPr>
                      <w:sz w:val="22"/>
                      <w:szCs w:val="22"/>
                      <w:lang w:eastAsia="hr-HR"/>
                    </w:rPr>
                    <w:t> 2,19</w:t>
                  </w:r>
                </w:p>
              </w:tc>
              <w:tc>
                <w:tcPr>
                  <w:tcW w:w="868"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2300</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w:t>
                  </w:r>
                </w:p>
              </w:tc>
              <w:tc>
                <w:tcPr>
                  <w:tcW w:w="521"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w:t>
                  </w:r>
                </w:p>
              </w:tc>
              <w:tc>
                <w:tcPr>
                  <w:tcW w:w="666"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4</w:t>
                  </w:r>
                </w:p>
              </w:tc>
              <w:tc>
                <w:tcPr>
                  <w:tcW w:w="849"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1750</w:t>
                  </w:r>
                </w:p>
              </w:tc>
              <w:tc>
                <w:tcPr>
                  <w:tcW w:w="917" w:type="pct"/>
                  <w:tcBorders>
                    <w:top w:val="single" w:sz="6" w:space="0" w:color="000000"/>
                    <w:left w:val="single" w:sz="6" w:space="0" w:color="000000"/>
                    <w:bottom w:val="single" w:sz="6" w:space="0" w:color="000000"/>
                    <w:right w:val="single" w:sz="6" w:space="0" w:color="000000"/>
                  </w:tcBorders>
                  <w:hideMark/>
                </w:tcPr>
                <w:p w:rsidR="001D14E3" w:rsidRPr="00B02AD6" w:rsidRDefault="001D14E3" w:rsidP="001D14E3">
                  <w:pPr>
                    <w:widowControl w:val="0"/>
                    <w:tabs>
                      <w:tab w:val="left" w:pos="162"/>
                    </w:tabs>
                    <w:autoSpaceDE w:val="0"/>
                    <w:autoSpaceDN w:val="0"/>
                    <w:adjustRightInd w:val="0"/>
                    <w:jc w:val="center"/>
                    <w:rPr>
                      <w:rFonts w:eastAsia="MS Mincho"/>
                      <w:sz w:val="22"/>
                      <w:szCs w:val="22"/>
                      <w:lang w:eastAsia="hr-HR" w:bidi="th-TH"/>
                    </w:rPr>
                  </w:pPr>
                  <w:r w:rsidRPr="00B02AD6">
                    <w:rPr>
                      <w:rFonts w:eastAsia="MS Mincho"/>
                      <w:sz w:val="22"/>
                      <w:szCs w:val="22"/>
                      <w:lang w:eastAsia="hr-HR" w:bidi="th-TH"/>
                    </w:rPr>
                    <w:t>1100</w:t>
                  </w:r>
                </w:p>
              </w:tc>
            </w:tr>
          </w:tbl>
          <w:p w:rsidR="001D14E3" w:rsidRPr="00B02AD6" w:rsidRDefault="001D14E3" w:rsidP="00A03C69">
            <w:pPr>
              <w:rPr>
                <w:color w:val="FF0000"/>
                <w:sz w:val="22"/>
                <w:szCs w:val="22"/>
              </w:rPr>
            </w:pPr>
          </w:p>
          <w:p w:rsidR="0051655A" w:rsidRPr="00B02AD6" w:rsidRDefault="00421B9E" w:rsidP="00A03C69">
            <w:pPr>
              <w:rPr>
                <w:i/>
                <w:sz w:val="22"/>
                <w:szCs w:val="22"/>
                <w:u w:val="single"/>
              </w:rPr>
            </w:pPr>
            <w:r w:rsidRPr="00B02AD6">
              <w:rPr>
                <w:i/>
                <w:sz w:val="22"/>
                <w:szCs w:val="22"/>
                <w:u w:val="single"/>
              </w:rPr>
              <w:t xml:space="preserve">Prilagođavanje </w:t>
            </w:r>
            <w:r w:rsidR="0051655A" w:rsidRPr="00B02AD6">
              <w:rPr>
                <w:i/>
                <w:sz w:val="22"/>
                <w:szCs w:val="22"/>
                <w:u w:val="single"/>
              </w:rPr>
              <w:t>doze tokom liječenja:</w:t>
            </w:r>
          </w:p>
          <w:p w:rsidR="0051655A" w:rsidRPr="00B02AD6" w:rsidRDefault="0051655A" w:rsidP="00A03C69">
            <w:pPr>
              <w:rPr>
                <w:color w:val="FF0000"/>
                <w:sz w:val="22"/>
                <w:szCs w:val="22"/>
              </w:rPr>
            </w:pPr>
          </w:p>
          <w:p w:rsidR="0051655A" w:rsidRPr="00B02AD6" w:rsidRDefault="0051655A" w:rsidP="00A03C69">
            <w:pPr>
              <w:rPr>
                <w:i/>
                <w:sz w:val="22"/>
                <w:szCs w:val="22"/>
              </w:rPr>
            </w:pPr>
            <w:r w:rsidRPr="00B02AD6">
              <w:rPr>
                <w:i/>
                <w:sz w:val="22"/>
                <w:szCs w:val="22"/>
              </w:rPr>
              <w:t>Opšti principi</w:t>
            </w: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 xml:space="preserve">Toksičnost koja se javlja kao posljedica liječenja kapecitabinom </w:t>
            </w:r>
            <w:r w:rsidR="00421B9E" w:rsidRPr="00B02AD6">
              <w:rPr>
                <w:rFonts w:ascii="TimesNewRoman" w:hAnsi="TimesNewRoman" w:cs="TimesNewRoman"/>
                <w:sz w:val="22"/>
                <w:szCs w:val="22"/>
              </w:rPr>
              <w:t xml:space="preserve">je </w:t>
            </w:r>
            <w:r w:rsidRPr="00B02AD6">
              <w:rPr>
                <w:rFonts w:ascii="TimesNewRoman" w:hAnsi="TimesNewRoman" w:cs="TimesNewRoman"/>
                <w:sz w:val="22"/>
                <w:szCs w:val="22"/>
              </w:rPr>
              <w:t>moguće kontrolisati simptomatskim liječenjem i/ili prilagođavanjem doze (prekid liječenja ili smanjenje doze). Nakon smanjenja doze</w:t>
            </w:r>
            <w:r w:rsidR="00421B9E" w:rsidRPr="00B02AD6">
              <w:rPr>
                <w:rFonts w:ascii="TimesNewRoman" w:hAnsi="TimesNewRoman" w:cs="TimesNewRoman"/>
                <w:sz w:val="22"/>
                <w:szCs w:val="22"/>
              </w:rPr>
              <w:t>,</w:t>
            </w:r>
            <w:r w:rsidRPr="00B02AD6">
              <w:rPr>
                <w:rFonts w:ascii="TimesNewRoman" w:hAnsi="TimesNewRoman" w:cs="TimesNewRoman"/>
                <w:sz w:val="22"/>
                <w:szCs w:val="22"/>
              </w:rPr>
              <w:t xml:space="preserve"> ona se ne smije ponovo povećavati. Kod pojave toksičnih reakcija za koje ordinirajući ljekar smatra da vjerovatno neće postati ozbiljne ili opasne po život, npr. kod alopecije, poremećaja ukusa ili promjena na noktima, liječenje se može nastaviti istom dozom bez njenog smanjenja ili prekida liječenja. Pacijentima koji uzimaju kapecitabin potrebno je naglasiti da u slučaju pojave znakova umjerene ili teške toksičnosti odmah prekinu liječenje. Doze kapecitabina koje su izostavljene zbog toksičnosti ne smiju se nadoknađivati. Sljedeća tabela pokazuje </w:t>
            </w:r>
            <w:r w:rsidR="00421B9E" w:rsidRPr="00B02AD6">
              <w:rPr>
                <w:rFonts w:ascii="TimesNewRoman" w:hAnsi="TimesNewRoman" w:cs="TimesNewRoman"/>
                <w:sz w:val="22"/>
                <w:szCs w:val="22"/>
              </w:rPr>
              <w:t xml:space="preserve">preporučeno </w:t>
            </w:r>
            <w:r w:rsidRPr="00B02AD6">
              <w:rPr>
                <w:rFonts w:ascii="TimesNewRoman" w:hAnsi="TimesNewRoman" w:cs="TimesNewRoman"/>
                <w:sz w:val="22"/>
                <w:szCs w:val="22"/>
              </w:rPr>
              <w:t>prilagođavanje doze zbog toksičnosti:</w:t>
            </w:r>
          </w:p>
          <w:p w:rsidR="0051655A" w:rsidRPr="00B02AD6" w:rsidRDefault="0051655A" w:rsidP="00A03C69">
            <w:pPr>
              <w:rPr>
                <w:color w:val="FF0000"/>
                <w:sz w:val="22"/>
                <w:szCs w:val="22"/>
              </w:rPr>
            </w:pPr>
          </w:p>
          <w:p w:rsidR="0051655A" w:rsidRPr="00B02AD6" w:rsidRDefault="0051655A" w:rsidP="00A03C69">
            <w:pPr>
              <w:rPr>
                <w:sz w:val="22"/>
                <w:szCs w:val="22"/>
              </w:rPr>
            </w:pPr>
            <w:r w:rsidRPr="00B02AD6">
              <w:rPr>
                <w:sz w:val="22"/>
                <w:szCs w:val="22"/>
              </w:rPr>
              <w:t>Tabela 3: Raspored smanjenja doze lijeka kapecitabin (troned</w:t>
            </w:r>
            <w:r w:rsidR="00421B9E" w:rsidRPr="00B02AD6">
              <w:rPr>
                <w:sz w:val="22"/>
                <w:szCs w:val="22"/>
              </w:rPr>
              <w:t>j</w:t>
            </w:r>
            <w:r w:rsidRPr="00B02AD6">
              <w:rPr>
                <w:sz w:val="22"/>
                <w:szCs w:val="22"/>
              </w:rPr>
              <w:t xml:space="preserve">eljni ciklus ili kontinuirana terapija) </w:t>
            </w:r>
          </w:p>
          <w:p w:rsidR="0051655A" w:rsidRPr="00B02AD6" w:rsidRDefault="0051655A" w:rsidP="00A03C69">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4205"/>
              <w:gridCol w:w="2608"/>
            </w:tblGrid>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Stepen toksičnosti *</w:t>
                  </w:r>
                </w:p>
              </w:tc>
              <w:tc>
                <w:tcPr>
                  <w:tcW w:w="2377" w:type="pct"/>
                  <w:shd w:val="clear" w:color="auto" w:fill="auto"/>
                </w:tcPr>
                <w:p w:rsidR="0051655A" w:rsidRPr="00B02AD6" w:rsidRDefault="0051655A" w:rsidP="00A03C69">
                  <w:pPr>
                    <w:rPr>
                      <w:rFonts w:eastAsia="PMingLiU"/>
                      <w:sz w:val="22"/>
                      <w:szCs w:val="22"/>
                    </w:rPr>
                  </w:pPr>
                  <w:r w:rsidRPr="00B02AD6">
                    <w:rPr>
                      <w:rFonts w:eastAsia="PMingLiU"/>
                      <w:sz w:val="22"/>
                      <w:szCs w:val="22"/>
                    </w:rPr>
                    <w:t>Promjene doze tokom liječenja u 3-nedjeljnim ciklusima</w:t>
                  </w: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Podešavanje doze za naredni ciklus/dozu  (% početne doze)</w:t>
                  </w:r>
                </w:p>
              </w:tc>
            </w:tr>
            <w:tr w:rsidR="0051655A" w:rsidRPr="00B02AD6" w:rsidTr="00985E90">
              <w:tc>
                <w:tcPr>
                  <w:tcW w:w="1149" w:type="pct"/>
                  <w:shd w:val="clear" w:color="auto" w:fill="auto"/>
                </w:tcPr>
                <w:p w:rsidR="0051655A" w:rsidRPr="00B02AD6" w:rsidRDefault="0051655A" w:rsidP="0051655A">
                  <w:pPr>
                    <w:numPr>
                      <w:ilvl w:val="0"/>
                      <w:numId w:val="15"/>
                    </w:numPr>
                    <w:jc w:val="both"/>
                    <w:rPr>
                      <w:rFonts w:eastAsia="PMingLiU"/>
                      <w:i/>
                      <w:sz w:val="22"/>
                      <w:szCs w:val="22"/>
                    </w:rPr>
                  </w:pPr>
                  <w:r w:rsidRPr="00B02AD6">
                    <w:rPr>
                      <w:rFonts w:eastAsia="PMingLiU"/>
                      <w:i/>
                      <w:sz w:val="22"/>
                      <w:szCs w:val="22"/>
                    </w:rPr>
                    <w:t>Stepen I</w:t>
                  </w:r>
                </w:p>
              </w:tc>
              <w:tc>
                <w:tcPr>
                  <w:tcW w:w="2377" w:type="pct"/>
                  <w:shd w:val="clear" w:color="auto" w:fill="auto"/>
                </w:tcPr>
                <w:p w:rsidR="0051655A" w:rsidRPr="00B02AD6" w:rsidRDefault="0051655A" w:rsidP="00A03C69">
                  <w:pPr>
                    <w:rPr>
                      <w:rFonts w:eastAsia="PMingLiU"/>
                      <w:sz w:val="22"/>
                      <w:szCs w:val="22"/>
                    </w:rPr>
                  </w:pPr>
                  <w:r w:rsidRPr="00B02AD6">
                    <w:rPr>
                      <w:rFonts w:eastAsia="PMingLiU"/>
                      <w:sz w:val="22"/>
                      <w:szCs w:val="22"/>
                    </w:rPr>
                    <w:t>Zadržati istu dozu</w:t>
                  </w:r>
                </w:p>
              </w:tc>
              <w:tc>
                <w:tcPr>
                  <w:tcW w:w="1474" w:type="pct"/>
                  <w:tcBorders>
                    <w:bottom w:val="single" w:sz="4" w:space="0" w:color="auto"/>
                  </w:tcBorders>
                  <w:shd w:val="clear" w:color="auto" w:fill="auto"/>
                </w:tcPr>
                <w:p w:rsidR="0051655A" w:rsidRPr="00B02AD6" w:rsidRDefault="0051655A" w:rsidP="00A03C69">
                  <w:pPr>
                    <w:rPr>
                      <w:rFonts w:eastAsia="PMingLiU"/>
                      <w:sz w:val="22"/>
                      <w:szCs w:val="22"/>
                    </w:rPr>
                  </w:pPr>
                  <w:r w:rsidRPr="00B02AD6">
                    <w:rPr>
                      <w:rFonts w:eastAsia="PMingLiU"/>
                      <w:sz w:val="22"/>
                      <w:szCs w:val="22"/>
                    </w:rPr>
                    <w:t>Zadržati istu dozu</w:t>
                  </w:r>
                </w:p>
              </w:tc>
            </w:tr>
            <w:tr w:rsidR="0051655A" w:rsidRPr="00B02AD6" w:rsidTr="00985E90">
              <w:tc>
                <w:tcPr>
                  <w:tcW w:w="3526" w:type="pct"/>
                  <w:gridSpan w:val="2"/>
                  <w:tcBorders>
                    <w:right w:val="nil"/>
                  </w:tcBorders>
                  <w:shd w:val="clear" w:color="auto" w:fill="auto"/>
                </w:tcPr>
                <w:p w:rsidR="0051655A" w:rsidRPr="00B02AD6" w:rsidRDefault="0051655A" w:rsidP="0051655A">
                  <w:pPr>
                    <w:numPr>
                      <w:ilvl w:val="0"/>
                      <w:numId w:val="15"/>
                    </w:numPr>
                    <w:jc w:val="both"/>
                    <w:rPr>
                      <w:rFonts w:eastAsia="PMingLiU"/>
                      <w:sz w:val="22"/>
                      <w:szCs w:val="22"/>
                    </w:rPr>
                  </w:pPr>
                  <w:r w:rsidRPr="00B02AD6">
                    <w:rPr>
                      <w:rFonts w:eastAsia="PMingLiU"/>
                      <w:i/>
                      <w:sz w:val="22"/>
                      <w:szCs w:val="22"/>
                    </w:rPr>
                    <w:t>Stepen II</w:t>
                  </w:r>
                </w:p>
              </w:tc>
              <w:tc>
                <w:tcPr>
                  <w:tcW w:w="1474" w:type="pct"/>
                  <w:tcBorders>
                    <w:left w:val="nil"/>
                  </w:tcBorders>
                  <w:shd w:val="clear" w:color="auto" w:fill="auto"/>
                </w:tcPr>
                <w:p w:rsidR="0051655A" w:rsidRPr="00B02AD6" w:rsidRDefault="0051655A" w:rsidP="00A03C69">
                  <w:pPr>
                    <w:rPr>
                      <w:rFonts w:eastAsia="PMingLiU"/>
                      <w:sz w:val="22"/>
                      <w:szCs w:val="22"/>
                    </w:rPr>
                  </w:pPr>
                </w:p>
              </w:tc>
            </w:tr>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Prva pojava</w:t>
                  </w:r>
                </w:p>
              </w:tc>
              <w:tc>
                <w:tcPr>
                  <w:tcW w:w="2377" w:type="pct"/>
                  <w:vMerge w:val="restart"/>
                  <w:shd w:val="clear" w:color="auto" w:fill="auto"/>
                </w:tcPr>
                <w:p w:rsidR="0051655A" w:rsidRPr="00B02AD6" w:rsidRDefault="0051655A" w:rsidP="00A03C69">
                  <w:pPr>
                    <w:rPr>
                      <w:rFonts w:eastAsia="PMingLiU"/>
                      <w:sz w:val="22"/>
                      <w:szCs w:val="22"/>
                    </w:rPr>
                  </w:pPr>
                  <w:r w:rsidRPr="00B02AD6">
                    <w:rPr>
                      <w:rFonts w:eastAsia="PMingLiU"/>
                      <w:sz w:val="22"/>
                      <w:szCs w:val="22"/>
                    </w:rPr>
                    <w:t>Prekinuti dok se povuče do stepena 0-1</w:t>
                  </w:r>
                </w:p>
                <w:p w:rsidR="0051655A" w:rsidRPr="00B02AD6" w:rsidRDefault="0051655A" w:rsidP="00A03C69">
                  <w:pPr>
                    <w:jc w:val="center"/>
                    <w:rPr>
                      <w:rFonts w:eastAsia="PMingLiU"/>
                      <w:sz w:val="22"/>
                      <w:szCs w:val="22"/>
                    </w:rPr>
                  </w:pP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 xml:space="preserve">100% </w:t>
                  </w:r>
                </w:p>
                <w:p w:rsidR="0051655A" w:rsidRPr="00B02AD6" w:rsidRDefault="0051655A" w:rsidP="00A03C69">
                  <w:pPr>
                    <w:rPr>
                      <w:rFonts w:eastAsia="PMingLiU"/>
                      <w:sz w:val="22"/>
                      <w:szCs w:val="22"/>
                    </w:rPr>
                  </w:pPr>
                </w:p>
              </w:tc>
            </w:tr>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Druga pojava</w:t>
                  </w:r>
                </w:p>
              </w:tc>
              <w:tc>
                <w:tcPr>
                  <w:tcW w:w="2377" w:type="pct"/>
                  <w:vMerge/>
                  <w:shd w:val="clear" w:color="auto" w:fill="auto"/>
                </w:tcPr>
                <w:p w:rsidR="0051655A" w:rsidRPr="00B02AD6" w:rsidRDefault="0051655A" w:rsidP="00A03C69">
                  <w:pPr>
                    <w:rPr>
                      <w:rFonts w:eastAsia="PMingLiU"/>
                      <w:sz w:val="22"/>
                      <w:szCs w:val="22"/>
                    </w:rPr>
                  </w:pP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75%</w:t>
                  </w:r>
                </w:p>
              </w:tc>
            </w:tr>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Treća pojava</w:t>
                  </w:r>
                </w:p>
              </w:tc>
              <w:tc>
                <w:tcPr>
                  <w:tcW w:w="2377" w:type="pct"/>
                  <w:vMerge/>
                  <w:shd w:val="clear" w:color="auto" w:fill="auto"/>
                </w:tcPr>
                <w:p w:rsidR="0051655A" w:rsidRPr="00B02AD6" w:rsidRDefault="0051655A" w:rsidP="00A03C69">
                  <w:pPr>
                    <w:rPr>
                      <w:rFonts w:eastAsia="PMingLiU"/>
                      <w:sz w:val="22"/>
                      <w:szCs w:val="22"/>
                    </w:rPr>
                  </w:pP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50%</w:t>
                  </w:r>
                </w:p>
              </w:tc>
            </w:tr>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Četvrta pojava</w:t>
                  </w:r>
                </w:p>
              </w:tc>
              <w:tc>
                <w:tcPr>
                  <w:tcW w:w="2377" w:type="pct"/>
                  <w:shd w:val="clear" w:color="auto" w:fill="auto"/>
                </w:tcPr>
                <w:p w:rsidR="0051655A" w:rsidRPr="00B02AD6" w:rsidRDefault="0051655A" w:rsidP="00A03C69">
                  <w:pPr>
                    <w:rPr>
                      <w:rFonts w:eastAsia="PMingLiU"/>
                      <w:sz w:val="22"/>
                      <w:szCs w:val="22"/>
                    </w:rPr>
                  </w:pPr>
                  <w:r w:rsidRPr="00B02AD6">
                    <w:rPr>
                      <w:rFonts w:eastAsia="PMingLiU"/>
                      <w:sz w:val="22"/>
                      <w:szCs w:val="22"/>
                    </w:rPr>
                    <w:t>Trajno prekinuti terapiju</w:t>
                  </w: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 xml:space="preserve">Nije primjenljivo </w:t>
                  </w:r>
                </w:p>
              </w:tc>
            </w:tr>
            <w:tr w:rsidR="0051655A" w:rsidRPr="00B02AD6" w:rsidTr="00985E90">
              <w:tc>
                <w:tcPr>
                  <w:tcW w:w="3526" w:type="pct"/>
                  <w:gridSpan w:val="2"/>
                  <w:shd w:val="clear" w:color="auto" w:fill="auto"/>
                </w:tcPr>
                <w:p w:rsidR="0051655A" w:rsidRPr="00B02AD6" w:rsidRDefault="0051655A" w:rsidP="0051655A">
                  <w:pPr>
                    <w:numPr>
                      <w:ilvl w:val="0"/>
                      <w:numId w:val="15"/>
                    </w:numPr>
                    <w:jc w:val="both"/>
                    <w:rPr>
                      <w:rFonts w:eastAsia="PMingLiU"/>
                      <w:sz w:val="22"/>
                      <w:szCs w:val="22"/>
                    </w:rPr>
                  </w:pPr>
                  <w:r w:rsidRPr="00B02AD6">
                    <w:rPr>
                      <w:rFonts w:eastAsia="PMingLiU"/>
                      <w:i/>
                      <w:sz w:val="22"/>
                      <w:szCs w:val="22"/>
                    </w:rPr>
                    <w:t>Stepen III</w:t>
                  </w:r>
                </w:p>
              </w:tc>
              <w:tc>
                <w:tcPr>
                  <w:tcW w:w="1474" w:type="pct"/>
                  <w:shd w:val="clear" w:color="auto" w:fill="auto"/>
                </w:tcPr>
                <w:p w:rsidR="0051655A" w:rsidRPr="00B02AD6" w:rsidRDefault="0051655A" w:rsidP="00A03C69">
                  <w:pPr>
                    <w:rPr>
                      <w:rFonts w:eastAsia="PMingLiU"/>
                      <w:sz w:val="22"/>
                      <w:szCs w:val="22"/>
                    </w:rPr>
                  </w:pPr>
                </w:p>
              </w:tc>
            </w:tr>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Prva pojava</w:t>
                  </w:r>
                </w:p>
              </w:tc>
              <w:tc>
                <w:tcPr>
                  <w:tcW w:w="2377" w:type="pct"/>
                  <w:vMerge w:val="restart"/>
                  <w:shd w:val="clear" w:color="auto" w:fill="auto"/>
                </w:tcPr>
                <w:p w:rsidR="0051655A" w:rsidRPr="00B02AD6" w:rsidRDefault="0051655A" w:rsidP="00A03C69">
                  <w:pPr>
                    <w:rPr>
                      <w:rFonts w:eastAsia="PMingLiU"/>
                      <w:sz w:val="22"/>
                      <w:szCs w:val="22"/>
                    </w:rPr>
                  </w:pPr>
                  <w:r w:rsidRPr="00B02AD6">
                    <w:rPr>
                      <w:rFonts w:eastAsia="PMingLiU"/>
                      <w:sz w:val="22"/>
                      <w:szCs w:val="22"/>
                    </w:rPr>
                    <w:t>Prekinuti dok se povuče do stepena 0-1</w:t>
                  </w:r>
                </w:p>
                <w:p w:rsidR="0051655A" w:rsidRPr="00B02AD6" w:rsidRDefault="0051655A" w:rsidP="00A03C69">
                  <w:pPr>
                    <w:rPr>
                      <w:rFonts w:eastAsia="PMingLiU"/>
                      <w:sz w:val="22"/>
                      <w:szCs w:val="22"/>
                    </w:rPr>
                  </w:pP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75%</w:t>
                  </w:r>
                </w:p>
              </w:tc>
            </w:tr>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Druga pojava</w:t>
                  </w:r>
                </w:p>
              </w:tc>
              <w:tc>
                <w:tcPr>
                  <w:tcW w:w="2377" w:type="pct"/>
                  <w:vMerge/>
                  <w:shd w:val="clear" w:color="auto" w:fill="auto"/>
                </w:tcPr>
                <w:p w:rsidR="0051655A" w:rsidRPr="00B02AD6" w:rsidRDefault="0051655A" w:rsidP="00A03C69">
                  <w:pPr>
                    <w:rPr>
                      <w:rFonts w:eastAsia="PMingLiU"/>
                      <w:sz w:val="22"/>
                      <w:szCs w:val="22"/>
                    </w:rPr>
                  </w:pP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50%</w:t>
                  </w:r>
                </w:p>
              </w:tc>
            </w:tr>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Treća pojava</w:t>
                  </w:r>
                </w:p>
              </w:tc>
              <w:tc>
                <w:tcPr>
                  <w:tcW w:w="2377" w:type="pct"/>
                  <w:shd w:val="clear" w:color="auto" w:fill="auto"/>
                </w:tcPr>
                <w:p w:rsidR="0051655A" w:rsidRPr="00B02AD6" w:rsidRDefault="0051655A" w:rsidP="00A03C69">
                  <w:pPr>
                    <w:rPr>
                      <w:rFonts w:eastAsia="PMingLiU"/>
                      <w:sz w:val="22"/>
                      <w:szCs w:val="22"/>
                    </w:rPr>
                  </w:pPr>
                  <w:r w:rsidRPr="00B02AD6">
                    <w:rPr>
                      <w:rFonts w:eastAsia="PMingLiU"/>
                      <w:sz w:val="22"/>
                      <w:szCs w:val="22"/>
                    </w:rPr>
                    <w:t>Trajno prekinuti terapiju</w:t>
                  </w:r>
                </w:p>
              </w:tc>
              <w:tc>
                <w:tcPr>
                  <w:tcW w:w="1474" w:type="pct"/>
                  <w:tcBorders>
                    <w:bottom w:val="single" w:sz="4" w:space="0" w:color="auto"/>
                  </w:tcBorders>
                  <w:shd w:val="clear" w:color="auto" w:fill="auto"/>
                </w:tcPr>
                <w:p w:rsidR="0051655A" w:rsidRPr="00B02AD6" w:rsidRDefault="0051655A" w:rsidP="00A03C69">
                  <w:pPr>
                    <w:rPr>
                      <w:rFonts w:eastAsia="PMingLiU"/>
                      <w:sz w:val="22"/>
                      <w:szCs w:val="22"/>
                    </w:rPr>
                  </w:pPr>
                  <w:r w:rsidRPr="00B02AD6">
                    <w:rPr>
                      <w:rFonts w:eastAsia="PMingLiU"/>
                      <w:sz w:val="22"/>
                      <w:szCs w:val="22"/>
                    </w:rPr>
                    <w:t>Nije primjenljivo</w:t>
                  </w:r>
                </w:p>
              </w:tc>
            </w:tr>
            <w:tr w:rsidR="0051655A" w:rsidRPr="00B02AD6" w:rsidTr="00985E90">
              <w:tc>
                <w:tcPr>
                  <w:tcW w:w="3526" w:type="pct"/>
                  <w:gridSpan w:val="2"/>
                  <w:tcBorders>
                    <w:right w:val="nil"/>
                  </w:tcBorders>
                  <w:shd w:val="clear" w:color="auto" w:fill="auto"/>
                </w:tcPr>
                <w:p w:rsidR="0051655A" w:rsidRPr="00B02AD6" w:rsidRDefault="0051655A" w:rsidP="0051655A">
                  <w:pPr>
                    <w:numPr>
                      <w:ilvl w:val="0"/>
                      <w:numId w:val="15"/>
                    </w:numPr>
                    <w:jc w:val="both"/>
                    <w:rPr>
                      <w:rFonts w:eastAsia="PMingLiU"/>
                      <w:sz w:val="22"/>
                      <w:szCs w:val="22"/>
                    </w:rPr>
                  </w:pPr>
                  <w:r w:rsidRPr="00B02AD6">
                    <w:rPr>
                      <w:rFonts w:eastAsia="PMingLiU"/>
                      <w:i/>
                      <w:sz w:val="22"/>
                      <w:szCs w:val="22"/>
                    </w:rPr>
                    <w:t>Stepen IV</w:t>
                  </w:r>
                </w:p>
              </w:tc>
              <w:tc>
                <w:tcPr>
                  <w:tcW w:w="1474" w:type="pct"/>
                  <w:tcBorders>
                    <w:left w:val="nil"/>
                  </w:tcBorders>
                  <w:shd w:val="clear" w:color="auto" w:fill="auto"/>
                </w:tcPr>
                <w:p w:rsidR="0051655A" w:rsidRPr="00B02AD6" w:rsidRDefault="0051655A" w:rsidP="00A03C69">
                  <w:pPr>
                    <w:rPr>
                      <w:rFonts w:eastAsia="PMingLiU"/>
                      <w:sz w:val="22"/>
                      <w:szCs w:val="22"/>
                    </w:rPr>
                  </w:pPr>
                </w:p>
              </w:tc>
            </w:tr>
            <w:tr w:rsidR="0051655A" w:rsidRPr="00B02AD6" w:rsidTr="00985E90">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Prva pojava</w:t>
                  </w:r>
                </w:p>
              </w:tc>
              <w:tc>
                <w:tcPr>
                  <w:tcW w:w="2377" w:type="pct"/>
                  <w:shd w:val="clear" w:color="auto" w:fill="auto"/>
                </w:tcPr>
                <w:p w:rsidR="0051655A" w:rsidRPr="00B02AD6" w:rsidRDefault="0051655A" w:rsidP="00A03C69">
                  <w:pPr>
                    <w:rPr>
                      <w:rFonts w:eastAsia="PMingLiU"/>
                      <w:sz w:val="22"/>
                      <w:szCs w:val="22"/>
                    </w:rPr>
                  </w:pPr>
                  <w:r w:rsidRPr="00B02AD6">
                    <w:rPr>
                      <w:rFonts w:eastAsia="PMingLiU"/>
                      <w:sz w:val="22"/>
                      <w:szCs w:val="22"/>
                    </w:rPr>
                    <w:t>Trajno prekinuti terapiju</w:t>
                  </w:r>
                </w:p>
                <w:p w:rsidR="0051655A" w:rsidRPr="00B02AD6" w:rsidRDefault="0051655A" w:rsidP="00A03C69">
                  <w:pPr>
                    <w:rPr>
                      <w:rFonts w:eastAsia="PMingLiU"/>
                      <w:i/>
                      <w:sz w:val="22"/>
                      <w:szCs w:val="22"/>
                    </w:rPr>
                  </w:pPr>
                  <w:r w:rsidRPr="00B02AD6">
                    <w:rPr>
                      <w:rFonts w:eastAsia="PMingLiU"/>
                      <w:i/>
                      <w:sz w:val="22"/>
                      <w:szCs w:val="22"/>
                    </w:rPr>
                    <w:t>ili</w:t>
                  </w:r>
                </w:p>
                <w:p w:rsidR="0051655A" w:rsidRPr="00B02AD6" w:rsidRDefault="0051655A" w:rsidP="00A03C69">
                  <w:pPr>
                    <w:rPr>
                      <w:rFonts w:eastAsia="PMingLiU"/>
                      <w:sz w:val="22"/>
                      <w:szCs w:val="22"/>
                    </w:rPr>
                  </w:pPr>
                  <w:r w:rsidRPr="00B02AD6">
                    <w:rPr>
                      <w:rFonts w:eastAsia="PMingLiU"/>
                      <w:sz w:val="22"/>
                      <w:szCs w:val="22"/>
                    </w:rPr>
                    <w:t>ako ljekar smatra da je nastavak liječenja u interesu pacijenta, prekinuti dok se ne povuče do stepena 0-1</w:t>
                  </w: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50%</w:t>
                  </w:r>
                </w:p>
              </w:tc>
            </w:tr>
            <w:tr w:rsidR="0051655A" w:rsidRPr="00B02AD6" w:rsidTr="00985E90">
              <w:trPr>
                <w:trHeight w:val="96"/>
              </w:trPr>
              <w:tc>
                <w:tcPr>
                  <w:tcW w:w="1149" w:type="pct"/>
                  <w:shd w:val="clear" w:color="auto" w:fill="auto"/>
                </w:tcPr>
                <w:p w:rsidR="0051655A" w:rsidRPr="00B02AD6" w:rsidRDefault="0051655A" w:rsidP="00A03C69">
                  <w:pPr>
                    <w:rPr>
                      <w:rFonts w:eastAsia="PMingLiU"/>
                      <w:sz w:val="22"/>
                      <w:szCs w:val="22"/>
                    </w:rPr>
                  </w:pPr>
                  <w:r w:rsidRPr="00B02AD6">
                    <w:rPr>
                      <w:rFonts w:eastAsia="PMingLiU"/>
                      <w:sz w:val="22"/>
                      <w:szCs w:val="22"/>
                    </w:rPr>
                    <w:t>Druga pojava</w:t>
                  </w:r>
                </w:p>
              </w:tc>
              <w:tc>
                <w:tcPr>
                  <w:tcW w:w="2377" w:type="pct"/>
                  <w:shd w:val="clear" w:color="auto" w:fill="auto"/>
                </w:tcPr>
                <w:p w:rsidR="0051655A" w:rsidRPr="00B02AD6" w:rsidRDefault="0051655A" w:rsidP="00A03C69">
                  <w:pPr>
                    <w:rPr>
                      <w:rFonts w:eastAsia="PMingLiU"/>
                      <w:sz w:val="22"/>
                      <w:szCs w:val="22"/>
                    </w:rPr>
                  </w:pPr>
                  <w:r w:rsidRPr="00B02AD6">
                    <w:rPr>
                      <w:rFonts w:eastAsia="PMingLiU"/>
                      <w:sz w:val="22"/>
                      <w:szCs w:val="22"/>
                    </w:rPr>
                    <w:t>Trajno prekinuti terapiju</w:t>
                  </w:r>
                </w:p>
              </w:tc>
              <w:tc>
                <w:tcPr>
                  <w:tcW w:w="1474" w:type="pct"/>
                  <w:shd w:val="clear" w:color="auto" w:fill="auto"/>
                </w:tcPr>
                <w:p w:rsidR="0051655A" w:rsidRPr="00B02AD6" w:rsidRDefault="0051655A" w:rsidP="00A03C69">
                  <w:pPr>
                    <w:rPr>
                      <w:rFonts w:eastAsia="PMingLiU"/>
                      <w:sz w:val="22"/>
                      <w:szCs w:val="22"/>
                    </w:rPr>
                  </w:pPr>
                  <w:r w:rsidRPr="00B02AD6">
                    <w:rPr>
                      <w:rFonts w:eastAsia="PMingLiU"/>
                      <w:sz w:val="22"/>
                      <w:szCs w:val="22"/>
                    </w:rPr>
                    <w:t>Nije primjenljivo</w:t>
                  </w:r>
                </w:p>
              </w:tc>
            </w:tr>
          </w:tbl>
          <w:p w:rsidR="0051655A" w:rsidRPr="00B02AD6" w:rsidRDefault="0051655A" w:rsidP="00A03C69">
            <w:pPr>
              <w:autoSpaceDE w:val="0"/>
              <w:autoSpaceDN w:val="0"/>
              <w:adjustRightInd w:val="0"/>
              <w:jc w:val="both"/>
              <w:rPr>
                <w:sz w:val="20"/>
                <w:szCs w:val="22"/>
              </w:rPr>
            </w:pPr>
            <w:r w:rsidRPr="00B02AD6">
              <w:rPr>
                <w:sz w:val="20"/>
                <w:szCs w:val="22"/>
              </w:rPr>
              <w:t>*prema opštim kriterijumima</w:t>
            </w:r>
            <w:r w:rsidR="00421B9E" w:rsidRPr="00B02AD6">
              <w:rPr>
                <w:sz w:val="20"/>
                <w:szCs w:val="22"/>
              </w:rPr>
              <w:t xml:space="preserve"> </w:t>
            </w:r>
            <w:r w:rsidRPr="00B02AD6">
              <w:rPr>
                <w:sz w:val="20"/>
                <w:szCs w:val="22"/>
              </w:rPr>
              <w:t>toksičnosti grupe za klinička ispitivanja Kanadskog nacionalnog instituta za rak (National Cancer Institute of Canada Clinical Trial Group - NCIC CTG), verzija 1</w:t>
            </w:r>
            <w:r w:rsidR="00421B9E" w:rsidRPr="00B02AD6">
              <w:rPr>
                <w:sz w:val="20"/>
                <w:szCs w:val="22"/>
              </w:rPr>
              <w:t xml:space="preserve"> </w:t>
            </w:r>
            <w:r w:rsidRPr="00B02AD6">
              <w:rPr>
                <w:sz w:val="20"/>
                <w:szCs w:val="22"/>
              </w:rPr>
              <w:t xml:space="preserve">ili </w:t>
            </w:r>
            <w:r w:rsidR="00421B9E" w:rsidRPr="00B02AD6">
              <w:rPr>
                <w:sz w:val="20"/>
                <w:szCs w:val="22"/>
              </w:rPr>
              <w:t>opštim</w:t>
            </w:r>
            <w:r w:rsidRPr="00B02AD6">
              <w:rPr>
                <w:sz w:val="20"/>
                <w:szCs w:val="22"/>
              </w:rPr>
              <w:t xml:space="preserve"> kriterijum</w:t>
            </w:r>
            <w:r w:rsidR="00421B9E" w:rsidRPr="00B02AD6">
              <w:rPr>
                <w:sz w:val="20"/>
                <w:szCs w:val="22"/>
              </w:rPr>
              <w:t>im</w:t>
            </w:r>
            <w:r w:rsidRPr="00B02AD6">
              <w:rPr>
                <w:sz w:val="20"/>
                <w:szCs w:val="22"/>
              </w:rPr>
              <w:t xml:space="preserve">a </w:t>
            </w:r>
            <w:r w:rsidR="00260E96" w:rsidRPr="00B02AD6">
              <w:rPr>
                <w:sz w:val="20"/>
                <w:szCs w:val="22"/>
              </w:rPr>
              <w:t xml:space="preserve">terminologije </w:t>
            </w:r>
            <w:r w:rsidRPr="00B02AD6">
              <w:rPr>
                <w:sz w:val="20"/>
                <w:szCs w:val="22"/>
              </w:rPr>
              <w:t xml:space="preserve">za neželjene događaje prema programu evaluacije terapije karcinoma Američkog nacionalnog instituta za rak (Common Terminology Criteria for Adverse Events (CTCAE) of the Cancer Therapy Evaluation Program, US National Cancer Institute), verzija 4.0. Za sindrom šaka-stopalo i hiperbilirubinemiju vidjeti odjeljak 4.4.  </w:t>
            </w:r>
          </w:p>
          <w:p w:rsidR="0051655A" w:rsidRPr="00B02AD6" w:rsidRDefault="0051655A" w:rsidP="00A03C69">
            <w:pPr>
              <w:rPr>
                <w:color w:val="FF0000"/>
                <w:sz w:val="22"/>
                <w:szCs w:val="22"/>
              </w:rPr>
            </w:pPr>
          </w:p>
          <w:p w:rsidR="0051655A" w:rsidRPr="00B02AD6" w:rsidRDefault="0051655A" w:rsidP="00A03C69">
            <w:pPr>
              <w:rPr>
                <w:sz w:val="22"/>
                <w:szCs w:val="22"/>
              </w:rPr>
            </w:pPr>
            <w:r w:rsidRPr="00B02AD6">
              <w:rPr>
                <w:i/>
                <w:sz w:val="22"/>
                <w:szCs w:val="22"/>
              </w:rPr>
              <w:t>Hematologija</w:t>
            </w:r>
          </w:p>
          <w:p w:rsidR="0051655A" w:rsidRPr="00B02AD6" w:rsidRDefault="0051655A" w:rsidP="00A03C69">
            <w:pPr>
              <w:jc w:val="both"/>
              <w:rPr>
                <w:sz w:val="22"/>
                <w:szCs w:val="22"/>
              </w:rPr>
            </w:pPr>
            <w:r w:rsidRPr="00B02AD6">
              <w:rPr>
                <w:sz w:val="22"/>
                <w:szCs w:val="22"/>
              </w:rPr>
              <w:t>Pacijente sa početnim brojem neutrofila &lt;1,5 x 10</w:t>
            </w:r>
            <w:r w:rsidRPr="00B02AD6">
              <w:rPr>
                <w:sz w:val="22"/>
                <w:szCs w:val="22"/>
                <w:vertAlign w:val="superscript"/>
              </w:rPr>
              <w:t>9</w:t>
            </w:r>
            <w:r w:rsidRPr="00B02AD6">
              <w:rPr>
                <w:sz w:val="22"/>
                <w:szCs w:val="22"/>
              </w:rPr>
              <w:t>/L i/ili brojem trombocita &lt;100 x 10</w:t>
            </w:r>
            <w:r w:rsidRPr="00B02AD6">
              <w:rPr>
                <w:sz w:val="22"/>
                <w:szCs w:val="22"/>
                <w:vertAlign w:val="superscript"/>
              </w:rPr>
              <w:t>9</w:t>
            </w:r>
            <w:r w:rsidRPr="00B02AD6">
              <w:rPr>
                <w:sz w:val="22"/>
                <w:szCs w:val="22"/>
              </w:rPr>
              <w:t xml:space="preserve">/L ne bi trebalo liječiti kapecitabinom. Ako neplanirana laboratorijska procjena tokom ciklusa liječenja </w:t>
            </w:r>
            <w:r w:rsidRPr="00B02AD6">
              <w:rPr>
                <w:sz w:val="22"/>
                <w:szCs w:val="22"/>
              </w:rPr>
              <w:lastRenderedPageBreak/>
              <w:t>pokaže pad broja neutrofila ispod 1,0 x 10</w:t>
            </w:r>
            <w:r w:rsidRPr="00B02AD6">
              <w:rPr>
                <w:sz w:val="22"/>
                <w:szCs w:val="22"/>
                <w:vertAlign w:val="superscript"/>
              </w:rPr>
              <w:t>9</w:t>
            </w:r>
            <w:r w:rsidRPr="00B02AD6">
              <w:rPr>
                <w:sz w:val="22"/>
                <w:szCs w:val="22"/>
              </w:rPr>
              <w:t>/L ili pad broj</w:t>
            </w:r>
            <w:r w:rsidR="00260E96" w:rsidRPr="00B02AD6">
              <w:rPr>
                <w:sz w:val="22"/>
                <w:szCs w:val="22"/>
              </w:rPr>
              <w:t>a</w:t>
            </w:r>
            <w:r w:rsidRPr="00B02AD6">
              <w:rPr>
                <w:sz w:val="22"/>
                <w:szCs w:val="22"/>
              </w:rPr>
              <w:t xml:space="preserve"> trombocita ispod 75 x 10</w:t>
            </w:r>
            <w:r w:rsidRPr="00B02AD6">
              <w:rPr>
                <w:sz w:val="22"/>
                <w:szCs w:val="22"/>
                <w:vertAlign w:val="superscript"/>
              </w:rPr>
              <w:t>9</w:t>
            </w:r>
            <w:r w:rsidRPr="00B02AD6">
              <w:rPr>
                <w:sz w:val="22"/>
                <w:szCs w:val="22"/>
              </w:rPr>
              <w:t>/L, potrebno je prekinuti liječenje kapecitabinom.</w:t>
            </w:r>
          </w:p>
          <w:p w:rsidR="0051655A" w:rsidRPr="00B02AD6" w:rsidRDefault="0051655A" w:rsidP="00A03C69">
            <w:pPr>
              <w:rPr>
                <w:color w:val="FF0000"/>
                <w:sz w:val="22"/>
                <w:szCs w:val="22"/>
              </w:rPr>
            </w:pPr>
          </w:p>
          <w:p w:rsidR="0051655A" w:rsidRPr="00B02AD6" w:rsidRDefault="0051655A" w:rsidP="00A03C69">
            <w:pPr>
              <w:rPr>
                <w:i/>
                <w:sz w:val="22"/>
                <w:szCs w:val="22"/>
              </w:rPr>
            </w:pPr>
            <w:r w:rsidRPr="00B02AD6">
              <w:rPr>
                <w:i/>
                <w:sz w:val="22"/>
                <w:szCs w:val="22"/>
              </w:rPr>
              <w:t>Prilagođavanje doze zbog toksičnosti kada se kapecitabin primjenjuje u ciklusima od 3 nedjelje u kombinaciji sa drugim ljekovima</w:t>
            </w:r>
          </w:p>
          <w:p w:rsidR="0051655A" w:rsidRPr="00B02AD6" w:rsidRDefault="0051655A" w:rsidP="00A03C69">
            <w:pPr>
              <w:jc w:val="both"/>
              <w:rPr>
                <w:sz w:val="22"/>
                <w:szCs w:val="22"/>
              </w:rPr>
            </w:pPr>
            <w:r w:rsidRPr="00B02AD6">
              <w:rPr>
                <w:sz w:val="22"/>
                <w:szCs w:val="22"/>
              </w:rPr>
              <w:t xml:space="preserve">Prilagođavanje doze zbog toksičnosti kada se kapecitabin koristi u ciklusima od 3 nedjelje u kombinaciji sa drugim ljekovima treba vršiti u skladu sa gore navedenom Tabelom 3 za kapecitabin i u skladu sa odgovarajućim Sažetkom karakteristika lijeka za drugi lijek (druge ljekove). </w:t>
            </w:r>
          </w:p>
          <w:p w:rsidR="0051655A" w:rsidRPr="00B02AD6" w:rsidRDefault="0051655A" w:rsidP="00A03C69">
            <w:pPr>
              <w:rPr>
                <w:color w:val="FF0000"/>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 xml:space="preserve">Ako je na početku liječenja indikovano odlaganje liječenja bilo kapecitabinom, bilo drugim lijekom (ljekovima), primjena svih ljekova </w:t>
            </w:r>
            <w:r w:rsidR="00260E96" w:rsidRPr="00B02AD6">
              <w:rPr>
                <w:rFonts w:ascii="TimesNewRoman" w:hAnsi="TimesNewRoman" w:cs="TimesNewRoman"/>
                <w:sz w:val="22"/>
                <w:szCs w:val="22"/>
              </w:rPr>
              <w:t xml:space="preserve">se </w:t>
            </w:r>
            <w:r w:rsidRPr="00B02AD6">
              <w:rPr>
                <w:rFonts w:ascii="TimesNewRoman" w:hAnsi="TimesNewRoman" w:cs="TimesNewRoman"/>
                <w:sz w:val="22"/>
                <w:szCs w:val="22"/>
              </w:rPr>
              <w:t>mora odložiti dok ne budu zadovoljeni uslovi za početak liječenja svim ljekovima.</w:t>
            </w:r>
          </w:p>
          <w:p w:rsidR="0051655A" w:rsidRPr="00B02AD6" w:rsidRDefault="0051655A" w:rsidP="00A03C69">
            <w:pPr>
              <w:rPr>
                <w:color w:val="FF0000"/>
                <w:sz w:val="22"/>
                <w:szCs w:val="22"/>
              </w:rPr>
            </w:pPr>
          </w:p>
          <w:p w:rsidR="0051655A" w:rsidRPr="00B02AD6" w:rsidRDefault="0051655A" w:rsidP="00A03C69">
            <w:pPr>
              <w:autoSpaceDE w:val="0"/>
              <w:autoSpaceDN w:val="0"/>
              <w:adjustRightInd w:val="0"/>
              <w:jc w:val="both"/>
              <w:rPr>
                <w:color w:val="FF0000"/>
                <w:sz w:val="22"/>
                <w:szCs w:val="22"/>
              </w:rPr>
            </w:pPr>
            <w:r w:rsidRPr="00B02AD6">
              <w:rPr>
                <w:rFonts w:ascii="TimesNewRoman" w:hAnsi="TimesNewRoman" w:cs="TimesNewRoman"/>
                <w:sz w:val="22"/>
                <w:szCs w:val="22"/>
              </w:rPr>
              <w:t>Ako se tokom liječenja razviju toksične reakcije koje prema mišljenju ordinirajućeg ljekara nisu povezane sa primjenom kapecitabina, liječenje kapecitabinom treba nastaviti, a dozu drugog lijeka treba prilagoditi prema Sažetku karakteristika tog lijeka.</w:t>
            </w:r>
            <w:r w:rsidRPr="00B02AD6">
              <w:rPr>
                <w:color w:val="FF0000"/>
                <w:sz w:val="22"/>
                <w:szCs w:val="22"/>
              </w:rPr>
              <w:t xml:space="preserve"> </w:t>
            </w:r>
          </w:p>
          <w:p w:rsidR="0051655A" w:rsidRPr="00B02AD6" w:rsidRDefault="0051655A" w:rsidP="00A03C69">
            <w:pPr>
              <w:autoSpaceDE w:val="0"/>
              <w:autoSpaceDN w:val="0"/>
              <w:adjustRightInd w:val="0"/>
              <w:jc w:val="both"/>
              <w:rPr>
                <w:color w:val="FF0000"/>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Ukoliko je liječenje drugim lijekom ili ljekovima potrebno trajno prekinuti, liječenje kapecitabinom može se nastaviti kada se zadovolje uslovi za nastavak liječenja kapecitabinom.</w:t>
            </w:r>
          </w:p>
          <w:p w:rsidR="0051655A" w:rsidRPr="00B02AD6" w:rsidRDefault="0051655A" w:rsidP="00A03C69">
            <w:pPr>
              <w:rPr>
                <w:color w:val="FF0000"/>
                <w:sz w:val="22"/>
                <w:szCs w:val="22"/>
              </w:rPr>
            </w:pPr>
          </w:p>
          <w:p w:rsidR="0051655A" w:rsidRPr="00B02AD6" w:rsidRDefault="0051655A" w:rsidP="00A03C69">
            <w:pPr>
              <w:rPr>
                <w:color w:val="FF0000"/>
                <w:sz w:val="22"/>
                <w:szCs w:val="22"/>
              </w:rPr>
            </w:pPr>
            <w:r w:rsidRPr="00B02AD6">
              <w:rPr>
                <w:rFonts w:ascii="TimesNewRoman" w:hAnsi="TimesNewRoman" w:cs="TimesNewRoman"/>
                <w:sz w:val="22"/>
                <w:szCs w:val="22"/>
              </w:rPr>
              <w:t>Preporuka se odnosi na sve indikacije i sve grupe pacijenata.</w:t>
            </w:r>
          </w:p>
          <w:p w:rsidR="0051655A" w:rsidRPr="00B02AD6" w:rsidRDefault="0051655A" w:rsidP="00A03C69">
            <w:pPr>
              <w:rPr>
                <w:color w:val="FF0000"/>
                <w:sz w:val="22"/>
                <w:szCs w:val="22"/>
              </w:rPr>
            </w:pPr>
          </w:p>
          <w:p w:rsidR="0051655A" w:rsidRPr="00B02AD6" w:rsidRDefault="0051655A" w:rsidP="00A03C69">
            <w:pPr>
              <w:jc w:val="both"/>
              <w:rPr>
                <w:i/>
                <w:sz w:val="22"/>
                <w:szCs w:val="22"/>
              </w:rPr>
            </w:pPr>
            <w:r w:rsidRPr="00B02AD6">
              <w:rPr>
                <w:i/>
                <w:sz w:val="22"/>
                <w:szCs w:val="22"/>
              </w:rPr>
              <w:t xml:space="preserve">Prilagođavanje doze zbog toksičnosti kada se kapecitabin primjenjuje kontinuirano u kombinaciji sa drugim ljekovima: </w:t>
            </w:r>
          </w:p>
          <w:p w:rsidR="0051655A" w:rsidRPr="00B02AD6" w:rsidRDefault="0051655A" w:rsidP="00A03C69">
            <w:pPr>
              <w:jc w:val="both"/>
              <w:rPr>
                <w:sz w:val="22"/>
                <w:szCs w:val="22"/>
              </w:rPr>
            </w:pPr>
            <w:r w:rsidRPr="00B02AD6">
              <w:rPr>
                <w:sz w:val="22"/>
                <w:szCs w:val="22"/>
              </w:rPr>
              <w:t xml:space="preserve">Prilagođavanje doze zbog toksičnosti kada se kapecitabin primjenjuje kontinuirano u kombinaciji sa drugim ljekovima treba vršiti u skladu sa gore navedenom Tabelom 3 za kapecitabin i u skladu sa odgovarajućim </w:t>
            </w:r>
            <w:r w:rsidR="00F968E4" w:rsidRPr="00B02AD6">
              <w:rPr>
                <w:sz w:val="22"/>
                <w:szCs w:val="22"/>
              </w:rPr>
              <w:t xml:space="preserve">Sažetkom </w:t>
            </w:r>
            <w:r w:rsidRPr="00B02AD6">
              <w:rPr>
                <w:sz w:val="22"/>
                <w:szCs w:val="22"/>
              </w:rPr>
              <w:t xml:space="preserve">karakteristika proizvoda za drugi lijek (druge ljekove). </w:t>
            </w:r>
          </w:p>
          <w:p w:rsidR="0051655A" w:rsidRPr="00B02AD6" w:rsidRDefault="0051655A" w:rsidP="00A03C69">
            <w:pPr>
              <w:rPr>
                <w:color w:val="FF0000"/>
                <w:sz w:val="22"/>
                <w:szCs w:val="22"/>
              </w:rPr>
            </w:pPr>
          </w:p>
          <w:p w:rsidR="0051655A" w:rsidRPr="00B02AD6" w:rsidRDefault="0051655A" w:rsidP="00A03C69">
            <w:pPr>
              <w:rPr>
                <w:i/>
                <w:sz w:val="22"/>
                <w:szCs w:val="22"/>
                <w:u w:val="single"/>
              </w:rPr>
            </w:pPr>
            <w:r w:rsidRPr="00B02AD6">
              <w:rPr>
                <w:i/>
                <w:sz w:val="22"/>
                <w:szCs w:val="22"/>
                <w:u w:val="single"/>
              </w:rPr>
              <w:t xml:space="preserve">Prilagođavanje doze za posebne grupe pacijenata </w:t>
            </w:r>
          </w:p>
          <w:p w:rsidR="0051655A" w:rsidRPr="00B02AD6" w:rsidRDefault="0051655A" w:rsidP="00A03C69">
            <w:pPr>
              <w:rPr>
                <w:color w:val="FF0000"/>
                <w:sz w:val="22"/>
                <w:szCs w:val="22"/>
                <w:u w:val="single"/>
              </w:rPr>
            </w:pPr>
          </w:p>
          <w:p w:rsidR="0051655A" w:rsidRPr="00B02AD6" w:rsidRDefault="0051655A" w:rsidP="00A03C69">
            <w:pPr>
              <w:rPr>
                <w:i/>
                <w:sz w:val="22"/>
                <w:szCs w:val="22"/>
              </w:rPr>
            </w:pPr>
            <w:r w:rsidRPr="00B02AD6">
              <w:rPr>
                <w:i/>
                <w:sz w:val="22"/>
                <w:szCs w:val="22"/>
              </w:rPr>
              <w:t xml:space="preserve">Hepatička insuficijencija </w:t>
            </w:r>
          </w:p>
          <w:p w:rsidR="0051655A" w:rsidRPr="00B02AD6" w:rsidRDefault="00F968E4" w:rsidP="00A03C69">
            <w:pPr>
              <w:jc w:val="both"/>
              <w:rPr>
                <w:sz w:val="22"/>
                <w:szCs w:val="22"/>
              </w:rPr>
            </w:pPr>
            <w:r w:rsidRPr="00B02AD6">
              <w:rPr>
                <w:sz w:val="22"/>
                <w:szCs w:val="22"/>
              </w:rPr>
              <w:t xml:space="preserve">Nema </w:t>
            </w:r>
            <w:r w:rsidR="0051655A" w:rsidRPr="00B02AD6">
              <w:rPr>
                <w:sz w:val="22"/>
                <w:szCs w:val="22"/>
              </w:rPr>
              <w:t>dovoljno podataka o bezbjednosti i efikasnosti primjene ovog lijeka kod pacijenata sa oštećenjem funkcije jetre da bi se mogle dati preporuke o prilagođavanju doze. Nisu dostupne informacije za pacijente sa oštećenjem funkcije jetre izazvano cirozom ili hepatitisom.</w:t>
            </w:r>
          </w:p>
          <w:p w:rsidR="0051655A" w:rsidRPr="00B02AD6" w:rsidRDefault="0051655A" w:rsidP="00A03C69">
            <w:pPr>
              <w:rPr>
                <w:color w:val="FF0000"/>
                <w:sz w:val="22"/>
                <w:szCs w:val="22"/>
              </w:rPr>
            </w:pPr>
          </w:p>
          <w:p w:rsidR="0051655A" w:rsidRPr="00B02AD6" w:rsidRDefault="0051655A" w:rsidP="00A03C69">
            <w:pPr>
              <w:rPr>
                <w:i/>
                <w:sz w:val="22"/>
                <w:szCs w:val="22"/>
              </w:rPr>
            </w:pPr>
            <w:r w:rsidRPr="00B02AD6">
              <w:rPr>
                <w:i/>
                <w:sz w:val="22"/>
                <w:szCs w:val="22"/>
              </w:rPr>
              <w:t>Bubrežna insuficijencija</w:t>
            </w:r>
          </w:p>
          <w:p w:rsidR="0051655A" w:rsidRPr="00B02AD6" w:rsidRDefault="0051655A" w:rsidP="00A03C69">
            <w:pPr>
              <w:jc w:val="both"/>
              <w:rPr>
                <w:sz w:val="22"/>
                <w:szCs w:val="22"/>
              </w:rPr>
            </w:pPr>
            <w:r w:rsidRPr="00B02AD6">
              <w:rPr>
                <w:sz w:val="22"/>
                <w:szCs w:val="22"/>
              </w:rPr>
              <w:t>Primjena kapecitabina je kontraindikovana kod pacijenata sa teškom bubrežnom insuficijencijom (klirens kreatinina ispod 30 ml/min, izračunat prema Cockroft-Gault-ovoj formuli). Incidencija  neželjenih događaja stepena 3 ili 4 kod pacijenata sa umjerenom bubrežnom insuficijencijom (početni klirens kreatinina 30-50 ml/min) povećana je u odnosu na ukupnu populaciju. Kod pacijenata sa umjerenom bubrežnom insuficijencijom na početku liječenja, preporučuje se smanjenje doze na 75% početne doze od 1250 mg/m</w:t>
            </w:r>
            <w:r w:rsidRPr="00B02AD6">
              <w:rPr>
                <w:sz w:val="22"/>
                <w:szCs w:val="22"/>
                <w:vertAlign w:val="superscript"/>
              </w:rPr>
              <w:t>2</w:t>
            </w:r>
            <w:r w:rsidRPr="00B02AD6">
              <w:rPr>
                <w:sz w:val="22"/>
                <w:szCs w:val="22"/>
              </w:rPr>
              <w:t>. Kod pacijenata sa umjerenom  bubrežnom insuficijencijom  na početku liječenja</w:t>
            </w:r>
            <w:r w:rsidR="00F968E4" w:rsidRPr="00B02AD6">
              <w:rPr>
                <w:sz w:val="22"/>
                <w:szCs w:val="22"/>
              </w:rPr>
              <w:t>,</w:t>
            </w:r>
            <w:r w:rsidRPr="00B02AD6">
              <w:rPr>
                <w:sz w:val="22"/>
                <w:szCs w:val="22"/>
              </w:rPr>
              <w:t xml:space="preserve"> nije potrebno smanjenje početne doze ako</w:t>
            </w:r>
            <w:r w:rsidR="00F968E4" w:rsidRPr="00B02AD6">
              <w:rPr>
                <w:sz w:val="22"/>
                <w:szCs w:val="22"/>
              </w:rPr>
              <w:t xml:space="preserve"> </w:t>
            </w:r>
            <w:r w:rsidRPr="00B02AD6">
              <w:rPr>
                <w:sz w:val="22"/>
                <w:szCs w:val="22"/>
              </w:rPr>
              <w:t>ona iznosi 1000 mg/m</w:t>
            </w:r>
            <w:r w:rsidRPr="00B02AD6">
              <w:rPr>
                <w:sz w:val="22"/>
                <w:szCs w:val="22"/>
                <w:vertAlign w:val="superscript"/>
              </w:rPr>
              <w:t>2</w:t>
            </w:r>
            <w:r w:rsidRPr="00B02AD6">
              <w:rPr>
                <w:sz w:val="22"/>
                <w:szCs w:val="22"/>
              </w:rPr>
              <w:t xml:space="preserve">. Kod pacijenata sa blagom bubrežnom insuficijencijom (početnim klirensom kreatinina 51-80 ml/min) ne preporučuje se nikakvo podešavanje početne doze. Pažljivo praćenje i odgovarajući prekid terapije se preporučuju ako pacijent razvije neželjene događaje stepena 2., 3. ili 4. tokom terapije, pa se poslije toga preporučuje podešavanje doze kako je navedeno </w:t>
            </w:r>
            <w:r w:rsidR="00F968E4" w:rsidRPr="00B02AD6">
              <w:rPr>
                <w:sz w:val="22"/>
                <w:szCs w:val="22"/>
              </w:rPr>
              <w:t xml:space="preserve">u </w:t>
            </w:r>
            <w:r w:rsidRPr="00B02AD6">
              <w:rPr>
                <w:sz w:val="22"/>
                <w:szCs w:val="22"/>
              </w:rPr>
              <w:t xml:space="preserve">Tabeli 3. Ako se izračunati klirens kreatinina smanji tokom terapije na vrijednost ispod 30 ml/min, liječenje lijekom Ecansya® treba prekinuti. </w:t>
            </w:r>
            <w:r w:rsidRPr="00B02AD6">
              <w:rPr>
                <w:sz w:val="22"/>
                <w:szCs w:val="22"/>
              </w:rPr>
              <w:lastRenderedPageBreak/>
              <w:t>Preporuke za podešavanje doze u slučaju bubrežne insuficijencije odnose se i na monoterapiju i na kombinovanu primjenu (vidjeti ispod odjeljak „</w:t>
            </w:r>
            <w:r w:rsidRPr="00B02AD6">
              <w:rPr>
                <w:i/>
                <w:sz w:val="22"/>
                <w:szCs w:val="22"/>
              </w:rPr>
              <w:t>Starije osobe</w:t>
            </w:r>
            <w:r w:rsidRPr="00B02AD6">
              <w:rPr>
                <w:sz w:val="22"/>
                <w:szCs w:val="22"/>
              </w:rPr>
              <w:t xml:space="preserve">“). </w:t>
            </w:r>
          </w:p>
          <w:p w:rsidR="0051655A" w:rsidRPr="00B02AD6" w:rsidRDefault="0051655A" w:rsidP="00A03C69">
            <w:pPr>
              <w:jc w:val="both"/>
              <w:rPr>
                <w:sz w:val="22"/>
                <w:szCs w:val="22"/>
              </w:rPr>
            </w:pPr>
          </w:p>
          <w:p w:rsidR="0051655A" w:rsidRPr="00B02AD6" w:rsidRDefault="0051655A" w:rsidP="00A03C69">
            <w:pPr>
              <w:autoSpaceDE w:val="0"/>
              <w:autoSpaceDN w:val="0"/>
              <w:adjustRightInd w:val="0"/>
              <w:rPr>
                <w:i/>
                <w:iCs/>
                <w:sz w:val="22"/>
                <w:szCs w:val="22"/>
              </w:rPr>
            </w:pPr>
            <w:r w:rsidRPr="00B02AD6">
              <w:rPr>
                <w:i/>
                <w:iCs/>
                <w:sz w:val="22"/>
                <w:szCs w:val="22"/>
              </w:rPr>
              <w:t>Starije osobe</w:t>
            </w:r>
          </w:p>
          <w:p w:rsidR="0051655A" w:rsidRPr="00B02AD6" w:rsidRDefault="0051655A" w:rsidP="00A03C69">
            <w:pPr>
              <w:jc w:val="both"/>
              <w:rPr>
                <w:sz w:val="22"/>
                <w:szCs w:val="22"/>
              </w:rPr>
            </w:pPr>
            <w:r w:rsidRPr="00B02AD6">
              <w:rPr>
                <w:sz w:val="22"/>
                <w:szCs w:val="22"/>
              </w:rPr>
              <w:t>U monoterapiji kapecitabinom nije potrebno prilagođavanje početne doze. Međutim, kod pacijenata starosti od ≥ 60 godina češće se razvijaju neželjene reakcije 3. ili 4. stepena nego kod mlađih pacijenata.</w:t>
            </w:r>
          </w:p>
          <w:p w:rsidR="0051655A" w:rsidRPr="00B02AD6" w:rsidRDefault="0051655A" w:rsidP="00A03C69">
            <w:pPr>
              <w:jc w:val="both"/>
              <w:rPr>
                <w:sz w:val="22"/>
                <w:szCs w:val="22"/>
              </w:rPr>
            </w:pPr>
            <w:r w:rsidRPr="00B02AD6">
              <w:rPr>
                <w:sz w:val="22"/>
                <w:szCs w:val="22"/>
              </w:rPr>
              <w:t>Pri primjeni kapecitabina u kombinaciji sa drugim ljekovima</w:t>
            </w:r>
            <w:r w:rsidR="00F968E4" w:rsidRPr="00B02AD6">
              <w:rPr>
                <w:sz w:val="22"/>
                <w:szCs w:val="22"/>
              </w:rPr>
              <w:t>,</w:t>
            </w:r>
            <w:r w:rsidRPr="00B02AD6">
              <w:rPr>
                <w:sz w:val="22"/>
                <w:szCs w:val="22"/>
              </w:rPr>
              <w:t xml:space="preserve"> stariji pacijenti (≥65 godina) su imali više neželjenih događaja 3. i 4. stepena nego mlađi, uključujući i one zbog kojih je trebalo prekinuti liječenje.</w:t>
            </w:r>
          </w:p>
          <w:p w:rsidR="0051655A" w:rsidRPr="00B02AD6" w:rsidRDefault="0051655A" w:rsidP="00A03C69">
            <w:pPr>
              <w:jc w:val="both"/>
              <w:rPr>
                <w:sz w:val="22"/>
                <w:szCs w:val="22"/>
              </w:rPr>
            </w:pPr>
            <w:r w:rsidRPr="00B02AD6">
              <w:rPr>
                <w:sz w:val="22"/>
                <w:szCs w:val="22"/>
              </w:rPr>
              <w:t>Savjetuje se pažljivo praćenje pacijenata starosti ≥60 godina.</w:t>
            </w:r>
          </w:p>
          <w:p w:rsidR="0051655A" w:rsidRPr="00B02AD6" w:rsidRDefault="0051655A" w:rsidP="00A03C69">
            <w:pPr>
              <w:jc w:val="both"/>
              <w:rPr>
                <w:sz w:val="22"/>
                <w:szCs w:val="22"/>
              </w:rPr>
            </w:pPr>
            <w:r w:rsidRPr="00B02AD6">
              <w:rPr>
                <w:sz w:val="22"/>
                <w:szCs w:val="22"/>
              </w:rPr>
              <w:t xml:space="preserve">-       U </w:t>
            </w:r>
            <w:r w:rsidRPr="00B02AD6">
              <w:rPr>
                <w:i/>
                <w:sz w:val="22"/>
                <w:szCs w:val="22"/>
              </w:rPr>
              <w:t>kombinaciji sa docetakselom</w:t>
            </w:r>
            <w:r w:rsidRPr="00B02AD6">
              <w:rPr>
                <w:sz w:val="22"/>
                <w:szCs w:val="22"/>
              </w:rPr>
              <w:t>: kod pacijenata starosti 60 ili više godina primijećena je povećana incidenca neželjenih događaja 3. ili 4. stepena i ozbiljnih neželjenih dejstava povezanih sa liječenjem (vidjeti odjeljak 5.1). Pacijentima starim 60 ili više godina preporučuje se smanjenje početne doze kapecitabina na 75% (950 mg/m</w:t>
            </w:r>
            <w:r w:rsidRPr="00B02AD6">
              <w:rPr>
                <w:sz w:val="22"/>
                <w:szCs w:val="22"/>
                <w:vertAlign w:val="superscript"/>
              </w:rPr>
              <w:t>2</w:t>
            </w:r>
            <w:r w:rsidRPr="00B02AD6">
              <w:rPr>
                <w:sz w:val="22"/>
                <w:szCs w:val="22"/>
              </w:rPr>
              <w:t xml:space="preserve"> dva puta dnevno). Ako se kod tih pacijenata ne uoče znaci toksičnosti pri primjeni smanjene početne doze kapecitabina u kombinaciji sa docetakselom, doza kapecitabina može se oprezno povećavati do 1250 mg/m</w:t>
            </w:r>
            <w:r w:rsidRPr="00B02AD6">
              <w:rPr>
                <w:sz w:val="22"/>
                <w:szCs w:val="22"/>
                <w:vertAlign w:val="superscript"/>
              </w:rPr>
              <w:t>2</w:t>
            </w:r>
            <w:r w:rsidRPr="00B02AD6">
              <w:rPr>
                <w:sz w:val="22"/>
                <w:szCs w:val="22"/>
              </w:rPr>
              <w:t xml:space="preserve"> dva puta dnevno.</w:t>
            </w:r>
          </w:p>
          <w:p w:rsidR="0051655A" w:rsidRPr="00B02AD6" w:rsidRDefault="0051655A" w:rsidP="00A03C69">
            <w:pPr>
              <w:jc w:val="both"/>
              <w:rPr>
                <w:sz w:val="22"/>
                <w:szCs w:val="22"/>
              </w:rPr>
            </w:pPr>
          </w:p>
          <w:p w:rsidR="0051655A" w:rsidRPr="00B02AD6" w:rsidRDefault="0051655A" w:rsidP="00A03C69">
            <w:pPr>
              <w:jc w:val="both"/>
              <w:rPr>
                <w:i/>
                <w:sz w:val="22"/>
                <w:szCs w:val="22"/>
              </w:rPr>
            </w:pPr>
            <w:r w:rsidRPr="00B02AD6">
              <w:rPr>
                <w:i/>
                <w:sz w:val="22"/>
                <w:szCs w:val="22"/>
              </w:rPr>
              <w:t>Pedijatrijska populacija</w:t>
            </w: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Nema odgovarajućih podataka o primjeni lijeka Kapecitabin Teva u pedijatrijskoj populaciji za indikacije</w:t>
            </w:r>
            <w:r w:rsidR="001D4EAB" w:rsidRPr="00B02AD6">
              <w:rPr>
                <w:rFonts w:ascii="TimesNewRoman" w:hAnsi="TimesNewRoman" w:cs="TimesNewRoman"/>
                <w:sz w:val="22"/>
                <w:szCs w:val="22"/>
              </w:rPr>
              <w:t>:</w:t>
            </w:r>
            <w:r w:rsidRPr="00B02AD6">
              <w:rPr>
                <w:rFonts w:ascii="TimesNewRoman" w:hAnsi="TimesNewRoman" w:cs="TimesNewRoman"/>
                <w:sz w:val="22"/>
                <w:szCs w:val="22"/>
              </w:rPr>
              <w:t xml:space="preserve"> karcinom kolona, </w:t>
            </w:r>
            <w:r w:rsidR="001D4EAB" w:rsidRPr="00B02AD6">
              <w:rPr>
                <w:rFonts w:ascii="TimesNewRoman" w:hAnsi="TimesNewRoman" w:cs="TimesNewRoman"/>
                <w:sz w:val="22"/>
                <w:szCs w:val="22"/>
              </w:rPr>
              <w:t xml:space="preserve">kolorektalni </w:t>
            </w:r>
            <w:r w:rsidRPr="00B02AD6">
              <w:rPr>
                <w:rFonts w:ascii="TimesNewRoman" w:hAnsi="TimesNewRoman" w:cs="TimesNewRoman"/>
                <w:sz w:val="22"/>
                <w:szCs w:val="22"/>
              </w:rPr>
              <w:t>karcinom, karcinom želuca i dojke.</w:t>
            </w:r>
          </w:p>
          <w:p w:rsidR="0051655A" w:rsidRPr="00B02AD6" w:rsidRDefault="0051655A" w:rsidP="00A03C69">
            <w:pPr>
              <w:autoSpaceDE w:val="0"/>
              <w:autoSpaceDN w:val="0"/>
              <w:adjustRightInd w:val="0"/>
              <w:jc w:val="both"/>
              <w:rPr>
                <w:rFonts w:ascii="TimesNewRoman" w:hAnsi="TimesNewRoman" w:cs="TimesNewRoman"/>
                <w:sz w:val="22"/>
                <w:szCs w:val="22"/>
              </w:rPr>
            </w:pPr>
          </w:p>
          <w:p w:rsidR="0051655A" w:rsidRPr="00B02AD6" w:rsidRDefault="0051655A" w:rsidP="00A03C69">
            <w:pPr>
              <w:autoSpaceDE w:val="0"/>
              <w:autoSpaceDN w:val="0"/>
              <w:adjustRightInd w:val="0"/>
              <w:rPr>
                <w:rFonts w:ascii="TimesNewRoman" w:hAnsi="TimesNewRoman" w:cs="TimesNewRoman"/>
                <w:sz w:val="22"/>
                <w:szCs w:val="22"/>
                <w:u w:val="single"/>
              </w:rPr>
            </w:pPr>
            <w:r w:rsidRPr="00B02AD6">
              <w:rPr>
                <w:rFonts w:ascii="TimesNewRoman" w:hAnsi="TimesNewRoman" w:cs="TimesNewRoman"/>
                <w:sz w:val="22"/>
                <w:szCs w:val="22"/>
                <w:u w:val="single"/>
              </w:rPr>
              <w:t>Način primjene</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 xml:space="preserve">Ecansya® film tablete treba progutati sa vodom </w:t>
            </w:r>
            <w:r w:rsidR="006B5D8B" w:rsidRPr="00B02AD6">
              <w:rPr>
                <w:rFonts w:ascii="TimesNewRoman" w:hAnsi="TimesNewRoman" w:cs="TimesNewRoman"/>
                <w:sz w:val="22"/>
                <w:szCs w:val="22"/>
              </w:rPr>
              <w:t xml:space="preserve">u roku od </w:t>
            </w:r>
            <w:r w:rsidRPr="00B02AD6">
              <w:rPr>
                <w:rFonts w:ascii="TimesNewRoman" w:hAnsi="TimesNewRoman" w:cs="TimesNewRoman"/>
                <w:sz w:val="22"/>
                <w:szCs w:val="22"/>
              </w:rPr>
              <w:t>30 minuta nakon obroka.</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lastRenderedPageBreak/>
              <w:t>4.3. Kontraindikacije</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rPr>
                <w:color w:val="FF0000"/>
                <w:sz w:val="22"/>
                <w:szCs w:val="22"/>
              </w:rPr>
            </w:pP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Istorija teških i neočekivanih reakcija na terapiju fluoropirimidinom,</w:t>
            </w: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Preosjetljivost na kapecitabin ili bilo koju od pomoćnih supstanci navedenu u dijelu 6.1 ili fluorouracil,</w:t>
            </w: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Pacijenti sa poznatim potpunim nedostatkom aktivnosti dihidropirimidin dehidrogenaze (DPD)</w:t>
            </w:r>
          </w:p>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2"/>
                <w:szCs w:val="22"/>
              </w:rPr>
              <w:t xml:space="preserve">              (vidjeti odjeljak 4.4),</w:t>
            </w: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Trudnoća i dojenje,</w:t>
            </w: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sz w:val="22"/>
                <w:szCs w:val="22"/>
              </w:rPr>
              <w:t>Pacijenti sa teškom leukopenijom, neutropenijom ili trombocitopenijom,</w:t>
            </w: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sz w:val="22"/>
                <w:szCs w:val="22"/>
              </w:rPr>
              <w:t>Pacijenti sa teškom hepatičkom insuficijencijom,</w:t>
            </w: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sz w:val="22"/>
                <w:szCs w:val="22"/>
              </w:rPr>
              <w:t>Pacijenti sa teškom bubrežnom insuficijencijom (klirens kreatinina &lt;30 ml/min),</w:t>
            </w: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sz w:val="22"/>
                <w:szCs w:val="22"/>
              </w:rPr>
              <w:t>Terapija sorivudinom ili njegovim hemijski analozima, kao što je brivudin (vidjeti odjeljak 4.5),</w:t>
            </w:r>
          </w:p>
          <w:p w:rsidR="0051655A" w:rsidRPr="00B02AD6" w:rsidRDefault="0051655A" w:rsidP="0051655A">
            <w:pPr>
              <w:numPr>
                <w:ilvl w:val="0"/>
                <w:numId w:val="15"/>
              </w:numPr>
              <w:autoSpaceDE w:val="0"/>
              <w:autoSpaceDN w:val="0"/>
              <w:adjustRightInd w:val="0"/>
              <w:rPr>
                <w:rFonts w:ascii="TimesNewRoman" w:hAnsi="TimesNewRoman" w:cs="TimesNewRoman"/>
                <w:sz w:val="22"/>
                <w:szCs w:val="22"/>
              </w:rPr>
            </w:pPr>
            <w:r w:rsidRPr="00B02AD6">
              <w:rPr>
                <w:sz w:val="22"/>
                <w:szCs w:val="22"/>
              </w:rPr>
              <w:t>Ako postoje kontraindikacije za bilo koji od ljekova koji se primjenjuju u kombinovanom liječenju, taj lijek se ne smije koristiti.</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4.4. Posebna upozorenja i mjere opreza pri upotrebi lijeka</w:t>
            </w:r>
          </w:p>
        </w:tc>
      </w:tr>
      <w:tr w:rsidR="0051655A" w:rsidRPr="00B02AD6" w:rsidTr="00985E90">
        <w:trPr>
          <w:trHeight w:val="1145"/>
        </w:trPr>
        <w:tc>
          <w:tcPr>
            <w:tcW w:w="5000" w:type="pct"/>
            <w:gridSpan w:val="4"/>
            <w:vAlign w:val="center"/>
          </w:tcPr>
          <w:p w:rsidR="0051655A" w:rsidRPr="00B02AD6" w:rsidRDefault="0051655A" w:rsidP="00A03C69">
            <w:pPr>
              <w:jc w:val="both"/>
              <w:rPr>
                <w:sz w:val="22"/>
                <w:szCs w:val="22"/>
              </w:rPr>
            </w:pPr>
            <w:r w:rsidRPr="00B02AD6">
              <w:rPr>
                <w:i/>
                <w:sz w:val="22"/>
                <w:szCs w:val="22"/>
              </w:rPr>
              <w:lastRenderedPageBreak/>
              <w:t>Toksičnost koja ograničava dozu</w:t>
            </w:r>
            <w:r w:rsidRPr="00B02AD6">
              <w:rPr>
                <w:sz w:val="22"/>
                <w:szCs w:val="22"/>
              </w:rPr>
              <w:t xml:space="preserve"> uključuje dijareju, abdominalni bol, </w:t>
            </w:r>
            <w:r w:rsidR="006B5D8B" w:rsidRPr="00B02AD6">
              <w:rPr>
                <w:sz w:val="22"/>
                <w:szCs w:val="22"/>
              </w:rPr>
              <w:t>mučninu</w:t>
            </w:r>
            <w:r w:rsidRPr="00B02AD6">
              <w:rPr>
                <w:sz w:val="22"/>
                <w:szCs w:val="22"/>
              </w:rPr>
              <w:t xml:space="preserve">, stomatitis i sindrom šaka-stopalo (kožna reakcija na šakama i stopalima, palmarno-plantarna eritrodizestezija). Većina ovih neželjenih reakcija je reverzibilna i ne zahtijeva trajni prekid terapije, iako može biti potrebno da se izostavi ili smanji doza. </w:t>
            </w:r>
          </w:p>
          <w:p w:rsidR="0051655A" w:rsidRPr="00B02AD6" w:rsidRDefault="0051655A" w:rsidP="00A03C69">
            <w:pPr>
              <w:rPr>
                <w:color w:val="FF0000"/>
                <w:sz w:val="22"/>
                <w:szCs w:val="22"/>
              </w:rPr>
            </w:pPr>
          </w:p>
          <w:p w:rsidR="0051655A" w:rsidRPr="00B02AD6" w:rsidRDefault="0051655A" w:rsidP="00A03C69">
            <w:pPr>
              <w:jc w:val="both"/>
              <w:rPr>
                <w:sz w:val="22"/>
                <w:szCs w:val="22"/>
              </w:rPr>
            </w:pPr>
            <w:r w:rsidRPr="00B02AD6">
              <w:rPr>
                <w:i/>
                <w:sz w:val="22"/>
                <w:szCs w:val="22"/>
              </w:rPr>
              <w:t>Dijareja.</w:t>
            </w:r>
            <w:r w:rsidRPr="00B02AD6">
              <w:rPr>
                <w:color w:val="FF0000"/>
                <w:sz w:val="22"/>
                <w:szCs w:val="22"/>
              </w:rPr>
              <w:t xml:space="preserve"> </w:t>
            </w:r>
            <w:r w:rsidRPr="00B02AD6">
              <w:rPr>
                <w:sz w:val="22"/>
                <w:szCs w:val="22"/>
              </w:rPr>
              <w:t>Pacijente sa teškom dijarejom treba pažljivo pratiti, i u slučaju dehidracije nadoknađivati tečnost i elektrolite. Može se koristiti standardna terapija protiv dijareje (npr. loperamid). Dijareja stepena 2 po NCIC CTC definiše se kao povećanje na 4 do 6 stolica dnevno ili pojava noćnih stolica, a dijareja stepena 3 kao povećanje na 7 do 9  stolica dnevno ili inkontinencija i malapsorpcija. Dijareja stepena 4 s</w:t>
            </w:r>
            <w:r w:rsidR="006B5D8B" w:rsidRPr="00B02AD6">
              <w:rPr>
                <w:sz w:val="22"/>
                <w:szCs w:val="22"/>
              </w:rPr>
              <w:t>e</w:t>
            </w:r>
            <w:r w:rsidRPr="00B02AD6">
              <w:rPr>
                <w:sz w:val="22"/>
                <w:szCs w:val="22"/>
              </w:rPr>
              <w:t xml:space="preserve"> definiše kao  povećanje na ≥10 stolica dnevno ili pojava izrazito krvavih dijareja ili potreba za parenteralnom nadoknadom tečnosti. Doza se </w:t>
            </w:r>
            <w:r w:rsidR="006B5D8B" w:rsidRPr="00B02AD6">
              <w:rPr>
                <w:sz w:val="22"/>
                <w:szCs w:val="22"/>
              </w:rPr>
              <w:t xml:space="preserve">smanjuje </w:t>
            </w:r>
            <w:r w:rsidRPr="00B02AD6">
              <w:rPr>
                <w:sz w:val="22"/>
                <w:szCs w:val="22"/>
              </w:rPr>
              <w:t xml:space="preserve">prema potrebi (vidjeti odjeljak 4.2). </w:t>
            </w:r>
          </w:p>
          <w:p w:rsidR="0051655A" w:rsidRPr="00B02AD6" w:rsidRDefault="0051655A" w:rsidP="00A03C69">
            <w:pPr>
              <w:rPr>
                <w:i/>
                <w:color w:val="FF0000"/>
                <w:sz w:val="22"/>
                <w:szCs w:val="22"/>
              </w:rPr>
            </w:pPr>
          </w:p>
          <w:p w:rsidR="0051655A" w:rsidRPr="00B02AD6" w:rsidRDefault="0051655A" w:rsidP="00A03C69">
            <w:pPr>
              <w:autoSpaceDE w:val="0"/>
              <w:autoSpaceDN w:val="0"/>
              <w:adjustRightInd w:val="0"/>
              <w:jc w:val="both"/>
              <w:rPr>
                <w:color w:val="FF0000"/>
                <w:sz w:val="22"/>
                <w:szCs w:val="22"/>
              </w:rPr>
            </w:pPr>
            <w:r w:rsidRPr="00B02AD6">
              <w:rPr>
                <w:i/>
                <w:sz w:val="22"/>
                <w:szCs w:val="22"/>
              </w:rPr>
              <w:t>Dehidracija</w:t>
            </w:r>
            <w:r w:rsidRPr="00B02AD6">
              <w:rPr>
                <w:sz w:val="22"/>
                <w:szCs w:val="22"/>
              </w:rPr>
              <w:t xml:space="preserve">: Dehidraciju treba spriječiti ili korigovati čim se pojavi. Pacijenti sa anoreksijom, astenijom, mučninom, povraćanjem ili dijarejom podložni su brzoj dehidraciji. </w:t>
            </w:r>
            <w:r w:rsidRPr="00B02AD6">
              <w:rPr>
                <w:rFonts w:ascii="TimesNewRoman" w:hAnsi="TimesNewRoman" w:cs="TimesNewRoman"/>
                <w:sz w:val="22"/>
                <w:szCs w:val="22"/>
              </w:rPr>
              <w:t xml:space="preserve">Dehidracija može izazvati akutnu insuficijenciju bubrega, posebno kod pacijenata sa od prije kompromitovanom bubrežnom funkcijom ili kada se kapecitabin daje istovremeno sa poznatim nefrotoksičnim lijekovima. Akutna insuficijencija bubrega kao posljedica dehidracije može biti smrtonosna. </w:t>
            </w:r>
            <w:r w:rsidRPr="00B02AD6">
              <w:rPr>
                <w:sz w:val="22"/>
                <w:szCs w:val="22"/>
              </w:rPr>
              <w:t xml:space="preserve">Ako dođe do dehidracije stepena 2 (ili još teže) </w:t>
            </w:r>
            <w:r w:rsidRPr="00B02AD6">
              <w:rPr>
                <w:rFonts w:ascii="TimesNewRoman" w:hAnsi="TimesNewRoman" w:cs="TimesNewRoman"/>
                <w:sz w:val="22"/>
                <w:szCs w:val="22"/>
              </w:rPr>
              <w:t xml:space="preserve">potrebno je odmah prekinuti liječenje kapecitabinom i nadoknaditi tečnost. Liječenje ne bi trebalo ponovo započeti dok se pacijent ne rehidrira i dok uzroci dehidracije ne budu uklonjeni ili pod kontrolom. Ukoliko je potrebno, dozu treba prilagoditi u zavisnosti od neželjene </w:t>
            </w:r>
            <w:r w:rsidR="006B5D8B" w:rsidRPr="00B02AD6">
              <w:rPr>
                <w:rFonts w:ascii="TimesNewRoman" w:hAnsi="TimesNewRoman" w:cs="TimesNewRoman"/>
                <w:sz w:val="22"/>
                <w:szCs w:val="22"/>
              </w:rPr>
              <w:t xml:space="preserve">reakcije </w:t>
            </w:r>
            <w:r w:rsidRPr="00B02AD6">
              <w:rPr>
                <w:rFonts w:ascii="TimesNewRoman" w:hAnsi="TimesNewRoman" w:cs="TimesNewRoman"/>
                <w:sz w:val="22"/>
                <w:szCs w:val="22"/>
              </w:rPr>
              <w:t>(</w:t>
            </w:r>
            <w:r w:rsidRPr="00B02AD6">
              <w:rPr>
                <w:sz w:val="22"/>
                <w:szCs w:val="22"/>
              </w:rPr>
              <w:t>vidjeti odjeljak 4.2).</w:t>
            </w:r>
            <w:r w:rsidRPr="00B02AD6">
              <w:rPr>
                <w:color w:val="FF0000"/>
                <w:sz w:val="22"/>
                <w:szCs w:val="22"/>
              </w:rPr>
              <w:t xml:space="preserve"> </w:t>
            </w:r>
          </w:p>
          <w:p w:rsidR="0051655A" w:rsidRPr="00B02AD6" w:rsidRDefault="0051655A" w:rsidP="00A03C69">
            <w:pPr>
              <w:rPr>
                <w:color w:val="FF0000"/>
                <w:sz w:val="22"/>
                <w:szCs w:val="22"/>
              </w:rPr>
            </w:pPr>
          </w:p>
          <w:p w:rsidR="0051655A" w:rsidRPr="00B02AD6" w:rsidRDefault="0051655A" w:rsidP="00A03C69">
            <w:pPr>
              <w:jc w:val="both"/>
              <w:rPr>
                <w:color w:val="FF0000"/>
                <w:sz w:val="22"/>
                <w:szCs w:val="22"/>
              </w:rPr>
            </w:pPr>
            <w:r w:rsidRPr="00B02AD6">
              <w:rPr>
                <w:i/>
                <w:sz w:val="22"/>
                <w:szCs w:val="22"/>
              </w:rPr>
              <w:t>Sindrom šaka-stopalo</w:t>
            </w:r>
            <w:r w:rsidRPr="00B02AD6">
              <w:rPr>
                <w:sz w:val="22"/>
                <w:szCs w:val="22"/>
              </w:rPr>
              <w:t xml:space="preserve"> (poznat i kao kožna reakcija na šakama i stopalima ili palmarno-plantarna eritrodizestezija ili akralni eritem izazvan hemoterapijom). Si</w:t>
            </w:r>
            <w:r w:rsidR="00CE5A62" w:rsidRPr="00B02AD6">
              <w:rPr>
                <w:sz w:val="22"/>
                <w:szCs w:val="22"/>
              </w:rPr>
              <w:t>n</w:t>
            </w:r>
            <w:r w:rsidRPr="00B02AD6">
              <w:rPr>
                <w:sz w:val="22"/>
                <w:szCs w:val="22"/>
              </w:rPr>
              <w:t>drom šaka-stopalo 1.</w:t>
            </w:r>
            <w:r w:rsidR="007E0A3A" w:rsidRPr="00B02AD6">
              <w:rPr>
                <w:sz w:val="22"/>
                <w:szCs w:val="22"/>
              </w:rPr>
              <w:t xml:space="preserve"> </w:t>
            </w:r>
            <w:r w:rsidRPr="00B02AD6">
              <w:rPr>
                <w:sz w:val="22"/>
                <w:szCs w:val="22"/>
              </w:rPr>
              <w:t>stepena definiše se kao utrnulost, dizestezija/parestezija, peckanje, bezbolni otok ili eritem šaka i/ili stopala i/ili neprijatnost koja ne utiče na aktivnosti pacijenta u njegovom svakodnevnom životu.</w:t>
            </w:r>
            <w:r w:rsidRPr="00B02AD6">
              <w:rPr>
                <w:color w:val="FF0000"/>
                <w:sz w:val="22"/>
                <w:szCs w:val="22"/>
              </w:rPr>
              <w:t xml:space="preserve"> </w:t>
            </w:r>
          </w:p>
          <w:p w:rsidR="0051655A" w:rsidRPr="00B02AD6" w:rsidRDefault="0051655A" w:rsidP="00A03C69">
            <w:pPr>
              <w:jc w:val="both"/>
              <w:rPr>
                <w:sz w:val="22"/>
                <w:szCs w:val="22"/>
              </w:rPr>
            </w:pPr>
            <w:r w:rsidRPr="00B02AD6">
              <w:rPr>
                <w:sz w:val="22"/>
                <w:szCs w:val="22"/>
              </w:rPr>
              <w:t>Si</w:t>
            </w:r>
            <w:r w:rsidR="00CE5A62" w:rsidRPr="00B02AD6">
              <w:rPr>
                <w:sz w:val="22"/>
                <w:szCs w:val="22"/>
              </w:rPr>
              <w:t>n</w:t>
            </w:r>
            <w:r w:rsidRPr="00B02AD6">
              <w:rPr>
                <w:sz w:val="22"/>
                <w:szCs w:val="22"/>
              </w:rPr>
              <w:t>drom šaka-stopalo 2. stepena definiše se kao bolni eritem i oticanje šaka i/ili stopala i/ili neprijatnost koja utiče na aktivnosti pacijenta u njegovom svakodnevnom životu.</w:t>
            </w: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sz w:val="22"/>
                <w:szCs w:val="22"/>
              </w:rPr>
              <w:t>Si</w:t>
            </w:r>
            <w:r w:rsidR="00CE5A62" w:rsidRPr="00B02AD6">
              <w:rPr>
                <w:sz w:val="22"/>
                <w:szCs w:val="22"/>
              </w:rPr>
              <w:t>n</w:t>
            </w:r>
            <w:r w:rsidRPr="00B02AD6">
              <w:rPr>
                <w:sz w:val="22"/>
                <w:szCs w:val="22"/>
              </w:rPr>
              <w:t>drom šaka-stopalo 3. stepena je vlažna deskvamacija, ulceracija, pojava plikova i jak bol u šakama i/ili stopalima i/ili izražena neprijatnost koja pacijenta onemogućava da obavlja aktivnosti u njegovom svakodnevnom životu. Ako se razvije sindrom šaka-stopalo 2. ili 3. stepena</w:t>
            </w:r>
            <w:r w:rsidR="007E0A3A" w:rsidRPr="00B02AD6">
              <w:rPr>
                <w:sz w:val="22"/>
                <w:szCs w:val="22"/>
              </w:rPr>
              <w:t>,</w:t>
            </w:r>
            <w:r w:rsidRPr="00B02AD6">
              <w:rPr>
                <w:sz w:val="22"/>
                <w:szCs w:val="22"/>
              </w:rPr>
              <w:t xml:space="preserve"> liječenje kapecitabinom se mora prekinuti do povlačenja tegoba ili smanjenja njihovog intenziteta na 1.</w:t>
            </w:r>
            <w:r w:rsidR="007E0A3A" w:rsidRPr="00B02AD6">
              <w:rPr>
                <w:sz w:val="22"/>
                <w:szCs w:val="22"/>
              </w:rPr>
              <w:t xml:space="preserve"> </w:t>
            </w:r>
            <w:r w:rsidRPr="00B02AD6">
              <w:rPr>
                <w:sz w:val="22"/>
                <w:szCs w:val="22"/>
              </w:rPr>
              <w:t>stepen. Ako se nakon sindroma šaka-stopalo 3. stepena nastavlja liječenje kapecitabinom, dozu je potrebno smanjiti. Kada se kapecitabin i cisplatin primjenjuju u kombinaciji, ne preporučuje se upotreba vitamina B6 (piridoksin) za simptomatsko liječenje ili sekundarnu profilaktičku terapiju sindroma šaka-stopalo</w:t>
            </w:r>
            <w:r w:rsidR="007E0A3A" w:rsidRPr="00B02AD6">
              <w:rPr>
                <w:sz w:val="22"/>
                <w:szCs w:val="22"/>
              </w:rPr>
              <w:t>,</w:t>
            </w:r>
            <w:r w:rsidRPr="00B02AD6">
              <w:rPr>
                <w:sz w:val="22"/>
                <w:szCs w:val="22"/>
              </w:rPr>
              <w:t xml:space="preserve"> zbog objavljenih opažanja da to može smanjiti efikasnost cisplatina. </w:t>
            </w:r>
            <w:r w:rsidRPr="00B02AD6">
              <w:rPr>
                <w:rFonts w:ascii="TimesNewRoman" w:hAnsi="TimesNewRoman" w:cs="TimesNewRoman"/>
                <w:sz w:val="22"/>
                <w:szCs w:val="22"/>
              </w:rPr>
              <w:t>Postoje dokazi o tome da je deksapantenol efikasan u profilaksi sindroma šaka-stopalo kod pacijenata liječenih kapecitabinom.</w:t>
            </w:r>
          </w:p>
          <w:p w:rsidR="0051655A" w:rsidRPr="00B02AD6" w:rsidRDefault="0051655A" w:rsidP="00A03C69">
            <w:pPr>
              <w:rPr>
                <w:color w:val="FF0000"/>
                <w:sz w:val="22"/>
                <w:szCs w:val="22"/>
              </w:rPr>
            </w:pPr>
          </w:p>
          <w:p w:rsidR="0051655A" w:rsidRPr="00B02AD6" w:rsidRDefault="0051655A" w:rsidP="00A03C69">
            <w:pPr>
              <w:jc w:val="both"/>
              <w:rPr>
                <w:sz w:val="22"/>
                <w:szCs w:val="22"/>
              </w:rPr>
            </w:pPr>
            <w:r w:rsidRPr="00B02AD6">
              <w:rPr>
                <w:i/>
                <w:sz w:val="22"/>
                <w:szCs w:val="22"/>
              </w:rPr>
              <w:t>Kardiotoksičnost</w:t>
            </w:r>
            <w:r w:rsidRPr="00B02AD6">
              <w:rPr>
                <w:sz w:val="22"/>
                <w:szCs w:val="22"/>
              </w:rPr>
              <w:t xml:space="preserve">. Kardiotoksičnost se povezuje sa terapijom fluoropirimidinom, i uključuje infarkt miokarda, anginu pektoris, disritmije, kardiogeni šok, iznenadnu smrt i elektrokardiografske promjene (uključujući veoma rijetke slučajeve produženja QT intervala). Ove neželjene reakcije mogu biti češće kod pacijenata sa prethodnom istorijom koronarne bolesti. Kod pacijenata koji su primali kapecitabin zabilježena je pojava srčanih aritmija (uključujući ventrikularne fibrilacije, torsade de pointes i bradikardije), angine pektoris, infarkta miokarda, srčane insuficijencije i kardiomiopatije. Posebno se mora biti oprezan kod pacijenata sa značajnijim srčanim oboljenjima, aritmijama i anginom pektoris u anamnezi (vidjeti odjeljak 4.8). </w:t>
            </w:r>
          </w:p>
          <w:p w:rsidR="0051655A" w:rsidRPr="00B02AD6" w:rsidRDefault="0051655A" w:rsidP="00A03C69">
            <w:pPr>
              <w:rPr>
                <w:sz w:val="22"/>
                <w:szCs w:val="22"/>
              </w:rPr>
            </w:pPr>
          </w:p>
          <w:p w:rsidR="0051655A" w:rsidRPr="00B02AD6" w:rsidRDefault="0051655A" w:rsidP="00A03C69">
            <w:pPr>
              <w:jc w:val="both"/>
              <w:rPr>
                <w:sz w:val="22"/>
                <w:szCs w:val="22"/>
              </w:rPr>
            </w:pPr>
            <w:r w:rsidRPr="00B02AD6">
              <w:rPr>
                <w:i/>
                <w:sz w:val="22"/>
                <w:szCs w:val="22"/>
              </w:rPr>
              <w:lastRenderedPageBreak/>
              <w:t>Hipokalc</w:t>
            </w:r>
            <w:r w:rsidR="007E0A3A" w:rsidRPr="00B02AD6">
              <w:rPr>
                <w:i/>
                <w:sz w:val="22"/>
                <w:szCs w:val="22"/>
              </w:rPr>
              <w:t>ij</w:t>
            </w:r>
            <w:r w:rsidRPr="00B02AD6">
              <w:rPr>
                <w:i/>
                <w:sz w:val="22"/>
                <w:szCs w:val="22"/>
              </w:rPr>
              <w:t>emija ili hiperkalc</w:t>
            </w:r>
            <w:r w:rsidR="007E0A3A" w:rsidRPr="00B02AD6">
              <w:rPr>
                <w:i/>
                <w:sz w:val="22"/>
                <w:szCs w:val="22"/>
              </w:rPr>
              <w:t>ij</w:t>
            </w:r>
            <w:r w:rsidRPr="00B02AD6">
              <w:rPr>
                <w:i/>
                <w:sz w:val="22"/>
                <w:szCs w:val="22"/>
              </w:rPr>
              <w:t>emija</w:t>
            </w:r>
            <w:r w:rsidRPr="00B02AD6">
              <w:rPr>
                <w:sz w:val="22"/>
                <w:szCs w:val="22"/>
              </w:rPr>
              <w:t>. Pojava hipokalc</w:t>
            </w:r>
            <w:r w:rsidR="007E0A3A" w:rsidRPr="00B02AD6">
              <w:rPr>
                <w:sz w:val="22"/>
                <w:szCs w:val="22"/>
              </w:rPr>
              <w:t>ij</w:t>
            </w:r>
            <w:r w:rsidRPr="00B02AD6">
              <w:rPr>
                <w:sz w:val="22"/>
                <w:szCs w:val="22"/>
              </w:rPr>
              <w:t>emije ili hiperkalc</w:t>
            </w:r>
            <w:r w:rsidR="007E0A3A" w:rsidRPr="00B02AD6">
              <w:rPr>
                <w:sz w:val="22"/>
                <w:szCs w:val="22"/>
              </w:rPr>
              <w:t>ij</w:t>
            </w:r>
            <w:r w:rsidRPr="00B02AD6">
              <w:rPr>
                <w:sz w:val="22"/>
                <w:szCs w:val="22"/>
              </w:rPr>
              <w:t>emije je zabilježena tokom liječenja kapecitabinom. Mora se biti posebno oprezan kod pacijenata koji su već imali hipokalc</w:t>
            </w:r>
            <w:r w:rsidR="00CE5A62" w:rsidRPr="00B02AD6">
              <w:rPr>
                <w:sz w:val="22"/>
                <w:szCs w:val="22"/>
              </w:rPr>
              <w:t>ij</w:t>
            </w:r>
            <w:r w:rsidRPr="00B02AD6">
              <w:rPr>
                <w:sz w:val="22"/>
                <w:szCs w:val="22"/>
              </w:rPr>
              <w:t>emiju ili hiperkalc</w:t>
            </w:r>
            <w:r w:rsidR="00CE5A62" w:rsidRPr="00B02AD6">
              <w:rPr>
                <w:sz w:val="22"/>
                <w:szCs w:val="22"/>
              </w:rPr>
              <w:t>ij</w:t>
            </w:r>
            <w:r w:rsidRPr="00B02AD6">
              <w:rPr>
                <w:sz w:val="22"/>
                <w:szCs w:val="22"/>
              </w:rPr>
              <w:t xml:space="preserve">emiju (vidjeti odjeljak 4.8). </w:t>
            </w:r>
          </w:p>
          <w:p w:rsidR="0051655A" w:rsidRPr="00B02AD6" w:rsidRDefault="0051655A" w:rsidP="00A03C69">
            <w:pPr>
              <w:rPr>
                <w:color w:val="FF0000"/>
                <w:sz w:val="22"/>
                <w:szCs w:val="22"/>
              </w:rPr>
            </w:pPr>
          </w:p>
          <w:p w:rsidR="0051655A" w:rsidRPr="00B02AD6" w:rsidRDefault="0051655A" w:rsidP="00A03C69">
            <w:pPr>
              <w:jc w:val="both"/>
              <w:rPr>
                <w:sz w:val="22"/>
                <w:szCs w:val="22"/>
              </w:rPr>
            </w:pPr>
            <w:r w:rsidRPr="00B02AD6">
              <w:rPr>
                <w:i/>
                <w:sz w:val="22"/>
                <w:szCs w:val="22"/>
              </w:rPr>
              <w:t>Oboljenja centralnog ili perifernog nervnog sistema</w:t>
            </w:r>
            <w:r w:rsidRPr="00B02AD6">
              <w:rPr>
                <w:sz w:val="22"/>
                <w:szCs w:val="22"/>
              </w:rPr>
              <w:t xml:space="preserve">. </w:t>
            </w:r>
            <w:r w:rsidRPr="00B02AD6">
              <w:rPr>
                <w:caps/>
                <w:sz w:val="22"/>
                <w:szCs w:val="22"/>
              </w:rPr>
              <w:t>m</w:t>
            </w:r>
            <w:r w:rsidRPr="00B02AD6">
              <w:rPr>
                <w:sz w:val="22"/>
                <w:szCs w:val="22"/>
              </w:rPr>
              <w:t>ora se biti oprezan kod pacijenata sa oboljenjima centralnog ili perifernog nervnog sistema, npr. sa metastazama u mozgu ili neuropatijom (vidjeti odjeljak 4.8).</w:t>
            </w:r>
          </w:p>
          <w:p w:rsidR="0051655A" w:rsidRPr="00B02AD6" w:rsidRDefault="0051655A" w:rsidP="00A03C69">
            <w:pPr>
              <w:rPr>
                <w:color w:val="FF0000"/>
                <w:sz w:val="22"/>
                <w:szCs w:val="22"/>
              </w:rPr>
            </w:pPr>
          </w:p>
          <w:p w:rsidR="0051655A" w:rsidRPr="00B02AD6" w:rsidRDefault="0051655A" w:rsidP="00A03C69">
            <w:pPr>
              <w:jc w:val="both"/>
              <w:rPr>
                <w:sz w:val="22"/>
                <w:szCs w:val="22"/>
              </w:rPr>
            </w:pPr>
            <w:r w:rsidRPr="00B02AD6">
              <w:rPr>
                <w:i/>
                <w:sz w:val="22"/>
                <w:szCs w:val="22"/>
              </w:rPr>
              <w:t>Dijabetes melitus ili poremećaji elektrolita</w:t>
            </w:r>
            <w:r w:rsidRPr="00B02AD6">
              <w:rPr>
                <w:sz w:val="22"/>
                <w:szCs w:val="22"/>
              </w:rPr>
              <w:t xml:space="preserve">. </w:t>
            </w:r>
            <w:r w:rsidRPr="00B02AD6">
              <w:rPr>
                <w:caps/>
                <w:sz w:val="22"/>
                <w:szCs w:val="22"/>
              </w:rPr>
              <w:t>m</w:t>
            </w:r>
            <w:r w:rsidRPr="00B02AD6">
              <w:rPr>
                <w:sz w:val="22"/>
                <w:szCs w:val="22"/>
              </w:rPr>
              <w:t xml:space="preserve">ora se biti oprezan kod pacijenata sa dijabetes melitusom ili poremećajem elektrolita, jer se oni mogu pogoršati tokom terapije liječenja kapecitabinom. </w:t>
            </w:r>
          </w:p>
          <w:p w:rsidR="0051655A" w:rsidRPr="00B02AD6" w:rsidRDefault="0051655A" w:rsidP="00A03C69">
            <w:pPr>
              <w:rPr>
                <w:color w:val="FF0000"/>
                <w:sz w:val="22"/>
                <w:szCs w:val="22"/>
              </w:rPr>
            </w:pPr>
          </w:p>
          <w:p w:rsidR="0051655A" w:rsidRPr="00B02AD6" w:rsidRDefault="0051655A" w:rsidP="00A03C69">
            <w:pPr>
              <w:jc w:val="both"/>
              <w:rPr>
                <w:sz w:val="22"/>
                <w:szCs w:val="22"/>
              </w:rPr>
            </w:pPr>
            <w:r w:rsidRPr="00B02AD6">
              <w:rPr>
                <w:i/>
                <w:sz w:val="22"/>
                <w:szCs w:val="22"/>
              </w:rPr>
              <w:t>Antiko</w:t>
            </w:r>
            <w:r w:rsidR="00FA4652" w:rsidRPr="00B02AD6">
              <w:rPr>
                <w:i/>
                <w:sz w:val="22"/>
                <w:szCs w:val="22"/>
              </w:rPr>
              <w:t>a</w:t>
            </w:r>
            <w:r w:rsidRPr="00B02AD6">
              <w:rPr>
                <w:i/>
                <w:sz w:val="22"/>
                <w:szCs w:val="22"/>
              </w:rPr>
              <w:t>gulaciona terapija derivatima kumarina</w:t>
            </w:r>
            <w:r w:rsidRPr="00B02AD6">
              <w:rPr>
                <w:sz w:val="22"/>
                <w:szCs w:val="22"/>
              </w:rPr>
              <w:t xml:space="preserve">. Tokom ispitivanja interakcije sa pojedinačnom dozom varfarina, uočeno je značajno povećanje srednje vrijednosti PIK (+57%) S-varfarina. Ovi rezultati ukazuju na interakciju koja je vjerovatno </w:t>
            </w:r>
            <w:r w:rsidR="008844BD" w:rsidRPr="00B02AD6">
              <w:rPr>
                <w:sz w:val="22"/>
                <w:szCs w:val="22"/>
              </w:rPr>
              <w:t xml:space="preserve">posljedica </w:t>
            </w:r>
            <w:r w:rsidRPr="00B02AD6">
              <w:rPr>
                <w:sz w:val="22"/>
                <w:szCs w:val="22"/>
              </w:rPr>
              <w:t xml:space="preserve">inhibicije sistema izoenzima citohroma P450 2C9 izazvane kapecitabinom. Kod pacijenata koji istovremeno primaju kapecitabin i oralnu antikoagulacionu terapiju derivatima kumarina, treba pažljivo pratiti antikoagulacioni odgovor (INR ili protrombinsko vrijeme) i u skladu sa njim prilagoditi dozu antikoagulansa (vidjeti odjeljak 4.5). </w:t>
            </w:r>
          </w:p>
          <w:p w:rsidR="0051655A" w:rsidRPr="00B02AD6" w:rsidRDefault="0051655A" w:rsidP="00A03C69">
            <w:pPr>
              <w:rPr>
                <w:color w:val="FF0000"/>
                <w:sz w:val="22"/>
                <w:szCs w:val="22"/>
              </w:rPr>
            </w:pPr>
          </w:p>
          <w:p w:rsidR="0051655A" w:rsidRPr="00B02AD6" w:rsidRDefault="0051655A" w:rsidP="00A03C69">
            <w:pPr>
              <w:jc w:val="both"/>
              <w:rPr>
                <w:sz w:val="22"/>
                <w:szCs w:val="22"/>
              </w:rPr>
            </w:pPr>
            <w:r w:rsidRPr="00B02AD6">
              <w:rPr>
                <w:i/>
                <w:sz w:val="22"/>
                <w:szCs w:val="22"/>
              </w:rPr>
              <w:t>Hepatička insuficijencija</w:t>
            </w:r>
            <w:r w:rsidRPr="00B02AD6">
              <w:rPr>
                <w:sz w:val="22"/>
                <w:szCs w:val="22"/>
              </w:rPr>
              <w:t>. U odsustvu podataka o bezbjednosti i efikasnosti kod pacijenata sa hepatičkom insuficijencijom, primjenu kapecitabina treba pažljivo pratiti kod pacijenata sa blagom do umjerenom hepatičkom insuficijencijom, nezavisno od prisustva ili odsustva metastaza na jetri. Primjenu kapecitabina treba prekinuti ako uzimanje lijeka izazove povećanje bilirubina  od &gt;3</w:t>
            </w:r>
            <w:r w:rsidR="00FA4652" w:rsidRPr="00B02AD6">
              <w:rPr>
                <w:sz w:val="22"/>
                <w:szCs w:val="22"/>
              </w:rPr>
              <w:t>,</w:t>
            </w:r>
            <w:r w:rsidRPr="00B02AD6">
              <w:rPr>
                <w:sz w:val="22"/>
                <w:szCs w:val="22"/>
              </w:rPr>
              <w:t xml:space="preserve">0 x gornje </w:t>
            </w:r>
            <w:r w:rsidR="00FA4652" w:rsidRPr="00B02AD6">
              <w:rPr>
                <w:sz w:val="22"/>
                <w:szCs w:val="22"/>
              </w:rPr>
              <w:t xml:space="preserve">granične vrijednosti </w:t>
            </w:r>
            <w:r w:rsidRPr="00B02AD6">
              <w:rPr>
                <w:sz w:val="22"/>
                <w:szCs w:val="22"/>
              </w:rPr>
              <w:t>(</w:t>
            </w:r>
            <w:r w:rsidR="00FA4652" w:rsidRPr="00B02AD6">
              <w:rPr>
                <w:sz w:val="22"/>
                <w:szCs w:val="22"/>
              </w:rPr>
              <w:t>GGV</w:t>
            </w:r>
            <w:r w:rsidRPr="00B02AD6">
              <w:rPr>
                <w:sz w:val="22"/>
                <w:szCs w:val="22"/>
              </w:rPr>
              <w:t xml:space="preserve">) ili hepatičkih aminotransferaza (ALT, AST) od &gt; 2,5 x </w:t>
            </w:r>
            <w:r w:rsidR="00FA4652" w:rsidRPr="00B02AD6">
              <w:rPr>
                <w:sz w:val="22"/>
                <w:szCs w:val="22"/>
              </w:rPr>
              <w:t>GGV</w:t>
            </w:r>
            <w:r w:rsidRPr="00B02AD6">
              <w:rPr>
                <w:sz w:val="22"/>
                <w:szCs w:val="22"/>
              </w:rPr>
              <w:t xml:space="preserve">. Monoterapija kapecitabinom može se nastaviti kada bilirubin padne na ≤3 x </w:t>
            </w:r>
            <w:r w:rsidR="00FA4652" w:rsidRPr="00B02AD6">
              <w:rPr>
                <w:sz w:val="22"/>
                <w:szCs w:val="22"/>
              </w:rPr>
              <w:t>GGV</w:t>
            </w:r>
            <w:r w:rsidRPr="00B02AD6">
              <w:rPr>
                <w:sz w:val="22"/>
                <w:szCs w:val="22"/>
              </w:rPr>
              <w:t xml:space="preserve">, odnosno hepatičke aminotransferaze padnu na ≤2,5 x </w:t>
            </w:r>
            <w:r w:rsidR="00FA4652" w:rsidRPr="00B02AD6">
              <w:rPr>
                <w:sz w:val="22"/>
                <w:szCs w:val="22"/>
              </w:rPr>
              <w:t>GGV</w:t>
            </w:r>
            <w:r w:rsidRPr="00B02AD6">
              <w:rPr>
                <w:sz w:val="22"/>
                <w:szCs w:val="22"/>
              </w:rPr>
              <w:t xml:space="preserve">. </w:t>
            </w:r>
          </w:p>
          <w:p w:rsidR="0051655A" w:rsidRPr="00B02AD6" w:rsidRDefault="0051655A" w:rsidP="00A03C69">
            <w:pPr>
              <w:rPr>
                <w:color w:val="FF0000"/>
                <w:sz w:val="22"/>
                <w:szCs w:val="22"/>
              </w:rPr>
            </w:pPr>
          </w:p>
          <w:p w:rsidR="0051655A" w:rsidRPr="00B02AD6" w:rsidRDefault="0051655A" w:rsidP="00A03C69">
            <w:pPr>
              <w:jc w:val="both"/>
              <w:rPr>
                <w:sz w:val="22"/>
                <w:szCs w:val="22"/>
              </w:rPr>
            </w:pPr>
            <w:r w:rsidRPr="00B02AD6">
              <w:rPr>
                <w:i/>
                <w:sz w:val="22"/>
                <w:szCs w:val="22"/>
              </w:rPr>
              <w:t>Bubrežna insuficijencija</w:t>
            </w:r>
            <w:r w:rsidRPr="00B02AD6">
              <w:rPr>
                <w:sz w:val="22"/>
                <w:szCs w:val="22"/>
              </w:rPr>
              <w:t xml:space="preserve">. Incidencija neželjenih dejstava 3. ili 4. stepena kod pacijenata sa umjerenom bubrežnom insuficijencijom (klirens kreatinina 30-50 ml/min) je povećana u poređenju sa ukupnom populacijom (vidjeti odjeljke 4.2 i 4.3). </w:t>
            </w:r>
          </w:p>
          <w:p w:rsidR="0051655A" w:rsidRPr="00B02AD6" w:rsidRDefault="0051655A" w:rsidP="00A03C69">
            <w:pPr>
              <w:jc w:val="both"/>
              <w:rPr>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i/>
                <w:iCs/>
                <w:sz w:val="22"/>
                <w:szCs w:val="22"/>
              </w:rPr>
              <w:t>Deficit dihidropirimidin dehidrogenaze (DPD): R</w:t>
            </w:r>
            <w:r w:rsidRPr="00B02AD6">
              <w:rPr>
                <w:rFonts w:ascii="TimesNewRoman" w:hAnsi="TimesNewRoman" w:cs="TimesNewRoman"/>
                <w:sz w:val="22"/>
                <w:szCs w:val="22"/>
              </w:rPr>
              <w:t>ijetka, neočekivana, teška toksičnost (npr. stomatitis, dijareja, upala sluznica, neutropenija i neurotoksičnost) povezana sa primjenom 5-</w:t>
            </w:r>
            <w:r w:rsidR="00FA4652" w:rsidRPr="00B02AD6">
              <w:rPr>
                <w:rFonts w:ascii="TimesNewRoman" w:hAnsi="TimesNewRoman" w:cs="TimesNewRoman"/>
                <w:sz w:val="22"/>
                <w:szCs w:val="22"/>
              </w:rPr>
              <w:t xml:space="preserve">fluorouracila </w:t>
            </w:r>
            <w:r w:rsidRPr="00B02AD6">
              <w:rPr>
                <w:rFonts w:ascii="TimesNewRoman" w:hAnsi="TimesNewRoman" w:cs="TimesNewRoman"/>
                <w:sz w:val="22"/>
                <w:szCs w:val="22"/>
              </w:rPr>
              <w:t xml:space="preserve">(5-FU) doprinosi nedostatku aktivnosti </w:t>
            </w:r>
            <w:r w:rsidRPr="00B02AD6">
              <w:rPr>
                <w:iCs/>
                <w:sz w:val="22"/>
                <w:szCs w:val="22"/>
              </w:rPr>
              <w:t>dihidropirimidin dehidrogenaze</w:t>
            </w:r>
            <w:r w:rsidRPr="00B02AD6">
              <w:rPr>
                <w:rFonts w:ascii="TimesNewRoman" w:hAnsi="TimesNewRoman" w:cs="TimesNewRoman"/>
                <w:sz w:val="22"/>
                <w:szCs w:val="22"/>
              </w:rPr>
              <w:t xml:space="preserve">. </w:t>
            </w:r>
          </w:p>
          <w:p w:rsidR="0051655A" w:rsidRPr="00B02AD6" w:rsidRDefault="0051655A" w:rsidP="00A03C69">
            <w:pPr>
              <w:autoSpaceDE w:val="0"/>
              <w:autoSpaceDN w:val="0"/>
              <w:adjustRightInd w:val="0"/>
              <w:jc w:val="both"/>
              <w:rPr>
                <w:rFonts w:ascii="TimesNewRoman" w:hAnsi="TimesNewRoman" w:cs="TimesNewRoman"/>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Pacijenti sa niskom aktivnošću ili izostankom aktivnosti DPD-a, enzima koji učestvuje u razgradnji fluorouracila, imaju povećan rizik od teških, po život opasnih ili smrtonosnih neželjenih dej</w:t>
            </w:r>
            <w:r w:rsidR="00FA4652" w:rsidRPr="00B02AD6">
              <w:rPr>
                <w:rFonts w:ascii="TimesNewRoman" w:hAnsi="TimesNewRoman" w:cs="TimesNewRoman"/>
                <w:sz w:val="22"/>
                <w:szCs w:val="22"/>
              </w:rPr>
              <w:t>s</w:t>
            </w:r>
            <w:r w:rsidRPr="00B02AD6">
              <w:rPr>
                <w:rFonts w:ascii="TimesNewRoman" w:hAnsi="TimesNewRoman" w:cs="TimesNewRoman"/>
                <w:sz w:val="22"/>
                <w:szCs w:val="22"/>
              </w:rPr>
              <w:t xml:space="preserve">tava koje uzrokuje fluorouracil. Iako deficit DPD-a nije precizno definisan, poznato je da pacijenti sa određenim homozigotnim ili određenim višestrukim heterozigotnim mutacijama u lokusu gena </w:t>
            </w:r>
            <w:r w:rsidRPr="00B02AD6">
              <w:rPr>
                <w:i/>
                <w:iCs/>
                <w:sz w:val="22"/>
                <w:szCs w:val="22"/>
              </w:rPr>
              <w:t xml:space="preserve">DPYD </w:t>
            </w:r>
            <w:r w:rsidRPr="00B02AD6">
              <w:rPr>
                <w:rFonts w:ascii="TimesNewRoman" w:hAnsi="TimesNewRoman" w:cs="TimesNewRoman"/>
                <w:sz w:val="22"/>
                <w:szCs w:val="22"/>
              </w:rPr>
              <w:t>koje mogu uzrokovati potpun ili gotovo potpun izostanak enzimske aktivnosti DPD-a (određuje se laboratorijskim testovima), imaju najveći rizik od životno-ugrožavajuće toksičnosti</w:t>
            </w:r>
            <w:r w:rsidR="00FA4652" w:rsidRPr="00B02AD6">
              <w:rPr>
                <w:rFonts w:ascii="TimesNewRoman" w:hAnsi="TimesNewRoman" w:cs="TimesNewRoman"/>
                <w:sz w:val="22"/>
                <w:szCs w:val="22"/>
              </w:rPr>
              <w:t>,</w:t>
            </w:r>
            <w:r w:rsidRPr="00B02AD6">
              <w:rPr>
                <w:rFonts w:ascii="TimesNewRoman" w:hAnsi="TimesNewRoman" w:cs="TimesNewRoman"/>
                <w:sz w:val="22"/>
                <w:szCs w:val="22"/>
              </w:rPr>
              <w:t xml:space="preserve"> pa se ne smiju liječiti kapecitabinom (vidjeti odjeljak 4.3). Nijedna doza se nije pokazala bezbjednom za pacijente sa potpunim izostankom aktivnosti DPD-a.</w:t>
            </w:r>
          </w:p>
          <w:p w:rsidR="0051655A" w:rsidRPr="00B02AD6" w:rsidRDefault="0051655A" w:rsidP="00A03C69">
            <w:pPr>
              <w:autoSpaceDE w:val="0"/>
              <w:autoSpaceDN w:val="0"/>
              <w:adjustRightInd w:val="0"/>
              <w:jc w:val="both"/>
              <w:rPr>
                <w:rFonts w:ascii="TimesNewRoman" w:hAnsi="TimesNewRoman" w:cs="TimesNewRoman"/>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 xml:space="preserve">Kod pacijenata sa djelimičnim deficitom DPD-a (poput onih sa heterozigotnim mutacijama u genu </w:t>
            </w:r>
            <w:r w:rsidRPr="00B02AD6">
              <w:rPr>
                <w:i/>
                <w:iCs/>
                <w:sz w:val="22"/>
                <w:szCs w:val="22"/>
              </w:rPr>
              <w:t>DPYD</w:t>
            </w:r>
            <w:r w:rsidRPr="00B02AD6">
              <w:rPr>
                <w:rFonts w:ascii="TimesNewRoman" w:hAnsi="TimesNewRoman" w:cs="TimesNewRoman"/>
                <w:sz w:val="22"/>
                <w:szCs w:val="22"/>
              </w:rPr>
              <w:t>) i za koje se smatra da koristi liječenja kapecitabinom nadmašuju rizike (uzimajući u obzir prikladnost nekog drugog hemoterapijskog protokola koji ne uključuje fluoropirimidin), liječenje treba sprovoditi uz izuzetan oprez i sa čestim praćenjem</w:t>
            </w:r>
            <w:r w:rsidR="00FA4652" w:rsidRPr="00B02AD6">
              <w:rPr>
                <w:rFonts w:ascii="TimesNewRoman" w:hAnsi="TimesNewRoman" w:cs="TimesNewRoman"/>
                <w:sz w:val="22"/>
                <w:szCs w:val="22"/>
              </w:rPr>
              <w:t>,</w:t>
            </w:r>
            <w:r w:rsidRPr="00B02AD6">
              <w:rPr>
                <w:rFonts w:ascii="TimesNewRoman" w:hAnsi="TimesNewRoman" w:cs="TimesNewRoman"/>
                <w:sz w:val="22"/>
                <w:szCs w:val="22"/>
              </w:rPr>
              <w:t xml:space="preserve"> uz prilagođavanje doze prema toksičnosti. </w:t>
            </w:r>
            <w:r w:rsidRPr="00B02AD6">
              <w:rPr>
                <w:rFonts w:ascii="TimesNewRoman" w:hAnsi="TimesNewRoman" w:cs="TimesNewRoman"/>
                <w:sz w:val="22"/>
                <w:szCs w:val="22"/>
              </w:rPr>
              <w:lastRenderedPageBreak/>
              <w:t>Podaci za preporučenu specifičnu dozu kod pacijenata sa djelimičnom aktivnošću DPD-a mjerenom specifičnim testovima su nepotpuni.</w:t>
            </w:r>
          </w:p>
          <w:p w:rsidR="0051655A" w:rsidRPr="00B02AD6" w:rsidRDefault="0051655A" w:rsidP="00A03C69">
            <w:pPr>
              <w:autoSpaceDE w:val="0"/>
              <w:autoSpaceDN w:val="0"/>
              <w:adjustRightInd w:val="0"/>
              <w:jc w:val="both"/>
              <w:rPr>
                <w:rFonts w:ascii="TimesNewRoman" w:hAnsi="TimesNewRoman" w:cs="TimesNewRoman"/>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Kod pacijenata liječenih kapecitabinom kod kojih nije prepoznata deficijencija DPD-a</w:t>
            </w:r>
            <w:r w:rsidR="00FA4652" w:rsidRPr="00B02AD6">
              <w:rPr>
                <w:rFonts w:ascii="TimesNewRoman" w:hAnsi="TimesNewRoman" w:cs="TimesNewRoman"/>
                <w:sz w:val="22"/>
                <w:szCs w:val="22"/>
              </w:rPr>
              <w:t>,</w:t>
            </w:r>
            <w:r w:rsidRPr="00B02AD6">
              <w:rPr>
                <w:rFonts w:ascii="TimesNewRoman" w:hAnsi="TimesNewRoman" w:cs="TimesNewRoman"/>
                <w:sz w:val="22"/>
                <w:szCs w:val="22"/>
              </w:rPr>
              <w:t xml:space="preserve"> može doći do pojave životno-ugrožavajuće toksičnosti koja se manifestuje kao akutno predoziranje (vidjeti odjeljak 4.9). U slučaju akutne toksičnosti 2.-4. stepena</w:t>
            </w:r>
            <w:r w:rsidR="00FA4652" w:rsidRPr="00B02AD6">
              <w:rPr>
                <w:rFonts w:ascii="TimesNewRoman" w:hAnsi="TimesNewRoman" w:cs="TimesNewRoman"/>
                <w:sz w:val="22"/>
                <w:szCs w:val="22"/>
              </w:rPr>
              <w:t>,</w:t>
            </w:r>
            <w:r w:rsidRPr="00B02AD6">
              <w:rPr>
                <w:rFonts w:ascii="TimesNewRoman" w:hAnsi="TimesNewRoman" w:cs="TimesNewRoman"/>
                <w:sz w:val="22"/>
                <w:szCs w:val="22"/>
              </w:rPr>
              <w:t xml:space="preserve"> liječenje se mora odmah prekinuti. Treba razmotriti trajni prekid terapije na osnovu kliničke procjene pojava, trajanja i težine posmatranog slučaja toksičnosti.</w:t>
            </w:r>
          </w:p>
          <w:p w:rsidR="0051655A" w:rsidRPr="00B02AD6" w:rsidRDefault="0051655A" w:rsidP="00A03C69">
            <w:pPr>
              <w:autoSpaceDE w:val="0"/>
              <w:autoSpaceDN w:val="0"/>
              <w:adjustRightInd w:val="0"/>
              <w:jc w:val="both"/>
              <w:rPr>
                <w:rFonts w:ascii="TimesNewRoman" w:hAnsi="TimesNewRoman" w:cs="TimesNewRoman"/>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i/>
                <w:iCs/>
                <w:sz w:val="22"/>
                <w:szCs w:val="22"/>
              </w:rPr>
              <w:t xml:space="preserve">Oftalmološke komplikacije: </w:t>
            </w:r>
            <w:r w:rsidRPr="00B02AD6">
              <w:rPr>
                <w:rFonts w:ascii="TimesNewRoman" w:hAnsi="TimesNewRoman" w:cs="TimesNewRoman"/>
                <w:sz w:val="22"/>
                <w:szCs w:val="22"/>
              </w:rPr>
              <w:t>P</w:t>
            </w:r>
            <w:r w:rsidR="009C07A1" w:rsidRPr="00B02AD6">
              <w:rPr>
                <w:rFonts w:ascii="TimesNewRoman" w:hAnsi="TimesNewRoman" w:cs="TimesNewRoman"/>
                <w:sz w:val="22"/>
                <w:szCs w:val="22"/>
              </w:rPr>
              <w:t>a</w:t>
            </w:r>
            <w:r w:rsidRPr="00B02AD6">
              <w:rPr>
                <w:rFonts w:ascii="TimesNewRoman" w:hAnsi="TimesNewRoman" w:cs="TimesNewRoman"/>
                <w:sz w:val="22"/>
                <w:szCs w:val="22"/>
              </w:rPr>
              <w:t>cijente treba pažljivo pratiti zbog moguće pojave oftalmoloških komplikacija, kao što su keratitis i kornealni poremećaji, posobno ako imaju poremećaje oka u anamnezi. Liječenje poremećaja na nivou oka treba započeti u skladu sa kliničkim preporukama.</w:t>
            </w:r>
          </w:p>
          <w:p w:rsidR="0051655A" w:rsidRPr="00B02AD6" w:rsidRDefault="0051655A" w:rsidP="00A03C69">
            <w:pPr>
              <w:autoSpaceDE w:val="0"/>
              <w:autoSpaceDN w:val="0"/>
              <w:adjustRightInd w:val="0"/>
              <w:jc w:val="both"/>
              <w:rPr>
                <w:rFonts w:ascii="TimesNewRoman" w:hAnsi="TimesNewRoman" w:cs="TimesNewRoman"/>
                <w:sz w:val="22"/>
                <w:szCs w:val="22"/>
              </w:rPr>
            </w:pPr>
          </w:p>
          <w:p w:rsidR="0051655A" w:rsidRPr="00B02AD6" w:rsidRDefault="0051655A" w:rsidP="00A03C69">
            <w:pPr>
              <w:autoSpaceDE w:val="0"/>
              <w:autoSpaceDN w:val="0"/>
              <w:adjustRightInd w:val="0"/>
              <w:jc w:val="both"/>
              <w:rPr>
                <w:sz w:val="22"/>
                <w:szCs w:val="22"/>
              </w:rPr>
            </w:pPr>
            <w:r w:rsidRPr="00B02AD6">
              <w:rPr>
                <w:i/>
                <w:iCs/>
                <w:sz w:val="22"/>
                <w:szCs w:val="22"/>
              </w:rPr>
              <w:t xml:space="preserve">Teške kožne reakcije: </w:t>
            </w:r>
            <w:r w:rsidRPr="00B02AD6">
              <w:rPr>
                <w:rFonts w:ascii="TimesNewRoman" w:hAnsi="TimesNewRoman" w:cs="TimesNewRoman"/>
                <w:sz w:val="22"/>
                <w:szCs w:val="22"/>
              </w:rPr>
              <w:t>Kapecitabin može izazvati  teške kožne reakcije</w:t>
            </w:r>
            <w:r w:rsidR="009C07A1" w:rsidRPr="00B02AD6">
              <w:rPr>
                <w:rFonts w:ascii="TimesNewRoman" w:hAnsi="TimesNewRoman" w:cs="TimesNewRoman"/>
                <w:sz w:val="22"/>
                <w:szCs w:val="22"/>
              </w:rPr>
              <w:t>,</w:t>
            </w:r>
            <w:r w:rsidRPr="00B02AD6">
              <w:rPr>
                <w:rFonts w:ascii="TimesNewRoman" w:hAnsi="TimesNewRoman" w:cs="TimesNewRoman"/>
                <w:sz w:val="22"/>
                <w:szCs w:val="22"/>
              </w:rPr>
              <w:t xml:space="preserve"> kao što su </w:t>
            </w:r>
            <w:r w:rsidRPr="00B02AD6">
              <w:rPr>
                <w:rFonts w:ascii="TimesNewRoman" w:hAnsi="TimesNewRoman" w:cs="TimesNewRoman"/>
                <w:i/>
                <w:sz w:val="22"/>
                <w:szCs w:val="22"/>
              </w:rPr>
              <w:t>Stevens- Johnson</w:t>
            </w:r>
            <w:r w:rsidR="009C07A1" w:rsidRPr="00B02AD6">
              <w:rPr>
                <w:rFonts w:ascii="TimesNewRoman" w:hAnsi="TimesNewRoman" w:cs="TimesNewRoman"/>
                <w:i/>
                <w:sz w:val="22"/>
                <w:szCs w:val="22"/>
              </w:rPr>
              <w:t>-</w:t>
            </w:r>
            <w:r w:rsidRPr="00B02AD6">
              <w:rPr>
                <w:rFonts w:ascii="TimesNewRoman" w:hAnsi="TimesNewRoman" w:cs="TimesNewRoman"/>
                <w:i/>
                <w:sz w:val="22"/>
                <w:szCs w:val="22"/>
              </w:rPr>
              <w:t>ov</w:t>
            </w:r>
            <w:r w:rsidRPr="00B02AD6">
              <w:rPr>
                <w:rFonts w:ascii="TimesNewRoman" w:hAnsi="TimesNewRoman" w:cs="TimesNewRoman"/>
                <w:sz w:val="22"/>
                <w:szCs w:val="22"/>
              </w:rPr>
              <w:t xml:space="preserve"> sindrom i </w:t>
            </w:r>
            <w:r w:rsidR="009C07A1" w:rsidRPr="00B02AD6">
              <w:rPr>
                <w:rFonts w:ascii="TimesNewRoman" w:hAnsi="TimesNewRoman" w:cs="TimesNewRoman"/>
                <w:sz w:val="22"/>
                <w:szCs w:val="22"/>
              </w:rPr>
              <w:t>toksična epidermalna nekroliza</w:t>
            </w:r>
            <w:r w:rsidRPr="00B02AD6">
              <w:rPr>
                <w:rFonts w:ascii="TimesNewRoman" w:hAnsi="TimesNewRoman" w:cs="TimesNewRoman"/>
                <w:sz w:val="22"/>
                <w:szCs w:val="22"/>
              </w:rPr>
              <w:t>. Kapecitabin treba trajno obustaviti kod pacijenata koji dožive tešku kožnu reakciju tokom liječenja.</w:t>
            </w:r>
          </w:p>
          <w:p w:rsidR="0051655A" w:rsidRPr="00B02AD6" w:rsidRDefault="0051655A" w:rsidP="00A03C69">
            <w:pPr>
              <w:rPr>
                <w:color w:val="FF0000"/>
                <w:sz w:val="22"/>
                <w:szCs w:val="22"/>
              </w:rPr>
            </w:pPr>
          </w:p>
          <w:p w:rsidR="0051655A" w:rsidRPr="00B02AD6" w:rsidRDefault="009C07A1" w:rsidP="00A03C69">
            <w:pPr>
              <w:jc w:val="both"/>
              <w:rPr>
                <w:sz w:val="22"/>
                <w:szCs w:val="22"/>
              </w:rPr>
            </w:pPr>
            <w:r w:rsidRPr="00B02AD6">
              <w:rPr>
                <w:sz w:val="22"/>
                <w:szCs w:val="22"/>
              </w:rPr>
              <w:t xml:space="preserve">S obzirom </w:t>
            </w:r>
            <w:r w:rsidR="0051655A" w:rsidRPr="00B02AD6">
              <w:rPr>
                <w:sz w:val="22"/>
                <w:szCs w:val="22"/>
              </w:rPr>
              <w:t xml:space="preserve">na to da ovaj lijek kao pomoćnu supstancu sadrži anhidrovanu laktozu, pacijenti sa rijetkim nasljednim poremećajem nepodnošenja galaktoze, deficijencije Lapp laktaze ili malapsorpcije glukoze-galaktoze ne smiju da uzimaju ovaj lijek. </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lastRenderedPageBreak/>
              <w:t>4.5. Interakcije sa drugim ljekovima i druge vrste interakcija</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rPr>
                <w:sz w:val="22"/>
                <w:szCs w:val="22"/>
              </w:rPr>
            </w:pPr>
            <w:r w:rsidRPr="00B02AD6">
              <w:rPr>
                <w:sz w:val="22"/>
                <w:szCs w:val="22"/>
              </w:rPr>
              <w:t>Ispitivanja interakcija rađena su samo na odraslim pacijentima.</w:t>
            </w:r>
          </w:p>
          <w:p w:rsidR="0051655A" w:rsidRPr="00B02AD6" w:rsidRDefault="0051655A" w:rsidP="00A03C69">
            <w:pPr>
              <w:pStyle w:val="Header"/>
              <w:tabs>
                <w:tab w:val="left" w:pos="284"/>
              </w:tabs>
              <w:rPr>
                <w:sz w:val="22"/>
                <w:szCs w:val="22"/>
              </w:rPr>
            </w:pPr>
          </w:p>
          <w:p w:rsidR="0051655A" w:rsidRPr="00B02AD6" w:rsidRDefault="0051655A" w:rsidP="00A03C69">
            <w:pPr>
              <w:pStyle w:val="Header"/>
              <w:tabs>
                <w:tab w:val="left" w:pos="284"/>
              </w:tabs>
              <w:rPr>
                <w:i/>
                <w:color w:val="FF0000"/>
                <w:sz w:val="22"/>
                <w:szCs w:val="22"/>
              </w:rPr>
            </w:pPr>
            <w:r w:rsidRPr="00B02AD6">
              <w:rPr>
                <w:sz w:val="22"/>
                <w:szCs w:val="22"/>
                <w:u w:val="single"/>
              </w:rPr>
              <w:t>Interakcije sa drugim ljekovima</w:t>
            </w:r>
            <w:r w:rsidRPr="00B02AD6">
              <w:rPr>
                <w:i/>
                <w:color w:val="FF0000"/>
                <w:sz w:val="22"/>
                <w:szCs w:val="22"/>
              </w:rPr>
              <w:t xml:space="preserve"> </w:t>
            </w:r>
          </w:p>
          <w:p w:rsidR="0051655A" w:rsidRPr="00B02AD6" w:rsidRDefault="0051655A" w:rsidP="00A03C69">
            <w:pPr>
              <w:pStyle w:val="Header"/>
              <w:tabs>
                <w:tab w:val="left" w:pos="284"/>
              </w:tabs>
              <w:rPr>
                <w:i/>
                <w:color w:val="FF0000"/>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i/>
                <w:iCs/>
                <w:sz w:val="22"/>
                <w:szCs w:val="22"/>
              </w:rPr>
              <w:t xml:space="preserve">Supstrati izoenzima 2C9 citohroma P450: </w:t>
            </w:r>
            <w:r w:rsidRPr="00B02AD6">
              <w:rPr>
                <w:rFonts w:ascii="TimesNewRoman" w:hAnsi="TimesNewRoman" w:cs="TimesNewRoman"/>
                <w:sz w:val="22"/>
                <w:szCs w:val="22"/>
              </w:rPr>
              <w:t>osim sa varfarinom, nema sprovedenih ispitivanja interakcije ljekova između kapecitabina i drugih CYP2C9 supstrata. Potrebno je obratiti pažnju kada se kapecitabin primjenjuje istovremeno sa 2C9 supstratima (npr. fenitoinom). Vidjeti takođe interakcije sa antikoagulansima koji su derivati kumarina niže navedene</w:t>
            </w:r>
            <w:r w:rsidR="009C07A1" w:rsidRPr="00B02AD6">
              <w:rPr>
                <w:rFonts w:ascii="TimesNewRoman" w:hAnsi="TimesNewRoman" w:cs="TimesNewRoman"/>
                <w:sz w:val="22"/>
                <w:szCs w:val="22"/>
              </w:rPr>
              <w:t>,</w:t>
            </w:r>
            <w:r w:rsidRPr="00B02AD6">
              <w:rPr>
                <w:rFonts w:ascii="TimesNewRoman" w:hAnsi="TimesNewRoman" w:cs="TimesNewRoman"/>
                <w:sz w:val="22"/>
                <w:szCs w:val="22"/>
              </w:rPr>
              <w:t xml:space="preserve"> i odjeljak 4.4. </w:t>
            </w:r>
          </w:p>
          <w:p w:rsidR="0051655A" w:rsidRPr="00B02AD6" w:rsidRDefault="0051655A" w:rsidP="00A03C69">
            <w:pPr>
              <w:autoSpaceDE w:val="0"/>
              <w:autoSpaceDN w:val="0"/>
              <w:adjustRightInd w:val="0"/>
              <w:jc w:val="both"/>
              <w:rPr>
                <w:rFonts w:ascii="TimesNewRoman" w:hAnsi="TimesNewRoman" w:cs="TimesNewRoman"/>
                <w:sz w:val="22"/>
                <w:szCs w:val="22"/>
              </w:rPr>
            </w:pPr>
          </w:p>
          <w:p w:rsidR="0051655A" w:rsidRPr="00B02AD6" w:rsidRDefault="0051655A" w:rsidP="00A03C69">
            <w:pPr>
              <w:pStyle w:val="Header"/>
              <w:tabs>
                <w:tab w:val="left" w:pos="284"/>
              </w:tabs>
              <w:jc w:val="both"/>
              <w:rPr>
                <w:sz w:val="22"/>
                <w:szCs w:val="22"/>
              </w:rPr>
            </w:pPr>
            <w:r w:rsidRPr="00B02AD6">
              <w:rPr>
                <w:i/>
                <w:sz w:val="22"/>
                <w:szCs w:val="22"/>
              </w:rPr>
              <w:t>Kumarinski antikoagulansi</w:t>
            </w:r>
            <w:r w:rsidRPr="00B02AD6">
              <w:rPr>
                <w:sz w:val="22"/>
                <w:szCs w:val="22"/>
              </w:rPr>
              <w:t xml:space="preserve">: promijenjeni parametri koagulacije i/ili krvarenja zabilježeni su kod pacijenata koji uzimaju kapecitabin istovremeno sa antikoagulansima koji su derivati kumarina, kao što su varfarin i fenprokumon. Ove reakcije su se javljale nekoliko </w:t>
            </w:r>
            <w:r w:rsidR="009C07A1" w:rsidRPr="00B02AD6">
              <w:rPr>
                <w:sz w:val="22"/>
                <w:szCs w:val="22"/>
              </w:rPr>
              <w:t xml:space="preserve">dana </w:t>
            </w:r>
            <w:r w:rsidRPr="00B02AD6">
              <w:rPr>
                <w:sz w:val="22"/>
                <w:szCs w:val="22"/>
              </w:rPr>
              <w:t xml:space="preserve">do nekoliko mjeseci po započinjanju terapije kapecitabinom i, u nekoliko slučajeva, u roku od mjesec dana nakon prestanka primjene kapecitabina. U jednom kliničkom ispitivanju farmakokinetike interakcija, nakon jednokratne doze varfarina od 20 mg, terapija kapecitabinom povećava PIK S-varfarina za 57%, a vrijednost INR za 91%. Budući da metabolizam R-varfarina nije promijenjen, ovi rezultati govore da kapecitabin suprimira izoenzim 2C9, ali nema dejstva na izoenzime 1A2 i 3A4. </w:t>
            </w:r>
            <w:r w:rsidR="009C07A1" w:rsidRPr="00B02AD6">
              <w:rPr>
                <w:sz w:val="22"/>
                <w:szCs w:val="22"/>
              </w:rPr>
              <w:t xml:space="preserve">Pacijentima </w:t>
            </w:r>
            <w:r w:rsidRPr="00B02AD6">
              <w:rPr>
                <w:sz w:val="22"/>
                <w:szCs w:val="22"/>
              </w:rPr>
              <w:t xml:space="preserve">koji uzimaju antikoagulanse koji su derivati kumarina paralelno sa kapecitabinom, treba redovno pratiti promjene u parametrima koagulacije (PT ili INR) i u skladu sa tim prilagoditi dozu antikoagulansa.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i/>
                <w:sz w:val="22"/>
                <w:szCs w:val="22"/>
              </w:rPr>
              <w:t>Fenitoin</w:t>
            </w:r>
            <w:r w:rsidRPr="00B02AD6">
              <w:rPr>
                <w:sz w:val="22"/>
                <w:szCs w:val="22"/>
              </w:rPr>
              <w:t xml:space="preserve">: povećana koncentracija fenitoina u plazmi koja je u izolovanim slučajevima dovela do simptoma intoksikacije fenitoinom zabilježena je tokom istovremene upotrebe kapecitabina i fenitoina. </w:t>
            </w:r>
            <w:r w:rsidR="009C07A1" w:rsidRPr="00B02AD6">
              <w:rPr>
                <w:sz w:val="22"/>
                <w:szCs w:val="22"/>
              </w:rPr>
              <w:t xml:space="preserve">Pacijentima </w:t>
            </w:r>
            <w:r w:rsidRPr="00B02AD6">
              <w:rPr>
                <w:sz w:val="22"/>
                <w:szCs w:val="22"/>
              </w:rPr>
              <w:t xml:space="preserve">koji uzimaju paralelno kapecitabin i fenitoin treba redovno pratiti porast koncentracije fenitoina u plazmi. </w:t>
            </w:r>
          </w:p>
          <w:p w:rsidR="0051655A" w:rsidRPr="00B02AD6" w:rsidRDefault="0051655A" w:rsidP="00A03C69">
            <w:pPr>
              <w:pStyle w:val="Header"/>
              <w:tabs>
                <w:tab w:val="left" w:pos="284"/>
              </w:tabs>
              <w:rPr>
                <w:color w:val="FF0000"/>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i/>
                <w:sz w:val="22"/>
                <w:szCs w:val="22"/>
              </w:rPr>
              <w:lastRenderedPageBreak/>
              <w:t>Folinska kiselina/folna kiselina</w:t>
            </w:r>
            <w:r w:rsidRPr="00B02AD6">
              <w:rPr>
                <w:sz w:val="22"/>
                <w:szCs w:val="22"/>
              </w:rPr>
              <w:t>: ispitivanje kombinovane primjene kapecitabina i folinske kiseline govore da folinska kiselina nema većeg uticaja na farmakokinetiku kapecitabina i njenih metabolita. Međutim, folinska kiselina ima dejstva na farmakodinamiku kapecitabina: maksimalna tolerisana doza (MTD-</w:t>
            </w:r>
            <w:r w:rsidRPr="00B02AD6">
              <w:rPr>
                <w:i/>
                <w:sz w:val="22"/>
                <w:szCs w:val="22"/>
              </w:rPr>
              <w:t>Maximum tolerated</w:t>
            </w:r>
            <w:r w:rsidRPr="00B02AD6">
              <w:rPr>
                <w:sz w:val="22"/>
                <w:szCs w:val="22"/>
              </w:rPr>
              <w:t xml:space="preserve"> </w:t>
            </w:r>
            <w:r w:rsidRPr="00B02AD6">
              <w:rPr>
                <w:i/>
                <w:sz w:val="22"/>
                <w:szCs w:val="22"/>
              </w:rPr>
              <w:t>dose</w:t>
            </w:r>
            <w:r w:rsidRPr="00B02AD6">
              <w:rPr>
                <w:sz w:val="22"/>
                <w:szCs w:val="22"/>
              </w:rPr>
              <w:t>) kapecitabina u monoterapiji i intermitentnom liječenju iznosi 3000 mg/m</w:t>
            </w:r>
            <w:r w:rsidRPr="00B02AD6">
              <w:rPr>
                <w:sz w:val="22"/>
                <w:szCs w:val="22"/>
                <w:vertAlign w:val="superscript"/>
              </w:rPr>
              <w:t>2</w:t>
            </w:r>
            <w:r w:rsidRPr="00B02AD6">
              <w:rPr>
                <w:sz w:val="22"/>
                <w:szCs w:val="22"/>
              </w:rPr>
              <w:t xml:space="preserve"> dnevno, dok je samo 2000 mg/m</w:t>
            </w:r>
            <w:r w:rsidRPr="00B02AD6">
              <w:rPr>
                <w:sz w:val="22"/>
                <w:szCs w:val="22"/>
                <w:vertAlign w:val="superscript"/>
              </w:rPr>
              <w:t>2</w:t>
            </w:r>
            <w:r w:rsidRPr="00B02AD6">
              <w:rPr>
                <w:sz w:val="22"/>
                <w:szCs w:val="22"/>
              </w:rPr>
              <w:t xml:space="preserve"> dnevno kada se kapecitabin kombinuje sa folinskom kiselinom (30 mg oralno dva puta dnevno).</w:t>
            </w:r>
            <w:r w:rsidRPr="00B02AD6">
              <w:rPr>
                <w:color w:val="FF0000"/>
                <w:sz w:val="22"/>
                <w:szCs w:val="22"/>
              </w:rPr>
              <w:t xml:space="preserve"> </w:t>
            </w:r>
            <w:r w:rsidRPr="00B02AD6">
              <w:rPr>
                <w:rFonts w:ascii="TimesNewRoman" w:hAnsi="TimesNewRoman" w:cs="TimesNewRoman"/>
                <w:sz w:val="22"/>
                <w:szCs w:val="22"/>
              </w:rPr>
              <w:t>Povećana toksičnost može biti od značaja kada se prelazi sa režima 5-FU/LV na režim sa kapecitabinom. Ovo takođe može biti od značaja i kod primjene suplemenata folne kiseline zbog deficijencije folata, usl</w:t>
            </w:r>
            <w:r w:rsidR="009C07A1" w:rsidRPr="00B02AD6">
              <w:rPr>
                <w:rFonts w:ascii="TimesNewRoman" w:hAnsi="TimesNewRoman" w:cs="TimesNewRoman"/>
                <w:sz w:val="22"/>
                <w:szCs w:val="22"/>
              </w:rPr>
              <w:t>j</w:t>
            </w:r>
            <w:r w:rsidRPr="00B02AD6">
              <w:rPr>
                <w:rFonts w:ascii="TimesNewRoman" w:hAnsi="TimesNewRoman" w:cs="TimesNewRoman"/>
                <w:sz w:val="22"/>
                <w:szCs w:val="22"/>
              </w:rPr>
              <w:t>ed sličnosti između folinske i folne kiseline.</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i/>
                <w:sz w:val="22"/>
                <w:szCs w:val="22"/>
              </w:rPr>
              <w:t>Sorivudin i analozi</w:t>
            </w:r>
            <w:r w:rsidRPr="00B02AD6">
              <w:rPr>
                <w:sz w:val="22"/>
                <w:szCs w:val="22"/>
              </w:rPr>
              <w:t>: u literaturi je opisana klinički signifikantna interakcija između sorivudina i 5-FU, koja je posljedica inhibicije dihidropirimidin dehidrogenaze sorivudinom. Ova interakcija, koja dovodi do povećanja toksičnosti fluoropirimidina, potencijalno je fatalna. Prema tome, kapecitabin se ne smije davati sa sorivudinom ili njegovim hemijski srodnim analozima, kao što je brivudin (vidjeti odjeljak 4.3). Mora postojati barem četiri ned</w:t>
            </w:r>
            <w:r w:rsidR="009C07A1" w:rsidRPr="00B02AD6">
              <w:rPr>
                <w:sz w:val="22"/>
                <w:szCs w:val="22"/>
              </w:rPr>
              <w:t>j</w:t>
            </w:r>
            <w:r w:rsidRPr="00B02AD6">
              <w:rPr>
                <w:sz w:val="22"/>
                <w:szCs w:val="22"/>
              </w:rPr>
              <w:t>elje pauze između završetka terapije sorivudinom ili njegovim hemijskim analozima, kao što je brivudin, i početka terapije kapecitabinom.</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i/>
                <w:sz w:val="22"/>
                <w:szCs w:val="22"/>
              </w:rPr>
              <w:t>Antacidi</w:t>
            </w:r>
            <w:r w:rsidRPr="00B02AD6">
              <w:rPr>
                <w:sz w:val="22"/>
                <w:szCs w:val="22"/>
              </w:rPr>
              <w:t xml:space="preserve">: ispitivano je dejstvo antacida koji sadrže aluminijum hidroksid i magnezijum hidroksid na farmakokinetiku kapecitabina. Uočeno je malo povećanje koncentracije kapecitabina i jednog metabolita (5'-DFCR) u plazmi. Na  ostala tri glavna metabolita (5'-DFUR, 5-FU i FBAL) </w:t>
            </w:r>
            <w:r w:rsidR="00F3010D" w:rsidRPr="00B02AD6">
              <w:rPr>
                <w:sz w:val="22"/>
                <w:szCs w:val="22"/>
              </w:rPr>
              <w:t xml:space="preserve">nije bilo </w:t>
            </w:r>
            <w:r w:rsidRPr="00B02AD6">
              <w:rPr>
                <w:sz w:val="22"/>
                <w:szCs w:val="22"/>
              </w:rPr>
              <w:t xml:space="preserve">dejstva. </w:t>
            </w:r>
          </w:p>
          <w:p w:rsidR="0051655A" w:rsidRPr="00B02AD6" w:rsidRDefault="0051655A" w:rsidP="00A03C69">
            <w:pPr>
              <w:pStyle w:val="Header"/>
              <w:tabs>
                <w:tab w:val="left" w:pos="284"/>
              </w:tabs>
              <w:rPr>
                <w:color w:val="FF0000"/>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i/>
                <w:iCs/>
                <w:sz w:val="22"/>
                <w:szCs w:val="22"/>
              </w:rPr>
              <w:t xml:space="preserve">Alopurinol: </w:t>
            </w:r>
            <w:r w:rsidRPr="00B02AD6">
              <w:rPr>
                <w:iCs/>
                <w:sz w:val="22"/>
                <w:szCs w:val="22"/>
              </w:rPr>
              <w:t>zabilježene su</w:t>
            </w:r>
            <w:r w:rsidRPr="00B02AD6">
              <w:rPr>
                <w:i/>
                <w:iCs/>
                <w:sz w:val="22"/>
                <w:szCs w:val="22"/>
              </w:rPr>
              <w:t xml:space="preserve"> </w:t>
            </w:r>
            <w:r w:rsidRPr="00B02AD6">
              <w:rPr>
                <w:rFonts w:ascii="TimesNewRoman" w:hAnsi="TimesNewRoman" w:cs="TimesNewRoman"/>
                <w:sz w:val="22"/>
                <w:szCs w:val="22"/>
              </w:rPr>
              <w:t>interakcije alopurinola sa 5-FU, sa mogućnošću smanjene efikasnosti 5-FU. Treba izbjegavati istovremenu primjenu alopurinola i kapecitabina.</w:t>
            </w:r>
          </w:p>
          <w:p w:rsidR="0051655A" w:rsidRPr="00B02AD6" w:rsidRDefault="0051655A" w:rsidP="00A03C69">
            <w:pPr>
              <w:pStyle w:val="Header"/>
              <w:tabs>
                <w:tab w:val="left" w:pos="284"/>
              </w:tabs>
              <w:jc w:val="both"/>
              <w:rPr>
                <w:color w:val="FF0000"/>
                <w:sz w:val="22"/>
                <w:szCs w:val="22"/>
              </w:rPr>
            </w:pPr>
          </w:p>
          <w:p w:rsidR="0051655A" w:rsidRPr="00B02AD6" w:rsidRDefault="0051655A" w:rsidP="00A03C69">
            <w:pPr>
              <w:pStyle w:val="Header"/>
              <w:tabs>
                <w:tab w:val="left" w:pos="284"/>
              </w:tabs>
              <w:jc w:val="both"/>
              <w:rPr>
                <w:sz w:val="22"/>
                <w:szCs w:val="22"/>
              </w:rPr>
            </w:pPr>
            <w:r w:rsidRPr="00B02AD6">
              <w:rPr>
                <w:i/>
                <w:sz w:val="22"/>
                <w:szCs w:val="22"/>
              </w:rPr>
              <w:t>Interferon alfa</w:t>
            </w:r>
            <w:r w:rsidRPr="00B02AD6">
              <w:rPr>
                <w:sz w:val="22"/>
                <w:szCs w:val="22"/>
              </w:rPr>
              <w:t>: MTD kapecitabina je iznosila 2000 mg/m</w:t>
            </w:r>
            <w:r w:rsidRPr="00B02AD6">
              <w:rPr>
                <w:sz w:val="22"/>
                <w:szCs w:val="22"/>
                <w:vertAlign w:val="superscript"/>
              </w:rPr>
              <w:t>2</w:t>
            </w:r>
            <w:r w:rsidRPr="00B02AD6">
              <w:rPr>
                <w:sz w:val="22"/>
                <w:szCs w:val="22"/>
              </w:rPr>
              <w:t xml:space="preserve"> dnevno u kombinaciji sa interferonom alfa-2a (3 MIU/m</w:t>
            </w:r>
            <w:r w:rsidRPr="00B02AD6">
              <w:rPr>
                <w:sz w:val="22"/>
                <w:szCs w:val="22"/>
                <w:vertAlign w:val="superscript"/>
              </w:rPr>
              <w:t>2</w:t>
            </w:r>
            <w:r w:rsidRPr="00B02AD6">
              <w:rPr>
                <w:sz w:val="22"/>
                <w:szCs w:val="22"/>
              </w:rPr>
              <w:t xml:space="preserve"> dnevno)</w:t>
            </w:r>
            <w:r w:rsidR="00F3010D" w:rsidRPr="00B02AD6">
              <w:rPr>
                <w:sz w:val="22"/>
                <w:szCs w:val="22"/>
              </w:rPr>
              <w:t>,</w:t>
            </w:r>
            <w:r w:rsidRPr="00B02AD6">
              <w:rPr>
                <w:sz w:val="22"/>
                <w:szCs w:val="22"/>
              </w:rPr>
              <w:t xml:space="preserve"> u poređenju sa 3000  mg/m</w:t>
            </w:r>
            <w:r w:rsidRPr="00B02AD6">
              <w:rPr>
                <w:sz w:val="22"/>
                <w:szCs w:val="22"/>
                <w:vertAlign w:val="superscript"/>
              </w:rPr>
              <w:t>2</w:t>
            </w:r>
            <w:r w:rsidRPr="00B02AD6">
              <w:rPr>
                <w:sz w:val="22"/>
                <w:szCs w:val="22"/>
              </w:rPr>
              <w:t xml:space="preserve"> dnevno kada se kapecitabin primjenjivao sam.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i/>
                <w:sz w:val="22"/>
                <w:szCs w:val="22"/>
              </w:rPr>
              <w:t>Radioterapija</w:t>
            </w:r>
            <w:r w:rsidRPr="00B02AD6">
              <w:rPr>
                <w:sz w:val="22"/>
                <w:szCs w:val="22"/>
              </w:rPr>
              <w:t>: MTD kapecitabina u monoterapiji i intermitentnom režimu iznosi 3000  mg/m</w:t>
            </w:r>
            <w:r w:rsidRPr="00B02AD6">
              <w:rPr>
                <w:sz w:val="22"/>
                <w:szCs w:val="22"/>
                <w:vertAlign w:val="superscript"/>
              </w:rPr>
              <w:t>2</w:t>
            </w:r>
            <w:r w:rsidRPr="00B02AD6">
              <w:rPr>
                <w:sz w:val="22"/>
                <w:szCs w:val="22"/>
              </w:rPr>
              <w:t xml:space="preserve"> dnevno, dok u kombinaciji sa radioterapijom rektalnog kancera MTD kapecitabina iznosi 2000 mg/m</w:t>
            </w:r>
            <w:r w:rsidRPr="00B02AD6">
              <w:rPr>
                <w:sz w:val="22"/>
                <w:szCs w:val="22"/>
                <w:vertAlign w:val="superscript"/>
              </w:rPr>
              <w:t>2</w:t>
            </w:r>
            <w:r w:rsidRPr="00B02AD6">
              <w:rPr>
                <w:sz w:val="22"/>
                <w:szCs w:val="22"/>
              </w:rPr>
              <w:t xml:space="preserve"> dnevno pri kontinuiranoj (svakodnevnoj) primjeni ili pri uzimanju tokom 5 dana od poned</w:t>
            </w:r>
            <w:r w:rsidR="00F3010D" w:rsidRPr="00B02AD6">
              <w:rPr>
                <w:sz w:val="22"/>
                <w:szCs w:val="22"/>
              </w:rPr>
              <w:t>j</w:t>
            </w:r>
            <w:r w:rsidRPr="00B02AD6">
              <w:rPr>
                <w:sz w:val="22"/>
                <w:szCs w:val="22"/>
              </w:rPr>
              <w:t xml:space="preserve">eljka do petka, uz radioterapiju u trajanju od 6 nedjelja.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i/>
                <w:sz w:val="22"/>
                <w:szCs w:val="22"/>
              </w:rPr>
              <w:t>Oksaliplatin</w:t>
            </w:r>
            <w:r w:rsidRPr="00B02AD6">
              <w:rPr>
                <w:sz w:val="22"/>
                <w:szCs w:val="22"/>
              </w:rPr>
              <w:t>: nisu zabilježene klinički značajne razlike u izlaganju kapecitabinu ili njegovim metabolitima, slobodnoj platini ili ukupnoj platini kada je kapecitabin davan u kombinaciji sa oksaliplatinom ili u kombinaciji sa oksaliplatinom i bevacizumabom.</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i/>
                <w:sz w:val="22"/>
                <w:szCs w:val="22"/>
              </w:rPr>
              <w:t>Bevacizumab</w:t>
            </w:r>
            <w:r w:rsidRPr="00B02AD6">
              <w:rPr>
                <w:sz w:val="22"/>
                <w:szCs w:val="22"/>
              </w:rPr>
              <w:t xml:space="preserve">: nisu uočena klinički značajna dejstva bevacizumaba na farmakokinetičke parametre kapecitabina ili njegovih metabolita u prisustvu oksaliplatina.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u w:val="single"/>
              </w:rPr>
              <w:t>Interakcije sa hranom</w:t>
            </w:r>
          </w:p>
          <w:p w:rsidR="0051655A" w:rsidRPr="00B02AD6" w:rsidRDefault="0051655A" w:rsidP="00A03C69">
            <w:pPr>
              <w:pStyle w:val="Header"/>
              <w:tabs>
                <w:tab w:val="left" w:pos="284"/>
              </w:tabs>
              <w:jc w:val="both"/>
              <w:rPr>
                <w:sz w:val="22"/>
                <w:szCs w:val="22"/>
              </w:rPr>
            </w:pPr>
            <w:r w:rsidRPr="00B02AD6">
              <w:rPr>
                <w:sz w:val="22"/>
                <w:szCs w:val="22"/>
              </w:rPr>
              <w:t>U svim kliničkim ispitivanjima</w:t>
            </w:r>
            <w:r w:rsidR="00F3010D" w:rsidRPr="00B02AD6">
              <w:rPr>
                <w:sz w:val="22"/>
                <w:szCs w:val="22"/>
              </w:rPr>
              <w:t>,</w:t>
            </w:r>
            <w:r w:rsidRPr="00B02AD6">
              <w:rPr>
                <w:sz w:val="22"/>
                <w:szCs w:val="22"/>
              </w:rPr>
              <w:t xml:space="preserve"> pacijentima je savjetovano da kapecitabin uzimaju u roku od 30 minuta po obroku. Budući da su svi postojeći podaci o bezbjednosti i efikasnosti bazirani na primjeni lijeka sa hranom, preporučuje se da se kapecitabin uzima sa hranom. Uzimanje sa hranom usporava brzinu resorpcije kapecitabina (vidjeti odjeljak 5.2).</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lastRenderedPageBreak/>
              <w:t>4.6. Primjena u periodu trudnoće i dojenja</w:t>
            </w:r>
          </w:p>
        </w:tc>
      </w:tr>
      <w:tr w:rsidR="0051655A" w:rsidRPr="00B02AD6" w:rsidTr="00985E90">
        <w:trPr>
          <w:trHeight w:val="1145"/>
        </w:trPr>
        <w:tc>
          <w:tcPr>
            <w:tcW w:w="5000" w:type="pct"/>
            <w:gridSpan w:val="4"/>
            <w:vAlign w:val="center"/>
          </w:tcPr>
          <w:p w:rsidR="00F3010D" w:rsidRPr="00B02AD6" w:rsidRDefault="00F3010D" w:rsidP="00A03C69">
            <w:pPr>
              <w:rPr>
                <w:sz w:val="22"/>
                <w:szCs w:val="22"/>
                <w:u w:val="single"/>
              </w:rPr>
            </w:pPr>
          </w:p>
          <w:p w:rsidR="0051655A" w:rsidRPr="00B02AD6" w:rsidRDefault="0051655A" w:rsidP="00A03C69">
            <w:pPr>
              <w:rPr>
                <w:sz w:val="22"/>
                <w:szCs w:val="22"/>
                <w:u w:val="single"/>
              </w:rPr>
            </w:pPr>
            <w:r w:rsidRPr="00B02AD6">
              <w:rPr>
                <w:sz w:val="22"/>
                <w:szCs w:val="22"/>
                <w:u w:val="single"/>
              </w:rPr>
              <w:t>Žene u reproduktivnom periodu/kontracepcija kod muškaraca i žena</w:t>
            </w:r>
          </w:p>
          <w:p w:rsidR="0051655A" w:rsidRPr="00B02AD6" w:rsidRDefault="0051655A" w:rsidP="00A03C69">
            <w:pPr>
              <w:jc w:val="both"/>
              <w:rPr>
                <w:sz w:val="22"/>
                <w:szCs w:val="22"/>
              </w:rPr>
            </w:pPr>
            <w:r w:rsidRPr="00B02AD6">
              <w:rPr>
                <w:sz w:val="22"/>
                <w:szCs w:val="22"/>
              </w:rPr>
              <w:t>Ženama u reproduktivnom periodu treba savjetovati da tokom liječenja kapecitabinom izbjegavaju trudnoću. Ukoliko ostanu trudne tokom liječenja kapecitabinom, mora im se ukazati na potencijalni rizik za fetus. Tokom liječenja se mora primjenjivati efikasna metoda kontracepcije.</w:t>
            </w:r>
          </w:p>
          <w:p w:rsidR="0051655A" w:rsidRPr="00B02AD6" w:rsidRDefault="0051655A" w:rsidP="00A03C69">
            <w:pPr>
              <w:rPr>
                <w:color w:val="FF0000"/>
                <w:sz w:val="22"/>
                <w:szCs w:val="22"/>
              </w:rPr>
            </w:pPr>
          </w:p>
          <w:p w:rsidR="0051655A" w:rsidRPr="00B02AD6" w:rsidRDefault="0051655A" w:rsidP="00A03C69">
            <w:pPr>
              <w:rPr>
                <w:sz w:val="22"/>
                <w:szCs w:val="22"/>
                <w:u w:val="single"/>
              </w:rPr>
            </w:pPr>
            <w:r w:rsidRPr="00B02AD6">
              <w:rPr>
                <w:sz w:val="22"/>
                <w:szCs w:val="22"/>
                <w:u w:val="single"/>
              </w:rPr>
              <w:t>Trudnoća</w:t>
            </w:r>
          </w:p>
          <w:p w:rsidR="0051655A" w:rsidRPr="00B02AD6" w:rsidRDefault="0051655A" w:rsidP="00A03C69">
            <w:pPr>
              <w:jc w:val="both"/>
              <w:rPr>
                <w:sz w:val="22"/>
                <w:szCs w:val="22"/>
              </w:rPr>
            </w:pPr>
            <w:r w:rsidRPr="00B02AD6">
              <w:rPr>
                <w:sz w:val="22"/>
                <w:szCs w:val="22"/>
              </w:rPr>
              <w:t xml:space="preserve">Nisu rađena ispitivanja o djelovanju kapecitabina kod trudnica. Može se pretpostaviti da kapecitabin može da nanese štetu fetusu ako se daje trudnicama. U ispitivanjima reproduktivne toksičnosti na životinjama, primjena kapecitabina djelovala je embrioletalno i teratogeno. Ovi nalazi su očekivana dejstva derivata fluoropirimidina. Kapecitabin se ne smije primjenjivati tokom trudnoće. </w:t>
            </w:r>
          </w:p>
          <w:p w:rsidR="0051655A" w:rsidRPr="00B02AD6" w:rsidRDefault="0051655A" w:rsidP="00A03C69">
            <w:pPr>
              <w:rPr>
                <w:color w:val="FF0000"/>
                <w:sz w:val="22"/>
                <w:szCs w:val="22"/>
              </w:rPr>
            </w:pPr>
          </w:p>
          <w:p w:rsidR="0051655A" w:rsidRPr="00B02AD6" w:rsidRDefault="0051655A" w:rsidP="00A03C69">
            <w:pPr>
              <w:rPr>
                <w:sz w:val="22"/>
                <w:szCs w:val="22"/>
                <w:u w:val="single"/>
              </w:rPr>
            </w:pPr>
            <w:r w:rsidRPr="00B02AD6">
              <w:rPr>
                <w:sz w:val="22"/>
                <w:szCs w:val="22"/>
                <w:u w:val="single"/>
              </w:rPr>
              <w:t>Dojenje</w:t>
            </w:r>
          </w:p>
          <w:p w:rsidR="0051655A" w:rsidRPr="00B02AD6" w:rsidRDefault="0051655A" w:rsidP="00A03C69">
            <w:pPr>
              <w:jc w:val="both"/>
              <w:rPr>
                <w:sz w:val="22"/>
                <w:szCs w:val="22"/>
              </w:rPr>
            </w:pPr>
            <w:r w:rsidRPr="00B02AD6">
              <w:rPr>
                <w:sz w:val="22"/>
                <w:szCs w:val="22"/>
              </w:rPr>
              <w:t>Nije poznato da li se kapecitabin izlučuje u majčino mlijeko. U mlijeku ženki miševa u fazi laktacije je nađena znatna količine kapecitabina i njegovih metabolita. Dojenje treba prekinuti dok traje liječenje kapecitabinom.</w:t>
            </w:r>
          </w:p>
          <w:p w:rsidR="0051655A" w:rsidRPr="00B02AD6" w:rsidRDefault="0051655A" w:rsidP="00A03C69">
            <w:pPr>
              <w:pStyle w:val="Header"/>
              <w:tabs>
                <w:tab w:val="left" w:pos="284"/>
              </w:tabs>
              <w:rPr>
                <w:color w:val="FF0000"/>
                <w:sz w:val="22"/>
                <w:szCs w:val="22"/>
              </w:rPr>
            </w:pPr>
          </w:p>
          <w:p w:rsidR="0051655A" w:rsidRPr="00B02AD6" w:rsidRDefault="0051655A" w:rsidP="00A03C69">
            <w:pPr>
              <w:rPr>
                <w:sz w:val="22"/>
                <w:szCs w:val="22"/>
                <w:u w:val="single"/>
              </w:rPr>
            </w:pPr>
            <w:r w:rsidRPr="00B02AD6">
              <w:rPr>
                <w:sz w:val="22"/>
                <w:szCs w:val="22"/>
                <w:u w:val="single"/>
              </w:rPr>
              <w:t>Plodnost</w:t>
            </w:r>
          </w:p>
          <w:p w:rsidR="0051655A" w:rsidRPr="00B02AD6" w:rsidRDefault="0051655A" w:rsidP="00A03C69">
            <w:pPr>
              <w:jc w:val="both"/>
              <w:rPr>
                <w:sz w:val="22"/>
                <w:szCs w:val="22"/>
              </w:rPr>
            </w:pPr>
            <w:r w:rsidRPr="00B02AD6">
              <w:rPr>
                <w:sz w:val="22"/>
                <w:szCs w:val="22"/>
              </w:rPr>
              <w:t xml:space="preserve">Nema podataka o uticaju kapecitabina na plodnost. Pivotalne studije sa kapecitabinom uključivale su samo pacijente u reproduktivnom periodu koji su prihvatili metod kontrole rađanja tj. pacijentkinje koje su izbjegavale trudnoću tokom trajanja studija i u razumnom roku nakon toga. </w:t>
            </w:r>
          </w:p>
          <w:p w:rsidR="0051655A" w:rsidRPr="00B02AD6" w:rsidRDefault="0051655A" w:rsidP="00A03C69">
            <w:pPr>
              <w:jc w:val="both"/>
              <w:rPr>
                <w:sz w:val="22"/>
                <w:szCs w:val="22"/>
              </w:rPr>
            </w:pPr>
            <w:r w:rsidRPr="00B02AD6">
              <w:rPr>
                <w:sz w:val="22"/>
                <w:szCs w:val="22"/>
              </w:rPr>
              <w:t>U ispitivanjima na životinjama uočen je uticaj lijeka na fertilitet (vid</w:t>
            </w:r>
            <w:r w:rsidR="00F3010D" w:rsidRPr="00B02AD6">
              <w:rPr>
                <w:sz w:val="22"/>
                <w:szCs w:val="22"/>
              </w:rPr>
              <w:t>j</w:t>
            </w:r>
            <w:r w:rsidRPr="00B02AD6">
              <w:rPr>
                <w:sz w:val="22"/>
                <w:szCs w:val="22"/>
              </w:rPr>
              <w:t>eti od</w:t>
            </w:r>
            <w:r w:rsidR="00F3010D" w:rsidRPr="00B02AD6">
              <w:rPr>
                <w:sz w:val="22"/>
                <w:szCs w:val="22"/>
              </w:rPr>
              <w:t>j</w:t>
            </w:r>
            <w:r w:rsidRPr="00B02AD6">
              <w:rPr>
                <w:sz w:val="22"/>
                <w:szCs w:val="22"/>
              </w:rPr>
              <w:t>eljak 5.3).</w:t>
            </w:r>
          </w:p>
          <w:p w:rsidR="0051655A" w:rsidRPr="00B02AD6" w:rsidRDefault="0051655A" w:rsidP="00A03C69">
            <w:pPr>
              <w:jc w:val="both"/>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pacing w:val="-8"/>
                <w:sz w:val="22"/>
                <w:szCs w:val="22"/>
              </w:rPr>
            </w:pPr>
            <w:r w:rsidRPr="00B02AD6">
              <w:rPr>
                <w:b/>
                <w:bCs/>
                <w:spacing w:val="-8"/>
                <w:sz w:val="22"/>
                <w:szCs w:val="22"/>
              </w:rPr>
              <w:t>4.7. Uticaj na psihofizičke sposobnosti prilikom upravljanja motornim vozilima i rukovanja mašinama</w:t>
            </w:r>
          </w:p>
        </w:tc>
      </w:tr>
      <w:tr w:rsidR="0051655A" w:rsidRPr="00B02AD6" w:rsidTr="00985E90">
        <w:trPr>
          <w:trHeight w:val="1197"/>
        </w:trPr>
        <w:tc>
          <w:tcPr>
            <w:tcW w:w="5000" w:type="pct"/>
            <w:gridSpan w:val="4"/>
            <w:vAlign w:val="center"/>
          </w:tcPr>
          <w:p w:rsidR="0051655A" w:rsidRPr="00B02AD6" w:rsidRDefault="0051655A" w:rsidP="00A03C69">
            <w:pPr>
              <w:pStyle w:val="Header"/>
              <w:tabs>
                <w:tab w:val="left" w:pos="284"/>
              </w:tabs>
              <w:jc w:val="both"/>
              <w:rPr>
                <w:sz w:val="22"/>
                <w:szCs w:val="22"/>
              </w:rPr>
            </w:pPr>
            <w:r w:rsidRPr="00B02AD6">
              <w:rPr>
                <w:sz w:val="22"/>
                <w:szCs w:val="22"/>
              </w:rPr>
              <w:t xml:space="preserve">Kapecitabin ima mali do umjereni uticaj na sposobnost za upravljanje vozilima i rada na mašinama. </w:t>
            </w:r>
          </w:p>
          <w:p w:rsidR="0051655A" w:rsidRPr="00B02AD6" w:rsidRDefault="0051655A" w:rsidP="00A03C69">
            <w:pPr>
              <w:pStyle w:val="Header"/>
              <w:tabs>
                <w:tab w:val="left" w:pos="284"/>
              </w:tabs>
              <w:jc w:val="both"/>
              <w:rPr>
                <w:sz w:val="22"/>
                <w:szCs w:val="22"/>
              </w:rPr>
            </w:pPr>
            <w:r w:rsidRPr="00B02AD6">
              <w:rPr>
                <w:sz w:val="22"/>
                <w:szCs w:val="22"/>
              </w:rPr>
              <w:t>Kapecitabin može da izazove vrtoglavicu, umor i mučninu.</w:t>
            </w: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4.8. Neželjena dejstva</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rPr>
                <w:i/>
                <w:iCs/>
                <w:color w:val="FF0000"/>
                <w:sz w:val="22"/>
                <w:szCs w:val="22"/>
              </w:rPr>
            </w:pPr>
          </w:p>
          <w:p w:rsidR="0051655A" w:rsidRPr="00B02AD6" w:rsidRDefault="0051655A" w:rsidP="00A03C69">
            <w:pPr>
              <w:pStyle w:val="Header"/>
              <w:tabs>
                <w:tab w:val="left" w:pos="284"/>
              </w:tabs>
              <w:rPr>
                <w:iCs/>
                <w:sz w:val="22"/>
                <w:szCs w:val="22"/>
                <w:u w:val="single"/>
              </w:rPr>
            </w:pPr>
            <w:r w:rsidRPr="00B02AD6">
              <w:rPr>
                <w:iCs/>
                <w:sz w:val="22"/>
                <w:szCs w:val="22"/>
                <w:u w:val="single"/>
              </w:rPr>
              <w:t xml:space="preserve">Sažetak bezbjednosnog profila </w:t>
            </w:r>
          </w:p>
          <w:p w:rsidR="0051655A" w:rsidRPr="00B02AD6" w:rsidRDefault="0051655A" w:rsidP="00A03C69">
            <w:pPr>
              <w:pStyle w:val="Header"/>
              <w:tabs>
                <w:tab w:val="left" w:pos="284"/>
              </w:tabs>
              <w:rPr>
                <w:i/>
                <w:iCs/>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Ukupan bezbjednosni profil lijeka kapecitabin zasnovan je na podacima od preko 3000 pacijenata liječenih kapecitabinom kao monoterapijom ili kapecitabinom u kombinaciji sa različitim hemioterapijskim režimima u različitim indikacijama. Ukupni bezbjednosni profili kapecitabin monoterapije za populacije pacijenata sa metastatskim karcinomom dojke, metastatskim kolorektalnim karcinomom i adjuvantnim karcinomom kolona su uporedivi. Vidjeti odjeljak 5.1 za detalje najvažnijih studija, uključujući njihov dizajn i glavne rezultate efikasnosti.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Najčešće prijavljene i/ili klinički relevantne neželjene reakcije na lijek povezane sa terapijom bili su gastrointestinalni poremećaji (naročit</w:t>
            </w:r>
            <w:r w:rsidR="00431167" w:rsidRPr="00B02AD6">
              <w:rPr>
                <w:sz w:val="22"/>
                <w:szCs w:val="22"/>
              </w:rPr>
              <w:t>o</w:t>
            </w:r>
            <w:r w:rsidRPr="00B02AD6">
              <w:rPr>
                <w:sz w:val="22"/>
                <w:szCs w:val="22"/>
              </w:rPr>
              <w:t xml:space="preserve"> dijareja, mučnina, povraćanje, bol u abdomenu, stomatitis), sindrom šaka-stopalo (palmarno-plantarna eritrodisestezija), umor, astenija, anoreksija,</w:t>
            </w:r>
            <w:r w:rsidRPr="00B02AD6">
              <w:rPr>
                <w:i/>
                <w:iCs/>
                <w:sz w:val="22"/>
                <w:szCs w:val="22"/>
              </w:rPr>
              <w:t xml:space="preserve"> </w:t>
            </w:r>
            <w:r w:rsidRPr="00B02AD6">
              <w:rPr>
                <w:sz w:val="22"/>
                <w:szCs w:val="22"/>
              </w:rPr>
              <w:t xml:space="preserve">kardiotoksičnost, pogoršanje bubrežne funkcije kod pacijenata sa već postojećom kompromitovanom bubrežnom funkcijom, i tromboza/embolija.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Cs/>
                <w:sz w:val="22"/>
                <w:szCs w:val="22"/>
                <w:u w:val="single"/>
              </w:rPr>
            </w:pPr>
            <w:r w:rsidRPr="00B02AD6">
              <w:rPr>
                <w:iCs/>
                <w:sz w:val="22"/>
                <w:szCs w:val="22"/>
                <w:u w:val="single"/>
              </w:rPr>
              <w:t xml:space="preserve">Tabelarni prikaz neželjenih reakcija </w:t>
            </w:r>
          </w:p>
          <w:p w:rsidR="0051655A" w:rsidRPr="00B02AD6" w:rsidRDefault="0051655A" w:rsidP="00A03C69">
            <w:pPr>
              <w:pStyle w:val="Header"/>
              <w:tabs>
                <w:tab w:val="left" w:pos="284"/>
              </w:tabs>
              <w:jc w:val="both"/>
              <w:rPr>
                <w:sz w:val="22"/>
                <w:szCs w:val="22"/>
              </w:rPr>
            </w:pPr>
            <w:r w:rsidRPr="00B02AD6">
              <w:rPr>
                <w:sz w:val="22"/>
                <w:szCs w:val="22"/>
              </w:rPr>
              <w:lastRenderedPageBreak/>
              <w:t xml:space="preserve">Neželjene reakcije na lijek za koje su istraživači naveli kao moguće, vjerovatno ili slabo povezane sa primjenom kapecitabina prikazane su u tabeli 4 za kapecitabin u monoterapiji i u tabeli 5 za kapecitabin u kombinaciji sa različitim hemoterapijskim režimima u različitim indikacijama. </w:t>
            </w:r>
          </w:p>
          <w:p w:rsidR="0051655A" w:rsidRPr="00B02AD6" w:rsidRDefault="0051655A" w:rsidP="00A03C69">
            <w:pPr>
              <w:pStyle w:val="Header"/>
              <w:tabs>
                <w:tab w:val="left" w:pos="284"/>
              </w:tabs>
              <w:jc w:val="both"/>
              <w:rPr>
                <w:sz w:val="22"/>
                <w:szCs w:val="22"/>
              </w:rPr>
            </w:pPr>
            <w:r w:rsidRPr="00B02AD6">
              <w:rPr>
                <w:sz w:val="22"/>
                <w:szCs w:val="22"/>
              </w:rPr>
              <w:t>Neželjena dejstva prema učestalosti pojave razvrstana su</w:t>
            </w:r>
            <w:r w:rsidR="009F2CB4" w:rsidRPr="00B02AD6">
              <w:rPr>
                <w:sz w:val="22"/>
                <w:szCs w:val="22"/>
              </w:rPr>
              <w:t xml:space="preserve"> </w:t>
            </w:r>
            <w:r w:rsidRPr="00B02AD6">
              <w:rPr>
                <w:sz w:val="22"/>
                <w:szCs w:val="22"/>
              </w:rPr>
              <w:t>na sljedeći način: veoma često (</w:t>
            </w:r>
            <w:r w:rsidRPr="00B02AD6">
              <w:rPr>
                <w:sz w:val="22"/>
                <w:szCs w:val="22"/>
              </w:rPr>
              <w:sym w:font="Symbol" w:char="F0B3"/>
            </w:r>
            <w:r w:rsidRPr="00B02AD6">
              <w:rPr>
                <w:sz w:val="22"/>
                <w:szCs w:val="22"/>
              </w:rPr>
              <w:t> 1/10), često (</w:t>
            </w:r>
            <w:r w:rsidRPr="00B02AD6">
              <w:rPr>
                <w:sz w:val="22"/>
                <w:szCs w:val="22"/>
              </w:rPr>
              <w:sym w:font="Symbol" w:char="F0B3"/>
            </w:r>
            <w:r w:rsidRPr="00B02AD6">
              <w:rPr>
                <w:sz w:val="22"/>
                <w:szCs w:val="22"/>
              </w:rPr>
              <w:t> 1/100, &lt; 1/10), povremeno (</w:t>
            </w:r>
            <w:r w:rsidRPr="00B02AD6">
              <w:rPr>
                <w:sz w:val="22"/>
                <w:szCs w:val="22"/>
              </w:rPr>
              <w:sym w:font="Symbol" w:char="F0B3"/>
            </w:r>
            <w:r w:rsidRPr="00B02AD6">
              <w:rPr>
                <w:sz w:val="22"/>
                <w:szCs w:val="22"/>
              </w:rPr>
              <w:t> 1/1000, &lt; 1/100), rijetko (≥1/10 000, &lt;1/1000) i v</w:t>
            </w:r>
            <w:r w:rsidR="009F2CB4" w:rsidRPr="00B02AD6">
              <w:rPr>
                <w:sz w:val="22"/>
                <w:szCs w:val="22"/>
              </w:rPr>
              <w:t>eoma</w:t>
            </w:r>
            <w:r w:rsidRPr="00B02AD6">
              <w:rPr>
                <w:sz w:val="22"/>
                <w:szCs w:val="22"/>
              </w:rPr>
              <w:t xml:space="preserve"> rijetko (&lt;1/10 000). Unutar svake grupe učestalosti, neželjena dejstva su prikazana po opadajućem redu ozbiljnosti.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
                <w:sz w:val="22"/>
                <w:szCs w:val="22"/>
              </w:rPr>
            </w:pPr>
            <w:r w:rsidRPr="00B02AD6">
              <w:rPr>
                <w:i/>
                <w:sz w:val="22"/>
                <w:szCs w:val="22"/>
              </w:rPr>
              <w:t>Monoterapija kapecitabinom</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U </w:t>
            </w:r>
            <w:r w:rsidR="00861EC0" w:rsidRPr="00B02AD6">
              <w:rPr>
                <w:sz w:val="22"/>
                <w:szCs w:val="22"/>
              </w:rPr>
              <w:t>T</w:t>
            </w:r>
            <w:r w:rsidRPr="00B02AD6">
              <w:rPr>
                <w:sz w:val="22"/>
                <w:szCs w:val="22"/>
              </w:rPr>
              <w:t>abeli 4 prikazan</w:t>
            </w:r>
            <w:r w:rsidR="009F2CB4" w:rsidRPr="00B02AD6">
              <w:rPr>
                <w:sz w:val="22"/>
                <w:szCs w:val="22"/>
              </w:rPr>
              <w:t>a</w:t>
            </w:r>
            <w:r w:rsidRPr="00B02AD6">
              <w:rPr>
                <w:sz w:val="22"/>
                <w:szCs w:val="22"/>
              </w:rPr>
              <w:t xml:space="preserve"> su neželjena dejstva povezana sa primjenom monoterapije kapecitabinom, a na osnovu zbirne analize bezbjednosnih podataka iz tri velike studije koje su obuhvatile preko 1900 pacijenata (studije M66001, SO14695, i SO14796). Neželjena dejstva su svrstana u odgovarajuću grupu učestalosti na osnovu ukupne incidence iz zbirne analize.</w:t>
            </w:r>
          </w:p>
          <w:p w:rsidR="0051655A" w:rsidRPr="00B02AD6" w:rsidRDefault="0051655A" w:rsidP="00A03C69">
            <w:pPr>
              <w:pStyle w:val="Header"/>
              <w:tabs>
                <w:tab w:val="left" w:pos="284"/>
              </w:tabs>
              <w:rPr>
                <w:sz w:val="22"/>
                <w:szCs w:val="22"/>
              </w:rPr>
            </w:pPr>
          </w:p>
          <w:p w:rsidR="0051655A" w:rsidRPr="00B02AD6" w:rsidRDefault="0051655A" w:rsidP="00A03C69">
            <w:pPr>
              <w:pStyle w:val="Header"/>
              <w:tabs>
                <w:tab w:val="left" w:pos="284"/>
              </w:tabs>
              <w:jc w:val="both"/>
              <w:rPr>
                <w:sz w:val="22"/>
                <w:szCs w:val="22"/>
              </w:rPr>
            </w:pPr>
            <w:r w:rsidRPr="00B02AD6">
              <w:rPr>
                <w:sz w:val="22"/>
                <w:szCs w:val="22"/>
              </w:rPr>
              <w:t>Tabela 4. Rezime neželjenih reakcija na lijek zabilježenih kod pacijenata koji su liječeni kapecitabinom kao  monoterapij</w:t>
            </w:r>
            <w:r w:rsidR="009F2CB4" w:rsidRPr="00B02AD6">
              <w:rPr>
                <w:sz w:val="22"/>
                <w:szCs w:val="22"/>
              </w:rPr>
              <w:t>om</w:t>
            </w:r>
            <w:r w:rsidRPr="00B02AD6">
              <w:rPr>
                <w:sz w:val="22"/>
                <w:szCs w:val="22"/>
              </w:rPr>
              <w:t xml:space="preserve"> </w:t>
            </w:r>
          </w:p>
          <w:p w:rsidR="0051655A" w:rsidRPr="00B02AD6" w:rsidRDefault="0051655A" w:rsidP="00A03C69">
            <w:pPr>
              <w:pStyle w:val="Header"/>
              <w:tabs>
                <w:tab w:val="left" w:pos="284"/>
              </w:tabs>
              <w:rPr>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532"/>
              <w:gridCol w:w="1858"/>
              <w:gridCol w:w="1910"/>
              <w:gridCol w:w="1829"/>
            </w:tblGrid>
            <w:tr w:rsidR="0051655A" w:rsidRPr="00B02AD6" w:rsidTr="00985E90">
              <w:tc>
                <w:tcPr>
                  <w:tcW w:w="1991" w:type="dxa"/>
                  <w:shd w:val="clear" w:color="auto" w:fill="auto"/>
                  <w:vAlign w:val="center"/>
                </w:tcPr>
                <w:p w:rsidR="0051655A" w:rsidRPr="00B02AD6" w:rsidRDefault="0051655A" w:rsidP="00985E90">
                  <w:pPr>
                    <w:pStyle w:val="Header"/>
                    <w:tabs>
                      <w:tab w:val="left" w:pos="284"/>
                    </w:tabs>
                    <w:jc w:val="center"/>
                    <w:rPr>
                      <w:rFonts w:eastAsia="PMingLiU"/>
                      <w:b/>
                      <w:sz w:val="22"/>
                      <w:szCs w:val="22"/>
                    </w:rPr>
                  </w:pPr>
                  <w:r w:rsidRPr="00B02AD6">
                    <w:rPr>
                      <w:rFonts w:eastAsia="PMingLiU"/>
                      <w:b/>
                      <w:sz w:val="22"/>
                      <w:szCs w:val="22"/>
                    </w:rPr>
                    <w:t>Sistem organ</w:t>
                  </w:r>
                  <w:r w:rsidR="009F2CB4" w:rsidRPr="00B02AD6">
                    <w:rPr>
                      <w:rFonts w:eastAsia="PMingLiU"/>
                      <w:b/>
                      <w:sz w:val="22"/>
                      <w:szCs w:val="22"/>
                    </w:rPr>
                    <w:t>a</w:t>
                  </w:r>
                </w:p>
              </w:tc>
              <w:tc>
                <w:tcPr>
                  <w:tcW w:w="1991" w:type="dxa"/>
                  <w:shd w:val="clear" w:color="auto" w:fill="auto"/>
                  <w:vAlign w:val="center"/>
                </w:tcPr>
                <w:p w:rsidR="0051655A" w:rsidRPr="00B02AD6" w:rsidRDefault="0051655A" w:rsidP="00985E90">
                  <w:pPr>
                    <w:pStyle w:val="Header"/>
                    <w:tabs>
                      <w:tab w:val="left" w:pos="284"/>
                    </w:tabs>
                    <w:jc w:val="center"/>
                    <w:rPr>
                      <w:rFonts w:eastAsia="PMingLiU"/>
                      <w:b/>
                      <w:sz w:val="22"/>
                      <w:szCs w:val="22"/>
                    </w:rPr>
                  </w:pPr>
                  <w:r w:rsidRPr="00B02AD6">
                    <w:rPr>
                      <w:rFonts w:eastAsia="PMingLiU"/>
                      <w:b/>
                      <w:sz w:val="22"/>
                      <w:szCs w:val="22"/>
                    </w:rPr>
                    <w:t>Veoma često</w:t>
                  </w:r>
                </w:p>
                <w:p w:rsidR="0051655A" w:rsidRPr="00B02AD6" w:rsidRDefault="0051655A" w:rsidP="00985E90">
                  <w:pPr>
                    <w:pStyle w:val="Header"/>
                    <w:tabs>
                      <w:tab w:val="left" w:pos="284"/>
                    </w:tabs>
                    <w:jc w:val="center"/>
                    <w:rPr>
                      <w:rFonts w:eastAsia="PMingLiU"/>
                      <w:b/>
                      <w:i/>
                      <w:sz w:val="22"/>
                      <w:szCs w:val="22"/>
                    </w:rPr>
                  </w:pPr>
                </w:p>
                <w:p w:rsidR="0051655A" w:rsidRPr="00B02AD6" w:rsidRDefault="0051655A" w:rsidP="00985E90">
                  <w:pPr>
                    <w:pStyle w:val="Header"/>
                    <w:tabs>
                      <w:tab w:val="left" w:pos="284"/>
                    </w:tabs>
                    <w:jc w:val="center"/>
                    <w:rPr>
                      <w:rFonts w:eastAsia="PMingLiU"/>
                      <w:b/>
                      <w:i/>
                      <w:sz w:val="22"/>
                      <w:szCs w:val="22"/>
                    </w:rPr>
                  </w:pPr>
                  <w:r w:rsidRPr="00B02AD6">
                    <w:rPr>
                      <w:rFonts w:eastAsia="PMingLiU"/>
                      <w:b/>
                      <w:i/>
                      <w:sz w:val="22"/>
                      <w:szCs w:val="22"/>
                    </w:rPr>
                    <w:t>Svi stepeni</w:t>
                  </w:r>
                </w:p>
              </w:tc>
              <w:tc>
                <w:tcPr>
                  <w:tcW w:w="1953" w:type="dxa"/>
                  <w:shd w:val="clear" w:color="auto" w:fill="auto"/>
                  <w:vAlign w:val="center"/>
                </w:tcPr>
                <w:p w:rsidR="0051655A" w:rsidRPr="00B02AD6" w:rsidRDefault="0051655A" w:rsidP="00985E90">
                  <w:pPr>
                    <w:pStyle w:val="Header"/>
                    <w:tabs>
                      <w:tab w:val="left" w:pos="284"/>
                    </w:tabs>
                    <w:jc w:val="center"/>
                    <w:rPr>
                      <w:rFonts w:eastAsia="PMingLiU"/>
                      <w:b/>
                      <w:sz w:val="22"/>
                      <w:szCs w:val="22"/>
                    </w:rPr>
                  </w:pPr>
                  <w:r w:rsidRPr="00B02AD6">
                    <w:rPr>
                      <w:rFonts w:eastAsia="PMingLiU"/>
                      <w:b/>
                      <w:sz w:val="22"/>
                      <w:szCs w:val="22"/>
                    </w:rPr>
                    <w:t>Često</w:t>
                  </w:r>
                </w:p>
                <w:p w:rsidR="0051655A" w:rsidRPr="00B02AD6" w:rsidRDefault="0051655A" w:rsidP="00985E90">
                  <w:pPr>
                    <w:pStyle w:val="Header"/>
                    <w:tabs>
                      <w:tab w:val="left" w:pos="284"/>
                    </w:tabs>
                    <w:jc w:val="center"/>
                    <w:rPr>
                      <w:rFonts w:eastAsia="PMingLiU"/>
                      <w:b/>
                      <w:i/>
                      <w:sz w:val="22"/>
                      <w:szCs w:val="22"/>
                    </w:rPr>
                  </w:pPr>
                </w:p>
                <w:p w:rsidR="0051655A" w:rsidRPr="00B02AD6" w:rsidRDefault="0051655A" w:rsidP="00985E90">
                  <w:pPr>
                    <w:pStyle w:val="Header"/>
                    <w:tabs>
                      <w:tab w:val="left" w:pos="284"/>
                    </w:tabs>
                    <w:jc w:val="center"/>
                    <w:rPr>
                      <w:rFonts w:eastAsia="PMingLiU"/>
                      <w:b/>
                      <w:color w:val="FF0000"/>
                      <w:sz w:val="22"/>
                      <w:szCs w:val="22"/>
                    </w:rPr>
                  </w:pPr>
                  <w:r w:rsidRPr="00B02AD6">
                    <w:rPr>
                      <w:rFonts w:eastAsia="PMingLiU"/>
                      <w:b/>
                      <w:i/>
                      <w:sz w:val="22"/>
                      <w:szCs w:val="22"/>
                    </w:rPr>
                    <w:t>Svi stepeni</w:t>
                  </w:r>
                </w:p>
              </w:tc>
              <w:tc>
                <w:tcPr>
                  <w:tcW w:w="2030" w:type="dxa"/>
                  <w:shd w:val="clear" w:color="auto" w:fill="auto"/>
                  <w:vAlign w:val="center"/>
                </w:tcPr>
                <w:p w:rsidR="0051655A" w:rsidRPr="00B02AD6" w:rsidRDefault="0051655A" w:rsidP="00985E90">
                  <w:pPr>
                    <w:pStyle w:val="Header"/>
                    <w:tabs>
                      <w:tab w:val="left" w:pos="284"/>
                    </w:tabs>
                    <w:jc w:val="center"/>
                    <w:rPr>
                      <w:rFonts w:eastAsia="PMingLiU"/>
                      <w:b/>
                      <w:sz w:val="22"/>
                      <w:szCs w:val="22"/>
                    </w:rPr>
                  </w:pPr>
                  <w:r w:rsidRPr="00B02AD6">
                    <w:rPr>
                      <w:rFonts w:eastAsia="PMingLiU"/>
                      <w:b/>
                      <w:sz w:val="22"/>
                      <w:szCs w:val="22"/>
                    </w:rPr>
                    <w:t>Povremeno</w:t>
                  </w:r>
                </w:p>
                <w:p w:rsidR="0051655A" w:rsidRPr="00B02AD6" w:rsidRDefault="0051655A" w:rsidP="00985E90">
                  <w:pPr>
                    <w:pStyle w:val="Header"/>
                    <w:tabs>
                      <w:tab w:val="left" w:pos="284"/>
                    </w:tabs>
                    <w:jc w:val="center"/>
                    <w:rPr>
                      <w:rFonts w:eastAsia="PMingLiU"/>
                      <w:b/>
                      <w:i/>
                      <w:color w:val="FF0000"/>
                      <w:sz w:val="22"/>
                      <w:szCs w:val="22"/>
                    </w:rPr>
                  </w:pPr>
                  <w:r w:rsidRPr="00B02AD6">
                    <w:rPr>
                      <w:rFonts w:eastAsia="PMingLiU"/>
                      <w:b/>
                      <w:i/>
                      <w:sz w:val="22"/>
                      <w:szCs w:val="22"/>
                    </w:rPr>
                    <w:t>Teške i/ili opasne po život (stepen 3-4) ili koje se smatraju medicinski relevantnima</w:t>
                  </w:r>
                </w:p>
              </w:tc>
              <w:tc>
                <w:tcPr>
                  <w:tcW w:w="1992" w:type="dxa"/>
                  <w:shd w:val="clear" w:color="auto" w:fill="auto"/>
                  <w:vAlign w:val="center"/>
                </w:tcPr>
                <w:p w:rsidR="0051655A" w:rsidRPr="00B02AD6" w:rsidRDefault="0051655A" w:rsidP="00985E90">
                  <w:pPr>
                    <w:autoSpaceDE w:val="0"/>
                    <w:autoSpaceDN w:val="0"/>
                    <w:adjustRightInd w:val="0"/>
                    <w:jc w:val="center"/>
                    <w:rPr>
                      <w:rFonts w:eastAsia="PMingLiU"/>
                      <w:b/>
                      <w:sz w:val="22"/>
                      <w:szCs w:val="22"/>
                    </w:rPr>
                  </w:pPr>
                  <w:r w:rsidRPr="00B02AD6">
                    <w:rPr>
                      <w:rFonts w:eastAsia="PMingLiU"/>
                      <w:b/>
                      <w:sz w:val="22"/>
                      <w:szCs w:val="22"/>
                    </w:rPr>
                    <w:t>Rijetko/v</w:t>
                  </w:r>
                  <w:r w:rsidR="009F2CB4" w:rsidRPr="00B02AD6">
                    <w:rPr>
                      <w:rFonts w:eastAsia="PMingLiU"/>
                      <w:b/>
                      <w:sz w:val="22"/>
                      <w:szCs w:val="22"/>
                    </w:rPr>
                    <w:t>eoma</w:t>
                  </w:r>
                </w:p>
                <w:p w:rsidR="0051655A" w:rsidRPr="00B02AD6" w:rsidRDefault="0051655A" w:rsidP="00985E90">
                  <w:pPr>
                    <w:autoSpaceDE w:val="0"/>
                    <w:autoSpaceDN w:val="0"/>
                    <w:adjustRightInd w:val="0"/>
                    <w:jc w:val="center"/>
                    <w:rPr>
                      <w:rFonts w:eastAsia="PMingLiU"/>
                      <w:b/>
                      <w:sz w:val="22"/>
                      <w:szCs w:val="22"/>
                    </w:rPr>
                  </w:pPr>
                  <w:r w:rsidRPr="00B02AD6">
                    <w:rPr>
                      <w:rFonts w:eastAsia="PMingLiU"/>
                      <w:b/>
                      <w:sz w:val="22"/>
                      <w:szCs w:val="22"/>
                    </w:rPr>
                    <w:t>rijetko</w:t>
                  </w:r>
                </w:p>
                <w:p w:rsidR="0051655A" w:rsidRPr="00B02AD6" w:rsidRDefault="0051655A" w:rsidP="00985E90">
                  <w:pPr>
                    <w:autoSpaceDE w:val="0"/>
                    <w:autoSpaceDN w:val="0"/>
                    <w:adjustRightInd w:val="0"/>
                    <w:jc w:val="center"/>
                    <w:rPr>
                      <w:rFonts w:eastAsia="PMingLiU"/>
                      <w:b/>
                      <w:sz w:val="22"/>
                      <w:szCs w:val="22"/>
                    </w:rPr>
                  </w:pPr>
                  <w:r w:rsidRPr="00B02AD6">
                    <w:rPr>
                      <w:rFonts w:eastAsia="PMingLiU"/>
                      <w:b/>
                      <w:sz w:val="22"/>
                      <w:szCs w:val="22"/>
                    </w:rPr>
                    <w:t>(iskustvo nakon</w:t>
                  </w:r>
                </w:p>
                <w:p w:rsidR="0051655A" w:rsidRPr="00B02AD6" w:rsidRDefault="0051655A" w:rsidP="00985E90">
                  <w:pPr>
                    <w:autoSpaceDE w:val="0"/>
                    <w:autoSpaceDN w:val="0"/>
                    <w:adjustRightInd w:val="0"/>
                    <w:jc w:val="center"/>
                    <w:rPr>
                      <w:rFonts w:eastAsia="PMingLiU"/>
                      <w:b/>
                      <w:sz w:val="22"/>
                      <w:szCs w:val="22"/>
                    </w:rPr>
                  </w:pPr>
                  <w:r w:rsidRPr="00B02AD6">
                    <w:rPr>
                      <w:rFonts w:eastAsia="PMingLiU"/>
                      <w:b/>
                      <w:sz w:val="22"/>
                      <w:szCs w:val="22"/>
                    </w:rPr>
                    <w:t>stavljanja</w:t>
                  </w:r>
                </w:p>
                <w:p w:rsidR="0051655A" w:rsidRPr="00B02AD6" w:rsidRDefault="0051655A" w:rsidP="00985E90">
                  <w:pPr>
                    <w:autoSpaceDE w:val="0"/>
                    <w:autoSpaceDN w:val="0"/>
                    <w:adjustRightInd w:val="0"/>
                    <w:jc w:val="center"/>
                    <w:rPr>
                      <w:rFonts w:eastAsia="PMingLiU"/>
                      <w:b/>
                      <w:sz w:val="22"/>
                      <w:szCs w:val="22"/>
                    </w:rPr>
                  </w:pPr>
                  <w:r w:rsidRPr="00B02AD6">
                    <w:rPr>
                      <w:rFonts w:eastAsia="PMingLiU"/>
                      <w:b/>
                      <w:sz w:val="22"/>
                      <w:szCs w:val="22"/>
                    </w:rPr>
                    <w:t>lijeka u</w:t>
                  </w:r>
                </w:p>
                <w:p w:rsidR="0051655A" w:rsidRPr="00B02AD6" w:rsidRDefault="0051655A" w:rsidP="00985E90">
                  <w:pPr>
                    <w:pStyle w:val="Header"/>
                    <w:tabs>
                      <w:tab w:val="left" w:pos="284"/>
                    </w:tabs>
                    <w:jc w:val="center"/>
                    <w:rPr>
                      <w:color w:val="FF0000"/>
                      <w:sz w:val="22"/>
                      <w:szCs w:val="22"/>
                    </w:rPr>
                  </w:pPr>
                  <w:r w:rsidRPr="00B02AD6">
                    <w:rPr>
                      <w:rFonts w:eastAsia="PMingLiU"/>
                      <w:b/>
                      <w:sz w:val="22"/>
                      <w:szCs w:val="22"/>
                    </w:rPr>
                    <w:t>promet)</w:t>
                  </w: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t>Infekcije i infestacije</w:t>
                  </w:r>
                </w:p>
              </w:tc>
              <w:tc>
                <w:tcPr>
                  <w:tcW w:w="1991" w:type="dxa"/>
                  <w:shd w:val="clear" w:color="auto" w:fill="auto"/>
                </w:tcPr>
                <w:p w:rsidR="0051655A" w:rsidRPr="00B02AD6" w:rsidRDefault="0051655A" w:rsidP="00A03C69">
                  <w:pPr>
                    <w:pStyle w:val="Header"/>
                    <w:tabs>
                      <w:tab w:val="left" w:pos="284"/>
                    </w:tabs>
                    <w:rPr>
                      <w:color w:val="FF0000"/>
                      <w:sz w:val="22"/>
                      <w:szCs w:val="22"/>
                    </w:rPr>
                  </w:pPr>
                </w:p>
              </w:tc>
              <w:tc>
                <w:tcPr>
                  <w:tcW w:w="1953" w:type="dxa"/>
                  <w:shd w:val="clear" w:color="auto" w:fill="auto"/>
                </w:tcPr>
                <w:p w:rsidR="0051655A" w:rsidRPr="00B02AD6" w:rsidRDefault="009F2CB4"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i</w:t>
                  </w:r>
                  <w:r w:rsidR="0051655A" w:rsidRPr="00B02AD6">
                    <w:rPr>
                      <w:rFonts w:ascii="TimesNewRoman" w:hAnsi="TimesNewRoman" w:cs="TimesNewRoman"/>
                      <w:sz w:val="22"/>
                      <w:szCs w:val="22"/>
                    </w:rPr>
                    <w:t>nfekcija herpes</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virusom, nazofaringitis,</w:t>
                  </w:r>
                </w:p>
                <w:p w:rsidR="0051655A" w:rsidRPr="00B02AD6" w:rsidRDefault="0051655A" w:rsidP="00A03C69">
                  <w:pPr>
                    <w:autoSpaceDE w:val="0"/>
                    <w:autoSpaceDN w:val="0"/>
                    <w:adjustRightInd w:val="0"/>
                    <w:rPr>
                      <w:color w:val="FF0000"/>
                      <w:sz w:val="22"/>
                      <w:szCs w:val="22"/>
                    </w:rPr>
                  </w:pPr>
                  <w:r w:rsidRPr="00B02AD6">
                    <w:rPr>
                      <w:rFonts w:ascii="TimesNewRoman" w:hAnsi="TimesNewRoman" w:cs="TimesNewRoman"/>
                      <w:sz w:val="22"/>
                      <w:szCs w:val="22"/>
                    </w:rPr>
                    <w:t>infekcija donjih disajnih puteva</w:t>
                  </w:r>
                </w:p>
              </w:tc>
              <w:tc>
                <w:tcPr>
                  <w:tcW w:w="2030" w:type="dxa"/>
                  <w:shd w:val="clear" w:color="auto" w:fill="auto"/>
                </w:tcPr>
                <w:p w:rsidR="0051655A" w:rsidRPr="00B02AD6" w:rsidRDefault="009F2CB4" w:rsidP="00A03C69">
                  <w:pPr>
                    <w:pStyle w:val="Header"/>
                    <w:tabs>
                      <w:tab w:val="left" w:pos="284"/>
                    </w:tabs>
                    <w:rPr>
                      <w:rFonts w:eastAsia="PMingLiU"/>
                      <w:sz w:val="22"/>
                      <w:szCs w:val="22"/>
                    </w:rPr>
                  </w:pPr>
                  <w:r w:rsidRPr="00B02AD6">
                    <w:rPr>
                      <w:rFonts w:eastAsia="PMingLiU"/>
                      <w:sz w:val="22"/>
                      <w:szCs w:val="22"/>
                    </w:rPr>
                    <w:t>s</w:t>
                  </w:r>
                  <w:r w:rsidR="0051655A" w:rsidRPr="00B02AD6">
                    <w:rPr>
                      <w:rFonts w:eastAsia="PMingLiU"/>
                      <w:sz w:val="22"/>
                      <w:szCs w:val="22"/>
                    </w:rPr>
                    <w:t>epsa, infekcije urinarnog trakta,</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celulitis, tonzilitis,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faringitis, oralna kandidijaza, grip,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gastroenteritis,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gljivična infekcija, </w:t>
                  </w:r>
                </w:p>
                <w:p w:rsidR="0051655A" w:rsidRPr="00B02AD6" w:rsidRDefault="0051655A" w:rsidP="00A03C69">
                  <w:pPr>
                    <w:pStyle w:val="Header"/>
                    <w:tabs>
                      <w:tab w:val="left" w:pos="284"/>
                    </w:tabs>
                    <w:rPr>
                      <w:color w:val="FF0000"/>
                      <w:sz w:val="22"/>
                      <w:szCs w:val="22"/>
                    </w:rPr>
                  </w:pPr>
                  <w:r w:rsidRPr="00B02AD6">
                    <w:rPr>
                      <w:rFonts w:eastAsia="PMingLiU"/>
                      <w:sz w:val="22"/>
                      <w:szCs w:val="22"/>
                    </w:rPr>
                    <w:t>infekcija, apsces zuba</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Neoplazme benigne, maligne i neodređene</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51655A" w:rsidP="00A03C69">
                  <w:pPr>
                    <w:pStyle w:val="Header"/>
                    <w:tabs>
                      <w:tab w:val="left" w:pos="284"/>
                    </w:tabs>
                    <w:rPr>
                      <w:sz w:val="22"/>
                      <w:szCs w:val="22"/>
                    </w:rPr>
                  </w:pPr>
                </w:p>
              </w:tc>
              <w:tc>
                <w:tcPr>
                  <w:tcW w:w="2030" w:type="dxa"/>
                  <w:shd w:val="clear" w:color="auto" w:fill="auto"/>
                </w:tcPr>
                <w:p w:rsidR="0051655A" w:rsidRPr="00B02AD6" w:rsidRDefault="0051655A" w:rsidP="00A03C69">
                  <w:pPr>
                    <w:pStyle w:val="Header"/>
                    <w:tabs>
                      <w:tab w:val="left" w:pos="284"/>
                    </w:tabs>
                    <w:rPr>
                      <w:sz w:val="22"/>
                      <w:szCs w:val="22"/>
                    </w:rPr>
                  </w:pPr>
                  <w:r w:rsidRPr="00B02AD6">
                    <w:rPr>
                      <w:sz w:val="22"/>
                      <w:szCs w:val="22"/>
                    </w:rPr>
                    <w:t>lipom</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Poremećaji krvi i limfnog sistema</w:t>
                  </w:r>
                </w:p>
              </w:tc>
              <w:tc>
                <w:tcPr>
                  <w:tcW w:w="1991" w:type="dxa"/>
                  <w:shd w:val="clear" w:color="auto" w:fill="auto"/>
                </w:tcPr>
                <w:p w:rsidR="0051655A" w:rsidRPr="00B02AD6" w:rsidRDefault="0051655A" w:rsidP="00A03C69">
                  <w:pPr>
                    <w:pStyle w:val="Header"/>
                    <w:tabs>
                      <w:tab w:val="left" w:pos="284"/>
                    </w:tabs>
                    <w:rPr>
                      <w:color w:val="FF0000"/>
                      <w:sz w:val="22"/>
                      <w:szCs w:val="22"/>
                    </w:rPr>
                  </w:pPr>
                </w:p>
              </w:tc>
              <w:tc>
                <w:tcPr>
                  <w:tcW w:w="1953"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neutropenija,</w:t>
                  </w:r>
                </w:p>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2"/>
                      <w:szCs w:val="22"/>
                    </w:rPr>
                    <w:t>anemija</w:t>
                  </w:r>
                </w:p>
              </w:tc>
              <w:tc>
                <w:tcPr>
                  <w:tcW w:w="2030"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febrilna neutropenija,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pancitopenija,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granulocitopenija,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trombocitopenija, leukopenija,</w:t>
                  </w:r>
                </w:p>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2"/>
                      <w:szCs w:val="22"/>
                    </w:rPr>
                    <w:t xml:space="preserve">hemolitička anemija, </w:t>
                  </w:r>
                  <w:r w:rsidRPr="00B02AD6">
                    <w:rPr>
                      <w:rFonts w:eastAsia="PMingLiU"/>
                      <w:sz w:val="22"/>
                      <w:szCs w:val="22"/>
                    </w:rPr>
                    <w:t xml:space="preserve">povećanje INR (International </w:t>
                  </w:r>
                  <w:r w:rsidRPr="00B02AD6">
                    <w:rPr>
                      <w:rFonts w:eastAsia="PMingLiU"/>
                      <w:sz w:val="22"/>
                      <w:szCs w:val="22"/>
                    </w:rPr>
                    <w:lastRenderedPageBreak/>
                    <w:t>normalised Ratio) /produženje protrombinskog vremena</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 xml:space="preserve">Imunološki poremećaji </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51655A" w:rsidP="00A03C69">
                  <w:pPr>
                    <w:pStyle w:val="Header"/>
                    <w:tabs>
                      <w:tab w:val="left" w:pos="284"/>
                    </w:tabs>
                    <w:rPr>
                      <w:sz w:val="22"/>
                      <w:szCs w:val="22"/>
                    </w:rPr>
                  </w:pPr>
                </w:p>
              </w:tc>
              <w:tc>
                <w:tcPr>
                  <w:tcW w:w="2030" w:type="dxa"/>
                  <w:shd w:val="clear" w:color="auto" w:fill="auto"/>
                </w:tcPr>
                <w:p w:rsidR="0051655A" w:rsidRPr="00B02AD6" w:rsidRDefault="0051655A" w:rsidP="00A03C69">
                  <w:pPr>
                    <w:pStyle w:val="Header"/>
                    <w:tabs>
                      <w:tab w:val="left" w:pos="284"/>
                    </w:tabs>
                    <w:rPr>
                      <w:sz w:val="22"/>
                      <w:szCs w:val="22"/>
                    </w:rPr>
                  </w:pPr>
                  <w:r w:rsidRPr="00B02AD6">
                    <w:rPr>
                      <w:sz w:val="22"/>
                      <w:szCs w:val="22"/>
                    </w:rPr>
                    <w:t>preosjetljivost</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Poremećaji metabolizma i ishrane</w:t>
                  </w:r>
                </w:p>
              </w:tc>
              <w:tc>
                <w:tcPr>
                  <w:tcW w:w="1991" w:type="dxa"/>
                  <w:shd w:val="clear" w:color="auto" w:fill="auto"/>
                </w:tcPr>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2"/>
                      <w:szCs w:val="22"/>
                    </w:rPr>
                    <w:t>anoreksija</w:t>
                  </w:r>
                </w:p>
              </w:tc>
              <w:tc>
                <w:tcPr>
                  <w:tcW w:w="1953"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dehidracija, gubitak</w:t>
                  </w:r>
                </w:p>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2"/>
                      <w:szCs w:val="22"/>
                    </w:rPr>
                    <w:t>tjelesne težine</w:t>
                  </w:r>
                </w:p>
              </w:tc>
              <w:tc>
                <w:tcPr>
                  <w:tcW w:w="2030"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šećerna bolest, hipokalemija,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poremećaj a</w:t>
                  </w:r>
                  <w:r w:rsidR="009F2CB4" w:rsidRPr="00B02AD6">
                    <w:rPr>
                      <w:rFonts w:ascii="TimesNewRoman" w:hAnsi="TimesNewRoman" w:cs="TimesNewRoman"/>
                      <w:sz w:val="22"/>
                      <w:szCs w:val="22"/>
                    </w:rPr>
                    <w:t>petita</w:t>
                  </w:r>
                  <w:r w:rsidRPr="00B02AD6">
                    <w:rPr>
                      <w:rFonts w:ascii="TimesNewRoman" w:hAnsi="TimesNewRoman" w:cs="TimesNewRoman"/>
                      <w:sz w:val="22"/>
                      <w:szCs w:val="22"/>
                    </w:rPr>
                    <w:t>, malnutricija,</w:t>
                  </w:r>
                </w:p>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2"/>
                      <w:szCs w:val="22"/>
                    </w:rPr>
                    <w:t>hipertrigliceridemija</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Psihijatrijski poremećaji</w:t>
                  </w:r>
                </w:p>
              </w:tc>
              <w:tc>
                <w:tcPr>
                  <w:tcW w:w="1991" w:type="dxa"/>
                  <w:shd w:val="clear" w:color="auto" w:fill="auto"/>
                </w:tcPr>
                <w:p w:rsidR="0051655A" w:rsidRPr="00B02AD6" w:rsidRDefault="0051655A" w:rsidP="00A03C69">
                  <w:pPr>
                    <w:pStyle w:val="Header"/>
                    <w:tabs>
                      <w:tab w:val="left" w:pos="284"/>
                    </w:tabs>
                    <w:rPr>
                      <w:color w:val="FF0000"/>
                      <w:sz w:val="22"/>
                      <w:szCs w:val="22"/>
                    </w:rPr>
                  </w:pPr>
                </w:p>
              </w:tc>
              <w:tc>
                <w:tcPr>
                  <w:tcW w:w="1953" w:type="dxa"/>
                  <w:shd w:val="clear" w:color="auto" w:fill="auto"/>
                </w:tcPr>
                <w:p w:rsidR="0051655A" w:rsidRPr="00B02AD6" w:rsidRDefault="0051655A" w:rsidP="00A03C69">
                  <w:pPr>
                    <w:autoSpaceDE w:val="0"/>
                    <w:autoSpaceDN w:val="0"/>
                    <w:adjustRightInd w:val="0"/>
                    <w:rPr>
                      <w:color w:val="FF0000"/>
                      <w:sz w:val="22"/>
                      <w:szCs w:val="22"/>
                    </w:rPr>
                  </w:pPr>
                  <w:r w:rsidRPr="00B02AD6">
                    <w:rPr>
                      <w:rFonts w:ascii="TimesNewRoman" w:hAnsi="TimesNewRoman" w:cs="TimesNewRoman"/>
                      <w:sz w:val="22"/>
                      <w:szCs w:val="22"/>
                    </w:rPr>
                    <w:t xml:space="preserve">nesanica, depresija </w:t>
                  </w:r>
                </w:p>
                <w:p w:rsidR="0051655A" w:rsidRPr="00B02AD6" w:rsidRDefault="0051655A" w:rsidP="00A03C69">
                  <w:pPr>
                    <w:pStyle w:val="Header"/>
                    <w:tabs>
                      <w:tab w:val="left" w:pos="284"/>
                    </w:tabs>
                    <w:rPr>
                      <w:color w:val="FF0000"/>
                      <w:sz w:val="22"/>
                      <w:szCs w:val="22"/>
                    </w:rPr>
                  </w:pPr>
                </w:p>
              </w:tc>
              <w:tc>
                <w:tcPr>
                  <w:tcW w:w="2030"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stanje konfuzije, napad</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panike, depresivno</w:t>
                  </w:r>
                </w:p>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2"/>
                      <w:szCs w:val="22"/>
                    </w:rPr>
                    <w:t>raspoloženje, smanjen libido</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Poremećaji nervnog sistema</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glavobolja,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letargija,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vrtoglavic</w:t>
                  </w:r>
                  <w:r w:rsidR="00950D3B" w:rsidRPr="00B02AD6">
                    <w:rPr>
                      <w:rFonts w:eastAsia="PMingLiU"/>
                      <w:sz w:val="22"/>
                      <w:szCs w:val="22"/>
                    </w:rPr>
                    <w:t>a</w:t>
                  </w:r>
                  <w:r w:rsidRPr="00B02AD6">
                    <w:rPr>
                      <w:rFonts w:eastAsia="PMingLiU"/>
                      <w:sz w:val="22"/>
                      <w:szCs w:val="22"/>
                    </w:rPr>
                    <w:t xml:space="preserve">,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parestezija,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disgeuzija </w:t>
                  </w:r>
                </w:p>
                <w:p w:rsidR="0051655A" w:rsidRPr="00B02AD6" w:rsidRDefault="0051655A" w:rsidP="00A03C69">
                  <w:pPr>
                    <w:pStyle w:val="Header"/>
                    <w:tabs>
                      <w:tab w:val="left" w:pos="284"/>
                    </w:tabs>
                    <w:rPr>
                      <w:rFonts w:eastAsia="PMingLiU"/>
                      <w:sz w:val="22"/>
                      <w:szCs w:val="22"/>
                    </w:rPr>
                  </w:pP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afazija,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poremećaj pamćenja,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ataksija,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sinkopa,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poremećaj ravnoteže,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senzorni poremećaj,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periferna neuropatija</w:t>
                  </w:r>
                </w:p>
              </w:tc>
              <w:tc>
                <w:tcPr>
                  <w:tcW w:w="1992"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toksična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leukoencefalopatija</w:t>
                  </w:r>
                </w:p>
                <w:p w:rsidR="0051655A" w:rsidRPr="00B02AD6" w:rsidRDefault="0051655A" w:rsidP="0063379D">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(v</w:t>
                  </w:r>
                  <w:r w:rsidR="00F01292" w:rsidRPr="00B02AD6">
                    <w:rPr>
                      <w:rFonts w:ascii="TimesNewRoman" w:hAnsi="TimesNewRoman" w:cs="TimesNewRoman"/>
                      <w:sz w:val="22"/>
                      <w:szCs w:val="22"/>
                    </w:rPr>
                    <w:t>eoma</w:t>
                  </w:r>
                  <w:r w:rsidRPr="00B02AD6">
                    <w:rPr>
                      <w:rFonts w:ascii="TimesNewRoman" w:hAnsi="TimesNewRoman" w:cs="TimesNewRoman"/>
                      <w:sz w:val="22"/>
                      <w:szCs w:val="22"/>
                    </w:rPr>
                    <w:t xml:space="preserve"> rijetko)</w:t>
                  </w:r>
                </w:p>
              </w:tc>
            </w:tr>
            <w:tr w:rsidR="0051655A" w:rsidRPr="00B02AD6" w:rsidTr="00985E90">
              <w:tc>
                <w:tcPr>
                  <w:tcW w:w="1991" w:type="dxa"/>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Poremećaji na nivou oka</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pojačano suzenje,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konjunktivitis,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iritacija očiju </w:t>
                  </w: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smanjena oštrina vida, diplopija</w:t>
                  </w:r>
                </w:p>
              </w:tc>
              <w:tc>
                <w:tcPr>
                  <w:tcW w:w="1992"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stenoza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lakrimalnog</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kanala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(rijetko),</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poremećaji</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rožnjače</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(rijetko),</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keratitis</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(rijetko),</w:t>
                  </w:r>
                </w:p>
                <w:p w:rsidR="0051655A" w:rsidRPr="00B02AD6" w:rsidRDefault="0051655A" w:rsidP="00A03C69">
                  <w:pPr>
                    <w:autoSpaceDE w:val="0"/>
                    <w:autoSpaceDN w:val="0"/>
                    <w:adjustRightInd w:val="0"/>
                    <w:rPr>
                      <w:i/>
                      <w:iCs/>
                      <w:sz w:val="22"/>
                      <w:szCs w:val="22"/>
                    </w:rPr>
                  </w:pPr>
                  <w:r w:rsidRPr="00B02AD6">
                    <w:rPr>
                      <w:i/>
                      <w:iCs/>
                      <w:sz w:val="22"/>
                      <w:szCs w:val="22"/>
                    </w:rPr>
                    <w:t>keratitis</w:t>
                  </w:r>
                </w:p>
                <w:p w:rsidR="0051655A" w:rsidRPr="00B02AD6" w:rsidRDefault="0051655A" w:rsidP="00A03C69">
                  <w:pPr>
                    <w:autoSpaceDE w:val="0"/>
                    <w:autoSpaceDN w:val="0"/>
                    <w:adjustRightInd w:val="0"/>
                    <w:rPr>
                      <w:i/>
                      <w:iCs/>
                      <w:sz w:val="22"/>
                      <w:szCs w:val="22"/>
                    </w:rPr>
                  </w:pPr>
                  <w:r w:rsidRPr="00B02AD6">
                    <w:rPr>
                      <w:i/>
                      <w:iCs/>
                      <w:sz w:val="22"/>
                      <w:szCs w:val="22"/>
                    </w:rPr>
                    <w:t>punctata</w:t>
                  </w:r>
                </w:p>
                <w:p w:rsidR="0051655A" w:rsidRPr="00B02AD6" w:rsidRDefault="0051655A" w:rsidP="00A03C69">
                  <w:pPr>
                    <w:pStyle w:val="Header"/>
                    <w:tabs>
                      <w:tab w:val="left" w:pos="284"/>
                    </w:tabs>
                    <w:rPr>
                      <w:sz w:val="22"/>
                      <w:szCs w:val="22"/>
                    </w:rPr>
                  </w:pPr>
                  <w:r w:rsidRPr="00B02AD6">
                    <w:rPr>
                      <w:rFonts w:ascii="TimesNewRoman" w:hAnsi="TimesNewRoman" w:cs="TimesNewRoman"/>
                      <w:sz w:val="22"/>
                      <w:szCs w:val="22"/>
                    </w:rPr>
                    <w:t>(rijetko)</w:t>
                  </w:r>
                </w:p>
              </w:tc>
            </w:tr>
            <w:tr w:rsidR="0051655A" w:rsidRPr="00B02AD6" w:rsidTr="00985E90">
              <w:tc>
                <w:tcPr>
                  <w:tcW w:w="1991" w:type="dxa"/>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Poremećaji na nivou uha i centra za ravnotežu</w:t>
                  </w:r>
                </w:p>
              </w:tc>
              <w:tc>
                <w:tcPr>
                  <w:tcW w:w="1991" w:type="dxa"/>
                  <w:shd w:val="clear" w:color="auto" w:fill="auto"/>
                </w:tcPr>
                <w:p w:rsidR="0051655A" w:rsidRPr="00B02AD6" w:rsidRDefault="0051655A" w:rsidP="00A03C69">
                  <w:pPr>
                    <w:pStyle w:val="Header"/>
                    <w:tabs>
                      <w:tab w:val="left" w:pos="284"/>
                    </w:tabs>
                    <w:rPr>
                      <w:color w:val="FF0000"/>
                      <w:sz w:val="22"/>
                      <w:szCs w:val="22"/>
                    </w:rPr>
                  </w:pPr>
                </w:p>
              </w:tc>
              <w:tc>
                <w:tcPr>
                  <w:tcW w:w="1953" w:type="dxa"/>
                  <w:shd w:val="clear" w:color="auto" w:fill="auto"/>
                </w:tcPr>
                <w:p w:rsidR="0051655A" w:rsidRPr="00B02AD6" w:rsidRDefault="0051655A" w:rsidP="00A03C69">
                  <w:pPr>
                    <w:pStyle w:val="Header"/>
                    <w:tabs>
                      <w:tab w:val="left" w:pos="284"/>
                    </w:tabs>
                    <w:rPr>
                      <w:color w:val="FF0000"/>
                      <w:sz w:val="22"/>
                      <w:szCs w:val="22"/>
                    </w:rPr>
                  </w:pPr>
                </w:p>
              </w:tc>
              <w:tc>
                <w:tcPr>
                  <w:tcW w:w="2030" w:type="dxa"/>
                  <w:shd w:val="clear" w:color="auto" w:fill="auto"/>
                </w:tcPr>
                <w:p w:rsidR="0051655A" w:rsidRPr="00B02AD6" w:rsidRDefault="00950D3B" w:rsidP="00A03C69">
                  <w:pPr>
                    <w:pStyle w:val="Header"/>
                    <w:tabs>
                      <w:tab w:val="left" w:pos="284"/>
                    </w:tabs>
                    <w:rPr>
                      <w:rFonts w:eastAsia="PMingLiU"/>
                      <w:sz w:val="22"/>
                      <w:szCs w:val="22"/>
                    </w:rPr>
                  </w:pPr>
                  <w:r w:rsidRPr="00B02AD6">
                    <w:rPr>
                      <w:rFonts w:eastAsia="PMingLiU"/>
                      <w:sz w:val="22"/>
                      <w:szCs w:val="22"/>
                    </w:rPr>
                    <w:t>v</w:t>
                  </w:r>
                  <w:r w:rsidR="0051655A" w:rsidRPr="00B02AD6">
                    <w:rPr>
                      <w:rFonts w:eastAsia="PMingLiU"/>
                      <w:sz w:val="22"/>
                      <w:szCs w:val="22"/>
                    </w:rPr>
                    <w:t xml:space="preserve">rtoglavica, </w:t>
                  </w:r>
                </w:p>
                <w:p w:rsidR="0051655A" w:rsidRPr="00B02AD6" w:rsidRDefault="00950D3B" w:rsidP="00A03C69">
                  <w:pPr>
                    <w:pStyle w:val="Header"/>
                    <w:tabs>
                      <w:tab w:val="left" w:pos="284"/>
                    </w:tabs>
                    <w:rPr>
                      <w:color w:val="FF0000"/>
                      <w:sz w:val="22"/>
                      <w:szCs w:val="22"/>
                    </w:rPr>
                  </w:pPr>
                  <w:r w:rsidRPr="00B02AD6">
                    <w:rPr>
                      <w:rFonts w:eastAsia="PMingLiU"/>
                      <w:sz w:val="22"/>
                      <w:szCs w:val="22"/>
                    </w:rPr>
                    <w:t>b</w:t>
                  </w:r>
                  <w:r w:rsidR="0051655A" w:rsidRPr="00B02AD6">
                    <w:rPr>
                      <w:rFonts w:eastAsia="PMingLiU"/>
                      <w:sz w:val="22"/>
                      <w:szCs w:val="22"/>
                    </w:rPr>
                    <w:t>ol u uhu</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t>Kardiološki poremećaji</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51655A" w:rsidP="00A03C69">
                  <w:pPr>
                    <w:pStyle w:val="Header"/>
                    <w:tabs>
                      <w:tab w:val="left" w:pos="284"/>
                    </w:tabs>
                    <w:rPr>
                      <w:sz w:val="22"/>
                      <w:szCs w:val="22"/>
                    </w:rPr>
                  </w:pP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nestabilna angina,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angina pektoris,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ishemija miokarda,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atrijalna fibrilacija,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lastRenderedPageBreak/>
                    <w:t xml:space="preserve">aritmija, tahikardija, </w:t>
                  </w:r>
                </w:p>
                <w:p w:rsidR="0051655A" w:rsidRPr="00B02AD6" w:rsidRDefault="0051655A" w:rsidP="00A03C69">
                  <w:pPr>
                    <w:pStyle w:val="Header"/>
                    <w:tabs>
                      <w:tab w:val="left" w:pos="284"/>
                    </w:tabs>
                    <w:rPr>
                      <w:sz w:val="22"/>
                      <w:szCs w:val="22"/>
                    </w:rPr>
                  </w:pPr>
                  <w:r w:rsidRPr="00B02AD6">
                    <w:rPr>
                      <w:rFonts w:eastAsia="PMingLiU"/>
                      <w:sz w:val="22"/>
                      <w:szCs w:val="22"/>
                    </w:rPr>
                    <w:t>sinusna tahikardija, palpitacije</w:t>
                  </w:r>
                </w:p>
              </w:tc>
              <w:tc>
                <w:tcPr>
                  <w:tcW w:w="1992"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lastRenderedPageBreak/>
                    <w:t>fibrilacija ventrikula (rijetko),</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lastRenderedPageBreak/>
                    <w:t>produženje QT- interval</w:t>
                  </w:r>
                  <w:r w:rsidR="00950D3B" w:rsidRPr="00B02AD6">
                    <w:rPr>
                      <w:rFonts w:ascii="TimesNewRoman" w:hAnsi="TimesNewRoman" w:cs="TimesNewRoman"/>
                      <w:sz w:val="22"/>
                      <w:szCs w:val="22"/>
                    </w:rPr>
                    <w:t>a</w:t>
                  </w:r>
                  <w:r w:rsidRPr="00B02AD6">
                    <w:rPr>
                      <w:rFonts w:ascii="TimesNewRoman" w:hAnsi="TimesNewRoman" w:cs="TimesNewRoman"/>
                      <w:sz w:val="22"/>
                      <w:szCs w:val="22"/>
                    </w:rPr>
                    <w:t xml:space="preserve"> (rijetko),</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Torsade de</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Pointes (rijetko),</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bradikardija,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vazospazam</w:t>
                  </w:r>
                </w:p>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2"/>
                      <w:szCs w:val="22"/>
                    </w:rPr>
                    <w:t>(rijetko)</w:t>
                  </w: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lastRenderedPageBreak/>
                    <w:t>Vaskularni poremećaji</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950D3B" w:rsidP="00A03C69">
                  <w:pPr>
                    <w:pStyle w:val="Header"/>
                    <w:tabs>
                      <w:tab w:val="left" w:pos="284"/>
                    </w:tabs>
                    <w:rPr>
                      <w:rFonts w:eastAsia="PMingLiU"/>
                      <w:sz w:val="22"/>
                      <w:szCs w:val="22"/>
                    </w:rPr>
                  </w:pPr>
                  <w:r w:rsidRPr="00B02AD6">
                    <w:rPr>
                      <w:rFonts w:eastAsia="PMingLiU"/>
                      <w:sz w:val="22"/>
                      <w:szCs w:val="22"/>
                    </w:rPr>
                    <w:t>t</w:t>
                  </w:r>
                  <w:r w:rsidR="0051655A" w:rsidRPr="00B02AD6">
                    <w:rPr>
                      <w:rFonts w:eastAsia="PMingLiU"/>
                      <w:sz w:val="22"/>
                      <w:szCs w:val="22"/>
                    </w:rPr>
                    <w:t>romboflebitis</w:t>
                  </w:r>
                </w:p>
              </w:tc>
              <w:tc>
                <w:tcPr>
                  <w:tcW w:w="2030" w:type="dxa"/>
                  <w:shd w:val="clear" w:color="auto" w:fill="auto"/>
                </w:tcPr>
                <w:p w:rsidR="0051655A" w:rsidRPr="00B02AD6" w:rsidRDefault="00950D3B" w:rsidP="00A03C69">
                  <w:pPr>
                    <w:pStyle w:val="Header"/>
                    <w:tabs>
                      <w:tab w:val="left" w:pos="284"/>
                    </w:tabs>
                    <w:rPr>
                      <w:rFonts w:eastAsia="PMingLiU"/>
                      <w:sz w:val="22"/>
                      <w:szCs w:val="22"/>
                    </w:rPr>
                  </w:pPr>
                  <w:r w:rsidRPr="00B02AD6">
                    <w:rPr>
                      <w:rFonts w:eastAsia="PMingLiU"/>
                      <w:sz w:val="22"/>
                      <w:szCs w:val="22"/>
                    </w:rPr>
                    <w:t>t</w:t>
                  </w:r>
                  <w:r w:rsidR="0051655A" w:rsidRPr="00B02AD6">
                    <w:rPr>
                      <w:rFonts w:eastAsia="PMingLiU"/>
                      <w:sz w:val="22"/>
                      <w:szCs w:val="22"/>
                    </w:rPr>
                    <w:t xml:space="preserve">romboza dubokih vena, hipertenzija,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petehije, hipotenzija,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valunzi, hladnoća perifernih djelova tijela</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t>Poremećaji respiratornog sistema, toraksa i medijastinuma</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dispneja,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epistaksis,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kašalj,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rinoreja </w:t>
                  </w: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plućna embolija,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pneumotoraks,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hemoptiza,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astma,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dispneja pri naporu</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t>Gastrointestinalni poremećaji</w:t>
                  </w:r>
                </w:p>
              </w:tc>
              <w:tc>
                <w:tcPr>
                  <w:tcW w:w="1991"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dijareja,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povraćanje,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mučnina,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stomatitis,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bol u stomaku </w:t>
                  </w:r>
                </w:p>
              </w:tc>
              <w:tc>
                <w:tcPr>
                  <w:tcW w:w="1953"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gastrointestinalna hemoragija,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opstipacija,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bol u gornjem dijelu stomaka,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dispepsija,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nadutost,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suva usta </w:t>
                  </w:r>
                </w:p>
                <w:p w:rsidR="0051655A" w:rsidRPr="00B02AD6" w:rsidRDefault="0051655A" w:rsidP="00A03C69">
                  <w:pPr>
                    <w:pStyle w:val="Header"/>
                    <w:tabs>
                      <w:tab w:val="left" w:pos="284"/>
                    </w:tabs>
                    <w:rPr>
                      <w:rFonts w:eastAsia="PMingLiU"/>
                      <w:sz w:val="22"/>
                      <w:szCs w:val="22"/>
                    </w:rPr>
                  </w:pP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opstrukcija crijeva,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ascites, enteritis,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gastritis, disfagija,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bol u donjem dijelu stomaka, ezofagitis,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nelagodnost u stomaku, gastroezofagealni refluks, kolitis, krv u stolici</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i/>
                      <w:sz w:val="22"/>
                      <w:szCs w:val="22"/>
                    </w:rPr>
                  </w:pPr>
                  <w:r w:rsidRPr="00B02AD6">
                    <w:rPr>
                      <w:i/>
                      <w:sz w:val="22"/>
                      <w:szCs w:val="22"/>
                    </w:rPr>
                    <w:t>Hepatobilijarni poremećaji</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E171E6" w:rsidP="00A03C69">
                  <w:pPr>
                    <w:pStyle w:val="Header"/>
                    <w:tabs>
                      <w:tab w:val="left" w:pos="284"/>
                    </w:tabs>
                    <w:rPr>
                      <w:rFonts w:eastAsia="PMingLiU"/>
                      <w:sz w:val="22"/>
                      <w:szCs w:val="22"/>
                    </w:rPr>
                  </w:pPr>
                  <w:r w:rsidRPr="00B02AD6">
                    <w:rPr>
                      <w:rFonts w:eastAsia="PMingLiU"/>
                      <w:sz w:val="22"/>
                      <w:szCs w:val="22"/>
                    </w:rPr>
                    <w:t>h</w:t>
                  </w:r>
                  <w:r w:rsidR="0051655A" w:rsidRPr="00B02AD6">
                    <w:rPr>
                      <w:rFonts w:eastAsia="PMingLiU"/>
                      <w:sz w:val="22"/>
                      <w:szCs w:val="22"/>
                    </w:rPr>
                    <w:t>iperbilirubinemija</w:t>
                  </w:r>
                  <w:r w:rsidRPr="00B02AD6">
                    <w:rPr>
                      <w:rFonts w:eastAsia="PMingLiU"/>
                      <w:sz w:val="22"/>
                      <w:szCs w:val="22"/>
                    </w:rPr>
                    <w:t>,</w:t>
                  </w:r>
                  <w:r w:rsidR="0051655A" w:rsidRPr="00B02AD6">
                    <w:rPr>
                      <w:rFonts w:eastAsia="PMingLiU"/>
                      <w:sz w:val="22"/>
                      <w:szCs w:val="22"/>
                    </w:rPr>
                    <w:t xml:space="preserve"> abnormalnosti u laboratorijskim testovima funkcije jetre</w:t>
                  </w: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žutica</w:t>
                  </w:r>
                </w:p>
              </w:tc>
              <w:tc>
                <w:tcPr>
                  <w:tcW w:w="1992" w:type="dxa"/>
                  <w:shd w:val="clear" w:color="auto" w:fill="auto"/>
                </w:tcPr>
                <w:p w:rsidR="0051655A" w:rsidRPr="00B02AD6" w:rsidRDefault="00DC7BA3" w:rsidP="00A03C69">
                  <w:pPr>
                    <w:pStyle w:val="Header"/>
                    <w:tabs>
                      <w:tab w:val="left" w:pos="284"/>
                    </w:tabs>
                    <w:rPr>
                      <w:color w:val="FF0000"/>
                      <w:sz w:val="22"/>
                      <w:szCs w:val="22"/>
                    </w:rPr>
                  </w:pPr>
                  <w:r w:rsidRPr="00B02AD6">
                    <w:rPr>
                      <w:color w:val="FF0000"/>
                      <w:sz w:val="22"/>
                      <w:szCs w:val="22"/>
                    </w:rPr>
                    <w:t>i</w:t>
                  </w:r>
                  <w:r w:rsidR="003C059E" w:rsidRPr="00B02AD6">
                    <w:rPr>
                      <w:color w:val="FF0000"/>
                      <w:sz w:val="22"/>
                      <w:szCs w:val="22"/>
                    </w:rPr>
                    <w:t>nsuficijencija jetre (rijetko), holestatski hepatitis (rijetko)</w:t>
                  </w: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i/>
                      <w:sz w:val="22"/>
                      <w:szCs w:val="22"/>
                    </w:rPr>
                    <w:t>Poremećaji na novou kože i potkožnog tkiva</w:t>
                  </w:r>
                </w:p>
              </w:tc>
              <w:tc>
                <w:tcPr>
                  <w:tcW w:w="1991"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sindrom palmarno-plantarne eritrodizestezije</w:t>
                  </w:r>
                </w:p>
              </w:tc>
              <w:tc>
                <w:tcPr>
                  <w:tcW w:w="1953"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osip, alopecija,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eritem, suva koža,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pruritus,</w:t>
                  </w:r>
                  <w:r w:rsidR="004C62C1" w:rsidRPr="00B02AD6">
                    <w:rPr>
                      <w:rFonts w:eastAsia="PMingLiU"/>
                      <w:sz w:val="22"/>
                      <w:szCs w:val="22"/>
                    </w:rPr>
                    <w:t xml:space="preserve"> </w:t>
                  </w:r>
                  <w:r w:rsidRPr="00B02AD6">
                    <w:rPr>
                      <w:rFonts w:eastAsia="PMingLiU"/>
                      <w:sz w:val="22"/>
                      <w:szCs w:val="22"/>
                    </w:rPr>
                    <w:t xml:space="preserve">hiperpigmentacija kože,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makularn</w:t>
                  </w:r>
                  <w:r w:rsidR="004C62C1" w:rsidRPr="00B02AD6">
                    <w:rPr>
                      <w:rFonts w:eastAsia="PMingLiU"/>
                      <w:sz w:val="22"/>
                      <w:szCs w:val="22"/>
                    </w:rPr>
                    <w:t>i</w:t>
                  </w:r>
                  <w:r w:rsidRPr="00B02AD6">
                    <w:rPr>
                      <w:rFonts w:eastAsia="PMingLiU"/>
                      <w:sz w:val="22"/>
                      <w:szCs w:val="22"/>
                    </w:rPr>
                    <w:t xml:space="preserve"> osip,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deskvamacija kože,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dermatitis, poremećaj pigmentacije,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lastRenderedPageBreak/>
                    <w:t>promjene na noktima</w:t>
                  </w: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lastRenderedPageBreak/>
                    <w:t>pli</w:t>
                  </w:r>
                  <w:r w:rsidR="004C62C1" w:rsidRPr="00B02AD6">
                    <w:rPr>
                      <w:rFonts w:eastAsia="PMingLiU"/>
                      <w:sz w:val="22"/>
                      <w:szCs w:val="22"/>
                    </w:rPr>
                    <w:t>h</w:t>
                  </w:r>
                  <w:r w:rsidRPr="00B02AD6">
                    <w:rPr>
                      <w:rFonts w:eastAsia="PMingLiU"/>
                      <w:sz w:val="22"/>
                      <w:szCs w:val="22"/>
                    </w:rPr>
                    <w:t xml:space="preserve">ovi, ulceracije kože, osip, urtikarija, reakcija osjetljivosti na svjetlost, eritem dlana, otok lica,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purpura, sindrom radijacijskog zračenja (“radiation recall“)</w:t>
                  </w:r>
                </w:p>
              </w:tc>
              <w:tc>
                <w:tcPr>
                  <w:tcW w:w="1992" w:type="dxa"/>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kožni lupus eritematozus</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(rijetko), teške kožne reakcije</w:t>
                  </w:r>
                </w:p>
                <w:p w:rsidR="0051655A" w:rsidRPr="00B02AD6" w:rsidRDefault="0051655A" w:rsidP="00A03C69">
                  <w:pPr>
                    <w:autoSpaceDE w:val="0"/>
                    <w:autoSpaceDN w:val="0"/>
                    <w:adjustRightInd w:val="0"/>
                    <w:rPr>
                      <w:rFonts w:ascii="TimesNewRoman" w:hAnsi="TimesNewRoman" w:cs="TimesNewRoman"/>
                      <w:i/>
                      <w:sz w:val="22"/>
                      <w:szCs w:val="22"/>
                    </w:rPr>
                  </w:pPr>
                  <w:r w:rsidRPr="00B02AD6">
                    <w:rPr>
                      <w:rFonts w:ascii="TimesNewRoman" w:hAnsi="TimesNewRoman" w:cs="TimesNewRoman"/>
                      <w:sz w:val="22"/>
                      <w:szCs w:val="22"/>
                    </w:rPr>
                    <w:t xml:space="preserve">poput </w:t>
                  </w:r>
                  <w:r w:rsidRPr="00B02AD6">
                    <w:rPr>
                      <w:rFonts w:ascii="TimesNewRoman" w:hAnsi="TimesNewRoman" w:cs="TimesNewRoman"/>
                      <w:i/>
                      <w:sz w:val="22"/>
                      <w:szCs w:val="22"/>
                    </w:rPr>
                    <w:t>Stevens-</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i/>
                      <w:sz w:val="22"/>
                      <w:szCs w:val="22"/>
                    </w:rPr>
                    <w:t>Johnson</w:t>
                  </w:r>
                  <w:r w:rsidRPr="00B02AD6">
                    <w:rPr>
                      <w:rFonts w:ascii="TimesNewRoman" w:hAnsi="TimesNewRoman" w:cs="TimesNewRoman"/>
                      <w:sz w:val="22"/>
                      <w:szCs w:val="22"/>
                    </w:rPr>
                    <w:t>-ovog</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sindroma i toksične</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epidermalne nekrolize (v</w:t>
                  </w:r>
                  <w:r w:rsidR="004C62C1" w:rsidRPr="00B02AD6">
                    <w:rPr>
                      <w:rFonts w:ascii="TimesNewRoman" w:hAnsi="TimesNewRoman" w:cs="TimesNewRoman"/>
                      <w:sz w:val="22"/>
                      <w:szCs w:val="22"/>
                    </w:rPr>
                    <w:t>eoma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rijetko) (vidjeti odjeljak 4.4)</w:t>
                  </w: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i/>
                      <w:sz w:val="22"/>
                      <w:szCs w:val="22"/>
                    </w:rPr>
                    <w:t>Poremećaji mišićno-skeletnog, vezivnog i koštanog tkiva</w:t>
                  </w:r>
                </w:p>
              </w:tc>
              <w:tc>
                <w:tcPr>
                  <w:tcW w:w="1991" w:type="dxa"/>
                  <w:shd w:val="clear" w:color="auto" w:fill="auto"/>
                </w:tcPr>
                <w:p w:rsidR="0051655A" w:rsidRPr="00B02AD6" w:rsidRDefault="0051655A" w:rsidP="00A03C69">
                  <w:pPr>
                    <w:pStyle w:val="Header"/>
                    <w:tabs>
                      <w:tab w:val="left" w:pos="284"/>
                    </w:tabs>
                    <w:rPr>
                      <w:sz w:val="22"/>
                      <w:szCs w:val="22"/>
                    </w:rPr>
                  </w:pPr>
                </w:p>
              </w:tc>
              <w:tc>
                <w:tcPr>
                  <w:tcW w:w="1953"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bol u udovima, bol u leđima, artralgija </w:t>
                  </w: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otečeni zglobovi,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bol u kostima, bolno lice, koštanomišićna ukočenost, mišićna slabost </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i/>
                      <w:sz w:val="22"/>
                      <w:szCs w:val="22"/>
                    </w:rPr>
                    <w:t>Poremećaji na nivou bubrega i urinarnog sistema</w:t>
                  </w:r>
                </w:p>
              </w:tc>
              <w:tc>
                <w:tcPr>
                  <w:tcW w:w="1991" w:type="dxa"/>
                  <w:shd w:val="clear" w:color="auto" w:fill="auto"/>
                </w:tcPr>
                <w:p w:rsidR="0051655A" w:rsidRPr="00B02AD6" w:rsidRDefault="0051655A" w:rsidP="00A03C69">
                  <w:pPr>
                    <w:pStyle w:val="Header"/>
                    <w:tabs>
                      <w:tab w:val="left" w:pos="284"/>
                    </w:tabs>
                    <w:rPr>
                      <w:rFonts w:eastAsia="PMingLiU"/>
                      <w:sz w:val="22"/>
                      <w:szCs w:val="22"/>
                    </w:rPr>
                  </w:pPr>
                </w:p>
              </w:tc>
              <w:tc>
                <w:tcPr>
                  <w:tcW w:w="1953" w:type="dxa"/>
                  <w:shd w:val="clear" w:color="auto" w:fill="auto"/>
                </w:tcPr>
                <w:p w:rsidR="0051655A" w:rsidRPr="00B02AD6" w:rsidRDefault="0051655A" w:rsidP="00A03C69">
                  <w:pPr>
                    <w:pStyle w:val="Header"/>
                    <w:tabs>
                      <w:tab w:val="left" w:pos="284"/>
                    </w:tabs>
                    <w:rPr>
                      <w:rFonts w:eastAsia="PMingLiU"/>
                      <w:sz w:val="22"/>
                      <w:szCs w:val="22"/>
                    </w:rPr>
                  </w:pP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hidronefroza,</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urinarna inkontinencija,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hematurija,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noćno mokrenje,</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povećanje vrijednosti kreatinina u krvi</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i/>
                      <w:sz w:val="22"/>
                      <w:szCs w:val="22"/>
                    </w:rPr>
                    <w:t>Poremećaji reproduktivnog sistema i na nivou dojki</w:t>
                  </w:r>
                </w:p>
              </w:tc>
              <w:tc>
                <w:tcPr>
                  <w:tcW w:w="1991" w:type="dxa"/>
                  <w:shd w:val="clear" w:color="auto" w:fill="auto"/>
                </w:tcPr>
                <w:p w:rsidR="0051655A" w:rsidRPr="00B02AD6" w:rsidRDefault="0051655A" w:rsidP="00A03C69">
                  <w:pPr>
                    <w:pStyle w:val="Header"/>
                    <w:tabs>
                      <w:tab w:val="left" w:pos="284"/>
                    </w:tabs>
                    <w:rPr>
                      <w:rFonts w:eastAsia="PMingLiU"/>
                      <w:sz w:val="22"/>
                      <w:szCs w:val="22"/>
                    </w:rPr>
                  </w:pPr>
                </w:p>
              </w:tc>
              <w:tc>
                <w:tcPr>
                  <w:tcW w:w="1953" w:type="dxa"/>
                  <w:shd w:val="clear" w:color="auto" w:fill="auto"/>
                </w:tcPr>
                <w:p w:rsidR="0051655A" w:rsidRPr="00B02AD6" w:rsidRDefault="0051655A" w:rsidP="00A03C69">
                  <w:pPr>
                    <w:pStyle w:val="Header"/>
                    <w:tabs>
                      <w:tab w:val="left" w:pos="284"/>
                    </w:tabs>
                    <w:rPr>
                      <w:rFonts w:eastAsia="PMingLiU"/>
                      <w:sz w:val="22"/>
                      <w:szCs w:val="22"/>
                    </w:rPr>
                  </w:pP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vaginalna hemoragija</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r w:rsidR="0051655A" w:rsidRPr="00B02AD6" w:rsidTr="00985E90">
              <w:tc>
                <w:tcPr>
                  <w:tcW w:w="1991" w:type="dxa"/>
                  <w:shd w:val="clear" w:color="auto" w:fill="auto"/>
                </w:tcPr>
                <w:p w:rsidR="0051655A" w:rsidRPr="00B02AD6" w:rsidRDefault="0051655A" w:rsidP="00A03C69">
                  <w:pPr>
                    <w:pStyle w:val="Header"/>
                    <w:tabs>
                      <w:tab w:val="left" w:pos="284"/>
                    </w:tabs>
                    <w:rPr>
                      <w:sz w:val="22"/>
                      <w:szCs w:val="22"/>
                    </w:rPr>
                  </w:pPr>
                  <w:r w:rsidRPr="00B02AD6">
                    <w:rPr>
                      <w:i/>
                      <w:sz w:val="22"/>
                      <w:szCs w:val="22"/>
                    </w:rPr>
                    <w:t>Opšti poremećaji i reakcije na mjestu primjene</w:t>
                  </w:r>
                </w:p>
              </w:tc>
              <w:tc>
                <w:tcPr>
                  <w:tcW w:w="1991"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umor, astenija </w:t>
                  </w:r>
                </w:p>
              </w:tc>
              <w:tc>
                <w:tcPr>
                  <w:tcW w:w="1953"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pireksija, periferni edem, opšta slabost,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bol u grudima </w:t>
                  </w:r>
                </w:p>
              </w:tc>
              <w:tc>
                <w:tcPr>
                  <w:tcW w:w="2030" w:type="dxa"/>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edem, drhtavica/jeza,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bolest slična gripu,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ukočenost, povišena tjelesna temperatura</w:t>
                  </w:r>
                </w:p>
              </w:tc>
              <w:tc>
                <w:tcPr>
                  <w:tcW w:w="1992" w:type="dxa"/>
                  <w:shd w:val="clear" w:color="auto" w:fill="auto"/>
                </w:tcPr>
                <w:p w:rsidR="0051655A" w:rsidRPr="00B02AD6" w:rsidRDefault="0051655A" w:rsidP="00A03C69">
                  <w:pPr>
                    <w:pStyle w:val="Header"/>
                    <w:tabs>
                      <w:tab w:val="left" w:pos="284"/>
                    </w:tabs>
                    <w:rPr>
                      <w:color w:val="FF0000"/>
                      <w:sz w:val="22"/>
                      <w:szCs w:val="22"/>
                    </w:rPr>
                  </w:pPr>
                </w:p>
              </w:tc>
            </w:tr>
          </w:tbl>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
                <w:sz w:val="22"/>
                <w:szCs w:val="22"/>
              </w:rPr>
            </w:pPr>
            <w:r w:rsidRPr="00B02AD6">
              <w:rPr>
                <w:i/>
                <w:sz w:val="22"/>
                <w:szCs w:val="22"/>
              </w:rPr>
              <w:t xml:space="preserve">Kapecitabin u kombinovanoj terapiji: </w:t>
            </w:r>
          </w:p>
          <w:p w:rsidR="00861EC0" w:rsidRPr="00B02AD6" w:rsidRDefault="00861EC0" w:rsidP="00A03C69">
            <w:pPr>
              <w:pStyle w:val="Header"/>
              <w:tabs>
                <w:tab w:val="left" w:pos="284"/>
              </w:tabs>
              <w:jc w:val="both"/>
              <w:rPr>
                <w:sz w:val="22"/>
                <w:szCs w:val="22"/>
              </w:rPr>
            </w:pPr>
          </w:p>
          <w:p w:rsidR="0051655A" w:rsidRPr="00B02AD6" w:rsidRDefault="00861EC0" w:rsidP="00A03C69">
            <w:pPr>
              <w:pStyle w:val="Header"/>
              <w:tabs>
                <w:tab w:val="left" w:pos="284"/>
              </w:tabs>
              <w:jc w:val="both"/>
              <w:rPr>
                <w:sz w:val="22"/>
                <w:szCs w:val="22"/>
              </w:rPr>
            </w:pPr>
            <w:r w:rsidRPr="00B02AD6">
              <w:rPr>
                <w:sz w:val="22"/>
                <w:szCs w:val="22"/>
              </w:rPr>
              <w:t>U</w:t>
            </w:r>
            <w:r w:rsidR="0051655A" w:rsidRPr="00B02AD6">
              <w:rPr>
                <w:sz w:val="22"/>
                <w:szCs w:val="22"/>
              </w:rPr>
              <w:t xml:space="preserve"> Tabeli 5 prikazane su neželjene reakcije na lijek povezane sa primjenom kapecitabina u kombinaciji sa različitim hemioterapijskim režimima u različitim indikacijama, na osnovu bezbjednosnih podataka dobijenih od preko 3000 pacijenata.  Neželjene reakcije na lijek svrstane su u odgovarajuće grupe po učestalosti pojavljivanja (v</w:t>
            </w:r>
            <w:r w:rsidR="007846BC" w:rsidRPr="00B02AD6">
              <w:rPr>
                <w:sz w:val="22"/>
                <w:szCs w:val="22"/>
              </w:rPr>
              <w:t>eoma</w:t>
            </w:r>
            <w:r w:rsidR="0051655A" w:rsidRPr="00B02AD6">
              <w:rPr>
                <w:sz w:val="22"/>
                <w:szCs w:val="22"/>
              </w:rPr>
              <w:t xml:space="preserve"> česte ili česte) na osnovu najviše incidence zabilježene u bilo kojoj od velikih kliničkih studija i navode se samo ako su </w:t>
            </w:r>
            <w:r w:rsidR="0051655A" w:rsidRPr="00B02AD6">
              <w:rPr>
                <w:b/>
                <w:sz w:val="22"/>
                <w:szCs w:val="22"/>
              </w:rPr>
              <w:t>dodatno</w:t>
            </w:r>
            <w:r w:rsidR="0051655A" w:rsidRPr="00B02AD6">
              <w:rPr>
                <w:sz w:val="22"/>
                <w:szCs w:val="22"/>
              </w:rPr>
              <w:t xml:space="preserve"> primijećene uz one već zabilježene kod monoterapije ili ako je njihova </w:t>
            </w:r>
            <w:r w:rsidR="0051655A" w:rsidRPr="00B02AD6">
              <w:rPr>
                <w:b/>
                <w:sz w:val="22"/>
                <w:szCs w:val="22"/>
              </w:rPr>
              <w:t xml:space="preserve">učestalost veća </w:t>
            </w:r>
            <w:r w:rsidR="0051655A" w:rsidRPr="00B02AD6">
              <w:rPr>
                <w:sz w:val="22"/>
                <w:szCs w:val="22"/>
              </w:rPr>
              <w:t>u poređenju sa kapecitabinom kada se koristi kao monoterapija (vidjeti Tabelu 4). Povremene neželjene reakcije prijavljene pri primjeni kombinovane terapije sa kapecitabinom su u saglasnosti sa neželjenim reakcijama prijavljenim za kapecitabin monoterapiju ili prijavljenim kod monoterapije lijekom koji se može primjenjivati u kombinaciji sa kapecitabinom (kombinacijski lijek) (u literaturi i/ili odgovarajućem Sažetku karakteristika lijeka).</w:t>
            </w:r>
          </w:p>
          <w:p w:rsidR="0051655A" w:rsidRPr="00B02AD6" w:rsidRDefault="0051655A" w:rsidP="00A03C69">
            <w:pPr>
              <w:pStyle w:val="Header"/>
              <w:tabs>
                <w:tab w:val="left" w:pos="284"/>
              </w:tabs>
              <w:jc w:val="both"/>
              <w:rPr>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Neke od neželjenih reakcija su reakcije uobičajeno zabilježene za lijek sa kojim se terapija kombinuje (npr. </w:t>
            </w:r>
            <w:r w:rsidR="007846BC" w:rsidRPr="00B02AD6">
              <w:rPr>
                <w:sz w:val="22"/>
                <w:szCs w:val="22"/>
              </w:rPr>
              <w:t>p</w:t>
            </w:r>
            <w:r w:rsidRPr="00B02AD6">
              <w:rPr>
                <w:sz w:val="22"/>
                <w:szCs w:val="22"/>
              </w:rPr>
              <w:t>eriferna senzorna neuropatija sa docetakselom ili oksaliplatinom, hipertenzija zabilježena sa bevacizumabom); ipak, egzacerbacija istih zbog primjene kapecitabina ne može se isključiti.</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lastRenderedPageBreak/>
              <w:t>Tabela 5.</w:t>
            </w:r>
            <w:r w:rsidRPr="00B02AD6">
              <w:rPr>
                <w:sz w:val="22"/>
                <w:szCs w:val="22"/>
              </w:rPr>
              <w:tab/>
              <w:t xml:space="preserve"> Rezime neželjenih reakcija na lijek prijavljenih kod pacijenata liječenih kapecitabinom u kombinovanoj terapiji, a koje su </w:t>
            </w:r>
            <w:r w:rsidRPr="00B02AD6">
              <w:rPr>
                <w:b/>
                <w:sz w:val="22"/>
                <w:szCs w:val="22"/>
              </w:rPr>
              <w:t xml:space="preserve">dodatno </w:t>
            </w:r>
            <w:r w:rsidRPr="00B02AD6">
              <w:rPr>
                <w:sz w:val="22"/>
                <w:szCs w:val="22"/>
              </w:rPr>
              <w:t>primijećene uz one već zabilježene kod monoterapije kapecitabinom ili su se javljale</w:t>
            </w:r>
            <w:r w:rsidRPr="00B02AD6">
              <w:rPr>
                <w:b/>
                <w:sz w:val="22"/>
                <w:szCs w:val="22"/>
              </w:rPr>
              <w:t xml:space="preserve"> većom učestalošću</w:t>
            </w:r>
            <w:r w:rsidRPr="00B02AD6">
              <w:rPr>
                <w:sz w:val="22"/>
                <w:szCs w:val="22"/>
              </w:rPr>
              <w:t xml:space="preserve"> nego kada se kapecitabin koristi kao monoterapija </w:t>
            </w:r>
          </w:p>
          <w:p w:rsidR="0051655A" w:rsidRPr="00B02AD6" w:rsidRDefault="0051655A" w:rsidP="00A03C69">
            <w:pPr>
              <w:pStyle w:val="Header"/>
              <w:tabs>
                <w:tab w:val="left" w:pos="284"/>
              </w:tabs>
              <w:jc w:val="both"/>
              <w:rPr>
                <w:sz w:val="22"/>
                <w:szCs w:val="22"/>
              </w:rPr>
            </w:pPr>
          </w:p>
          <w:p w:rsidR="0051655A" w:rsidRPr="00B02AD6" w:rsidRDefault="0051655A" w:rsidP="00A03C69">
            <w:pPr>
              <w:pStyle w:val="Header"/>
              <w:tabs>
                <w:tab w:val="left" w:pos="284"/>
              </w:tabs>
              <w:jc w:val="both"/>
              <w:rPr>
                <w:sz w:val="22"/>
                <w:szCs w:val="22"/>
              </w:rPr>
            </w:pPr>
          </w:p>
          <w:p w:rsidR="0051655A" w:rsidRPr="00B02AD6" w:rsidRDefault="0051655A" w:rsidP="00A03C69">
            <w:pPr>
              <w:pStyle w:val="Header"/>
              <w:tabs>
                <w:tab w:val="left" w:pos="284"/>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910"/>
              <w:gridCol w:w="2554"/>
              <w:gridCol w:w="2563"/>
            </w:tblGrid>
            <w:tr w:rsidR="0051655A" w:rsidRPr="00B02AD6" w:rsidTr="00985E90">
              <w:trPr>
                <w:trHeight w:val="432"/>
              </w:trPr>
              <w:tc>
                <w:tcPr>
                  <w:tcW w:w="997" w:type="pct"/>
                  <w:shd w:val="clear" w:color="auto" w:fill="auto"/>
                  <w:vAlign w:val="center"/>
                </w:tcPr>
                <w:p w:rsidR="0051655A" w:rsidRPr="00B02AD6" w:rsidRDefault="0051655A" w:rsidP="00985E90">
                  <w:pPr>
                    <w:pStyle w:val="Header"/>
                    <w:tabs>
                      <w:tab w:val="left" w:pos="284"/>
                    </w:tabs>
                    <w:jc w:val="center"/>
                    <w:rPr>
                      <w:rFonts w:eastAsia="PMingLiU"/>
                      <w:b/>
                      <w:sz w:val="22"/>
                      <w:szCs w:val="22"/>
                    </w:rPr>
                  </w:pPr>
                  <w:r w:rsidRPr="00B02AD6">
                    <w:rPr>
                      <w:rFonts w:eastAsia="PMingLiU"/>
                      <w:b/>
                      <w:sz w:val="22"/>
                      <w:szCs w:val="22"/>
                    </w:rPr>
                    <w:t>Sistem organa</w:t>
                  </w:r>
                </w:p>
              </w:tc>
              <w:tc>
                <w:tcPr>
                  <w:tcW w:w="1090" w:type="pct"/>
                  <w:shd w:val="clear" w:color="auto" w:fill="auto"/>
                  <w:vAlign w:val="center"/>
                </w:tcPr>
                <w:p w:rsidR="0051655A" w:rsidRPr="00B02AD6" w:rsidRDefault="0051655A" w:rsidP="00985E90">
                  <w:pPr>
                    <w:pStyle w:val="Header"/>
                    <w:tabs>
                      <w:tab w:val="left" w:pos="284"/>
                    </w:tabs>
                    <w:jc w:val="center"/>
                    <w:rPr>
                      <w:rFonts w:eastAsia="PMingLiU"/>
                      <w:b/>
                      <w:sz w:val="22"/>
                      <w:szCs w:val="22"/>
                    </w:rPr>
                  </w:pPr>
                  <w:r w:rsidRPr="00B02AD6">
                    <w:rPr>
                      <w:rFonts w:eastAsia="PMingLiU"/>
                      <w:b/>
                      <w:sz w:val="22"/>
                      <w:szCs w:val="22"/>
                    </w:rPr>
                    <w:t>Veoma čest</w:t>
                  </w:r>
                  <w:r w:rsidR="00C45A0E" w:rsidRPr="00B02AD6">
                    <w:rPr>
                      <w:rFonts w:eastAsia="PMingLiU"/>
                      <w:b/>
                      <w:sz w:val="22"/>
                      <w:szCs w:val="22"/>
                    </w:rPr>
                    <w:t>o</w:t>
                  </w:r>
                </w:p>
                <w:p w:rsidR="0051655A" w:rsidRPr="00B02AD6" w:rsidRDefault="0051655A" w:rsidP="00985E90">
                  <w:pPr>
                    <w:pStyle w:val="Header"/>
                    <w:tabs>
                      <w:tab w:val="left" w:pos="284"/>
                    </w:tabs>
                    <w:jc w:val="center"/>
                    <w:rPr>
                      <w:rFonts w:eastAsia="PMingLiU"/>
                      <w:b/>
                      <w:i/>
                      <w:sz w:val="22"/>
                      <w:szCs w:val="22"/>
                    </w:rPr>
                  </w:pPr>
                  <w:r w:rsidRPr="00B02AD6">
                    <w:rPr>
                      <w:rFonts w:eastAsia="PMingLiU"/>
                      <w:b/>
                      <w:i/>
                      <w:sz w:val="22"/>
                      <w:szCs w:val="22"/>
                    </w:rPr>
                    <w:t>Svi stepeni</w:t>
                  </w:r>
                </w:p>
              </w:tc>
              <w:tc>
                <w:tcPr>
                  <w:tcW w:w="1454" w:type="pct"/>
                  <w:shd w:val="clear" w:color="auto" w:fill="auto"/>
                  <w:vAlign w:val="center"/>
                </w:tcPr>
                <w:p w:rsidR="0051655A" w:rsidRPr="00B02AD6" w:rsidRDefault="0051655A" w:rsidP="00985E90">
                  <w:pPr>
                    <w:pStyle w:val="Header"/>
                    <w:tabs>
                      <w:tab w:val="left" w:pos="284"/>
                    </w:tabs>
                    <w:jc w:val="center"/>
                    <w:rPr>
                      <w:rFonts w:eastAsia="PMingLiU"/>
                      <w:b/>
                      <w:sz w:val="22"/>
                      <w:szCs w:val="22"/>
                    </w:rPr>
                  </w:pPr>
                  <w:r w:rsidRPr="00B02AD6">
                    <w:rPr>
                      <w:rFonts w:eastAsia="PMingLiU"/>
                      <w:b/>
                      <w:sz w:val="22"/>
                      <w:szCs w:val="22"/>
                    </w:rPr>
                    <w:t>Čest</w:t>
                  </w:r>
                  <w:r w:rsidR="00C45A0E" w:rsidRPr="00B02AD6">
                    <w:rPr>
                      <w:rFonts w:eastAsia="PMingLiU"/>
                      <w:b/>
                      <w:sz w:val="22"/>
                      <w:szCs w:val="22"/>
                    </w:rPr>
                    <w:t>o</w:t>
                  </w:r>
                </w:p>
                <w:p w:rsidR="0051655A" w:rsidRPr="00B02AD6" w:rsidRDefault="0051655A" w:rsidP="00985E90">
                  <w:pPr>
                    <w:pStyle w:val="Header"/>
                    <w:tabs>
                      <w:tab w:val="left" w:pos="284"/>
                    </w:tabs>
                    <w:jc w:val="center"/>
                    <w:rPr>
                      <w:rFonts w:eastAsia="PMingLiU"/>
                      <w:b/>
                      <w:i/>
                      <w:sz w:val="22"/>
                      <w:szCs w:val="22"/>
                    </w:rPr>
                  </w:pPr>
                  <w:r w:rsidRPr="00B02AD6">
                    <w:rPr>
                      <w:rFonts w:eastAsia="PMingLiU"/>
                      <w:b/>
                      <w:i/>
                      <w:sz w:val="22"/>
                      <w:szCs w:val="22"/>
                    </w:rPr>
                    <w:t>Svi stepeni</w:t>
                  </w:r>
                </w:p>
              </w:tc>
              <w:tc>
                <w:tcPr>
                  <w:tcW w:w="1459" w:type="pct"/>
                  <w:shd w:val="clear" w:color="auto" w:fill="auto"/>
                  <w:vAlign w:val="center"/>
                </w:tcPr>
                <w:p w:rsidR="0051655A" w:rsidRPr="00B02AD6" w:rsidRDefault="0051655A" w:rsidP="00985E90">
                  <w:pPr>
                    <w:autoSpaceDE w:val="0"/>
                    <w:autoSpaceDN w:val="0"/>
                    <w:adjustRightInd w:val="0"/>
                    <w:jc w:val="center"/>
                    <w:rPr>
                      <w:b/>
                      <w:bCs/>
                      <w:sz w:val="22"/>
                      <w:szCs w:val="22"/>
                    </w:rPr>
                  </w:pPr>
                  <w:r w:rsidRPr="00B02AD6">
                    <w:rPr>
                      <w:b/>
                      <w:bCs/>
                      <w:sz w:val="22"/>
                      <w:szCs w:val="22"/>
                    </w:rPr>
                    <w:t>Rijetko/v</w:t>
                  </w:r>
                  <w:r w:rsidR="002D28FA" w:rsidRPr="00B02AD6">
                    <w:rPr>
                      <w:b/>
                      <w:bCs/>
                      <w:sz w:val="22"/>
                      <w:szCs w:val="22"/>
                    </w:rPr>
                    <w:t>eoma</w:t>
                  </w:r>
                </w:p>
                <w:p w:rsidR="0051655A" w:rsidRPr="00B02AD6" w:rsidRDefault="0051655A" w:rsidP="00985E90">
                  <w:pPr>
                    <w:autoSpaceDE w:val="0"/>
                    <w:autoSpaceDN w:val="0"/>
                    <w:adjustRightInd w:val="0"/>
                    <w:jc w:val="center"/>
                    <w:rPr>
                      <w:b/>
                      <w:bCs/>
                      <w:sz w:val="22"/>
                      <w:szCs w:val="22"/>
                    </w:rPr>
                  </w:pPr>
                  <w:r w:rsidRPr="00B02AD6">
                    <w:rPr>
                      <w:b/>
                      <w:bCs/>
                      <w:sz w:val="22"/>
                      <w:szCs w:val="22"/>
                    </w:rPr>
                    <w:t>rijetko</w:t>
                  </w:r>
                </w:p>
                <w:p w:rsidR="0051655A" w:rsidRPr="00B02AD6" w:rsidRDefault="0051655A" w:rsidP="00985E90">
                  <w:pPr>
                    <w:autoSpaceDE w:val="0"/>
                    <w:autoSpaceDN w:val="0"/>
                    <w:adjustRightInd w:val="0"/>
                    <w:jc w:val="center"/>
                    <w:rPr>
                      <w:b/>
                      <w:bCs/>
                      <w:sz w:val="22"/>
                      <w:szCs w:val="22"/>
                    </w:rPr>
                  </w:pPr>
                  <w:r w:rsidRPr="00B02AD6">
                    <w:rPr>
                      <w:b/>
                      <w:bCs/>
                      <w:sz w:val="22"/>
                      <w:szCs w:val="22"/>
                    </w:rPr>
                    <w:t>(iskustvo nakon</w:t>
                  </w:r>
                </w:p>
                <w:p w:rsidR="0051655A" w:rsidRPr="00B02AD6" w:rsidRDefault="0051655A" w:rsidP="00985E90">
                  <w:pPr>
                    <w:autoSpaceDE w:val="0"/>
                    <w:autoSpaceDN w:val="0"/>
                    <w:adjustRightInd w:val="0"/>
                    <w:jc w:val="center"/>
                    <w:rPr>
                      <w:b/>
                      <w:bCs/>
                      <w:sz w:val="22"/>
                      <w:szCs w:val="22"/>
                    </w:rPr>
                  </w:pPr>
                  <w:r w:rsidRPr="00B02AD6">
                    <w:rPr>
                      <w:b/>
                      <w:bCs/>
                      <w:sz w:val="22"/>
                      <w:szCs w:val="22"/>
                    </w:rPr>
                    <w:t>stavljanja lijeka</w:t>
                  </w:r>
                </w:p>
                <w:p w:rsidR="0051655A" w:rsidRPr="00B02AD6" w:rsidRDefault="0051655A" w:rsidP="00985E90">
                  <w:pPr>
                    <w:pStyle w:val="Header"/>
                    <w:tabs>
                      <w:tab w:val="left" w:pos="284"/>
                    </w:tabs>
                    <w:jc w:val="center"/>
                    <w:rPr>
                      <w:rFonts w:eastAsia="PMingLiU"/>
                      <w:b/>
                      <w:color w:val="FF0000"/>
                      <w:sz w:val="22"/>
                      <w:szCs w:val="22"/>
                    </w:rPr>
                  </w:pPr>
                  <w:r w:rsidRPr="00B02AD6">
                    <w:rPr>
                      <w:b/>
                      <w:bCs/>
                      <w:sz w:val="22"/>
                      <w:szCs w:val="22"/>
                    </w:rPr>
                    <w:t>u promet</w:t>
                  </w:r>
                  <w:r w:rsidR="002D28FA" w:rsidRPr="00B02AD6">
                    <w:rPr>
                      <w:b/>
                      <w:bCs/>
                      <w:sz w:val="22"/>
                      <w:szCs w:val="22"/>
                    </w:rPr>
                    <w:t>)</w:t>
                  </w: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Infekcije i infestacije</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herpes zoster, infekcije urinarnog trakta, oralna kandidijaza, infekcije gornjeg respiratornig trakta, rinitis, grip, </w:t>
                  </w:r>
                  <w:r w:rsidR="002D28FA" w:rsidRPr="00B02AD6">
                    <w:rPr>
                      <w:rFonts w:eastAsia="PMingLiU"/>
                      <w:sz w:val="22"/>
                      <w:szCs w:val="22"/>
                      <w:vertAlign w:val="superscript"/>
                    </w:rPr>
                    <w:t>+</w:t>
                  </w:r>
                  <w:r w:rsidRPr="00B02AD6">
                    <w:rPr>
                      <w:rFonts w:eastAsia="PMingLiU"/>
                      <w:sz w:val="22"/>
                      <w:szCs w:val="22"/>
                    </w:rPr>
                    <w:t>infekcija, oralni herpes</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color w:val="FF0000"/>
                      <w:sz w:val="22"/>
                      <w:szCs w:val="22"/>
                    </w:rPr>
                  </w:pPr>
                  <w:r w:rsidRPr="00B02AD6">
                    <w:rPr>
                      <w:rFonts w:eastAsia="PMingLiU"/>
                      <w:i/>
                      <w:sz w:val="22"/>
                      <w:szCs w:val="22"/>
                    </w:rPr>
                    <w:t>Poremećaji krvi i limfnog sistema</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vertAlign w:val="superscript"/>
                    </w:rPr>
                    <w:t>+</w:t>
                  </w:r>
                  <w:r w:rsidRPr="00B02AD6">
                    <w:rPr>
                      <w:rFonts w:eastAsia="PMingLiU"/>
                      <w:sz w:val="22"/>
                      <w:szCs w:val="22"/>
                    </w:rPr>
                    <w:t xml:space="preserve">neutropenija,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vertAlign w:val="superscript"/>
                    </w:rPr>
                    <w:t>+</w:t>
                  </w:r>
                  <w:r w:rsidRPr="00B02AD6">
                    <w:rPr>
                      <w:rFonts w:eastAsia="PMingLiU"/>
                      <w:sz w:val="22"/>
                      <w:szCs w:val="22"/>
                    </w:rPr>
                    <w:t>leukopenija</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vertAlign w:val="superscript"/>
                    </w:rPr>
                    <w:t>+</w:t>
                  </w:r>
                  <w:r w:rsidRPr="00B02AD6">
                    <w:rPr>
                      <w:rFonts w:eastAsia="PMingLiU"/>
                      <w:sz w:val="22"/>
                      <w:szCs w:val="22"/>
                    </w:rPr>
                    <w:t xml:space="preserve">anemija, </w:t>
                  </w:r>
                  <w:r w:rsidRPr="00B02AD6">
                    <w:rPr>
                      <w:rFonts w:eastAsia="PMingLiU"/>
                      <w:sz w:val="22"/>
                      <w:szCs w:val="22"/>
                      <w:vertAlign w:val="superscript"/>
                    </w:rPr>
                    <w:t>+</w:t>
                  </w:r>
                  <w:r w:rsidRPr="00B02AD6">
                    <w:rPr>
                      <w:rFonts w:eastAsia="PMingLiU"/>
                      <w:sz w:val="22"/>
                      <w:szCs w:val="22"/>
                    </w:rPr>
                    <w:t>neutropenijska groznica, trombocitopenija</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depresija koštane srži,</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vertAlign w:val="superscript"/>
                    </w:rPr>
                    <w:t>+</w:t>
                  </w:r>
                  <w:r w:rsidRPr="00B02AD6">
                    <w:rPr>
                      <w:rFonts w:eastAsia="PMingLiU"/>
                      <w:sz w:val="22"/>
                      <w:szCs w:val="22"/>
                    </w:rPr>
                    <w:t>febrilna neutropenija</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color w:val="FF0000"/>
                      <w:sz w:val="22"/>
                      <w:szCs w:val="22"/>
                    </w:rPr>
                  </w:pPr>
                  <w:r w:rsidRPr="00B02AD6">
                    <w:rPr>
                      <w:rFonts w:eastAsia="PMingLiU"/>
                      <w:i/>
                      <w:sz w:val="22"/>
                      <w:szCs w:val="22"/>
                    </w:rPr>
                    <w:t>Imunološki poremećaji</w:t>
                  </w:r>
                </w:p>
              </w:tc>
              <w:tc>
                <w:tcPr>
                  <w:tcW w:w="1090" w:type="pct"/>
                  <w:shd w:val="clear" w:color="auto" w:fill="auto"/>
                </w:tcPr>
                <w:p w:rsidR="0051655A" w:rsidRPr="00B02AD6" w:rsidRDefault="0051655A" w:rsidP="00A03C69">
                  <w:pPr>
                    <w:pStyle w:val="Header"/>
                    <w:tabs>
                      <w:tab w:val="left" w:pos="284"/>
                    </w:tabs>
                    <w:rPr>
                      <w:rFonts w:eastAsia="PMingLiU"/>
                      <w:color w:val="FF0000"/>
                      <w:sz w:val="22"/>
                      <w:szCs w:val="22"/>
                    </w:rPr>
                  </w:pP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preosjetljivost</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color w:val="FF0000"/>
                      <w:sz w:val="22"/>
                      <w:szCs w:val="22"/>
                    </w:rPr>
                  </w:pPr>
                  <w:r w:rsidRPr="00B02AD6">
                    <w:rPr>
                      <w:rFonts w:eastAsia="PMingLiU"/>
                      <w:i/>
                      <w:sz w:val="22"/>
                      <w:szCs w:val="22"/>
                    </w:rPr>
                    <w:t>Poremećaji metabolizma i ishrane</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smanjen apetit</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hipokalemija, hiponatremija,  hipomagnezijemija, hipokalcemija, hiperglikemija</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Psihijatrijski poremećaji</w:t>
                  </w:r>
                </w:p>
              </w:tc>
              <w:tc>
                <w:tcPr>
                  <w:tcW w:w="1090" w:type="pct"/>
                  <w:shd w:val="clear" w:color="auto" w:fill="auto"/>
                </w:tcPr>
                <w:p w:rsidR="0051655A" w:rsidRPr="00B02AD6" w:rsidRDefault="0051655A" w:rsidP="00A03C69">
                  <w:pPr>
                    <w:pStyle w:val="Header"/>
                    <w:tabs>
                      <w:tab w:val="left" w:pos="284"/>
                    </w:tabs>
                    <w:rPr>
                      <w:rFonts w:eastAsia="PMingLiU"/>
                      <w:color w:val="FF0000"/>
                      <w:sz w:val="22"/>
                      <w:szCs w:val="22"/>
                    </w:rPr>
                  </w:pP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poremećaji spavanja, anksioznost</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Poremećaji nervnog sistema</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parestezija, disestezija, periferna neuropatija, periferna senzorna neuropatija, disgeuzija, glavobolja </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neurotoksičnost, tremor, neuralgija, reakcija preosjetljivosti , hipoestezija</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Poremećaji na nivou oka</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pojačano suzenje </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poremećaji vida, suvoća oka , bol u oku, oštećenje vida, zamagljen vid</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Poremećaji na nivou uha i centra za ravnotežu</w:t>
                  </w:r>
                </w:p>
              </w:tc>
              <w:tc>
                <w:tcPr>
                  <w:tcW w:w="1090" w:type="pct"/>
                  <w:shd w:val="clear" w:color="auto" w:fill="auto"/>
                </w:tcPr>
                <w:p w:rsidR="0051655A" w:rsidRPr="00B02AD6" w:rsidRDefault="0051655A" w:rsidP="00A03C69">
                  <w:pPr>
                    <w:pStyle w:val="Header"/>
                    <w:tabs>
                      <w:tab w:val="left" w:pos="284"/>
                    </w:tabs>
                    <w:rPr>
                      <w:rFonts w:eastAsia="PMingLiU"/>
                      <w:color w:val="FF0000"/>
                      <w:sz w:val="22"/>
                      <w:szCs w:val="22"/>
                    </w:rPr>
                  </w:pP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tinitus, oslabljen sluh </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lastRenderedPageBreak/>
                    <w:t>Kardiološki poremećaji</w:t>
                  </w:r>
                </w:p>
              </w:tc>
              <w:tc>
                <w:tcPr>
                  <w:tcW w:w="1090" w:type="pct"/>
                  <w:shd w:val="clear" w:color="auto" w:fill="auto"/>
                </w:tcPr>
                <w:p w:rsidR="0051655A" w:rsidRPr="00B02AD6" w:rsidRDefault="0051655A" w:rsidP="00A03C69">
                  <w:pPr>
                    <w:pStyle w:val="Header"/>
                    <w:tabs>
                      <w:tab w:val="left" w:pos="284"/>
                    </w:tabs>
                    <w:rPr>
                      <w:rFonts w:eastAsia="PMingLiU"/>
                      <w:color w:val="FF0000"/>
                      <w:sz w:val="22"/>
                      <w:szCs w:val="22"/>
                    </w:rPr>
                  </w:pP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atrijalna fibrilacija, srčana  ishemija/infarkt </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t>Vaskularni poremećaji</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edem donjih ekstremiteta, hipertenzija, </w:t>
                  </w:r>
                  <w:r w:rsidRPr="00B02AD6">
                    <w:rPr>
                      <w:rFonts w:eastAsia="PMingLiU"/>
                      <w:sz w:val="22"/>
                      <w:szCs w:val="22"/>
                      <w:vertAlign w:val="superscript"/>
                    </w:rPr>
                    <w:t>+</w:t>
                  </w:r>
                  <w:r w:rsidRPr="00B02AD6">
                    <w:rPr>
                      <w:rFonts w:eastAsia="PMingLiU"/>
                      <w:sz w:val="22"/>
                      <w:szCs w:val="22"/>
                    </w:rPr>
                    <w:t>embolija i tromboza</w:t>
                  </w:r>
                </w:p>
              </w:tc>
              <w:tc>
                <w:tcPr>
                  <w:tcW w:w="1454" w:type="pct"/>
                  <w:shd w:val="clear" w:color="auto" w:fill="auto"/>
                </w:tcPr>
                <w:p w:rsidR="0051655A" w:rsidRPr="00B02AD6" w:rsidRDefault="003D3A5C" w:rsidP="00A03C69">
                  <w:pPr>
                    <w:pStyle w:val="Header"/>
                    <w:tabs>
                      <w:tab w:val="left" w:pos="284"/>
                    </w:tabs>
                    <w:rPr>
                      <w:rFonts w:eastAsia="PMingLiU"/>
                      <w:sz w:val="22"/>
                      <w:szCs w:val="22"/>
                    </w:rPr>
                  </w:pPr>
                  <w:r w:rsidRPr="00B02AD6">
                    <w:rPr>
                      <w:rFonts w:eastAsia="PMingLiU"/>
                      <w:sz w:val="22"/>
                      <w:szCs w:val="22"/>
                    </w:rPr>
                    <w:t>c</w:t>
                  </w:r>
                  <w:r w:rsidR="0051655A" w:rsidRPr="00B02AD6">
                    <w:rPr>
                      <w:rFonts w:eastAsia="PMingLiU"/>
                      <w:sz w:val="22"/>
                      <w:szCs w:val="22"/>
                    </w:rPr>
                    <w:t>rvenilo uz osjećaj vrućine, hipotenzija, hipertenzivna kriza, napad vrućine, flebitis</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t>Poremećaji respiratornog sistema, toraksa i medijastinuma</w:t>
                  </w:r>
                </w:p>
              </w:tc>
              <w:tc>
                <w:tcPr>
                  <w:tcW w:w="1090" w:type="pct"/>
                  <w:shd w:val="clear" w:color="auto" w:fill="auto"/>
                </w:tcPr>
                <w:p w:rsidR="0051655A" w:rsidRPr="00B02AD6" w:rsidRDefault="0051655A" w:rsidP="0063379D">
                  <w:pPr>
                    <w:pStyle w:val="Header"/>
                    <w:tabs>
                      <w:tab w:val="left" w:pos="284"/>
                    </w:tabs>
                    <w:rPr>
                      <w:rFonts w:eastAsia="PMingLiU"/>
                      <w:sz w:val="22"/>
                      <w:szCs w:val="22"/>
                    </w:rPr>
                  </w:pPr>
                  <w:r w:rsidRPr="00B02AD6">
                    <w:rPr>
                      <w:rFonts w:eastAsia="PMingLiU"/>
                      <w:sz w:val="22"/>
                      <w:szCs w:val="22"/>
                    </w:rPr>
                    <w:t xml:space="preserve">bol u grlu, disestezija </w:t>
                  </w:r>
                  <w:r w:rsidR="00402CEE" w:rsidRPr="00B02AD6">
                    <w:rPr>
                      <w:rFonts w:eastAsia="PMingLiU"/>
                      <w:sz w:val="22"/>
                      <w:szCs w:val="22"/>
                    </w:rPr>
                    <w:t xml:space="preserve">ždrijela </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štucanje, faringolaringealni bol, disfonija</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sz w:val="22"/>
                      <w:szCs w:val="22"/>
                    </w:rPr>
                  </w:pPr>
                  <w:r w:rsidRPr="00B02AD6">
                    <w:rPr>
                      <w:rFonts w:eastAsia="PMingLiU"/>
                      <w:i/>
                      <w:sz w:val="22"/>
                      <w:szCs w:val="22"/>
                    </w:rPr>
                    <w:t>Gastrointestinalni poremećaji</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opstipacija, dispepsija </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hemoragija u gornjem dijelu gastrointestinalnog trakta, </w:t>
                  </w:r>
                </w:p>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ulceracija usta, </w:t>
                  </w:r>
                </w:p>
                <w:p w:rsidR="0051655A" w:rsidRPr="00B02AD6" w:rsidRDefault="0051655A" w:rsidP="00A03C69">
                  <w:pPr>
                    <w:pStyle w:val="Header"/>
                    <w:tabs>
                      <w:tab w:val="left" w:pos="284"/>
                    </w:tabs>
                    <w:rPr>
                      <w:rFonts w:eastAsia="PMingLiU"/>
                      <w:color w:val="FF0000"/>
                      <w:sz w:val="22"/>
                      <w:szCs w:val="22"/>
                    </w:rPr>
                  </w:pPr>
                  <w:r w:rsidRPr="00B02AD6">
                    <w:rPr>
                      <w:rFonts w:eastAsia="PMingLiU"/>
                      <w:sz w:val="22"/>
                      <w:szCs w:val="22"/>
                    </w:rPr>
                    <w:t>gastritis, abdominalna distenzija, gastroezofagealna refluksna bolest, bol u ustima, disfagija, rektalna hemoragija, bol u donjem dijelu abdomena, oralna disestezija, oralna parestezija, oralna hipostezija, neugodan osjećaj u abdomenu</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i/>
                      <w:sz w:val="22"/>
                      <w:szCs w:val="22"/>
                    </w:rPr>
                  </w:pPr>
                  <w:r w:rsidRPr="00B02AD6">
                    <w:rPr>
                      <w:i/>
                      <w:sz w:val="22"/>
                      <w:szCs w:val="22"/>
                    </w:rPr>
                    <w:t>Hepatobilijarni poremećaji</w:t>
                  </w:r>
                </w:p>
              </w:tc>
              <w:tc>
                <w:tcPr>
                  <w:tcW w:w="1090" w:type="pct"/>
                  <w:shd w:val="clear" w:color="auto" w:fill="auto"/>
                </w:tcPr>
                <w:p w:rsidR="0051655A" w:rsidRPr="00B02AD6" w:rsidRDefault="0051655A" w:rsidP="00A03C69">
                  <w:pPr>
                    <w:pStyle w:val="Header"/>
                    <w:tabs>
                      <w:tab w:val="left" w:pos="284"/>
                    </w:tabs>
                    <w:rPr>
                      <w:rFonts w:eastAsia="PMingLiU"/>
                      <w:color w:val="FF0000"/>
                      <w:sz w:val="22"/>
                      <w:szCs w:val="22"/>
                    </w:rPr>
                  </w:pP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poremećaji hepatičke funkcije</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sz w:val="22"/>
                      <w:szCs w:val="22"/>
                    </w:rPr>
                  </w:pPr>
                  <w:r w:rsidRPr="00B02AD6">
                    <w:rPr>
                      <w:i/>
                      <w:sz w:val="22"/>
                      <w:szCs w:val="22"/>
                    </w:rPr>
                    <w:t>Poremećaji na novou kože i potkožnog tkiva</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alopecija, promjene na noktima</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hiperhidroza, eritematozni osip, urtikarija, noćno znojenje </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sz w:val="22"/>
                      <w:szCs w:val="22"/>
                    </w:rPr>
                  </w:pPr>
                  <w:r w:rsidRPr="00B02AD6">
                    <w:rPr>
                      <w:i/>
                      <w:sz w:val="22"/>
                      <w:szCs w:val="22"/>
                    </w:rPr>
                    <w:t>Poremećaji mišićno-skeletnog, vezivnog i koštanog tkiva</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mialgija, artralgija, bol u  ekstremitetima</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bol u vilici, grčevi u mišićima,  trizmus, slabost mišića </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sz w:val="22"/>
                      <w:szCs w:val="22"/>
                    </w:rPr>
                  </w:pPr>
                  <w:r w:rsidRPr="00B02AD6">
                    <w:rPr>
                      <w:i/>
                      <w:sz w:val="22"/>
                      <w:szCs w:val="22"/>
                    </w:rPr>
                    <w:t>Poremećaji na nivou bubrega i urinarnog sistema</w:t>
                  </w:r>
                </w:p>
              </w:tc>
              <w:tc>
                <w:tcPr>
                  <w:tcW w:w="1090" w:type="pct"/>
                  <w:shd w:val="clear" w:color="auto" w:fill="auto"/>
                </w:tcPr>
                <w:p w:rsidR="0051655A" w:rsidRPr="00B02AD6" w:rsidRDefault="0051655A" w:rsidP="00A03C69">
                  <w:pPr>
                    <w:pStyle w:val="Header"/>
                    <w:tabs>
                      <w:tab w:val="left" w:pos="284"/>
                    </w:tabs>
                    <w:rPr>
                      <w:rFonts w:eastAsia="PMingLiU"/>
                      <w:color w:val="FF0000"/>
                      <w:sz w:val="22"/>
                      <w:szCs w:val="22"/>
                    </w:rPr>
                  </w:pP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hematurija, proteinurija, smanjenje klirensa kreatinina, bolno i otežano mokrenje</w:t>
                  </w:r>
                </w:p>
              </w:tc>
              <w:tc>
                <w:tcPr>
                  <w:tcW w:w="1459" w:type="pct"/>
                  <w:shd w:val="clear" w:color="auto" w:fill="auto"/>
                </w:tcPr>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Akutna insuficijencija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bubrega kao</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posljedica</w:t>
                  </w: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dehidracije</w:t>
                  </w:r>
                </w:p>
                <w:p w:rsidR="0051655A" w:rsidRPr="00B02AD6" w:rsidRDefault="0051655A" w:rsidP="00A03C69">
                  <w:pPr>
                    <w:pStyle w:val="Header"/>
                    <w:tabs>
                      <w:tab w:val="left" w:pos="284"/>
                    </w:tabs>
                    <w:rPr>
                      <w:rFonts w:eastAsia="PMingLiU"/>
                      <w:sz w:val="22"/>
                      <w:szCs w:val="22"/>
                    </w:rPr>
                  </w:pPr>
                  <w:r w:rsidRPr="00B02AD6">
                    <w:rPr>
                      <w:rFonts w:ascii="TimesNewRoman" w:hAnsi="TimesNewRoman" w:cs="TimesNewRoman"/>
                      <w:sz w:val="22"/>
                      <w:szCs w:val="22"/>
                    </w:rPr>
                    <w:t>(rijetko)</w:t>
                  </w: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Opšti poremećaji i stanja na mjestu primjene</w:t>
                  </w:r>
                </w:p>
              </w:tc>
              <w:tc>
                <w:tcPr>
                  <w:tcW w:w="1090"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povišena temperatura, slabost, </w:t>
                  </w:r>
                  <w:r w:rsidRPr="00B02AD6">
                    <w:rPr>
                      <w:rFonts w:eastAsia="PMingLiU"/>
                      <w:sz w:val="22"/>
                      <w:szCs w:val="22"/>
                      <w:vertAlign w:val="superscript"/>
                    </w:rPr>
                    <w:t>+</w:t>
                  </w:r>
                  <w:r w:rsidRPr="00B02AD6">
                    <w:rPr>
                      <w:rFonts w:eastAsia="PMingLiU"/>
                      <w:sz w:val="22"/>
                      <w:szCs w:val="22"/>
                    </w:rPr>
                    <w:t>letargija, osjetljivost na promjene temperature okoline</w:t>
                  </w: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 xml:space="preserve">upala sluznice, bol u ekstremitetima, bol, drhtavica, bol u grudima, bolest slična gripu, </w:t>
                  </w:r>
                  <w:r w:rsidRPr="00B02AD6">
                    <w:rPr>
                      <w:rFonts w:eastAsia="PMingLiU"/>
                      <w:sz w:val="22"/>
                      <w:szCs w:val="22"/>
                      <w:vertAlign w:val="superscript"/>
                    </w:rPr>
                    <w:t>+</w:t>
                  </w:r>
                  <w:r w:rsidRPr="00B02AD6">
                    <w:rPr>
                      <w:rFonts w:eastAsia="PMingLiU"/>
                      <w:sz w:val="22"/>
                      <w:szCs w:val="22"/>
                    </w:rPr>
                    <w:t>groznica</w:t>
                  </w:r>
                  <w:r w:rsidR="00053A38" w:rsidRPr="00B02AD6">
                    <w:rPr>
                      <w:rFonts w:eastAsia="PMingLiU"/>
                      <w:sz w:val="22"/>
                      <w:szCs w:val="22"/>
                    </w:rPr>
                    <w:t>,</w:t>
                  </w:r>
                  <w:r w:rsidRPr="00B02AD6">
                    <w:rPr>
                      <w:rFonts w:eastAsia="PMingLiU"/>
                      <w:sz w:val="22"/>
                      <w:szCs w:val="22"/>
                    </w:rPr>
                    <w:t xml:space="preserve"> reakcije na infuziju, reakcije na mjestu uboda, bol na </w:t>
                  </w:r>
                  <w:r w:rsidRPr="00B02AD6">
                    <w:rPr>
                      <w:rFonts w:eastAsia="PMingLiU"/>
                      <w:sz w:val="22"/>
                      <w:szCs w:val="22"/>
                    </w:rPr>
                    <w:lastRenderedPageBreak/>
                    <w:t>mjestu primjene infuzije, bol na mjestu uboda</w:t>
                  </w: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r w:rsidR="0051655A" w:rsidRPr="00B02AD6" w:rsidTr="00985E90">
              <w:tc>
                <w:tcPr>
                  <w:tcW w:w="997" w:type="pct"/>
                  <w:shd w:val="clear" w:color="auto" w:fill="auto"/>
                </w:tcPr>
                <w:p w:rsidR="0051655A" w:rsidRPr="00B02AD6" w:rsidRDefault="0051655A" w:rsidP="00A03C69">
                  <w:pPr>
                    <w:pStyle w:val="Header"/>
                    <w:tabs>
                      <w:tab w:val="left" w:pos="284"/>
                    </w:tabs>
                    <w:rPr>
                      <w:rFonts w:eastAsia="PMingLiU"/>
                      <w:i/>
                      <w:sz w:val="22"/>
                      <w:szCs w:val="22"/>
                    </w:rPr>
                  </w:pPr>
                  <w:r w:rsidRPr="00B02AD6">
                    <w:rPr>
                      <w:rFonts w:eastAsia="PMingLiU"/>
                      <w:i/>
                      <w:sz w:val="22"/>
                      <w:szCs w:val="22"/>
                    </w:rPr>
                    <w:t>Povrede, trovanja i proceduralne komplikacije</w:t>
                  </w:r>
                </w:p>
              </w:tc>
              <w:tc>
                <w:tcPr>
                  <w:tcW w:w="1090" w:type="pct"/>
                  <w:shd w:val="clear" w:color="auto" w:fill="auto"/>
                </w:tcPr>
                <w:p w:rsidR="0051655A" w:rsidRPr="00B02AD6" w:rsidRDefault="0051655A" w:rsidP="00A03C69">
                  <w:pPr>
                    <w:pStyle w:val="Header"/>
                    <w:tabs>
                      <w:tab w:val="left" w:pos="284"/>
                    </w:tabs>
                    <w:rPr>
                      <w:rFonts w:eastAsia="PMingLiU"/>
                      <w:color w:val="FF0000"/>
                      <w:sz w:val="22"/>
                      <w:szCs w:val="22"/>
                    </w:rPr>
                  </w:pPr>
                </w:p>
              </w:tc>
              <w:tc>
                <w:tcPr>
                  <w:tcW w:w="1454" w:type="pct"/>
                  <w:shd w:val="clear" w:color="auto" w:fill="auto"/>
                </w:tcPr>
                <w:p w:rsidR="0051655A" w:rsidRPr="00B02AD6" w:rsidRDefault="0051655A" w:rsidP="00A03C69">
                  <w:pPr>
                    <w:pStyle w:val="Header"/>
                    <w:tabs>
                      <w:tab w:val="left" w:pos="284"/>
                    </w:tabs>
                    <w:rPr>
                      <w:rFonts w:eastAsia="PMingLiU"/>
                      <w:sz w:val="22"/>
                      <w:szCs w:val="22"/>
                    </w:rPr>
                  </w:pPr>
                  <w:r w:rsidRPr="00B02AD6">
                    <w:rPr>
                      <w:rFonts w:eastAsia="PMingLiU"/>
                      <w:sz w:val="22"/>
                      <w:szCs w:val="22"/>
                    </w:rPr>
                    <w:t>kontuzija</w:t>
                  </w:r>
                </w:p>
                <w:p w:rsidR="0051655A" w:rsidRPr="00B02AD6" w:rsidRDefault="0051655A" w:rsidP="00A03C69">
                  <w:pPr>
                    <w:pStyle w:val="Header"/>
                    <w:tabs>
                      <w:tab w:val="left" w:pos="284"/>
                    </w:tabs>
                    <w:rPr>
                      <w:rFonts w:eastAsia="PMingLiU"/>
                      <w:color w:val="FF0000"/>
                      <w:sz w:val="22"/>
                      <w:szCs w:val="22"/>
                    </w:rPr>
                  </w:pPr>
                </w:p>
              </w:tc>
              <w:tc>
                <w:tcPr>
                  <w:tcW w:w="1459" w:type="pct"/>
                  <w:shd w:val="clear" w:color="auto" w:fill="auto"/>
                </w:tcPr>
                <w:p w:rsidR="0051655A" w:rsidRPr="00B02AD6" w:rsidRDefault="0051655A" w:rsidP="00A03C69">
                  <w:pPr>
                    <w:pStyle w:val="Header"/>
                    <w:tabs>
                      <w:tab w:val="left" w:pos="284"/>
                    </w:tabs>
                    <w:rPr>
                      <w:rFonts w:eastAsia="PMingLiU"/>
                      <w:color w:val="FF0000"/>
                      <w:sz w:val="22"/>
                      <w:szCs w:val="22"/>
                    </w:rPr>
                  </w:pPr>
                </w:p>
              </w:tc>
            </w:tr>
          </w:tbl>
          <w:p w:rsidR="0051655A" w:rsidRPr="00B02AD6" w:rsidRDefault="0051655A" w:rsidP="00A03C69">
            <w:pPr>
              <w:pStyle w:val="Header"/>
              <w:tabs>
                <w:tab w:val="left" w:pos="284"/>
              </w:tabs>
              <w:jc w:val="both"/>
              <w:rPr>
                <w:sz w:val="22"/>
                <w:szCs w:val="22"/>
              </w:rPr>
            </w:pPr>
            <w:r w:rsidRPr="00B02AD6">
              <w:rPr>
                <w:sz w:val="22"/>
                <w:szCs w:val="22"/>
                <w:vertAlign w:val="superscript"/>
              </w:rPr>
              <w:t>+</w:t>
            </w:r>
            <w:r w:rsidRPr="00B02AD6">
              <w:rPr>
                <w:sz w:val="22"/>
                <w:szCs w:val="22"/>
              </w:rPr>
              <w:t xml:space="preserve"> Za svaki pojam, učestalost javljanja procijenjena je na osnovu prijavljenih neželjenih reakcija svih stepena. Za poremećaje označene sa “+”, učestalost javljanja procijenjena je na osnovu neželjenih reakcija 3.-4. stepena Neželjene reakcije bilježene su na osnovu najviše incidence prijavljene u bilo kojoj od velikih kombinovanih studija.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bCs/>
                <w:iCs/>
                <w:sz w:val="22"/>
                <w:szCs w:val="22"/>
                <w:u w:val="single"/>
              </w:rPr>
            </w:pPr>
            <w:r w:rsidRPr="00B02AD6">
              <w:rPr>
                <w:bCs/>
                <w:iCs/>
                <w:sz w:val="22"/>
                <w:szCs w:val="22"/>
                <w:u w:val="single"/>
              </w:rPr>
              <w:t xml:space="preserve">Opis odabranih neželjenih reakcija </w:t>
            </w:r>
          </w:p>
          <w:p w:rsidR="0051655A" w:rsidRPr="00B02AD6" w:rsidRDefault="0051655A" w:rsidP="00A03C69">
            <w:pPr>
              <w:pStyle w:val="Header"/>
              <w:tabs>
                <w:tab w:val="left" w:pos="284"/>
              </w:tabs>
              <w:rPr>
                <w:bCs/>
                <w:i/>
                <w:iCs/>
                <w:color w:val="FF0000"/>
                <w:sz w:val="22"/>
                <w:szCs w:val="22"/>
                <w:u w:val="single"/>
              </w:rPr>
            </w:pPr>
          </w:p>
          <w:p w:rsidR="0051655A" w:rsidRPr="00B02AD6" w:rsidRDefault="0051655A" w:rsidP="00A03C69">
            <w:pPr>
              <w:pStyle w:val="Header"/>
              <w:tabs>
                <w:tab w:val="left" w:pos="284"/>
              </w:tabs>
              <w:rPr>
                <w:color w:val="FF0000"/>
                <w:sz w:val="22"/>
                <w:szCs w:val="22"/>
              </w:rPr>
            </w:pPr>
            <w:r w:rsidRPr="00B02AD6">
              <w:rPr>
                <w:bCs/>
                <w:i/>
                <w:iCs/>
                <w:sz w:val="22"/>
                <w:szCs w:val="22"/>
              </w:rPr>
              <w:t>Sindrom šaka-stopalo (vidjeti odjeljak  4.4)</w:t>
            </w:r>
          </w:p>
          <w:p w:rsidR="0051655A" w:rsidRPr="00B02AD6" w:rsidRDefault="0051655A" w:rsidP="00A03C69">
            <w:pPr>
              <w:pStyle w:val="Header"/>
              <w:tabs>
                <w:tab w:val="left" w:pos="284"/>
              </w:tabs>
              <w:jc w:val="both"/>
              <w:rPr>
                <w:sz w:val="22"/>
                <w:szCs w:val="22"/>
              </w:rPr>
            </w:pPr>
            <w:r w:rsidRPr="00B02AD6">
              <w:rPr>
                <w:sz w:val="22"/>
                <w:szCs w:val="22"/>
              </w:rPr>
              <w:t>Pri primjeni kapecitabina u dozi od 1250 mg/m</w:t>
            </w:r>
            <w:r w:rsidRPr="00B02AD6">
              <w:rPr>
                <w:sz w:val="22"/>
                <w:szCs w:val="22"/>
                <w:vertAlign w:val="superscript"/>
              </w:rPr>
              <w:t>2</w:t>
            </w:r>
            <w:r w:rsidRPr="00B02AD6">
              <w:rPr>
                <w:sz w:val="22"/>
                <w:szCs w:val="22"/>
              </w:rPr>
              <w:t xml:space="preserve"> dva puta dnevno od prvog do 14. dana ciklusa svake 3 nedjelje, učestalost od 53% do 60% sindroma ša</w:t>
            </w:r>
            <w:r w:rsidR="00053A38" w:rsidRPr="00B02AD6">
              <w:rPr>
                <w:sz w:val="22"/>
                <w:szCs w:val="22"/>
              </w:rPr>
              <w:t>k</w:t>
            </w:r>
            <w:r w:rsidRPr="00B02AD6">
              <w:rPr>
                <w:sz w:val="22"/>
                <w:szCs w:val="22"/>
              </w:rPr>
              <w:t>a-stopalo svih stepena prijavljena je u kliničkim studijama pri primjeni monoterapije kapecitabinom (obuhvaćene su studije adjuvantne terapije karcinoma kolona, liječenja metastatskog kolorektalnog karcinoma i karcinoma dojke), a učestalost od 63% prijavljena je kod pacijenata sa metastatskim karcinomom dojke liječenih kombinovanom terapijom kapecitabin/docetaksel. Pri primjeni kapecitabina u dozi od 1000 mg/m</w:t>
            </w:r>
            <w:r w:rsidRPr="00B02AD6">
              <w:rPr>
                <w:sz w:val="22"/>
                <w:szCs w:val="22"/>
                <w:vertAlign w:val="superscript"/>
              </w:rPr>
              <w:t>2</w:t>
            </w:r>
            <w:r w:rsidRPr="00B02AD6">
              <w:rPr>
                <w:sz w:val="22"/>
                <w:szCs w:val="22"/>
              </w:rPr>
              <w:t xml:space="preserve"> dva puta dnevno od prvog do 14. dana ciklusa svake 3 nedjelje, učestalost od 22% do 30% svih stepena sindroma ša</w:t>
            </w:r>
            <w:r w:rsidR="00053A38" w:rsidRPr="00B02AD6">
              <w:rPr>
                <w:sz w:val="22"/>
                <w:szCs w:val="22"/>
              </w:rPr>
              <w:t>k</w:t>
            </w:r>
            <w:r w:rsidRPr="00B02AD6">
              <w:rPr>
                <w:sz w:val="22"/>
                <w:szCs w:val="22"/>
              </w:rPr>
              <w:t xml:space="preserve">a-stopalo prijavljena je pri primjeni kombinovane terapije sa kapecitabinom.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Meta-analiza podataka iz 14 kliničkih studija sa preko 4700 pacijenata liječenih kapecitabin monoterapijom ili kapecitabinom u kombinaciji sa različitim hemoterapijskim režimima u različitim indikacijama (karcinom kolona, kolorektalni karcinom, karcinom želuca i karcinom dojke) pokazala je da se sindrom ša</w:t>
            </w:r>
            <w:r w:rsidR="00B07FF6" w:rsidRPr="00B02AD6">
              <w:rPr>
                <w:sz w:val="22"/>
                <w:szCs w:val="22"/>
              </w:rPr>
              <w:t>k</w:t>
            </w:r>
            <w:r w:rsidRPr="00B02AD6">
              <w:rPr>
                <w:sz w:val="22"/>
                <w:szCs w:val="22"/>
              </w:rPr>
              <w:t>a-stopalo (svih stepena) javio kod 2066 (43%) pacijenata nakon srednjeg vremena od 239 dana [95% CI 201, 288] nakon početka terapije kapecitabinom. U svim analiziranim studijama, sledeći parametri bili su statistički značajno povezani sa povećanim rizikom od nastanka sindroma šaka-stopalo: povećanje početn</w:t>
            </w:r>
            <w:r w:rsidR="00B07FF6" w:rsidRPr="00B02AD6">
              <w:rPr>
                <w:sz w:val="22"/>
                <w:szCs w:val="22"/>
              </w:rPr>
              <w:t>e</w:t>
            </w:r>
            <w:r w:rsidRPr="00B02AD6">
              <w:rPr>
                <w:sz w:val="22"/>
                <w:szCs w:val="22"/>
              </w:rPr>
              <w:t xml:space="preserve"> doz</w:t>
            </w:r>
            <w:r w:rsidR="00B07FF6" w:rsidRPr="00B02AD6">
              <w:rPr>
                <w:sz w:val="22"/>
                <w:szCs w:val="22"/>
              </w:rPr>
              <w:t>e</w:t>
            </w:r>
            <w:r w:rsidRPr="00B02AD6">
              <w:rPr>
                <w:sz w:val="22"/>
                <w:szCs w:val="22"/>
              </w:rPr>
              <w:t xml:space="preserve"> kapecitabina (gram), smanjenje kumulativne doze kapecitabina (0.1*kg), povećanje intenziteta relativne doze tokom prvih šest nedjelja, produženo trajanje liječenja u studiji (nedjelje), povećanje godina starosti (na po 10 godina), ženski pol, dobar ECOG status na uključenju u studiju (0 nasuprot </w:t>
            </w:r>
            <w:r w:rsidRPr="00B02AD6">
              <w:rPr>
                <w:sz w:val="22"/>
                <w:szCs w:val="22"/>
              </w:rPr>
              <w:sym w:font="Symbol" w:char="F0B3"/>
            </w:r>
            <w:r w:rsidRPr="00B02AD6">
              <w:rPr>
                <w:sz w:val="22"/>
                <w:szCs w:val="22"/>
              </w:rPr>
              <w:t>1).</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Cs/>
                <w:color w:val="FF0000"/>
                <w:sz w:val="22"/>
                <w:szCs w:val="22"/>
              </w:rPr>
            </w:pPr>
            <w:r w:rsidRPr="00B02AD6">
              <w:rPr>
                <w:i/>
                <w:iCs/>
                <w:sz w:val="22"/>
                <w:szCs w:val="22"/>
              </w:rPr>
              <w:t>Dijareja (</w:t>
            </w:r>
            <w:r w:rsidRPr="00B02AD6">
              <w:rPr>
                <w:bCs/>
                <w:i/>
                <w:iCs/>
                <w:sz w:val="22"/>
                <w:szCs w:val="22"/>
              </w:rPr>
              <w:t xml:space="preserve">vidjeti odjeljak  </w:t>
            </w:r>
            <w:r w:rsidRPr="00B02AD6">
              <w:rPr>
                <w:i/>
                <w:iCs/>
                <w:sz w:val="22"/>
                <w:szCs w:val="22"/>
              </w:rPr>
              <w:t>4.4):</w:t>
            </w:r>
          </w:p>
          <w:p w:rsidR="0051655A" w:rsidRPr="00B02AD6" w:rsidRDefault="0051655A" w:rsidP="00A03C69">
            <w:pPr>
              <w:pStyle w:val="Header"/>
              <w:tabs>
                <w:tab w:val="left" w:pos="284"/>
              </w:tabs>
              <w:jc w:val="both"/>
              <w:rPr>
                <w:sz w:val="22"/>
                <w:szCs w:val="22"/>
              </w:rPr>
            </w:pPr>
            <w:r w:rsidRPr="00B02AD6">
              <w:rPr>
                <w:sz w:val="22"/>
                <w:szCs w:val="22"/>
              </w:rPr>
              <w:t xml:space="preserve">Kapecitabin može da izazove pojavu dijareje, koja je zabilježena kod do 50% pacijenata. </w:t>
            </w:r>
          </w:p>
          <w:p w:rsidR="0051655A" w:rsidRPr="00B02AD6" w:rsidRDefault="0051655A" w:rsidP="00A03C69">
            <w:pPr>
              <w:pStyle w:val="Header"/>
              <w:tabs>
                <w:tab w:val="left" w:pos="284"/>
              </w:tabs>
              <w:jc w:val="both"/>
              <w:rPr>
                <w:sz w:val="22"/>
                <w:szCs w:val="22"/>
              </w:rPr>
            </w:pPr>
            <w:r w:rsidRPr="00B02AD6">
              <w:rPr>
                <w:sz w:val="22"/>
                <w:szCs w:val="22"/>
              </w:rPr>
              <w:t>Rezultati meta-analize podataka iz 14 kliničkih studija sa preko 4700 pacijenata liječenih kapecitabinom pokazali su da su u svim analiziranim studijama sljedeći parametri statistički značajno povezani sa povećanim rizikom od nastanka dijareje: povećanje početne doze kapecitabina (gram), produženo trajanje liječenja u studiji (nedjelje), povećanje godina starosti (za po 10 godina) i ženski pol. Sljedeći parametri bili su statistički značajno povezani sa smanjenjem rizika od nastanka dijareje: povećanje kumulativne doze kapecitabina (0.1*kg) i povećanje intenziteta relativne doze tokom prvih šest nedjelja.</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
                <w:iCs/>
                <w:sz w:val="22"/>
                <w:szCs w:val="22"/>
              </w:rPr>
            </w:pPr>
            <w:r w:rsidRPr="00B02AD6">
              <w:rPr>
                <w:i/>
                <w:iCs/>
                <w:sz w:val="22"/>
                <w:szCs w:val="22"/>
              </w:rPr>
              <w:t>Kardiotoksičnost (</w:t>
            </w:r>
            <w:r w:rsidRPr="00B02AD6">
              <w:rPr>
                <w:bCs/>
                <w:i/>
                <w:iCs/>
                <w:sz w:val="22"/>
                <w:szCs w:val="22"/>
              </w:rPr>
              <w:t xml:space="preserve">videti odjeljak  </w:t>
            </w:r>
            <w:r w:rsidRPr="00B02AD6">
              <w:rPr>
                <w:i/>
                <w:iCs/>
                <w:sz w:val="22"/>
                <w:szCs w:val="22"/>
              </w:rPr>
              <w:t>4.4):</w:t>
            </w:r>
          </w:p>
          <w:p w:rsidR="0051655A" w:rsidRPr="00B02AD6" w:rsidRDefault="0051655A" w:rsidP="00A03C69">
            <w:pPr>
              <w:pStyle w:val="Header"/>
              <w:tabs>
                <w:tab w:val="left" w:pos="284"/>
              </w:tabs>
              <w:jc w:val="both"/>
              <w:rPr>
                <w:iCs/>
                <w:sz w:val="22"/>
                <w:szCs w:val="22"/>
              </w:rPr>
            </w:pPr>
            <w:r w:rsidRPr="00B02AD6">
              <w:rPr>
                <w:iCs/>
                <w:sz w:val="22"/>
                <w:szCs w:val="22"/>
              </w:rPr>
              <w:t>Osim neželjenih reakcija opisanih u tabelama 4 i 5, i sljedeća neželjena dejstva sa incidencom manjom od 0.1%  su</w:t>
            </w:r>
            <w:r w:rsidR="004E1FFD" w:rsidRPr="00B02AD6">
              <w:rPr>
                <w:iCs/>
                <w:sz w:val="22"/>
                <w:szCs w:val="22"/>
              </w:rPr>
              <w:t xml:space="preserve"> </w:t>
            </w:r>
            <w:r w:rsidRPr="00B02AD6">
              <w:rPr>
                <w:iCs/>
                <w:sz w:val="22"/>
                <w:szCs w:val="22"/>
              </w:rPr>
              <w:t>bila  povezan</w:t>
            </w:r>
            <w:r w:rsidR="004E1FFD" w:rsidRPr="00B02AD6">
              <w:rPr>
                <w:iCs/>
                <w:sz w:val="22"/>
                <w:szCs w:val="22"/>
              </w:rPr>
              <w:t>a</w:t>
            </w:r>
            <w:r w:rsidRPr="00B02AD6">
              <w:rPr>
                <w:iCs/>
                <w:sz w:val="22"/>
                <w:szCs w:val="22"/>
              </w:rPr>
              <w:t xml:space="preserve"> sa upotrebom kapecitabina kao monoterapije, na osnovu zbirne analize podataka o kliničkoj bezbjednosti iz 7 kliničkih studija sa 949 pacijenata (2 kliničke studije faze III i </w:t>
            </w:r>
            <w:r w:rsidRPr="00B02AD6">
              <w:rPr>
                <w:iCs/>
                <w:sz w:val="22"/>
                <w:szCs w:val="22"/>
              </w:rPr>
              <w:lastRenderedPageBreak/>
              <w:t xml:space="preserve">5 studija faze II u metastatskom kolorektalnom i metastatskom karcinomu dojke): kardiomiopatija, srčana insuficijencija, iznenadna smrt i ventrikularne ekstrasistole. </w:t>
            </w:r>
          </w:p>
          <w:p w:rsidR="0051655A" w:rsidRPr="00B02AD6" w:rsidRDefault="0051655A" w:rsidP="00A03C69">
            <w:pPr>
              <w:pStyle w:val="Header"/>
              <w:tabs>
                <w:tab w:val="left" w:pos="284"/>
              </w:tabs>
              <w:rPr>
                <w:iCs/>
                <w:color w:val="FF0000"/>
                <w:sz w:val="22"/>
                <w:szCs w:val="22"/>
              </w:rPr>
            </w:pPr>
            <w:r w:rsidRPr="00B02AD6">
              <w:rPr>
                <w:iCs/>
                <w:color w:val="FF0000"/>
                <w:sz w:val="22"/>
                <w:szCs w:val="22"/>
              </w:rPr>
              <w:t xml:space="preserve"> </w:t>
            </w:r>
          </w:p>
          <w:p w:rsidR="0051655A" w:rsidRPr="00B02AD6" w:rsidRDefault="0051655A" w:rsidP="00A03C69">
            <w:pPr>
              <w:pStyle w:val="Header"/>
              <w:tabs>
                <w:tab w:val="left" w:pos="284"/>
              </w:tabs>
              <w:rPr>
                <w:i/>
                <w:iCs/>
                <w:sz w:val="22"/>
                <w:szCs w:val="22"/>
              </w:rPr>
            </w:pPr>
            <w:r w:rsidRPr="00B02AD6">
              <w:rPr>
                <w:i/>
                <w:iCs/>
                <w:sz w:val="22"/>
                <w:szCs w:val="22"/>
              </w:rPr>
              <w:t>Encefalopatija:</w:t>
            </w:r>
          </w:p>
          <w:p w:rsidR="0051655A" w:rsidRPr="00B02AD6" w:rsidRDefault="0051655A" w:rsidP="00A03C69">
            <w:pPr>
              <w:pStyle w:val="Header"/>
              <w:tabs>
                <w:tab w:val="left" w:pos="284"/>
              </w:tabs>
              <w:jc w:val="both"/>
              <w:rPr>
                <w:sz w:val="22"/>
                <w:szCs w:val="22"/>
              </w:rPr>
            </w:pPr>
            <w:r w:rsidRPr="00B02AD6">
              <w:rPr>
                <w:iCs/>
                <w:sz w:val="22"/>
                <w:szCs w:val="22"/>
              </w:rPr>
              <w:t>Osim neželjenih reakcija opisanih u tabelama 4 i 5,</w:t>
            </w:r>
            <w:r w:rsidR="000906E7" w:rsidRPr="00B02AD6">
              <w:rPr>
                <w:iCs/>
                <w:sz w:val="22"/>
                <w:szCs w:val="22"/>
              </w:rPr>
              <w:t xml:space="preserve"> </w:t>
            </w:r>
            <w:r w:rsidRPr="00B02AD6">
              <w:rPr>
                <w:iCs/>
                <w:sz w:val="22"/>
                <w:szCs w:val="22"/>
              </w:rPr>
              <w:t>a na osnovu gore navedene zbirne analize podataka o kliničkoj bezbjednosti iz 7 kliničkih studija</w:t>
            </w:r>
            <w:r w:rsidRPr="00B02AD6">
              <w:rPr>
                <w:sz w:val="22"/>
                <w:szCs w:val="22"/>
              </w:rPr>
              <w:t xml:space="preserve">, encefalopatija je takođe bila povezana sa primjenom kapecitabina kao monoterapije sa incidencom manjom od 0.1%.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Cs/>
                <w:sz w:val="22"/>
                <w:szCs w:val="22"/>
                <w:u w:val="single"/>
              </w:rPr>
            </w:pPr>
            <w:r w:rsidRPr="00B02AD6">
              <w:rPr>
                <w:iCs/>
                <w:sz w:val="22"/>
                <w:szCs w:val="22"/>
                <w:u w:val="single"/>
              </w:rPr>
              <w:t xml:space="preserve">Posebne grupe pacijenata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
                <w:iCs/>
                <w:sz w:val="22"/>
                <w:szCs w:val="22"/>
              </w:rPr>
            </w:pPr>
            <w:r w:rsidRPr="00B02AD6">
              <w:rPr>
                <w:i/>
                <w:iCs/>
                <w:sz w:val="22"/>
                <w:szCs w:val="22"/>
              </w:rPr>
              <w:t>Stariji pacijenti (</w:t>
            </w:r>
            <w:r w:rsidRPr="00B02AD6">
              <w:rPr>
                <w:bCs/>
                <w:i/>
                <w:iCs/>
                <w:sz w:val="22"/>
                <w:szCs w:val="22"/>
              </w:rPr>
              <w:t xml:space="preserve">vidjeti odeljak  </w:t>
            </w:r>
            <w:r w:rsidRPr="00B02AD6">
              <w:rPr>
                <w:i/>
                <w:iCs/>
                <w:sz w:val="22"/>
                <w:szCs w:val="22"/>
              </w:rPr>
              <w:t>4.2):</w:t>
            </w:r>
          </w:p>
          <w:p w:rsidR="0051655A" w:rsidRPr="00B02AD6" w:rsidRDefault="0051655A" w:rsidP="00A03C69">
            <w:pPr>
              <w:pStyle w:val="Header"/>
              <w:tabs>
                <w:tab w:val="left" w:pos="284"/>
              </w:tabs>
              <w:jc w:val="both"/>
              <w:rPr>
                <w:sz w:val="22"/>
                <w:szCs w:val="22"/>
              </w:rPr>
            </w:pPr>
            <w:r w:rsidRPr="00B02AD6">
              <w:rPr>
                <w:iCs/>
                <w:sz w:val="22"/>
                <w:szCs w:val="22"/>
              </w:rPr>
              <w:t xml:space="preserve">Analiza bezbjednosnih podataka kod pacijenata starosti </w:t>
            </w:r>
            <w:r w:rsidRPr="00B02AD6">
              <w:rPr>
                <w:iCs/>
                <w:sz w:val="22"/>
                <w:szCs w:val="22"/>
              </w:rPr>
              <w:sym w:font="Symbol" w:char="F0B3"/>
            </w:r>
            <w:r w:rsidRPr="00B02AD6">
              <w:rPr>
                <w:iCs/>
                <w:sz w:val="22"/>
                <w:szCs w:val="22"/>
              </w:rPr>
              <w:t xml:space="preserve">60 godina liječenih kapecitabinom kao monoterapijom i analiza podataka kod pacijenata liječenih kombinovanom terapijom kapecitabinom i docetakselom pokazala je povećanje incidence neželjenih reakcija na terapiju stepena 3 i 4 i ozbiljnih neželjenih reakcija na terapiju u poređenju sa pacijentima starosti </w:t>
            </w:r>
            <w:r w:rsidRPr="00B02AD6">
              <w:rPr>
                <w:sz w:val="22"/>
                <w:szCs w:val="22"/>
              </w:rPr>
              <w:t xml:space="preserve">&lt;60 godina. Pacijenti starosti </w:t>
            </w:r>
            <w:r w:rsidRPr="00B02AD6">
              <w:rPr>
                <w:iCs/>
                <w:sz w:val="22"/>
                <w:szCs w:val="22"/>
              </w:rPr>
              <w:sym w:font="Symbol" w:char="F0B3"/>
            </w:r>
            <w:r w:rsidRPr="00B02AD6">
              <w:rPr>
                <w:iCs/>
                <w:sz w:val="22"/>
                <w:szCs w:val="22"/>
              </w:rPr>
              <w:t xml:space="preserve">60 godina liječeni kombinovanom terapijom kapecitabina i docetaksela imali su takođe i više ranijih prekida terapije zbog neželjenih reakcija u poređenju sa pacijentima starosti </w:t>
            </w:r>
            <w:r w:rsidRPr="00B02AD6">
              <w:rPr>
                <w:sz w:val="22"/>
                <w:szCs w:val="22"/>
              </w:rPr>
              <w:t>&lt;60 godina.</w:t>
            </w:r>
          </w:p>
          <w:p w:rsidR="0051655A" w:rsidRPr="00B02AD6" w:rsidRDefault="0051655A" w:rsidP="00A03C69">
            <w:pPr>
              <w:pStyle w:val="Header"/>
              <w:tabs>
                <w:tab w:val="left" w:pos="284"/>
              </w:tabs>
              <w:jc w:val="both"/>
              <w:rPr>
                <w:iCs/>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Rezultati meta-analize podataka iz 14 kliničkih studija sa preko 4700 pacijenata liječenih kapecitabinom pokazali su da je u svim analiziranim studijama povećanje godina starosti (za po 10 godina) bilo statistički značajno povezano sa povećanim rizikom od nastanka sinroma šaka-stopalo i dijareje, i sa smanjenim rizikom od nastanka neutropenije. </w:t>
            </w:r>
          </w:p>
          <w:p w:rsidR="0051655A" w:rsidRPr="00B02AD6" w:rsidRDefault="0051655A" w:rsidP="00A03C69">
            <w:pPr>
              <w:pStyle w:val="Header"/>
              <w:tabs>
                <w:tab w:val="left" w:pos="284"/>
              </w:tabs>
              <w:jc w:val="both"/>
              <w:rPr>
                <w:sz w:val="22"/>
                <w:szCs w:val="22"/>
              </w:rPr>
            </w:pPr>
          </w:p>
          <w:p w:rsidR="0051655A" w:rsidRPr="00B02AD6" w:rsidRDefault="0051655A" w:rsidP="00A03C69">
            <w:pPr>
              <w:pStyle w:val="Header"/>
              <w:tabs>
                <w:tab w:val="left" w:pos="284"/>
              </w:tabs>
              <w:rPr>
                <w:i/>
                <w:sz w:val="22"/>
                <w:szCs w:val="22"/>
              </w:rPr>
            </w:pPr>
            <w:r w:rsidRPr="00B02AD6">
              <w:rPr>
                <w:i/>
                <w:sz w:val="22"/>
                <w:szCs w:val="22"/>
              </w:rPr>
              <w:t>Pol</w:t>
            </w:r>
          </w:p>
          <w:p w:rsidR="0051655A" w:rsidRPr="00B02AD6" w:rsidRDefault="0051655A" w:rsidP="00A03C69">
            <w:pPr>
              <w:pStyle w:val="Header"/>
              <w:tabs>
                <w:tab w:val="left" w:pos="284"/>
              </w:tabs>
              <w:jc w:val="both"/>
              <w:rPr>
                <w:i/>
                <w:sz w:val="22"/>
                <w:szCs w:val="22"/>
              </w:rPr>
            </w:pPr>
            <w:r w:rsidRPr="00B02AD6">
              <w:rPr>
                <w:sz w:val="22"/>
                <w:szCs w:val="22"/>
              </w:rPr>
              <w:t>Rezultati meta-analize podataka iz 14 kliničkih studija sa preko 4700 pacijenata liječenih kapecitabinom pokazali su da je u svim analiziranim studijama ženski pol bio statistički značajno povezan sa povećanim rizikom od nastanka sindroma šaka-stopalo i dijareje, kao i sa smanjenim rizikom od nastanka neutropenije.</w:t>
            </w:r>
          </w:p>
          <w:p w:rsidR="0051655A" w:rsidRPr="00B02AD6" w:rsidRDefault="0051655A" w:rsidP="00A03C69">
            <w:pPr>
              <w:pStyle w:val="Header"/>
              <w:tabs>
                <w:tab w:val="left" w:pos="284"/>
              </w:tabs>
              <w:rPr>
                <w:i/>
                <w:color w:val="FF0000"/>
                <w:sz w:val="22"/>
                <w:szCs w:val="22"/>
              </w:rPr>
            </w:pPr>
          </w:p>
          <w:p w:rsidR="0051655A" w:rsidRPr="00B02AD6" w:rsidRDefault="0051655A" w:rsidP="00A03C69">
            <w:pPr>
              <w:pStyle w:val="Header"/>
              <w:tabs>
                <w:tab w:val="left" w:pos="284"/>
              </w:tabs>
              <w:rPr>
                <w:i/>
                <w:iCs/>
                <w:sz w:val="22"/>
                <w:szCs w:val="22"/>
              </w:rPr>
            </w:pPr>
            <w:r w:rsidRPr="00B02AD6">
              <w:rPr>
                <w:i/>
                <w:iCs/>
                <w:sz w:val="22"/>
                <w:szCs w:val="22"/>
              </w:rPr>
              <w:t>Pacijenti sa oštećenjem bubrega (vidjeti odjeljke 4.2,  4.4 i 5.2):</w:t>
            </w:r>
          </w:p>
          <w:p w:rsidR="0051655A" w:rsidRPr="00B02AD6" w:rsidRDefault="0051655A" w:rsidP="00A03C69">
            <w:pPr>
              <w:pStyle w:val="Header"/>
              <w:tabs>
                <w:tab w:val="left" w:pos="284"/>
              </w:tabs>
              <w:jc w:val="both"/>
              <w:rPr>
                <w:sz w:val="22"/>
                <w:szCs w:val="22"/>
              </w:rPr>
            </w:pPr>
            <w:r w:rsidRPr="00B02AD6">
              <w:rPr>
                <w:sz w:val="22"/>
                <w:szCs w:val="22"/>
              </w:rPr>
              <w:t xml:space="preserve">Analiza bezbjednosnih podataka kod pacijenata liječenih kapecitabinom kao monoterapijom (kolorektalni karcinom), sa postojećim oštećenjem bubrežne funkcije, pokazala je povećanje incidence nastanka </w:t>
            </w:r>
            <w:r w:rsidRPr="00B02AD6">
              <w:rPr>
                <w:iCs/>
                <w:sz w:val="22"/>
                <w:szCs w:val="22"/>
              </w:rPr>
              <w:t xml:space="preserve">neželjenih reakcija na terapiju stepena 3 i 4, u poređenju sa pacijentima koji su imali normalnu bubrežnu funkciju </w:t>
            </w:r>
            <w:r w:rsidRPr="00B02AD6">
              <w:rPr>
                <w:sz w:val="22"/>
                <w:szCs w:val="22"/>
              </w:rPr>
              <w:t>(36% kod pacijenata bez oštećenja bubrega n=268, nasuprot 41% kod pacijenata sa blagim oštećenjem n=257 i 54% kod pacijenata sa umjerenim oštećenjem n=59) (vidjeti odjeljak 5.2). Pacijenti sa umjerenim oštećenjem bubrežne funkcije ispoljili su povećan stepen smanjenja doze (44%) u odnosu na 33% i 32% kod pacijenata bez ili sa blagim oštećenjem bubrežne funkcije, kao i povećanu incidencu ranijeg prekida terapije (21% tokom prva dva ciklusa) u odnosu na 5% i 8% kod pacijenata bez ili sa blagim oštećenjem bubrežne funkcije.</w:t>
            </w:r>
          </w:p>
          <w:p w:rsidR="0051655A" w:rsidRPr="00B02AD6" w:rsidRDefault="0051655A" w:rsidP="00A03C69">
            <w:pPr>
              <w:pStyle w:val="Header"/>
              <w:tabs>
                <w:tab w:val="left" w:pos="284"/>
              </w:tabs>
              <w:jc w:val="both"/>
              <w:rPr>
                <w:sz w:val="22"/>
                <w:szCs w:val="22"/>
              </w:rPr>
            </w:pPr>
          </w:p>
          <w:p w:rsidR="0051655A" w:rsidRPr="00B02AD6" w:rsidRDefault="0051655A" w:rsidP="00A03C69">
            <w:pPr>
              <w:spacing w:after="200" w:line="276" w:lineRule="auto"/>
              <w:rPr>
                <w:rFonts w:eastAsia="Calibri"/>
                <w:sz w:val="22"/>
                <w:szCs w:val="22"/>
                <w:u w:val="single"/>
              </w:rPr>
            </w:pPr>
            <w:r w:rsidRPr="00B02AD6">
              <w:rPr>
                <w:rFonts w:eastAsia="Calibri"/>
                <w:sz w:val="22"/>
                <w:szCs w:val="22"/>
                <w:u w:val="single"/>
              </w:rPr>
              <w:t>Prijavljivanje sumnji na neželjena dejstva</w:t>
            </w:r>
          </w:p>
          <w:p w:rsidR="0051655A" w:rsidRPr="00B02AD6" w:rsidRDefault="0051655A" w:rsidP="00A03C69">
            <w:pPr>
              <w:spacing w:after="200"/>
              <w:jc w:val="both"/>
              <w:rPr>
                <w:rFonts w:eastAsia="Calibri"/>
                <w:sz w:val="22"/>
                <w:szCs w:val="22"/>
              </w:rPr>
            </w:pPr>
            <w:r w:rsidRPr="00B02AD6">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85E90" w:rsidRPr="00B02AD6" w:rsidRDefault="00985E90" w:rsidP="00A03C69">
            <w:pPr>
              <w:pStyle w:val="NoSpacing"/>
              <w:jc w:val="both"/>
              <w:rPr>
                <w:rFonts w:ascii="Times New Roman" w:eastAsia="Calibri" w:hAnsi="Times New Roman"/>
                <w:noProof/>
                <w:lang w:val="sr-Latn-ME"/>
              </w:rPr>
            </w:pPr>
          </w:p>
          <w:p w:rsidR="0051655A" w:rsidRPr="00B02AD6" w:rsidRDefault="0051655A" w:rsidP="00A03C69">
            <w:pPr>
              <w:pStyle w:val="NoSpacing"/>
              <w:jc w:val="both"/>
              <w:rPr>
                <w:rFonts w:ascii="Times New Roman" w:eastAsia="Calibri" w:hAnsi="Times New Roman"/>
                <w:noProof/>
                <w:lang w:val="sr-Latn-ME"/>
              </w:rPr>
            </w:pPr>
            <w:r w:rsidRPr="00B02AD6">
              <w:rPr>
                <w:rFonts w:ascii="Times New Roman" w:eastAsia="Calibri" w:hAnsi="Times New Roman"/>
                <w:noProof/>
                <w:lang w:val="sr-Latn-ME"/>
              </w:rPr>
              <w:lastRenderedPageBreak/>
              <w:t>Agencija za ljekove i medicinska sredstva Crne Gore</w:t>
            </w:r>
          </w:p>
          <w:p w:rsidR="0051655A" w:rsidRPr="00B02AD6" w:rsidRDefault="0051655A" w:rsidP="00A03C69">
            <w:pPr>
              <w:pStyle w:val="NoSpacing"/>
              <w:jc w:val="both"/>
              <w:rPr>
                <w:rFonts w:ascii="Times New Roman" w:eastAsia="Calibri" w:hAnsi="Times New Roman"/>
                <w:noProof/>
                <w:lang w:val="sr-Latn-ME"/>
              </w:rPr>
            </w:pPr>
            <w:r w:rsidRPr="00B02AD6">
              <w:rPr>
                <w:rFonts w:ascii="Times New Roman" w:eastAsia="Calibri" w:hAnsi="Times New Roman"/>
                <w:noProof/>
                <w:lang w:val="sr-Latn-ME"/>
              </w:rPr>
              <w:t>Odjeljenje za farmakovigilancu</w:t>
            </w:r>
          </w:p>
          <w:p w:rsidR="0051655A" w:rsidRPr="00B02AD6" w:rsidRDefault="0051655A" w:rsidP="00A03C69">
            <w:pPr>
              <w:pStyle w:val="NoSpacing"/>
              <w:jc w:val="both"/>
              <w:rPr>
                <w:rFonts w:ascii="Times New Roman" w:eastAsia="Calibri" w:hAnsi="Times New Roman"/>
                <w:noProof/>
                <w:lang w:val="sr-Latn-ME"/>
              </w:rPr>
            </w:pPr>
            <w:r w:rsidRPr="00B02AD6">
              <w:rPr>
                <w:rFonts w:ascii="Times New Roman" w:eastAsia="Calibri" w:hAnsi="Times New Roman"/>
                <w:noProof/>
                <w:lang w:val="sr-Latn-ME"/>
              </w:rPr>
              <w:t>Bulevar Ivana Crnojevića 64a, 81000 Podgorica</w:t>
            </w:r>
          </w:p>
          <w:p w:rsidR="0051655A" w:rsidRPr="00B02AD6" w:rsidRDefault="0051655A" w:rsidP="00A03C69">
            <w:pPr>
              <w:pStyle w:val="NoSpacing"/>
              <w:rPr>
                <w:rFonts w:eastAsia="Calibri"/>
                <w:noProof/>
                <w:lang w:val="sr-Latn-ME"/>
              </w:rPr>
            </w:pPr>
          </w:p>
          <w:p w:rsidR="0051655A" w:rsidRPr="00B02AD6" w:rsidRDefault="0051655A" w:rsidP="00A03C69">
            <w:pPr>
              <w:pStyle w:val="NoSpacing"/>
              <w:jc w:val="both"/>
              <w:rPr>
                <w:rFonts w:ascii="Times New Roman" w:eastAsia="Calibri" w:hAnsi="Times New Roman"/>
                <w:noProof/>
                <w:lang w:val="sr-Latn-ME"/>
              </w:rPr>
            </w:pPr>
            <w:r w:rsidRPr="00B02AD6">
              <w:rPr>
                <w:rFonts w:ascii="Times New Roman" w:eastAsia="Calibri" w:hAnsi="Times New Roman"/>
                <w:noProof/>
                <w:lang w:val="sr-Latn-ME"/>
              </w:rPr>
              <w:t>tel: +382 (0) 20 310 280</w:t>
            </w:r>
          </w:p>
          <w:p w:rsidR="0051655A" w:rsidRPr="00B02AD6" w:rsidRDefault="0051655A" w:rsidP="00A03C69">
            <w:pPr>
              <w:pStyle w:val="NoSpacing"/>
              <w:jc w:val="both"/>
              <w:rPr>
                <w:rFonts w:ascii="Times New Roman" w:eastAsia="Calibri" w:hAnsi="Times New Roman"/>
                <w:noProof/>
                <w:lang w:val="sr-Latn-ME"/>
              </w:rPr>
            </w:pPr>
            <w:r w:rsidRPr="00B02AD6">
              <w:rPr>
                <w:rFonts w:ascii="Times New Roman" w:eastAsia="Calibri" w:hAnsi="Times New Roman"/>
                <w:noProof/>
                <w:lang w:val="sr-Latn-ME"/>
              </w:rPr>
              <w:t>fax: +382 (0) 20 310 581</w:t>
            </w:r>
          </w:p>
          <w:p w:rsidR="0051655A" w:rsidRPr="00B02AD6" w:rsidRDefault="00962D25" w:rsidP="00A03C69">
            <w:pPr>
              <w:pStyle w:val="NoSpacing"/>
              <w:jc w:val="both"/>
              <w:rPr>
                <w:rFonts w:ascii="Times New Roman" w:eastAsia="Calibri" w:hAnsi="Times New Roman"/>
                <w:noProof/>
                <w:color w:val="365F91"/>
                <w:lang w:val="sr-Latn-ME"/>
              </w:rPr>
            </w:pPr>
            <w:hyperlink r:id="rId7" w:history="1">
              <w:r w:rsidR="0051655A" w:rsidRPr="00B02AD6">
                <w:rPr>
                  <w:rFonts w:ascii="Times New Roman" w:eastAsia="Calibri" w:hAnsi="Times New Roman"/>
                  <w:noProof/>
                  <w:color w:val="365F91"/>
                  <w:lang w:val="sr-Latn-ME"/>
                </w:rPr>
                <w:t>www.calims.me</w:t>
              </w:r>
            </w:hyperlink>
          </w:p>
          <w:p w:rsidR="0051655A" w:rsidRPr="00B02AD6" w:rsidRDefault="00962D25" w:rsidP="00A03C69">
            <w:pPr>
              <w:pStyle w:val="NoSpacing"/>
              <w:jc w:val="both"/>
              <w:rPr>
                <w:rFonts w:ascii="Times New Roman" w:eastAsia="Calibri" w:hAnsi="Times New Roman"/>
                <w:noProof/>
                <w:color w:val="365F91"/>
                <w:lang w:val="sr-Latn-ME"/>
              </w:rPr>
            </w:pPr>
            <w:hyperlink r:id="rId8" w:history="1">
              <w:r w:rsidR="0051655A" w:rsidRPr="00B02AD6">
                <w:rPr>
                  <w:rFonts w:ascii="Times New Roman" w:eastAsia="Calibri" w:hAnsi="Times New Roman"/>
                  <w:noProof/>
                  <w:color w:val="365F91"/>
                  <w:lang w:val="sr-Latn-ME"/>
                </w:rPr>
                <w:t>nezeljenadejstva@calims.me</w:t>
              </w:r>
            </w:hyperlink>
          </w:p>
          <w:p w:rsidR="0051655A" w:rsidRPr="00B02AD6" w:rsidRDefault="0051655A" w:rsidP="00A03C69">
            <w:pPr>
              <w:pStyle w:val="NoSpacing"/>
              <w:jc w:val="both"/>
              <w:rPr>
                <w:rFonts w:ascii="Times New Roman" w:eastAsia="Calibri" w:hAnsi="Times New Roman"/>
                <w:noProof/>
                <w:lang w:val="sr-Latn-ME"/>
              </w:rPr>
            </w:pPr>
            <w:r w:rsidRPr="00B02AD6">
              <w:rPr>
                <w:rFonts w:ascii="Times New Roman" w:eastAsia="Calibri" w:hAnsi="Times New Roman"/>
                <w:noProof/>
                <w:lang w:val="sr-Latn-ME"/>
              </w:rPr>
              <w:t>putem IS zdravstvene zaštite</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lastRenderedPageBreak/>
              <w:t>4.9. Predoziranje i mjere koje je potrebno preduzeti</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Akutno </w:t>
            </w:r>
            <w:r w:rsidR="001F4CEE" w:rsidRPr="00B02AD6">
              <w:rPr>
                <w:sz w:val="22"/>
                <w:szCs w:val="22"/>
              </w:rPr>
              <w:t xml:space="preserve">predoziranje </w:t>
            </w:r>
            <w:r w:rsidRPr="00B02AD6">
              <w:rPr>
                <w:sz w:val="22"/>
                <w:szCs w:val="22"/>
              </w:rPr>
              <w:t>manifestuje se:</w:t>
            </w:r>
            <w:r w:rsidR="001F4CEE" w:rsidRPr="00B02AD6">
              <w:rPr>
                <w:sz w:val="22"/>
                <w:szCs w:val="22"/>
              </w:rPr>
              <w:t xml:space="preserve"> </w:t>
            </w:r>
            <w:r w:rsidRPr="00B02AD6">
              <w:rPr>
                <w:sz w:val="22"/>
                <w:szCs w:val="22"/>
              </w:rPr>
              <w:t xml:space="preserve">mučninom, povraćanjem, dijarejom, mukozitisom, gastrointestinalnom iritacijom i krvarenjem, depresijom </w:t>
            </w:r>
            <w:r w:rsidR="001F4CEE" w:rsidRPr="00B02AD6">
              <w:rPr>
                <w:sz w:val="22"/>
                <w:szCs w:val="22"/>
              </w:rPr>
              <w:t xml:space="preserve">kostne </w:t>
            </w:r>
            <w:r w:rsidRPr="00B02AD6">
              <w:rPr>
                <w:sz w:val="22"/>
                <w:szCs w:val="22"/>
              </w:rPr>
              <w:t xml:space="preserve">srži. U medikamentozno zbrinjavanje slučajeva predoziranja spadaju sve uobičajene terapijske i potporne medicinske intervencije sa ciljem da se koriguju kliničke manifestacije i spriječi njihova eventualna komplikacija. </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5. FARMAKOLOŠKI PODACI</w:t>
            </w: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5.1. Farmakodinamski podaci</w:t>
            </w:r>
          </w:p>
        </w:tc>
      </w:tr>
      <w:tr w:rsidR="0051655A" w:rsidRPr="00B02AD6" w:rsidTr="00985E90">
        <w:trPr>
          <w:trHeight w:val="576"/>
        </w:trPr>
        <w:tc>
          <w:tcPr>
            <w:tcW w:w="1378" w:type="pct"/>
            <w:gridSpan w:val="3"/>
            <w:vAlign w:val="center"/>
          </w:tcPr>
          <w:p w:rsidR="0051655A" w:rsidRPr="00B02AD6" w:rsidRDefault="0051655A" w:rsidP="00A03C69">
            <w:pPr>
              <w:pStyle w:val="Header"/>
              <w:tabs>
                <w:tab w:val="left" w:pos="284"/>
              </w:tabs>
              <w:rPr>
                <w:b/>
                <w:bCs/>
                <w:sz w:val="22"/>
                <w:szCs w:val="22"/>
              </w:rPr>
            </w:pPr>
            <w:r w:rsidRPr="00B02AD6">
              <w:rPr>
                <w:b/>
                <w:bCs/>
                <w:sz w:val="22"/>
                <w:szCs w:val="22"/>
              </w:rPr>
              <w:t>Farmakoterapijska grupa:</w:t>
            </w:r>
          </w:p>
        </w:tc>
        <w:tc>
          <w:tcPr>
            <w:tcW w:w="3622" w:type="pct"/>
            <w:vAlign w:val="center"/>
          </w:tcPr>
          <w:p w:rsidR="0051655A" w:rsidRPr="00B02AD6" w:rsidRDefault="0051655A" w:rsidP="00A03C69">
            <w:pPr>
              <w:pStyle w:val="Header"/>
              <w:tabs>
                <w:tab w:val="left" w:pos="284"/>
              </w:tabs>
              <w:rPr>
                <w:sz w:val="22"/>
                <w:szCs w:val="22"/>
              </w:rPr>
            </w:pPr>
            <w:r w:rsidRPr="00B02AD6">
              <w:rPr>
                <w:sz w:val="22"/>
                <w:szCs w:val="22"/>
              </w:rPr>
              <w:t>citostatik (antimetabolit)</w:t>
            </w:r>
          </w:p>
        </w:tc>
      </w:tr>
      <w:tr w:rsidR="0051655A" w:rsidRPr="00B02AD6" w:rsidTr="00985E90">
        <w:trPr>
          <w:trHeight w:val="542"/>
        </w:trPr>
        <w:tc>
          <w:tcPr>
            <w:tcW w:w="583" w:type="pct"/>
            <w:gridSpan w:val="2"/>
            <w:vAlign w:val="center"/>
          </w:tcPr>
          <w:p w:rsidR="0051655A" w:rsidRPr="00B02AD6" w:rsidRDefault="0051655A" w:rsidP="00A03C69">
            <w:pPr>
              <w:pStyle w:val="Header"/>
              <w:tabs>
                <w:tab w:val="left" w:pos="284"/>
              </w:tabs>
              <w:rPr>
                <w:b/>
                <w:bCs/>
                <w:sz w:val="22"/>
                <w:szCs w:val="22"/>
              </w:rPr>
            </w:pPr>
            <w:r w:rsidRPr="00B02AD6">
              <w:rPr>
                <w:b/>
                <w:bCs/>
                <w:sz w:val="22"/>
                <w:szCs w:val="22"/>
              </w:rPr>
              <w:t>ATC kod:</w:t>
            </w:r>
          </w:p>
        </w:tc>
        <w:tc>
          <w:tcPr>
            <w:tcW w:w="4417" w:type="pct"/>
            <w:gridSpan w:val="2"/>
            <w:vAlign w:val="center"/>
          </w:tcPr>
          <w:p w:rsidR="0051655A" w:rsidRPr="00B02AD6" w:rsidRDefault="0051655A" w:rsidP="00A03C69">
            <w:pPr>
              <w:pStyle w:val="Header"/>
              <w:tabs>
                <w:tab w:val="left" w:pos="284"/>
              </w:tabs>
              <w:rPr>
                <w:sz w:val="22"/>
                <w:szCs w:val="22"/>
              </w:rPr>
            </w:pPr>
            <w:r w:rsidRPr="00B02AD6">
              <w:rPr>
                <w:sz w:val="22"/>
                <w:szCs w:val="22"/>
              </w:rPr>
              <w:t>L01BC06</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jc w:val="both"/>
              <w:rPr>
                <w:sz w:val="22"/>
                <w:szCs w:val="22"/>
              </w:rPr>
            </w:pPr>
            <w:r w:rsidRPr="00B02AD6">
              <w:rPr>
                <w:sz w:val="22"/>
                <w:szCs w:val="22"/>
              </w:rPr>
              <w:t xml:space="preserve">Kapecitabin je necitotoksični fluoropirimidin karbamat koji funkcioniše kao oralno primijenjeni prekursor </w:t>
            </w:r>
            <w:r w:rsidR="001F4CEE" w:rsidRPr="00B02AD6">
              <w:rPr>
                <w:sz w:val="22"/>
                <w:szCs w:val="22"/>
              </w:rPr>
              <w:t>citotoksičnog</w:t>
            </w:r>
            <w:r w:rsidRPr="00B02AD6">
              <w:rPr>
                <w:sz w:val="22"/>
                <w:szCs w:val="22"/>
              </w:rPr>
              <w:t xml:space="preserve"> 5-fluorouracila (5-FU). Kapecitabin se aktivira preko nekoliko enzimskih koraka (vidjeti odjeljak 5.2). Enzim koji je uključen u finalnu konverziju 5-FU, timidin fosforilaza (ThyPase), nalazi se u tumorskom tkivu, ali i u zdravim tkivima, iako u nižim nivoima. U ksenograft modelu humanog karcinoma kapecitabin je pokazao sinergističko dejstvo u kombinaciji sa docetakselom, što se može dovesti u vezu sa povećan</w:t>
            </w:r>
            <w:r w:rsidR="001F4CEE" w:rsidRPr="00B02AD6">
              <w:rPr>
                <w:sz w:val="22"/>
                <w:szCs w:val="22"/>
              </w:rPr>
              <w:t>j</w:t>
            </w:r>
            <w:r w:rsidRPr="00B02AD6">
              <w:rPr>
                <w:sz w:val="22"/>
                <w:szCs w:val="22"/>
              </w:rPr>
              <w:t xml:space="preserve">em aktivnosti timidin fosforilaze uzrokovane docetakselom.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Postoje dokazi da u anaboličkom putu metabolizma 5-FU blokira metilacionu reakciju dezoksiuridilične kiseline u timidiličnu kiselinu, na taj način utičući na sintezu dezoksiribonukleinske kiseline (DNK). Inkorporacija 5-FU dovodi i do inhibicije sinteze RNK i proteina. Budući da su DNK i RNK neophodne za ćelijsku diobu i rast, dejstvo 5-FU može da dovede do timidinske deficijencije koja izaziva neuravnoteženi rast i smrt ćelija. Dejstvo deprivacije DNK i RNK najizraženije je na onim ćelijama koje proliferišu brže i koje brže metabolizuju 5-FU.</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u w:val="single"/>
              </w:rPr>
            </w:pPr>
            <w:r w:rsidRPr="00B02AD6">
              <w:rPr>
                <w:sz w:val="22"/>
                <w:szCs w:val="22"/>
                <w:u w:val="single"/>
              </w:rPr>
              <w:t>Karcinom kolona i kolorektalni karcinom:</w:t>
            </w:r>
          </w:p>
          <w:p w:rsidR="0051655A" w:rsidRPr="00B02AD6" w:rsidRDefault="0051655A" w:rsidP="00A03C69">
            <w:pPr>
              <w:pStyle w:val="Header"/>
              <w:tabs>
                <w:tab w:val="left" w:pos="284"/>
              </w:tabs>
              <w:rPr>
                <w:color w:val="FF0000"/>
                <w:sz w:val="22"/>
                <w:szCs w:val="22"/>
                <w:u w:val="single"/>
              </w:rPr>
            </w:pPr>
          </w:p>
          <w:p w:rsidR="0051655A" w:rsidRPr="00B02AD6" w:rsidRDefault="0051655A" w:rsidP="00A03C69">
            <w:pPr>
              <w:pStyle w:val="Header"/>
              <w:tabs>
                <w:tab w:val="left" w:pos="284"/>
              </w:tabs>
              <w:rPr>
                <w:i/>
                <w:sz w:val="22"/>
                <w:szCs w:val="22"/>
                <w:u w:val="single"/>
              </w:rPr>
            </w:pPr>
            <w:r w:rsidRPr="00B02AD6">
              <w:rPr>
                <w:i/>
                <w:sz w:val="22"/>
                <w:szCs w:val="22"/>
                <w:u w:val="single"/>
              </w:rPr>
              <w:t>Monoterapija kapecitabinom u adjuvantnom liječenju karcinoma kolona</w:t>
            </w:r>
          </w:p>
          <w:p w:rsidR="0051655A" w:rsidRPr="00B02AD6" w:rsidRDefault="0051655A" w:rsidP="00A03C69">
            <w:pPr>
              <w:pStyle w:val="Header"/>
              <w:tabs>
                <w:tab w:val="left" w:pos="284"/>
              </w:tabs>
              <w:jc w:val="both"/>
              <w:rPr>
                <w:sz w:val="22"/>
                <w:szCs w:val="22"/>
              </w:rPr>
            </w:pPr>
            <w:r w:rsidRPr="00B02AD6">
              <w:rPr>
                <w:sz w:val="22"/>
                <w:szCs w:val="22"/>
              </w:rPr>
              <w:t>Podaci iz jedne multicentrične randomizovane, kontrolisane kliničke studije faze III kod pacijenata sa stadijumom III (Djuksov stadijum C) karcinoma kolona podržavaju upotrebu kapecitabina kao adjuvantne terapije za liječenje pacijenata sa karcinomom kolona (Studija XACT; M66001). U ovom ispitivanju, 1987 pacijenata je slučajnim odabirom podijeljeno u grupe, jednu koja je liječena kapecitabinom (1250 mg/m</w:t>
            </w:r>
            <w:r w:rsidRPr="00B02AD6">
              <w:rPr>
                <w:sz w:val="22"/>
                <w:szCs w:val="22"/>
                <w:vertAlign w:val="superscript"/>
              </w:rPr>
              <w:t>2</w:t>
            </w:r>
            <w:r w:rsidRPr="00B02AD6">
              <w:rPr>
                <w:sz w:val="22"/>
                <w:szCs w:val="22"/>
              </w:rPr>
              <w:t xml:space="preserve"> dva puta dnevno u trajanju od 2 nedjelje</w:t>
            </w:r>
            <w:r w:rsidR="001F4CEE" w:rsidRPr="00B02AD6">
              <w:rPr>
                <w:sz w:val="22"/>
                <w:szCs w:val="22"/>
              </w:rPr>
              <w:t>,</w:t>
            </w:r>
            <w:r w:rsidRPr="00B02AD6">
              <w:rPr>
                <w:sz w:val="22"/>
                <w:szCs w:val="22"/>
              </w:rPr>
              <w:t xml:space="preserve"> posl</w:t>
            </w:r>
            <w:r w:rsidR="001F4CEE" w:rsidRPr="00B02AD6">
              <w:rPr>
                <w:sz w:val="22"/>
                <w:szCs w:val="22"/>
              </w:rPr>
              <w:t>ij</w:t>
            </w:r>
            <w:r w:rsidRPr="00B02AD6">
              <w:rPr>
                <w:sz w:val="22"/>
                <w:szCs w:val="22"/>
              </w:rPr>
              <w:t xml:space="preserve">e čega slijedi nedjelju dana odmora, što se u vidu tromjesečnog ciklusa ponavlja tokom 24 nedjelje) ili drugu, koja je primala </w:t>
            </w:r>
            <w:r w:rsidRPr="00B02AD6">
              <w:rPr>
                <w:sz w:val="22"/>
                <w:szCs w:val="22"/>
              </w:rPr>
              <w:lastRenderedPageBreak/>
              <w:t>5-FU i leukovorin (režim klinike Mejo: 20 mg/m</w:t>
            </w:r>
            <w:r w:rsidRPr="00B02AD6">
              <w:rPr>
                <w:sz w:val="22"/>
                <w:szCs w:val="22"/>
                <w:vertAlign w:val="superscript"/>
              </w:rPr>
              <w:t>2</w:t>
            </w:r>
            <w:r w:rsidRPr="00B02AD6">
              <w:rPr>
                <w:sz w:val="22"/>
                <w:szCs w:val="22"/>
              </w:rPr>
              <w:t xml:space="preserve"> leukovorina i.v. praćeno 425 mg/m</w:t>
            </w:r>
            <w:r w:rsidRPr="00B02AD6">
              <w:rPr>
                <w:sz w:val="22"/>
                <w:szCs w:val="22"/>
                <w:vertAlign w:val="superscript"/>
              </w:rPr>
              <w:t>2</w:t>
            </w:r>
            <w:r w:rsidRPr="00B02AD6">
              <w:rPr>
                <w:sz w:val="22"/>
                <w:szCs w:val="22"/>
              </w:rPr>
              <w:t xml:space="preserve"> i.v bolus 5-FU, od prvog do petog dana, svakih 28 dana u trajanju od 24 nedjelje). Kapecitabin je bio najmanje jednako efikasan kao i.v 5-FU/LV u trajanju preživljavanja bez bolesti u populacijama u ovom protokolu (koeficijent rizika 0,92; 95%CI 0,80-1,06). U cijeloj randomizovanoj populaciji,</w:t>
            </w:r>
            <w:r w:rsidRPr="00B02AD6">
              <w:rPr>
                <w:color w:val="FF0000"/>
                <w:sz w:val="22"/>
                <w:szCs w:val="22"/>
              </w:rPr>
              <w:t xml:space="preserve"> </w:t>
            </w:r>
            <w:r w:rsidRPr="00B02AD6">
              <w:rPr>
                <w:sz w:val="22"/>
                <w:szCs w:val="22"/>
              </w:rPr>
              <w:t>testiranje za razliku između kapecitabina i 5-FU/LV  kada se radi o preživljavanju bez bolesti i ukupnom preživljavanju pokazalo je koeficijent rizika od 0,88 (95%CI 0,77 – 1,01; p=0,068) odnosno 0,86 (95%CI 0,77 –</w:t>
            </w:r>
            <w:r w:rsidRPr="00B02AD6">
              <w:rPr>
                <w:color w:val="FF0000"/>
                <w:sz w:val="22"/>
                <w:szCs w:val="22"/>
              </w:rPr>
              <w:t xml:space="preserve"> </w:t>
            </w:r>
            <w:r w:rsidRPr="00B02AD6">
              <w:rPr>
                <w:sz w:val="22"/>
                <w:szCs w:val="22"/>
              </w:rPr>
              <w:t>1,01; p=0,060), za ova dva parametra. Srednje trajanje praćenja u trenutku analize iznosilo je 6,9 godina. U prethodno planiranoj multivarijantnoj Koks analizi, pokazana je superiornost kapecitabina u poređenju sa bolusom 5-FU/LV. Za uključivanje u ovaj model</w:t>
            </w:r>
            <w:r w:rsidR="001C4601" w:rsidRPr="00B02AD6">
              <w:rPr>
                <w:sz w:val="22"/>
                <w:szCs w:val="22"/>
              </w:rPr>
              <w:t>,</w:t>
            </w:r>
            <w:r w:rsidRPr="00B02AD6">
              <w:rPr>
                <w:sz w:val="22"/>
                <w:szCs w:val="22"/>
              </w:rPr>
              <w:t xml:space="preserve"> sljedeći faktori su bili prethodno određeni za statističku analizu: godine starosti, vrijeme od operacije do randomizacije, pol, nivoi CEA (karcinoembrionalni antigen) prije početka terapije, status limfnih čvorova prije ispitivane terapije i zemlja porijekla. U ukupnoj randomiziranoj populaciji pokazano je da je kapecitabin superiorniji od 5-FU/LV kada se radi o preživljavanju bez bolesti  [Koeficijent rizika 0,849 (95%CI 0,739 – 0,976; p=0,0212)], kao i za ukupno preživljavanje [Koeficijent rizika 0,828 (95%CI 0,705 – 0,971; p=0,0203)]. </w:t>
            </w:r>
          </w:p>
          <w:p w:rsidR="0051655A" w:rsidRPr="00B02AD6" w:rsidRDefault="0051655A" w:rsidP="00A03C69">
            <w:pPr>
              <w:pStyle w:val="Header"/>
              <w:tabs>
                <w:tab w:val="left" w:pos="284"/>
              </w:tabs>
              <w:rPr>
                <w:i/>
                <w:color w:val="FF0000"/>
                <w:sz w:val="22"/>
                <w:szCs w:val="22"/>
                <w:u w:val="single"/>
              </w:rPr>
            </w:pPr>
          </w:p>
          <w:p w:rsidR="0051655A" w:rsidRPr="00B02AD6" w:rsidRDefault="0051655A" w:rsidP="00A03C69">
            <w:pPr>
              <w:pStyle w:val="Header"/>
              <w:tabs>
                <w:tab w:val="left" w:pos="284"/>
              </w:tabs>
              <w:rPr>
                <w:i/>
                <w:sz w:val="22"/>
                <w:szCs w:val="22"/>
                <w:u w:val="single"/>
              </w:rPr>
            </w:pPr>
            <w:r w:rsidRPr="00B02AD6">
              <w:rPr>
                <w:i/>
                <w:sz w:val="22"/>
                <w:szCs w:val="22"/>
                <w:u w:val="single"/>
              </w:rPr>
              <w:t>Kombinovana terapija u adjuvantnom liječenju karcinoma kolona</w:t>
            </w:r>
          </w:p>
          <w:p w:rsidR="0051655A" w:rsidRPr="00B02AD6" w:rsidRDefault="0051655A" w:rsidP="00A03C69">
            <w:pPr>
              <w:pStyle w:val="Header"/>
              <w:tabs>
                <w:tab w:val="left" w:pos="284"/>
              </w:tabs>
              <w:jc w:val="both"/>
              <w:rPr>
                <w:sz w:val="22"/>
                <w:szCs w:val="22"/>
              </w:rPr>
            </w:pPr>
            <w:r w:rsidRPr="00B02AD6">
              <w:rPr>
                <w:sz w:val="22"/>
                <w:szCs w:val="22"/>
              </w:rPr>
              <w:t>Podaci iz jedne multicentrične, randomizovane, kontrolisane studije faze 3 kod pacijenata sa stadijumom III (Djuksov stadijum C) karcinoma kolona podržavaju upotrebu kapecitabina u kombinaciji sa oksaliplatinom (XELOX) kao adjuvantne terapije za liječenje pacijenata sa karcinomom kolona (studija NO16968).</w:t>
            </w:r>
            <w:r w:rsidRPr="00B02AD6">
              <w:rPr>
                <w:color w:val="FF0000"/>
                <w:sz w:val="22"/>
                <w:szCs w:val="22"/>
              </w:rPr>
              <w:t xml:space="preserve"> </w:t>
            </w:r>
            <w:r w:rsidRPr="00B02AD6">
              <w:rPr>
                <w:sz w:val="22"/>
                <w:szCs w:val="22"/>
              </w:rPr>
              <w:t>U tom ispitivanju</w:t>
            </w:r>
            <w:r w:rsidR="0065078D" w:rsidRPr="00B02AD6">
              <w:rPr>
                <w:sz w:val="22"/>
                <w:szCs w:val="22"/>
              </w:rPr>
              <w:t>,</w:t>
            </w:r>
            <w:r w:rsidRPr="00B02AD6">
              <w:rPr>
                <w:sz w:val="22"/>
                <w:szCs w:val="22"/>
              </w:rPr>
              <w:t xml:space="preserve"> 944 pacijenta je randomizovano za liječenje 3-nedjeljnim ciklusima tokom 24 nedjelje  kapecitabinom (1000 mg/m</w:t>
            </w:r>
            <w:r w:rsidRPr="00B02AD6">
              <w:rPr>
                <w:sz w:val="22"/>
                <w:szCs w:val="22"/>
                <w:vertAlign w:val="superscript"/>
              </w:rPr>
              <w:t>2</w:t>
            </w:r>
            <w:r w:rsidRPr="00B02AD6">
              <w:rPr>
                <w:sz w:val="22"/>
                <w:szCs w:val="22"/>
              </w:rPr>
              <w:t xml:space="preserve"> dva puta dnevno tokom dvije nedjelje, nakon čega slijedi nedjelja dana odmora) u kombinaciji sa oksaliplatinom (130 mg/m</w:t>
            </w:r>
            <w:r w:rsidRPr="00B02AD6">
              <w:rPr>
                <w:sz w:val="22"/>
                <w:szCs w:val="22"/>
                <w:vertAlign w:val="superscript"/>
              </w:rPr>
              <w:t xml:space="preserve">2  </w:t>
            </w:r>
            <w:r w:rsidRPr="00B02AD6">
              <w:rPr>
                <w:sz w:val="22"/>
                <w:szCs w:val="22"/>
              </w:rPr>
              <w:t>dva sata prvog dana, svake 3 nedjelje); 942 pacijenta je</w:t>
            </w:r>
            <w:r w:rsidRPr="00B02AD6">
              <w:rPr>
                <w:color w:val="FF0000"/>
                <w:sz w:val="22"/>
                <w:szCs w:val="22"/>
              </w:rPr>
              <w:t xml:space="preserve"> </w:t>
            </w:r>
            <w:r w:rsidRPr="00B02AD6">
              <w:rPr>
                <w:sz w:val="22"/>
                <w:szCs w:val="22"/>
              </w:rPr>
              <w:t>randomizovano za liječenje bolusom 5-FU i leukovorin</w:t>
            </w:r>
            <w:r w:rsidR="006053F5" w:rsidRPr="00B02AD6">
              <w:rPr>
                <w:sz w:val="22"/>
                <w:szCs w:val="22"/>
              </w:rPr>
              <w:t>om</w:t>
            </w:r>
            <w:r w:rsidRPr="00B02AD6">
              <w:rPr>
                <w:sz w:val="22"/>
                <w:szCs w:val="22"/>
              </w:rPr>
              <w:t>. Primarnom analizom, preživljavanje bez znakova bolesti u populaciji  pacijenata predviđenih za liječenje XELOX-om se pokazalo značajno superiornijim u</w:t>
            </w:r>
            <w:r w:rsidRPr="00B02AD6">
              <w:rPr>
                <w:color w:val="FF0000"/>
                <w:sz w:val="22"/>
                <w:szCs w:val="22"/>
              </w:rPr>
              <w:t xml:space="preserve"> </w:t>
            </w:r>
            <w:r w:rsidRPr="00B02AD6">
              <w:rPr>
                <w:sz w:val="22"/>
                <w:szCs w:val="22"/>
              </w:rPr>
              <w:t>odnosu na 5-FU/LV (koeficijent rizika 0</w:t>
            </w:r>
            <w:r w:rsidR="0065078D" w:rsidRPr="00B02AD6">
              <w:rPr>
                <w:sz w:val="22"/>
                <w:szCs w:val="22"/>
              </w:rPr>
              <w:t>,</w:t>
            </w:r>
            <w:r w:rsidRPr="00B02AD6">
              <w:rPr>
                <w:sz w:val="22"/>
                <w:szCs w:val="22"/>
              </w:rPr>
              <w:t>80, 95% CI=[0</w:t>
            </w:r>
            <w:r w:rsidR="0065078D" w:rsidRPr="00B02AD6">
              <w:rPr>
                <w:sz w:val="22"/>
                <w:szCs w:val="22"/>
              </w:rPr>
              <w:t>,</w:t>
            </w:r>
            <w:r w:rsidRPr="00B02AD6">
              <w:rPr>
                <w:sz w:val="22"/>
                <w:szCs w:val="22"/>
              </w:rPr>
              <w:t>69; 0</w:t>
            </w:r>
            <w:r w:rsidR="0065078D" w:rsidRPr="00B02AD6">
              <w:rPr>
                <w:sz w:val="22"/>
                <w:szCs w:val="22"/>
              </w:rPr>
              <w:t>,</w:t>
            </w:r>
            <w:r w:rsidRPr="00B02AD6">
              <w:rPr>
                <w:sz w:val="22"/>
                <w:szCs w:val="22"/>
              </w:rPr>
              <w:t>93]; p=0</w:t>
            </w:r>
            <w:r w:rsidR="0065078D" w:rsidRPr="00B02AD6">
              <w:rPr>
                <w:sz w:val="22"/>
                <w:szCs w:val="22"/>
              </w:rPr>
              <w:t>,</w:t>
            </w:r>
            <w:r w:rsidRPr="00B02AD6">
              <w:rPr>
                <w:sz w:val="22"/>
                <w:szCs w:val="22"/>
              </w:rPr>
              <w:t>0045). Trogodišnja stopa preživljavanja bez znakova bolesti bila je 71% za XELOX nasuprot 67% za 5-FU/LV. Analiza sekundarnog cilja, preživljavanje bez znakova relapsa, podržava ove rezultate sa koeficijentom rizika 0</w:t>
            </w:r>
            <w:r w:rsidR="0065078D" w:rsidRPr="00B02AD6">
              <w:rPr>
                <w:sz w:val="22"/>
                <w:szCs w:val="22"/>
              </w:rPr>
              <w:t>,</w:t>
            </w:r>
            <w:r w:rsidRPr="00B02AD6">
              <w:rPr>
                <w:sz w:val="22"/>
                <w:szCs w:val="22"/>
              </w:rPr>
              <w:t>78 ( 95% CI=[0</w:t>
            </w:r>
            <w:r w:rsidR="0065078D" w:rsidRPr="00B02AD6">
              <w:rPr>
                <w:sz w:val="22"/>
                <w:szCs w:val="22"/>
              </w:rPr>
              <w:t>,</w:t>
            </w:r>
            <w:r w:rsidRPr="00B02AD6">
              <w:rPr>
                <w:sz w:val="22"/>
                <w:szCs w:val="22"/>
              </w:rPr>
              <w:t>67; 0</w:t>
            </w:r>
            <w:r w:rsidR="0065078D" w:rsidRPr="00B02AD6">
              <w:rPr>
                <w:sz w:val="22"/>
                <w:szCs w:val="22"/>
              </w:rPr>
              <w:t>,</w:t>
            </w:r>
            <w:r w:rsidRPr="00B02AD6">
              <w:rPr>
                <w:sz w:val="22"/>
                <w:szCs w:val="22"/>
              </w:rPr>
              <w:t>92]; p=0</w:t>
            </w:r>
            <w:r w:rsidR="0065078D" w:rsidRPr="00B02AD6">
              <w:rPr>
                <w:sz w:val="22"/>
                <w:szCs w:val="22"/>
              </w:rPr>
              <w:t>,</w:t>
            </w:r>
            <w:r w:rsidRPr="00B02AD6">
              <w:rPr>
                <w:sz w:val="22"/>
                <w:szCs w:val="22"/>
              </w:rPr>
              <w:t>0024) za XELOX u odnosu na 5-FU/LV. XELOX je pokazao superiornost u ukupnom preživljavanju uz koeficijent rizika  od 0</w:t>
            </w:r>
            <w:r w:rsidR="0065078D" w:rsidRPr="00B02AD6">
              <w:rPr>
                <w:sz w:val="22"/>
                <w:szCs w:val="22"/>
              </w:rPr>
              <w:t>,</w:t>
            </w:r>
            <w:r w:rsidRPr="00B02AD6">
              <w:rPr>
                <w:sz w:val="22"/>
                <w:szCs w:val="22"/>
              </w:rPr>
              <w:t>87 ( 95% CI=[0</w:t>
            </w:r>
            <w:r w:rsidR="0065078D" w:rsidRPr="00B02AD6">
              <w:rPr>
                <w:sz w:val="22"/>
                <w:szCs w:val="22"/>
              </w:rPr>
              <w:t>,</w:t>
            </w:r>
            <w:r w:rsidRPr="00B02AD6">
              <w:rPr>
                <w:sz w:val="22"/>
                <w:szCs w:val="22"/>
              </w:rPr>
              <w:t>72; 1</w:t>
            </w:r>
            <w:r w:rsidR="0065078D" w:rsidRPr="00B02AD6">
              <w:rPr>
                <w:sz w:val="22"/>
                <w:szCs w:val="22"/>
              </w:rPr>
              <w:t>,</w:t>
            </w:r>
            <w:r w:rsidRPr="00B02AD6">
              <w:rPr>
                <w:sz w:val="22"/>
                <w:szCs w:val="22"/>
              </w:rPr>
              <w:t>05]; p=0</w:t>
            </w:r>
            <w:r w:rsidR="0065078D" w:rsidRPr="00B02AD6">
              <w:rPr>
                <w:sz w:val="22"/>
                <w:szCs w:val="22"/>
              </w:rPr>
              <w:t>,</w:t>
            </w:r>
            <w:r w:rsidRPr="00B02AD6">
              <w:rPr>
                <w:sz w:val="22"/>
                <w:szCs w:val="22"/>
              </w:rPr>
              <w:t>1486), što znači 13% smanjenje rizika od smrti. Petogodišnja stopa ukupnog preživljavanja bila je 78% za XELOX nasuprot 74 % za 5-FU/LV. Podaci o efikasnosti baziraju se na medijani vremena praćenja od 59 mjeseci za ukupno preživljavanje  i 57 mjeseci za preživljavanje bez znakova bolesti. Stopa prekida usl</w:t>
            </w:r>
            <w:r w:rsidR="0065078D" w:rsidRPr="00B02AD6">
              <w:rPr>
                <w:sz w:val="22"/>
                <w:szCs w:val="22"/>
              </w:rPr>
              <w:t>j</w:t>
            </w:r>
            <w:r w:rsidRPr="00B02AD6">
              <w:rPr>
                <w:sz w:val="22"/>
                <w:szCs w:val="22"/>
              </w:rPr>
              <w:t>ed pojave neželjenih događaja je bila veća u grupi koja je primala XELOX protokol (21%) u poređenju sa grupom koja je primala 5-FU/LV monoterapiju (9%) u populaciji pacijenata predviđenih za liječenje.</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
                <w:sz w:val="22"/>
                <w:szCs w:val="22"/>
                <w:u w:val="single"/>
              </w:rPr>
            </w:pPr>
            <w:r w:rsidRPr="00B02AD6">
              <w:rPr>
                <w:i/>
                <w:sz w:val="22"/>
                <w:szCs w:val="22"/>
                <w:u w:val="single"/>
              </w:rPr>
              <w:t>Monoterapija kapecitabinom u liječenju metastatskog kolorektalnog karcinoma</w:t>
            </w:r>
          </w:p>
          <w:p w:rsidR="0051655A" w:rsidRPr="00B02AD6" w:rsidRDefault="0051655A" w:rsidP="00A03C69">
            <w:pPr>
              <w:pStyle w:val="Header"/>
              <w:tabs>
                <w:tab w:val="left" w:pos="284"/>
              </w:tabs>
              <w:jc w:val="both"/>
              <w:rPr>
                <w:color w:val="FF0000"/>
                <w:sz w:val="22"/>
                <w:szCs w:val="22"/>
              </w:rPr>
            </w:pPr>
            <w:r w:rsidRPr="00B02AD6">
              <w:rPr>
                <w:sz w:val="22"/>
                <w:szCs w:val="22"/>
              </w:rPr>
              <w:t>Podaci iz dvije identično dizajnirane, multicentrične, randomizovane kliničke studije treće faze  (SO14695; SO14796) podržavaju upotrebu kapecitabina</w:t>
            </w:r>
            <w:r w:rsidRPr="00B02AD6">
              <w:rPr>
                <w:color w:val="FF0000"/>
                <w:sz w:val="22"/>
                <w:szCs w:val="22"/>
              </w:rPr>
              <w:t xml:space="preserve"> </w:t>
            </w:r>
            <w:r w:rsidRPr="00B02AD6">
              <w:rPr>
                <w:sz w:val="22"/>
                <w:szCs w:val="22"/>
              </w:rPr>
              <w:t>kao prve linije terapije za metastatski kolorektalni karcinom. U ovim ispitivanjima, 603 pacijenta su nasumično dodijeljena u grupu da primaju terapiju lijekom kapecitabin (1250 mg/m</w:t>
            </w:r>
            <w:r w:rsidRPr="00B02AD6">
              <w:rPr>
                <w:sz w:val="22"/>
                <w:szCs w:val="22"/>
                <w:vertAlign w:val="superscript"/>
              </w:rPr>
              <w:t>2</w:t>
            </w:r>
            <w:r w:rsidRPr="00B02AD6">
              <w:rPr>
                <w:sz w:val="22"/>
                <w:szCs w:val="22"/>
              </w:rPr>
              <w:t xml:space="preserve"> dva puta dnevno tokom 2 nedjelje</w:t>
            </w:r>
            <w:r w:rsidR="0065078D" w:rsidRPr="00B02AD6">
              <w:rPr>
                <w:sz w:val="22"/>
                <w:szCs w:val="22"/>
              </w:rPr>
              <w:t>,</w:t>
            </w:r>
            <w:r w:rsidRPr="00B02AD6">
              <w:rPr>
                <w:sz w:val="22"/>
                <w:szCs w:val="22"/>
              </w:rPr>
              <w:t xml:space="preserve"> poslije čega slijedi jednonedjeljni period odmora sa ukupno tri ovakva ciklusa),</w:t>
            </w:r>
            <w:r w:rsidRPr="00B02AD6">
              <w:rPr>
                <w:color w:val="FF0000"/>
                <w:sz w:val="22"/>
                <w:szCs w:val="22"/>
              </w:rPr>
              <w:t xml:space="preserve"> </w:t>
            </w:r>
            <w:r w:rsidRPr="00B02AD6">
              <w:rPr>
                <w:sz w:val="22"/>
                <w:szCs w:val="22"/>
              </w:rPr>
              <w:t>a  604 pacijenta 5-FU i leukovorin</w:t>
            </w:r>
            <w:r w:rsidRPr="00B02AD6">
              <w:rPr>
                <w:color w:val="FF0000"/>
                <w:sz w:val="22"/>
                <w:szCs w:val="22"/>
              </w:rPr>
              <w:t xml:space="preserve"> </w:t>
            </w:r>
            <w:r w:rsidRPr="00B02AD6">
              <w:rPr>
                <w:sz w:val="22"/>
                <w:szCs w:val="22"/>
              </w:rPr>
              <w:t>(režim klinike Mejo: 20 mg/m</w:t>
            </w:r>
            <w:r w:rsidRPr="00B02AD6">
              <w:rPr>
                <w:sz w:val="22"/>
                <w:szCs w:val="22"/>
                <w:vertAlign w:val="superscript"/>
              </w:rPr>
              <w:t>2</w:t>
            </w:r>
            <w:r w:rsidRPr="00B02AD6">
              <w:rPr>
                <w:sz w:val="22"/>
                <w:szCs w:val="22"/>
              </w:rPr>
              <w:t xml:space="preserve"> leukovorina IV praćeno 425 mg/m</w:t>
            </w:r>
            <w:r w:rsidRPr="00B02AD6">
              <w:rPr>
                <w:sz w:val="22"/>
                <w:szCs w:val="22"/>
                <w:vertAlign w:val="superscript"/>
              </w:rPr>
              <w:t>2</w:t>
            </w:r>
            <w:r w:rsidRPr="00B02AD6">
              <w:rPr>
                <w:sz w:val="22"/>
                <w:szCs w:val="22"/>
              </w:rPr>
              <w:t xml:space="preserve"> IV bolus 5-FU, od prvog do petog dana, svakih 28 dana). </w:t>
            </w:r>
            <w:r w:rsidR="006053F5" w:rsidRPr="00B02AD6">
              <w:rPr>
                <w:sz w:val="22"/>
                <w:szCs w:val="22"/>
              </w:rPr>
              <w:t xml:space="preserve">Krajnje terapijske stope </w:t>
            </w:r>
            <w:r w:rsidRPr="00B02AD6">
              <w:rPr>
                <w:sz w:val="22"/>
                <w:szCs w:val="22"/>
              </w:rPr>
              <w:t xml:space="preserve">odgovora u cjelokupnoj randomizovanoj populaciji (procjena istraživača) iznosile su 25,7% (kapecitabin) prema 16,7% (režim klinike Mejo); p&lt;0,0002. Srednje vrijeme do progresije bolesti iznosilo je 140 dana (kapecitabin) prema 144 dana (režim klinike </w:t>
            </w:r>
            <w:r w:rsidRPr="00B02AD6">
              <w:rPr>
                <w:sz w:val="22"/>
                <w:szCs w:val="22"/>
              </w:rPr>
              <w:lastRenderedPageBreak/>
              <w:t>Mejo). Srednje vrijeme preživljavanja iznosilo je 392 dana (kapecitabin) prema 391 dan (režim klinike Mejo). Za sada nema uporednih podataka o monoterapiji kapecitabinom kod kolorektalnog karcinoma u poređenju sa kombinovanim režimom prve linije terapije.</w:t>
            </w:r>
            <w:r w:rsidRPr="00B02AD6">
              <w:rPr>
                <w:color w:val="FF0000"/>
                <w:sz w:val="22"/>
                <w:szCs w:val="22"/>
              </w:rPr>
              <w:t xml:space="preserve"> </w:t>
            </w:r>
          </w:p>
          <w:p w:rsidR="0051655A" w:rsidRPr="00B02AD6" w:rsidRDefault="0051655A" w:rsidP="00A03C69">
            <w:pPr>
              <w:pStyle w:val="Header"/>
              <w:tabs>
                <w:tab w:val="left" w:pos="284"/>
              </w:tabs>
              <w:rPr>
                <w:i/>
                <w:color w:val="FF0000"/>
                <w:sz w:val="22"/>
                <w:szCs w:val="22"/>
                <w:u w:val="single"/>
              </w:rPr>
            </w:pPr>
          </w:p>
          <w:p w:rsidR="0051655A" w:rsidRPr="00B02AD6" w:rsidRDefault="0051655A" w:rsidP="00A03C69">
            <w:pPr>
              <w:pStyle w:val="Header"/>
              <w:tabs>
                <w:tab w:val="left" w:pos="284"/>
              </w:tabs>
              <w:rPr>
                <w:i/>
                <w:sz w:val="22"/>
                <w:szCs w:val="22"/>
                <w:u w:val="single"/>
              </w:rPr>
            </w:pPr>
            <w:r w:rsidRPr="00B02AD6">
              <w:rPr>
                <w:i/>
                <w:sz w:val="22"/>
                <w:szCs w:val="22"/>
                <w:u w:val="single"/>
              </w:rPr>
              <w:t>Kombinovana terapija u prvoj liniji terapije metastatskog kolorektalnog karcinoma</w:t>
            </w:r>
          </w:p>
          <w:p w:rsidR="0051655A" w:rsidRPr="00B02AD6" w:rsidRDefault="0051655A" w:rsidP="00A03C69">
            <w:pPr>
              <w:pStyle w:val="Header"/>
              <w:tabs>
                <w:tab w:val="left" w:pos="284"/>
              </w:tabs>
              <w:jc w:val="both"/>
              <w:rPr>
                <w:i/>
                <w:sz w:val="22"/>
                <w:szCs w:val="22"/>
                <w:u w:val="single"/>
              </w:rPr>
            </w:pPr>
            <w:r w:rsidRPr="00B02AD6">
              <w:rPr>
                <w:sz w:val="22"/>
                <w:szCs w:val="22"/>
              </w:rPr>
              <w:t xml:space="preserve">Podaci iz jedne multicentrične, randomizovane, kontrolisane kliničke studije faze III (NO16966) podržavaju upotrebu kapecitabina u kombinaciji sa oksaliplatinom ili u kombinaciji sa oksaliplatinom i bevacizumabom za prvu liniju terapije metastatskog kolorektalnog karcinoma. Ova studija je imala dva dijela: prvi dio </w:t>
            </w:r>
            <w:r w:rsidR="006053F5" w:rsidRPr="00B02AD6">
              <w:rPr>
                <w:sz w:val="22"/>
                <w:szCs w:val="22"/>
              </w:rPr>
              <w:t xml:space="preserve">sa </w:t>
            </w:r>
            <w:r w:rsidRPr="00B02AD6">
              <w:rPr>
                <w:sz w:val="22"/>
                <w:szCs w:val="22"/>
              </w:rPr>
              <w:t>dvije grupe</w:t>
            </w:r>
            <w:r w:rsidR="006053F5" w:rsidRPr="00B02AD6">
              <w:rPr>
                <w:sz w:val="22"/>
                <w:szCs w:val="22"/>
              </w:rPr>
              <w:t>,</w:t>
            </w:r>
            <w:r w:rsidRPr="00B02AD6">
              <w:rPr>
                <w:sz w:val="22"/>
                <w:szCs w:val="22"/>
              </w:rPr>
              <w:t xml:space="preserve"> u kome je 634 pacijenata randomizovano u dvije različite terapijske grupe, uključujući  XELOX ili  FOLFOX-4, i potom faktorski dio 2x2 u kome je 1401 pacijenata </w:t>
            </w:r>
            <w:r w:rsidR="006053F5" w:rsidRPr="00B02AD6">
              <w:rPr>
                <w:sz w:val="22"/>
                <w:szCs w:val="22"/>
              </w:rPr>
              <w:t xml:space="preserve">randomizovano </w:t>
            </w:r>
            <w:r w:rsidRPr="00B02AD6">
              <w:rPr>
                <w:sz w:val="22"/>
                <w:szCs w:val="22"/>
              </w:rPr>
              <w:t>u četiri različite terapijske grupe, uključujući XELOX plus placebo, FOLFOX-4 plus placebo, XELOX plus bevacizumab, i FOLFOX-4 plus bevacizumab. Na Tabeli 6. su prikazani ovi terapijski režimi.</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rPr>
            </w:pPr>
            <w:r w:rsidRPr="00B02AD6">
              <w:rPr>
                <w:sz w:val="22"/>
                <w:szCs w:val="22"/>
              </w:rPr>
              <w:t>Tabela 6. Terapijski režimi u kliničkom ispitivanju NO 16966 (mCRC)</w:t>
            </w:r>
          </w:p>
          <w:p w:rsidR="0051655A" w:rsidRPr="00B02AD6" w:rsidRDefault="0051655A" w:rsidP="00A03C69">
            <w:pPr>
              <w:pStyle w:val="Header"/>
              <w:tabs>
                <w:tab w:val="left" w:pos="284"/>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450"/>
              <w:gridCol w:w="1985"/>
              <w:gridCol w:w="3996"/>
            </w:tblGrid>
            <w:tr w:rsidR="0051655A" w:rsidRPr="00B02AD6" w:rsidTr="00985E90">
              <w:tc>
                <w:tcPr>
                  <w:tcW w:w="799" w:type="pct"/>
                  <w:vAlign w:val="bottom"/>
                </w:tcPr>
                <w:p w:rsidR="0051655A" w:rsidRPr="00B02AD6" w:rsidRDefault="0051655A" w:rsidP="00A03C69">
                  <w:pPr>
                    <w:pStyle w:val="Header"/>
                    <w:tabs>
                      <w:tab w:val="left" w:pos="284"/>
                    </w:tabs>
                    <w:rPr>
                      <w:b/>
                      <w:color w:val="FF0000"/>
                      <w:sz w:val="22"/>
                      <w:szCs w:val="22"/>
                    </w:rPr>
                  </w:pPr>
                </w:p>
              </w:tc>
              <w:tc>
                <w:tcPr>
                  <w:tcW w:w="820" w:type="pct"/>
                  <w:vAlign w:val="bottom"/>
                </w:tcPr>
                <w:p w:rsidR="0051655A" w:rsidRPr="00B02AD6" w:rsidRDefault="0051655A" w:rsidP="00A03C69">
                  <w:pPr>
                    <w:pStyle w:val="Header"/>
                    <w:tabs>
                      <w:tab w:val="left" w:pos="284"/>
                    </w:tabs>
                    <w:rPr>
                      <w:b/>
                      <w:sz w:val="22"/>
                      <w:szCs w:val="22"/>
                    </w:rPr>
                  </w:pPr>
                  <w:r w:rsidRPr="00B02AD6">
                    <w:rPr>
                      <w:b/>
                      <w:sz w:val="22"/>
                      <w:szCs w:val="22"/>
                    </w:rPr>
                    <w:t>Terapija</w:t>
                  </w:r>
                </w:p>
              </w:tc>
              <w:tc>
                <w:tcPr>
                  <w:tcW w:w="1122" w:type="pct"/>
                  <w:vAlign w:val="bottom"/>
                </w:tcPr>
                <w:p w:rsidR="0051655A" w:rsidRPr="00B02AD6" w:rsidRDefault="0051655A" w:rsidP="00A03C69">
                  <w:pPr>
                    <w:pStyle w:val="Header"/>
                    <w:tabs>
                      <w:tab w:val="left" w:pos="284"/>
                    </w:tabs>
                    <w:rPr>
                      <w:b/>
                      <w:sz w:val="22"/>
                      <w:szCs w:val="22"/>
                    </w:rPr>
                  </w:pPr>
                  <w:r w:rsidRPr="00B02AD6">
                    <w:rPr>
                      <w:b/>
                      <w:sz w:val="22"/>
                      <w:szCs w:val="22"/>
                    </w:rPr>
                    <w:t>Početna doza</w:t>
                  </w:r>
                </w:p>
              </w:tc>
              <w:tc>
                <w:tcPr>
                  <w:tcW w:w="2259" w:type="pct"/>
                  <w:vAlign w:val="bottom"/>
                </w:tcPr>
                <w:p w:rsidR="0051655A" w:rsidRPr="00B02AD6" w:rsidRDefault="0051655A" w:rsidP="00A03C69">
                  <w:pPr>
                    <w:pStyle w:val="Header"/>
                    <w:tabs>
                      <w:tab w:val="left" w:pos="284"/>
                    </w:tabs>
                    <w:rPr>
                      <w:b/>
                      <w:sz w:val="22"/>
                      <w:szCs w:val="22"/>
                    </w:rPr>
                  </w:pPr>
                  <w:r w:rsidRPr="00B02AD6">
                    <w:rPr>
                      <w:b/>
                      <w:sz w:val="22"/>
                      <w:szCs w:val="22"/>
                    </w:rPr>
                    <w:t>Režim</w:t>
                  </w:r>
                </w:p>
              </w:tc>
            </w:tr>
            <w:tr w:rsidR="0051655A" w:rsidRPr="00B02AD6" w:rsidTr="00985E90">
              <w:trPr>
                <w:cantSplit/>
                <w:trHeight w:val="1791"/>
              </w:trPr>
              <w:tc>
                <w:tcPr>
                  <w:tcW w:w="799" w:type="pct"/>
                  <w:vMerge w:val="restart"/>
                </w:tcPr>
                <w:p w:rsidR="0051655A" w:rsidRPr="00B02AD6" w:rsidRDefault="0051655A" w:rsidP="00A03C69">
                  <w:pPr>
                    <w:pStyle w:val="Header"/>
                    <w:tabs>
                      <w:tab w:val="left" w:pos="284"/>
                    </w:tabs>
                    <w:rPr>
                      <w:sz w:val="22"/>
                      <w:szCs w:val="22"/>
                    </w:rPr>
                  </w:pPr>
                  <w:r w:rsidRPr="00B02AD6">
                    <w:rPr>
                      <w:sz w:val="22"/>
                      <w:szCs w:val="22"/>
                    </w:rPr>
                    <w:t xml:space="preserve">FOLFOX-4 </w:t>
                  </w:r>
                </w:p>
                <w:p w:rsidR="0051655A" w:rsidRPr="00B02AD6" w:rsidRDefault="0051655A" w:rsidP="00A03C69">
                  <w:pPr>
                    <w:pStyle w:val="Header"/>
                    <w:tabs>
                      <w:tab w:val="left" w:pos="284"/>
                    </w:tabs>
                    <w:rPr>
                      <w:sz w:val="22"/>
                      <w:szCs w:val="22"/>
                    </w:rPr>
                  </w:pPr>
                  <w:r w:rsidRPr="00B02AD6">
                    <w:rPr>
                      <w:sz w:val="22"/>
                      <w:szCs w:val="22"/>
                    </w:rPr>
                    <w:t xml:space="preserve">ili </w:t>
                  </w:r>
                </w:p>
                <w:p w:rsidR="0051655A" w:rsidRPr="00B02AD6" w:rsidRDefault="0051655A" w:rsidP="00A03C69">
                  <w:pPr>
                    <w:pStyle w:val="Header"/>
                    <w:tabs>
                      <w:tab w:val="left" w:pos="284"/>
                    </w:tabs>
                    <w:rPr>
                      <w:color w:val="FF0000"/>
                      <w:sz w:val="22"/>
                      <w:szCs w:val="22"/>
                    </w:rPr>
                  </w:pPr>
                  <w:r w:rsidRPr="00B02AD6">
                    <w:rPr>
                      <w:sz w:val="22"/>
                      <w:szCs w:val="22"/>
                    </w:rPr>
                    <w:t>FOLFOX-4  Bevacizumab</w:t>
                  </w:r>
                </w:p>
              </w:tc>
              <w:tc>
                <w:tcPr>
                  <w:tcW w:w="820" w:type="pct"/>
                </w:tcPr>
                <w:p w:rsidR="0051655A" w:rsidRPr="00B02AD6" w:rsidRDefault="0051655A" w:rsidP="00A03C69">
                  <w:pPr>
                    <w:pStyle w:val="Header"/>
                    <w:tabs>
                      <w:tab w:val="left" w:pos="284"/>
                    </w:tabs>
                    <w:rPr>
                      <w:sz w:val="22"/>
                      <w:szCs w:val="22"/>
                    </w:rPr>
                  </w:pPr>
                  <w:r w:rsidRPr="00B02AD6">
                    <w:rPr>
                      <w:sz w:val="22"/>
                      <w:szCs w:val="22"/>
                    </w:rPr>
                    <w:t>oksaliplatin</w:t>
                  </w:r>
                </w:p>
                <w:p w:rsidR="0051655A" w:rsidRPr="00B02AD6" w:rsidRDefault="0051655A" w:rsidP="00A03C69">
                  <w:pPr>
                    <w:pStyle w:val="Header"/>
                    <w:tabs>
                      <w:tab w:val="left" w:pos="284"/>
                    </w:tabs>
                    <w:rPr>
                      <w:sz w:val="22"/>
                      <w:szCs w:val="22"/>
                    </w:rPr>
                  </w:pPr>
                </w:p>
                <w:p w:rsidR="00985E90" w:rsidRPr="00B02AD6" w:rsidRDefault="00985E90"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leukovorin</w:t>
                  </w:r>
                </w:p>
                <w:p w:rsidR="0051655A" w:rsidRPr="00B02AD6" w:rsidRDefault="0051655A" w:rsidP="00A03C69">
                  <w:pPr>
                    <w:pStyle w:val="Header"/>
                    <w:tabs>
                      <w:tab w:val="left" w:pos="284"/>
                    </w:tabs>
                    <w:rPr>
                      <w:sz w:val="22"/>
                      <w:szCs w:val="22"/>
                    </w:rPr>
                  </w:pPr>
                </w:p>
                <w:p w:rsidR="00985E90" w:rsidRPr="00B02AD6" w:rsidRDefault="00985E90"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5-fluorouracil</w:t>
                  </w:r>
                </w:p>
              </w:tc>
              <w:tc>
                <w:tcPr>
                  <w:tcW w:w="1122" w:type="pct"/>
                </w:tcPr>
                <w:p w:rsidR="0051655A" w:rsidRPr="00B02AD6" w:rsidRDefault="0051655A" w:rsidP="00A03C69">
                  <w:pPr>
                    <w:pStyle w:val="Header"/>
                    <w:tabs>
                      <w:tab w:val="left" w:pos="284"/>
                    </w:tabs>
                    <w:rPr>
                      <w:sz w:val="22"/>
                      <w:szCs w:val="22"/>
                    </w:rPr>
                  </w:pPr>
                  <w:r w:rsidRPr="00B02AD6">
                    <w:rPr>
                      <w:sz w:val="22"/>
                      <w:szCs w:val="22"/>
                    </w:rPr>
                    <w:t>85 mg/m</w:t>
                  </w:r>
                  <w:r w:rsidRPr="00B02AD6">
                    <w:rPr>
                      <w:sz w:val="22"/>
                      <w:szCs w:val="22"/>
                      <w:vertAlign w:val="superscript"/>
                    </w:rPr>
                    <w:t>2</w:t>
                  </w:r>
                  <w:r w:rsidRPr="00B02AD6">
                    <w:rPr>
                      <w:sz w:val="22"/>
                      <w:szCs w:val="22"/>
                    </w:rPr>
                    <w:t xml:space="preserve"> i.v. 2 sata</w:t>
                  </w:r>
                </w:p>
                <w:p w:rsidR="0051655A" w:rsidRPr="00B02AD6" w:rsidRDefault="0051655A" w:rsidP="00A03C69">
                  <w:pPr>
                    <w:pStyle w:val="Header"/>
                    <w:tabs>
                      <w:tab w:val="left" w:pos="284"/>
                    </w:tabs>
                    <w:rPr>
                      <w:sz w:val="22"/>
                      <w:szCs w:val="22"/>
                    </w:rPr>
                  </w:pPr>
                </w:p>
                <w:p w:rsidR="00985E90" w:rsidRPr="00B02AD6" w:rsidRDefault="00985E90"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200 mg/m</w:t>
                  </w:r>
                  <w:r w:rsidRPr="00B02AD6">
                    <w:rPr>
                      <w:sz w:val="22"/>
                      <w:szCs w:val="22"/>
                      <w:vertAlign w:val="superscript"/>
                    </w:rPr>
                    <w:t>2</w:t>
                  </w:r>
                  <w:r w:rsidRPr="00B02AD6">
                    <w:rPr>
                      <w:sz w:val="22"/>
                      <w:szCs w:val="22"/>
                    </w:rPr>
                    <w:t xml:space="preserve"> i.v. 2 sata</w:t>
                  </w:r>
                </w:p>
                <w:p w:rsidR="0051655A" w:rsidRPr="00B02AD6" w:rsidRDefault="0051655A"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i.v. bolus 400 mg/m</w:t>
                  </w:r>
                  <w:r w:rsidRPr="00B02AD6">
                    <w:rPr>
                      <w:sz w:val="22"/>
                      <w:szCs w:val="22"/>
                      <w:vertAlign w:val="superscript"/>
                    </w:rPr>
                    <w:t>2</w:t>
                  </w:r>
                  <w:r w:rsidRPr="00B02AD6">
                    <w:rPr>
                      <w:sz w:val="22"/>
                      <w:szCs w:val="22"/>
                    </w:rPr>
                    <w:t>, poslije čega slijedi  600 mg/m</w:t>
                  </w:r>
                  <w:r w:rsidRPr="00B02AD6">
                    <w:rPr>
                      <w:sz w:val="22"/>
                      <w:szCs w:val="22"/>
                      <w:vertAlign w:val="superscript"/>
                    </w:rPr>
                    <w:t>2</w:t>
                  </w:r>
                  <w:r w:rsidRPr="00B02AD6">
                    <w:rPr>
                      <w:sz w:val="22"/>
                      <w:szCs w:val="22"/>
                    </w:rPr>
                    <w:t xml:space="preserve"> i.v. 22 sata</w:t>
                  </w:r>
                </w:p>
              </w:tc>
              <w:tc>
                <w:tcPr>
                  <w:tcW w:w="2259" w:type="pct"/>
                </w:tcPr>
                <w:p w:rsidR="0051655A" w:rsidRPr="00B02AD6" w:rsidRDefault="0051655A" w:rsidP="00A03C69">
                  <w:pPr>
                    <w:pStyle w:val="Header"/>
                    <w:tabs>
                      <w:tab w:val="left" w:pos="284"/>
                    </w:tabs>
                    <w:rPr>
                      <w:sz w:val="22"/>
                      <w:szCs w:val="22"/>
                    </w:rPr>
                  </w:pPr>
                  <w:r w:rsidRPr="00B02AD6">
                    <w:rPr>
                      <w:sz w:val="22"/>
                      <w:szCs w:val="22"/>
                    </w:rPr>
                    <w:t>oksaliplatin prvog dana, svake 2 nedjelje</w:t>
                  </w:r>
                </w:p>
                <w:p w:rsidR="00985E90" w:rsidRPr="00B02AD6" w:rsidRDefault="00985E90" w:rsidP="00A03C69">
                  <w:pPr>
                    <w:pStyle w:val="Header"/>
                    <w:tabs>
                      <w:tab w:val="left" w:pos="284"/>
                    </w:tabs>
                    <w:rPr>
                      <w:sz w:val="22"/>
                      <w:szCs w:val="22"/>
                    </w:rPr>
                  </w:pPr>
                </w:p>
                <w:p w:rsidR="00985E90" w:rsidRPr="00B02AD6" w:rsidRDefault="00985E90"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 xml:space="preserve">leukovorin prvog i drugog dana, svake 2 nedjelje </w:t>
                  </w:r>
                </w:p>
                <w:p w:rsidR="00985E90" w:rsidRPr="00B02AD6" w:rsidRDefault="00985E90" w:rsidP="00A03C69">
                  <w:pPr>
                    <w:pStyle w:val="Header"/>
                    <w:tabs>
                      <w:tab w:val="left" w:pos="284"/>
                    </w:tabs>
                    <w:rPr>
                      <w:sz w:val="22"/>
                      <w:szCs w:val="22"/>
                    </w:rPr>
                  </w:pPr>
                </w:p>
                <w:p w:rsidR="0051655A" w:rsidRPr="00B02AD6" w:rsidRDefault="0051655A" w:rsidP="00985E90">
                  <w:pPr>
                    <w:pStyle w:val="Header"/>
                    <w:tabs>
                      <w:tab w:val="left" w:pos="284"/>
                    </w:tabs>
                    <w:rPr>
                      <w:sz w:val="22"/>
                      <w:szCs w:val="22"/>
                    </w:rPr>
                  </w:pPr>
                  <w:r w:rsidRPr="00B02AD6">
                    <w:rPr>
                      <w:sz w:val="22"/>
                      <w:szCs w:val="22"/>
                    </w:rPr>
                    <w:t>i.v. bolus/infuzija</w:t>
                  </w:r>
                  <w:r w:rsidR="00985E90" w:rsidRPr="00B02AD6">
                    <w:rPr>
                      <w:sz w:val="22"/>
                      <w:szCs w:val="22"/>
                    </w:rPr>
                    <w:t xml:space="preserve"> </w:t>
                  </w:r>
                  <w:r w:rsidRPr="00B02AD6">
                    <w:rPr>
                      <w:sz w:val="22"/>
                      <w:szCs w:val="22"/>
                    </w:rPr>
                    <w:t xml:space="preserve">5-fluorouracil prvog i drugog dana, svake </w:t>
                  </w:r>
                  <w:r w:rsidR="00985E90" w:rsidRPr="00B02AD6">
                    <w:rPr>
                      <w:sz w:val="22"/>
                      <w:szCs w:val="22"/>
                    </w:rPr>
                    <w:t>2</w:t>
                  </w:r>
                  <w:r w:rsidRPr="00B02AD6">
                    <w:rPr>
                      <w:sz w:val="22"/>
                      <w:szCs w:val="22"/>
                    </w:rPr>
                    <w:t xml:space="preserve"> nedjelje</w:t>
                  </w:r>
                </w:p>
              </w:tc>
            </w:tr>
            <w:tr w:rsidR="0051655A" w:rsidRPr="00B02AD6" w:rsidTr="00985E90">
              <w:trPr>
                <w:cantSplit/>
              </w:trPr>
              <w:tc>
                <w:tcPr>
                  <w:tcW w:w="799" w:type="pct"/>
                  <w:vMerge/>
                </w:tcPr>
                <w:p w:rsidR="0051655A" w:rsidRPr="00B02AD6" w:rsidRDefault="0051655A" w:rsidP="00A03C69">
                  <w:pPr>
                    <w:pStyle w:val="Header"/>
                    <w:tabs>
                      <w:tab w:val="left" w:pos="284"/>
                    </w:tabs>
                    <w:rPr>
                      <w:color w:val="FF0000"/>
                      <w:sz w:val="22"/>
                      <w:szCs w:val="22"/>
                    </w:rPr>
                  </w:pPr>
                </w:p>
              </w:tc>
              <w:tc>
                <w:tcPr>
                  <w:tcW w:w="820" w:type="pct"/>
                  <w:tcBorders>
                    <w:bottom w:val="single" w:sz="4" w:space="0" w:color="auto"/>
                  </w:tcBorders>
                </w:tcPr>
                <w:p w:rsidR="0051655A" w:rsidRPr="00B02AD6" w:rsidRDefault="0051655A" w:rsidP="00A03C69">
                  <w:pPr>
                    <w:pStyle w:val="Header"/>
                    <w:tabs>
                      <w:tab w:val="left" w:pos="284"/>
                    </w:tabs>
                    <w:rPr>
                      <w:sz w:val="22"/>
                      <w:szCs w:val="22"/>
                    </w:rPr>
                  </w:pPr>
                  <w:r w:rsidRPr="00B02AD6">
                    <w:rPr>
                      <w:sz w:val="22"/>
                      <w:szCs w:val="22"/>
                    </w:rPr>
                    <w:t>placebo ili bevacizumab</w:t>
                  </w:r>
                </w:p>
              </w:tc>
              <w:tc>
                <w:tcPr>
                  <w:tcW w:w="1122" w:type="pct"/>
                  <w:tcBorders>
                    <w:bottom w:val="single" w:sz="4" w:space="0" w:color="auto"/>
                  </w:tcBorders>
                </w:tcPr>
                <w:p w:rsidR="0051655A" w:rsidRPr="00B02AD6" w:rsidRDefault="0051655A" w:rsidP="00A03C69">
                  <w:pPr>
                    <w:pStyle w:val="Header"/>
                    <w:tabs>
                      <w:tab w:val="left" w:pos="284"/>
                    </w:tabs>
                    <w:rPr>
                      <w:sz w:val="22"/>
                      <w:szCs w:val="22"/>
                    </w:rPr>
                  </w:pPr>
                  <w:r w:rsidRPr="00B02AD6">
                    <w:rPr>
                      <w:sz w:val="22"/>
                      <w:szCs w:val="22"/>
                    </w:rPr>
                    <w:t>5 mg/kg i.v. 30-90 min</w:t>
                  </w:r>
                </w:p>
              </w:tc>
              <w:tc>
                <w:tcPr>
                  <w:tcW w:w="2259" w:type="pct"/>
                </w:tcPr>
                <w:p w:rsidR="0051655A" w:rsidRPr="00B02AD6" w:rsidRDefault="0051655A" w:rsidP="00A03C69">
                  <w:pPr>
                    <w:pStyle w:val="Header"/>
                    <w:tabs>
                      <w:tab w:val="left" w:pos="284"/>
                    </w:tabs>
                    <w:rPr>
                      <w:sz w:val="22"/>
                      <w:szCs w:val="22"/>
                    </w:rPr>
                  </w:pPr>
                  <w:r w:rsidRPr="00B02AD6">
                    <w:rPr>
                      <w:sz w:val="22"/>
                      <w:szCs w:val="22"/>
                    </w:rPr>
                    <w:t xml:space="preserve">prvog dana, prije FOLFOX-4, na svake 2 nedjelje </w:t>
                  </w:r>
                </w:p>
              </w:tc>
            </w:tr>
            <w:tr w:rsidR="0051655A" w:rsidRPr="00B02AD6" w:rsidTr="00985E90">
              <w:trPr>
                <w:cantSplit/>
              </w:trPr>
              <w:tc>
                <w:tcPr>
                  <w:tcW w:w="799" w:type="pct"/>
                  <w:vMerge w:val="restart"/>
                </w:tcPr>
                <w:p w:rsidR="0051655A" w:rsidRPr="00B02AD6" w:rsidRDefault="0051655A" w:rsidP="00A03C69">
                  <w:pPr>
                    <w:pStyle w:val="Header"/>
                    <w:tabs>
                      <w:tab w:val="left" w:pos="284"/>
                    </w:tabs>
                    <w:rPr>
                      <w:sz w:val="22"/>
                      <w:szCs w:val="22"/>
                    </w:rPr>
                  </w:pPr>
                  <w:r w:rsidRPr="00B02AD6">
                    <w:rPr>
                      <w:sz w:val="22"/>
                      <w:szCs w:val="22"/>
                    </w:rPr>
                    <w:t xml:space="preserve">XELOX </w:t>
                  </w:r>
                </w:p>
                <w:p w:rsidR="0051655A" w:rsidRPr="00B02AD6" w:rsidRDefault="0051655A" w:rsidP="00A03C69">
                  <w:pPr>
                    <w:pStyle w:val="Header"/>
                    <w:tabs>
                      <w:tab w:val="left" w:pos="284"/>
                    </w:tabs>
                    <w:rPr>
                      <w:sz w:val="22"/>
                      <w:szCs w:val="22"/>
                    </w:rPr>
                  </w:pPr>
                  <w:r w:rsidRPr="00B02AD6">
                    <w:rPr>
                      <w:sz w:val="22"/>
                      <w:szCs w:val="22"/>
                    </w:rPr>
                    <w:t>ili</w:t>
                  </w:r>
                </w:p>
                <w:p w:rsidR="0051655A" w:rsidRPr="00B02AD6" w:rsidRDefault="0051655A" w:rsidP="00A03C69">
                  <w:pPr>
                    <w:pStyle w:val="Header"/>
                    <w:tabs>
                      <w:tab w:val="left" w:pos="284"/>
                    </w:tabs>
                    <w:rPr>
                      <w:sz w:val="22"/>
                      <w:szCs w:val="22"/>
                    </w:rPr>
                  </w:pPr>
                  <w:r w:rsidRPr="00B02AD6">
                    <w:rPr>
                      <w:sz w:val="22"/>
                      <w:szCs w:val="22"/>
                    </w:rPr>
                    <w:t>XELOX+ Bevacizumab</w:t>
                  </w:r>
                </w:p>
              </w:tc>
              <w:tc>
                <w:tcPr>
                  <w:tcW w:w="820" w:type="pct"/>
                  <w:tcBorders>
                    <w:bottom w:val="nil"/>
                    <w:right w:val="single" w:sz="4" w:space="0" w:color="auto"/>
                  </w:tcBorders>
                </w:tcPr>
                <w:p w:rsidR="0051655A" w:rsidRPr="00B02AD6" w:rsidRDefault="0051655A" w:rsidP="00A03C69">
                  <w:pPr>
                    <w:pStyle w:val="Header"/>
                    <w:tabs>
                      <w:tab w:val="left" w:pos="284"/>
                    </w:tabs>
                    <w:rPr>
                      <w:sz w:val="22"/>
                      <w:szCs w:val="22"/>
                    </w:rPr>
                  </w:pPr>
                  <w:r w:rsidRPr="00B02AD6">
                    <w:rPr>
                      <w:sz w:val="22"/>
                      <w:szCs w:val="22"/>
                    </w:rPr>
                    <w:t>oksaliplatin</w:t>
                  </w:r>
                </w:p>
              </w:tc>
              <w:tc>
                <w:tcPr>
                  <w:tcW w:w="1122" w:type="pct"/>
                  <w:tcBorders>
                    <w:left w:val="single" w:sz="4" w:space="0" w:color="auto"/>
                    <w:bottom w:val="nil"/>
                  </w:tcBorders>
                </w:tcPr>
                <w:p w:rsidR="0051655A" w:rsidRPr="00B02AD6" w:rsidRDefault="0051655A" w:rsidP="00A03C69">
                  <w:pPr>
                    <w:pStyle w:val="Header"/>
                    <w:tabs>
                      <w:tab w:val="left" w:pos="284"/>
                    </w:tabs>
                    <w:rPr>
                      <w:sz w:val="22"/>
                      <w:szCs w:val="22"/>
                    </w:rPr>
                  </w:pPr>
                  <w:r w:rsidRPr="00B02AD6">
                    <w:rPr>
                      <w:sz w:val="22"/>
                      <w:szCs w:val="22"/>
                    </w:rPr>
                    <w:t>130 mg/m</w:t>
                  </w:r>
                  <w:r w:rsidRPr="00B02AD6">
                    <w:rPr>
                      <w:sz w:val="22"/>
                      <w:szCs w:val="22"/>
                      <w:vertAlign w:val="superscript"/>
                    </w:rPr>
                    <w:t>2</w:t>
                  </w:r>
                  <w:r w:rsidRPr="00B02AD6">
                    <w:rPr>
                      <w:sz w:val="22"/>
                      <w:szCs w:val="22"/>
                    </w:rPr>
                    <w:t xml:space="preserve"> i.v. 2 sata</w:t>
                  </w:r>
                </w:p>
                <w:p w:rsidR="00985E90" w:rsidRPr="00B02AD6" w:rsidRDefault="00985E90" w:rsidP="00A03C69">
                  <w:pPr>
                    <w:pStyle w:val="Header"/>
                    <w:tabs>
                      <w:tab w:val="left" w:pos="284"/>
                    </w:tabs>
                    <w:rPr>
                      <w:sz w:val="22"/>
                      <w:szCs w:val="22"/>
                    </w:rPr>
                  </w:pPr>
                </w:p>
              </w:tc>
              <w:tc>
                <w:tcPr>
                  <w:tcW w:w="2259" w:type="pct"/>
                  <w:vMerge w:val="restart"/>
                </w:tcPr>
                <w:p w:rsidR="0051655A" w:rsidRPr="00B02AD6" w:rsidRDefault="0051655A" w:rsidP="00A03C69">
                  <w:pPr>
                    <w:pStyle w:val="Header"/>
                    <w:tabs>
                      <w:tab w:val="left" w:pos="284"/>
                    </w:tabs>
                    <w:rPr>
                      <w:sz w:val="22"/>
                      <w:szCs w:val="22"/>
                    </w:rPr>
                  </w:pPr>
                  <w:r w:rsidRPr="00B02AD6">
                    <w:rPr>
                      <w:sz w:val="22"/>
                      <w:szCs w:val="22"/>
                    </w:rPr>
                    <w:t>oksaliplatin prvog dana na svake 3 nedjelje</w:t>
                  </w:r>
                </w:p>
                <w:p w:rsidR="00985E90" w:rsidRPr="00B02AD6" w:rsidRDefault="00985E90" w:rsidP="00A03C69">
                  <w:pPr>
                    <w:pStyle w:val="Header"/>
                    <w:tabs>
                      <w:tab w:val="left" w:pos="284"/>
                    </w:tabs>
                    <w:rPr>
                      <w:sz w:val="22"/>
                      <w:szCs w:val="22"/>
                    </w:rPr>
                  </w:pPr>
                </w:p>
                <w:p w:rsidR="0051655A" w:rsidRPr="00B02AD6" w:rsidRDefault="0051655A" w:rsidP="00A03C69">
                  <w:pPr>
                    <w:pStyle w:val="Header"/>
                    <w:tabs>
                      <w:tab w:val="left" w:pos="284"/>
                    </w:tabs>
                    <w:rPr>
                      <w:sz w:val="22"/>
                      <w:szCs w:val="22"/>
                    </w:rPr>
                  </w:pPr>
                  <w:r w:rsidRPr="00B02AD6">
                    <w:rPr>
                      <w:sz w:val="22"/>
                      <w:szCs w:val="22"/>
                    </w:rPr>
                    <w:t>kapecitabin oralno, dva puta dnevno tokom 2 nedjelje, posl</w:t>
                  </w:r>
                  <w:r w:rsidR="006053F5" w:rsidRPr="00B02AD6">
                    <w:rPr>
                      <w:sz w:val="22"/>
                      <w:szCs w:val="22"/>
                    </w:rPr>
                    <w:t>ij</w:t>
                  </w:r>
                  <w:r w:rsidRPr="00B02AD6">
                    <w:rPr>
                      <w:sz w:val="22"/>
                      <w:szCs w:val="22"/>
                    </w:rPr>
                    <w:t xml:space="preserve">e čega slijedi 1 nedjelja bez terapije  </w:t>
                  </w:r>
                </w:p>
              </w:tc>
            </w:tr>
            <w:tr w:rsidR="0051655A" w:rsidRPr="00B02AD6" w:rsidTr="00985E90">
              <w:trPr>
                <w:cantSplit/>
              </w:trPr>
              <w:tc>
                <w:tcPr>
                  <w:tcW w:w="799" w:type="pct"/>
                  <w:vMerge/>
                </w:tcPr>
                <w:p w:rsidR="0051655A" w:rsidRPr="00B02AD6" w:rsidRDefault="0051655A" w:rsidP="00A03C69">
                  <w:pPr>
                    <w:pStyle w:val="Header"/>
                    <w:tabs>
                      <w:tab w:val="left" w:pos="284"/>
                    </w:tabs>
                    <w:rPr>
                      <w:color w:val="FF0000"/>
                      <w:sz w:val="22"/>
                      <w:szCs w:val="22"/>
                    </w:rPr>
                  </w:pPr>
                </w:p>
              </w:tc>
              <w:tc>
                <w:tcPr>
                  <w:tcW w:w="820" w:type="pct"/>
                  <w:tcBorders>
                    <w:top w:val="nil"/>
                    <w:right w:val="single" w:sz="4" w:space="0" w:color="auto"/>
                  </w:tcBorders>
                </w:tcPr>
                <w:p w:rsidR="0051655A" w:rsidRPr="00B02AD6" w:rsidRDefault="0051655A" w:rsidP="00A03C69">
                  <w:pPr>
                    <w:pStyle w:val="Header"/>
                    <w:tabs>
                      <w:tab w:val="left" w:pos="284"/>
                    </w:tabs>
                    <w:rPr>
                      <w:sz w:val="22"/>
                      <w:szCs w:val="22"/>
                    </w:rPr>
                  </w:pPr>
                  <w:r w:rsidRPr="00B02AD6">
                    <w:rPr>
                      <w:sz w:val="22"/>
                      <w:szCs w:val="22"/>
                    </w:rPr>
                    <w:t>kapecitabin</w:t>
                  </w:r>
                </w:p>
              </w:tc>
              <w:tc>
                <w:tcPr>
                  <w:tcW w:w="1122" w:type="pct"/>
                  <w:tcBorders>
                    <w:top w:val="nil"/>
                    <w:left w:val="single" w:sz="4" w:space="0" w:color="auto"/>
                  </w:tcBorders>
                </w:tcPr>
                <w:p w:rsidR="0051655A" w:rsidRPr="00B02AD6" w:rsidRDefault="0051655A" w:rsidP="00A03C69">
                  <w:pPr>
                    <w:pStyle w:val="Header"/>
                    <w:tabs>
                      <w:tab w:val="left" w:pos="284"/>
                    </w:tabs>
                    <w:rPr>
                      <w:sz w:val="22"/>
                      <w:szCs w:val="22"/>
                    </w:rPr>
                  </w:pPr>
                  <w:r w:rsidRPr="00B02AD6">
                    <w:rPr>
                      <w:sz w:val="22"/>
                      <w:szCs w:val="22"/>
                    </w:rPr>
                    <w:t>1000 mg/m</w:t>
                  </w:r>
                  <w:r w:rsidRPr="00B02AD6">
                    <w:rPr>
                      <w:sz w:val="22"/>
                      <w:szCs w:val="22"/>
                      <w:vertAlign w:val="superscript"/>
                    </w:rPr>
                    <w:t>2</w:t>
                  </w:r>
                  <w:r w:rsidRPr="00B02AD6">
                    <w:rPr>
                      <w:sz w:val="22"/>
                      <w:szCs w:val="22"/>
                    </w:rPr>
                    <w:t xml:space="preserve"> oralno, dva puta dnevno</w:t>
                  </w:r>
                </w:p>
              </w:tc>
              <w:tc>
                <w:tcPr>
                  <w:tcW w:w="2259" w:type="pct"/>
                  <w:vMerge/>
                </w:tcPr>
                <w:p w:rsidR="0051655A" w:rsidRPr="00B02AD6" w:rsidRDefault="0051655A" w:rsidP="00A03C69">
                  <w:pPr>
                    <w:pStyle w:val="Header"/>
                    <w:tabs>
                      <w:tab w:val="left" w:pos="284"/>
                    </w:tabs>
                    <w:rPr>
                      <w:color w:val="FF0000"/>
                      <w:sz w:val="22"/>
                      <w:szCs w:val="22"/>
                    </w:rPr>
                  </w:pPr>
                </w:p>
              </w:tc>
            </w:tr>
            <w:tr w:rsidR="0051655A" w:rsidRPr="00B02AD6" w:rsidTr="00985E90">
              <w:trPr>
                <w:cantSplit/>
              </w:trPr>
              <w:tc>
                <w:tcPr>
                  <w:tcW w:w="799" w:type="pct"/>
                  <w:vMerge/>
                </w:tcPr>
                <w:p w:rsidR="0051655A" w:rsidRPr="00B02AD6" w:rsidRDefault="0051655A" w:rsidP="00A03C69">
                  <w:pPr>
                    <w:pStyle w:val="Header"/>
                    <w:tabs>
                      <w:tab w:val="left" w:pos="284"/>
                    </w:tabs>
                    <w:rPr>
                      <w:color w:val="FF0000"/>
                      <w:sz w:val="22"/>
                      <w:szCs w:val="22"/>
                    </w:rPr>
                  </w:pPr>
                </w:p>
              </w:tc>
              <w:tc>
                <w:tcPr>
                  <w:tcW w:w="820" w:type="pct"/>
                </w:tcPr>
                <w:p w:rsidR="0051655A" w:rsidRPr="00B02AD6" w:rsidRDefault="0051655A" w:rsidP="00A03C69">
                  <w:pPr>
                    <w:pStyle w:val="Header"/>
                    <w:tabs>
                      <w:tab w:val="left" w:pos="284"/>
                    </w:tabs>
                    <w:rPr>
                      <w:sz w:val="22"/>
                      <w:szCs w:val="22"/>
                    </w:rPr>
                  </w:pPr>
                  <w:r w:rsidRPr="00B02AD6">
                    <w:rPr>
                      <w:sz w:val="22"/>
                      <w:szCs w:val="22"/>
                    </w:rPr>
                    <w:t>placebo ili bevacizumab</w:t>
                  </w:r>
                </w:p>
              </w:tc>
              <w:tc>
                <w:tcPr>
                  <w:tcW w:w="1122" w:type="pct"/>
                </w:tcPr>
                <w:p w:rsidR="0051655A" w:rsidRPr="00B02AD6" w:rsidRDefault="0051655A" w:rsidP="006053F5">
                  <w:pPr>
                    <w:pStyle w:val="Header"/>
                    <w:tabs>
                      <w:tab w:val="left" w:pos="284"/>
                    </w:tabs>
                    <w:rPr>
                      <w:sz w:val="22"/>
                      <w:szCs w:val="22"/>
                    </w:rPr>
                  </w:pPr>
                  <w:r w:rsidRPr="00B02AD6">
                    <w:rPr>
                      <w:sz w:val="22"/>
                      <w:szCs w:val="22"/>
                    </w:rPr>
                    <w:t>7</w:t>
                  </w:r>
                  <w:r w:rsidR="006053F5" w:rsidRPr="00B02AD6">
                    <w:rPr>
                      <w:sz w:val="22"/>
                      <w:szCs w:val="22"/>
                    </w:rPr>
                    <w:t>,</w:t>
                  </w:r>
                  <w:r w:rsidRPr="00B02AD6">
                    <w:rPr>
                      <w:sz w:val="22"/>
                      <w:szCs w:val="22"/>
                    </w:rPr>
                    <w:t>5 mg/kg i.v. 30-90 min</w:t>
                  </w:r>
                </w:p>
              </w:tc>
              <w:tc>
                <w:tcPr>
                  <w:tcW w:w="2259" w:type="pct"/>
                </w:tcPr>
                <w:p w:rsidR="0051655A" w:rsidRPr="00B02AD6" w:rsidRDefault="0051655A" w:rsidP="00A03C69">
                  <w:pPr>
                    <w:pStyle w:val="Header"/>
                    <w:tabs>
                      <w:tab w:val="left" w:pos="284"/>
                    </w:tabs>
                    <w:rPr>
                      <w:sz w:val="22"/>
                      <w:szCs w:val="22"/>
                    </w:rPr>
                  </w:pPr>
                  <w:r w:rsidRPr="00B02AD6">
                    <w:rPr>
                      <w:sz w:val="22"/>
                      <w:szCs w:val="22"/>
                    </w:rPr>
                    <w:t>prvog dana, pred XELOX, na svake 3 nedjelje</w:t>
                  </w:r>
                </w:p>
              </w:tc>
            </w:tr>
            <w:tr w:rsidR="0051655A" w:rsidRPr="00B02AD6" w:rsidTr="00985E90">
              <w:trPr>
                <w:cantSplit/>
              </w:trPr>
              <w:tc>
                <w:tcPr>
                  <w:tcW w:w="5000" w:type="pct"/>
                  <w:gridSpan w:val="4"/>
                </w:tcPr>
                <w:p w:rsidR="0051655A" w:rsidRPr="00B02AD6" w:rsidRDefault="0051655A" w:rsidP="00A03C69">
                  <w:pPr>
                    <w:pStyle w:val="Header"/>
                    <w:tabs>
                      <w:tab w:val="left" w:pos="284"/>
                    </w:tabs>
                    <w:rPr>
                      <w:sz w:val="22"/>
                      <w:szCs w:val="22"/>
                    </w:rPr>
                  </w:pPr>
                  <w:r w:rsidRPr="00B02AD6">
                    <w:rPr>
                      <w:sz w:val="22"/>
                      <w:szCs w:val="22"/>
                    </w:rPr>
                    <w:t xml:space="preserve">5-Fluorouracil: </w:t>
                  </w:r>
                  <w:r w:rsidRPr="00B02AD6">
                    <w:rPr>
                      <w:sz w:val="22"/>
                      <w:szCs w:val="22"/>
                    </w:rPr>
                    <w:tab/>
                    <w:t>i.v. bolus injekcija odmah poslije leukovorina</w:t>
                  </w:r>
                </w:p>
              </w:tc>
            </w:tr>
          </w:tbl>
          <w:p w:rsidR="0051655A" w:rsidRPr="00B02AD6" w:rsidRDefault="0051655A" w:rsidP="00A03C69">
            <w:pPr>
              <w:pStyle w:val="Header"/>
              <w:tabs>
                <w:tab w:val="left" w:pos="284"/>
              </w:tabs>
              <w:rPr>
                <w:color w:val="FF0000"/>
                <w:sz w:val="22"/>
                <w:szCs w:val="22"/>
              </w:rPr>
            </w:pPr>
          </w:p>
          <w:p w:rsidR="0051655A" w:rsidRPr="00B02AD6" w:rsidRDefault="006053F5" w:rsidP="00A03C69">
            <w:pPr>
              <w:pStyle w:val="Header"/>
              <w:tabs>
                <w:tab w:val="left" w:pos="284"/>
              </w:tabs>
              <w:jc w:val="both"/>
              <w:rPr>
                <w:sz w:val="22"/>
                <w:szCs w:val="22"/>
              </w:rPr>
            </w:pPr>
            <w:r w:rsidRPr="00B02AD6">
              <w:rPr>
                <w:sz w:val="22"/>
                <w:szCs w:val="22"/>
              </w:rPr>
              <w:t xml:space="preserve">Utvrđeno </w:t>
            </w:r>
            <w:r w:rsidR="0051655A" w:rsidRPr="00B02AD6">
              <w:rPr>
                <w:sz w:val="22"/>
                <w:szCs w:val="22"/>
              </w:rPr>
              <w:t xml:space="preserve">je da liječenje XELOX protokolom nije manje efikasno u odnosu na liječenje FOLFOX-4 protokolom kad se </w:t>
            </w:r>
            <w:r w:rsidR="00C73CD2" w:rsidRPr="00B02AD6">
              <w:rPr>
                <w:sz w:val="22"/>
                <w:szCs w:val="22"/>
              </w:rPr>
              <w:t xml:space="preserve">upoređuje </w:t>
            </w:r>
            <w:r w:rsidR="0051655A" w:rsidRPr="00B02AD6">
              <w:rPr>
                <w:sz w:val="22"/>
                <w:szCs w:val="22"/>
              </w:rPr>
              <w:t>preživljavanje bez progresije bolesti kod pacijenata koji su ispunjavali kriterijume i u populaciji pacijenata predviđenih za liječenje (vidjeti Tabelu 7). Rezultati ispitivanja takođe pokazuju ekvivalenciju terapija XELOX i FOLFOX-4 u smislu  ukupnog preživljavanja  (vidjeti Tabelu 7). Poređenje XELOX plus bevacizumab sa jedne strane i FOLFOX-4 plus bevacizumab sa druge</w:t>
            </w:r>
            <w:r w:rsidR="00C73CD2" w:rsidRPr="00B02AD6">
              <w:rPr>
                <w:sz w:val="22"/>
                <w:szCs w:val="22"/>
              </w:rPr>
              <w:t>,</w:t>
            </w:r>
            <w:r w:rsidR="0051655A" w:rsidRPr="00B02AD6">
              <w:rPr>
                <w:sz w:val="22"/>
                <w:szCs w:val="22"/>
              </w:rPr>
              <w:t xml:space="preserve"> obavljeno je kao prethodno definisana eksploratorna analiza. U poređenju ovih terapijskih podgrupa XELOX plus bevacizumab je bio skoro isti kao FOLFOX-4 plus bevacizumab u smislu preživljavanja bez progresije bolesti (koeficijent rizika 1,01 97,5% CI 0,84; 1,22). Srednje trajanje praćenja u trenutku primarne analize u populaciji pacijenata predviđenih za </w:t>
            </w:r>
            <w:r w:rsidR="0051655A" w:rsidRPr="00B02AD6">
              <w:rPr>
                <w:sz w:val="22"/>
                <w:szCs w:val="22"/>
              </w:rPr>
              <w:lastRenderedPageBreak/>
              <w:t>liječenje  iznosilo je 1,5 godinu. Podaci iz analiza poslije još jedne godine praćenja takođe su uključeni u Tabelu 7. Međutim</w:t>
            </w:r>
            <w:r w:rsidR="00C73CD2" w:rsidRPr="00B02AD6">
              <w:rPr>
                <w:sz w:val="22"/>
                <w:szCs w:val="22"/>
              </w:rPr>
              <w:t>,</w:t>
            </w:r>
            <w:r w:rsidR="0051655A" w:rsidRPr="00B02AD6">
              <w:rPr>
                <w:sz w:val="22"/>
                <w:szCs w:val="22"/>
              </w:rPr>
              <w:t xml:space="preserve"> analiza preživljavanja bez progresije bolesti (PFS) tokom terapije nije potvrdila rezultate opšte analize preživljavanja bez progresije bolesti (PFS) i ukupnog preživljavanja (OS):  Koeficijent rizika za XELOX u poređenju sa terapijom  FOLFOX-4 iznosio je 1,24 gdje je 97,5% CI: 1,07 do 1,44. Iako analiza osjetljivosti pokazuje da  razlika u režimima doziranja i vremenu procjene tumora imaju uticaja na analizu PFS tokom terapije, nije nađeno </w:t>
            </w:r>
            <w:r w:rsidR="00C73CD2" w:rsidRPr="00B02AD6">
              <w:rPr>
                <w:sz w:val="22"/>
                <w:szCs w:val="22"/>
              </w:rPr>
              <w:t>pot</w:t>
            </w:r>
            <w:r w:rsidR="0051655A" w:rsidRPr="00B02AD6">
              <w:rPr>
                <w:sz w:val="22"/>
                <w:szCs w:val="22"/>
              </w:rPr>
              <w:t>puno objašnjenje za ovaj rezultat.</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rPr>
            </w:pPr>
            <w:r w:rsidRPr="00B02AD6">
              <w:rPr>
                <w:sz w:val="22"/>
                <w:szCs w:val="22"/>
              </w:rPr>
              <w:t>Tabela 7. Ključni rezultati procjene efikasnosti u analizi neinferiornosti u kliničkom ispitivanju NO 16966</w:t>
            </w:r>
          </w:p>
          <w:p w:rsidR="0051655A" w:rsidRPr="00B02AD6" w:rsidRDefault="0051655A" w:rsidP="00A03C69">
            <w:pPr>
              <w:pStyle w:val="Header"/>
              <w:tabs>
                <w:tab w:val="left" w:pos="284"/>
              </w:tabs>
              <w:rPr>
                <w:color w:val="FF0000"/>
                <w:sz w:val="22"/>
                <w:szCs w:val="22"/>
              </w:rPr>
            </w:pPr>
            <w:r w:rsidRPr="00B02AD6">
              <w:rPr>
                <w:color w:val="FF0000"/>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2634"/>
              <w:gridCol w:w="2638"/>
              <w:gridCol w:w="2179"/>
            </w:tblGrid>
            <w:tr w:rsidR="0051655A" w:rsidRPr="00B02AD6" w:rsidTr="00AF6CAC">
              <w:tc>
                <w:tcPr>
                  <w:tcW w:w="5000" w:type="pct"/>
                  <w:gridSpan w:val="4"/>
                  <w:shd w:val="clear" w:color="auto" w:fill="E6E6E6"/>
                  <w:vAlign w:val="center"/>
                </w:tcPr>
                <w:p w:rsidR="0051655A" w:rsidRPr="00B02AD6" w:rsidRDefault="0051655A" w:rsidP="00A03C69">
                  <w:pPr>
                    <w:pStyle w:val="Header"/>
                    <w:tabs>
                      <w:tab w:val="left" w:pos="284"/>
                    </w:tabs>
                    <w:jc w:val="center"/>
                    <w:rPr>
                      <w:b/>
                      <w:sz w:val="22"/>
                      <w:szCs w:val="22"/>
                    </w:rPr>
                  </w:pPr>
                  <w:r w:rsidRPr="00B02AD6">
                    <w:rPr>
                      <w:b/>
                      <w:sz w:val="22"/>
                      <w:szCs w:val="22"/>
                    </w:rPr>
                    <w:t>PRIMARNA ANALIZA</w:t>
                  </w:r>
                </w:p>
              </w:tc>
            </w:tr>
            <w:tr w:rsidR="0051655A" w:rsidRPr="00B02AD6" w:rsidTr="00AF6CAC">
              <w:tc>
                <w:tcPr>
                  <w:tcW w:w="2277" w:type="pct"/>
                  <w:gridSpan w:val="2"/>
                  <w:shd w:val="clear" w:color="auto" w:fill="auto"/>
                  <w:vAlign w:val="bottom"/>
                </w:tcPr>
                <w:p w:rsidR="0051655A" w:rsidRPr="00B02AD6" w:rsidRDefault="0051655A" w:rsidP="00A03C69">
                  <w:pPr>
                    <w:pStyle w:val="Header"/>
                    <w:tabs>
                      <w:tab w:val="left" w:pos="284"/>
                    </w:tabs>
                    <w:jc w:val="center"/>
                    <w:rPr>
                      <w:b/>
                      <w:sz w:val="22"/>
                      <w:szCs w:val="22"/>
                    </w:rPr>
                  </w:pPr>
                  <w:r w:rsidRPr="00B02AD6">
                    <w:rPr>
                      <w:b/>
                      <w:sz w:val="22"/>
                      <w:szCs w:val="22"/>
                    </w:rPr>
                    <w:t>XELOX/XELOX+P/</w:t>
                  </w:r>
                  <w:r w:rsidRPr="00B02AD6">
                    <w:rPr>
                      <w:b/>
                      <w:sz w:val="22"/>
                      <w:szCs w:val="22"/>
                    </w:rPr>
                    <w:br/>
                    <w:t>XELOX+BV</w:t>
                  </w:r>
                </w:p>
                <w:p w:rsidR="0051655A" w:rsidRPr="00B02AD6" w:rsidRDefault="0051655A" w:rsidP="00A03C69">
                  <w:pPr>
                    <w:pStyle w:val="Header"/>
                    <w:tabs>
                      <w:tab w:val="left" w:pos="284"/>
                    </w:tabs>
                    <w:jc w:val="center"/>
                    <w:rPr>
                      <w:b/>
                      <w:color w:val="FF0000"/>
                      <w:sz w:val="22"/>
                      <w:szCs w:val="22"/>
                    </w:rPr>
                  </w:pPr>
                  <w:r w:rsidRPr="00B02AD6">
                    <w:rPr>
                      <w:b/>
                      <w:sz w:val="22"/>
                      <w:szCs w:val="22"/>
                    </w:rPr>
                    <w:t>(EPP*: N=967; ITT**: N=1017)</w:t>
                  </w:r>
                </w:p>
              </w:tc>
              <w:tc>
                <w:tcPr>
                  <w:tcW w:w="2723" w:type="pct"/>
                  <w:gridSpan w:val="2"/>
                  <w:shd w:val="clear" w:color="auto" w:fill="auto"/>
                  <w:vAlign w:val="bottom"/>
                </w:tcPr>
                <w:p w:rsidR="0051655A" w:rsidRPr="00B02AD6" w:rsidRDefault="0051655A" w:rsidP="00A03C69">
                  <w:pPr>
                    <w:pStyle w:val="Header"/>
                    <w:tabs>
                      <w:tab w:val="left" w:pos="284"/>
                    </w:tabs>
                    <w:jc w:val="center"/>
                    <w:rPr>
                      <w:b/>
                      <w:sz w:val="22"/>
                      <w:szCs w:val="22"/>
                    </w:rPr>
                  </w:pPr>
                  <w:r w:rsidRPr="00B02AD6">
                    <w:rPr>
                      <w:b/>
                      <w:sz w:val="22"/>
                      <w:szCs w:val="22"/>
                    </w:rPr>
                    <w:t>FOLFOX-4/FOLFOX-4+P/</w:t>
                  </w:r>
                  <w:r w:rsidRPr="00B02AD6">
                    <w:rPr>
                      <w:b/>
                      <w:sz w:val="22"/>
                      <w:szCs w:val="22"/>
                    </w:rPr>
                    <w:br/>
                    <w:t>FOLFOX-4+BV</w:t>
                  </w:r>
                </w:p>
                <w:p w:rsidR="0051655A" w:rsidRPr="00B02AD6" w:rsidRDefault="0051655A" w:rsidP="00A03C69">
                  <w:pPr>
                    <w:pStyle w:val="Header"/>
                    <w:tabs>
                      <w:tab w:val="left" w:pos="284"/>
                    </w:tabs>
                    <w:jc w:val="center"/>
                    <w:rPr>
                      <w:b/>
                      <w:color w:val="FF0000"/>
                      <w:sz w:val="22"/>
                      <w:szCs w:val="22"/>
                    </w:rPr>
                  </w:pPr>
                  <w:r w:rsidRPr="00B02AD6">
                    <w:rPr>
                      <w:b/>
                      <w:sz w:val="22"/>
                      <w:szCs w:val="22"/>
                    </w:rPr>
                    <w:t>(EPP*: N = 937; ITT**: N= 1017)</w:t>
                  </w:r>
                </w:p>
              </w:tc>
            </w:tr>
            <w:tr w:rsidR="0051655A" w:rsidRPr="00B02AD6" w:rsidTr="00AF6CAC">
              <w:tc>
                <w:tcPr>
                  <w:tcW w:w="788" w:type="pct"/>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Populacija</w:t>
                  </w:r>
                </w:p>
              </w:tc>
              <w:tc>
                <w:tcPr>
                  <w:tcW w:w="2980" w:type="pct"/>
                  <w:gridSpan w:val="2"/>
                  <w:tcBorders>
                    <w:bottom w:val="single" w:sz="4" w:space="0" w:color="auto"/>
                  </w:tcBorders>
                  <w:shd w:val="clear" w:color="auto" w:fill="auto"/>
                  <w:vAlign w:val="bottom"/>
                </w:tcPr>
                <w:p w:rsidR="0051655A" w:rsidRPr="00B02AD6" w:rsidRDefault="0051655A" w:rsidP="00A03C69">
                  <w:pPr>
                    <w:pStyle w:val="Header"/>
                    <w:tabs>
                      <w:tab w:val="left" w:pos="284"/>
                    </w:tabs>
                    <w:jc w:val="center"/>
                    <w:rPr>
                      <w:b/>
                      <w:sz w:val="22"/>
                      <w:szCs w:val="22"/>
                    </w:rPr>
                  </w:pPr>
                  <w:r w:rsidRPr="00B02AD6">
                    <w:rPr>
                      <w:b/>
                      <w:sz w:val="22"/>
                      <w:szCs w:val="22"/>
                    </w:rPr>
                    <w:t>Srednje vrijeme do događaja (Dana)</w:t>
                  </w:r>
                </w:p>
              </w:tc>
              <w:tc>
                <w:tcPr>
                  <w:tcW w:w="1232" w:type="pct"/>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HR</w:t>
                  </w:r>
                </w:p>
                <w:p w:rsidR="0051655A" w:rsidRPr="00B02AD6" w:rsidRDefault="0051655A" w:rsidP="00C73CD2">
                  <w:pPr>
                    <w:pStyle w:val="Header"/>
                    <w:tabs>
                      <w:tab w:val="left" w:pos="284"/>
                    </w:tabs>
                    <w:rPr>
                      <w:b/>
                      <w:sz w:val="22"/>
                      <w:szCs w:val="22"/>
                    </w:rPr>
                  </w:pPr>
                  <w:r w:rsidRPr="00B02AD6">
                    <w:rPr>
                      <w:b/>
                      <w:sz w:val="22"/>
                      <w:szCs w:val="22"/>
                    </w:rPr>
                    <w:t>(97</w:t>
                  </w:r>
                  <w:r w:rsidR="00C73CD2" w:rsidRPr="00B02AD6">
                    <w:rPr>
                      <w:b/>
                      <w:sz w:val="22"/>
                      <w:szCs w:val="22"/>
                    </w:rPr>
                    <w:t>,</w:t>
                  </w:r>
                  <w:r w:rsidRPr="00B02AD6">
                    <w:rPr>
                      <w:b/>
                      <w:sz w:val="22"/>
                      <w:szCs w:val="22"/>
                    </w:rPr>
                    <w:t>5% CI)</w:t>
                  </w:r>
                </w:p>
              </w:tc>
            </w:tr>
            <w:tr w:rsidR="0051655A" w:rsidRPr="00B02AD6" w:rsidTr="00AF6CAC">
              <w:tc>
                <w:tcPr>
                  <w:tcW w:w="5000" w:type="pct"/>
                  <w:gridSpan w:val="4"/>
                  <w:shd w:val="clear" w:color="auto" w:fill="E6E6E6"/>
                  <w:vAlign w:val="center"/>
                </w:tcPr>
                <w:p w:rsidR="0051655A" w:rsidRPr="00B02AD6" w:rsidRDefault="0051655A" w:rsidP="00A03C69">
                  <w:pPr>
                    <w:pStyle w:val="Header"/>
                    <w:tabs>
                      <w:tab w:val="left" w:pos="284"/>
                    </w:tabs>
                    <w:rPr>
                      <w:b/>
                      <w:sz w:val="22"/>
                      <w:szCs w:val="22"/>
                    </w:rPr>
                  </w:pPr>
                  <w:r w:rsidRPr="00B02AD6">
                    <w:rPr>
                      <w:b/>
                      <w:sz w:val="22"/>
                      <w:szCs w:val="22"/>
                    </w:rPr>
                    <w:t>Parametar: Preživljavanje bez progresije</w:t>
                  </w:r>
                </w:p>
              </w:tc>
            </w:tr>
            <w:tr w:rsidR="0051655A" w:rsidRPr="00B02AD6" w:rsidTr="00AF6CAC">
              <w:trPr>
                <w:trHeight w:val="430"/>
              </w:trPr>
              <w:tc>
                <w:tcPr>
                  <w:tcW w:w="788"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EPP</w:t>
                  </w:r>
                </w:p>
                <w:p w:rsidR="0051655A" w:rsidRPr="00B02AD6" w:rsidRDefault="0051655A" w:rsidP="00A03C69">
                  <w:pPr>
                    <w:pStyle w:val="Header"/>
                    <w:tabs>
                      <w:tab w:val="left" w:pos="284"/>
                    </w:tabs>
                    <w:rPr>
                      <w:sz w:val="22"/>
                      <w:szCs w:val="22"/>
                    </w:rPr>
                  </w:pPr>
                  <w:r w:rsidRPr="00B02AD6">
                    <w:rPr>
                      <w:sz w:val="22"/>
                      <w:szCs w:val="22"/>
                    </w:rPr>
                    <w:t>ITT</w:t>
                  </w:r>
                </w:p>
              </w:tc>
              <w:tc>
                <w:tcPr>
                  <w:tcW w:w="1489" w:type="pct"/>
                  <w:tcBorders>
                    <w:bottom w:val="single" w:sz="4" w:space="0" w:color="auto"/>
                  </w:tcBorders>
                  <w:shd w:val="clear" w:color="auto" w:fill="auto"/>
                </w:tcPr>
                <w:p w:rsidR="0051655A" w:rsidRPr="00B02AD6" w:rsidRDefault="0051655A" w:rsidP="00A03C69">
                  <w:pPr>
                    <w:pStyle w:val="Header"/>
                    <w:tabs>
                      <w:tab w:val="left" w:pos="284"/>
                    </w:tabs>
                    <w:rPr>
                      <w:sz w:val="22"/>
                      <w:szCs w:val="22"/>
                    </w:rPr>
                  </w:pPr>
                  <w:r w:rsidRPr="00B02AD6">
                    <w:rPr>
                      <w:sz w:val="22"/>
                      <w:szCs w:val="22"/>
                    </w:rPr>
                    <w:t>241</w:t>
                  </w:r>
                </w:p>
                <w:p w:rsidR="0051655A" w:rsidRPr="00B02AD6" w:rsidRDefault="0051655A" w:rsidP="00A03C69">
                  <w:pPr>
                    <w:pStyle w:val="Header"/>
                    <w:tabs>
                      <w:tab w:val="left" w:pos="284"/>
                    </w:tabs>
                    <w:rPr>
                      <w:sz w:val="22"/>
                      <w:szCs w:val="22"/>
                    </w:rPr>
                  </w:pPr>
                  <w:r w:rsidRPr="00B02AD6">
                    <w:rPr>
                      <w:sz w:val="22"/>
                      <w:szCs w:val="22"/>
                    </w:rPr>
                    <w:t>244</w:t>
                  </w:r>
                </w:p>
              </w:tc>
              <w:tc>
                <w:tcPr>
                  <w:tcW w:w="1491"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 xml:space="preserve">259 </w:t>
                  </w:r>
                </w:p>
                <w:p w:rsidR="0051655A" w:rsidRPr="00B02AD6" w:rsidRDefault="0051655A" w:rsidP="00A03C69">
                  <w:pPr>
                    <w:pStyle w:val="Header"/>
                    <w:tabs>
                      <w:tab w:val="left" w:pos="284"/>
                    </w:tabs>
                    <w:rPr>
                      <w:sz w:val="22"/>
                      <w:szCs w:val="22"/>
                    </w:rPr>
                  </w:pPr>
                  <w:r w:rsidRPr="00B02AD6">
                    <w:rPr>
                      <w:sz w:val="22"/>
                      <w:szCs w:val="22"/>
                    </w:rPr>
                    <w:t>259</w:t>
                  </w:r>
                </w:p>
              </w:tc>
              <w:tc>
                <w:tcPr>
                  <w:tcW w:w="1232"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1,05 (0,94; 1,18)</w:t>
                  </w:r>
                </w:p>
                <w:p w:rsidR="0051655A" w:rsidRPr="00B02AD6" w:rsidRDefault="0051655A" w:rsidP="00A03C69">
                  <w:pPr>
                    <w:pStyle w:val="Header"/>
                    <w:tabs>
                      <w:tab w:val="left" w:pos="284"/>
                    </w:tabs>
                    <w:rPr>
                      <w:sz w:val="22"/>
                      <w:szCs w:val="22"/>
                    </w:rPr>
                  </w:pPr>
                  <w:r w:rsidRPr="00B02AD6">
                    <w:rPr>
                      <w:sz w:val="22"/>
                      <w:szCs w:val="22"/>
                    </w:rPr>
                    <w:t>1,04 (0,93; 1,16)</w:t>
                  </w:r>
                </w:p>
              </w:tc>
            </w:tr>
            <w:tr w:rsidR="0051655A" w:rsidRPr="00B02AD6" w:rsidTr="00AF6CAC">
              <w:tc>
                <w:tcPr>
                  <w:tcW w:w="5000" w:type="pct"/>
                  <w:gridSpan w:val="4"/>
                  <w:shd w:val="clear" w:color="auto" w:fill="E6E6E6"/>
                  <w:vAlign w:val="center"/>
                </w:tcPr>
                <w:p w:rsidR="0051655A" w:rsidRPr="00B02AD6" w:rsidRDefault="0051655A" w:rsidP="00A03C69">
                  <w:pPr>
                    <w:pStyle w:val="Header"/>
                    <w:tabs>
                      <w:tab w:val="left" w:pos="284"/>
                    </w:tabs>
                    <w:rPr>
                      <w:b/>
                      <w:sz w:val="22"/>
                      <w:szCs w:val="22"/>
                    </w:rPr>
                  </w:pPr>
                  <w:r w:rsidRPr="00B02AD6">
                    <w:rPr>
                      <w:b/>
                      <w:sz w:val="22"/>
                      <w:szCs w:val="22"/>
                    </w:rPr>
                    <w:t>Parametar: Ukupno preživljavanje</w:t>
                  </w:r>
                </w:p>
              </w:tc>
            </w:tr>
            <w:tr w:rsidR="0051655A" w:rsidRPr="00B02AD6" w:rsidTr="00AF6CAC">
              <w:tc>
                <w:tcPr>
                  <w:tcW w:w="788"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EPP</w:t>
                  </w:r>
                </w:p>
                <w:p w:rsidR="0051655A" w:rsidRPr="00B02AD6" w:rsidRDefault="0051655A" w:rsidP="00A03C69">
                  <w:pPr>
                    <w:pStyle w:val="Header"/>
                    <w:tabs>
                      <w:tab w:val="left" w:pos="284"/>
                    </w:tabs>
                    <w:rPr>
                      <w:sz w:val="22"/>
                      <w:szCs w:val="22"/>
                    </w:rPr>
                  </w:pPr>
                  <w:r w:rsidRPr="00B02AD6">
                    <w:rPr>
                      <w:sz w:val="22"/>
                      <w:szCs w:val="22"/>
                    </w:rPr>
                    <w:t>ITT</w:t>
                  </w:r>
                </w:p>
              </w:tc>
              <w:tc>
                <w:tcPr>
                  <w:tcW w:w="1489"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577</w:t>
                  </w:r>
                </w:p>
                <w:p w:rsidR="0051655A" w:rsidRPr="00B02AD6" w:rsidRDefault="0051655A" w:rsidP="00A03C69">
                  <w:pPr>
                    <w:pStyle w:val="Header"/>
                    <w:tabs>
                      <w:tab w:val="left" w:pos="284"/>
                    </w:tabs>
                    <w:rPr>
                      <w:sz w:val="22"/>
                      <w:szCs w:val="22"/>
                    </w:rPr>
                  </w:pPr>
                  <w:r w:rsidRPr="00B02AD6">
                    <w:rPr>
                      <w:sz w:val="22"/>
                      <w:szCs w:val="22"/>
                    </w:rPr>
                    <w:t>581</w:t>
                  </w:r>
                </w:p>
              </w:tc>
              <w:tc>
                <w:tcPr>
                  <w:tcW w:w="1491"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549</w:t>
                  </w:r>
                </w:p>
                <w:p w:rsidR="0051655A" w:rsidRPr="00B02AD6" w:rsidRDefault="0051655A" w:rsidP="00A03C69">
                  <w:pPr>
                    <w:pStyle w:val="Header"/>
                    <w:tabs>
                      <w:tab w:val="left" w:pos="284"/>
                    </w:tabs>
                    <w:rPr>
                      <w:sz w:val="22"/>
                      <w:szCs w:val="22"/>
                    </w:rPr>
                  </w:pPr>
                  <w:r w:rsidRPr="00B02AD6">
                    <w:rPr>
                      <w:sz w:val="22"/>
                      <w:szCs w:val="22"/>
                    </w:rPr>
                    <w:t>553</w:t>
                  </w:r>
                </w:p>
              </w:tc>
              <w:tc>
                <w:tcPr>
                  <w:tcW w:w="1232"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0,97 (0,84; 1,14)</w:t>
                  </w:r>
                </w:p>
                <w:p w:rsidR="0051655A" w:rsidRPr="00B02AD6" w:rsidRDefault="0051655A" w:rsidP="00A03C69">
                  <w:pPr>
                    <w:pStyle w:val="Header"/>
                    <w:tabs>
                      <w:tab w:val="left" w:pos="284"/>
                    </w:tabs>
                    <w:rPr>
                      <w:sz w:val="22"/>
                      <w:szCs w:val="22"/>
                    </w:rPr>
                  </w:pPr>
                  <w:r w:rsidRPr="00B02AD6">
                    <w:rPr>
                      <w:sz w:val="22"/>
                      <w:szCs w:val="22"/>
                    </w:rPr>
                    <w:t>0,96 (0,83; 1,12)</w:t>
                  </w:r>
                </w:p>
              </w:tc>
            </w:tr>
            <w:tr w:rsidR="0051655A" w:rsidRPr="00B02AD6" w:rsidTr="00AF6CAC">
              <w:tc>
                <w:tcPr>
                  <w:tcW w:w="5000" w:type="pct"/>
                  <w:gridSpan w:val="4"/>
                  <w:shd w:val="clear" w:color="auto" w:fill="E6E6E6"/>
                  <w:vAlign w:val="center"/>
                </w:tcPr>
                <w:p w:rsidR="0051655A" w:rsidRPr="00B02AD6" w:rsidRDefault="0051655A" w:rsidP="00A03C69">
                  <w:pPr>
                    <w:pStyle w:val="Header"/>
                    <w:tabs>
                      <w:tab w:val="left" w:pos="284"/>
                    </w:tabs>
                    <w:jc w:val="center"/>
                    <w:rPr>
                      <w:b/>
                      <w:sz w:val="22"/>
                      <w:szCs w:val="22"/>
                    </w:rPr>
                  </w:pPr>
                  <w:r w:rsidRPr="00B02AD6">
                    <w:rPr>
                      <w:b/>
                      <w:sz w:val="22"/>
                      <w:szCs w:val="22"/>
                    </w:rPr>
                    <w:t>DODATNA GODINA PRAĆENJA</w:t>
                  </w:r>
                </w:p>
              </w:tc>
            </w:tr>
            <w:tr w:rsidR="0051655A" w:rsidRPr="00B02AD6" w:rsidTr="00AF6CAC">
              <w:tc>
                <w:tcPr>
                  <w:tcW w:w="788" w:type="pct"/>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Populacija</w:t>
                  </w:r>
                </w:p>
              </w:tc>
              <w:tc>
                <w:tcPr>
                  <w:tcW w:w="2980" w:type="pct"/>
                  <w:gridSpan w:val="2"/>
                  <w:tcBorders>
                    <w:bottom w:val="single" w:sz="4" w:space="0" w:color="auto"/>
                  </w:tcBorders>
                  <w:shd w:val="clear" w:color="auto" w:fill="auto"/>
                  <w:vAlign w:val="bottom"/>
                </w:tcPr>
                <w:p w:rsidR="0051655A" w:rsidRPr="00B02AD6" w:rsidRDefault="0051655A" w:rsidP="00A03C69">
                  <w:pPr>
                    <w:pStyle w:val="Header"/>
                    <w:tabs>
                      <w:tab w:val="left" w:pos="284"/>
                    </w:tabs>
                    <w:jc w:val="center"/>
                    <w:rPr>
                      <w:b/>
                      <w:sz w:val="22"/>
                      <w:szCs w:val="22"/>
                    </w:rPr>
                  </w:pPr>
                  <w:r w:rsidRPr="00B02AD6">
                    <w:rPr>
                      <w:b/>
                      <w:sz w:val="22"/>
                      <w:szCs w:val="22"/>
                    </w:rPr>
                    <w:t>Srednje vrijeme do događaja (Dana)</w:t>
                  </w:r>
                </w:p>
              </w:tc>
              <w:tc>
                <w:tcPr>
                  <w:tcW w:w="1232" w:type="pct"/>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HR</w:t>
                  </w:r>
                </w:p>
                <w:p w:rsidR="0051655A" w:rsidRPr="00B02AD6" w:rsidRDefault="0051655A" w:rsidP="00C73CD2">
                  <w:pPr>
                    <w:pStyle w:val="Header"/>
                    <w:tabs>
                      <w:tab w:val="left" w:pos="284"/>
                    </w:tabs>
                    <w:rPr>
                      <w:b/>
                      <w:sz w:val="22"/>
                      <w:szCs w:val="22"/>
                    </w:rPr>
                  </w:pPr>
                  <w:r w:rsidRPr="00B02AD6">
                    <w:rPr>
                      <w:b/>
                      <w:sz w:val="22"/>
                      <w:szCs w:val="22"/>
                    </w:rPr>
                    <w:t>(97</w:t>
                  </w:r>
                  <w:r w:rsidR="00C73CD2" w:rsidRPr="00B02AD6">
                    <w:rPr>
                      <w:b/>
                      <w:sz w:val="22"/>
                      <w:szCs w:val="22"/>
                    </w:rPr>
                    <w:t>,</w:t>
                  </w:r>
                  <w:r w:rsidRPr="00B02AD6">
                    <w:rPr>
                      <w:b/>
                      <w:sz w:val="22"/>
                      <w:szCs w:val="22"/>
                    </w:rPr>
                    <w:t>5% CI)</w:t>
                  </w:r>
                </w:p>
              </w:tc>
            </w:tr>
            <w:tr w:rsidR="0051655A" w:rsidRPr="00B02AD6" w:rsidTr="00AF6CAC">
              <w:tc>
                <w:tcPr>
                  <w:tcW w:w="5000" w:type="pct"/>
                  <w:gridSpan w:val="4"/>
                  <w:shd w:val="clear" w:color="auto" w:fill="E6E6E6"/>
                  <w:vAlign w:val="center"/>
                </w:tcPr>
                <w:p w:rsidR="0051655A" w:rsidRPr="00B02AD6" w:rsidRDefault="0051655A" w:rsidP="00A03C69">
                  <w:pPr>
                    <w:pStyle w:val="Header"/>
                    <w:tabs>
                      <w:tab w:val="left" w:pos="284"/>
                    </w:tabs>
                    <w:rPr>
                      <w:b/>
                      <w:sz w:val="22"/>
                      <w:szCs w:val="22"/>
                    </w:rPr>
                  </w:pPr>
                  <w:r w:rsidRPr="00B02AD6">
                    <w:rPr>
                      <w:b/>
                      <w:sz w:val="22"/>
                      <w:szCs w:val="22"/>
                    </w:rPr>
                    <w:t>Parametar: Preživljavanje bez progresije</w:t>
                  </w:r>
                </w:p>
              </w:tc>
            </w:tr>
            <w:tr w:rsidR="0051655A" w:rsidRPr="00B02AD6" w:rsidTr="00AF6CAC">
              <w:trPr>
                <w:trHeight w:val="430"/>
              </w:trPr>
              <w:tc>
                <w:tcPr>
                  <w:tcW w:w="788"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EPP</w:t>
                  </w:r>
                </w:p>
                <w:p w:rsidR="0051655A" w:rsidRPr="00B02AD6" w:rsidRDefault="0051655A" w:rsidP="00A03C69">
                  <w:pPr>
                    <w:pStyle w:val="Header"/>
                    <w:tabs>
                      <w:tab w:val="left" w:pos="284"/>
                    </w:tabs>
                    <w:rPr>
                      <w:sz w:val="22"/>
                      <w:szCs w:val="22"/>
                    </w:rPr>
                  </w:pPr>
                  <w:r w:rsidRPr="00B02AD6">
                    <w:rPr>
                      <w:sz w:val="22"/>
                      <w:szCs w:val="22"/>
                    </w:rPr>
                    <w:t>ITT</w:t>
                  </w:r>
                </w:p>
              </w:tc>
              <w:tc>
                <w:tcPr>
                  <w:tcW w:w="1489" w:type="pct"/>
                  <w:tcBorders>
                    <w:bottom w:val="single" w:sz="4" w:space="0" w:color="auto"/>
                  </w:tcBorders>
                  <w:shd w:val="clear" w:color="auto" w:fill="auto"/>
                </w:tcPr>
                <w:p w:rsidR="0051655A" w:rsidRPr="00B02AD6" w:rsidRDefault="0051655A" w:rsidP="00A03C69">
                  <w:pPr>
                    <w:pStyle w:val="Header"/>
                    <w:tabs>
                      <w:tab w:val="left" w:pos="284"/>
                    </w:tabs>
                    <w:rPr>
                      <w:sz w:val="22"/>
                      <w:szCs w:val="22"/>
                    </w:rPr>
                  </w:pPr>
                  <w:r w:rsidRPr="00B02AD6">
                    <w:rPr>
                      <w:sz w:val="22"/>
                      <w:szCs w:val="22"/>
                    </w:rPr>
                    <w:t xml:space="preserve">242 </w:t>
                  </w:r>
                </w:p>
                <w:p w:rsidR="0051655A" w:rsidRPr="00B02AD6" w:rsidRDefault="0051655A" w:rsidP="00A03C69">
                  <w:pPr>
                    <w:pStyle w:val="Header"/>
                    <w:tabs>
                      <w:tab w:val="left" w:pos="284"/>
                    </w:tabs>
                    <w:rPr>
                      <w:sz w:val="22"/>
                      <w:szCs w:val="22"/>
                    </w:rPr>
                  </w:pPr>
                  <w:r w:rsidRPr="00B02AD6">
                    <w:rPr>
                      <w:sz w:val="22"/>
                      <w:szCs w:val="22"/>
                    </w:rPr>
                    <w:t>244</w:t>
                  </w:r>
                </w:p>
              </w:tc>
              <w:tc>
                <w:tcPr>
                  <w:tcW w:w="1491"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259</w:t>
                  </w:r>
                </w:p>
                <w:p w:rsidR="0051655A" w:rsidRPr="00B02AD6" w:rsidRDefault="0051655A" w:rsidP="00A03C69">
                  <w:pPr>
                    <w:pStyle w:val="Header"/>
                    <w:tabs>
                      <w:tab w:val="left" w:pos="284"/>
                    </w:tabs>
                    <w:rPr>
                      <w:sz w:val="22"/>
                      <w:szCs w:val="22"/>
                    </w:rPr>
                  </w:pPr>
                  <w:r w:rsidRPr="00B02AD6">
                    <w:rPr>
                      <w:sz w:val="22"/>
                      <w:szCs w:val="22"/>
                    </w:rPr>
                    <w:t>259</w:t>
                  </w:r>
                </w:p>
              </w:tc>
              <w:tc>
                <w:tcPr>
                  <w:tcW w:w="1232"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1,02 (0,92; 1,14)</w:t>
                  </w:r>
                </w:p>
                <w:p w:rsidR="0051655A" w:rsidRPr="00B02AD6" w:rsidRDefault="0051655A" w:rsidP="00A03C69">
                  <w:pPr>
                    <w:pStyle w:val="Header"/>
                    <w:tabs>
                      <w:tab w:val="left" w:pos="284"/>
                    </w:tabs>
                    <w:rPr>
                      <w:sz w:val="22"/>
                      <w:szCs w:val="22"/>
                    </w:rPr>
                  </w:pPr>
                  <w:r w:rsidRPr="00B02AD6">
                    <w:rPr>
                      <w:sz w:val="22"/>
                      <w:szCs w:val="22"/>
                    </w:rPr>
                    <w:t>1,01 (0,91; 1,12)</w:t>
                  </w:r>
                </w:p>
              </w:tc>
            </w:tr>
            <w:tr w:rsidR="0051655A" w:rsidRPr="00B02AD6" w:rsidTr="00AF6CAC">
              <w:tc>
                <w:tcPr>
                  <w:tcW w:w="5000" w:type="pct"/>
                  <w:gridSpan w:val="4"/>
                  <w:shd w:val="clear" w:color="auto" w:fill="E6E6E6"/>
                  <w:vAlign w:val="center"/>
                </w:tcPr>
                <w:p w:rsidR="0051655A" w:rsidRPr="00B02AD6" w:rsidRDefault="0051655A" w:rsidP="00A03C69">
                  <w:pPr>
                    <w:pStyle w:val="Header"/>
                    <w:tabs>
                      <w:tab w:val="left" w:pos="284"/>
                    </w:tabs>
                    <w:rPr>
                      <w:b/>
                      <w:sz w:val="22"/>
                      <w:szCs w:val="22"/>
                    </w:rPr>
                  </w:pPr>
                  <w:r w:rsidRPr="00B02AD6">
                    <w:rPr>
                      <w:b/>
                      <w:sz w:val="22"/>
                      <w:szCs w:val="22"/>
                    </w:rPr>
                    <w:t>Parametar: Ukupno preživljavanje</w:t>
                  </w:r>
                </w:p>
              </w:tc>
            </w:tr>
            <w:tr w:rsidR="0051655A" w:rsidRPr="00B02AD6" w:rsidTr="00AF6CAC">
              <w:tc>
                <w:tcPr>
                  <w:tcW w:w="788" w:type="pct"/>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EPP</w:t>
                  </w:r>
                </w:p>
                <w:p w:rsidR="0051655A" w:rsidRPr="00B02AD6" w:rsidRDefault="0051655A" w:rsidP="00A03C69">
                  <w:pPr>
                    <w:pStyle w:val="Header"/>
                    <w:tabs>
                      <w:tab w:val="left" w:pos="284"/>
                    </w:tabs>
                    <w:rPr>
                      <w:sz w:val="22"/>
                      <w:szCs w:val="22"/>
                    </w:rPr>
                  </w:pPr>
                  <w:r w:rsidRPr="00B02AD6">
                    <w:rPr>
                      <w:sz w:val="22"/>
                      <w:szCs w:val="22"/>
                    </w:rPr>
                    <w:t>ITT</w:t>
                  </w:r>
                </w:p>
              </w:tc>
              <w:tc>
                <w:tcPr>
                  <w:tcW w:w="1489" w:type="pct"/>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600</w:t>
                  </w:r>
                </w:p>
                <w:p w:rsidR="0051655A" w:rsidRPr="00B02AD6" w:rsidRDefault="0051655A" w:rsidP="00A03C69">
                  <w:pPr>
                    <w:pStyle w:val="Header"/>
                    <w:tabs>
                      <w:tab w:val="left" w:pos="284"/>
                    </w:tabs>
                    <w:rPr>
                      <w:sz w:val="22"/>
                      <w:szCs w:val="22"/>
                    </w:rPr>
                  </w:pPr>
                  <w:r w:rsidRPr="00B02AD6">
                    <w:rPr>
                      <w:sz w:val="22"/>
                      <w:szCs w:val="22"/>
                    </w:rPr>
                    <w:t>602</w:t>
                  </w:r>
                </w:p>
              </w:tc>
              <w:tc>
                <w:tcPr>
                  <w:tcW w:w="1491" w:type="pct"/>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594</w:t>
                  </w:r>
                </w:p>
                <w:p w:rsidR="0051655A" w:rsidRPr="00B02AD6" w:rsidRDefault="0051655A" w:rsidP="00A03C69">
                  <w:pPr>
                    <w:pStyle w:val="Header"/>
                    <w:tabs>
                      <w:tab w:val="left" w:pos="284"/>
                    </w:tabs>
                    <w:rPr>
                      <w:sz w:val="22"/>
                      <w:szCs w:val="22"/>
                    </w:rPr>
                  </w:pPr>
                  <w:r w:rsidRPr="00B02AD6">
                    <w:rPr>
                      <w:sz w:val="22"/>
                      <w:szCs w:val="22"/>
                    </w:rPr>
                    <w:t>596</w:t>
                  </w:r>
                </w:p>
              </w:tc>
              <w:tc>
                <w:tcPr>
                  <w:tcW w:w="1232" w:type="pct"/>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1,00 (0,88; 1,13)</w:t>
                  </w:r>
                </w:p>
                <w:p w:rsidR="0051655A" w:rsidRPr="00B02AD6" w:rsidRDefault="0051655A" w:rsidP="00A03C69">
                  <w:pPr>
                    <w:pStyle w:val="Header"/>
                    <w:tabs>
                      <w:tab w:val="left" w:pos="284"/>
                    </w:tabs>
                    <w:rPr>
                      <w:sz w:val="22"/>
                      <w:szCs w:val="22"/>
                    </w:rPr>
                  </w:pPr>
                  <w:r w:rsidRPr="00B02AD6">
                    <w:rPr>
                      <w:sz w:val="22"/>
                      <w:szCs w:val="22"/>
                    </w:rPr>
                    <w:t>0,99 (0,88; 1,12)</w:t>
                  </w:r>
                </w:p>
              </w:tc>
            </w:tr>
          </w:tbl>
          <w:p w:rsidR="0051655A" w:rsidRPr="00B02AD6" w:rsidRDefault="0051655A" w:rsidP="00A03C69">
            <w:pPr>
              <w:pStyle w:val="Header"/>
              <w:tabs>
                <w:tab w:val="left" w:pos="284"/>
              </w:tabs>
              <w:rPr>
                <w:sz w:val="22"/>
                <w:szCs w:val="22"/>
              </w:rPr>
            </w:pPr>
            <w:r w:rsidRPr="00B02AD6">
              <w:rPr>
                <w:sz w:val="22"/>
                <w:szCs w:val="22"/>
              </w:rPr>
              <w:t xml:space="preserve">*EPP= populacija pacijenata koji ispunjavaju kriterijume ; **ITT = intent –to –treat population – populacija </w:t>
            </w:r>
            <w:r w:rsidR="00C73CD2" w:rsidRPr="00B02AD6">
              <w:rPr>
                <w:sz w:val="22"/>
                <w:szCs w:val="22"/>
              </w:rPr>
              <w:t xml:space="preserve">pacijenata </w:t>
            </w:r>
            <w:r w:rsidRPr="00B02AD6">
              <w:rPr>
                <w:sz w:val="22"/>
                <w:szCs w:val="22"/>
              </w:rPr>
              <w:t>predviđenih za liječenje</w:t>
            </w:r>
          </w:p>
          <w:p w:rsidR="0051655A" w:rsidRPr="00B02AD6" w:rsidRDefault="0051655A" w:rsidP="00A03C69">
            <w:pPr>
              <w:pStyle w:val="Header"/>
              <w:tabs>
                <w:tab w:val="left" w:pos="284"/>
              </w:tabs>
              <w:rPr>
                <w:color w:val="FF0000"/>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sz w:val="22"/>
                <w:szCs w:val="22"/>
              </w:rPr>
              <w:t>U randomizovanoj kontrolisanoj studiji faze III (CAIRO)</w:t>
            </w:r>
            <w:r w:rsidR="00C73CD2" w:rsidRPr="00B02AD6">
              <w:rPr>
                <w:sz w:val="22"/>
                <w:szCs w:val="22"/>
              </w:rPr>
              <w:t>,</w:t>
            </w:r>
            <w:r w:rsidRPr="00B02AD6">
              <w:rPr>
                <w:sz w:val="22"/>
                <w:szCs w:val="22"/>
              </w:rPr>
              <w:t xml:space="preserve"> ispitivano je dejstvo primjene kapecitabina sa početnom dozom od 1000 mg/m</w:t>
            </w:r>
            <w:r w:rsidRPr="00B02AD6">
              <w:rPr>
                <w:sz w:val="22"/>
                <w:szCs w:val="22"/>
                <w:vertAlign w:val="superscript"/>
              </w:rPr>
              <w:t>2</w:t>
            </w:r>
            <w:r w:rsidRPr="00B02AD6">
              <w:rPr>
                <w:sz w:val="22"/>
                <w:szCs w:val="22"/>
              </w:rPr>
              <w:t xml:space="preserve"> tokom dvije nedjelje na svake 3 nedjelje u kombinaciji sa irinotekanom kao prva linija terapije  pacijenata sa metastatskim kolorektalnim karcinomom.  Randomizovano je 820 pacijenata da prima ili sekvencijalnu terapiju (n=410) ili kombinovanu terapiju (n=410). Sekvencijalna terapija se sadržavala od prve linije terapije kapecitabinom (1250 mg/m</w:t>
            </w:r>
            <w:r w:rsidRPr="00B02AD6">
              <w:rPr>
                <w:sz w:val="22"/>
                <w:szCs w:val="22"/>
                <w:vertAlign w:val="superscript"/>
              </w:rPr>
              <w:t>2</w:t>
            </w:r>
            <w:r w:rsidRPr="00B02AD6">
              <w:rPr>
                <w:sz w:val="22"/>
                <w:szCs w:val="22"/>
              </w:rPr>
              <w:t xml:space="preserve"> dva puta dnevno tokom 14 dana), druge linije  irinotekanom (350 mg/m</w:t>
            </w:r>
            <w:r w:rsidRPr="00B02AD6">
              <w:rPr>
                <w:sz w:val="22"/>
                <w:szCs w:val="22"/>
                <w:vertAlign w:val="superscript"/>
              </w:rPr>
              <w:t>2</w:t>
            </w:r>
            <w:r w:rsidRPr="00B02AD6">
              <w:rPr>
                <w:sz w:val="22"/>
                <w:szCs w:val="22"/>
              </w:rPr>
              <w:t xml:space="preserve"> prvog dana), i treće linije kombinacije sa kapecitabinom (1000 mg/m</w:t>
            </w:r>
            <w:r w:rsidRPr="00B02AD6">
              <w:rPr>
                <w:sz w:val="22"/>
                <w:szCs w:val="22"/>
                <w:vertAlign w:val="superscript"/>
              </w:rPr>
              <w:t>2</w:t>
            </w:r>
            <w:r w:rsidRPr="00B02AD6">
              <w:rPr>
                <w:sz w:val="22"/>
                <w:szCs w:val="22"/>
              </w:rPr>
              <w:t xml:space="preserve"> dva puta dnevno tokom 14 dana) sa oksaliplatinom (130 mg/m</w:t>
            </w:r>
            <w:r w:rsidRPr="00B02AD6">
              <w:rPr>
                <w:sz w:val="22"/>
                <w:szCs w:val="22"/>
                <w:vertAlign w:val="superscript"/>
              </w:rPr>
              <w:t>2</w:t>
            </w:r>
            <w:r w:rsidRPr="00B02AD6">
              <w:rPr>
                <w:sz w:val="22"/>
                <w:szCs w:val="22"/>
              </w:rPr>
              <w:t xml:space="preserve"> prvog dana). Kombinovana terapija se sastojala od primjene kapecitabina</w:t>
            </w:r>
            <w:r w:rsidRPr="00B02AD6">
              <w:rPr>
                <w:color w:val="FF0000"/>
                <w:sz w:val="22"/>
                <w:szCs w:val="22"/>
              </w:rPr>
              <w:t xml:space="preserve"> </w:t>
            </w:r>
            <w:r w:rsidRPr="00B02AD6">
              <w:rPr>
                <w:sz w:val="22"/>
                <w:szCs w:val="22"/>
              </w:rPr>
              <w:t>(1000 mg/m</w:t>
            </w:r>
            <w:r w:rsidRPr="00B02AD6">
              <w:rPr>
                <w:sz w:val="22"/>
                <w:szCs w:val="22"/>
                <w:vertAlign w:val="superscript"/>
              </w:rPr>
              <w:t>2</w:t>
            </w:r>
            <w:r w:rsidRPr="00B02AD6">
              <w:rPr>
                <w:sz w:val="22"/>
                <w:szCs w:val="22"/>
              </w:rPr>
              <w:t xml:space="preserve"> dva puta dnevno tokom 14 dana) u kombinaciji sa irinotekanom (250 mg /m</w:t>
            </w:r>
            <w:r w:rsidRPr="00B02AD6">
              <w:rPr>
                <w:sz w:val="22"/>
                <w:szCs w:val="22"/>
                <w:vertAlign w:val="superscript"/>
              </w:rPr>
              <w:t>2</w:t>
            </w:r>
            <w:r w:rsidRPr="00B02AD6">
              <w:rPr>
                <w:sz w:val="22"/>
                <w:szCs w:val="22"/>
              </w:rPr>
              <w:t xml:space="preserve"> prvog dana) (XELIRI) i druge linije kapecitabina  (1000 mg/m</w:t>
            </w:r>
            <w:r w:rsidRPr="00B02AD6">
              <w:rPr>
                <w:sz w:val="22"/>
                <w:szCs w:val="22"/>
                <w:vertAlign w:val="superscript"/>
              </w:rPr>
              <w:t>2</w:t>
            </w:r>
            <w:r w:rsidRPr="00B02AD6">
              <w:rPr>
                <w:sz w:val="22"/>
                <w:szCs w:val="22"/>
              </w:rPr>
              <w:t xml:space="preserve"> dva puta na dan tokom 14 dana) plus oksaliplatin (130 mg/m</w:t>
            </w:r>
            <w:r w:rsidRPr="00B02AD6">
              <w:rPr>
                <w:sz w:val="22"/>
                <w:szCs w:val="22"/>
                <w:vertAlign w:val="superscript"/>
              </w:rPr>
              <w:t>2</w:t>
            </w:r>
            <w:r w:rsidRPr="00B02AD6">
              <w:rPr>
                <w:sz w:val="22"/>
                <w:szCs w:val="22"/>
              </w:rPr>
              <w:t xml:space="preserve"> prvog dana). Svi terapijski ciklusi su davani u intervalima od 3 nedjelje. U prvoj liniji terapije</w:t>
            </w:r>
            <w:r w:rsidR="00C73CD2" w:rsidRPr="00B02AD6">
              <w:rPr>
                <w:sz w:val="22"/>
                <w:szCs w:val="22"/>
              </w:rPr>
              <w:t>,</w:t>
            </w:r>
            <w:r w:rsidRPr="00B02AD6">
              <w:rPr>
                <w:sz w:val="22"/>
                <w:szCs w:val="22"/>
              </w:rPr>
              <w:t xml:space="preserve"> srednje preživljavanje bez progresije u populaciji pacijenata predviđenih za liječenje iznosilo je 5</w:t>
            </w:r>
            <w:r w:rsidR="00C73CD2" w:rsidRPr="00B02AD6">
              <w:rPr>
                <w:sz w:val="22"/>
                <w:szCs w:val="22"/>
              </w:rPr>
              <w:t>,</w:t>
            </w:r>
            <w:r w:rsidRPr="00B02AD6">
              <w:rPr>
                <w:sz w:val="22"/>
                <w:szCs w:val="22"/>
              </w:rPr>
              <w:t>8 mjeseci (95%CI, 5,1 -6,2 mjeseci) za monoterapiju kapecitabinom</w:t>
            </w:r>
            <w:r w:rsidR="00C73CD2" w:rsidRPr="00B02AD6">
              <w:rPr>
                <w:sz w:val="22"/>
                <w:szCs w:val="22"/>
              </w:rPr>
              <w:t>,</w:t>
            </w:r>
            <w:r w:rsidRPr="00B02AD6">
              <w:rPr>
                <w:sz w:val="22"/>
                <w:szCs w:val="22"/>
              </w:rPr>
              <w:t xml:space="preserve"> i 7,8 mjeseci (95%CI, 7,0-8,3 mjeseci; p=0.0002) za XELIRI.</w:t>
            </w:r>
            <w:r w:rsidRPr="00B02AD6">
              <w:rPr>
                <w:color w:val="FF0000"/>
                <w:sz w:val="22"/>
                <w:szCs w:val="22"/>
              </w:rPr>
              <w:t xml:space="preserve"> </w:t>
            </w:r>
            <w:r w:rsidRPr="00B02AD6">
              <w:rPr>
                <w:rFonts w:ascii="TimesNewRoman" w:hAnsi="TimesNewRoman" w:cs="TimesNewRoman"/>
                <w:sz w:val="22"/>
                <w:szCs w:val="22"/>
              </w:rPr>
              <w:t xml:space="preserve">Međutim, ovo je bilo povezano sa </w:t>
            </w:r>
            <w:r w:rsidRPr="00B02AD6">
              <w:rPr>
                <w:rFonts w:ascii="TimesNewRoman" w:hAnsi="TimesNewRoman" w:cs="TimesNewRoman"/>
                <w:sz w:val="22"/>
                <w:szCs w:val="22"/>
              </w:rPr>
              <w:lastRenderedPageBreak/>
              <w:t xml:space="preserve">povećanom incidencom gastrointestinalne toksičnosti i neutropenije tokom primjene prve linije kod XELIRI kombinacije (26% i 11% za XELIRI kombinaciju </w:t>
            </w:r>
            <w:r w:rsidR="00C73CD2" w:rsidRPr="00B02AD6">
              <w:rPr>
                <w:rFonts w:ascii="TimesNewRoman" w:hAnsi="TimesNewRoman" w:cs="TimesNewRoman"/>
                <w:sz w:val="22"/>
                <w:szCs w:val="22"/>
              </w:rPr>
              <w:t xml:space="preserve">i prvu liniju </w:t>
            </w:r>
            <w:r w:rsidRPr="00B02AD6">
              <w:rPr>
                <w:rFonts w:ascii="TimesNewRoman" w:hAnsi="TimesNewRoman" w:cs="TimesNewRoman"/>
                <w:sz w:val="22"/>
                <w:szCs w:val="22"/>
              </w:rPr>
              <w:t>kapecitabina, redom).</w:t>
            </w:r>
          </w:p>
          <w:p w:rsidR="0051655A" w:rsidRPr="00B02AD6" w:rsidRDefault="0051655A" w:rsidP="00A03C69">
            <w:pPr>
              <w:pStyle w:val="Header"/>
              <w:tabs>
                <w:tab w:val="left" w:pos="284"/>
              </w:tabs>
              <w:rPr>
                <w:color w:val="FF0000"/>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1"/>
                <w:szCs w:val="21"/>
              </w:rPr>
              <w:t xml:space="preserve">XELIRI protokol upoređen je sa kombinacijom 5-FU + </w:t>
            </w:r>
            <w:r w:rsidR="007A7A0A" w:rsidRPr="00B02AD6">
              <w:rPr>
                <w:rFonts w:ascii="TimesNewRoman" w:hAnsi="TimesNewRoman" w:cs="TimesNewRoman"/>
                <w:sz w:val="21"/>
                <w:szCs w:val="21"/>
              </w:rPr>
              <w:t>irinotekan</w:t>
            </w:r>
            <w:r w:rsidR="007A7A0A" w:rsidRPr="00B02AD6">
              <w:rPr>
                <w:rFonts w:ascii="TimesNewRoman" w:hAnsi="TimesNewRoman" w:cs="TimesNewRoman"/>
                <w:sz w:val="22"/>
                <w:szCs w:val="22"/>
              </w:rPr>
              <w:t xml:space="preserve"> </w:t>
            </w:r>
            <w:r w:rsidRPr="00B02AD6">
              <w:rPr>
                <w:rFonts w:ascii="TimesNewRoman" w:hAnsi="TimesNewRoman" w:cs="TimesNewRoman"/>
                <w:sz w:val="22"/>
                <w:szCs w:val="22"/>
              </w:rPr>
              <w:t>(FOLFIRI protokol) u tri randomizovane studije kod pacijenata sa metastatskim kolorektalnim karcinomom. Režim doziranja kombinacije kapecitabin+irinotekan obuhvatao je primjenu kapecitabina u dozi od 1000 mg/</w:t>
            </w:r>
            <w:r w:rsidRPr="00B02AD6">
              <w:rPr>
                <w:sz w:val="22"/>
                <w:szCs w:val="22"/>
              </w:rPr>
              <w:t xml:space="preserve"> m</w:t>
            </w:r>
            <w:r w:rsidRPr="00B02AD6">
              <w:rPr>
                <w:sz w:val="22"/>
                <w:szCs w:val="22"/>
                <w:vertAlign w:val="superscript"/>
              </w:rPr>
              <w:t>2</w:t>
            </w:r>
            <w:r w:rsidRPr="00B02AD6">
              <w:rPr>
                <w:rFonts w:ascii="TimesNewRoman" w:hAnsi="TimesNewRoman" w:cs="TimesNewRoman"/>
                <w:sz w:val="14"/>
                <w:szCs w:val="14"/>
              </w:rPr>
              <w:t xml:space="preserve"> </w:t>
            </w:r>
            <w:r w:rsidRPr="00B02AD6">
              <w:rPr>
                <w:rFonts w:ascii="TimesNewRoman" w:hAnsi="TimesNewRoman" w:cs="TimesNewRoman"/>
                <w:sz w:val="22"/>
                <w:szCs w:val="22"/>
              </w:rPr>
              <w:t xml:space="preserve">dva puta dnevno od 1. do 14. </w:t>
            </w:r>
            <w:r w:rsidR="007A7A0A" w:rsidRPr="00B02AD6">
              <w:rPr>
                <w:rFonts w:ascii="TimesNewRoman" w:hAnsi="TimesNewRoman" w:cs="TimesNewRoman"/>
                <w:sz w:val="22"/>
                <w:szCs w:val="22"/>
              </w:rPr>
              <w:t xml:space="preserve">dana </w:t>
            </w:r>
            <w:r w:rsidRPr="00B02AD6">
              <w:rPr>
                <w:rFonts w:ascii="TimesNewRoman" w:hAnsi="TimesNewRoman" w:cs="TimesNewRoman"/>
                <w:sz w:val="22"/>
                <w:szCs w:val="22"/>
              </w:rPr>
              <w:t>u tronedjeljnom ciklusu u kombinaciji sa irinotekanom u dozi od 250 mg/</w:t>
            </w:r>
            <w:r w:rsidRPr="00B02AD6">
              <w:rPr>
                <w:sz w:val="22"/>
                <w:szCs w:val="22"/>
              </w:rPr>
              <w:t xml:space="preserve"> m</w:t>
            </w:r>
            <w:r w:rsidRPr="00B02AD6">
              <w:rPr>
                <w:sz w:val="22"/>
                <w:szCs w:val="22"/>
                <w:vertAlign w:val="superscript"/>
              </w:rPr>
              <w:t xml:space="preserve">2  </w:t>
            </w:r>
            <w:r w:rsidRPr="00B02AD6">
              <w:rPr>
                <w:sz w:val="22"/>
                <w:szCs w:val="22"/>
              </w:rPr>
              <w:t xml:space="preserve">koji se daje </w:t>
            </w:r>
            <w:r w:rsidRPr="00B02AD6">
              <w:rPr>
                <w:rFonts w:ascii="TimesNewRoman" w:hAnsi="TimesNewRoman" w:cs="TimesNewRoman"/>
                <w:sz w:val="22"/>
                <w:szCs w:val="22"/>
              </w:rPr>
              <w:t xml:space="preserve">1. </w:t>
            </w:r>
            <w:r w:rsidR="007A7A0A" w:rsidRPr="00B02AD6">
              <w:rPr>
                <w:rFonts w:ascii="TimesNewRoman" w:hAnsi="TimesNewRoman" w:cs="TimesNewRoman"/>
                <w:sz w:val="22"/>
                <w:szCs w:val="22"/>
              </w:rPr>
              <w:t xml:space="preserve">dana </w:t>
            </w:r>
            <w:r w:rsidRPr="00B02AD6">
              <w:rPr>
                <w:rFonts w:ascii="TimesNewRoman" w:hAnsi="TimesNewRoman" w:cs="TimesNewRoman"/>
                <w:sz w:val="22"/>
                <w:szCs w:val="22"/>
              </w:rPr>
              <w:t>terapije. U najvećoj studiji (BICC-C)</w:t>
            </w:r>
            <w:r w:rsidR="007A7A0A" w:rsidRPr="00B02AD6">
              <w:rPr>
                <w:rFonts w:ascii="TimesNewRoman" w:hAnsi="TimesNewRoman" w:cs="TimesNewRoman"/>
                <w:sz w:val="22"/>
                <w:szCs w:val="22"/>
              </w:rPr>
              <w:t>,</w:t>
            </w:r>
            <w:r w:rsidRPr="00B02AD6">
              <w:rPr>
                <w:rFonts w:ascii="TimesNewRoman" w:hAnsi="TimesNewRoman" w:cs="TimesNewRoman"/>
                <w:sz w:val="22"/>
                <w:szCs w:val="22"/>
              </w:rPr>
              <w:t xml:space="preserve"> pacijenti su randomizovano podijeljeni u 3 grupe, gdje su pacijenti po grupama primali ili otvorenu terapiju FOLFIRI (n=144), bolus 5-FU (mIFL) (n=145) ili XELIRI kombinaciju (n=141), a dodatno su randomizovani u okviru grupa gdje su primali dvostruko slijepu terapiju sa celekoksibom ili placebo. Medijana preživljavanja bez progresije bolesti iznosila je 7,6 mjeseci za FOLFIRI, 5,9 mjeseci za mIFL (p=0,004) u poređenju sa FOLFIRI</w:t>
            </w:r>
            <w:r w:rsidR="007A7A0A" w:rsidRPr="00B02AD6">
              <w:rPr>
                <w:rFonts w:ascii="TimesNewRoman" w:hAnsi="TimesNewRoman" w:cs="TimesNewRoman"/>
                <w:sz w:val="22"/>
                <w:szCs w:val="22"/>
              </w:rPr>
              <w:t>,</w:t>
            </w:r>
            <w:r w:rsidRPr="00B02AD6">
              <w:rPr>
                <w:rFonts w:ascii="TimesNewRoman" w:hAnsi="TimesNewRoman" w:cs="TimesNewRoman"/>
                <w:sz w:val="22"/>
                <w:szCs w:val="22"/>
              </w:rPr>
              <w:t xml:space="preserve">  i 5,8 mjeseci za XELIRI (p=0,015). Medijana ukupnog preživljavanja bila je 23,1 mjesec za FOLFIRI, 17,6 mjeseci za mIFL (p=0,09) i 18,9 mjeseci za XELIRI (p=0,27). Kod pacijenata liječenih kombinacijom kapecitabin + irinotekan zabilježena je znatno veća gastrointestinalna toksičnost u poređenju sa pacijentima tretiranim sa FOLFIRI (dijareja kod 48% pacijenata koji su primali XELIRI i </w:t>
            </w:r>
            <w:r w:rsidR="007A7A0A" w:rsidRPr="00B02AD6">
              <w:rPr>
                <w:rFonts w:ascii="TimesNewRoman" w:hAnsi="TimesNewRoman" w:cs="TimesNewRoman"/>
                <w:sz w:val="22"/>
                <w:szCs w:val="22"/>
              </w:rPr>
              <w:t xml:space="preserve">kod </w:t>
            </w:r>
            <w:r w:rsidRPr="00B02AD6">
              <w:rPr>
                <w:rFonts w:ascii="TimesNewRoman" w:hAnsi="TimesNewRoman" w:cs="TimesNewRoman"/>
                <w:sz w:val="22"/>
                <w:szCs w:val="22"/>
              </w:rPr>
              <w:t>14% onih koji su primali FOLFIRI).</w:t>
            </w:r>
          </w:p>
          <w:p w:rsidR="0051655A" w:rsidRPr="00B02AD6" w:rsidRDefault="0051655A" w:rsidP="00A03C69">
            <w:pPr>
              <w:pStyle w:val="Header"/>
              <w:tabs>
                <w:tab w:val="left" w:pos="284"/>
              </w:tabs>
              <w:rPr>
                <w:rFonts w:ascii="TimesNewRoman" w:hAnsi="TimesNewRoman" w:cs="TimesNewRoman"/>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U EORTC studiji pacijenti su randomizovano podijeljeni u 2 grupe, gdje su po grupama primali ili otvorenu terapiju FOLFIRI (n=41) ili XELIRI (n=44)</w:t>
            </w:r>
            <w:r w:rsidR="009926CE" w:rsidRPr="00B02AD6">
              <w:rPr>
                <w:rFonts w:ascii="TimesNewRoman" w:hAnsi="TimesNewRoman" w:cs="TimesNewRoman"/>
                <w:sz w:val="22"/>
                <w:szCs w:val="22"/>
              </w:rPr>
              <w:t>,</w:t>
            </w:r>
            <w:r w:rsidRPr="00B02AD6">
              <w:rPr>
                <w:rFonts w:ascii="TimesNewRoman" w:hAnsi="TimesNewRoman" w:cs="TimesNewRoman"/>
                <w:sz w:val="22"/>
                <w:szCs w:val="22"/>
              </w:rPr>
              <w:t xml:space="preserve"> i dodatno su randomizovani u okviru grupa gdje su primali dvostruko slijepu terapiju celekoksibom ili placebo. Medijana preživljavanja bez progresije bolesti (PFS) i  medijana ukupnog preživljavanja (OS) </w:t>
            </w:r>
            <w:r w:rsidR="009926CE" w:rsidRPr="00B02AD6">
              <w:rPr>
                <w:rFonts w:ascii="TimesNewRoman" w:hAnsi="TimesNewRoman" w:cs="TimesNewRoman"/>
                <w:sz w:val="22"/>
                <w:szCs w:val="22"/>
              </w:rPr>
              <w:t xml:space="preserve">su bile </w:t>
            </w:r>
            <w:r w:rsidRPr="00B02AD6">
              <w:rPr>
                <w:rFonts w:ascii="TimesNewRoman" w:hAnsi="TimesNewRoman" w:cs="TimesNewRoman"/>
                <w:sz w:val="22"/>
                <w:szCs w:val="22"/>
              </w:rPr>
              <w:t>kraća kod primjene XELIRI u odnosu na FOLFIRI (PFS 5,9 u poređenju sa 9,6 mjeseci, a OS 14,8 u poređenju sa 19,9 mjeseci), a uz to su prijavljene znatno veće stope dijareje kod pacijenata koji su primali XELIRI (41% XELIRI, 5</w:t>
            </w:r>
            <w:r w:rsidR="009926CE" w:rsidRPr="00B02AD6">
              <w:rPr>
                <w:rFonts w:ascii="TimesNewRoman" w:hAnsi="TimesNewRoman" w:cs="TimesNewRoman"/>
                <w:sz w:val="22"/>
                <w:szCs w:val="22"/>
              </w:rPr>
              <w:t>,</w:t>
            </w:r>
            <w:r w:rsidRPr="00B02AD6">
              <w:rPr>
                <w:rFonts w:ascii="TimesNewRoman" w:hAnsi="TimesNewRoman" w:cs="TimesNewRoman"/>
                <w:sz w:val="22"/>
                <w:szCs w:val="22"/>
              </w:rPr>
              <w:t>1% FOLFIRI).</w:t>
            </w:r>
          </w:p>
          <w:p w:rsidR="0051655A" w:rsidRPr="00B02AD6" w:rsidRDefault="0051655A" w:rsidP="00A03C69">
            <w:pPr>
              <w:autoSpaceDE w:val="0"/>
              <w:autoSpaceDN w:val="0"/>
              <w:adjustRightInd w:val="0"/>
              <w:jc w:val="both"/>
              <w:rPr>
                <w:rFonts w:ascii="TimesNewRoman" w:hAnsi="TimesNewRoman" w:cs="TimesNewRoman"/>
                <w:sz w:val="22"/>
                <w:szCs w:val="22"/>
                <w:highlight w:val="yellow"/>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 xml:space="preserve">U studiji koju su objavili Skof i </w:t>
            </w:r>
            <w:r w:rsidR="009926CE" w:rsidRPr="00B02AD6">
              <w:rPr>
                <w:rFonts w:ascii="TimesNewRoman" w:hAnsi="TimesNewRoman" w:cs="TimesNewRoman"/>
                <w:sz w:val="22"/>
                <w:szCs w:val="22"/>
              </w:rPr>
              <w:t>saradnici</w:t>
            </w:r>
            <w:r w:rsidRPr="00B02AD6">
              <w:rPr>
                <w:rFonts w:ascii="TimesNewRoman" w:hAnsi="TimesNewRoman" w:cs="TimesNewRoman"/>
                <w:sz w:val="22"/>
                <w:szCs w:val="22"/>
              </w:rPr>
              <w:t>, pacijenti su randomizovano podijeljeni u 2 grupe, gdje su pacijenti po grupama primali ili FOLFIRI ili XELIRI. Stopa ukupnog odgovora je iznosila 49% u grupi koja je primala XELIRI</w:t>
            </w:r>
            <w:r w:rsidR="009926CE" w:rsidRPr="00B02AD6">
              <w:rPr>
                <w:rFonts w:ascii="TimesNewRoman" w:hAnsi="TimesNewRoman" w:cs="TimesNewRoman"/>
                <w:sz w:val="22"/>
                <w:szCs w:val="22"/>
              </w:rPr>
              <w:t>,</w:t>
            </w:r>
            <w:r w:rsidRPr="00B02AD6">
              <w:rPr>
                <w:rFonts w:ascii="TimesNewRoman" w:hAnsi="TimesNewRoman" w:cs="TimesNewRoman"/>
                <w:sz w:val="22"/>
                <w:szCs w:val="22"/>
              </w:rPr>
              <w:t xml:space="preserve"> i 48% u grupi koja je primala FOLFIRI p (p=0,76). Na kraju terapije, 37% pacijenata koji su primali XELIRI i 26% </w:t>
            </w:r>
            <w:r w:rsidR="009926CE" w:rsidRPr="00B02AD6">
              <w:rPr>
                <w:rFonts w:ascii="TimesNewRoman" w:hAnsi="TimesNewRoman" w:cs="TimesNewRoman"/>
                <w:sz w:val="22"/>
                <w:szCs w:val="22"/>
              </w:rPr>
              <w:t xml:space="preserve">pacijenata </w:t>
            </w:r>
            <w:r w:rsidRPr="00B02AD6">
              <w:rPr>
                <w:rFonts w:ascii="TimesNewRoman" w:hAnsi="TimesNewRoman" w:cs="TimesNewRoman"/>
                <w:sz w:val="22"/>
                <w:szCs w:val="22"/>
              </w:rPr>
              <w:t>koji su primali FOLFIRI nisu imali dokaz o prisustvu bolesti (p=0,56). Toksičnost je bila slična kod oba režima liječenja, uz izuzetak neutropenije koja je prijavljena češće kod pacijenata koji su primili FOLFIRI režim.</w:t>
            </w:r>
          </w:p>
          <w:p w:rsidR="0051655A" w:rsidRPr="00B02AD6" w:rsidRDefault="0051655A" w:rsidP="00A03C69">
            <w:pPr>
              <w:pStyle w:val="Header"/>
              <w:tabs>
                <w:tab w:val="left" w:pos="284"/>
              </w:tabs>
              <w:rPr>
                <w:rFonts w:ascii="TimesNewRoman" w:hAnsi="TimesNewRoman" w:cs="TimesNewRoman"/>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 xml:space="preserve">Montagnani i </w:t>
            </w:r>
            <w:r w:rsidR="009926CE" w:rsidRPr="00B02AD6">
              <w:rPr>
                <w:rFonts w:ascii="TimesNewRoman" w:hAnsi="TimesNewRoman" w:cs="TimesNewRoman"/>
                <w:sz w:val="22"/>
                <w:szCs w:val="22"/>
              </w:rPr>
              <w:t xml:space="preserve">saradnici </w:t>
            </w:r>
            <w:r w:rsidRPr="00B02AD6">
              <w:rPr>
                <w:rFonts w:ascii="TimesNewRoman" w:hAnsi="TimesNewRoman" w:cs="TimesNewRoman"/>
                <w:sz w:val="22"/>
                <w:szCs w:val="22"/>
              </w:rPr>
              <w:t>su koristili rezultate tri gore navedene studije kako bi obezbijedili sveobuhvatnu  analizu randomizovanih studija</w:t>
            </w:r>
            <w:r w:rsidR="009926CE" w:rsidRPr="00B02AD6">
              <w:rPr>
                <w:rFonts w:ascii="TimesNewRoman" w:hAnsi="TimesNewRoman" w:cs="TimesNewRoman"/>
                <w:sz w:val="22"/>
                <w:szCs w:val="22"/>
              </w:rPr>
              <w:t>,</w:t>
            </w:r>
            <w:r w:rsidRPr="00B02AD6">
              <w:rPr>
                <w:rFonts w:ascii="TimesNewRoman" w:hAnsi="TimesNewRoman" w:cs="TimesNewRoman"/>
                <w:sz w:val="22"/>
                <w:szCs w:val="22"/>
              </w:rPr>
              <w:t xml:space="preserve"> poredeći režime FOLFIRI i XELIRI u liječenju metastatskog kolorektalnog karcinoma. Primjena FOLFIRI režima povezana je sa značajnim smanjenjem rizika od progresije bolesti (HR: 0,76; 95% CI: 0,62-0,95; p &lt; 0,01), što je dijelom posljedica niske tolerancije na korišćenu kombinaciju kapecitabin+ </w:t>
            </w:r>
            <w:r w:rsidR="0065680E" w:rsidRPr="00B02AD6">
              <w:rPr>
                <w:rFonts w:ascii="TimesNewRoman" w:hAnsi="TimesNewRoman" w:cs="TimesNewRoman"/>
                <w:sz w:val="22"/>
                <w:szCs w:val="22"/>
              </w:rPr>
              <w:t>irinotekan</w:t>
            </w:r>
            <w:r w:rsidRPr="00B02AD6">
              <w:rPr>
                <w:rFonts w:ascii="TimesNewRoman" w:hAnsi="TimesNewRoman" w:cs="TimesNewRoman"/>
                <w:sz w:val="22"/>
                <w:szCs w:val="22"/>
              </w:rPr>
              <w:t>.</w:t>
            </w:r>
          </w:p>
          <w:p w:rsidR="0051655A" w:rsidRPr="00B02AD6" w:rsidRDefault="0051655A" w:rsidP="00A03C69">
            <w:pPr>
              <w:pStyle w:val="Header"/>
              <w:tabs>
                <w:tab w:val="left" w:pos="284"/>
              </w:tabs>
              <w:rPr>
                <w:rFonts w:ascii="TimesNewRoman" w:hAnsi="TimesNewRoman" w:cs="TimesNewRoman"/>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rFonts w:ascii="TimesNewRoman" w:hAnsi="TimesNewRoman" w:cs="TimesNewRoman"/>
                <w:sz w:val="22"/>
                <w:szCs w:val="22"/>
              </w:rPr>
              <w:t xml:space="preserve">Podaci iz randomizovane kliničke studije (Souglakos i </w:t>
            </w:r>
            <w:r w:rsidR="00D44126" w:rsidRPr="00B02AD6">
              <w:rPr>
                <w:rFonts w:ascii="TimesNewRoman" w:hAnsi="TimesNewRoman" w:cs="TimesNewRoman"/>
                <w:sz w:val="22"/>
                <w:szCs w:val="22"/>
              </w:rPr>
              <w:t>saradnici</w:t>
            </w:r>
            <w:r w:rsidRPr="00B02AD6">
              <w:rPr>
                <w:rFonts w:ascii="TimesNewRoman" w:hAnsi="TimesNewRoman" w:cs="TimesNewRoman"/>
                <w:sz w:val="22"/>
                <w:szCs w:val="22"/>
              </w:rPr>
              <w:t>, 2012</w:t>
            </w:r>
            <w:r w:rsidR="00D44126" w:rsidRPr="00B02AD6">
              <w:rPr>
                <w:rFonts w:ascii="TimesNewRoman" w:hAnsi="TimesNewRoman" w:cs="TimesNewRoman"/>
                <w:sz w:val="22"/>
                <w:szCs w:val="22"/>
              </w:rPr>
              <w:t>.</w:t>
            </w:r>
            <w:r w:rsidRPr="00B02AD6">
              <w:rPr>
                <w:rFonts w:ascii="TimesNewRoman" w:hAnsi="TimesNewRoman" w:cs="TimesNewRoman"/>
                <w:sz w:val="22"/>
                <w:szCs w:val="22"/>
              </w:rPr>
              <w:t>) u kojoj su poređeni FOLFIRI+ bevacizumabom sa kombinacijom XELIRI+bevacizumab nisu pokazali značajnu razliku u PFS-u i OS-u između ta dva režima liječenja. Pacijenti su randomizovano podijeljeni u 2 grupe, gdje su pacijenti po grupama primali ili FOLFIRI +bevacizumab (grupa A, n=167) ili XELIRI + bevacizumab (grupa B, n=166). U grupi B je XELIRI protokol obuhvatao primjenu kapecitabina u dozi od 1000 mg/</w:t>
            </w:r>
            <w:r w:rsidRPr="00B02AD6">
              <w:rPr>
                <w:sz w:val="22"/>
                <w:szCs w:val="22"/>
              </w:rPr>
              <w:t>m</w:t>
            </w:r>
            <w:r w:rsidRPr="00B02AD6">
              <w:rPr>
                <w:sz w:val="22"/>
                <w:szCs w:val="22"/>
                <w:vertAlign w:val="superscript"/>
              </w:rPr>
              <w:t>2</w:t>
            </w:r>
            <w:r w:rsidRPr="00B02AD6">
              <w:rPr>
                <w:rFonts w:ascii="TimesNewRoman" w:hAnsi="TimesNewRoman" w:cs="TimesNewRoman"/>
                <w:sz w:val="14"/>
                <w:szCs w:val="14"/>
              </w:rPr>
              <w:t xml:space="preserve"> </w:t>
            </w:r>
            <w:r w:rsidRPr="00B02AD6">
              <w:rPr>
                <w:rFonts w:ascii="TimesNewRoman" w:hAnsi="TimesNewRoman" w:cs="TimesNewRoman"/>
                <w:sz w:val="22"/>
                <w:szCs w:val="22"/>
              </w:rPr>
              <w:t>dva puta dnevno tokom 14 dana uz primjenu irinotekana u dozi od 250 mg/</w:t>
            </w:r>
            <w:r w:rsidRPr="00B02AD6">
              <w:rPr>
                <w:sz w:val="22"/>
                <w:szCs w:val="22"/>
              </w:rPr>
              <w:t>m</w:t>
            </w:r>
            <w:r w:rsidRPr="00B02AD6">
              <w:rPr>
                <w:sz w:val="22"/>
                <w:szCs w:val="22"/>
                <w:vertAlign w:val="superscript"/>
              </w:rPr>
              <w:t>2</w:t>
            </w:r>
            <w:r w:rsidRPr="00B02AD6">
              <w:rPr>
                <w:rFonts w:ascii="TimesNewRoman" w:hAnsi="TimesNewRoman" w:cs="TimesNewRoman"/>
                <w:sz w:val="14"/>
                <w:szCs w:val="14"/>
              </w:rPr>
              <w:t xml:space="preserve"> </w:t>
            </w:r>
            <w:r w:rsidRPr="00B02AD6">
              <w:rPr>
                <w:rFonts w:ascii="TimesNewRoman" w:hAnsi="TimesNewRoman" w:cs="TimesNewRoman"/>
                <w:sz w:val="22"/>
                <w:szCs w:val="22"/>
              </w:rPr>
              <w:t xml:space="preserve">1. dana. Medijana preživljavanja bez progresije bolesti (PFS) iznosila je 10,0 mjeseci za FOLFIRI-Bev i 8,9 mjeseci za XELIRI-Bev (p=0,64), medijana ukupnog preživljavanja 25,7 odnosno 27,5 mjeseci (p=0,55), a stope odgovora 45,5% odnosno 39,8% (p=0,32). Pacijenti liječeni kombinacijom </w:t>
            </w:r>
            <w:r w:rsidRPr="00B02AD6">
              <w:rPr>
                <w:rFonts w:ascii="TimesNewRoman" w:hAnsi="TimesNewRoman" w:cs="TimesNewRoman"/>
                <w:sz w:val="22"/>
                <w:szCs w:val="22"/>
              </w:rPr>
              <w:lastRenderedPageBreak/>
              <w:t xml:space="preserve">XELIRI+bevacizumab prijavili su značajno veću </w:t>
            </w:r>
            <w:r w:rsidR="00E34EB5" w:rsidRPr="00B02AD6">
              <w:rPr>
                <w:rFonts w:ascii="TimesNewRoman" w:hAnsi="TimesNewRoman" w:cs="TimesNewRoman"/>
                <w:sz w:val="22"/>
                <w:szCs w:val="22"/>
              </w:rPr>
              <w:t xml:space="preserve">incidencu </w:t>
            </w:r>
            <w:r w:rsidRPr="00B02AD6">
              <w:rPr>
                <w:rFonts w:ascii="TimesNewRoman" w:hAnsi="TimesNewRoman" w:cs="TimesNewRoman"/>
                <w:sz w:val="22"/>
                <w:szCs w:val="22"/>
              </w:rPr>
              <w:t xml:space="preserve">dijareje, febrilne neutropenije i sindroma šaka-stopalo nego pacijenti koji su primali FOLFIRI i bevacizumab, kod kojih se javljalo veće odlaganje terapije, </w:t>
            </w:r>
            <w:r w:rsidR="00E34EB5" w:rsidRPr="00B02AD6">
              <w:rPr>
                <w:rFonts w:ascii="TimesNewRoman" w:hAnsi="TimesNewRoman" w:cs="TimesNewRoman"/>
                <w:sz w:val="22"/>
                <w:szCs w:val="22"/>
              </w:rPr>
              <w:t xml:space="preserve">smanjenje </w:t>
            </w:r>
            <w:r w:rsidRPr="00B02AD6">
              <w:rPr>
                <w:rFonts w:ascii="TimesNewRoman" w:hAnsi="TimesNewRoman" w:cs="TimesNewRoman"/>
                <w:sz w:val="22"/>
                <w:szCs w:val="22"/>
              </w:rPr>
              <w:t>doze i prekid liječenja.</w:t>
            </w:r>
          </w:p>
          <w:p w:rsidR="0051655A" w:rsidRPr="00B02AD6" w:rsidRDefault="0051655A" w:rsidP="00A03C69">
            <w:pPr>
              <w:pStyle w:val="Header"/>
              <w:tabs>
                <w:tab w:val="left" w:pos="284"/>
              </w:tabs>
              <w:rPr>
                <w:color w:val="FF0000"/>
                <w:sz w:val="22"/>
                <w:szCs w:val="22"/>
              </w:rPr>
            </w:pPr>
          </w:p>
          <w:p w:rsidR="0051655A" w:rsidRPr="00B02AD6" w:rsidRDefault="0051655A" w:rsidP="00A03C69">
            <w:pPr>
              <w:autoSpaceDE w:val="0"/>
              <w:autoSpaceDN w:val="0"/>
              <w:adjustRightInd w:val="0"/>
              <w:jc w:val="both"/>
              <w:rPr>
                <w:rFonts w:ascii="TimesNewRoman" w:hAnsi="TimesNewRoman" w:cs="TimesNewRoman"/>
                <w:sz w:val="22"/>
                <w:szCs w:val="22"/>
              </w:rPr>
            </w:pPr>
            <w:r w:rsidRPr="00B02AD6">
              <w:rPr>
                <w:sz w:val="22"/>
                <w:szCs w:val="22"/>
              </w:rPr>
              <w:t>Podaci iz  multicentričnog, randomizovanog, kontrolisanog ispitivanja faze II (AIO KRK 0604) podržavaju primjenu kapecitabina u početnoj dozi od  800 mg/m</w:t>
            </w:r>
            <w:r w:rsidRPr="00B02AD6">
              <w:rPr>
                <w:sz w:val="22"/>
                <w:szCs w:val="22"/>
                <w:vertAlign w:val="superscript"/>
              </w:rPr>
              <w:t>2</w:t>
            </w:r>
            <w:r w:rsidRPr="00B02AD6">
              <w:rPr>
                <w:sz w:val="22"/>
                <w:szCs w:val="22"/>
              </w:rPr>
              <w:t xml:space="preserve"> tokom 2 nedjelje na svake 3 nedjelje u kombinaciji sa irinotekanom i bevacizumabom kao prvu liniju terapije pacijenata sa metastatskim kolorektalnim karcinomom.  Randomizovano je 120 pacijenta da primaju kapecitabin u kombinaciji sa  irinotekanom (XELIRI) i bevacizumabom:  kapecitabin (800 mg/m</w:t>
            </w:r>
            <w:r w:rsidRPr="00B02AD6">
              <w:rPr>
                <w:sz w:val="22"/>
                <w:szCs w:val="22"/>
                <w:vertAlign w:val="superscript"/>
              </w:rPr>
              <w:t>2</w:t>
            </w:r>
            <w:r w:rsidRPr="00B02AD6">
              <w:rPr>
                <w:sz w:val="22"/>
                <w:szCs w:val="22"/>
              </w:rPr>
              <w:t xml:space="preserve"> dva puta na dan  tokom dvije nedjelje posl</w:t>
            </w:r>
            <w:r w:rsidR="00E34EB5" w:rsidRPr="00B02AD6">
              <w:rPr>
                <w:sz w:val="22"/>
                <w:szCs w:val="22"/>
              </w:rPr>
              <w:t>ij</w:t>
            </w:r>
            <w:r w:rsidRPr="00B02AD6">
              <w:rPr>
                <w:sz w:val="22"/>
                <w:szCs w:val="22"/>
              </w:rPr>
              <w:t>e čega slijedi period odmora od 7 dana), irinotekan (200 mg/m</w:t>
            </w:r>
            <w:r w:rsidRPr="00B02AD6">
              <w:rPr>
                <w:sz w:val="22"/>
                <w:szCs w:val="22"/>
                <w:vertAlign w:val="superscript"/>
              </w:rPr>
              <w:t>2</w:t>
            </w:r>
            <w:r w:rsidRPr="00B02AD6">
              <w:rPr>
                <w:sz w:val="22"/>
                <w:szCs w:val="22"/>
              </w:rPr>
              <w:t xml:space="preserve"> u vidu 30</w:t>
            </w:r>
            <w:r w:rsidR="00E34EB5" w:rsidRPr="00B02AD6">
              <w:rPr>
                <w:sz w:val="22"/>
                <w:szCs w:val="22"/>
              </w:rPr>
              <w:t>-</w:t>
            </w:r>
            <w:r w:rsidRPr="00B02AD6">
              <w:rPr>
                <w:sz w:val="22"/>
                <w:szCs w:val="22"/>
              </w:rPr>
              <w:t xml:space="preserve">minutne infuzije prvog dana svake 3 nedjelje), i bevacizumab (7,5 mg/kg u vidu 2-satne infuzije prvog dana svake 3 nedjelje);  ukupno je </w:t>
            </w:r>
            <w:r w:rsidR="007B76F6" w:rsidRPr="00B02AD6">
              <w:rPr>
                <w:sz w:val="22"/>
                <w:szCs w:val="22"/>
              </w:rPr>
              <w:t xml:space="preserve">127 pacijenata </w:t>
            </w:r>
            <w:r w:rsidRPr="00B02AD6">
              <w:rPr>
                <w:sz w:val="22"/>
                <w:szCs w:val="22"/>
              </w:rPr>
              <w:t>randomizovano  da prima kapecitabin kapecitabin (1000 mg/m2 dva puta na dan  tokom dvije ned</w:t>
            </w:r>
            <w:r w:rsidR="00E34EB5" w:rsidRPr="00B02AD6">
              <w:rPr>
                <w:sz w:val="22"/>
                <w:szCs w:val="22"/>
              </w:rPr>
              <w:t>j</w:t>
            </w:r>
            <w:r w:rsidRPr="00B02AD6">
              <w:rPr>
                <w:sz w:val="22"/>
                <w:szCs w:val="22"/>
              </w:rPr>
              <w:t>elje posl</w:t>
            </w:r>
            <w:r w:rsidR="00E34EB5" w:rsidRPr="00B02AD6">
              <w:rPr>
                <w:sz w:val="22"/>
                <w:szCs w:val="22"/>
              </w:rPr>
              <w:t>ij</w:t>
            </w:r>
            <w:r w:rsidRPr="00B02AD6">
              <w:rPr>
                <w:sz w:val="22"/>
                <w:szCs w:val="22"/>
              </w:rPr>
              <w:t>e čega slijedi period odmora od 7 dana), oksaliplatin (130 mg/m</w:t>
            </w:r>
            <w:r w:rsidRPr="00B02AD6">
              <w:rPr>
                <w:sz w:val="22"/>
                <w:szCs w:val="22"/>
                <w:vertAlign w:val="superscript"/>
              </w:rPr>
              <w:t>2</w:t>
            </w:r>
            <w:r w:rsidRPr="00B02AD6">
              <w:rPr>
                <w:sz w:val="22"/>
                <w:szCs w:val="22"/>
              </w:rPr>
              <w:t xml:space="preserve"> u vidu dvočasovne infuzije prvog dana svake 3 ned</w:t>
            </w:r>
            <w:r w:rsidR="007B76F6" w:rsidRPr="00B02AD6">
              <w:rPr>
                <w:sz w:val="22"/>
                <w:szCs w:val="22"/>
              </w:rPr>
              <w:t>j</w:t>
            </w:r>
            <w:r w:rsidRPr="00B02AD6">
              <w:rPr>
                <w:sz w:val="22"/>
                <w:szCs w:val="22"/>
              </w:rPr>
              <w:t>elje), i bevacizumab (7,5 mg/kg u vidu 30</w:t>
            </w:r>
            <w:r w:rsidR="007B76F6" w:rsidRPr="00B02AD6">
              <w:rPr>
                <w:sz w:val="22"/>
                <w:szCs w:val="22"/>
              </w:rPr>
              <w:t>-</w:t>
            </w:r>
            <w:r w:rsidRPr="00B02AD6">
              <w:rPr>
                <w:sz w:val="22"/>
                <w:szCs w:val="22"/>
              </w:rPr>
              <w:t xml:space="preserve"> do 90-minutne  infuzije prvog dana svake 3 nedjelje).  </w:t>
            </w:r>
            <w:r w:rsidRPr="00B02AD6">
              <w:rPr>
                <w:rFonts w:ascii="TimesNewRoman" w:hAnsi="TimesNewRoman" w:cs="TimesNewRoman"/>
                <w:sz w:val="22"/>
                <w:szCs w:val="22"/>
              </w:rPr>
              <w:t>Odgovori na liječenje nakon razdoblja praćenja studijske populacije u srednjem trajanju od 26,2 mjeseca prikazani su ispod:</w:t>
            </w:r>
          </w:p>
          <w:p w:rsidR="0051655A" w:rsidRPr="00B02AD6" w:rsidRDefault="0051655A" w:rsidP="00A03C69">
            <w:pPr>
              <w:autoSpaceDE w:val="0"/>
              <w:autoSpaceDN w:val="0"/>
              <w:adjustRightInd w:val="0"/>
              <w:rPr>
                <w:rFonts w:ascii="TimesNewRoman" w:hAnsi="TimesNewRoman" w:cs="TimesNewRoman"/>
                <w:sz w:val="22"/>
                <w:szCs w:val="22"/>
              </w:rPr>
            </w:pP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 xml:space="preserve">Tabela 8     Ključni rezultati o efikasnosti </w:t>
            </w:r>
            <w:r w:rsidR="007B76F6" w:rsidRPr="00B02AD6">
              <w:rPr>
                <w:rFonts w:ascii="TimesNewRoman" w:hAnsi="TimesNewRoman" w:cs="TimesNewRoman"/>
                <w:sz w:val="22"/>
                <w:szCs w:val="22"/>
              </w:rPr>
              <w:t xml:space="preserve">iz </w:t>
            </w:r>
            <w:r w:rsidRPr="00B02AD6">
              <w:rPr>
                <w:rFonts w:ascii="TimesNewRoman" w:hAnsi="TimesNewRoman" w:cs="TimesNewRoman"/>
                <w:sz w:val="22"/>
                <w:szCs w:val="22"/>
              </w:rPr>
              <w:t>ispitivanja AIO KRK</w:t>
            </w:r>
          </w:p>
          <w:p w:rsidR="0051655A" w:rsidRPr="00B02AD6" w:rsidRDefault="0051655A" w:rsidP="00A03C69">
            <w:pPr>
              <w:autoSpaceDE w:val="0"/>
              <w:autoSpaceDN w:val="0"/>
              <w:adjustRightInd w:val="0"/>
              <w:rPr>
                <w:rFonts w:ascii="TimesNewRoman" w:hAnsi="TimesNewRoman" w:cs="TimesNew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267"/>
              <w:gridCol w:w="2267"/>
              <w:gridCol w:w="2223"/>
            </w:tblGrid>
            <w:tr w:rsidR="0051655A" w:rsidRPr="00B02AD6" w:rsidTr="00985E90">
              <w:tc>
                <w:tcPr>
                  <w:tcW w:w="2489" w:type="dxa"/>
                  <w:shd w:val="clear" w:color="auto" w:fill="auto"/>
                </w:tcPr>
                <w:p w:rsidR="0051655A" w:rsidRPr="00B02AD6" w:rsidRDefault="0051655A" w:rsidP="00A03C69">
                  <w:pPr>
                    <w:pStyle w:val="Header"/>
                    <w:tabs>
                      <w:tab w:val="left" w:pos="284"/>
                    </w:tabs>
                    <w:rPr>
                      <w:color w:val="FF0000"/>
                      <w:sz w:val="22"/>
                      <w:szCs w:val="22"/>
                    </w:rPr>
                  </w:pPr>
                </w:p>
              </w:tc>
              <w:tc>
                <w:tcPr>
                  <w:tcW w:w="2489" w:type="dxa"/>
                  <w:shd w:val="clear" w:color="auto" w:fill="auto"/>
                </w:tcPr>
                <w:p w:rsidR="0051655A" w:rsidRPr="00B02AD6" w:rsidRDefault="0051655A" w:rsidP="00A03C69">
                  <w:pPr>
                    <w:autoSpaceDE w:val="0"/>
                    <w:autoSpaceDN w:val="0"/>
                    <w:adjustRightInd w:val="0"/>
                    <w:rPr>
                      <w:b/>
                      <w:bCs/>
                      <w:i/>
                      <w:iCs/>
                    </w:rPr>
                  </w:pPr>
                  <w:r w:rsidRPr="00B02AD6">
                    <w:rPr>
                      <w:b/>
                      <w:bCs/>
                      <w:i/>
                      <w:iCs/>
                    </w:rPr>
                    <w:t>XELOX + bevacizumab</w:t>
                  </w:r>
                </w:p>
                <w:p w:rsidR="0051655A" w:rsidRPr="00B02AD6" w:rsidRDefault="0051655A" w:rsidP="00A03C69">
                  <w:pPr>
                    <w:autoSpaceDE w:val="0"/>
                    <w:autoSpaceDN w:val="0"/>
                    <w:adjustRightInd w:val="0"/>
                    <w:rPr>
                      <w:b/>
                      <w:bCs/>
                      <w:i/>
                      <w:iCs/>
                    </w:rPr>
                  </w:pPr>
                </w:p>
                <w:p w:rsidR="0051655A" w:rsidRPr="00B02AD6" w:rsidRDefault="0051655A" w:rsidP="00A03C69">
                  <w:pPr>
                    <w:pStyle w:val="Header"/>
                    <w:tabs>
                      <w:tab w:val="left" w:pos="284"/>
                    </w:tabs>
                    <w:rPr>
                      <w:color w:val="FF0000"/>
                      <w:sz w:val="22"/>
                      <w:szCs w:val="22"/>
                    </w:rPr>
                  </w:pPr>
                  <w:r w:rsidRPr="00B02AD6">
                    <w:rPr>
                      <w:b/>
                      <w:bCs/>
                      <w:i/>
                      <w:iCs/>
                    </w:rPr>
                    <w:t>(ITT: N=127)</w:t>
                  </w:r>
                </w:p>
              </w:tc>
              <w:tc>
                <w:tcPr>
                  <w:tcW w:w="2489" w:type="dxa"/>
                  <w:shd w:val="clear" w:color="auto" w:fill="auto"/>
                </w:tcPr>
                <w:p w:rsidR="0051655A" w:rsidRPr="00B02AD6" w:rsidRDefault="0051655A" w:rsidP="00A03C69">
                  <w:pPr>
                    <w:autoSpaceDE w:val="0"/>
                    <w:autoSpaceDN w:val="0"/>
                    <w:adjustRightInd w:val="0"/>
                    <w:rPr>
                      <w:b/>
                      <w:bCs/>
                      <w:i/>
                      <w:iCs/>
                    </w:rPr>
                  </w:pPr>
                  <w:r w:rsidRPr="00B02AD6">
                    <w:rPr>
                      <w:b/>
                      <w:bCs/>
                      <w:i/>
                      <w:iCs/>
                    </w:rPr>
                    <w:t>Modifikovan XELIRI +</w:t>
                  </w:r>
                </w:p>
                <w:p w:rsidR="0051655A" w:rsidRPr="00B02AD6" w:rsidRDefault="0051655A" w:rsidP="00A03C69">
                  <w:pPr>
                    <w:autoSpaceDE w:val="0"/>
                    <w:autoSpaceDN w:val="0"/>
                    <w:adjustRightInd w:val="0"/>
                    <w:rPr>
                      <w:b/>
                      <w:bCs/>
                      <w:i/>
                      <w:iCs/>
                    </w:rPr>
                  </w:pPr>
                  <w:r w:rsidRPr="00B02AD6">
                    <w:rPr>
                      <w:b/>
                      <w:bCs/>
                      <w:i/>
                      <w:iCs/>
                    </w:rPr>
                    <w:t>bevacizumab</w:t>
                  </w:r>
                </w:p>
                <w:p w:rsidR="0051655A" w:rsidRPr="00B02AD6" w:rsidRDefault="0051655A" w:rsidP="00A03C69">
                  <w:pPr>
                    <w:pStyle w:val="Header"/>
                    <w:tabs>
                      <w:tab w:val="left" w:pos="284"/>
                    </w:tabs>
                    <w:rPr>
                      <w:color w:val="FF0000"/>
                      <w:sz w:val="22"/>
                      <w:szCs w:val="22"/>
                    </w:rPr>
                  </w:pPr>
                  <w:r w:rsidRPr="00B02AD6">
                    <w:rPr>
                      <w:b/>
                      <w:bCs/>
                      <w:i/>
                      <w:iCs/>
                    </w:rPr>
                    <w:t>(ITT: N= 120)</w:t>
                  </w:r>
                </w:p>
              </w:tc>
              <w:tc>
                <w:tcPr>
                  <w:tcW w:w="2490" w:type="dxa"/>
                  <w:shd w:val="clear" w:color="auto" w:fill="auto"/>
                </w:tcPr>
                <w:p w:rsidR="0051655A" w:rsidRPr="00B02AD6" w:rsidRDefault="0051655A" w:rsidP="00A03C69">
                  <w:pPr>
                    <w:autoSpaceDE w:val="0"/>
                    <w:autoSpaceDN w:val="0"/>
                    <w:adjustRightInd w:val="0"/>
                    <w:rPr>
                      <w:b/>
                      <w:bCs/>
                      <w:i/>
                      <w:iCs/>
                    </w:rPr>
                  </w:pPr>
                  <w:r w:rsidRPr="00B02AD6">
                    <w:rPr>
                      <w:b/>
                      <w:bCs/>
                      <w:i/>
                      <w:iCs/>
                    </w:rPr>
                    <w:t>Koeficijent rizika</w:t>
                  </w:r>
                </w:p>
                <w:p w:rsidR="0051655A" w:rsidRPr="00B02AD6" w:rsidRDefault="0051655A" w:rsidP="00A03C69">
                  <w:pPr>
                    <w:autoSpaceDE w:val="0"/>
                    <w:autoSpaceDN w:val="0"/>
                    <w:adjustRightInd w:val="0"/>
                    <w:rPr>
                      <w:b/>
                      <w:bCs/>
                      <w:i/>
                      <w:iCs/>
                    </w:rPr>
                  </w:pPr>
                  <w:r w:rsidRPr="00B02AD6">
                    <w:rPr>
                      <w:b/>
                      <w:bCs/>
                      <w:i/>
                      <w:iCs/>
                    </w:rPr>
                    <w:t>95% CI</w:t>
                  </w:r>
                </w:p>
                <w:p w:rsidR="0051655A" w:rsidRPr="00B02AD6" w:rsidRDefault="0051655A" w:rsidP="00A03C69">
                  <w:pPr>
                    <w:pStyle w:val="Header"/>
                    <w:tabs>
                      <w:tab w:val="left" w:pos="284"/>
                    </w:tabs>
                    <w:rPr>
                      <w:color w:val="FF0000"/>
                      <w:sz w:val="22"/>
                      <w:szCs w:val="22"/>
                    </w:rPr>
                  </w:pPr>
                  <w:r w:rsidRPr="00B02AD6">
                    <w:rPr>
                      <w:b/>
                      <w:bCs/>
                      <w:i/>
                      <w:iCs/>
                    </w:rPr>
                    <w:t>P-vrijednost</w:t>
                  </w:r>
                </w:p>
              </w:tc>
            </w:tr>
            <w:tr w:rsidR="0051655A" w:rsidRPr="00B02AD6" w:rsidTr="00985E90">
              <w:tc>
                <w:tcPr>
                  <w:tcW w:w="9957" w:type="dxa"/>
                  <w:gridSpan w:val="4"/>
                  <w:shd w:val="clear" w:color="auto" w:fill="auto"/>
                </w:tcPr>
                <w:p w:rsidR="0051655A" w:rsidRPr="00B02AD6" w:rsidRDefault="0051655A" w:rsidP="00A03C69">
                  <w:pPr>
                    <w:pStyle w:val="Header"/>
                    <w:tabs>
                      <w:tab w:val="left" w:pos="284"/>
                    </w:tabs>
                    <w:rPr>
                      <w:i/>
                      <w:sz w:val="22"/>
                      <w:szCs w:val="22"/>
                    </w:rPr>
                  </w:pPr>
                  <w:r w:rsidRPr="00B02AD6">
                    <w:rPr>
                      <w:i/>
                      <w:sz w:val="22"/>
                      <w:szCs w:val="22"/>
                    </w:rPr>
                    <w:t>Preživljavanje bez progresije bolesti nakon 6 mjeseci</w:t>
                  </w:r>
                </w:p>
              </w:tc>
            </w:tr>
            <w:tr w:rsidR="0051655A" w:rsidRPr="00B02AD6" w:rsidTr="00985E90">
              <w:tc>
                <w:tcPr>
                  <w:tcW w:w="2489" w:type="dxa"/>
                  <w:shd w:val="clear" w:color="auto" w:fill="auto"/>
                </w:tcPr>
                <w:p w:rsidR="0051655A" w:rsidRPr="00B02AD6" w:rsidRDefault="0051655A" w:rsidP="00A03C69">
                  <w:pPr>
                    <w:autoSpaceDE w:val="0"/>
                    <w:autoSpaceDN w:val="0"/>
                    <w:adjustRightInd w:val="0"/>
                    <w:rPr>
                      <w:b/>
                      <w:bCs/>
                    </w:rPr>
                  </w:pPr>
                  <w:r w:rsidRPr="00B02AD6">
                    <w:rPr>
                      <w:b/>
                      <w:bCs/>
                    </w:rPr>
                    <w:t>ITT</w:t>
                  </w:r>
                </w:p>
                <w:p w:rsidR="0051655A" w:rsidRPr="00B02AD6" w:rsidRDefault="0051655A" w:rsidP="00A03C69">
                  <w:pPr>
                    <w:pStyle w:val="Header"/>
                    <w:tabs>
                      <w:tab w:val="left" w:pos="284"/>
                    </w:tabs>
                    <w:rPr>
                      <w:color w:val="FF0000"/>
                      <w:sz w:val="22"/>
                      <w:szCs w:val="22"/>
                    </w:rPr>
                  </w:pPr>
                  <w:r w:rsidRPr="00B02AD6">
                    <w:rPr>
                      <w:b/>
                      <w:bCs/>
                    </w:rPr>
                    <w:t>95% CI</w:t>
                  </w:r>
                </w:p>
              </w:tc>
              <w:tc>
                <w:tcPr>
                  <w:tcW w:w="2489" w:type="dxa"/>
                  <w:shd w:val="clear" w:color="auto" w:fill="auto"/>
                </w:tcPr>
                <w:p w:rsidR="0051655A" w:rsidRPr="00B02AD6" w:rsidRDefault="0051655A" w:rsidP="00A03C69">
                  <w:pPr>
                    <w:autoSpaceDE w:val="0"/>
                    <w:autoSpaceDN w:val="0"/>
                    <w:adjustRightInd w:val="0"/>
                    <w:jc w:val="center"/>
                    <w:rPr>
                      <w:b/>
                      <w:bCs/>
                      <w:i/>
                      <w:iCs/>
                    </w:rPr>
                  </w:pPr>
                  <w:r w:rsidRPr="00B02AD6">
                    <w:rPr>
                      <w:b/>
                      <w:bCs/>
                      <w:i/>
                      <w:iCs/>
                    </w:rPr>
                    <w:t>76%</w:t>
                  </w:r>
                </w:p>
                <w:p w:rsidR="0051655A" w:rsidRPr="00B02AD6" w:rsidRDefault="0051655A" w:rsidP="00A03C69">
                  <w:pPr>
                    <w:pStyle w:val="Header"/>
                    <w:tabs>
                      <w:tab w:val="left" w:pos="284"/>
                    </w:tabs>
                    <w:jc w:val="center"/>
                    <w:rPr>
                      <w:color w:val="FF0000"/>
                      <w:sz w:val="22"/>
                      <w:szCs w:val="22"/>
                    </w:rPr>
                  </w:pPr>
                  <w:r w:rsidRPr="00B02AD6">
                    <w:rPr>
                      <w:b/>
                      <w:bCs/>
                      <w:i/>
                      <w:iCs/>
                    </w:rPr>
                    <w:t>69 - 84%</w:t>
                  </w:r>
                </w:p>
              </w:tc>
              <w:tc>
                <w:tcPr>
                  <w:tcW w:w="2489" w:type="dxa"/>
                  <w:shd w:val="clear" w:color="auto" w:fill="auto"/>
                </w:tcPr>
                <w:p w:rsidR="0051655A" w:rsidRPr="00B02AD6" w:rsidRDefault="0051655A" w:rsidP="00A03C69">
                  <w:pPr>
                    <w:autoSpaceDE w:val="0"/>
                    <w:autoSpaceDN w:val="0"/>
                    <w:adjustRightInd w:val="0"/>
                    <w:jc w:val="center"/>
                    <w:rPr>
                      <w:b/>
                      <w:bCs/>
                      <w:i/>
                      <w:iCs/>
                    </w:rPr>
                  </w:pPr>
                  <w:r w:rsidRPr="00B02AD6">
                    <w:rPr>
                      <w:b/>
                      <w:bCs/>
                      <w:i/>
                      <w:iCs/>
                    </w:rPr>
                    <w:t>84%</w:t>
                  </w:r>
                </w:p>
                <w:p w:rsidR="0051655A" w:rsidRPr="00B02AD6" w:rsidRDefault="0051655A" w:rsidP="00A03C69">
                  <w:pPr>
                    <w:pStyle w:val="Header"/>
                    <w:tabs>
                      <w:tab w:val="left" w:pos="284"/>
                    </w:tabs>
                    <w:jc w:val="center"/>
                    <w:rPr>
                      <w:color w:val="FF0000"/>
                      <w:sz w:val="22"/>
                      <w:szCs w:val="22"/>
                    </w:rPr>
                  </w:pPr>
                  <w:r w:rsidRPr="00B02AD6">
                    <w:rPr>
                      <w:b/>
                      <w:bCs/>
                      <w:i/>
                      <w:iCs/>
                    </w:rPr>
                    <w:t>77 - 90%</w:t>
                  </w:r>
                </w:p>
              </w:tc>
              <w:tc>
                <w:tcPr>
                  <w:tcW w:w="2490" w:type="dxa"/>
                  <w:shd w:val="clear" w:color="auto" w:fill="auto"/>
                </w:tcPr>
                <w:p w:rsidR="0051655A" w:rsidRPr="00B02AD6" w:rsidRDefault="0051655A" w:rsidP="00A03C69">
                  <w:pPr>
                    <w:pStyle w:val="Header"/>
                    <w:tabs>
                      <w:tab w:val="left" w:pos="284"/>
                    </w:tabs>
                    <w:ind w:firstLine="720"/>
                    <w:rPr>
                      <w:color w:val="FF0000"/>
                      <w:sz w:val="22"/>
                      <w:szCs w:val="22"/>
                    </w:rPr>
                  </w:pPr>
                  <w:r w:rsidRPr="00B02AD6">
                    <w:rPr>
                      <w:b/>
                      <w:bCs/>
                      <w:i/>
                      <w:iCs/>
                    </w:rPr>
                    <w:t xml:space="preserve">        -</w:t>
                  </w:r>
                </w:p>
              </w:tc>
            </w:tr>
            <w:tr w:rsidR="0051655A" w:rsidRPr="00B02AD6" w:rsidTr="00985E90">
              <w:tc>
                <w:tcPr>
                  <w:tcW w:w="9957" w:type="dxa"/>
                  <w:gridSpan w:val="4"/>
                  <w:shd w:val="clear" w:color="auto" w:fill="auto"/>
                </w:tcPr>
                <w:p w:rsidR="0051655A" w:rsidRPr="00B02AD6" w:rsidRDefault="0051655A" w:rsidP="00A03C69">
                  <w:pPr>
                    <w:pStyle w:val="Header"/>
                    <w:tabs>
                      <w:tab w:val="left" w:pos="284"/>
                    </w:tabs>
                    <w:rPr>
                      <w:i/>
                      <w:sz w:val="22"/>
                      <w:szCs w:val="22"/>
                    </w:rPr>
                  </w:pPr>
                  <w:r w:rsidRPr="00B02AD6">
                    <w:rPr>
                      <w:i/>
                      <w:sz w:val="22"/>
                      <w:szCs w:val="22"/>
                    </w:rPr>
                    <w:t>Medijana preživljavanja bez progresije bolesti</w:t>
                  </w:r>
                </w:p>
              </w:tc>
            </w:tr>
            <w:tr w:rsidR="0051655A" w:rsidRPr="00B02AD6" w:rsidTr="00985E90">
              <w:tc>
                <w:tcPr>
                  <w:tcW w:w="2489" w:type="dxa"/>
                  <w:shd w:val="clear" w:color="auto" w:fill="auto"/>
                </w:tcPr>
                <w:p w:rsidR="0051655A" w:rsidRPr="00B02AD6" w:rsidRDefault="0051655A" w:rsidP="00A03C69">
                  <w:pPr>
                    <w:autoSpaceDE w:val="0"/>
                    <w:autoSpaceDN w:val="0"/>
                    <w:adjustRightInd w:val="0"/>
                    <w:rPr>
                      <w:b/>
                      <w:bCs/>
                    </w:rPr>
                  </w:pPr>
                  <w:r w:rsidRPr="00B02AD6">
                    <w:rPr>
                      <w:b/>
                      <w:bCs/>
                    </w:rPr>
                    <w:t>ITT</w:t>
                  </w:r>
                </w:p>
                <w:p w:rsidR="0051655A" w:rsidRPr="00B02AD6" w:rsidRDefault="0051655A" w:rsidP="00A03C69">
                  <w:pPr>
                    <w:pStyle w:val="Header"/>
                    <w:tabs>
                      <w:tab w:val="left" w:pos="284"/>
                    </w:tabs>
                    <w:rPr>
                      <w:color w:val="FF0000"/>
                      <w:sz w:val="22"/>
                      <w:szCs w:val="22"/>
                    </w:rPr>
                  </w:pPr>
                  <w:r w:rsidRPr="00B02AD6">
                    <w:rPr>
                      <w:b/>
                      <w:bCs/>
                    </w:rPr>
                    <w:t>95% CI</w:t>
                  </w:r>
                </w:p>
              </w:tc>
              <w:tc>
                <w:tcPr>
                  <w:tcW w:w="2489" w:type="dxa"/>
                  <w:shd w:val="clear" w:color="auto" w:fill="auto"/>
                </w:tcPr>
                <w:p w:rsidR="0051655A" w:rsidRPr="00B02AD6" w:rsidRDefault="0051655A" w:rsidP="00A03C69">
                  <w:pPr>
                    <w:pStyle w:val="Header"/>
                    <w:tabs>
                      <w:tab w:val="left" w:pos="284"/>
                    </w:tabs>
                    <w:jc w:val="center"/>
                    <w:rPr>
                      <w:sz w:val="22"/>
                      <w:szCs w:val="22"/>
                    </w:rPr>
                  </w:pPr>
                  <w:r w:rsidRPr="00B02AD6">
                    <w:rPr>
                      <w:sz w:val="22"/>
                      <w:szCs w:val="22"/>
                    </w:rPr>
                    <w:t>10,4 mjeseca</w:t>
                  </w:r>
                </w:p>
                <w:p w:rsidR="0051655A" w:rsidRPr="00B02AD6" w:rsidRDefault="0051655A" w:rsidP="001D5D7A">
                  <w:pPr>
                    <w:pStyle w:val="Header"/>
                    <w:tabs>
                      <w:tab w:val="left" w:pos="284"/>
                    </w:tabs>
                    <w:jc w:val="center"/>
                    <w:rPr>
                      <w:color w:val="FF0000"/>
                      <w:sz w:val="22"/>
                      <w:szCs w:val="22"/>
                    </w:rPr>
                  </w:pPr>
                  <w:r w:rsidRPr="00B02AD6">
                    <w:rPr>
                      <w:sz w:val="22"/>
                      <w:szCs w:val="22"/>
                    </w:rPr>
                    <w:t>9</w:t>
                  </w:r>
                  <w:r w:rsidR="007B76F6" w:rsidRPr="00B02AD6">
                    <w:rPr>
                      <w:sz w:val="22"/>
                      <w:szCs w:val="22"/>
                    </w:rPr>
                    <w:t>,</w:t>
                  </w:r>
                  <w:r w:rsidRPr="00B02AD6">
                    <w:rPr>
                      <w:sz w:val="22"/>
                      <w:szCs w:val="22"/>
                    </w:rPr>
                    <w:t>0-12</w:t>
                  </w:r>
                  <w:r w:rsidR="001D5D7A" w:rsidRPr="00B02AD6">
                    <w:rPr>
                      <w:sz w:val="22"/>
                      <w:szCs w:val="22"/>
                    </w:rPr>
                    <w:t>,</w:t>
                  </w:r>
                  <w:r w:rsidRPr="00B02AD6">
                    <w:rPr>
                      <w:sz w:val="22"/>
                      <w:szCs w:val="22"/>
                    </w:rPr>
                    <w:t>0</w:t>
                  </w:r>
                </w:p>
              </w:tc>
              <w:tc>
                <w:tcPr>
                  <w:tcW w:w="2489" w:type="dxa"/>
                  <w:shd w:val="clear" w:color="auto" w:fill="auto"/>
                </w:tcPr>
                <w:p w:rsidR="0051655A" w:rsidRPr="00B02AD6" w:rsidRDefault="0051655A" w:rsidP="00A03C69">
                  <w:pPr>
                    <w:pStyle w:val="Header"/>
                    <w:tabs>
                      <w:tab w:val="left" w:pos="284"/>
                    </w:tabs>
                    <w:jc w:val="center"/>
                    <w:rPr>
                      <w:sz w:val="22"/>
                      <w:szCs w:val="22"/>
                    </w:rPr>
                  </w:pPr>
                  <w:r w:rsidRPr="00B02AD6">
                    <w:rPr>
                      <w:sz w:val="22"/>
                      <w:szCs w:val="22"/>
                    </w:rPr>
                    <w:t>12.1 mjesec</w:t>
                  </w:r>
                </w:p>
                <w:p w:rsidR="0051655A" w:rsidRPr="00B02AD6" w:rsidRDefault="0051655A" w:rsidP="001D5D7A">
                  <w:pPr>
                    <w:pStyle w:val="Header"/>
                    <w:tabs>
                      <w:tab w:val="left" w:pos="284"/>
                    </w:tabs>
                    <w:jc w:val="center"/>
                    <w:rPr>
                      <w:color w:val="FF0000"/>
                      <w:sz w:val="22"/>
                      <w:szCs w:val="22"/>
                    </w:rPr>
                  </w:pPr>
                  <w:r w:rsidRPr="00B02AD6">
                    <w:rPr>
                      <w:sz w:val="22"/>
                      <w:szCs w:val="22"/>
                    </w:rPr>
                    <w:t>10</w:t>
                  </w:r>
                  <w:r w:rsidR="007B76F6" w:rsidRPr="00B02AD6">
                    <w:rPr>
                      <w:sz w:val="22"/>
                      <w:szCs w:val="22"/>
                    </w:rPr>
                    <w:t>,</w:t>
                  </w:r>
                  <w:r w:rsidRPr="00B02AD6">
                    <w:rPr>
                      <w:sz w:val="22"/>
                      <w:szCs w:val="22"/>
                    </w:rPr>
                    <w:t>8 - 13</w:t>
                  </w:r>
                  <w:r w:rsidR="001D5D7A" w:rsidRPr="00B02AD6">
                    <w:rPr>
                      <w:sz w:val="22"/>
                      <w:szCs w:val="22"/>
                    </w:rPr>
                    <w:t>,</w:t>
                  </w:r>
                  <w:r w:rsidRPr="00B02AD6">
                    <w:rPr>
                      <w:sz w:val="22"/>
                      <w:szCs w:val="22"/>
                    </w:rPr>
                    <w:t>2</w:t>
                  </w:r>
                </w:p>
              </w:tc>
              <w:tc>
                <w:tcPr>
                  <w:tcW w:w="2490" w:type="dxa"/>
                  <w:shd w:val="clear" w:color="auto" w:fill="auto"/>
                </w:tcPr>
                <w:p w:rsidR="0051655A" w:rsidRPr="00B02AD6" w:rsidRDefault="0051655A" w:rsidP="00A03C69">
                  <w:pPr>
                    <w:pStyle w:val="Header"/>
                    <w:tabs>
                      <w:tab w:val="left" w:pos="284"/>
                    </w:tabs>
                    <w:jc w:val="center"/>
                    <w:rPr>
                      <w:sz w:val="22"/>
                      <w:szCs w:val="22"/>
                    </w:rPr>
                  </w:pPr>
                  <w:r w:rsidRPr="00B02AD6">
                    <w:rPr>
                      <w:sz w:val="22"/>
                      <w:szCs w:val="22"/>
                    </w:rPr>
                    <w:t>0,93</w:t>
                  </w:r>
                </w:p>
                <w:p w:rsidR="0051655A" w:rsidRPr="00B02AD6" w:rsidRDefault="0051655A" w:rsidP="00A03C69">
                  <w:pPr>
                    <w:pStyle w:val="Header"/>
                    <w:tabs>
                      <w:tab w:val="left" w:pos="284"/>
                    </w:tabs>
                    <w:jc w:val="center"/>
                    <w:rPr>
                      <w:sz w:val="22"/>
                      <w:szCs w:val="22"/>
                    </w:rPr>
                  </w:pPr>
                  <w:r w:rsidRPr="00B02AD6">
                    <w:rPr>
                      <w:sz w:val="22"/>
                      <w:szCs w:val="22"/>
                    </w:rPr>
                    <w:t>0</w:t>
                  </w:r>
                  <w:r w:rsidR="001D5D7A" w:rsidRPr="00B02AD6">
                    <w:rPr>
                      <w:sz w:val="22"/>
                      <w:szCs w:val="22"/>
                    </w:rPr>
                    <w:t>,</w:t>
                  </w:r>
                  <w:r w:rsidRPr="00B02AD6">
                    <w:rPr>
                      <w:sz w:val="22"/>
                      <w:szCs w:val="22"/>
                    </w:rPr>
                    <w:t>82 – 1</w:t>
                  </w:r>
                  <w:r w:rsidR="001D5D7A" w:rsidRPr="00B02AD6">
                    <w:rPr>
                      <w:sz w:val="22"/>
                      <w:szCs w:val="22"/>
                    </w:rPr>
                    <w:t>,</w:t>
                  </w:r>
                  <w:r w:rsidRPr="00B02AD6">
                    <w:rPr>
                      <w:sz w:val="22"/>
                      <w:szCs w:val="22"/>
                    </w:rPr>
                    <w:t>07</w:t>
                  </w:r>
                </w:p>
                <w:p w:rsidR="0051655A" w:rsidRPr="00B02AD6" w:rsidRDefault="0051655A" w:rsidP="007B76F6">
                  <w:pPr>
                    <w:pStyle w:val="Header"/>
                    <w:tabs>
                      <w:tab w:val="left" w:pos="284"/>
                    </w:tabs>
                    <w:jc w:val="center"/>
                    <w:rPr>
                      <w:color w:val="FF0000"/>
                      <w:sz w:val="22"/>
                      <w:szCs w:val="22"/>
                    </w:rPr>
                  </w:pPr>
                  <w:r w:rsidRPr="00B02AD6">
                    <w:rPr>
                      <w:sz w:val="22"/>
                      <w:szCs w:val="22"/>
                    </w:rPr>
                    <w:t>P=0</w:t>
                  </w:r>
                  <w:r w:rsidR="007B76F6" w:rsidRPr="00B02AD6">
                    <w:rPr>
                      <w:sz w:val="22"/>
                      <w:szCs w:val="22"/>
                    </w:rPr>
                    <w:t>,</w:t>
                  </w:r>
                  <w:r w:rsidRPr="00B02AD6">
                    <w:rPr>
                      <w:sz w:val="22"/>
                      <w:szCs w:val="22"/>
                    </w:rPr>
                    <w:t>30</w:t>
                  </w:r>
                </w:p>
              </w:tc>
            </w:tr>
            <w:tr w:rsidR="0051655A" w:rsidRPr="00B02AD6" w:rsidTr="00985E90">
              <w:tc>
                <w:tcPr>
                  <w:tcW w:w="9957" w:type="dxa"/>
                  <w:gridSpan w:val="4"/>
                  <w:shd w:val="clear" w:color="auto" w:fill="auto"/>
                </w:tcPr>
                <w:p w:rsidR="0051655A" w:rsidRPr="00B02AD6" w:rsidRDefault="0051655A" w:rsidP="00A03C69">
                  <w:pPr>
                    <w:pStyle w:val="Header"/>
                    <w:tabs>
                      <w:tab w:val="left" w:pos="284"/>
                    </w:tabs>
                    <w:rPr>
                      <w:i/>
                      <w:color w:val="FF0000"/>
                      <w:sz w:val="22"/>
                      <w:szCs w:val="22"/>
                    </w:rPr>
                  </w:pPr>
                  <w:r w:rsidRPr="00B02AD6">
                    <w:rPr>
                      <w:i/>
                      <w:sz w:val="22"/>
                      <w:szCs w:val="22"/>
                    </w:rPr>
                    <w:t>Medijana ukupnog preživljavanja</w:t>
                  </w:r>
                </w:p>
              </w:tc>
            </w:tr>
            <w:tr w:rsidR="0051655A" w:rsidRPr="00B02AD6" w:rsidTr="00985E90">
              <w:tc>
                <w:tcPr>
                  <w:tcW w:w="2489" w:type="dxa"/>
                  <w:shd w:val="clear" w:color="auto" w:fill="auto"/>
                </w:tcPr>
                <w:p w:rsidR="0051655A" w:rsidRPr="00B02AD6" w:rsidRDefault="0051655A" w:rsidP="00A03C69">
                  <w:pPr>
                    <w:autoSpaceDE w:val="0"/>
                    <w:autoSpaceDN w:val="0"/>
                    <w:adjustRightInd w:val="0"/>
                    <w:rPr>
                      <w:b/>
                      <w:bCs/>
                    </w:rPr>
                  </w:pPr>
                  <w:r w:rsidRPr="00B02AD6">
                    <w:rPr>
                      <w:b/>
                      <w:bCs/>
                    </w:rPr>
                    <w:t>ITT</w:t>
                  </w:r>
                </w:p>
                <w:p w:rsidR="0051655A" w:rsidRPr="00B02AD6" w:rsidRDefault="0051655A" w:rsidP="00A03C69">
                  <w:pPr>
                    <w:pStyle w:val="Header"/>
                    <w:tabs>
                      <w:tab w:val="left" w:pos="284"/>
                    </w:tabs>
                    <w:rPr>
                      <w:color w:val="FF0000"/>
                      <w:sz w:val="22"/>
                      <w:szCs w:val="22"/>
                    </w:rPr>
                  </w:pPr>
                  <w:r w:rsidRPr="00B02AD6">
                    <w:rPr>
                      <w:b/>
                      <w:bCs/>
                    </w:rPr>
                    <w:t>95% CI</w:t>
                  </w:r>
                </w:p>
              </w:tc>
              <w:tc>
                <w:tcPr>
                  <w:tcW w:w="2489" w:type="dxa"/>
                  <w:shd w:val="clear" w:color="auto" w:fill="auto"/>
                </w:tcPr>
                <w:p w:rsidR="0051655A" w:rsidRPr="00B02AD6" w:rsidRDefault="0051655A" w:rsidP="00A03C69">
                  <w:pPr>
                    <w:pStyle w:val="Header"/>
                    <w:tabs>
                      <w:tab w:val="left" w:pos="284"/>
                    </w:tabs>
                    <w:jc w:val="center"/>
                    <w:rPr>
                      <w:sz w:val="22"/>
                      <w:szCs w:val="22"/>
                    </w:rPr>
                  </w:pPr>
                  <w:r w:rsidRPr="00B02AD6">
                    <w:rPr>
                      <w:sz w:val="22"/>
                      <w:szCs w:val="22"/>
                    </w:rPr>
                    <w:t>24</w:t>
                  </w:r>
                  <w:r w:rsidR="007B76F6" w:rsidRPr="00B02AD6">
                    <w:rPr>
                      <w:sz w:val="22"/>
                      <w:szCs w:val="22"/>
                    </w:rPr>
                    <w:t>,</w:t>
                  </w:r>
                  <w:r w:rsidRPr="00B02AD6">
                    <w:rPr>
                      <w:sz w:val="22"/>
                      <w:szCs w:val="22"/>
                    </w:rPr>
                    <w:t>4 mjeseca</w:t>
                  </w:r>
                </w:p>
                <w:p w:rsidR="0051655A" w:rsidRPr="00B02AD6" w:rsidRDefault="0051655A" w:rsidP="001D5D7A">
                  <w:pPr>
                    <w:pStyle w:val="Header"/>
                    <w:tabs>
                      <w:tab w:val="left" w:pos="284"/>
                    </w:tabs>
                    <w:jc w:val="center"/>
                    <w:rPr>
                      <w:color w:val="FF0000"/>
                      <w:sz w:val="22"/>
                      <w:szCs w:val="22"/>
                    </w:rPr>
                  </w:pPr>
                  <w:r w:rsidRPr="00B02AD6">
                    <w:rPr>
                      <w:sz w:val="22"/>
                      <w:szCs w:val="22"/>
                    </w:rPr>
                    <w:t>19</w:t>
                  </w:r>
                  <w:r w:rsidR="001D5D7A" w:rsidRPr="00B02AD6">
                    <w:rPr>
                      <w:sz w:val="22"/>
                      <w:szCs w:val="22"/>
                    </w:rPr>
                    <w:t>,</w:t>
                  </w:r>
                  <w:r w:rsidRPr="00B02AD6">
                    <w:rPr>
                      <w:sz w:val="22"/>
                      <w:szCs w:val="22"/>
                    </w:rPr>
                    <w:t>3 – 30</w:t>
                  </w:r>
                  <w:r w:rsidR="001D5D7A" w:rsidRPr="00B02AD6">
                    <w:rPr>
                      <w:sz w:val="22"/>
                      <w:szCs w:val="22"/>
                    </w:rPr>
                    <w:t>,</w:t>
                  </w:r>
                  <w:r w:rsidRPr="00B02AD6">
                    <w:rPr>
                      <w:sz w:val="22"/>
                      <w:szCs w:val="22"/>
                    </w:rPr>
                    <w:t>7</w:t>
                  </w:r>
                </w:p>
              </w:tc>
              <w:tc>
                <w:tcPr>
                  <w:tcW w:w="2489" w:type="dxa"/>
                  <w:shd w:val="clear" w:color="auto" w:fill="auto"/>
                </w:tcPr>
                <w:p w:rsidR="0051655A" w:rsidRPr="00B02AD6" w:rsidRDefault="0051655A" w:rsidP="00A03C69">
                  <w:pPr>
                    <w:pStyle w:val="Header"/>
                    <w:tabs>
                      <w:tab w:val="left" w:pos="284"/>
                    </w:tabs>
                    <w:jc w:val="center"/>
                    <w:rPr>
                      <w:sz w:val="22"/>
                      <w:szCs w:val="22"/>
                    </w:rPr>
                  </w:pPr>
                  <w:r w:rsidRPr="00B02AD6">
                    <w:rPr>
                      <w:sz w:val="22"/>
                      <w:szCs w:val="22"/>
                    </w:rPr>
                    <w:t>25</w:t>
                  </w:r>
                  <w:r w:rsidR="007B76F6" w:rsidRPr="00B02AD6">
                    <w:rPr>
                      <w:sz w:val="22"/>
                      <w:szCs w:val="22"/>
                    </w:rPr>
                    <w:t>,</w:t>
                  </w:r>
                  <w:r w:rsidRPr="00B02AD6">
                    <w:rPr>
                      <w:sz w:val="22"/>
                      <w:szCs w:val="22"/>
                    </w:rPr>
                    <w:t>5 mjeseci</w:t>
                  </w:r>
                </w:p>
                <w:p w:rsidR="0051655A" w:rsidRPr="00B02AD6" w:rsidRDefault="0051655A" w:rsidP="001D5D7A">
                  <w:pPr>
                    <w:pStyle w:val="Header"/>
                    <w:tabs>
                      <w:tab w:val="left" w:pos="284"/>
                    </w:tabs>
                    <w:jc w:val="center"/>
                    <w:rPr>
                      <w:color w:val="FF0000"/>
                      <w:sz w:val="22"/>
                      <w:szCs w:val="22"/>
                    </w:rPr>
                  </w:pPr>
                  <w:r w:rsidRPr="00B02AD6">
                    <w:rPr>
                      <w:sz w:val="22"/>
                      <w:szCs w:val="22"/>
                    </w:rPr>
                    <w:t>21</w:t>
                  </w:r>
                  <w:r w:rsidR="001D5D7A" w:rsidRPr="00B02AD6">
                    <w:rPr>
                      <w:sz w:val="22"/>
                      <w:szCs w:val="22"/>
                    </w:rPr>
                    <w:t>,</w:t>
                  </w:r>
                  <w:r w:rsidRPr="00B02AD6">
                    <w:rPr>
                      <w:sz w:val="22"/>
                      <w:szCs w:val="22"/>
                    </w:rPr>
                    <w:t>0 – 31</w:t>
                  </w:r>
                  <w:r w:rsidR="001D5D7A" w:rsidRPr="00B02AD6">
                    <w:rPr>
                      <w:sz w:val="22"/>
                      <w:szCs w:val="22"/>
                    </w:rPr>
                    <w:t>,</w:t>
                  </w:r>
                  <w:r w:rsidRPr="00B02AD6">
                    <w:rPr>
                      <w:sz w:val="22"/>
                      <w:szCs w:val="22"/>
                    </w:rPr>
                    <w:t>0</w:t>
                  </w:r>
                </w:p>
              </w:tc>
              <w:tc>
                <w:tcPr>
                  <w:tcW w:w="2490" w:type="dxa"/>
                  <w:shd w:val="clear" w:color="auto" w:fill="auto"/>
                </w:tcPr>
                <w:p w:rsidR="0051655A" w:rsidRPr="00B02AD6" w:rsidRDefault="0051655A" w:rsidP="00A03C69">
                  <w:pPr>
                    <w:pStyle w:val="Header"/>
                    <w:tabs>
                      <w:tab w:val="left" w:pos="284"/>
                    </w:tabs>
                    <w:jc w:val="center"/>
                    <w:rPr>
                      <w:sz w:val="22"/>
                      <w:szCs w:val="22"/>
                    </w:rPr>
                  </w:pPr>
                  <w:r w:rsidRPr="00B02AD6">
                    <w:rPr>
                      <w:sz w:val="22"/>
                      <w:szCs w:val="22"/>
                    </w:rPr>
                    <w:t>0,90</w:t>
                  </w:r>
                </w:p>
                <w:p w:rsidR="0051655A" w:rsidRPr="00B02AD6" w:rsidRDefault="0051655A" w:rsidP="00A03C69">
                  <w:pPr>
                    <w:pStyle w:val="Header"/>
                    <w:tabs>
                      <w:tab w:val="left" w:pos="284"/>
                    </w:tabs>
                    <w:jc w:val="center"/>
                    <w:rPr>
                      <w:sz w:val="22"/>
                      <w:szCs w:val="22"/>
                    </w:rPr>
                  </w:pPr>
                  <w:r w:rsidRPr="00B02AD6">
                    <w:rPr>
                      <w:sz w:val="22"/>
                      <w:szCs w:val="22"/>
                    </w:rPr>
                    <w:t>0</w:t>
                  </w:r>
                  <w:r w:rsidR="001D5D7A" w:rsidRPr="00B02AD6">
                    <w:rPr>
                      <w:sz w:val="22"/>
                      <w:szCs w:val="22"/>
                    </w:rPr>
                    <w:t>,</w:t>
                  </w:r>
                  <w:r w:rsidRPr="00B02AD6">
                    <w:rPr>
                      <w:sz w:val="22"/>
                      <w:szCs w:val="22"/>
                    </w:rPr>
                    <w:t>68 – 1</w:t>
                  </w:r>
                  <w:r w:rsidR="001D5D7A" w:rsidRPr="00B02AD6">
                    <w:rPr>
                      <w:sz w:val="22"/>
                      <w:szCs w:val="22"/>
                    </w:rPr>
                    <w:t>,</w:t>
                  </w:r>
                  <w:r w:rsidRPr="00B02AD6">
                    <w:rPr>
                      <w:sz w:val="22"/>
                      <w:szCs w:val="22"/>
                    </w:rPr>
                    <w:t>19</w:t>
                  </w:r>
                </w:p>
                <w:p w:rsidR="0051655A" w:rsidRPr="00B02AD6" w:rsidRDefault="0051655A" w:rsidP="007B76F6">
                  <w:pPr>
                    <w:pStyle w:val="Header"/>
                    <w:tabs>
                      <w:tab w:val="left" w:pos="284"/>
                    </w:tabs>
                    <w:jc w:val="center"/>
                    <w:rPr>
                      <w:color w:val="FF0000"/>
                      <w:sz w:val="22"/>
                      <w:szCs w:val="22"/>
                    </w:rPr>
                  </w:pPr>
                  <w:r w:rsidRPr="00B02AD6">
                    <w:rPr>
                      <w:sz w:val="22"/>
                      <w:szCs w:val="22"/>
                    </w:rPr>
                    <w:t>P=0</w:t>
                  </w:r>
                  <w:r w:rsidR="007B76F6" w:rsidRPr="00B02AD6">
                    <w:rPr>
                      <w:sz w:val="22"/>
                      <w:szCs w:val="22"/>
                    </w:rPr>
                    <w:t>,</w:t>
                  </w:r>
                  <w:r w:rsidRPr="00B02AD6">
                    <w:rPr>
                      <w:sz w:val="22"/>
                      <w:szCs w:val="22"/>
                    </w:rPr>
                    <w:t>45</w:t>
                  </w:r>
                </w:p>
              </w:tc>
            </w:tr>
          </w:tbl>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
                <w:sz w:val="22"/>
                <w:szCs w:val="22"/>
                <w:u w:val="single"/>
              </w:rPr>
            </w:pPr>
            <w:r w:rsidRPr="00B02AD6">
              <w:rPr>
                <w:i/>
                <w:sz w:val="22"/>
                <w:szCs w:val="22"/>
                <w:u w:val="single"/>
              </w:rPr>
              <w:t>Kombinovana terapija u drugoj liniji liječenja metastatskog kolorektalnog karcinoma</w:t>
            </w:r>
          </w:p>
          <w:p w:rsidR="0051655A" w:rsidRPr="00B02AD6" w:rsidRDefault="0051655A" w:rsidP="00A03C69">
            <w:pPr>
              <w:pStyle w:val="Header"/>
              <w:tabs>
                <w:tab w:val="left" w:pos="284"/>
              </w:tabs>
              <w:jc w:val="both"/>
              <w:rPr>
                <w:sz w:val="22"/>
                <w:szCs w:val="22"/>
              </w:rPr>
            </w:pPr>
            <w:r w:rsidRPr="00B02AD6">
              <w:rPr>
                <w:sz w:val="22"/>
                <w:szCs w:val="22"/>
              </w:rPr>
              <w:t>Podaci iz jedne multicentrične, randomizovane kontrolisane studije faze III (NO16967) podržavaju upotrebu kapecitabina  u kombinaciji sa oksaliplatinom za drugu liniju  terapije metastatskog kolorektalnog karcinoma. U</w:t>
            </w:r>
            <w:r w:rsidRPr="00B02AD6">
              <w:rPr>
                <w:color w:val="FF0000"/>
                <w:sz w:val="22"/>
                <w:szCs w:val="22"/>
              </w:rPr>
              <w:t xml:space="preserve"> </w:t>
            </w:r>
            <w:r w:rsidRPr="00B02AD6">
              <w:rPr>
                <w:sz w:val="22"/>
                <w:szCs w:val="22"/>
              </w:rPr>
              <w:t>ovom ispitivanju, 627 pacijenata sa metastatskim kolorektalnim kancerom koji su prethodno primali irinotekan u</w:t>
            </w:r>
            <w:r w:rsidRPr="00B02AD6">
              <w:rPr>
                <w:color w:val="FF0000"/>
                <w:sz w:val="22"/>
                <w:szCs w:val="22"/>
              </w:rPr>
              <w:t xml:space="preserve"> </w:t>
            </w:r>
            <w:r w:rsidRPr="00B02AD6">
              <w:rPr>
                <w:sz w:val="22"/>
                <w:szCs w:val="22"/>
              </w:rPr>
              <w:t xml:space="preserve">kombinaciji sa režimom sa fluoropirimidinom kao prvu liniju terapije randomizovani su da primaju  terapije  XELOX ili  FOLFOX-4. U Tabeli 6 prikazani su terapijski režimi XELOX i FOLFOX-4 (bez dodavanja placeba ili bevacizumaba). Pokazano je da XELOX nije inferiorniji u odnosu na FOLFOX-4 u smislu preživljavanja bez progresije u populaciji po protokolu i u ITT populaciji (vidjeti Tabelu 9). Rezultati pokazuju da je XELOX ekvivalentan terapiji FOLFOX-4 u smislu ukupnog preživljavanja (vidjeti Tabelu 9). Srednje praćenje u vrijeme primarne analize u ITT populaciji iznosilo je 2,1 godinu. Podaci iz analiza poslije dodatnih 6 mjeseci praćenja uključeni su u Tabelu 9.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rPr>
            </w:pPr>
            <w:r w:rsidRPr="00B02AD6">
              <w:rPr>
                <w:sz w:val="22"/>
                <w:szCs w:val="22"/>
              </w:rPr>
              <w:t xml:space="preserve">Tabela </w:t>
            </w:r>
            <w:r w:rsidR="006B56BD" w:rsidRPr="00B02AD6">
              <w:rPr>
                <w:sz w:val="22"/>
                <w:szCs w:val="22"/>
              </w:rPr>
              <w:t>9</w:t>
            </w:r>
            <w:r w:rsidRPr="00B02AD6">
              <w:rPr>
                <w:sz w:val="22"/>
                <w:szCs w:val="22"/>
              </w:rPr>
              <w:t>. Ključni rezultati u analizi neinferiornosti u kliničkom ispitivanju NO 16967</w:t>
            </w:r>
          </w:p>
          <w:p w:rsidR="0051655A" w:rsidRPr="00B02AD6" w:rsidRDefault="0051655A" w:rsidP="00A03C69">
            <w:pPr>
              <w:pStyle w:val="Header"/>
              <w:tabs>
                <w:tab w:val="left" w:pos="284"/>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2645"/>
              <w:gridCol w:w="37"/>
              <w:gridCol w:w="2680"/>
              <w:gridCol w:w="1995"/>
            </w:tblGrid>
            <w:tr w:rsidR="0051655A" w:rsidRPr="00B02AD6" w:rsidTr="009E4A39">
              <w:tc>
                <w:tcPr>
                  <w:tcW w:w="5000" w:type="pct"/>
                  <w:gridSpan w:val="5"/>
                  <w:shd w:val="clear" w:color="auto" w:fill="E6E6E6"/>
                  <w:vAlign w:val="center"/>
                </w:tcPr>
                <w:p w:rsidR="0051655A" w:rsidRPr="00B02AD6" w:rsidRDefault="0051655A" w:rsidP="00A03C69">
                  <w:pPr>
                    <w:pStyle w:val="Header"/>
                    <w:tabs>
                      <w:tab w:val="left" w:pos="284"/>
                    </w:tabs>
                    <w:jc w:val="center"/>
                    <w:rPr>
                      <w:b/>
                      <w:sz w:val="22"/>
                      <w:szCs w:val="22"/>
                    </w:rPr>
                  </w:pPr>
                  <w:r w:rsidRPr="00B02AD6">
                    <w:rPr>
                      <w:b/>
                      <w:sz w:val="22"/>
                      <w:szCs w:val="22"/>
                    </w:rPr>
                    <w:t>PRIMARNA ANALIZA</w:t>
                  </w:r>
                </w:p>
              </w:tc>
            </w:tr>
            <w:tr w:rsidR="0051655A" w:rsidRPr="00B02AD6" w:rsidTr="009E4A39">
              <w:tc>
                <w:tcPr>
                  <w:tcW w:w="2336" w:type="pct"/>
                  <w:gridSpan w:val="2"/>
                  <w:shd w:val="clear" w:color="auto" w:fill="auto"/>
                  <w:vAlign w:val="bottom"/>
                </w:tcPr>
                <w:p w:rsidR="0051655A" w:rsidRPr="00B02AD6" w:rsidRDefault="0051655A" w:rsidP="00A03C69">
                  <w:pPr>
                    <w:pStyle w:val="Header"/>
                    <w:tabs>
                      <w:tab w:val="left" w:pos="284"/>
                    </w:tabs>
                    <w:jc w:val="center"/>
                    <w:rPr>
                      <w:b/>
                      <w:sz w:val="22"/>
                      <w:szCs w:val="22"/>
                    </w:rPr>
                  </w:pPr>
                  <w:r w:rsidRPr="00B02AD6">
                    <w:rPr>
                      <w:b/>
                      <w:sz w:val="22"/>
                      <w:szCs w:val="22"/>
                    </w:rPr>
                    <w:t>XELOX</w:t>
                  </w:r>
                </w:p>
                <w:p w:rsidR="0051655A" w:rsidRPr="00B02AD6" w:rsidRDefault="0051655A" w:rsidP="00A03C69">
                  <w:pPr>
                    <w:pStyle w:val="Header"/>
                    <w:tabs>
                      <w:tab w:val="left" w:pos="284"/>
                    </w:tabs>
                    <w:jc w:val="center"/>
                    <w:rPr>
                      <w:b/>
                      <w:sz w:val="22"/>
                      <w:szCs w:val="22"/>
                    </w:rPr>
                  </w:pPr>
                  <w:r w:rsidRPr="00B02AD6">
                    <w:rPr>
                      <w:b/>
                      <w:sz w:val="22"/>
                      <w:szCs w:val="22"/>
                    </w:rPr>
                    <w:t>(PPP*: N=251; ITT**: N=313)</w:t>
                  </w:r>
                </w:p>
              </w:tc>
              <w:tc>
                <w:tcPr>
                  <w:tcW w:w="2664" w:type="pct"/>
                  <w:gridSpan w:val="3"/>
                  <w:shd w:val="clear" w:color="auto" w:fill="auto"/>
                  <w:vAlign w:val="bottom"/>
                </w:tcPr>
                <w:p w:rsidR="0051655A" w:rsidRPr="00B02AD6" w:rsidRDefault="0051655A" w:rsidP="00A03C69">
                  <w:pPr>
                    <w:pStyle w:val="Header"/>
                    <w:tabs>
                      <w:tab w:val="left" w:pos="284"/>
                    </w:tabs>
                    <w:jc w:val="center"/>
                    <w:rPr>
                      <w:b/>
                      <w:sz w:val="22"/>
                      <w:szCs w:val="22"/>
                    </w:rPr>
                  </w:pPr>
                  <w:r w:rsidRPr="00B02AD6">
                    <w:rPr>
                      <w:b/>
                      <w:sz w:val="22"/>
                      <w:szCs w:val="22"/>
                    </w:rPr>
                    <w:t>FOLFOX-4</w:t>
                  </w:r>
                </w:p>
                <w:p w:rsidR="0051655A" w:rsidRPr="00B02AD6" w:rsidRDefault="0051655A" w:rsidP="00A03C69">
                  <w:pPr>
                    <w:pStyle w:val="Header"/>
                    <w:tabs>
                      <w:tab w:val="left" w:pos="284"/>
                    </w:tabs>
                    <w:jc w:val="center"/>
                    <w:rPr>
                      <w:b/>
                      <w:sz w:val="22"/>
                      <w:szCs w:val="22"/>
                    </w:rPr>
                  </w:pPr>
                  <w:r w:rsidRPr="00B02AD6">
                    <w:rPr>
                      <w:b/>
                      <w:sz w:val="22"/>
                      <w:szCs w:val="22"/>
                    </w:rPr>
                    <w:t>(PPP*: N = 252; ITT**: N= 314)</w:t>
                  </w:r>
                </w:p>
              </w:tc>
            </w:tr>
            <w:tr w:rsidR="0051655A" w:rsidRPr="00B02AD6" w:rsidTr="009E4A39">
              <w:tc>
                <w:tcPr>
                  <w:tcW w:w="841" w:type="pct"/>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Populacija</w:t>
                  </w:r>
                </w:p>
              </w:tc>
              <w:tc>
                <w:tcPr>
                  <w:tcW w:w="3030" w:type="pct"/>
                  <w:gridSpan w:val="3"/>
                  <w:tcBorders>
                    <w:bottom w:val="single" w:sz="4" w:space="0" w:color="auto"/>
                  </w:tcBorders>
                  <w:shd w:val="clear" w:color="auto" w:fill="auto"/>
                  <w:vAlign w:val="bottom"/>
                </w:tcPr>
                <w:p w:rsidR="0051655A" w:rsidRPr="00B02AD6" w:rsidRDefault="0051655A" w:rsidP="00A03C69">
                  <w:pPr>
                    <w:pStyle w:val="Header"/>
                    <w:tabs>
                      <w:tab w:val="left" w:pos="284"/>
                    </w:tabs>
                    <w:jc w:val="center"/>
                    <w:rPr>
                      <w:b/>
                      <w:sz w:val="22"/>
                      <w:szCs w:val="22"/>
                    </w:rPr>
                  </w:pPr>
                  <w:r w:rsidRPr="00B02AD6">
                    <w:rPr>
                      <w:b/>
                      <w:sz w:val="22"/>
                      <w:szCs w:val="22"/>
                    </w:rPr>
                    <w:t>Srednje vrijeme do događaja (dani)</w:t>
                  </w:r>
                </w:p>
              </w:tc>
              <w:tc>
                <w:tcPr>
                  <w:tcW w:w="1129" w:type="pct"/>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HR</w:t>
                  </w:r>
                </w:p>
                <w:p w:rsidR="0051655A" w:rsidRPr="00B02AD6" w:rsidRDefault="0051655A" w:rsidP="00A03C69">
                  <w:pPr>
                    <w:pStyle w:val="Header"/>
                    <w:tabs>
                      <w:tab w:val="left" w:pos="284"/>
                    </w:tabs>
                    <w:rPr>
                      <w:b/>
                      <w:sz w:val="22"/>
                      <w:szCs w:val="22"/>
                    </w:rPr>
                  </w:pPr>
                  <w:r w:rsidRPr="00B02AD6">
                    <w:rPr>
                      <w:b/>
                      <w:sz w:val="22"/>
                      <w:szCs w:val="22"/>
                    </w:rPr>
                    <w:t>(95% CI)</w:t>
                  </w:r>
                </w:p>
              </w:tc>
            </w:tr>
            <w:tr w:rsidR="0051655A" w:rsidRPr="00B02AD6" w:rsidTr="009E4A39">
              <w:tc>
                <w:tcPr>
                  <w:tcW w:w="5000" w:type="pct"/>
                  <w:gridSpan w:val="5"/>
                  <w:shd w:val="clear" w:color="auto" w:fill="E6E6E6"/>
                  <w:vAlign w:val="center"/>
                </w:tcPr>
                <w:p w:rsidR="0051655A" w:rsidRPr="00B02AD6" w:rsidRDefault="0051655A" w:rsidP="00A03C69">
                  <w:pPr>
                    <w:pStyle w:val="Header"/>
                    <w:tabs>
                      <w:tab w:val="left" w:pos="284"/>
                    </w:tabs>
                    <w:rPr>
                      <w:b/>
                      <w:sz w:val="22"/>
                      <w:szCs w:val="22"/>
                    </w:rPr>
                  </w:pPr>
                  <w:r w:rsidRPr="00B02AD6">
                    <w:rPr>
                      <w:b/>
                      <w:sz w:val="22"/>
                      <w:szCs w:val="22"/>
                    </w:rPr>
                    <w:t>Parametar: Preživljavanje bez progresije</w:t>
                  </w:r>
                </w:p>
              </w:tc>
            </w:tr>
            <w:tr w:rsidR="0051655A" w:rsidRPr="00B02AD6" w:rsidTr="009E4A39">
              <w:trPr>
                <w:trHeight w:val="430"/>
              </w:trPr>
              <w:tc>
                <w:tcPr>
                  <w:tcW w:w="841"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PPP</w:t>
                  </w:r>
                </w:p>
                <w:p w:rsidR="0051655A" w:rsidRPr="00B02AD6" w:rsidRDefault="0051655A" w:rsidP="00A03C69">
                  <w:pPr>
                    <w:pStyle w:val="Header"/>
                    <w:tabs>
                      <w:tab w:val="left" w:pos="284"/>
                    </w:tabs>
                    <w:rPr>
                      <w:sz w:val="22"/>
                      <w:szCs w:val="22"/>
                    </w:rPr>
                  </w:pPr>
                  <w:r w:rsidRPr="00B02AD6">
                    <w:rPr>
                      <w:sz w:val="22"/>
                      <w:szCs w:val="22"/>
                    </w:rPr>
                    <w:t>ITT</w:t>
                  </w:r>
                </w:p>
              </w:tc>
              <w:tc>
                <w:tcPr>
                  <w:tcW w:w="1516" w:type="pct"/>
                  <w:gridSpan w:val="2"/>
                  <w:tcBorders>
                    <w:bottom w:val="single" w:sz="4" w:space="0" w:color="auto"/>
                  </w:tcBorders>
                  <w:shd w:val="clear" w:color="auto" w:fill="auto"/>
                </w:tcPr>
                <w:p w:rsidR="0051655A" w:rsidRPr="00B02AD6" w:rsidRDefault="0051655A" w:rsidP="00A03C69">
                  <w:pPr>
                    <w:pStyle w:val="Header"/>
                    <w:tabs>
                      <w:tab w:val="left" w:pos="284"/>
                    </w:tabs>
                    <w:rPr>
                      <w:sz w:val="22"/>
                      <w:szCs w:val="22"/>
                    </w:rPr>
                  </w:pPr>
                  <w:r w:rsidRPr="00B02AD6">
                    <w:rPr>
                      <w:sz w:val="22"/>
                      <w:szCs w:val="22"/>
                    </w:rPr>
                    <w:t>154</w:t>
                  </w:r>
                </w:p>
                <w:p w:rsidR="0051655A" w:rsidRPr="00B02AD6" w:rsidRDefault="0051655A" w:rsidP="00A03C69">
                  <w:pPr>
                    <w:pStyle w:val="Header"/>
                    <w:tabs>
                      <w:tab w:val="left" w:pos="284"/>
                    </w:tabs>
                    <w:rPr>
                      <w:sz w:val="22"/>
                      <w:szCs w:val="22"/>
                    </w:rPr>
                  </w:pPr>
                  <w:r w:rsidRPr="00B02AD6">
                    <w:rPr>
                      <w:sz w:val="22"/>
                      <w:szCs w:val="22"/>
                    </w:rPr>
                    <w:t>144</w:t>
                  </w:r>
                </w:p>
              </w:tc>
              <w:tc>
                <w:tcPr>
                  <w:tcW w:w="1515" w:type="pct"/>
                  <w:tcBorders>
                    <w:bottom w:val="single" w:sz="4" w:space="0" w:color="auto"/>
                  </w:tcBorders>
                  <w:shd w:val="clear" w:color="auto" w:fill="auto"/>
                  <w:vAlign w:val="center"/>
                </w:tcPr>
                <w:p w:rsidR="0051655A" w:rsidRPr="00B02AD6" w:rsidRDefault="0051655A" w:rsidP="00A03C69">
                  <w:pPr>
                    <w:pStyle w:val="Header"/>
                    <w:tabs>
                      <w:tab w:val="left" w:pos="284"/>
                    </w:tabs>
                    <w:ind w:right="-108"/>
                    <w:rPr>
                      <w:sz w:val="22"/>
                      <w:szCs w:val="22"/>
                    </w:rPr>
                  </w:pPr>
                  <w:r w:rsidRPr="00B02AD6">
                    <w:rPr>
                      <w:sz w:val="22"/>
                      <w:szCs w:val="22"/>
                    </w:rPr>
                    <w:t>168</w:t>
                  </w:r>
                </w:p>
                <w:p w:rsidR="0051655A" w:rsidRPr="00B02AD6" w:rsidRDefault="0051655A" w:rsidP="00A03C69">
                  <w:pPr>
                    <w:pStyle w:val="Header"/>
                    <w:tabs>
                      <w:tab w:val="left" w:pos="284"/>
                    </w:tabs>
                    <w:rPr>
                      <w:sz w:val="22"/>
                      <w:szCs w:val="22"/>
                    </w:rPr>
                  </w:pPr>
                  <w:r w:rsidRPr="00B02AD6">
                    <w:rPr>
                      <w:sz w:val="22"/>
                      <w:szCs w:val="22"/>
                    </w:rPr>
                    <w:t>146</w:t>
                  </w:r>
                </w:p>
              </w:tc>
              <w:tc>
                <w:tcPr>
                  <w:tcW w:w="1129"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1</w:t>
                  </w:r>
                  <w:r w:rsidR="006B56BD" w:rsidRPr="00B02AD6">
                    <w:rPr>
                      <w:sz w:val="22"/>
                      <w:szCs w:val="22"/>
                    </w:rPr>
                    <w:t>,</w:t>
                  </w:r>
                  <w:r w:rsidRPr="00B02AD6">
                    <w:rPr>
                      <w:sz w:val="22"/>
                      <w:szCs w:val="22"/>
                    </w:rPr>
                    <w:t>03 (0</w:t>
                  </w:r>
                  <w:r w:rsidR="006B56BD" w:rsidRPr="00B02AD6">
                    <w:rPr>
                      <w:sz w:val="22"/>
                      <w:szCs w:val="22"/>
                    </w:rPr>
                    <w:t>,</w:t>
                  </w:r>
                  <w:r w:rsidRPr="00B02AD6">
                    <w:rPr>
                      <w:sz w:val="22"/>
                      <w:szCs w:val="22"/>
                    </w:rPr>
                    <w:t>87; 1</w:t>
                  </w:r>
                  <w:r w:rsidR="006B56BD" w:rsidRPr="00B02AD6">
                    <w:rPr>
                      <w:sz w:val="22"/>
                      <w:szCs w:val="22"/>
                    </w:rPr>
                    <w:t>,</w:t>
                  </w:r>
                  <w:r w:rsidRPr="00B02AD6">
                    <w:rPr>
                      <w:sz w:val="22"/>
                      <w:szCs w:val="22"/>
                    </w:rPr>
                    <w:t>24)</w:t>
                  </w:r>
                </w:p>
                <w:p w:rsidR="0051655A" w:rsidRPr="00B02AD6" w:rsidRDefault="0051655A" w:rsidP="006B56BD">
                  <w:pPr>
                    <w:pStyle w:val="Header"/>
                    <w:tabs>
                      <w:tab w:val="left" w:pos="284"/>
                    </w:tabs>
                    <w:rPr>
                      <w:sz w:val="22"/>
                      <w:szCs w:val="22"/>
                    </w:rPr>
                  </w:pPr>
                  <w:r w:rsidRPr="00B02AD6">
                    <w:rPr>
                      <w:sz w:val="22"/>
                      <w:szCs w:val="22"/>
                    </w:rPr>
                    <w:t>0</w:t>
                  </w:r>
                  <w:r w:rsidR="006B56BD" w:rsidRPr="00B02AD6">
                    <w:rPr>
                      <w:sz w:val="22"/>
                      <w:szCs w:val="22"/>
                    </w:rPr>
                    <w:t>,</w:t>
                  </w:r>
                  <w:r w:rsidRPr="00B02AD6">
                    <w:rPr>
                      <w:sz w:val="22"/>
                      <w:szCs w:val="22"/>
                    </w:rPr>
                    <w:t>97 (0</w:t>
                  </w:r>
                  <w:r w:rsidR="006B56BD" w:rsidRPr="00B02AD6">
                    <w:rPr>
                      <w:sz w:val="22"/>
                      <w:szCs w:val="22"/>
                    </w:rPr>
                    <w:t>,</w:t>
                  </w:r>
                  <w:r w:rsidRPr="00B02AD6">
                    <w:rPr>
                      <w:sz w:val="22"/>
                      <w:szCs w:val="22"/>
                    </w:rPr>
                    <w:t>83; 1</w:t>
                  </w:r>
                  <w:r w:rsidR="006B56BD" w:rsidRPr="00B02AD6">
                    <w:rPr>
                      <w:sz w:val="22"/>
                      <w:szCs w:val="22"/>
                    </w:rPr>
                    <w:t>,</w:t>
                  </w:r>
                  <w:r w:rsidRPr="00B02AD6">
                    <w:rPr>
                      <w:sz w:val="22"/>
                      <w:szCs w:val="22"/>
                    </w:rPr>
                    <w:t>14)</w:t>
                  </w:r>
                </w:p>
              </w:tc>
            </w:tr>
            <w:tr w:rsidR="0051655A" w:rsidRPr="00B02AD6" w:rsidTr="009E4A39">
              <w:tc>
                <w:tcPr>
                  <w:tcW w:w="5000" w:type="pct"/>
                  <w:gridSpan w:val="5"/>
                  <w:shd w:val="clear" w:color="auto" w:fill="E6E6E6"/>
                  <w:vAlign w:val="center"/>
                </w:tcPr>
                <w:p w:rsidR="0051655A" w:rsidRPr="00B02AD6" w:rsidRDefault="0051655A" w:rsidP="00A03C69">
                  <w:pPr>
                    <w:pStyle w:val="Header"/>
                    <w:tabs>
                      <w:tab w:val="left" w:pos="284"/>
                    </w:tabs>
                    <w:rPr>
                      <w:b/>
                      <w:sz w:val="22"/>
                      <w:szCs w:val="22"/>
                    </w:rPr>
                  </w:pPr>
                  <w:r w:rsidRPr="00B02AD6">
                    <w:rPr>
                      <w:b/>
                      <w:sz w:val="22"/>
                      <w:szCs w:val="22"/>
                    </w:rPr>
                    <w:t>Parametar: Ukupno preživljavanje</w:t>
                  </w:r>
                </w:p>
              </w:tc>
            </w:tr>
            <w:tr w:rsidR="0051655A" w:rsidRPr="00B02AD6" w:rsidTr="009E4A39">
              <w:tc>
                <w:tcPr>
                  <w:tcW w:w="841"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PPP</w:t>
                  </w:r>
                </w:p>
                <w:p w:rsidR="0051655A" w:rsidRPr="00B02AD6" w:rsidRDefault="0051655A" w:rsidP="00A03C69">
                  <w:pPr>
                    <w:pStyle w:val="Header"/>
                    <w:tabs>
                      <w:tab w:val="left" w:pos="284"/>
                    </w:tabs>
                    <w:rPr>
                      <w:sz w:val="22"/>
                      <w:szCs w:val="22"/>
                    </w:rPr>
                  </w:pPr>
                  <w:r w:rsidRPr="00B02AD6">
                    <w:rPr>
                      <w:sz w:val="22"/>
                      <w:szCs w:val="22"/>
                    </w:rPr>
                    <w:t>ITT</w:t>
                  </w:r>
                </w:p>
              </w:tc>
              <w:tc>
                <w:tcPr>
                  <w:tcW w:w="1516" w:type="pct"/>
                  <w:gridSpan w:val="2"/>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388</w:t>
                  </w:r>
                </w:p>
                <w:p w:rsidR="0051655A" w:rsidRPr="00B02AD6" w:rsidRDefault="0051655A" w:rsidP="00A03C69">
                  <w:pPr>
                    <w:pStyle w:val="Header"/>
                    <w:tabs>
                      <w:tab w:val="left" w:pos="284"/>
                    </w:tabs>
                    <w:rPr>
                      <w:sz w:val="22"/>
                      <w:szCs w:val="22"/>
                    </w:rPr>
                  </w:pPr>
                  <w:r w:rsidRPr="00B02AD6">
                    <w:rPr>
                      <w:sz w:val="22"/>
                      <w:szCs w:val="22"/>
                    </w:rPr>
                    <w:t>363</w:t>
                  </w:r>
                </w:p>
              </w:tc>
              <w:tc>
                <w:tcPr>
                  <w:tcW w:w="1515"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401</w:t>
                  </w:r>
                </w:p>
                <w:p w:rsidR="0051655A" w:rsidRPr="00B02AD6" w:rsidRDefault="0051655A" w:rsidP="00A03C69">
                  <w:pPr>
                    <w:pStyle w:val="Header"/>
                    <w:tabs>
                      <w:tab w:val="left" w:pos="284"/>
                    </w:tabs>
                    <w:rPr>
                      <w:sz w:val="22"/>
                      <w:szCs w:val="22"/>
                    </w:rPr>
                  </w:pPr>
                  <w:r w:rsidRPr="00B02AD6">
                    <w:rPr>
                      <w:sz w:val="22"/>
                      <w:szCs w:val="22"/>
                    </w:rPr>
                    <w:t>382</w:t>
                  </w:r>
                </w:p>
              </w:tc>
              <w:tc>
                <w:tcPr>
                  <w:tcW w:w="1129"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1</w:t>
                  </w:r>
                  <w:r w:rsidR="006B56BD" w:rsidRPr="00B02AD6">
                    <w:rPr>
                      <w:sz w:val="22"/>
                      <w:szCs w:val="22"/>
                    </w:rPr>
                    <w:t>,</w:t>
                  </w:r>
                  <w:r w:rsidRPr="00B02AD6">
                    <w:rPr>
                      <w:sz w:val="22"/>
                      <w:szCs w:val="22"/>
                    </w:rPr>
                    <w:t>07 (0</w:t>
                  </w:r>
                  <w:r w:rsidR="006B56BD" w:rsidRPr="00B02AD6">
                    <w:rPr>
                      <w:sz w:val="22"/>
                      <w:szCs w:val="22"/>
                    </w:rPr>
                    <w:t>,</w:t>
                  </w:r>
                  <w:r w:rsidRPr="00B02AD6">
                    <w:rPr>
                      <w:sz w:val="22"/>
                      <w:szCs w:val="22"/>
                    </w:rPr>
                    <w:t>88; 1</w:t>
                  </w:r>
                  <w:r w:rsidR="006B56BD" w:rsidRPr="00B02AD6">
                    <w:rPr>
                      <w:sz w:val="22"/>
                      <w:szCs w:val="22"/>
                    </w:rPr>
                    <w:t>,</w:t>
                  </w:r>
                  <w:r w:rsidRPr="00B02AD6">
                    <w:rPr>
                      <w:sz w:val="22"/>
                      <w:szCs w:val="22"/>
                    </w:rPr>
                    <w:t>31)</w:t>
                  </w:r>
                </w:p>
                <w:p w:rsidR="0051655A" w:rsidRPr="00B02AD6" w:rsidRDefault="0051655A" w:rsidP="006B56BD">
                  <w:pPr>
                    <w:pStyle w:val="Header"/>
                    <w:tabs>
                      <w:tab w:val="left" w:pos="284"/>
                    </w:tabs>
                    <w:rPr>
                      <w:sz w:val="22"/>
                      <w:szCs w:val="22"/>
                    </w:rPr>
                  </w:pPr>
                  <w:r w:rsidRPr="00B02AD6">
                    <w:rPr>
                      <w:sz w:val="22"/>
                      <w:szCs w:val="22"/>
                    </w:rPr>
                    <w:t>1</w:t>
                  </w:r>
                  <w:r w:rsidR="006B56BD" w:rsidRPr="00B02AD6">
                    <w:rPr>
                      <w:sz w:val="22"/>
                      <w:szCs w:val="22"/>
                    </w:rPr>
                    <w:t>,</w:t>
                  </w:r>
                  <w:r w:rsidRPr="00B02AD6">
                    <w:rPr>
                      <w:sz w:val="22"/>
                      <w:szCs w:val="22"/>
                    </w:rPr>
                    <w:t>03 (0</w:t>
                  </w:r>
                  <w:r w:rsidR="006B56BD" w:rsidRPr="00B02AD6">
                    <w:rPr>
                      <w:sz w:val="22"/>
                      <w:szCs w:val="22"/>
                    </w:rPr>
                    <w:t>,</w:t>
                  </w:r>
                  <w:r w:rsidRPr="00B02AD6">
                    <w:rPr>
                      <w:sz w:val="22"/>
                      <w:szCs w:val="22"/>
                    </w:rPr>
                    <w:t>87; 1</w:t>
                  </w:r>
                  <w:r w:rsidR="006B56BD" w:rsidRPr="00B02AD6">
                    <w:rPr>
                      <w:sz w:val="22"/>
                      <w:szCs w:val="22"/>
                    </w:rPr>
                    <w:t>,</w:t>
                  </w:r>
                  <w:r w:rsidRPr="00B02AD6">
                    <w:rPr>
                      <w:sz w:val="22"/>
                      <w:szCs w:val="22"/>
                    </w:rPr>
                    <w:t>23)</w:t>
                  </w:r>
                </w:p>
              </w:tc>
            </w:tr>
            <w:tr w:rsidR="0051655A" w:rsidRPr="00B02AD6" w:rsidTr="009E4A39">
              <w:tc>
                <w:tcPr>
                  <w:tcW w:w="5000" w:type="pct"/>
                  <w:gridSpan w:val="5"/>
                  <w:shd w:val="clear" w:color="auto" w:fill="E6E6E6"/>
                  <w:vAlign w:val="center"/>
                </w:tcPr>
                <w:p w:rsidR="0051655A" w:rsidRPr="00B02AD6" w:rsidRDefault="0051655A" w:rsidP="00A03C69">
                  <w:pPr>
                    <w:pStyle w:val="Header"/>
                    <w:tabs>
                      <w:tab w:val="left" w:pos="284"/>
                    </w:tabs>
                    <w:jc w:val="center"/>
                    <w:rPr>
                      <w:b/>
                      <w:sz w:val="22"/>
                      <w:szCs w:val="22"/>
                    </w:rPr>
                  </w:pPr>
                  <w:r w:rsidRPr="00B02AD6">
                    <w:rPr>
                      <w:b/>
                      <w:sz w:val="22"/>
                      <w:szCs w:val="22"/>
                    </w:rPr>
                    <w:t>DODATNIH  6 MJESECI PRAĆENJA</w:t>
                  </w:r>
                </w:p>
              </w:tc>
            </w:tr>
            <w:tr w:rsidR="0051655A" w:rsidRPr="00B02AD6" w:rsidTr="009E4A39">
              <w:tc>
                <w:tcPr>
                  <w:tcW w:w="841" w:type="pct"/>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Populacija</w:t>
                  </w:r>
                </w:p>
              </w:tc>
              <w:tc>
                <w:tcPr>
                  <w:tcW w:w="3030" w:type="pct"/>
                  <w:gridSpan w:val="3"/>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 xml:space="preserve">Srednje vrijeme do događaja (dani) </w:t>
                  </w:r>
                </w:p>
              </w:tc>
              <w:tc>
                <w:tcPr>
                  <w:tcW w:w="1129" w:type="pct"/>
                  <w:tcBorders>
                    <w:bottom w:val="single" w:sz="4" w:space="0" w:color="auto"/>
                  </w:tcBorders>
                  <w:shd w:val="clear" w:color="auto" w:fill="auto"/>
                  <w:vAlign w:val="bottom"/>
                </w:tcPr>
                <w:p w:rsidR="0051655A" w:rsidRPr="00B02AD6" w:rsidRDefault="0051655A" w:rsidP="00A03C69">
                  <w:pPr>
                    <w:pStyle w:val="Header"/>
                    <w:tabs>
                      <w:tab w:val="left" w:pos="284"/>
                    </w:tabs>
                    <w:rPr>
                      <w:b/>
                      <w:sz w:val="22"/>
                      <w:szCs w:val="22"/>
                    </w:rPr>
                  </w:pPr>
                  <w:r w:rsidRPr="00B02AD6">
                    <w:rPr>
                      <w:b/>
                      <w:sz w:val="22"/>
                      <w:szCs w:val="22"/>
                    </w:rPr>
                    <w:t>HR</w:t>
                  </w:r>
                </w:p>
                <w:p w:rsidR="0051655A" w:rsidRPr="00B02AD6" w:rsidRDefault="0051655A" w:rsidP="00A03C69">
                  <w:pPr>
                    <w:pStyle w:val="Header"/>
                    <w:tabs>
                      <w:tab w:val="left" w:pos="284"/>
                    </w:tabs>
                    <w:rPr>
                      <w:b/>
                      <w:sz w:val="22"/>
                      <w:szCs w:val="22"/>
                    </w:rPr>
                  </w:pPr>
                  <w:r w:rsidRPr="00B02AD6">
                    <w:rPr>
                      <w:b/>
                      <w:sz w:val="22"/>
                      <w:szCs w:val="22"/>
                    </w:rPr>
                    <w:t>(95% CI)</w:t>
                  </w:r>
                </w:p>
              </w:tc>
            </w:tr>
            <w:tr w:rsidR="0051655A" w:rsidRPr="00B02AD6" w:rsidTr="009E4A39">
              <w:tc>
                <w:tcPr>
                  <w:tcW w:w="5000" w:type="pct"/>
                  <w:gridSpan w:val="5"/>
                  <w:shd w:val="clear" w:color="auto" w:fill="E6E6E6"/>
                  <w:vAlign w:val="center"/>
                </w:tcPr>
                <w:p w:rsidR="0051655A" w:rsidRPr="00B02AD6" w:rsidRDefault="0051655A" w:rsidP="00A03C69">
                  <w:pPr>
                    <w:pStyle w:val="Header"/>
                    <w:tabs>
                      <w:tab w:val="left" w:pos="284"/>
                    </w:tabs>
                    <w:rPr>
                      <w:b/>
                      <w:sz w:val="22"/>
                      <w:szCs w:val="22"/>
                    </w:rPr>
                  </w:pPr>
                  <w:r w:rsidRPr="00B02AD6">
                    <w:rPr>
                      <w:b/>
                      <w:sz w:val="22"/>
                      <w:szCs w:val="22"/>
                    </w:rPr>
                    <w:t>Parametar: Preživljavanje bez progresije</w:t>
                  </w:r>
                </w:p>
              </w:tc>
            </w:tr>
            <w:tr w:rsidR="0051655A" w:rsidRPr="00B02AD6" w:rsidTr="009E4A39">
              <w:trPr>
                <w:trHeight w:val="430"/>
              </w:trPr>
              <w:tc>
                <w:tcPr>
                  <w:tcW w:w="841"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PPP</w:t>
                  </w:r>
                </w:p>
                <w:p w:rsidR="0051655A" w:rsidRPr="00B02AD6" w:rsidRDefault="0051655A" w:rsidP="00A03C69">
                  <w:pPr>
                    <w:pStyle w:val="Header"/>
                    <w:tabs>
                      <w:tab w:val="left" w:pos="284"/>
                    </w:tabs>
                    <w:rPr>
                      <w:sz w:val="22"/>
                      <w:szCs w:val="22"/>
                    </w:rPr>
                  </w:pPr>
                  <w:r w:rsidRPr="00B02AD6">
                    <w:rPr>
                      <w:sz w:val="22"/>
                      <w:szCs w:val="22"/>
                    </w:rPr>
                    <w:t>ITT</w:t>
                  </w:r>
                </w:p>
              </w:tc>
              <w:tc>
                <w:tcPr>
                  <w:tcW w:w="1516" w:type="pct"/>
                  <w:gridSpan w:val="2"/>
                  <w:tcBorders>
                    <w:bottom w:val="single" w:sz="4" w:space="0" w:color="auto"/>
                  </w:tcBorders>
                  <w:shd w:val="clear" w:color="auto" w:fill="auto"/>
                </w:tcPr>
                <w:p w:rsidR="0051655A" w:rsidRPr="00B02AD6" w:rsidRDefault="0051655A" w:rsidP="00A03C69">
                  <w:pPr>
                    <w:pStyle w:val="Header"/>
                    <w:tabs>
                      <w:tab w:val="left" w:pos="284"/>
                    </w:tabs>
                    <w:rPr>
                      <w:sz w:val="22"/>
                      <w:szCs w:val="22"/>
                    </w:rPr>
                  </w:pPr>
                  <w:r w:rsidRPr="00B02AD6">
                    <w:rPr>
                      <w:sz w:val="22"/>
                      <w:szCs w:val="22"/>
                    </w:rPr>
                    <w:t>154</w:t>
                  </w:r>
                </w:p>
                <w:p w:rsidR="0051655A" w:rsidRPr="00B02AD6" w:rsidRDefault="0051655A" w:rsidP="00A03C69">
                  <w:pPr>
                    <w:pStyle w:val="Header"/>
                    <w:tabs>
                      <w:tab w:val="left" w:pos="284"/>
                    </w:tabs>
                    <w:rPr>
                      <w:sz w:val="22"/>
                      <w:szCs w:val="22"/>
                    </w:rPr>
                  </w:pPr>
                  <w:r w:rsidRPr="00B02AD6">
                    <w:rPr>
                      <w:sz w:val="22"/>
                      <w:szCs w:val="22"/>
                    </w:rPr>
                    <w:t>143</w:t>
                  </w:r>
                </w:p>
              </w:tc>
              <w:tc>
                <w:tcPr>
                  <w:tcW w:w="1515"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166</w:t>
                  </w:r>
                </w:p>
                <w:p w:rsidR="0051655A" w:rsidRPr="00B02AD6" w:rsidRDefault="0051655A" w:rsidP="00A03C69">
                  <w:pPr>
                    <w:pStyle w:val="Header"/>
                    <w:tabs>
                      <w:tab w:val="left" w:pos="284"/>
                    </w:tabs>
                    <w:rPr>
                      <w:sz w:val="22"/>
                      <w:szCs w:val="22"/>
                    </w:rPr>
                  </w:pPr>
                  <w:r w:rsidRPr="00B02AD6">
                    <w:rPr>
                      <w:sz w:val="22"/>
                      <w:szCs w:val="22"/>
                    </w:rPr>
                    <w:t>146</w:t>
                  </w:r>
                </w:p>
              </w:tc>
              <w:tc>
                <w:tcPr>
                  <w:tcW w:w="1129" w:type="pct"/>
                  <w:tcBorders>
                    <w:bottom w:val="single" w:sz="4" w:space="0" w:color="auto"/>
                  </w:tcBorders>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1</w:t>
                  </w:r>
                  <w:r w:rsidR="006B56BD" w:rsidRPr="00B02AD6">
                    <w:rPr>
                      <w:sz w:val="22"/>
                      <w:szCs w:val="22"/>
                    </w:rPr>
                    <w:t>,</w:t>
                  </w:r>
                  <w:r w:rsidRPr="00B02AD6">
                    <w:rPr>
                      <w:sz w:val="22"/>
                      <w:szCs w:val="22"/>
                    </w:rPr>
                    <w:t>04 (0</w:t>
                  </w:r>
                  <w:r w:rsidR="006B56BD" w:rsidRPr="00B02AD6">
                    <w:rPr>
                      <w:sz w:val="22"/>
                      <w:szCs w:val="22"/>
                    </w:rPr>
                    <w:t>,</w:t>
                  </w:r>
                  <w:r w:rsidRPr="00B02AD6">
                    <w:rPr>
                      <w:sz w:val="22"/>
                      <w:szCs w:val="22"/>
                    </w:rPr>
                    <w:t>87; 1</w:t>
                  </w:r>
                  <w:r w:rsidR="006B56BD" w:rsidRPr="00B02AD6">
                    <w:rPr>
                      <w:sz w:val="22"/>
                      <w:szCs w:val="22"/>
                    </w:rPr>
                    <w:t>,</w:t>
                  </w:r>
                  <w:r w:rsidRPr="00B02AD6">
                    <w:rPr>
                      <w:sz w:val="22"/>
                      <w:szCs w:val="22"/>
                    </w:rPr>
                    <w:t>24)</w:t>
                  </w:r>
                </w:p>
                <w:p w:rsidR="0051655A" w:rsidRPr="00B02AD6" w:rsidRDefault="0051655A" w:rsidP="006B56BD">
                  <w:pPr>
                    <w:pStyle w:val="Header"/>
                    <w:tabs>
                      <w:tab w:val="left" w:pos="284"/>
                    </w:tabs>
                    <w:rPr>
                      <w:sz w:val="22"/>
                      <w:szCs w:val="22"/>
                    </w:rPr>
                  </w:pPr>
                  <w:r w:rsidRPr="00B02AD6">
                    <w:rPr>
                      <w:sz w:val="22"/>
                      <w:szCs w:val="22"/>
                    </w:rPr>
                    <w:t>0</w:t>
                  </w:r>
                  <w:r w:rsidR="006B56BD" w:rsidRPr="00B02AD6">
                    <w:rPr>
                      <w:sz w:val="22"/>
                      <w:szCs w:val="22"/>
                    </w:rPr>
                    <w:t>,</w:t>
                  </w:r>
                  <w:r w:rsidRPr="00B02AD6">
                    <w:rPr>
                      <w:sz w:val="22"/>
                      <w:szCs w:val="22"/>
                    </w:rPr>
                    <w:t>97 (0</w:t>
                  </w:r>
                  <w:r w:rsidR="006B56BD" w:rsidRPr="00B02AD6">
                    <w:rPr>
                      <w:sz w:val="22"/>
                      <w:szCs w:val="22"/>
                    </w:rPr>
                    <w:t>,</w:t>
                  </w:r>
                  <w:r w:rsidRPr="00B02AD6">
                    <w:rPr>
                      <w:sz w:val="22"/>
                      <w:szCs w:val="22"/>
                    </w:rPr>
                    <w:t>83; 1</w:t>
                  </w:r>
                  <w:r w:rsidR="006B56BD" w:rsidRPr="00B02AD6">
                    <w:rPr>
                      <w:sz w:val="22"/>
                      <w:szCs w:val="22"/>
                    </w:rPr>
                    <w:t>,</w:t>
                  </w:r>
                  <w:r w:rsidRPr="00B02AD6">
                    <w:rPr>
                      <w:sz w:val="22"/>
                      <w:szCs w:val="22"/>
                    </w:rPr>
                    <w:t>14)</w:t>
                  </w:r>
                </w:p>
              </w:tc>
            </w:tr>
            <w:tr w:rsidR="0051655A" w:rsidRPr="00B02AD6" w:rsidTr="009E4A39">
              <w:tc>
                <w:tcPr>
                  <w:tcW w:w="5000" w:type="pct"/>
                  <w:gridSpan w:val="5"/>
                  <w:shd w:val="clear" w:color="auto" w:fill="E6E6E6"/>
                  <w:vAlign w:val="center"/>
                </w:tcPr>
                <w:p w:rsidR="0051655A" w:rsidRPr="00B02AD6" w:rsidRDefault="0051655A" w:rsidP="00A03C69">
                  <w:pPr>
                    <w:pStyle w:val="Header"/>
                    <w:tabs>
                      <w:tab w:val="left" w:pos="284"/>
                    </w:tabs>
                    <w:rPr>
                      <w:b/>
                      <w:sz w:val="22"/>
                      <w:szCs w:val="22"/>
                    </w:rPr>
                  </w:pPr>
                  <w:r w:rsidRPr="00B02AD6">
                    <w:rPr>
                      <w:b/>
                      <w:sz w:val="22"/>
                      <w:szCs w:val="22"/>
                    </w:rPr>
                    <w:t>Parametar: Ukupno preživljavanje</w:t>
                  </w:r>
                </w:p>
              </w:tc>
            </w:tr>
            <w:tr w:rsidR="0051655A" w:rsidRPr="00B02AD6" w:rsidTr="009E4A39">
              <w:tc>
                <w:tcPr>
                  <w:tcW w:w="841" w:type="pct"/>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PPP</w:t>
                  </w:r>
                </w:p>
                <w:p w:rsidR="0051655A" w:rsidRPr="00B02AD6" w:rsidRDefault="0051655A" w:rsidP="00A03C69">
                  <w:pPr>
                    <w:pStyle w:val="Header"/>
                    <w:tabs>
                      <w:tab w:val="left" w:pos="284"/>
                    </w:tabs>
                    <w:rPr>
                      <w:sz w:val="22"/>
                      <w:szCs w:val="22"/>
                    </w:rPr>
                  </w:pPr>
                  <w:r w:rsidRPr="00B02AD6">
                    <w:rPr>
                      <w:sz w:val="22"/>
                      <w:szCs w:val="22"/>
                    </w:rPr>
                    <w:t>ITT</w:t>
                  </w:r>
                </w:p>
              </w:tc>
              <w:tc>
                <w:tcPr>
                  <w:tcW w:w="1516" w:type="pct"/>
                  <w:gridSpan w:val="2"/>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393</w:t>
                  </w:r>
                </w:p>
                <w:p w:rsidR="0051655A" w:rsidRPr="00B02AD6" w:rsidRDefault="0051655A" w:rsidP="00A03C69">
                  <w:pPr>
                    <w:pStyle w:val="Header"/>
                    <w:tabs>
                      <w:tab w:val="left" w:pos="284"/>
                    </w:tabs>
                    <w:rPr>
                      <w:sz w:val="22"/>
                      <w:szCs w:val="22"/>
                    </w:rPr>
                  </w:pPr>
                  <w:r w:rsidRPr="00B02AD6">
                    <w:rPr>
                      <w:sz w:val="22"/>
                      <w:szCs w:val="22"/>
                    </w:rPr>
                    <w:t>363</w:t>
                  </w:r>
                </w:p>
              </w:tc>
              <w:tc>
                <w:tcPr>
                  <w:tcW w:w="1515" w:type="pct"/>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402</w:t>
                  </w:r>
                </w:p>
                <w:p w:rsidR="0051655A" w:rsidRPr="00B02AD6" w:rsidRDefault="0051655A" w:rsidP="00A03C69">
                  <w:pPr>
                    <w:pStyle w:val="Header"/>
                    <w:tabs>
                      <w:tab w:val="left" w:pos="284"/>
                    </w:tabs>
                    <w:rPr>
                      <w:sz w:val="22"/>
                      <w:szCs w:val="22"/>
                    </w:rPr>
                  </w:pPr>
                  <w:r w:rsidRPr="00B02AD6">
                    <w:rPr>
                      <w:sz w:val="22"/>
                      <w:szCs w:val="22"/>
                    </w:rPr>
                    <w:t>382</w:t>
                  </w:r>
                </w:p>
              </w:tc>
              <w:tc>
                <w:tcPr>
                  <w:tcW w:w="1129" w:type="pct"/>
                  <w:shd w:val="clear" w:color="auto" w:fill="auto"/>
                  <w:vAlign w:val="center"/>
                </w:tcPr>
                <w:p w:rsidR="0051655A" w:rsidRPr="00B02AD6" w:rsidRDefault="0051655A" w:rsidP="00A03C69">
                  <w:pPr>
                    <w:pStyle w:val="Header"/>
                    <w:tabs>
                      <w:tab w:val="left" w:pos="284"/>
                    </w:tabs>
                    <w:rPr>
                      <w:sz w:val="22"/>
                      <w:szCs w:val="22"/>
                    </w:rPr>
                  </w:pPr>
                  <w:r w:rsidRPr="00B02AD6">
                    <w:rPr>
                      <w:sz w:val="22"/>
                      <w:szCs w:val="22"/>
                    </w:rPr>
                    <w:t>1</w:t>
                  </w:r>
                  <w:r w:rsidR="006B56BD" w:rsidRPr="00B02AD6">
                    <w:rPr>
                      <w:sz w:val="22"/>
                      <w:szCs w:val="22"/>
                    </w:rPr>
                    <w:t>,</w:t>
                  </w:r>
                  <w:r w:rsidRPr="00B02AD6">
                    <w:rPr>
                      <w:sz w:val="22"/>
                      <w:szCs w:val="22"/>
                    </w:rPr>
                    <w:t>05 (0</w:t>
                  </w:r>
                  <w:r w:rsidR="006B56BD" w:rsidRPr="00B02AD6">
                    <w:rPr>
                      <w:sz w:val="22"/>
                      <w:szCs w:val="22"/>
                    </w:rPr>
                    <w:t>,</w:t>
                  </w:r>
                  <w:r w:rsidRPr="00B02AD6">
                    <w:rPr>
                      <w:sz w:val="22"/>
                      <w:szCs w:val="22"/>
                    </w:rPr>
                    <w:t>88; 1</w:t>
                  </w:r>
                  <w:r w:rsidR="006B56BD" w:rsidRPr="00B02AD6">
                    <w:rPr>
                      <w:sz w:val="22"/>
                      <w:szCs w:val="22"/>
                    </w:rPr>
                    <w:t>,</w:t>
                  </w:r>
                  <w:r w:rsidRPr="00B02AD6">
                    <w:rPr>
                      <w:sz w:val="22"/>
                      <w:szCs w:val="22"/>
                    </w:rPr>
                    <w:t>27)</w:t>
                  </w:r>
                </w:p>
                <w:p w:rsidR="0051655A" w:rsidRPr="00B02AD6" w:rsidRDefault="0051655A" w:rsidP="006B56BD">
                  <w:pPr>
                    <w:pStyle w:val="Header"/>
                    <w:tabs>
                      <w:tab w:val="left" w:pos="284"/>
                    </w:tabs>
                    <w:rPr>
                      <w:sz w:val="22"/>
                      <w:szCs w:val="22"/>
                    </w:rPr>
                  </w:pPr>
                  <w:r w:rsidRPr="00B02AD6">
                    <w:rPr>
                      <w:sz w:val="22"/>
                      <w:szCs w:val="22"/>
                    </w:rPr>
                    <w:t>1</w:t>
                  </w:r>
                  <w:r w:rsidR="006B56BD" w:rsidRPr="00B02AD6">
                    <w:rPr>
                      <w:sz w:val="22"/>
                      <w:szCs w:val="22"/>
                    </w:rPr>
                    <w:t>,</w:t>
                  </w:r>
                  <w:r w:rsidRPr="00B02AD6">
                    <w:rPr>
                      <w:sz w:val="22"/>
                      <w:szCs w:val="22"/>
                    </w:rPr>
                    <w:t>02 (0</w:t>
                  </w:r>
                  <w:r w:rsidR="006B56BD" w:rsidRPr="00B02AD6">
                    <w:rPr>
                      <w:sz w:val="22"/>
                      <w:szCs w:val="22"/>
                    </w:rPr>
                    <w:t>,</w:t>
                  </w:r>
                  <w:r w:rsidRPr="00B02AD6">
                    <w:rPr>
                      <w:sz w:val="22"/>
                      <w:szCs w:val="22"/>
                    </w:rPr>
                    <w:t>86; 1</w:t>
                  </w:r>
                  <w:r w:rsidR="006B56BD" w:rsidRPr="00B02AD6">
                    <w:rPr>
                      <w:sz w:val="22"/>
                      <w:szCs w:val="22"/>
                    </w:rPr>
                    <w:t>,</w:t>
                  </w:r>
                  <w:r w:rsidRPr="00B02AD6">
                    <w:rPr>
                      <w:sz w:val="22"/>
                      <w:szCs w:val="22"/>
                    </w:rPr>
                    <w:t>21)</w:t>
                  </w:r>
                </w:p>
              </w:tc>
            </w:tr>
          </w:tbl>
          <w:p w:rsidR="0051655A" w:rsidRPr="00B02AD6" w:rsidRDefault="0051655A" w:rsidP="00A03C69">
            <w:pPr>
              <w:pStyle w:val="Header"/>
              <w:tabs>
                <w:tab w:val="left" w:pos="284"/>
              </w:tabs>
              <w:jc w:val="both"/>
              <w:rPr>
                <w:sz w:val="22"/>
                <w:szCs w:val="22"/>
              </w:rPr>
            </w:pPr>
            <w:r w:rsidRPr="00B02AD6">
              <w:rPr>
                <w:sz w:val="22"/>
                <w:szCs w:val="22"/>
              </w:rPr>
              <w:t>*PPP=populacija po protokolu; **ITT=populacija pacijenata koji su primili najmanje jednu dozu ispitivanog lijeka</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u w:val="single"/>
              </w:rPr>
            </w:pPr>
            <w:r w:rsidRPr="00B02AD6">
              <w:rPr>
                <w:sz w:val="22"/>
                <w:szCs w:val="22"/>
                <w:u w:val="single"/>
              </w:rPr>
              <w:t>Uznapredovali karcinom želuca:</w:t>
            </w:r>
          </w:p>
          <w:p w:rsidR="0051655A" w:rsidRPr="00B02AD6" w:rsidRDefault="0051655A" w:rsidP="00A03C69">
            <w:pPr>
              <w:pStyle w:val="Header"/>
              <w:tabs>
                <w:tab w:val="left" w:pos="284"/>
              </w:tabs>
              <w:jc w:val="both"/>
              <w:rPr>
                <w:sz w:val="22"/>
                <w:szCs w:val="22"/>
              </w:rPr>
            </w:pPr>
            <w:r w:rsidRPr="00B02AD6">
              <w:rPr>
                <w:sz w:val="22"/>
                <w:szCs w:val="22"/>
              </w:rPr>
              <w:t>Podaci iz jednog multicentričnog, randomizovanog kontrolisanog kliničkog ispitivanja treće faze kod pacijenata sa uznapredovalim karcinomom želuca podržavaju upotrebu kapecitabina kao prve linije terapije uznapredovalog karcinoma želuca (ML17032).</w:t>
            </w:r>
            <w:r w:rsidRPr="00B02AD6">
              <w:rPr>
                <w:color w:val="FF0000"/>
                <w:sz w:val="22"/>
                <w:szCs w:val="22"/>
              </w:rPr>
              <w:t xml:space="preserve"> </w:t>
            </w:r>
            <w:r w:rsidRPr="00B02AD6">
              <w:rPr>
                <w:sz w:val="22"/>
                <w:szCs w:val="22"/>
              </w:rPr>
              <w:t>U ovom ispitivanju, 160 pacijenata je randomizovano da prima kapecitabin (1000 mg/m</w:t>
            </w:r>
            <w:r w:rsidRPr="00B02AD6">
              <w:rPr>
                <w:sz w:val="22"/>
                <w:szCs w:val="22"/>
                <w:vertAlign w:val="superscript"/>
              </w:rPr>
              <w:t>2</w:t>
            </w:r>
            <w:r w:rsidRPr="00B02AD6">
              <w:rPr>
                <w:sz w:val="22"/>
                <w:szCs w:val="22"/>
              </w:rPr>
              <w:t xml:space="preserve"> dva puta dnevno tokom 2 nedjelje</w:t>
            </w:r>
            <w:r w:rsidR="00D1180E" w:rsidRPr="00B02AD6">
              <w:rPr>
                <w:sz w:val="22"/>
                <w:szCs w:val="22"/>
              </w:rPr>
              <w:t>,</w:t>
            </w:r>
            <w:r w:rsidRPr="00B02AD6">
              <w:rPr>
                <w:sz w:val="22"/>
                <w:szCs w:val="22"/>
              </w:rPr>
              <w:t xml:space="preserve"> posl</w:t>
            </w:r>
            <w:r w:rsidR="00D1180E" w:rsidRPr="00B02AD6">
              <w:rPr>
                <w:sz w:val="22"/>
                <w:szCs w:val="22"/>
              </w:rPr>
              <w:t>ij</w:t>
            </w:r>
            <w:r w:rsidRPr="00B02AD6">
              <w:rPr>
                <w:sz w:val="22"/>
                <w:szCs w:val="22"/>
              </w:rPr>
              <w:t>e čega slijedi sedmodnevni period odmora) i cisplatin (80 mg/m</w:t>
            </w:r>
            <w:r w:rsidRPr="00B02AD6">
              <w:rPr>
                <w:sz w:val="22"/>
                <w:szCs w:val="22"/>
                <w:vertAlign w:val="superscript"/>
              </w:rPr>
              <w:t>2</w:t>
            </w:r>
            <w:r w:rsidRPr="00B02AD6">
              <w:rPr>
                <w:sz w:val="22"/>
                <w:szCs w:val="22"/>
              </w:rPr>
              <w:t xml:space="preserve"> u vidu dvočasovne infuzije svake tri nedjelje). Ukupno je 156 pacijenata randomizovano da prima terapiju 5-FU (800 mg/m</w:t>
            </w:r>
            <w:r w:rsidRPr="00B02AD6">
              <w:rPr>
                <w:sz w:val="22"/>
                <w:szCs w:val="22"/>
                <w:vertAlign w:val="superscript"/>
              </w:rPr>
              <w:t>2</w:t>
            </w:r>
            <w:r w:rsidRPr="00B02AD6">
              <w:rPr>
                <w:sz w:val="22"/>
                <w:szCs w:val="22"/>
              </w:rPr>
              <w:t xml:space="preserve"> dnevno, kontinuirana infuzija od prvog do petog dana svake tri nedjelje) i cisplatin (80 mg/m</w:t>
            </w:r>
            <w:r w:rsidRPr="00B02AD6">
              <w:rPr>
                <w:sz w:val="22"/>
                <w:szCs w:val="22"/>
                <w:vertAlign w:val="superscript"/>
              </w:rPr>
              <w:t>2</w:t>
            </w:r>
            <w:r w:rsidRPr="00B02AD6">
              <w:rPr>
                <w:sz w:val="22"/>
                <w:szCs w:val="22"/>
              </w:rPr>
              <w:t xml:space="preserve"> u vidu dvočasovne infuzije prvog dana svake tri nedjelje). Kapecitabin u kombinaciji sa cisplatinom nije </w:t>
            </w:r>
            <w:r w:rsidR="00D1180E" w:rsidRPr="00B02AD6">
              <w:rPr>
                <w:sz w:val="22"/>
                <w:szCs w:val="22"/>
              </w:rPr>
              <w:t xml:space="preserve">bio inferiorniji </w:t>
            </w:r>
            <w:r w:rsidRPr="00B02AD6">
              <w:rPr>
                <w:sz w:val="22"/>
                <w:szCs w:val="22"/>
              </w:rPr>
              <w:t>od kombinacije  5-FU plus cisplatin u smislu preživljavanja bez progresije bolesti u analizi po protokolu (koeficijent rizika 0,81; 95%CI 0,63-1,04). Srednje preživljavanje bez progresije bolesti</w:t>
            </w:r>
            <w:r w:rsidRPr="00B02AD6">
              <w:rPr>
                <w:color w:val="FF0000"/>
                <w:sz w:val="22"/>
                <w:szCs w:val="22"/>
              </w:rPr>
              <w:t xml:space="preserve"> </w:t>
            </w:r>
            <w:r w:rsidRPr="00B02AD6">
              <w:rPr>
                <w:sz w:val="22"/>
                <w:szCs w:val="22"/>
              </w:rPr>
              <w:t>iznosilo je 5,6 mjeseci (kapecitabin plus cisplatin) u poređenju sa 5,0 m</w:t>
            </w:r>
            <w:r w:rsidR="00D1180E" w:rsidRPr="00B02AD6">
              <w:rPr>
                <w:sz w:val="22"/>
                <w:szCs w:val="22"/>
              </w:rPr>
              <w:t>j</w:t>
            </w:r>
            <w:r w:rsidRPr="00B02AD6">
              <w:rPr>
                <w:sz w:val="22"/>
                <w:szCs w:val="22"/>
              </w:rPr>
              <w:t>eseci (5-FU plus cisplatin). Koeficijent rizika za trajanje preživljavanja (ukupno preživljavanje) bio je sličan koeficijentu rizika za preživljavanje bez progresije bolesti (koeficijent rizika 0,85; 95%CI 0,64-1,13). Srednje trajanje preživljavanja iznosilo je 10,5 mjeseci (kapecitabin plus cisplatin) u poređenju sa 9,3 mjeseca (5-FU plus cisplatin).</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Podaci iz jedne randomizovane, multicentrične studije treće faze u kojoj je upoređen kapecitabin sa 5-FU  i oksaliplatin sa cisplatinom kod pacijenata sa uznapredovalim karcinomom želuca podržavaju upotrebu kapecitabina za prvu liniju terapije uznapredovalog karcinoma želuca (REAL-2). U ovom ispitivanju, 1002 pacijenata je randomizovano u 2x2 faktorskom dizajnu u jednu od sljedeće četiri grupe: </w:t>
            </w:r>
          </w:p>
          <w:p w:rsidR="0051655A" w:rsidRPr="00B02AD6" w:rsidRDefault="0051655A" w:rsidP="00206C34">
            <w:pPr>
              <w:pStyle w:val="Header"/>
              <w:numPr>
                <w:ilvl w:val="0"/>
                <w:numId w:val="18"/>
              </w:numPr>
              <w:tabs>
                <w:tab w:val="clear" w:pos="4320"/>
                <w:tab w:val="clear" w:pos="8640"/>
                <w:tab w:val="left" w:pos="284"/>
                <w:tab w:val="center" w:pos="4536"/>
                <w:tab w:val="right" w:pos="9072"/>
              </w:tabs>
              <w:jc w:val="both"/>
              <w:rPr>
                <w:sz w:val="22"/>
                <w:szCs w:val="22"/>
              </w:rPr>
            </w:pPr>
            <w:r w:rsidRPr="00B02AD6">
              <w:rPr>
                <w:sz w:val="22"/>
                <w:szCs w:val="22"/>
              </w:rPr>
              <w:lastRenderedPageBreak/>
              <w:t>ECF: epirubicin (50 mg/m</w:t>
            </w:r>
            <w:r w:rsidRPr="00B02AD6">
              <w:rPr>
                <w:sz w:val="22"/>
                <w:szCs w:val="22"/>
                <w:vertAlign w:val="superscript"/>
              </w:rPr>
              <w:t>2</w:t>
            </w:r>
            <w:r w:rsidRPr="00B02AD6">
              <w:rPr>
                <w:sz w:val="22"/>
                <w:szCs w:val="22"/>
              </w:rPr>
              <w:t xml:space="preserve"> kao bolus prvog dana svake 3 nedjelje), cisplatin (60 mg/m</w:t>
            </w:r>
            <w:r w:rsidRPr="00B02AD6">
              <w:rPr>
                <w:sz w:val="22"/>
                <w:szCs w:val="22"/>
                <w:vertAlign w:val="superscript"/>
              </w:rPr>
              <w:t>2</w:t>
            </w:r>
            <w:r w:rsidRPr="00B02AD6">
              <w:rPr>
                <w:sz w:val="22"/>
                <w:szCs w:val="22"/>
              </w:rPr>
              <w:t xml:space="preserve"> u vidu dvočasovne infuzije prvog dana svake 3 nedjelje) i 5-FU (200 mg/m</w:t>
            </w:r>
            <w:r w:rsidRPr="00B02AD6">
              <w:rPr>
                <w:sz w:val="22"/>
                <w:szCs w:val="22"/>
                <w:vertAlign w:val="superscript"/>
              </w:rPr>
              <w:t>2</w:t>
            </w:r>
            <w:r w:rsidRPr="00B02AD6">
              <w:rPr>
                <w:sz w:val="22"/>
                <w:szCs w:val="22"/>
              </w:rPr>
              <w:t xml:space="preserve"> dnevno u kontinuiranoj infuziji preko centralne linije),</w:t>
            </w:r>
          </w:p>
          <w:p w:rsidR="0051655A" w:rsidRPr="00B02AD6" w:rsidRDefault="0051655A" w:rsidP="00206C34">
            <w:pPr>
              <w:pStyle w:val="Header"/>
              <w:numPr>
                <w:ilvl w:val="0"/>
                <w:numId w:val="18"/>
              </w:numPr>
              <w:tabs>
                <w:tab w:val="clear" w:pos="4320"/>
                <w:tab w:val="clear" w:pos="8640"/>
                <w:tab w:val="left" w:pos="284"/>
                <w:tab w:val="center" w:pos="4536"/>
                <w:tab w:val="right" w:pos="9072"/>
              </w:tabs>
              <w:jc w:val="both"/>
              <w:rPr>
                <w:sz w:val="22"/>
                <w:szCs w:val="22"/>
              </w:rPr>
            </w:pPr>
            <w:r w:rsidRPr="00B02AD6">
              <w:rPr>
                <w:sz w:val="22"/>
                <w:szCs w:val="22"/>
              </w:rPr>
              <w:t>ECX: epirubicin (50 mg/m</w:t>
            </w:r>
            <w:r w:rsidRPr="00B02AD6">
              <w:rPr>
                <w:sz w:val="22"/>
                <w:szCs w:val="22"/>
                <w:vertAlign w:val="superscript"/>
              </w:rPr>
              <w:t>2</w:t>
            </w:r>
            <w:r w:rsidRPr="00B02AD6">
              <w:rPr>
                <w:sz w:val="22"/>
                <w:szCs w:val="22"/>
              </w:rPr>
              <w:t xml:space="preserve"> kao bolus prvog dana svake 3 nedjelje), cisplatin (60 mg/m</w:t>
            </w:r>
            <w:r w:rsidRPr="00B02AD6">
              <w:rPr>
                <w:sz w:val="22"/>
                <w:szCs w:val="22"/>
                <w:vertAlign w:val="superscript"/>
              </w:rPr>
              <w:t>2</w:t>
            </w:r>
            <w:r w:rsidRPr="00B02AD6">
              <w:rPr>
                <w:sz w:val="22"/>
                <w:szCs w:val="22"/>
              </w:rPr>
              <w:t xml:space="preserve"> u vidu dvočasovne infuzije prvog dana svake 3 nedjelje) i kapecitabin (625 mg/m</w:t>
            </w:r>
            <w:r w:rsidRPr="00B02AD6">
              <w:rPr>
                <w:sz w:val="22"/>
                <w:szCs w:val="22"/>
                <w:vertAlign w:val="superscript"/>
              </w:rPr>
              <w:t>2</w:t>
            </w:r>
            <w:r w:rsidRPr="00B02AD6">
              <w:rPr>
                <w:sz w:val="22"/>
                <w:szCs w:val="22"/>
              </w:rPr>
              <w:t xml:space="preserve"> dva puta dnevno, kontinuirano); </w:t>
            </w:r>
          </w:p>
          <w:p w:rsidR="0051655A" w:rsidRPr="00B02AD6" w:rsidRDefault="0051655A" w:rsidP="00206C34">
            <w:pPr>
              <w:pStyle w:val="Header"/>
              <w:numPr>
                <w:ilvl w:val="0"/>
                <w:numId w:val="18"/>
              </w:numPr>
              <w:tabs>
                <w:tab w:val="clear" w:pos="4320"/>
                <w:tab w:val="clear" w:pos="8640"/>
                <w:tab w:val="left" w:pos="284"/>
                <w:tab w:val="center" w:pos="4536"/>
                <w:tab w:val="right" w:pos="9072"/>
              </w:tabs>
              <w:jc w:val="both"/>
              <w:rPr>
                <w:sz w:val="22"/>
                <w:szCs w:val="22"/>
              </w:rPr>
            </w:pPr>
            <w:r w:rsidRPr="00B02AD6">
              <w:rPr>
                <w:sz w:val="22"/>
                <w:szCs w:val="22"/>
              </w:rPr>
              <w:t>EOF: epirubicin (50 mg/m</w:t>
            </w:r>
            <w:r w:rsidRPr="00B02AD6">
              <w:rPr>
                <w:sz w:val="22"/>
                <w:szCs w:val="22"/>
                <w:vertAlign w:val="superscript"/>
              </w:rPr>
              <w:t>2</w:t>
            </w:r>
            <w:r w:rsidRPr="00B02AD6">
              <w:rPr>
                <w:sz w:val="22"/>
                <w:szCs w:val="22"/>
              </w:rPr>
              <w:t xml:space="preserve"> kao bolus prvog dana svake 3 nedjelje), oksaliplatin (130 mg/m</w:t>
            </w:r>
            <w:r w:rsidRPr="00B02AD6">
              <w:rPr>
                <w:sz w:val="22"/>
                <w:szCs w:val="22"/>
                <w:vertAlign w:val="superscript"/>
              </w:rPr>
              <w:t>2</w:t>
            </w:r>
            <w:r w:rsidRPr="00B02AD6">
              <w:rPr>
                <w:sz w:val="22"/>
                <w:szCs w:val="22"/>
              </w:rPr>
              <w:t xml:space="preserve"> u vidu dvočasovne infuzije prvog dana svake 3 nedjelje) i 5-FU (200 mg/m</w:t>
            </w:r>
            <w:r w:rsidRPr="00B02AD6">
              <w:rPr>
                <w:sz w:val="22"/>
                <w:szCs w:val="22"/>
                <w:vertAlign w:val="superscript"/>
              </w:rPr>
              <w:t>2</w:t>
            </w:r>
            <w:r w:rsidRPr="00B02AD6">
              <w:rPr>
                <w:sz w:val="22"/>
                <w:szCs w:val="22"/>
              </w:rPr>
              <w:t xml:space="preserve"> dnevno u kontinuiranoj infuziji preko centralne linije),</w:t>
            </w:r>
          </w:p>
          <w:p w:rsidR="0051655A" w:rsidRPr="00B02AD6" w:rsidRDefault="0051655A" w:rsidP="00206C34">
            <w:pPr>
              <w:pStyle w:val="Header"/>
              <w:numPr>
                <w:ilvl w:val="0"/>
                <w:numId w:val="18"/>
              </w:numPr>
              <w:tabs>
                <w:tab w:val="clear" w:pos="4320"/>
                <w:tab w:val="clear" w:pos="8640"/>
                <w:tab w:val="left" w:pos="284"/>
                <w:tab w:val="center" w:pos="4536"/>
                <w:tab w:val="right" w:pos="9072"/>
              </w:tabs>
              <w:jc w:val="both"/>
              <w:rPr>
                <w:color w:val="FF0000"/>
                <w:sz w:val="22"/>
                <w:szCs w:val="22"/>
              </w:rPr>
            </w:pPr>
            <w:r w:rsidRPr="00B02AD6">
              <w:rPr>
                <w:sz w:val="22"/>
                <w:szCs w:val="22"/>
              </w:rPr>
              <w:t>EOX: epirubicin (50 mg/m</w:t>
            </w:r>
            <w:r w:rsidRPr="00B02AD6">
              <w:rPr>
                <w:sz w:val="22"/>
                <w:szCs w:val="22"/>
                <w:vertAlign w:val="superscript"/>
              </w:rPr>
              <w:t>2</w:t>
            </w:r>
            <w:r w:rsidRPr="00B02AD6">
              <w:rPr>
                <w:sz w:val="22"/>
                <w:szCs w:val="22"/>
              </w:rPr>
              <w:t xml:space="preserve"> kao bolus prvog dana svake 3 nedjelje), oksaliplatin (130 mg/m</w:t>
            </w:r>
            <w:r w:rsidRPr="00B02AD6">
              <w:rPr>
                <w:sz w:val="22"/>
                <w:szCs w:val="22"/>
                <w:vertAlign w:val="superscript"/>
              </w:rPr>
              <w:t>2</w:t>
            </w:r>
            <w:r w:rsidRPr="00B02AD6">
              <w:rPr>
                <w:sz w:val="22"/>
                <w:szCs w:val="22"/>
              </w:rPr>
              <w:t xml:space="preserve"> u vidu dvočasovne infuzije prvog dana svake 3 nedjelje)  i kapecitabin (625 mg/m</w:t>
            </w:r>
            <w:r w:rsidRPr="00B02AD6">
              <w:rPr>
                <w:sz w:val="22"/>
                <w:szCs w:val="22"/>
                <w:vertAlign w:val="superscript"/>
              </w:rPr>
              <w:t>2</w:t>
            </w:r>
            <w:r w:rsidRPr="00B02AD6">
              <w:rPr>
                <w:sz w:val="22"/>
                <w:szCs w:val="22"/>
              </w:rPr>
              <w:t xml:space="preserve"> dva puta dnevno,</w:t>
            </w:r>
            <w:r w:rsidRPr="00B02AD6">
              <w:rPr>
                <w:color w:val="FF0000"/>
                <w:sz w:val="22"/>
                <w:szCs w:val="22"/>
              </w:rPr>
              <w:t xml:space="preserve"> </w:t>
            </w:r>
            <w:r w:rsidRPr="00B02AD6">
              <w:rPr>
                <w:sz w:val="22"/>
                <w:szCs w:val="22"/>
              </w:rPr>
              <w:t>kontinuirano).</w:t>
            </w:r>
          </w:p>
          <w:p w:rsidR="0051655A" w:rsidRPr="00B02AD6" w:rsidRDefault="0051655A" w:rsidP="00A03C69">
            <w:pPr>
              <w:pStyle w:val="Header"/>
              <w:tabs>
                <w:tab w:val="clear" w:pos="4320"/>
                <w:tab w:val="clear" w:pos="8640"/>
                <w:tab w:val="left" w:pos="284"/>
                <w:tab w:val="center" w:pos="4536"/>
                <w:tab w:val="right" w:pos="9072"/>
              </w:tabs>
              <w:ind w:left="360"/>
              <w:jc w:val="both"/>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Primarne analize efikasnosti u populaciji po ovom protokolu pokazale su da u sveukupnom preživljavanju nisu inferiorniji režimi bazirani na kapecitabinu u poređenju sa 5-FU (koeficijent rizika 0,86; 95%CI 0,8 do 0,99) , kao ni režimi bazirani na oksaliplatinu u poređenju sa cisplatinom  (koeficijent rizika 0,92; 95%CI 0,80 do 1,1).</w:t>
            </w:r>
            <w:r w:rsidRPr="00B02AD6">
              <w:rPr>
                <w:color w:val="FF0000"/>
                <w:sz w:val="22"/>
                <w:szCs w:val="22"/>
              </w:rPr>
              <w:t xml:space="preserve"> </w:t>
            </w:r>
            <w:r w:rsidRPr="00B02AD6">
              <w:rPr>
                <w:sz w:val="22"/>
                <w:szCs w:val="22"/>
              </w:rPr>
              <w:t xml:space="preserve">Srednje sveukupno preživljavanje iznosilo je 10,9 mjeseci u režimima baziranim na kapecitabinu, a 9,6 mjeseci u režimima baziranim na 5-FU. Srednje sveukupno preživljavanje iznosilo je 10,0 mjeseci u režimima baziranim na cisplatinu, a 10,4 mjeseci u režimima baziranim na oksaliplatinu.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Kapecitabin je u kombinaciji sa oksaliplatinom za liječenje uznapredovalog karcinoma želuca.  Studije sa kapecitabinom kao monoterapijom ukazuju da kapecitabin ima aktivnost kod uznapredovalog karcinoma želuca. </w:t>
            </w:r>
          </w:p>
          <w:p w:rsidR="0051655A" w:rsidRPr="00B02AD6" w:rsidRDefault="0051655A" w:rsidP="00A03C69">
            <w:pPr>
              <w:pStyle w:val="Header"/>
              <w:tabs>
                <w:tab w:val="left" w:pos="284"/>
              </w:tabs>
              <w:rPr>
                <w:color w:val="FF0000"/>
                <w:sz w:val="22"/>
                <w:szCs w:val="22"/>
                <w:u w:val="single"/>
              </w:rPr>
            </w:pPr>
          </w:p>
          <w:p w:rsidR="0051655A" w:rsidRPr="00B02AD6" w:rsidRDefault="0051655A" w:rsidP="00A03C69">
            <w:pPr>
              <w:pStyle w:val="Header"/>
              <w:tabs>
                <w:tab w:val="left" w:pos="284"/>
              </w:tabs>
              <w:rPr>
                <w:sz w:val="22"/>
                <w:szCs w:val="22"/>
                <w:u w:val="single"/>
              </w:rPr>
            </w:pPr>
            <w:r w:rsidRPr="00B02AD6">
              <w:rPr>
                <w:sz w:val="22"/>
                <w:szCs w:val="22"/>
                <w:u w:val="single"/>
              </w:rPr>
              <w:t>Karcinom kolona, kolorektalni karcinom i uznapredovali karcinom želuca: meta</w:t>
            </w:r>
            <w:r w:rsidR="00D1180E" w:rsidRPr="00B02AD6">
              <w:rPr>
                <w:sz w:val="22"/>
                <w:szCs w:val="22"/>
                <w:u w:val="single"/>
              </w:rPr>
              <w:t>-</w:t>
            </w:r>
            <w:r w:rsidRPr="00B02AD6">
              <w:rPr>
                <w:sz w:val="22"/>
                <w:szCs w:val="22"/>
                <w:u w:val="single"/>
              </w:rPr>
              <w:t>an</w:t>
            </w:r>
            <w:r w:rsidR="00D1180E" w:rsidRPr="00B02AD6">
              <w:rPr>
                <w:sz w:val="22"/>
                <w:szCs w:val="22"/>
                <w:u w:val="single"/>
              </w:rPr>
              <w:t>a</w:t>
            </w:r>
            <w:r w:rsidRPr="00B02AD6">
              <w:rPr>
                <w:sz w:val="22"/>
                <w:szCs w:val="22"/>
                <w:u w:val="single"/>
              </w:rPr>
              <w:t xml:space="preserve">liza </w:t>
            </w:r>
          </w:p>
          <w:p w:rsidR="0051655A" w:rsidRPr="00B02AD6" w:rsidRDefault="0051655A" w:rsidP="00A03C69">
            <w:pPr>
              <w:pStyle w:val="Header"/>
              <w:tabs>
                <w:tab w:val="left" w:pos="284"/>
              </w:tabs>
              <w:jc w:val="both"/>
              <w:rPr>
                <w:sz w:val="22"/>
                <w:szCs w:val="22"/>
              </w:rPr>
            </w:pPr>
            <w:r w:rsidRPr="00B02AD6">
              <w:rPr>
                <w:sz w:val="22"/>
                <w:szCs w:val="22"/>
              </w:rPr>
              <w:t xml:space="preserve">Jedna meta analiza šest kliničkih ispitivanja (SO14695, SO14796, M66001, NO16966, NO16967, M17032) podržava zamjenu 5-FU kapecitabinom u monoterapiji i kombinovanoj terapiji gastrointestinalnih maligniteta. Ova objedinjena analiza uključuje 3097 pacijenata koji su liječeni terapijskim protokolima koji su uključivali kapecitabin i 3074 pacijenata koji su liječeni </w:t>
            </w:r>
            <w:r w:rsidR="00D1180E" w:rsidRPr="00B02AD6">
              <w:rPr>
                <w:sz w:val="22"/>
                <w:szCs w:val="22"/>
              </w:rPr>
              <w:t xml:space="preserve">terapijskim </w:t>
            </w:r>
            <w:r w:rsidRPr="00B02AD6">
              <w:rPr>
                <w:sz w:val="22"/>
                <w:szCs w:val="22"/>
              </w:rPr>
              <w:t>protokolima koji su uključivali lijek 5-FU. Srednje ukupno preživljavanje  iznosilo je 703 dana (95% CI: 671; 745) kod pacijenata koji su liječeni terapijskim protokolom koji je uključivao kapecitabin</w:t>
            </w:r>
            <w:r w:rsidR="00D1180E" w:rsidRPr="00B02AD6">
              <w:rPr>
                <w:sz w:val="22"/>
                <w:szCs w:val="22"/>
              </w:rPr>
              <w:t>,</w:t>
            </w:r>
            <w:r w:rsidRPr="00B02AD6">
              <w:rPr>
                <w:sz w:val="22"/>
                <w:szCs w:val="22"/>
              </w:rPr>
              <w:t xml:space="preserve"> odnosno  683 dana (95% CI: 646</w:t>
            </w:r>
            <w:r w:rsidR="00D1180E" w:rsidRPr="00B02AD6">
              <w:rPr>
                <w:sz w:val="22"/>
                <w:szCs w:val="22"/>
              </w:rPr>
              <w:t>;</w:t>
            </w:r>
            <w:r w:rsidRPr="00B02AD6">
              <w:rPr>
                <w:sz w:val="22"/>
                <w:szCs w:val="22"/>
              </w:rPr>
              <w:t xml:space="preserve"> 715) kod pacijenata koji su liječeni terapijskim protokolima koji su uključivali lijek 5-FU. Koeficijent rizika za ukupno preživljavanje iznosio je</w:t>
            </w:r>
            <w:r w:rsidRPr="00B02AD6">
              <w:rPr>
                <w:color w:val="FF0000"/>
                <w:sz w:val="22"/>
                <w:szCs w:val="22"/>
              </w:rPr>
              <w:t xml:space="preserve">  </w:t>
            </w:r>
            <w:r w:rsidRPr="00B02AD6">
              <w:rPr>
                <w:sz w:val="22"/>
                <w:szCs w:val="22"/>
              </w:rPr>
              <w:t>0</w:t>
            </w:r>
            <w:r w:rsidR="00D1180E" w:rsidRPr="00B02AD6">
              <w:rPr>
                <w:sz w:val="22"/>
                <w:szCs w:val="22"/>
              </w:rPr>
              <w:t>,</w:t>
            </w:r>
            <w:r w:rsidRPr="00B02AD6">
              <w:rPr>
                <w:sz w:val="22"/>
                <w:szCs w:val="22"/>
              </w:rPr>
              <w:t>94 (95% CI: 0</w:t>
            </w:r>
            <w:r w:rsidR="00D1180E" w:rsidRPr="00B02AD6">
              <w:rPr>
                <w:sz w:val="22"/>
                <w:szCs w:val="22"/>
              </w:rPr>
              <w:t>,</w:t>
            </w:r>
            <w:r w:rsidRPr="00B02AD6">
              <w:rPr>
                <w:sz w:val="22"/>
                <w:szCs w:val="22"/>
              </w:rPr>
              <w:t>89; 1,00, p=0</w:t>
            </w:r>
            <w:r w:rsidR="00D1180E" w:rsidRPr="00B02AD6">
              <w:rPr>
                <w:sz w:val="22"/>
                <w:szCs w:val="22"/>
              </w:rPr>
              <w:t>,</w:t>
            </w:r>
            <w:r w:rsidRPr="00B02AD6">
              <w:rPr>
                <w:sz w:val="22"/>
                <w:szCs w:val="22"/>
              </w:rPr>
              <w:t>0489), što govori da su terapijski protokoli koji sadrže kapecitabin  superiorniji od  onih koji sadrže 5-FU.</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i/>
                <w:sz w:val="22"/>
                <w:szCs w:val="22"/>
                <w:u w:val="single"/>
              </w:rPr>
            </w:pPr>
            <w:r w:rsidRPr="00B02AD6">
              <w:rPr>
                <w:sz w:val="22"/>
                <w:szCs w:val="22"/>
                <w:u w:val="single"/>
              </w:rPr>
              <w:t>Karcinom dojke:</w:t>
            </w:r>
          </w:p>
          <w:p w:rsidR="0051655A" w:rsidRPr="00B02AD6" w:rsidRDefault="0051655A" w:rsidP="00A03C69">
            <w:pPr>
              <w:pStyle w:val="Header"/>
              <w:tabs>
                <w:tab w:val="left" w:pos="284"/>
              </w:tabs>
              <w:jc w:val="both"/>
              <w:rPr>
                <w:i/>
                <w:sz w:val="22"/>
                <w:szCs w:val="22"/>
              </w:rPr>
            </w:pPr>
          </w:p>
          <w:p w:rsidR="0051655A" w:rsidRPr="00B02AD6" w:rsidRDefault="0051655A" w:rsidP="00A03C69">
            <w:pPr>
              <w:pStyle w:val="Header"/>
              <w:tabs>
                <w:tab w:val="left" w:pos="284"/>
              </w:tabs>
              <w:jc w:val="both"/>
              <w:rPr>
                <w:i/>
                <w:sz w:val="22"/>
                <w:szCs w:val="22"/>
              </w:rPr>
            </w:pPr>
            <w:r w:rsidRPr="00B02AD6">
              <w:rPr>
                <w:i/>
                <w:sz w:val="22"/>
                <w:szCs w:val="22"/>
              </w:rPr>
              <w:t>Kombinovana terapija kapecitabinom i docetakselom kod lokalno uznapredovalog ili metastatskog karcinoma dojke</w:t>
            </w:r>
          </w:p>
          <w:p w:rsidR="0051655A" w:rsidRPr="00B02AD6" w:rsidRDefault="0051655A" w:rsidP="00A03C69">
            <w:pPr>
              <w:pStyle w:val="Header"/>
              <w:tabs>
                <w:tab w:val="left" w:pos="284"/>
              </w:tabs>
              <w:jc w:val="both"/>
              <w:rPr>
                <w:sz w:val="22"/>
                <w:szCs w:val="22"/>
              </w:rPr>
            </w:pPr>
            <w:r w:rsidRPr="00B02AD6">
              <w:rPr>
                <w:sz w:val="22"/>
                <w:szCs w:val="22"/>
              </w:rPr>
              <w:t xml:space="preserve">Podaci iz jedne multicentrične, </w:t>
            </w:r>
            <w:r w:rsidR="00D1180E" w:rsidRPr="00B02AD6">
              <w:rPr>
                <w:sz w:val="22"/>
                <w:szCs w:val="22"/>
              </w:rPr>
              <w:t>randomizovane</w:t>
            </w:r>
            <w:r w:rsidRPr="00B02AD6">
              <w:rPr>
                <w:sz w:val="22"/>
                <w:szCs w:val="22"/>
              </w:rPr>
              <w:t>, kontrolisane kliničke studije treće faze  podržavaju korišćenje kapecitabina u kombinaciji sa docetakselom za liječenje pacijenata sa lokalno uznapredovalim ili metastatskim karcinomom dojke po neuspjehu citotoksične terapije, uključujući antraciklin. U ovom ispitivanju, 255</w:t>
            </w:r>
            <w:r w:rsidRPr="00B02AD6">
              <w:rPr>
                <w:color w:val="FF0000"/>
                <w:sz w:val="22"/>
                <w:szCs w:val="22"/>
              </w:rPr>
              <w:t xml:space="preserve"> </w:t>
            </w:r>
            <w:r w:rsidRPr="00B02AD6">
              <w:rPr>
                <w:sz w:val="22"/>
                <w:szCs w:val="22"/>
              </w:rPr>
              <w:t xml:space="preserve">pacijenata </w:t>
            </w:r>
            <w:r w:rsidR="00D1180E" w:rsidRPr="00B02AD6">
              <w:rPr>
                <w:sz w:val="22"/>
                <w:szCs w:val="22"/>
              </w:rPr>
              <w:t xml:space="preserve">je </w:t>
            </w:r>
            <w:r w:rsidRPr="00B02AD6">
              <w:rPr>
                <w:sz w:val="22"/>
                <w:szCs w:val="22"/>
              </w:rPr>
              <w:t xml:space="preserve">nasumično </w:t>
            </w:r>
            <w:r w:rsidR="00D1180E" w:rsidRPr="00B02AD6">
              <w:rPr>
                <w:sz w:val="22"/>
                <w:szCs w:val="22"/>
              </w:rPr>
              <w:t xml:space="preserve">podijeljeno </w:t>
            </w:r>
            <w:r w:rsidRPr="00B02AD6">
              <w:rPr>
                <w:sz w:val="22"/>
                <w:szCs w:val="22"/>
              </w:rPr>
              <w:t>da prima kapecitabin (1250 mg/m</w:t>
            </w:r>
            <w:r w:rsidRPr="00B02AD6">
              <w:rPr>
                <w:sz w:val="22"/>
                <w:szCs w:val="22"/>
                <w:vertAlign w:val="superscript"/>
              </w:rPr>
              <w:t>2</w:t>
            </w:r>
            <w:r w:rsidRPr="00B02AD6">
              <w:rPr>
                <w:sz w:val="22"/>
                <w:szCs w:val="22"/>
              </w:rPr>
              <w:t xml:space="preserve"> dva puta dnevno u trajanju od dvije nedjelje</w:t>
            </w:r>
            <w:r w:rsidR="00D1180E" w:rsidRPr="00B02AD6">
              <w:rPr>
                <w:sz w:val="22"/>
                <w:szCs w:val="22"/>
              </w:rPr>
              <w:t>,</w:t>
            </w:r>
            <w:r w:rsidRPr="00B02AD6">
              <w:rPr>
                <w:sz w:val="22"/>
                <w:szCs w:val="22"/>
              </w:rPr>
              <w:t xml:space="preserve"> posl</w:t>
            </w:r>
            <w:r w:rsidR="00D1180E" w:rsidRPr="00B02AD6">
              <w:rPr>
                <w:sz w:val="22"/>
                <w:szCs w:val="22"/>
              </w:rPr>
              <w:t>ij</w:t>
            </w:r>
            <w:r w:rsidRPr="00B02AD6">
              <w:rPr>
                <w:sz w:val="22"/>
                <w:szCs w:val="22"/>
              </w:rPr>
              <w:t>e čega slijedi jednonedjeljni odmor</w:t>
            </w:r>
            <w:r w:rsidR="00D1180E" w:rsidRPr="00B02AD6">
              <w:rPr>
                <w:sz w:val="22"/>
                <w:szCs w:val="22"/>
              </w:rPr>
              <w:t>,</w:t>
            </w:r>
            <w:r w:rsidRPr="00B02AD6">
              <w:rPr>
                <w:sz w:val="22"/>
                <w:szCs w:val="22"/>
              </w:rPr>
              <w:t xml:space="preserve"> i docetaksel 75 mg/m</w:t>
            </w:r>
            <w:r w:rsidRPr="00B02AD6">
              <w:rPr>
                <w:sz w:val="22"/>
                <w:szCs w:val="22"/>
                <w:vertAlign w:val="superscript"/>
              </w:rPr>
              <w:t>2</w:t>
            </w:r>
            <w:r w:rsidRPr="00B02AD6">
              <w:rPr>
                <w:sz w:val="22"/>
                <w:szCs w:val="22"/>
              </w:rPr>
              <w:t xml:space="preserve"> kao jednosatna intravenska infuzija svake tri nedjelje), a 256 pacijenata je nasumično određeno da prima samo docetaksel (100 mg/m</w:t>
            </w:r>
            <w:r w:rsidRPr="00B02AD6">
              <w:rPr>
                <w:sz w:val="22"/>
                <w:szCs w:val="22"/>
                <w:vertAlign w:val="superscript"/>
              </w:rPr>
              <w:t>2</w:t>
            </w:r>
            <w:r w:rsidRPr="00B02AD6">
              <w:rPr>
                <w:sz w:val="22"/>
                <w:szCs w:val="22"/>
              </w:rPr>
              <w:t xml:space="preserve"> kao jednosatnu intravensku infuziju svake </w:t>
            </w:r>
            <w:r w:rsidRPr="00B02AD6">
              <w:rPr>
                <w:sz w:val="22"/>
                <w:szCs w:val="22"/>
              </w:rPr>
              <w:lastRenderedPageBreak/>
              <w:t xml:space="preserve">tri nedjelje). Preživljavanje je bilo bolje u grupi koja je primala kombinaciju kapecitabin plus docetaksel (p=0,0126). Srednje preživljavanje iznosilo je 442 dana (kapecitabin + docetaksel) prema 352 dana (samo docetaksel). </w:t>
            </w:r>
            <w:r w:rsidR="00D1180E" w:rsidRPr="00B02AD6">
              <w:rPr>
                <w:sz w:val="22"/>
                <w:szCs w:val="22"/>
              </w:rPr>
              <w:t xml:space="preserve">Krajnje terapijske stope </w:t>
            </w:r>
            <w:r w:rsidRPr="00B02AD6">
              <w:rPr>
                <w:sz w:val="22"/>
                <w:szCs w:val="22"/>
              </w:rPr>
              <w:t>odgovor</w:t>
            </w:r>
            <w:r w:rsidR="00D1180E" w:rsidRPr="00B02AD6">
              <w:rPr>
                <w:sz w:val="22"/>
                <w:szCs w:val="22"/>
              </w:rPr>
              <w:t>a</w:t>
            </w:r>
            <w:r w:rsidRPr="00B02AD6">
              <w:rPr>
                <w:sz w:val="22"/>
                <w:szCs w:val="22"/>
              </w:rPr>
              <w:t xml:space="preserve"> u cjelokupnoj randomizovanoj populaciji (procjena istraživača) iznosile su 41,6% (kapecitabin + docetaksel) prema 29,7% (samo docetaksel ); p = 0,0058. Vrijeme do progresije bolesti opet je bilo bolje u grupi koja je primala kombinaciju kapecitabin + docetaksel (p&lt;0,0001). Srednje vrijeme do progresije bolesti iznosilo je 186 dana (kapecitabin + docetaksel) prema 128 dana (samo docetaksel).</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i/>
                <w:sz w:val="22"/>
                <w:szCs w:val="22"/>
              </w:rPr>
            </w:pPr>
            <w:r w:rsidRPr="00B02AD6">
              <w:rPr>
                <w:i/>
                <w:sz w:val="22"/>
                <w:szCs w:val="22"/>
              </w:rPr>
              <w:t>Monoterapija kapecitabinom poslije neuspjeha taksana, hemoterapije sa sadržajem antraciklina</w:t>
            </w:r>
            <w:r w:rsidR="00D1180E" w:rsidRPr="00B02AD6">
              <w:rPr>
                <w:i/>
                <w:sz w:val="22"/>
                <w:szCs w:val="22"/>
              </w:rPr>
              <w:t>,</w:t>
            </w:r>
            <w:r w:rsidRPr="00B02AD6">
              <w:rPr>
                <w:i/>
                <w:sz w:val="22"/>
                <w:szCs w:val="22"/>
              </w:rPr>
              <w:t xml:space="preserve"> i kod pacijenata kod kojih antraciklinska terapija nije indikovana</w:t>
            </w:r>
          </w:p>
          <w:p w:rsidR="0051655A" w:rsidRPr="00B02AD6" w:rsidRDefault="0051655A" w:rsidP="00A03C69">
            <w:pPr>
              <w:pStyle w:val="Header"/>
              <w:tabs>
                <w:tab w:val="left" w:pos="284"/>
              </w:tabs>
              <w:jc w:val="both"/>
              <w:rPr>
                <w:sz w:val="22"/>
                <w:szCs w:val="22"/>
              </w:rPr>
            </w:pPr>
            <w:r w:rsidRPr="00B02AD6">
              <w:rPr>
                <w:sz w:val="22"/>
                <w:szCs w:val="22"/>
              </w:rPr>
              <w:t xml:space="preserve">Podaci iz dvije multicentrične kliničke studije druge faze podržavaju upotrebu kapecitabin monoterapije za liječenje pacijenata nakon </w:t>
            </w:r>
            <w:r w:rsidR="005314FE" w:rsidRPr="00B02AD6">
              <w:rPr>
                <w:sz w:val="22"/>
                <w:szCs w:val="22"/>
              </w:rPr>
              <w:t xml:space="preserve">neuspjeha </w:t>
            </w:r>
            <w:r w:rsidRPr="00B02AD6">
              <w:rPr>
                <w:sz w:val="22"/>
                <w:szCs w:val="22"/>
              </w:rPr>
              <w:t>taksana i terapijskih režima sa sadržajem antraciklina ili za koje dalja antraciklinska terapija nije indikovana. U ovim ispitivanjima</w:t>
            </w:r>
            <w:r w:rsidR="005314FE" w:rsidRPr="00B02AD6">
              <w:rPr>
                <w:sz w:val="22"/>
                <w:szCs w:val="22"/>
              </w:rPr>
              <w:t>,</w:t>
            </w:r>
            <w:r w:rsidRPr="00B02AD6">
              <w:rPr>
                <w:sz w:val="22"/>
                <w:szCs w:val="22"/>
              </w:rPr>
              <w:t xml:space="preserve"> ukupno 236 pacijenata dobijalo je kapecitabin (1250 mg/m</w:t>
            </w:r>
            <w:r w:rsidRPr="00B02AD6">
              <w:rPr>
                <w:sz w:val="22"/>
                <w:szCs w:val="22"/>
                <w:vertAlign w:val="superscript"/>
              </w:rPr>
              <w:t>2</w:t>
            </w:r>
            <w:r w:rsidRPr="00B02AD6">
              <w:rPr>
                <w:sz w:val="22"/>
                <w:szCs w:val="22"/>
              </w:rPr>
              <w:t xml:space="preserve"> dva puta dnevno u trajanju od dv</w:t>
            </w:r>
            <w:r w:rsidR="005314FE" w:rsidRPr="00B02AD6">
              <w:rPr>
                <w:sz w:val="22"/>
                <w:szCs w:val="22"/>
              </w:rPr>
              <w:t>ij</w:t>
            </w:r>
            <w:r w:rsidRPr="00B02AD6">
              <w:rPr>
                <w:sz w:val="22"/>
                <w:szCs w:val="22"/>
              </w:rPr>
              <w:t>e nedjelje</w:t>
            </w:r>
            <w:r w:rsidR="005314FE" w:rsidRPr="00B02AD6">
              <w:rPr>
                <w:sz w:val="22"/>
                <w:szCs w:val="22"/>
              </w:rPr>
              <w:t>,</w:t>
            </w:r>
            <w:r w:rsidRPr="00B02AD6">
              <w:rPr>
                <w:sz w:val="22"/>
                <w:szCs w:val="22"/>
              </w:rPr>
              <w:t xml:space="preserve"> poslije čega slijedi jednonedjeljni odmor). </w:t>
            </w:r>
            <w:r w:rsidR="005314FE" w:rsidRPr="00B02AD6">
              <w:rPr>
                <w:sz w:val="22"/>
                <w:szCs w:val="22"/>
              </w:rPr>
              <w:t xml:space="preserve">Krajnje terapijske stope </w:t>
            </w:r>
            <w:r w:rsidRPr="00B02AD6">
              <w:rPr>
                <w:sz w:val="22"/>
                <w:szCs w:val="22"/>
              </w:rPr>
              <w:t>odgovor</w:t>
            </w:r>
            <w:r w:rsidR="005314FE" w:rsidRPr="00B02AD6">
              <w:rPr>
                <w:sz w:val="22"/>
                <w:szCs w:val="22"/>
              </w:rPr>
              <w:t>a</w:t>
            </w:r>
            <w:r w:rsidRPr="00B02AD6">
              <w:rPr>
                <w:sz w:val="22"/>
                <w:szCs w:val="22"/>
              </w:rPr>
              <w:t xml:space="preserve"> preživljavanja (procjena istraživača) iznosile su 20% (prva studija) i 25% (druga studija). Srednje vrijeme do progresije bolesti iznosilo je 93, odnosno 98 dana. Srednje preživljavanje iznosilo je 384 i 373 dana.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rPr>
            </w:pPr>
            <w:r w:rsidRPr="00B02AD6">
              <w:rPr>
                <w:sz w:val="22"/>
                <w:szCs w:val="22"/>
                <w:u w:val="single"/>
              </w:rPr>
              <w:t>Sve indikacije</w:t>
            </w:r>
            <w:r w:rsidRPr="00B02AD6">
              <w:rPr>
                <w:sz w:val="22"/>
                <w:szCs w:val="22"/>
              </w:rPr>
              <w:t xml:space="preserve">: </w:t>
            </w:r>
          </w:p>
          <w:p w:rsidR="0051655A" w:rsidRPr="00B02AD6" w:rsidRDefault="0051655A" w:rsidP="00A03C69">
            <w:pPr>
              <w:pStyle w:val="Header"/>
              <w:tabs>
                <w:tab w:val="left" w:pos="284"/>
              </w:tabs>
              <w:jc w:val="both"/>
              <w:rPr>
                <w:sz w:val="22"/>
                <w:szCs w:val="22"/>
              </w:rPr>
            </w:pPr>
          </w:p>
          <w:p w:rsidR="0051655A" w:rsidRPr="00B02AD6" w:rsidRDefault="0051655A" w:rsidP="00A03C69">
            <w:pPr>
              <w:pStyle w:val="Header"/>
              <w:tabs>
                <w:tab w:val="left" w:pos="284"/>
              </w:tabs>
              <w:jc w:val="both"/>
              <w:rPr>
                <w:sz w:val="22"/>
                <w:szCs w:val="22"/>
              </w:rPr>
            </w:pPr>
            <w:r w:rsidRPr="00B02AD6">
              <w:rPr>
                <w:sz w:val="22"/>
                <w:szCs w:val="22"/>
              </w:rPr>
              <w:t>Meta-analiza 14 kliničkih studija sa podacima preko 4700 pacijenata liječenih kapecitabinom u monoterapiji ili u kombinaciji sa različitim hemoterapijskim režimima u više indikacija (karcinom kolona, kolorektalni karcinom, uznapredovali karcinom želuca i dojke) pokazala je da pacijenti na kapecitabinu koji razviju sindrom šaka-stopalo imaju duže ukupno preživljavanje u poređenju sa pacijentima koji nisu razvili sindrom šaka-stopalo: srednje ukupno preživljavanje 1100 dana (95% CI 1007; 1200) u poređenju sa 691 dan (95% CI 15</w:t>
            </w:r>
            <w:r w:rsidR="005314FE" w:rsidRPr="00B02AD6">
              <w:rPr>
                <w:sz w:val="22"/>
                <w:szCs w:val="22"/>
              </w:rPr>
              <w:t>,</w:t>
            </w:r>
            <w:r w:rsidRPr="00B02AD6">
              <w:rPr>
                <w:sz w:val="22"/>
                <w:szCs w:val="22"/>
              </w:rPr>
              <w:t>0; 17</w:t>
            </w:r>
            <w:r w:rsidR="005314FE" w:rsidRPr="00B02AD6">
              <w:rPr>
                <w:sz w:val="22"/>
                <w:szCs w:val="22"/>
              </w:rPr>
              <w:t>,</w:t>
            </w:r>
            <w:r w:rsidRPr="00B02AD6">
              <w:rPr>
                <w:sz w:val="22"/>
                <w:szCs w:val="22"/>
              </w:rPr>
              <w:t>0) uz  koeficijent rizika 0</w:t>
            </w:r>
            <w:r w:rsidR="005314FE" w:rsidRPr="00B02AD6">
              <w:rPr>
                <w:sz w:val="22"/>
                <w:szCs w:val="22"/>
              </w:rPr>
              <w:t>,</w:t>
            </w:r>
            <w:r w:rsidRPr="00B02AD6">
              <w:rPr>
                <w:sz w:val="22"/>
                <w:szCs w:val="22"/>
              </w:rPr>
              <w:t>61(95% CI 0</w:t>
            </w:r>
            <w:r w:rsidR="005314FE" w:rsidRPr="00B02AD6">
              <w:rPr>
                <w:sz w:val="22"/>
                <w:szCs w:val="22"/>
              </w:rPr>
              <w:t>,</w:t>
            </w:r>
            <w:r w:rsidRPr="00B02AD6">
              <w:rPr>
                <w:sz w:val="22"/>
                <w:szCs w:val="22"/>
              </w:rPr>
              <w:t>56; 0</w:t>
            </w:r>
            <w:r w:rsidR="005314FE" w:rsidRPr="00B02AD6">
              <w:rPr>
                <w:sz w:val="22"/>
                <w:szCs w:val="22"/>
              </w:rPr>
              <w:t>,</w:t>
            </w:r>
            <w:r w:rsidRPr="00B02AD6">
              <w:rPr>
                <w:sz w:val="22"/>
                <w:szCs w:val="22"/>
              </w:rPr>
              <w:t xml:space="preserve">66). </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lastRenderedPageBreak/>
              <w:t>5.2. Farmakokinetički podaci</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Farmakokinetika kapecitabina procjenjivana je u doznom rasponu od 502 – 3514 mg/m</w:t>
            </w:r>
            <w:r w:rsidRPr="00B02AD6">
              <w:rPr>
                <w:sz w:val="22"/>
                <w:szCs w:val="22"/>
                <w:vertAlign w:val="superscript"/>
              </w:rPr>
              <w:t>2</w:t>
            </w:r>
            <w:r w:rsidRPr="00B02AD6">
              <w:rPr>
                <w:sz w:val="22"/>
                <w:szCs w:val="22"/>
              </w:rPr>
              <w:t>/dan. Pokazatelji aktivnosti kapecitabina, 5'-deoksi-5-fluorocitidina (5'-DFCR) i 5'-deoksi-5-fluorouridina (5'-DFUR) mjereno prvog i 14. dana bili su slični.</w:t>
            </w:r>
            <w:r w:rsidRPr="00B02AD6">
              <w:rPr>
                <w:color w:val="FF0000"/>
                <w:sz w:val="22"/>
                <w:szCs w:val="22"/>
              </w:rPr>
              <w:t xml:space="preserve"> </w:t>
            </w:r>
            <w:r w:rsidRPr="00B02AD6">
              <w:rPr>
                <w:sz w:val="22"/>
                <w:szCs w:val="22"/>
              </w:rPr>
              <w:t xml:space="preserve">PIK (površina ispod krive)  5-FU bila je 30-35% veća 14. dana. Smanjenje doze kapecitabina smanjuje sistemsku izloženost 5-FU više nego srazmjerno dozi, zbog nelinearne farmakokinetike ovog aktivnog metabolita. </w:t>
            </w:r>
          </w:p>
          <w:p w:rsidR="0051655A" w:rsidRPr="00B02AD6" w:rsidRDefault="0051655A" w:rsidP="00A03C69">
            <w:pPr>
              <w:pStyle w:val="Header"/>
              <w:tabs>
                <w:tab w:val="left" w:pos="284"/>
              </w:tabs>
              <w:rPr>
                <w:color w:val="FF0000"/>
                <w:sz w:val="22"/>
                <w:szCs w:val="22"/>
              </w:rPr>
            </w:pPr>
          </w:p>
          <w:p w:rsidR="0051655A" w:rsidRPr="00B02AD6" w:rsidRDefault="005314FE" w:rsidP="00A03C69">
            <w:pPr>
              <w:pStyle w:val="Header"/>
              <w:tabs>
                <w:tab w:val="left" w:pos="284"/>
              </w:tabs>
              <w:rPr>
                <w:sz w:val="22"/>
                <w:szCs w:val="22"/>
                <w:u w:val="single"/>
              </w:rPr>
            </w:pPr>
            <w:r w:rsidRPr="00B02AD6">
              <w:rPr>
                <w:sz w:val="22"/>
                <w:szCs w:val="22"/>
                <w:u w:val="single"/>
              </w:rPr>
              <w:t>Resorpcija</w:t>
            </w:r>
          </w:p>
          <w:p w:rsidR="0051655A" w:rsidRPr="00B02AD6" w:rsidRDefault="0051655A" w:rsidP="00A03C69">
            <w:pPr>
              <w:pStyle w:val="Header"/>
              <w:tabs>
                <w:tab w:val="left" w:pos="284"/>
              </w:tabs>
              <w:jc w:val="both"/>
              <w:rPr>
                <w:sz w:val="22"/>
                <w:szCs w:val="22"/>
              </w:rPr>
            </w:pPr>
            <w:r w:rsidRPr="00B02AD6">
              <w:rPr>
                <w:sz w:val="22"/>
                <w:szCs w:val="22"/>
              </w:rPr>
              <w:t xml:space="preserve">Nakon oralne primjene, kapecitabin se brzo i ekstenzivno </w:t>
            </w:r>
            <w:r w:rsidR="005314FE" w:rsidRPr="00B02AD6">
              <w:rPr>
                <w:sz w:val="22"/>
                <w:szCs w:val="22"/>
              </w:rPr>
              <w:t>resorbuje</w:t>
            </w:r>
            <w:r w:rsidRPr="00B02AD6">
              <w:rPr>
                <w:sz w:val="22"/>
                <w:szCs w:val="22"/>
              </w:rPr>
              <w:t xml:space="preserve">, poslije čega slijedi ekstenzivna konverzija u metabolite, 5'-DFCR i 5'-DFUR. Primjena sa hranom smanjuje brzinu </w:t>
            </w:r>
            <w:r w:rsidR="005314FE" w:rsidRPr="00B02AD6">
              <w:rPr>
                <w:sz w:val="22"/>
                <w:szCs w:val="22"/>
              </w:rPr>
              <w:t xml:space="preserve">resorpcije </w:t>
            </w:r>
            <w:r w:rsidRPr="00B02AD6">
              <w:rPr>
                <w:sz w:val="22"/>
                <w:szCs w:val="22"/>
              </w:rPr>
              <w:t>kapecitabina, ali to ima samo malo dejstvo na PIK 5'-DFUR, kao i na PIK narednog metabolita, 5-FU. Pri dozi od 1250 mg/m</w:t>
            </w:r>
            <w:r w:rsidRPr="00B02AD6">
              <w:rPr>
                <w:sz w:val="22"/>
                <w:szCs w:val="22"/>
                <w:vertAlign w:val="superscript"/>
              </w:rPr>
              <w:t>2</w:t>
            </w:r>
            <w:r w:rsidRPr="00B02AD6">
              <w:rPr>
                <w:sz w:val="22"/>
                <w:szCs w:val="22"/>
              </w:rPr>
              <w:t xml:space="preserve"> 14. dana  po unosu hrane, maksimalne koncentracije u plazmi (C</w:t>
            </w:r>
            <w:r w:rsidRPr="00B02AD6">
              <w:rPr>
                <w:sz w:val="22"/>
                <w:szCs w:val="22"/>
                <w:vertAlign w:val="subscript"/>
              </w:rPr>
              <w:t>max</w:t>
            </w:r>
            <w:r w:rsidRPr="00B02AD6">
              <w:rPr>
                <w:sz w:val="22"/>
                <w:szCs w:val="22"/>
              </w:rPr>
              <w:t xml:space="preserve"> u μg/ml) kapecitabina, 5'-DFCR, 5'-DFUR, 5-FU i FBAL iznosile su 4,67; 3,05; 12,1; 0,95, odnosno 5,46. Vrijeme potrebno za postizanje maksimalne koncetracije u plazmi (T</w:t>
            </w:r>
            <w:r w:rsidRPr="00B02AD6">
              <w:rPr>
                <w:sz w:val="22"/>
                <w:szCs w:val="22"/>
                <w:vertAlign w:val="subscript"/>
              </w:rPr>
              <w:t>max</w:t>
            </w:r>
            <w:r w:rsidRPr="00B02AD6">
              <w:rPr>
                <w:sz w:val="22"/>
                <w:szCs w:val="22"/>
              </w:rPr>
              <w:t xml:space="preserve"> u satima)  iznosilo je 1,50; 2,00; 2,00; 2,00, odnosno 3,34 časa. Vrijednosti PIK</w:t>
            </w:r>
            <w:r w:rsidRPr="00B02AD6">
              <w:rPr>
                <w:sz w:val="22"/>
                <w:szCs w:val="22"/>
                <w:vertAlign w:val="subscript"/>
              </w:rPr>
              <w:t>0-∞</w:t>
            </w:r>
            <w:r w:rsidRPr="00B02AD6">
              <w:rPr>
                <w:sz w:val="22"/>
                <w:szCs w:val="22"/>
              </w:rPr>
              <w:t xml:space="preserve"> u μg/ml·h/ml iznosile su 7,75; 7,24; 24,6; 2,03 i 36,3.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u w:val="single"/>
              </w:rPr>
            </w:pPr>
            <w:r w:rsidRPr="00B02AD6">
              <w:rPr>
                <w:sz w:val="22"/>
                <w:szCs w:val="22"/>
                <w:u w:val="single"/>
              </w:rPr>
              <w:t>Distribucija</w:t>
            </w:r>
          </w:p>
          <w:p w:rsidR="0051655A" w:rsidRPr="00B02AD6" w:rsidRDefault="0051655A" w:rsidP="00A03C69">
            <w:pPr>
              <w:pStyle w:val="Header"/>
              <w:tabs>
                <w:tab w:val="left" w:pos="284"/>
              </w:tabs>
              <w:jc w:val="both"/>
              <w:rPr>
                <w:sz w:val="22"/>
                <w:szCs w:val="22"/>
              </w:rPr>
            </w:pPr>
            <w:r w:rsidRPr="00B02AD6">
              <w:rPr>
                <w:i/>
                <w:sz w:val="22"/>
                <w:szCs w:val="22"/>
              </w:rPr>
              <w:lastRenderedPageBreak/>
              <w:t>In vitro</w:t>
            </w:r>
            <w:r w:rsidRPr="00B02AD6">
              <w:rPr>
                <w:sz w:val="22"/>
                <w:szCs w:val="22"/>
              </w:rPr>
              <w:t xml:space="preserve"> ispitivanja humane plazme </w:t>
            </w:r>
            <w:r w:rsidR="005314FE" w:rsidRPr="00B02AD6">
              <w:rPr>
                <w:sz w:val="22"/>
                <w:szCs w:val="22"/>
              </w:rPr>
              <w:t xml:space="preserve">pokazala </w:t>
            </w:r>
            <w:r w:rsidRPr="00B02AD6">
              <w:rPr>
                <w:sz w:val="22"/>
                <w:szCs w:val="22"/>
              </w:rPr>
              <w:t>su da se kapecitabin, 5'-DFCR, 5'-DFUR i 5-FU vezuju za proteine plazme 54%, 10%, 62% odnosno 10%, i to uglavnom za albumin.</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color w:val="FF0000"/>
                <w:sz w:val="22"/>
                <w:szCs w:val="22"/>
              </w:rPr>
            </w:pPr>
            <w:r w:rsidRPr="00B02AD6">
              <w:rPr>
                <w:sz w:val="22"/>
                <w:szCs w:val="22"/>
                <w:u w:val="single"/>
              </w:rPr>
              <w:t>Biotransformacija</w:t>
            </w:r>
          </w:p>
          <w:p w:rsidR="0051655A" w:rsidRPr="00B02AD6" w:rsidRDefault="0051655A" w:rsidP="00A03C69">
            <w:pPr>
              <w:pStyle w:val="Header"/>
              <w:tabs>
                <w:tab w:val="left" w:pos="284"/>
              </w:tabs>
              <w:jc w:val="both"/>
              <w:rPr>
                <w:sz w:val="22"/>
                <w:szCs w:val="22"/>
              </w:rPr>
            </w:pPr>
            <w:r w:rsidRPr="00B02AD6">
              <w:rPr>
                <w:sz w:val="22"/>
                <w:szCs w:val="22"/>
              </w:rPr>
              <w:t xml:space="preserve">Kapecitabin se prvo </w:t>
            </w:r>
            <w:r w:rsidR="005314FE" w:rsidRPr="00B02AD6">
              <w:rPr>
                <w:sz w:val="22"/>
                <w:szCs w:val="22"/>
              </w:rPr>
              <w:t xml:space="preserve">metaboliše </w:t>
            </w:r>
            <w:r w:rsidRPr="00B02AD6">
              <w:rPr>
                <w:sz w:val="22"/>
                <w:szCs w:val="22"/>
              </w:rPr>
              <w:t xml:space="preserve">hepatičnom karboksilesterazom u 5'-DFCR koji se onda pomoću citidin deaminaze konvertuje u 5'-DFUR, koja se uglavnom nalazi u jetri i tumorskom tkivu. Dalja katalitička aktivacija 5'-DFUR  se onda odvija pomoću timidin fosforilaze (ThyPase). Enzimi koji su uključeni u katalitičku aktivaciju nalaze se u tumorskom tkivu, ali i u normalnim tkivima, iako obično u nižim nivoima. Sekvencijalna enzimska biotransformacija kapecitabina u 5-FU dovodi do većih koncentracija u tumorskim tkivima. U slučaju kolorektalnih tumora, generisanje 5-FU je izgleda u velikoj mjeri lokalizovano u stromalnim tumorskim ćelijama. Po oralnom davanju kapecitabina pacijentima sa kolorektalnim karcinomom, odnos koncentracije 5-FU u kolorektalnom tumoru i onoga u okolnom tkivu iznosio je 3,2 (u rasponu od 0,9 do 8,0). Odnos koncentracije 5-FU u tumoru i plazmi iznosio je 21,4 (raspon 3,9 do 59,9, n=8), dok je odnos u zdravim tkivima prema plazmi bio 8,9 (raspon od 3,0 do 25,8, n=8). Aktivnost timidin fosforilaze bila je mjerena i pokazala se 4 puta većom u primarnom kolorektalnom tumoru nego u okolnom normalnom tkivu. Po imunohistohemijskim ispitivanjima, izgleda da je timidin fosforilaza u velikoj mjeri lokalizovana u tumorskim stromalnim ćelijama.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5-FU se dalje katabolizuje enzimom dihidropirimidin dehidrogenaza (DPD) u daleko manje toksični dihidro-5-fluorouracil (FUH</w:t>
            </w:r>
            <w:r w:rsidRPr="00B02AD6">
              <w:rPr>
                <w:sz w:val="22"/>
                <w:szCs w:val="22"/>
                <w:vertAlign w:val="subscript"/>
              </w:rPr>
              <w:t>2</w:t>
            </w:r>
            <w:r w:rsidRPr="00B02AD6">
              <w:rPr>
                <w:sz w:val="22"/>
                <w:szCs w:val="22"/>
              </w:rPr>
              <w:t xml:space="preserve">). Dihidropirimidinaza cijepa pirimidinski prsten da se dobije 5-fluoro-ureidopropionska kiselina (FUPA). Konačno, beta-ureido-propionaza cijepa FUPA u alfa-fluoro-beta-alanin (FBAL) koji se izbacuje urinom. Aktivnost dihidropirimidin dehidrogenaze (DPD) je korak koji ograničava brzinu. Deficijencija DPD može da dovede do pojačane toksičnosti kapecitabina (vidjeti odjeljke 4.3 i 4.4).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sz w:val="22"/>
                <w:szCs w:val="22"/>
                <w:u w:val="single"/>
              </w:rPr>
            </w:pPr>
            <w:r w:rsidRPr="00B02AD6">
              <w:rPr>
                <w:sz w:val="22"/>
                <w:szCs w:val="22"/>
                <w:u w:val="single"/>
              </w:rPr>
              <w:t>Eliminacija</w:t>
            </w:r>
          </w:p>
          <w:p w:rsidR="0051655A" w:rsidRPr="00B02AD6" w:rsidRDefault="0051655A" w:rsidP="00A03C69">
            <w:pPr>
              <w:pStyle w:val="Header"/>
              <w:tabs>
                <w:tab w:val="left" w:pos="284"/>
              </w:tabs>
              <w:jc w:val="both"/>
              <w:rPr>
                <w:color w:val="FF0000"/>
                <w:sz w:val="22"/>
                <w:szCs w:val="22"/>
              </w:rPr>
            </w:pPr>
            <w:r w:rsidRPr="00B02AD6">
              <w:rPr>
                <w:sz w:val="22"/>
                <w:szCs w:val="22"/>
              </w:rPr>
              <w:t>Poluvrijeme eliminacije (t</w:t>
            </w:r>
            <w:r w:rsidRPr="00B02AD6">
              <w:rPr>
                <w:sz w:val="22"/>
                <w:szCs w:val="22"/>
                <w:vertAlign w:val="subscript"/>
              </w:rPr>
              <w:t>½</w:t>
            </w:r>
            <w:r w:rsidRPr="00B02AD6">
              <w:rPr>
                <w:sz w:val="22"/>
                <w:szCs w:val="22"/>
              </w:rPr>
              <w:t xml:space="preserve"> u časovima) kapecitabina, 5'-DFCR, 5'-DFUR, 5-FU i FBAL iznosi</w:t>
            </w:r>
            <w:r w:rsidRPr="00B02AD6">
              <w:rPr>
                <w:color w:val="FF0000"/>
                <w:sz w:val="22"/>
                <w:szCs w:val="22"/>
              </w:rPr>
              <w:t xml:space="preserve"> </w:t>
            </w:r>
            <w:r w:rsidRPr="00B02AD6">
              <w:rPr>
                <w:sz w:val="22"/>
                <w:szCs w:val="22"/>
              </w:rPr>
              <w:t xml:space="preserve">0,85; 1,11; 0,66; 0,76, odnosno 3,23 časova. Kapecitabin i njegovi metaboliti se pretežno izlučuju urinom: 95,5% date doze kapecitabina izluči se urinom. Fekalna ekskrecija je minimalna (2,6%). Glavni metabolit koji se izlučuje urinom je FBAL, na koji  otpada 57% date doze. Oko 3% date doze se izlučuje urinom u vidu neizmijenjenog lijeka.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color w:val="FF0000"/>
                <w:sz w:val="22"/>
                <w:szCs w:val="22"/>
              </w:rPr>
            </w:pPr>
            <w:r w:rsidRPr="00B02AD6">
              <w:rPr>
                <w:sz w:val="22"/>
                <w:szCs w:val="22"/>
                <w:u w:val="single"/>
              </w:rPr>
              <w:t>Kombinovana terapija</w:t>
            </w:r>
            <w:r w:rsidRPr="00B02AD6">
              <w:rPr>
                <w:color w:val="FF0000"/>
                <w:sz w:val="22"/>
                <w:szCs w:val="22"/>
              </w:rPr>
              <w:t xml:space="preserve"> </w:t>
            </w:r>
          </w:p>
          <w:p w:rsidR="0051655A" w:rsidRPr="00B02AD6" w:rsidRDefault="0051655A" w:rsidP="00A03C69">
            <w:pPr>
              <w:pStyle w:val="Header"/>
              <w:tabs>
                <w:tab w:val="left" w:pos="284"/>
              </w:tabs>
              <w:jc w:val="both"/>
              <w:rPr>
                <w:sz w:val="22"/>
                <w:szCs w:val="22"/>
              </w:rPr>
            </w:pPr>
            <w:r w:rsidRPr="00B02AD6">
              <w:rPr>
                <w:sz w:val="22"/>
                <w:szCs w:val="22"/>
              </w:rPr>
              <w:t xml:space="preserve">Ispitivanja faze I kojima se procjenjuje dejstvo kapecitabina na farmakokinetiku </w:t>
            </w:r>
            <w:r w:rsidR="00E74EC3" w:rsidRPr="00B02AD6">
              <w:rPr>
                <w:sz w:val="22"/>
                <w:szCs w:val="22"/>
              </w:rPr>
              <w:t xml:space="preserve">ili </w:t>
            </w:r>
            <w:r w:rsidRPr="00B02AD6">
              <w:rPr>
                <w:sz w:val="22"/>
                <w:szCs w:val="22"/>
              </w:rPr>
              <w:t>docetaksela ili paklitaksela i obrnuto</w:t>
            </w:r>
            <w:r w:rsidR="00E74EC3" w:rsidRPr="00B02AD6">
              <w:rPr>
                <w:sz w:val="22"/>
                <w:szCs w:val="22"/>
              </w:rPr>
              <w:t>,</w:t>
            </w:r>
            <w:r w:rsidRPr="00B02AD6">
              <w:rPr>
                <w:sz w:val="22"/>
                <w:szCs w:val="22"/>
              </w:rPr>
              <w:t xml:space="preserve"> nisu pokazala dejstvo kapecitabina na farmakokinetiku docetaksela ili paklitaksela (C</w:t>
            </w:r>
            <w:r w:rsidRPr="00B02AD6">
              <w:rPr>
                <w:sz w:val="22"/>
                <w:szCs w:val="22"/>
                <w:vertAlign w:val="subscript"/>
              </w:rPr>
              <w:t>max</w:t>
            </w:r>
            <w:r w:rsidRPr="00B02AD6">
              <w:rPr>
                <w:sz w:val="22"/>
                <w:szCs w:val="22"/>
              </w:rPr>
              <w:t xml:space="preserve"> i PIK), niti su docetaksel ili paklitaksel uticali na farmakokinetiku 5'-DFUR.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rPr>
                <w:color w:val="FF0000"/>
                <w:sz w:val="22"/>
                <w:szCs w:val="22"/>
              </w:rPr>
            </w:pPr>
            <w:r w:rsidRPr="00B02AD6">
              <w:rPr>
                <w:sz w:val="22"/>
                <w:szCs w:val="22"/>
                <w:u w:val="single"/>
              </w:rPr>
              <w:t>Farmakokinetika u posebnim grupama pacijenata</w:t>
            </w:r>
            <w:r w:rsidRPr="00B02AD6">
              <w:rPr>
                <w:color w:val="FF0000"/>
                <w:sz w:val="22"/>
                <w:szCs w:val="22"/>
              </w:rPr>
              <w:t xml:space="preserve"> </w:t>
            </w:r>
          </w:p>
          <w:p w:rsidR="0051655A" w:rsidRPr="00B02AD6" w:rsidRDefault="0051655A" w:rsidP="00A03C69">
            <w:pPr>
              <w:pStyle w:val="Header"/>
              <w:tabs>
                <w:tab w:val="left" w:pos="284"/>
              </w:tabs>
              <w:jc w:val="both"/>
              <w:rPr>
                <w:sz w:val="22"/>
                <w:szCs w:val="22"/>
              </w:rPr>
            </w:pPr>
            <w:r w:rsidRPr="00B02AD6">
              <w:rPr>
                <w:sz w:val="22"/>
                <w:szCs w:val="22"/>
              </w:rPr>
              <w:t>Populaciona farmakokinetička analiza izvedena je po</w:t>
            </w:r>
            <w:r w:rsidR="00E74EC3" w:rsidRPr="00B02AD6">
              <w:rPr>
                <w:sz w:val="22"/>
                <w:szCs w:val="22"/>
              </w:rPr>
              <w:t>slije</w:t>
            </w:r>
            <w:r w:rsidRPr="00B02AD6">
              <w:rPr>
                <w:sz w:val="22"/>
                <w:szCs w:val="22"/>
              </w:rPr>
              <w:t xml:space="preserve"> </w:t>
            </w:r>
            <w:r w:rsidR="00E74EC3" w:rsidRPr="00B02AD6">
              <w:rPr>
                <w:sz w:val="22"/>
                <w:szCs w:val="22"/>
              </w:rPr>
              <w:t xml:space="preserve">terapije </w:t>
            </w:r>
            <w:r w:rsidRPr="00B02AD6">
              <w:rPr>
                <w:sz w:val="22"/>
                <w:szCs w:val="22"/>
              </w:rPr>
              <w:t>kapecitabinom kod 505 pacijenata sa kolorektalnim karcinomom</w:t>
            </w:r>
            <w:r w:rsidR="00E74EC3" w:rsidRPr="00B02AD6">
              <w:rPr>
                <w:sz w:val="22"/>
                <w:szCs w:val="22"/>
              </w:rPr>
              <w:t>,</w:t>
            </w:r>
            <w:r w:rsidRPr="00B02AD6">
              <w:rPr>
                <w:sz w:val="22"/>
                <w:szCs w:val="22"/>
              </w:rPr>
              <w:t xml:space="preserve"> koji je primjenjivan u dozi od 1250 mg/m</w:t>
            </w:r>
            <w:r w:rsidRPr="00B02AD6">
              <w:rPr>
                <w:sz w:val="22"/>
                <w:szCs w:val="22"/>
                <w:vertAlign w:val="superscript"/>
              </w:rPr>
              <w:t>2</w:t>
            </w:r>
            <w:r w:rsidRPr="00B02AD6">
              <w:rPr>
                <w:sz w:val="22"/>
                <w:szCs w:val="22"/>
              </w:rPr>
              <w:t xml:space="preserve"> dva puta dnevno. Pol, prisustvo ili odsustvo metastaza u jetri na početku terapije, Karnofski performans status, ukupni bilirubin, albumin u serumu, ASAT i ALAT nisu imali statistički signifikantno dejstvo na farmakokinetiku 5'-DFUR, 5-FU i FBAL. </w:t>
            </w:r>
          </w:p>
          <w:p w:rsidR="0051655A" w:rsidRPr="00B02AD6" w:rsidRDefault="0051655A" w:rsidP="00A03C69">
            <w:pPr>
              <w:pStyle w:val="Header"/>
              <w:tabs>
                <w:tab w:val="left" w:pos="284"/>
              </w:tabs>
              <w:rPr>
                <w:color w:val="FF0000"/>
                <w:sz w:val="22"/>
                <w:szCs w:val="22"/>
              </w:rPr>
            </w:pPr>
          </w:p>
          <w:p w:rsidR="0051655A" w:rsidRPr="00B02AD6" w:rsidRDefault="0051655A" w:rsidP="00206C34">
            <w:pPr>
              <w:pStyle w:val="Header"/>
              <w:tabs>
                <w:tab w:val="left" w:pos="284"/>
              </w:tabs>
              <w:jc w:val="both"/>
              <w:rPr>
                <w:sz w:val="22"/>
                <w:szCs w:val="22"/>
                <w:u w:val="single"/>
              </w:rPr>
            </w:pPr>
            <w:r w:rsidRPr="00B02AD6">
              <w:rPr>
                <w:i/>
                <w:sz w:val="22"/>
                <w:szCs w:val="22"/>
                <w:u w:val="single"/>
              </w:rPr>
              <w:t>Pacijenti sa hepatičkom insuficijencijom zbog metastaza u jetri</w:t>
            </w:r>
            <w:r w:rsidRPr="00B02AD6">
              <w:rPr>
                <w:sz w:val="22"/>
                <w:szCs w:val="22"/>
                <w:u w:val="single"/>
              </w:rPr>
              <w:t>:</w:t>
            </w:r>
            <w:r w:rsidRPr="00B02AD6">
              <w:rPr>
                <w:sz w:val="22"/>
                <w:szCs w:val="22"/>
              </w:rPr>
              <w:t xml:space="preserve">Po ispitivanjima farmakokinetike kod oboljelih od karcinoma sa blagom do umjerenom hepatičkom insuficijencijom zbog metastaza u jetri, pokazalo se da se biološka raspoloživost kapecitabina i izlaganje 5-FU mogu povećati u poređenju sa </w:t>
            </w:r>
            <w:r w:rsidRPr="00B02AD6">
              <w:rPr>
                <w:sz w:val="22"/>
                <w:szCs w:val="22"/>
              </w:rPr>
              <w:lastRenderedPageBreak/>
              <w:t xml:space="preserve">pacijentima koji nemaju hepatičku insuficijenciju. Nema farmakokinetičkih podataka o pacijentima sa teškom hepatičkom insuficijencijom. </w:t>
            </w:r>
          </w:p>
          <w:p w:rsidR="0051655A" w:rsidRPr="00B02AD6" w:rsidRDefault="0051655A" w:rsidP="00A03C69">
            <w:pPr>
              <w:pStyle w:val="Header"/>
              <w:tabs>
                <w:tab w:val="left" w:pos="284"/>
              </w:tabs>
              <w:rPr>
                <w:color w:val="FF0000"/>
                <w:sz w:val="22"/>
                <w:szCs w:val="22"/>
              </w:rPr>
            </w:pPr>
          </w:p>
          <w:p w:rsidR="0051655A" w:rsidRPr="00B02AD6" w:rsidRDefault="0051655A" w:rsidP="00206C34">
            <w:pPr>
              <w:pStyle w:val="Header"/>
              <w:tabs>
                <w:tab w:val="left" w:pos="284"/>
              </w:tabs>
              <w:jc w:val="both"/>
              <w:rPr>
                <w:sz w:val="22"/>
                <w:szCs w:val="22"/>
                <w:u w:val="single"/>
              </w:rPr>
            </w:pPr>
            <w:r w:rsidRPr="00B02AD6">
              <w:rPr>
                <w:i/>
                <w:sz w:val="22"/>
                <w:szCs w:val="22"/>
                <w:u w:val="single"/>
              </w:rPr>
              <w:t>Pacijenti sa bubrežnom insuficijencijom:</w:t>
            </w:r>
            <w:r w:rsidRPr="00B02AD6">
              <w:rPr>
                <w:sz w:val="22"/>
                <w:szCs w:val="22"/>
              </w:rPr>
              <w:t xml:space="preserve">Po ispitivanjima farmakokinetike kod pacijenata sa karcinomom i sa umjerenom do teškom bubrežnom insuficijencijom, nema dokaza o dejstvu klirensa kreatinina na farmakokinetiku intaktnog lijeka i 5-FU. Pokazano je da klirens kreatinina utiče na sistemsku izloženost 5'-DFUR (35% povećanje PIK kada se klirens kreatinina smanji za 50%) i FBAL (114% povećanje PIK kada se klirens kreatinina smanji za 50%). FBAL je metabolit bez antiproliferativnog dejstva. </w:t>
            </w:r>
          </w:p>
          <w:p w:rsidR="0051655A" w:rsidRPr="00B02AD6" w:rsidRDefault="0051655A" w:rsidP="00A03C69">
            <w:pPr>
              <w:pStyle w:val="Header"/>
              <w:tabs>
                <w:tab w:val="left" w:pos="284"/>
              </w:tabs>
              <w:rPr>
                <w:color w:val="FF0000"/>
                <w:sz w:val="22"/>
                <w:szCs w:val="22"/>
              </w:rPr>
            </w:pPr>
          </w:p>
          <w:p w:rsidR="0051655A" w:rsidRPr="00B02AD6" w:rsidRDefault="0051655A" w:rsidP="00206C34">
            <w:pPr>
              <w:pStyle w:val="Header"/>
              <w:tabs>
                <w:tab w:val="left" w:pos="284"/>
              </w:tabs>
              <w:jc w:val="both"/>
              <w:rPr>
                <w:sz w:val="22"/>
                <w:szCs w:val="22"/>
                <w:u w:val="single"/>
              </w:rPr>
            </w:pPr>
            <w:r w:rsidRPr="00B02AD6">
              <w:rPr>
                <w:i/>
                <w:sz w:val="22"/>
                <w:szCs w:val="22"/>
                <w:u w:val="single"/>
              </w:rPr>
              <w:t>Starije osobe:</w:t>
            </w:r>
            <w:r w:rsidRPr="00B02AD6">
              <w:rPr>
                <w:sz w:val="22"/>
                <w:szCs w:val="22"/>
              </w:rPr>
              <w:t xml:space="preserve">Na osnovu populacione farmakokinetičke analize koja je uključila pacijente različite starosti (27 do 86 godina) i obuhvatila 234 pacijenta (46%) ≥65 godina, ovaj parametar nema uticaja na farmakokinetiku 5'-DFUR i 5-FU. PIK FBL povećava se sa starenjem (20% povećanje starosti dovodi do 15% povećanja PIK FBL). Ova promjena je vjerovatno uzrokovana promjenama bubrežne funkcije. </w:t>
            </w:r>
          </w:p>
          <w:p w:rsidR="0051655A" w:rsidRPr="00B02AD6" w:rsidRDefault="0051655A" w:rsidP="00A03C69">
            <w:pPr>
              <w:pStyle w:val="Header"/>
              <w:tabs>
                <w:tab w:val="left" w:pos="284"/>
              </w:tabs>
              <w:rPr>
                <w:sz w:val="22"/>
                <w:szCs w:val="22"/>
              </w:rPr>
            </w:pPr>
          </w:p>
          <w:p w:rsidR="0051655A" w:rsidRPr="00B02AD6" w:rsidRDefault="0051655A" w:rsidP="00206C34">
            <w:pPr>
              <w:pStyle w:val="Header"/>
              <w:tabs>
                <w:tab w:val="left" w:pos="284"/>
              </w:tabs>
              <w:jc w:val="both"/>
              <w:rPr>
                <w:color w:val="FF0000"/>
                <w:sz w:val="22"/>
                <w:szCs w:val="22"/>
              </w:rPr>
            </w:pPr>
            <w:r w:rsidRPr="00B02AD6">
              <w:rPr>
                <w:i/>
                <w:sz w:val="22"/>
                <w:szCs w:val="22"/>
                <w:u w:val="single"/>
              </w:rPr>
              <w:t>Faktori etničke pripadnosti:</w:t>
            </w:r>
            <w:r w:rsidRPr="00B02AD6">
              <w:rPr>
                <w:color w:val="FF0000"/>
                <w:sz w:val="22"/>
                <w:szCs w:val="22"/>
              </w:rPr>
              <w:t xml:space="preserve"> </w:t>
            </w:r>
            <w:r w:rsidR="00E74EC3" w:rsidRPr="00B02AD6">
              <w:rPr>
                <w:sz w:val="22"/>
                <w:szCs w:val="22"/>
              </w:rPr>
              <w:t xml:space="preserve">Nakon </w:t>
            </w:r>
            <w:r w:rsidRPr="00B02AD6">
              <w:rPr>
                <w:sz w:val="22"/>
                <w:szCs w:val="22"/>
              </w:rPr>
              <w:t>peroralne primjene 825 mg/m</w:t>
            </w:r>
            <w:r w:rsidRPr="00B02AD6">
              <w:rPr>
                <w:sz w:val="22"/>
                <w:szCs w:val="22"/>
                <w:vertAlign w:val="superscript"/>
              </w:rPr>
              <w:t>2</w:t>
            </w:r>
            <w:r w:rsidRPr="00B02AD6">
              <w:rPr>
                <w:sz w:val="22"/>
                <w:szCs w:val="22"/>
              </w:rPr>
              <w:t xml:space="preserve"> kapecitabina dva puta dnevno u trajanju od 14 dana, japanski pacijenti (n=18) su imali oko 36% niži C</w:t>
            </w:r>
            <w:r w:rsidRPr="00B02AD6">
              <w:rPr>
                <w:sz w:val="22"/>
                <w:szCs w:val="22"/>
                <w:vertAlign w:val="subscript"/>
              </w:rPr>
              <w:t>max</w:t>
            </w:r>
            <w:r w:rsidRPr="00B02AD6">
              <w:rPr>
                <w:sz w:val="22"/>
                <w:szCs w:val="22"/>
              </w:rPr>
              <w:t xml:space="preserve"> i 24% nižu PIK za kapecitabin od pacijenata bijele rase (N=22). Japanski pacijenti su imali oko 25% niži C</w:t>
            </w:r>
            <w:r w:rsidRPr="00B02AD6">
              <w:rPr>
                <w:sz w:val="22"/>
                <w:szCs w:val="22"/>
                <w:vertAlign w:val="subscript"/>
              </w:rPr>
              <w:t>max</w:t>
            </w:r>
            <w:r w:rsidRPr="00B02AD6">
              <w:rPr>
                <w:sz w:val="22"/>
                <w:szCs w:val="22"/>
              </w:rPr>
              <w:t xml:space="preserve"> i 34% nižu PIK za FBAL od pacijenata bijele rase. Klinička relevantnost ovih razlika nije utvrđena. U izloženosti drugim metabolitima nema većih razlika (5'-DFCR, 5'-DFUR i 5-FU). </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lastRenderedPageBreak/>
              <w:t xml:space="preserve">5.3. Pretklinički podaci o bezbjednosti </w:t>
            </w:r>
          </w:p>
        </w:tc>
      </w:tr>
      <w:tr w:rsidR="0051655A" w:rsidRPr="00B02AD6" w:rsidTr="00985E90">
        <w:trPr>
          <w:trHeight w:val="1145"/>
        </w:trPr>
        <w:tc>
          <w:tcPr>
            <w:tcW w:w="5000" w:type="pct"/>
            <w:gridSpan w:val="4"/>
            <w:vAlign w:val="center"/>
          </w:tcPr>
          <w:p w:rsidR="00E74EC3" w:rsidRPr="00B02AD6" w:rsidRDefault="00E74EC3" w:rsidP="00A03C69">
            <w:pPr>
              <w:pStyle w:val="Header"/>
              <w:tabs>
                <w:tab w:val="left" w:pos="284"/>
              </w:tabs>
              <w:jc w:val="both"/>
              <w:rPr>
                <w:sz w:val="22"/>
                <w:szCs w:val="22"/>
              </w:rPr>
            </w:pPr>
          </w:p>
          <w:p w:rsidR="0051655A" w:rsidRPr="00B02AD6" w:rsidRDefault="0051655A" w:rsidP="00A03C69">
            <w:pPr>
              <w:pStyle w:val="Header"/>
              <w:tabs>
                <w:tab w:val="left" w:pos="284"/>
              </w:tabs>
              <w:jc w:val="both"/>
              <w:rPr>
                <w:sz w:val="22"/>
                <w:szCs w:val="22"/>
              </w:rPr>
            </w:pPr>
            <w:r w:rsidRPr="00B02AD6">
              <w:rPr>
                <w:sz w:val="22"/>
                <w:szCs w:val="22"/>
              </w:rPr>
              <w:t>U ispitivanjima toksičnosti ponovljenih doza, dnevno oralno davanje kapecitabina cinomolgus majmunima i miševima dovodilo je do toksičnog dejstva na gastrointestinalni, limfni i hematopoetski sistem, tipičnog za fluoropirimidine. Toksičnost je bila reverzibilna. Primijećeno je da kapecitabin može izazvati i toksičnost kože, koja se odlikuje degenerativnim/regresivnim promjenama.</w:t>
            </w:r>
            <w:r w:rsidRPr="00B02AD6">
              <w:rPr>
                <w:color w:val="FF0000"/>
                <w:sz w:val="22"/>
                <w:szCs w:val="22"/>
              </w:rPr>
              <w:t xml:space="preserve"> </w:t>
            </w:r>
            <w:r w:rsidRPr="00B02AD6">
              <w:rPr>
                <w:sz w:val="22"/>
                <w:szCs w:val="22"/>
              </w:rPr>
              <w:t xml:space="preserve">Kapecitabin nije imao toksično dejstvo na jetru i CNS. Kardiovaskularna toksičnost (npr. produženje intervala PR i QT) </w:t>
            </w:r>
            <w:r w:rsidR="00E20AC0" w:rsidRPr="00B02AD6">
              <w:rPr>
                <w:sz w:val="22"/>
                <w:szCs w:val="22"/>
              </w:rPr>
              <w:t xml:space="preserve">bila </w:t>
            </w:r>
            <w:r w:rsidRPr="00B02AD6">
              <w:rPr>
                <w:sz w:val="22"/>
                <w:szCs w:val="22"/>
              </w:rPr>
              <w:t xml:space="preserve">je </w:t>
            </w:r>
            <w:r w:rsidR="00E20AC0" w:rsidRPr="00B02AD6">
              <w:rPr>
                <w:sz w:val="22"/>
                <w:szCs w:val="22"/>
              </w:rPr>
              <w:t xml:space="preserve">mjerljiva </w:t>
            </w:r>
            <w:r w:rsidRPr="00B02AD6">
              <w:rPr>
                <w:sz w:val="22"/>
                <w:szCs w:val="22"/>
              </w:rPr>
              <w:t xml:space="preserve">kod cinomolgus majmuna </w:t>
            </w:r>
            <w:r w:rsidR="00E20AC0" w:rsidRPr="00B02AD6">
              <w:rPr>
                <w:sz w:val="22"/>
                <w:szCs w:val="22"/>
              </w:rPr>
              <w:t xml:space="preserve">nakon intravenskog davanja </w:t>
            </w:r>
            <w:r w:rsidRPr="00B02AD6">
              <w:rPr>
                <w:sz w:val="22"/>
                <w:szCs w:val="22"/>
              </w:rPr>
              <w:t>(100 mg/kg), ali ne i nakon ponovljene oralne doze (1379 mg/m</w:t>
            </w:r>
            <w:r w:rsidRPr="00B02AD6">
              <w:rPr>
                <w:sz w:val="22"/>
                <w:szCs w:val="22"/>
                <w:vertAlign w:val="superscript"/>
              </w:rPr>
              <w:t>2</w:t>
            </w:r>
            <w:r w:rsidRPr="00B02AD6">
              <w:rPr>
                <w:sz w:val="22"/>
                <w:szCs w:val="22"/>
              </w:rPr>
              <w:t xml:space="preserve">/dan).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Dvogodišnje ispitivanje kancerogenosti na miševima nije dalo nikakve dokaze o karcinogenosti kapecitabina.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Tokom standardnog ispitivanja dejstva na fertilnost, primijećena je smanjena fertilnost ženki miševa koje su primale kapecitabin. Međutim, ovo dejstvo je bilo reverzibilno </w:t>
            </w:r>
            <w:r w:rsidR="00E20AC0" w:rsidRPr="00B02AD6">
              <w:rPr>
                <w:sz w:val="22"/>
                <w:szCs w:val="22"/>
              </w:rPr>
              <w:t xml:space="preserve">nakon prestanka </w:t>
            </w:r>
            <w:r w:rsidRPr="00B02AD6">
              <w:rPr>
                <w:sz w:val="22"/>
                <w:szCs w:val="22"/>
              </w:rPr>
              <w:t>primanja lijeka. Uz to, tokom ispitivanja koje je trajalo 13 nedjelja, atrofične i degenerativne promjene pojavile su se na reproduktivnim organima mužjaka miševa. Međutim, i dejstvo je bilo reverzibilno nakon određenog perioda bez primanja lijeka (vidjeti odjeljak 4.6).</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 xml:space="preserve">U ispitivanjima embriotoksičnosti i teratogenosti kod miševa, primijećeno je dozno srazmjerno povećanje fetalne resorpcije i teratogenosti. Kod majmuna, pobačaji i embrioletalnost su zabilježeni pri korišćenju visokih doza, ali nije bilo dokaza o teratogenosti. </w:t>
            </w:r>
          </w:p>
          <w:p w:rsidR="0051655A" w:rsidRPr="00B02AD6" w:rsidRDefault="0051655A" w:rsidP="00A03C69">
            <w:pPr>
              <w:pStyle w:val="Header"/>
              <w:tabs>
                <w:tab w:val="left" w:pos="284"/>
              </w:tabs>
              <w:rPr>
                <w:color w:val="FF0000"/>
                <w:sz w:val="22"/>
                <w:szCs w:val="22"/>
              </w:rPr>
            </w:pPr>
          </w:p>
          <w:p w:rsidR="0051655A" w:rsidRPr="00B02AD6" w:rsidRDefault="0051655A" w:rsidP="00A03C69">
            <w:pPr>
              <w:pStyle w:val="Header"/>
              <w:tabs>
                <w:tab w:val="left" w:pos="284"/>
              </w:tabs>
              <w:jc w:val="both"/>
              <w:rPr>
                <w:sz w:val="22"/>
                <w:szCs w:val="22"/>
              </w:rPr>
            </w:pPr>
            <w:r w:rsidRPr="00B02AD6">
              <w:rPr>
                <w:sz w:val="22"/>
                <w:szCs w:val="22"/>
              </w:rPr>
              <w:t>Kapecitabin nije bio mutagen</w:t>
            </w:r>
            <w:r w:rsidR="00E20AC0" w:rsidRPr="00B02AD6">
              <w:rPr>
                <w:sz w:val="22"/>
                <w:szCs w:val="22"/>
              </w:rPr>
              <w:t xml:space="preserve"> u</w:t>
            </w:r>
            <w:r w:rsidRPr="00B02AD6">
              <w:rPr>
                <w:sz w:val="22"/>
                <w:szCs w:val="22"/>
              </w:rPr>
              <w:t xml:space="preserve"> </w:t>
            </w:r>
            <w:r w:rsidRPr="00B02AD6">
              <w:rPr>
                <w:i/>
                <w:sz w:val="22"/>
                <w:szCs w:val="22"/>
              </w:rPr>
              <w:t>in vitro</w:t>
            </w:r>
            <w:r w:rsidRPr="00B02AD6">
              <w:rPr>
                <w:sz w:val="22"/>
                <w:szCs w:val="22"/>
              </w:rPr>
              <w:t xml:space="preserve"> </w:t>
            </w:r>
            <w:r w:rsidR="00E20AC0" w:rsidRPr="00B02AD6">
              <w:rPr>
                <w:sz w:val="22"/>
                <w:szCs w:val="22"/>
              </w:rPr>
              <w:t xml:space="preserve">uslovima na bakterijama </w:t>
            </w:r>
            <w:r w:rsidRPr="00B02AD6">
              <w:rPr>
                <w:sz w:val="22"/>
                <w:szCs w:val="22"/>
              </w:rPr>
              <w:t xml:space="preserve">(Amesov test) ili </w:t>
            </w:r>
            <w:r w:rsidR="00E20AC0" w:rsidRPr="00B02AD6">
              <w:rPr>
                <w:sz w:val="22"/>
                <w:szCs w:val="22"/>
              </w:rPr>
              <w:t xml:space="preserve">ćelijama </w:t>
            </w:r>
            <w:r w:rsidRPr="00B02AD6">
              <w:rPr>
                <w:sz w:val="22"/>
                <w:szCs w:val="22"/>
              </w:rPr>
              <w:t xml:space="preserve">sisara (test genske mutacije V79/HPRT </w:t>
            </w:r>
            <w:r w:rsidR="00E20AC0" w:rsidRPr="00B02AD6">
              <w:rPr>
                <w:sz w:val="22"/>
                <w:szCs w:val="22"/>
              </w:rPr>
              <w:t xml:space="preserve">kod </w:t>
            </w:r>
            <w:r w:rsidRPr="00B02AD6">
              <w:rPr>
                <w:sz w:val="22"/>
                <w:szCs w:val="22"/>
              </w:rPr>
              <w:t xml:space="preserve">kineskog hrčka). Međutim, slično drugim analozima nukleozida (tj. </w:t>
            </w:r>
            <w:r w:rsidRPr="00B02AD6">
              <w:rPr>
                <w:sz w:val="22"/>
                <w:szCs w:val="22"/>
              </w:rPr>
              <w:lastRenderedPageBreak/>
              <w:t>5-FU), kapecitabin je imao klastogeno dejstvo na humane limfocite (</w:t>
            </w:r>
            <w:r w:rsidRPr="00B02AD6">
              <w:rPr>
                <w:i/>
                <w:sz w:val="22"/>
                <w:szCs w:val="22"/>
              </w:rPr>
              <w:t>in vitro</w:t>
            </w:r>
            <w:r w:rsidRPr="00B02AD6">
              <w:rPr>
                <w:sz w:val="22"/>
                <w:szCs w:val="22"/>
              </w:rPr>
              <w:t xml:space="preserve">), a uočen je pozitivan trend u </w:t>
            </w:r>
            <w:r w:rsidR="00E20AC0" w:rsidRPr="00B02AD6">
              <w:rPr>
                <w:sz w:val="22"/>
                <w:szCs w:val="22"/>
              </w:rPr>
              <w:t xml:space="preserve">mikronukleusnim </w:t>
            </w:r>
            <w:r w:rsidRPr="00B02AD6">
              <w:rPr>
                <w:sz w:val="22"/>
                <w:szCs w:val="22"/>
              </w:rPr>
              <w:t>testovima (</w:t>
            </w:r>
            <w:r w:rsidRPr="00B02AD6">
              <w:rPr>
                <w:i/>
                <w:sz w:val="22"/>
                <w:szCs w:val="22"/>
              </w:rPr>
              <w:t>in vivo</w:t>
            </w:r>
            <w:r w:rsidRPr="00B02AD6">
              <w:rPr>
                <w:sz w:val="22"/>
                <w:szCs w:val="22"/>
              </w:rPr>
              <w:t xml:space="preserve">) na </w:t>
            </w:r>
            <w:r w:rsidR="00E20AC0" w:rsidRPr="00B02AD6">
              <w:rPr>
                <w:sz w:val="22"/>
                <w:szCs w:val="22"/>
              </w:rPr>
              <w:t xml:space="preserve">kostnoj </w:t>
            </w:r>
            <w:r w:rsidRPr="00B02AD6">
              <w:rPr>
                <w:sz w:val="22"/>
                <w:szCs w:val="22"/>
              </w:rPr>
              <w:t xml:space="preserve">srži miša. </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lastRenderedPageBreak/>
              <w:t>6. FARMACEUTSKI PODACI</w:t>
            </w: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6.1. Lista pomoćnih supstanci</w:t>
            </w:r>
          </w:p>
        </w:tc>
      </w:tr>
      <w:tr w:rsidR="0051655A" w:rsidRPr="00B02AD6" w:rsidTr="00985E90">
        <w:trPr>
          <w:trHeight w:val="526"/>
        </w:trPr>
        <w:tc>
          <w:tcPr>
            <w:tcW w:w="5000" w:type="pct"/>
            <w:gridSpan w:val="4"/>
            <w:vAlign w:val="center"/>
          </w:tcPr>
          <w:p w:rsidR="0051655A" w:rsidRPr="00B02AD6" w:rsidRDefault="0051655A" w:rsidP="00A03C69">
            <w:pPr>
              <w:rPr>
                <w:i/>
                <w:sz w:val="22"/>
                <w:szCs w:val="22"/>
              </w:rPr>
            </w:pPr>
            <w:r w:rsidRPr="00B02AD6">
              <w:rPr>
                <w:i/>
                <w:sz w:val="22"/>
                <w:szCs w:val="22"/>
              </w:rPr>
              <w:t xml:space="preserve">Jezgra tablete: </w:t>
            </w:r>
          </w:p>
          <w:p w:rsidR="0051655A" w:rsidRPr="00B02AD6" w:rsidRDefault="0051655A" w:rsidP="00A03C69">
            <w:pPr>
              <w:rPr>
                <w:sz w:val="22"/>
                <w:szCs w:val="22"/>
              </w:rPr>
            </w:pPr>
            <w:r w:rsidRPr="00B02AD6">
              <w:rPr>
                <w:sz w:val="22"/>
                <w:szCs w:val="22"/>
              </w:rPr>
              <w:t>laktoza, bezvodna</w:t>
            </w:r>
          </w:p>
          <w:p w:rsidR="0051655A" w:rsidRPr="00B02AD6" w:rsidRDefault="0051655A" w:rsidP="00A03C69">
            <w:pPr>
              <w:rPr>
                <w:sz w:val="22"/>
                <w:szCs w:val="22"/>
              </w:rPr>
            </w:pPr>
            <w:r w:rsidRPr="00B02AD6">
              <w:rPr>
                <w:sz w:val="22"/>
                <w:szCs w:val="22"/>
              </w:rPr>
              <w:t>mikrokristalna celuloza (E460)</w:t>
            </w:r>
          </w:p>
          <w:p w:rsidR="0051655A" w:rsidRPr="00B02AD6" w:rsidRDefault="0051655A" w:rsidP="00A03C69">
            <w:pPr>
              <w:rPr>
                <w:sz w:val="22"/>
                <w:szCs w:val="22"/>
              </w:rPr>
            </w:pPr>
            <w:r w:rsidRPr="00B02AD6">
              <w:rPr>
                <w:sz w:val="22"/>
                <w:szCs w:val="22"/>
              </w:rPr>
              <w:t xml:space="preserve">hipromeloza </w:t>
            </w:r>
          </w:p>
          <w:p w:rsidR="0051655A" w:rsidRPr="00B02AD6" w:rsidRDefault="0051655A" w:rsidP="00A03C69">
            <w:pPr>
              <w:rPr>
                <w:sz w:val="22"/>
                <w:szCs w:val="22"/>
              </w:rPr>
            </w:pPr>
            <w:r w:rsidRPr="00B02AD6">
              <w:rPr>
                <w:sz w:val="22"/>
                <w:szCs w:val="22"/>
              </w:rPr>
              <w:t>kroskarmeloza natrijum</w:t>
            </w:r>
          </w:p>
          <w:p w:rsidR="0051655A" w:rsidRPr="00B02AD6" w:rsidRDefault="0051655A" w:rsidP="00A03C69">
            <w:pPr>
              <w:rPr>
                <w:sz w:val="22"/>
                <w:szCs w:val="22"/>
              </w:rPr>
            </w:pPr>
            <w:r w:rsidRPr="00B02AD6">
              <w:rPr>
                <w:sz w:val="22"/>
                <w:szCs w:val="22"/>
              </w:rPr>
              <w:t>magnezijum stearat</w:t>
            </w:r>
          </w:p>
          <w:p w:rsidR="0051655A" w:rsidRPr="00B02AD6" w:rsidRDefault="0051655A" w:rsidP="00A03C69">
            <w:pPr>
              <w:rPr>
                <w:color w:val="FF0000"/>
                <w:sz w:val="22"/>
                <w:szCs w:val="22"/>
              </w:rPr>
            </w:pPr>
          </w:p>
          <w:p w:rsidR="0051655A" w:rsidRPr="00B02AD6" w:rsidRDefault="006B2549" w:rsidP="00A03C69">
            <w:pPr>
              <w:pStyle w:val="Header"/>
              <w:tabs>
                <w:tab w:val="left" w:pos="284"/>
              </w:tabs>
              <w:rPr>
                <w:i/>
                <w:sz w:val="22"/>
                <w:szCs w:val="22"/>
              </w:rPr>
            </w:pPr>
            <w:r w:rsidRPr="00B02AD6">
              <w:rPr>
                <w:i/>
                <w:sz w:val="22"/>
                <w:szCs w:val="22"/>
              </w:rPr>
              <w:t xml:space="preserve">Film </w:t>
            </w:r>
            <w:r w:rsidR="0051655A" w:rsidRPr="00B02AD6">
              <w:rPr>
                <w:i/>
                <w:sz w:val="22"/>
                <w:szCs w:val="22"/>
              </w:rPr>
              <w:t xml:space="preserve">tablete: </w:t>
            </w:r>
          </w:p>
          <w:p w:rsidR="0051655A" w:rsidRPr="00B02AD6" w:rsidRDefault="0051655A" w:rsidP="00A03C69">
            <w:pPr>
              <w:autoSpaceDE w:val="0"/>
              <w:autoSpaceDN w:val="0"/>
              <w:adjustRightInd w:val="0"/>
              <w:rPr>
                <w:rFonts w:ascii="TimesNewRoman,Italic" w:hAnsi="TimesNewRoman,Italic" w:cs="TimesNewRoman,Italic"/>
                <w:i/>
                <w:iCs/>
                <w:sz w:val="21"/>
                <w:szCs w:val="21"/>
              </w:rPr>
            </w:pPr>
            <w:r w:rsidRPr="00B02AD6">
              <w:rPr>
                <w:rFonts w:ascii="TimesNewRoman" w:hAnsi="TimesNewRoman" w:cs="TimesNewRoman"/>
                <w:sz w:val="21"/>
                <w:szCs w:val="21"/>
              </w:rPr>
              <w:t xml:space="preserve">- </w:t>
            </w:r>
            <w:r w:rsidRPr="00B02AD6">
              <w:rPr>
                <w:rFonts w:ascii="TimesNewRoman,Italic" w:hAnsi="TimesNewRoman,Italic" w:cs="TimesNewRoman,Italic"/>
                <w:i/>
                <w:iCs/>
                <w:sz w:val="21"/>
                <w:szCs w:val="21"/>
              </w:rPr>
              <w:t>150 mg i 500 mg film tablete</w:t>
            </w:r>
          </w:p>
          <w:p w:rsidR="0051655A" w:rsidRPr="00B02AD6" w:rsidRDefault="0051655A" w:rsidP="00A03C69">
            <w:pPr>
              <w:autoSpaceDE w:val="0"/>
              <w:autoSpaceDN w:val="0"/>
              <w:adjustRightInd w:val="0"/>
              <w:rPr>
                <w:rFonts w:ascii="TimesNewRoman" w:hAnsi="TimesNewRoman" w:cs="TimesNewRoman"/>
                <w:sz w:val="21"/>
                <w:szCs w:val="21"/>
              </w:rPr>
            </w:pPr>
            <w:r w:rsidRPr="00B02AD6">
              <w:rPr>
                <w:rFonts w:ascii="TimesNewRoman" w:hAnsi="TimesNewRoman" w:cs="TimesNewRoman"/>
                <w:sz w:val="21"/>
                <w:szCs w:val="21"/>
              </w:rPr>
              <w:t>hipromeloza</w:t>
            </w:r>
          </w:p>
          <w:p w:rsidR="0051655A" w:rsidRPr="00B02AD6" w:rsidRDefault="0051655A" w:rsidP="00A03C69">
            <w:pPr>
              <w:autoSpaceDE w:val="0"/>
              <w:autoSpaceDN w:val="0"/>
              <w:adjustRightInd w:val="0"/>
              <w:rPr>
                <w:rFonts w:ascii="TimesNewRoman" w:hAnsi="TimesNewRoman" w:cs="TimesNewRoman"/>
                <w:sz w:val="21"/>
                <w:szCs w:val="21"/>
              </w:rPr>
            </w:pPr>
            <w:r w:rsidRPr="00B02AD6">
              <w:rPr>
                <w:rFonts w:ascii="TimesNewRoman" w:hAnsi="TimesNewRoman" w:cs="TimesNewRoman"/>
                <w:sz w:val="21"/>
                <w:szCs w:val="21"/>
              </w:rPr>
              <w:t>talk</w:t>
            </w:r>
          </w:p>
          <w:p w:rsidR="0051655A" w:rsidRPr="00B02AD6" w:rsidRDefault="0051655A" w:rsidP="00A03C69">
            <w:pPr>
              <w:autoSpaceDE w:val="0"/>
              <w:autoSpaceDN w:val="0"/>
              <w:adjustRightInd w:val="0"/>
              <w:rPr>
                <w:rFonts w:ascii="TimesNewRoman" w:hAnsi="TimesNewRoman" w:cs="TimesNewRoman"/>
                <w:sz w:val="21"/>
                <w:szCs w:val="21"/>
              </w:rPr>
            </w:pPr>
            <w:r w:rsidRPr="00B02AD6">
              <w:rPr>
                <w:rFonts w:ascii="TimesNewRoman" w:hAnsi="TimesNewRoman" w:cs="TimesNewRoman"/>
                <w:sz w:val="21"/>
                <w:szCs w:val="21"/>
              </w:rPr>
              <w:t>titan dioksid (E171)</w:t>
            </w:r>
          </w:p>
          <w:p w:rsidR="0051655A" w:rsidRPr="00B02AD6" w:rsidRDefault="0051655A" w:rsidP="00A03C69">
            <w:pPr>
              <w:autoSpaceDE w:val="0"/>
              <w:autoSpaceDN w:val="0"/>
              <w:adjustRightInd w:val="0"/>
              <w:rPr>
                <w:rFonts w:ascii="TimesNewRoman" w:hAnsi="TimesNewRoman" w:cs="TimesNewRoman"/>
                <w:sz w:val="21"/>
                <w:szCs w:val="21"/>
              </w:rPr>
            </w:pPr>
            <w:r w:rsidRPr="00B02AD6">
              <w:rPr>
                <w:rFonts w:ascii="TimesNewRoman" w:hAnsi="TimesNewRoman" w:cs="TimesNewRoman"/>
                <w:sz w:val="21"/>
                <w:szCs w:val="21"/>
              </w:rPr>
              <w:t>gvož</w:t>
            </w:r>
            <w:r w:rsidR="006B2549" w:rsidRPr="00B02AD6">
              <w:rPr>
                <w:rFonts w:ascii="TimesNewRoman" w:hAnsi="TimesNewRoman" w:cs="TimesNewRoman"/>
                <w:sz w:val="21"/>
                <w:szCs w:val="21"/>
              </w:rPr>
              <w:t>đ</w:t>
            </w:r>
            <w:r w:rsidRPr="00B02AD6">
              <w:rPr>
                <w:rFonts w:ascii="TimesNewRoman" w:hAnsi="TimesNewRoman" w:cs="TimesNewRoman"/>
                <w:sz w:val="21"/>
                <w:szCs w:val="21"/>
              </w:rPr>
              <w:t>e oksid, crveni (E172)</w:t>
            </w:r>
          </w:p>
          <w:p w:rsidR="0051655A" w:rsidRPr="00B02AD6" w:rsidRDefault="0051655A" w:rsidP="00A03C69">
            <w:pPr>
              <w:autoSpaceDE w:val="0"/>
              <w:autoSpaceDN w:val="0"/>
              <w:adjustRightInd w:val="0"/>
              <w:rPr>
                <w:rFonts w:ascii="TimesNewRoman" w:hAnsi="TimesNewRoman" w:cs="TimesNewRoman"/>
                <w:sz w:val="21"/>
                <w:szCs w:val="21"/>
              </w:rPr>
            </w:pPr>
            <w:r w:rsidRPr="00B02AD6">
              <w:rPr>
                <w:rFonts w:ascii="TimesNewRoman" w:hAnsi="TimesNewRoman" w:cs="TimesNewRoman"/>
                <w:sz w:val="21"/>
                <w:szCs w:val="21"/>
              </w:rPr>
              <w:t>gvož</w:t>
            </w:r>
            <w:r w:rsidR="006B2549" w:rsidRPr="00B02AD6">
              <w:rPr>
                <w:rFonts w:ascii="TimesNewRoman" w:hAnsi="TimesNewRoman" w:cs="TimesNewRoman"/>
                <w:sz w:val="21"/>
                <w:szCs w:val="21"/>
              </w:rPr>
              <w:t>đ</w:t>
            </w:r>
            <w:r w:rsidRPr="00B02AD6">
              <w:rPr>
                <w:rFonts w:ascii="TimesNewRoman" w:hAnsi="TimesNewRoman" w:cs="TimesNewRoman"/>
                <w:sz w:val="21"/>
                <w:szCs w:val="21"/>
              </w:rPr>
              <w:t>e oksid, žuti (E172)</w:t>
            </w:r>
          </w:p>
          <w:p w:rsidR="006B2549" w:rsidRPr="00B02AD6" w:rsidRDefault="006B2549" w:rsidP="00A03C69">
            <w:pPr>
              <w:autoSpaceDE w:val="0"/>
              <w:autoSpaceDN w:val="0"/>
              <w:adjustRightInd w:val="0"/>
              <w:rPr>
                <w:rFonts w:ascii="TimesNewRoman" w:hAnsi="TimesNewRoman" w:cs="TimesNewRoman"/>
                <w:sz w:val="21"/>
                <w:szCs w:val="21"/>
              </w:rPr>
            </w:pPr>
          </w:p>
          <w:p w:rsidR="0051655A" w:rsidRPr="00B02AD6" w:rsidRDefault="0051655A" w:rsidP="00A03C69">
            <w:pPr>
              <w:autoSpaceDE w:val="0"/>
              <w:autoSpaceDN w:val="0"/>
              <w:adjustRightInd w:val="0"/>
              <w:rPr>
                <w:rFonts w:ascii="TimesNewRoman,Italic" w:hAnsi="TimesNewRoman,Italic" w:cs="TimesNewRoman,Italic"/>
                <w:i/>
                <w:iCs/>
                <w:sz w:val="21"/>
                <w:szCs w:val="21"/>
              </w:rPr>
            </w:pPr>
            <w:r w:rsidRPr="00B02AD6">
              <w:rPr>
                <w:rFonts w:ascii="TimesNewRoman" w:hAnsi="TimesNewRoman" w:cs="TimesNewRoman"/>
                <w:sz w:val="21"/>
                <w:szCs w:val="21"/>
              </w:rPr>
              <w:t xml:space="preserve">- </w:t>
            </w:r>
            <w:r w:rsidRPr="00B02AD6">
              <w:rPr>
                <w:rFonts w:ascii="TimesNewRoman,Italic" w:hAnsi="TimesNewRoman,Italic" w:cs="TimesNewRoman,Italic"/>
                <w:i/>
                <w:iCs/>
                <w:sz w:val="21"/>
                <w:szCs w:val="21"/>
              </w:rPr>
              <w:t>300 mg film tablete</w:t>
            </w:r>
          </w:p>
          <w:p w:rsidR="0051655A" w:rsidRPr="00B02AD6" w:rsidRDefault="0051655A" w:rsidP="00A03C69">
            <w:pPr>
              <w:autoSpaceDE w:val="0"/>
              <w:autoSpaceDN w:val="0"/>
              <w:adjustRightInd w:val="0"/>
              <w:rPr>
                <w:rFonts w:ascii="TimesNewRoman" w:hAnsi="TimesNewRoman" w:cs="TimesNewRoman"/>
                <w:sz w:val="21"/>
                <w:szCs w:val="21"/>
              </w:rPr>
            </w:pPr>
            <w:r w:rsidRPr="00B02AD6">
              <w:rPr>
                <w:rFonts w:ascii="TimesNewRoman" w:hAnsi="TimesNewRoman" w:cs="TimesNewRoman"/>
                <w:sz w:val="21"/>
                <w:szCs w:val="21"/>
              </w:rPr>
              <w:t>hipromeloza</w:t>
            </w:r>
          </w:p>
          <w:p w:rsidR="0051655A" w:rsidRPr="00B02AD6" w:rsidRDefault="0051655A" w:rsidP="00A03C69">
            <w:pPr>
              <w:autoSpaceDE w:val="0"/>
              <w:autoSpaceDN w:val="0"/>
              <w:adjustRightInd w:val="0"/>
              <w:rPr>
                <w:rFonts w:ascii="TimesNewRoman" w:hAnsi="TimesNewRoman" w:cs="TimesNewRoman"/>
                <w:sz w:val="21"/>
                <w:szCs w:val="21"/>
              </w:rPr>
            </w:pPr>
            <w:r w:rsidRPr="00B02AD6">
              <w:rPr>
                <w:rFonts w:ascii="TimesNewRoman" w:hAnsi="TimesNewRoman" w:cs="TimesNewRoman"/>
                <w:sz w:val="21"/>
                <w:szCs w:val="21"/>
              </w:rPr>
              <w:t>talk</w:t>
            </w:r>
          </w:p>
          <w:p w:rsidR="0051655A" w:rsidRPr="00B02AD6" w:rsidRDefault="0051655A" w:rsidP="00A03C69">
            <w:pPr>
              <w:pStyle w:val="Header"/>
              <w:tabs>
                <w:tab w:val="left" w:pos="284"/>
              </w:tabs>
              <w:rPr>
                <w:color w:val="FF0000"/>
                <w:sz w:val="22"/>
                <w:szCs w:val="22"/>
              </w:rPr>
            </w:pPr>
            <w:r w:rsidRPr="00B02AD6">
              <w:rPr>
                <w:rFonts w:ascii="TimesNewRoman" w:hAnsi="TimesNewRoman" w:cs="TimesNewRoman"/>
                <w:sz w:val="21"/>
                <w:szCs w:val="21"/>
              </w:rPr>
              <w:t>titan dioksid (E171)</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6.2. Inkompatibilnosti</w:t>
            </w:r>
          </w:p>
        </w:tc>
      </w:tr>
      <w:tr w:rsidR="0051655A" w:rsidRPr="00B02AD6" w:rsidTr="00985E90">
        <w:trPr>
          <w:trHeight w:val="858"/>
        </w:trPr>
        <w:tc>
          <w:tcPr>
            <w:tcW w:w="5000" w:type="pct"/>
            <w:gridSpan w:val="4"/>
            <w:vAlign w:val="center"/>
          </w:tcPr>
          <w:p w:rsidR="0051655A" w:rsidRPr="00B02AD6" w:rsidRDefault="0051655A" w:rsidP="00A03C69">
            <w:pPr>
              <w:pStyle w:val="Header"/>
              <w:tabs>
                <w:tab w:val="left" w:pos="284"/>
              </w:tabs>
              <w:rPr>
                <w:sz w:val="22"/>
                <w:szCs w:val="22"/>
              </w:rPr>
            </w:pPr>
            <w:r w:rsidRPr="00B02AD6">
              <w:rPr>
                <w:sz w:val="22"/>
                <w:szCs w:val="22"/>
              </w:rPr>
              <w:t>Nije primjenljivo.</w:t>
            </w: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6.3. Rok upotrebe</w:t>
            </w:r>
          </w:p>
        </w:tc>
      </w:tr>
      <w:tr w:rsidR="0051655A" w:rsidRPr="00B02AD6" w:rsidTr="00985E90">
        <w:trPr>
          <w:trHeight w:val="909"/>
        </w:trPr>
        <w:tc>
          <w:tcPr>
            <w:tcW w:w="5000" w:type="pct"/>
            <w:gridSpan w:val="4"/>
            <w:vAlign w:val="center"/>
          </w:tcPr>
          <w:p w:rsidR="006B2549" w:rsidRPr="00B02AD6" w:rsidRDefault="006B2549" w:rsidP="00A03C69">
            <w:pPr>
              <w:pStyle w:val="Header"/>
              <w:tabs>
                <w:tab w:val="left" w:pos="284"/>
              </w:tabs>
              <w:rPr>
                <w:i/>
                <w:sz w:val="22"/>
                <w:szCs w:val="22"/>
              </w:rPr>
            </w:pPr>
            <w:r w:rsidRPr="00B02AD6">
              <w:rPr>
                <w:i/>
                <w:sz w:val="22"/>
                <w:szCs w:val="22"/>
              </w:rPr>
              <w:t>PVC/PVdC/Aluminijum blisteri</w:t>
            </w:r>
          </w:p>
          <w:p w:rsidR="0051655A" w:rsidRPr="00B02AD6" w:rsidRDefault="0051655A" w:rsidP="00A03C69">
            <w:pPr>
              <w:pStyle w:val="Header"/>
              <w:tabs>
                <w:tab w:val="left" w:pos="284"/>
              </w:tabs>
              <w:rPr>
                <w:sz w:val="22"/>
                <w:szCs w:val="22"/>
              </w:rPr>
            </w:pPr>
            <w:r w:rsidRPr="00B02AD6">
              <w:rPr>
                <w:sz w:val="22"/>
                <w:szCs w:val="22"/>
              </w:rPr>
              <w:t>3 godine.</w:t>
            </w:r>
          </w:p>
          <w:p w:rsidR="006B2549" w:rsidRPr="00B02AD6" w:rsidRDefault="006B2549" w:rsidP="00A03C69">
            <w:pPr>
              <w:pStyle w:val="Header"/>
              <w:tabs>
                <w:tab w:val="left" w:pos="284"/>
              </w:tabs>
              <w:rPr>
                <w:sz w:val="22"/>
                <w:szCs w:val="22"/>
              </w:rPr>
            </w:pPr>
          </w:p>
          <w:p w:rsidR="006B2549" w:rsidRPr="00B02AD6" w:rsidRDefault="006B2549" w:rsidP="00A03C69">
            <w:pPr>
              <w:pStyle w:val="Header"/>
              <w:tabs>
                <w:tab w:val="left" w:pos="284"/>
              </w:tabs>
              <w:rPr>
                <w:i/>
                <w:sz w:val="22"/>
                <w:szCs w:val="22"/>
              </w:rPr>
            </w:pPr>
            <w:r w:rsidRPr="00B02AD6">
              <w:rPr>
                <w:i/>
                <w:sz w:val="22"/>
                <w:szCs w:val="22"/>
              </w:rPr>
              <w:t>Aluminijum/Aluminijum blisteri</w:t>
            </w:r>
          </w:p>
          <w:p w:rsidR="006B2549" w:rsidRPr="00B02AD6" w:rsidRDefault="006B2549" w:rsidP="00A03C69">
            <w:pPr>
              <w:pStyle w:val="Header"/>
              <w:tabs>
                <w:tab w:val="left" w:pos="284"/>
              </w:tabs>
              <w:rPr>
                <w:sz w:val="22"/>
                <w:szCs w:val="22"/>
              </w:rPr>
            </w:pPr>
            <w:r w:rsidRPr="00B02AD6">
              <w:rPr>
                <w:sz w:val="22"/>
                <w:szCs w:val="22"/>
              </w:rPr>
              <w:t>3 godine</w:t>
            </w: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6.4. Posebne mjere upozorenja pri čuvanju lijeka</w:t>
            </w:r>
          </w:p>
        </w:tc>
      </w:tr>
      <w:tr w:rsidR="0051655A" w:rsidRPr="00B02AD6" w:rsidTr="00985E90">
        <w:trPr>
          <w:trHeight w:val="960"/>
        </w:trPr>
        <w:tc>
          <w:tcPr>
            <w:tcW w:w="5000" w:type="pct"/>
            <w:gridSpan w:val="4"/>
            <w:vAlign w:val="center"/>
          </w:tcPr>
          <w:p w:rsidR="00CD4940" w:rsidRPr="00B02AD6" w:rsidRDefault="00CD4940" w:rsidP="00CD4940">
            <w:pPr>
              <w:pStyle w:val="Header"/>
              <w:tabs>
                <w:tab w:val="left" w:pos="284"/>
              </w:tabs>
              <w:rPr>
                <w:i/>
                <w:iCs/>
                <w:sz w:val="22"/>
                <w:szCs w:val="22"/>
              </w:rPr>
            </w:pPr>
          </w:p>
          <w:p w:rsidR="00CD4940" w:rsidRPr="00B02AD6" w:rsidRDefault="00D31268" w:rsidP="00CD4940">
            <w:pPr>
              <w:pStyle w:val="Header"/>
              <w:tabs>
                <w:tab w:val="left" w:pos="284"/>
              </w:tabs>
              <w:rPr>
                <w:i/>
                <w:iCs/>
                <w:sz w:val="22"/>
                <w:szCs w:val="22"/>
              </w:rPr>
            </w:pPr>
            <w:r w:rsidRPr="00B02AD6">
              <w:rPr>
                <w:i/>
                <w:iCs/>
                <w:sz w:val="22"/>
                <w:szCs w:val="22"/>
              </w:rPr>
              <w:t xml:space="preserve"> </w:t>
            </w:r>
            <w:r w:rsidR="00CD4940" w:rsidRPr="00B02AD6">
              <w:rPr>
                <w:i/>
                <w:iCs/>
                <w:sz w:val="22"/>
                <w:szCs w:val="22"/>
              </w:rPr>
              <w:t>PVC/PV</w:t>
            </w:r>
            <w:r w:rsidR="006B2549" w:rsidRPr="00B02AD6">
              <w:rPr>
                <w:i/>
                <w:iCs/>
                <w:sz w:val="22"/>
                <w:szCs w:val="22"/>
              </w:rPr>
              <w:t>d</w:t>
            </w:r>
            <w:r w:rsidR="00CD4940" w:rsidRPr="00B02AD6">
              <w:rPr>
                <w:i/>
                <w:iCs/>
                <w:sz w:val="22"/>
                <w:szCs w:val="22"/>
              </w:rPr>
              <w:t>C</w:t>
            </w:r>
            <w:r w:rsidR="006B2549" w:rsidRPr="00B02AD6">
              <w:rPr>
                <w:i/>
                <w:iCs/>
                <w:sz w:val="22"/>
                <w:szCs w:val="22"/>
              </w:rPr>
              <w:t>/A</w:t>
            </w:r>
            <w:r w:rsidR="00CD4940" w:rsidRPr="00B02AD6">
              <w:rPr>
                <w:i/>
                <w:iCs/>
                <w:sz w:val="22"/>
                <w:szCs w:val="22"/>
              </w:rPr>
              <w:t>luminijum blister</w:t>
            </w:r>
            <w:r w:rsidR="006B2549" w:rsidRPr="00B02AD6">
              <w:rPr>
                <w:i/>
                <w:iCs/>
                <w:sz w:val="22"/>
                <w:szCs w:val="22"/>
              </w:rPr>
              <w:t>i</w:t>
            </w:r>
          </w:p>
          <w:tbl>
            <w:tblPr>
              <w:tblW w:w="10185" w:type="dxa"/>
              <w:tblLook w:val="04A0" w:firstRow="1" w:lastRow="0" w:firstColumn="1" w:lastColumn="0" w:noHBand="0" w:noVBand="1"/>
            </w:tblPr>
            <w:tblGrid>
              <w:gridCol w:w="10185"/>
            </w:tblGrid>
            <w:tr w:rsidR="00CD4940" w:rsidRPr="00B02AD6" w:rsidTr="00985E90">
              <w:trPr>
                <w:trHeight w:val="960"/>
              </w:trPr>
              <w:tc>
                <w:tcPr>
                  <w:tcW w:w="10188" w:type="dxa"/>
                  <w:vAlign w:val="center"/>
                </w:tcPr>
                <w:p w:rsidR="00CD4940" w:rsidRPr="00B02AD6" w:rsidRDefault="00CD4940" w:rsidP="00147B5E">
                  <w:pPr>
                    <w:pStyle w:val="Header"/>
                    <w:tabs>
                      <w:tab w:val="left" w:pos="284"/>
                    </w:tabs>
                    <w:rPr>
                      <w:sz w:val="22"/>
                      <w:szCs w:val="22"/>
                      <w:lang w:eastAsia="en-US"/>
                    </w:rPr>
                  </w:pPr>
                  <w:r w:rsidRPr="00B02AD6">
                    <w:rPr>
                      <w:sz w:val="22"/>
                      <w:szCs w:val="22"/>
                    </w:rPr>
                    <w:t>Čuvati na temperaturi do 30</w:t>
                  </w:r>
                  <w:r w:rsidRPr="00B02AD6">
                    <w:rPr>
                      <w:sz w:val="22"/>
                      <w:szCs w:val="22"/>
                      <w:vertAlign w:val="superscript"/>
                    </w:rPr>
                    <w:t>o</w:t>
                  </w:r>
                  <w:r w:rsidR="006B2549" w:rsidRPr="00B02AD6">
                    <w:rPr>
                      <w:sz w:val="22"/>
                      <w:szCs w:val="22"/>
                      <w:vertAlign w:val="superscript"/>
                    </w:rPr>
                    <w:t xml:space="preserve"> </w:t>
                  </w:r>
                  <w:r w:rsidRPr="00B02AD6">
                    <w:rPr>
                      <w:sz w:val="22"/>
                      <w:szCs w:val="22"/>
                    </w:rPr>
                    <w:t>C.</w:t>
                  </w:r>
                </w:p>
                <w:p w:rsidR="00CD4940" w:rsidRPr="00B02AD6" w:rsidRDefault="00CD4940" w:rsidP="00147B5E">
                  <w:pPr>
                    <w:pStyle w:val="Header"/>
                    <w:tabs>
                      <w:tab w:val="left" w:pos="284"/>
                    </w:tabs>
                    <w:rPr>
                      <w:i/>
                      <w:iCs/>
                      <w:sz w:val="22"/>
                      <w:szCs w:val="22"/>
                    </w:rPr>
                  </w:pPr>
                </w:p>
                <w:p w:rsidR="00CD4940" w:rsidRPr="00B02AD6" w:rsidRDefault="00CD4940" w:rsidP="00147B5E">
                  <w:pPr>
                    <w:pStyle w:val="Header"/>
                    <w:tabs>
                      <w:tab w:val="left" w:pos="284"/>
                    </w:tabs>
                    <w:rPr>
                      <w:i/>
                      <w:iCs/>
                      <w:sz w:val="22"/>
                      <w:szCs w:val="22"/>
                    </w:rPr>
                  </w:pPr>
                  <w:r w:rsidRPr="00B02AD6">
                    <w:rPr>
                      <w:i/>
                      <w:iCs/>
                      <w:sz w:val="22"/>
                      <w:szCs w:val="22"/>
                    </w:rPr>
                    <w:t>Aluminijum</w:t>
                  </w:r>
                  <w:r w:rsidR="006B2549" w:rsidRPr="00B02AD6">
                    <w:rPr>
                      <w:i/>
                      <w:iCs/>
                      <w:sz w:val="22"/>
                      <w:szCs w:val="22"/>
                    </w:rPr>
                    <w:t>/A</w:t>
                  </w:r>
                  <w:r w:rsidRPr="00B02AD6">
                    <w:rPr>
                      <w:i/>
                      <w:iCs/>
                      <w:sz w:val="22"/>
                      <w:szCs w:val="22"/>
                    </w:rPr>
                    <w:t>luminijum blister</w:t>
                  </w:r>
                  <w:r w:rsidR="006B2549" w:rsidRPr="00B02AD6">
                    <w:rPr>
                      <w:i/>
                      <w:iCs/>
                      <w:sz w:val="22"/>
                      <w:szCs w:val="22"/>
                    </w:rPr>
                    <w:t>i</w:t>
                  </w:r>
                </w:p>
                <w:p w:rsidR="00CD4940" w:rsidRPr="00B02AD6" w:rsidRDefault="00CD4940" w:rsidP="00147B5E">
                  <w:pPr>
                    <w:pStyle w:val="Header"/>
                    <w:tabs>
                      <w:tab w:val="left" w:pos="284"/>
                    </w:tabs>
                    <w:rPr>
                      <w:sz w:val="22"/>
                      <w:szCs w:val="22"/>
                    </w:rPr>
                  </w:pPr>
                  <w:r w:rsidRPr="00B02AD6">
                    <w:rPr>
                      <w:sz w:val="22"/>
                      <w:szCs w:val="22"/>
                    </w:rPr>
                    <w:t>Ovaj lijek ne zahtjeva posebne uslove čuvanja.</w:t>
                  </w:r>
                </w:p>
                <w:p w:rsidR="00CD4940" w:rsidRPr="00B02AD6" w:rsidRDefault="00CD4940" w:rsidP="00147B5E">
                  <w:pPr>
                    <w:pStyle w:val="Header"/>
                    <w:tabs>
                      <w:tab w:val="left" w:pos="284"/>
                    </w:tabs>
                    <w:jc w:val="both"/>
                    <w:rPr>
                      <w:sz w:val="22"/>
                      <w:szCs w:val="22"/>
                      <w:lang w:eastAsia="en-US"/>
                    </w:rPr>
                  </w:pPr>
                </w:p>
                <w:p w:rsidR="00CD4940" w:rsidRPr="00B02AD6" w:rsidRDefault="00CD4940" w:rsidP="00147B5E">
                  <w:pPr>
                    <w:pStyle w:val="Header"/>
                    <w:tabs>
                      <w:tab w:val="left" w:pos="284"/>
                    </w:tabs>
                    <w:rPr>
                      <w:sz w:val="22"/>
                      <w:szCs w:val="22"/>
                      <w:lang w:eastAsia="en-US"/>
                    </w:rPr>
                  </w:pPr>
                </w:p>
              </w:tc>
            </w:tr>
          </w:tbl>
          <w:p w:rsidR="0051655A" w:rsidRPr="00B02AD6" w:rsidRDefault="0051655A" w:rsidP="00A03C69">
            <w:pPr>
              <w:pStyle w:val="Header"/>
              <w:tabs>
                <w:tab w:val="left" w:pos="284"/>
              </w:tabs>
              <w:rPr>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lastRenderedPageBreak/>
              <w:t>6.5. Vrsta i sadržaj pakovanja</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rPr>
                <w:color w:val="FF0000"/>
                <w:sz w:val="22"/>
                <w:szCs w:val="22"/>
              </w:rPr>
            </w:pPr>
          </w:p>
          <w:p w:rsidR="0051655A" w:rsidRPr="00B02AD6" w:rsidRDefault="0051655A" w:rsidP="00A03C69">
            <w:pPr>
              <w:autoSpaceDE w:val="0"/>
              <w:autoSpaceDN w:val="0"/>
              <w:adjustRightInd w:val="0"/>
              <w:rPr>
                <w:rFonts w:ascii="TimesNewRoman" w:hAnsi="TimesNewRoman" w:cs="TimesNewRoman"/>
                <w:sz w:val="22"/>
                <w:szCs w:val="22"/>
              </w:rPr>
            </w:pPr>
            <w:r w:rsidRPr="00B02AD6">
              <w:rPr>
                <w:rFonts w:ascii="TimesNewRoman" w:hAnsi="TimesNewRoman" w:cs="TimesNewRoman"/>
                <w:sz w:val="22"/>
                <w:szCs w:val="22"/>
              </w:rPr>
              <w:t>Aluminijum/Aluminijum ili PVC/PV</w:t>
            </w:r>
            <w:r w:rsidR="006B2549" w:rsidRPr="00B02AD6">
              <w:rPr>
                <w:rFonts w:ascii="TimesNewRoman" w:hAnsi="TimesNewRoman" w:cs="TimesNewRoman"/>
                <w:sz w:val="22"/>
                <w:szCs w:val="22"/>
              </w:rPr>
              <w:t>d</w:t>
            </w:r>
            <w:r w:rsidRPr="00B02AD6">
              <w:rPr>
                <w:rFonts w:ascii="TimesNewRoman" w:hAnsi="TimesNewRoman" w:cs="TimesNewRoman"/>
                <w:sz w:val="22"/>
                <w:szCs w:val="22"/>
              </w:rPr>
              <w:t>C</w:t>
            </w:r>
            <w:r w:rsidR="006B2549" w:rsidRPr="00B02AD6">
              <w:rPr>
                <w:rFonts w:ascii="TimesNewRoman" w:hAnsi="TimesNewRoman" w:cs="TimesNewRoman"/>
                <w:sz w:val="22"/>
                <w:szCs w:val="22"/>
              </w:rPr>
              <w:t>/</w:t>
            </w:r>
            <w:r w:rsidRPr="00B02AD6">
              <w:rPr>
                <w:rFonts w:ascii="TimesNewRoman" w:hAnsi="TimesNewRoman" w:cs="TimesNewRoman"/>
                <w:sz w:val="22"/>
                <w:szCs w:val="22"/>
              </w:rPr>
              <w:t>Aluminijum blisteri sadrže 10 film tablet</w:t>
            </w:r>
            <w:r w:rsidR="00CD4940" w:rsidRPr="00B02AD6">
              <w:rPr>
                <w:rFonts w:ascii="TimesNewRoman" w:hAnsi="TimesNewRoman" w:cs="TimesNewRoman"/>
                <w:sz w:val="22"/>
                <w:szCs w:val="22"/>
              </w:rPr>
              <w:t>a po blisteru,</w:t>
            </w:r>
            <w:r w:rsidR="006B2549" w:rsidRPr="00B02AD6">
              <w:rPr>
                <w:rFonts w:ascii="TimesNewRoman" w:hAnsi="TimesNewRoman" w:cs="TimesNewRoman"/>
                <w:sz w:val="22"/>
                <w:szCs w:val="22"/>
              </w:rPr>
              <w:t xml:space="preserve"> </w:t>
            </w:r>
            <w:r w:rsidR="00CD4940" w:rsidRPr="00B02AD6">
              <w:rPr>
                <w:rFonts w:ascii="TimesNewRoman" w:hAnsi="TimesNewRoman" w:cs="TimesNewRoman"/>
                <w:sz w:val="22"/>
                <w:szCs w:val="22"/>
              </w:rPr>
              <w:t xml:space="preserve">u pakovanjima od </w:t>
            </w:r>
            <w:r w:rsidRPr="00B02AD6">
              <w:rPr>
                <w:rFonts w:ascii="TimesNewRoman" w:hAnsi="TimesNewRoman" w:cs="TimesNewRoman"/>
                <w:sz w:val="22"/>
                <w:szCs w:val="22"/>
              </w:rPr>
              <w:t>60 ili 120 film tableta.</w:t>
            </w:r>
          </w:p>
          <w:p w:rsidR="0051655A" w:rsidRPr="00B02AD6" w:rsidRDefault="0051655A" w:rsidP="00A03C69">
            <w:pPr>
              <w:autoSpaceDE w:val="0"/>
              <w:autoSpaceDN w:val="0"/>
              <w:adjustRightInd w:val="0"/>
              <w:rPr>
                <w:color w:val="FF0000"/>
                <w:sz w:val="22"/>
                <w:szCs w:val="22"/>
              </w:rPr>
            </w:pPr>
          </w:p>
        </w:tc>
      </w:tr>
      <w:tr w:rsidR="0051655A" w:rsidRPr="00B02AD6" w:rsidTr="00985E90">
        <w:tc>
          <w:tcPr>
            <w:tcW w:w="5000" w:type="pct"/>
            <w:gridSpan w:val="4"/>
            <w:vAlign w:val="center"/>
          </w:tcPr>
          <w:p w:rsidR="0051655A" w:rsidRPr="00B02AD6" w:rsidRDefault="0051655A" w:rsidP="00A03C69">
            <w:pPr>
              <w:pStyle w:val="Header"/>
              <w:tabs>
                <w:tab w:val="left" w:pos="284"/>
              </w:tabs>
              <w:spacing w:before="80" w:after="80"/>
              <w:rPr>
                <w:b/>
                <w:bCs/>
                <w:sz w:val="22"/>
                <w:szCs w:val="22"/>
              </w:rPr>
            </w:pPr>
            <w:r w:rsidRPr="00B02AD6">
              <w:rPr>
                <w:b/>
                <w:bCs/>
                <w:sz w:val="22"/>
                <w:szCs w:val="22"/>
              </w:rPr>
              <w:t xml:space="preserve">6.6. Posebne mjere opreza pri odlaganju materijala koji treba odbaciti nakon primjene lijeka </w:t>
            </w:r>
          </w:p>
        </w:tc>
      </w:tr>
      <w:tr w:rsidR="0051655A" w:rsidRPr="00B02AD6" w:rsidTr="00985E90">
        <w:trPr>
          <w:trHeight w:val="1145"/>
        </w:trPr>
        <w:tc>
          <w:tcPr>
            <w:tcW w:w="5000" w:type="pct"/>
            <w:gridSpan w:val="4"/>
            <w:vAlign w:val="center"/>
          </w:tcPr>
          <w:p w:rsidR="0051655A" w:rsidRPr="00B02AD6" w:rsidRDefault="0051655A" w:rsidP="00A03C69">
            <w:pPr>
              <w:pStyle w:val="Header"/>
              <w:tabs>
                <w:tab w:val="left" w:pos="284"/>
              </w:tabs>
              <w:rPr>
                <w:sz w:val="22"/>
                <w:szCs w:val="22"/>
              </w:rPr>
            </w:pPr>
            <w:r w:rsidRPr="00B02AD6">
              <w:rPr>
                <w:sz w:val="22"/>
                <w:szCs w:val="22"/>
              </w:rPr>
              <w:t xml:space="preserve">Nema posebnih zahtjeva. </w:t>
            </w:r>
          </w:p>
          <w:p w:rsidR="0051655A" w:rsidRPr="00B02AD6" w:rsidRDefault="0051655A" w:rsidP="00A03C69">
            <w:pPr>
              <w:pStyle w:val="Header"/>
              <w:tabs>
                <w:tab w:val="left" w:pos="284"/>
              </w:tabs>
              <w:rPr>
                <w:sz w:val="22"/>
                <w:szCs w:val="22"/>
              </w:rPr>
            </w:pPr>
            <w:r w:rsidRPr="00B02AD6">
              <w:rPr>
                <w:sz w:val="22"/>
                <w:szCs w:val="22"/>
              </w:rPr>
              <w:t>Neupotrebljeni lijek se uništava u skladu sa važećim propisima.</w:t>
            </w:r>
          </w:p>
          <w:p w:rsidR="0051655A" w:rsidRPr="00B02AD6" w:rsidRDefault="0051655A" w:rsidP="00A03C69">
            <w:pPr>
              <w:pStyle w:val="Header"/>
              <w:tabs>
                <w:tab w:val="left" w:pos="284"/>
              </w:tabs>
              <w:rPr>
                <w:sz w:val="22"/>
                <w:szCs w:val="22"/>
              </w:rPr>
            </w:pPr>
          </w:p>
          <w:p w:rsidR="0051655A" w:rsidRPr="00B02AD6" w:rsidRDefault="0051655A" w:rsidP="00A03C69">
            <w:pPr>
              <w:pStyle w:val="Header"/>
              <w:tabs>
                <w:tab w:val="left" w:pos="284"/>
              </w:tabs>
              <w:rPr>
                <w:b/>
                <w:bCs/>
                <w:sz w:val="22"/>
                <w:szCs w:val="22"/>
              </w:rPr>
            </w:pPr>
            <w:r w:rsidRPr="00B02AD6">
              <w:rPr>
                <w:b/>
                <w:bCs/>
                <w:sz w:val="22"/>
                <w:szCs w:val="22"/>
              </w:rPr>
              <w:t>6.7. Režim izdavanja lijeka</w:t>
            </w:r>
          </w:p>
          <w:p w:rsidR="0051655A" w:rsidRPr="00B02AD6" w:rsidRDefault="0051655A" w:rsidP="00A03C69">
            <w:pPr>
              <w:pStyle w:val="Header"/>
              <w:tabs>
                <w:tab w:val="left" w:pos="284"/>
              </w:tabs>
              <w:rPr>
                <w:b/>
                <w:bCs/>
                <w:sz w:val="22"/>
                <w:szCs w:val="22"/>
              </w:rPr>
            </w:pPr>
          </w:p>
          <w:p w:rsidR="0051655A" w:rsidRPr="00B02AD6" w:rsidRDefault="0051655A" w:rsidP="00A03C69">
            <w:pPr>
              <w:pStyle w:val="Header"/>
              <w:tabs>
                <w:tab w:val="left" w:pos="284"/>
              </w:tabs>
              <w:rPr>
                <w:bCs/>
                <w:sz w:val="22"/>
                <w:szCs w:val="22"/>
              </w:rPr>
            </w:pPr>
            <w:r w:rsidRPr="00B02AD6">
              <w:rPr>
                <w:bCs/>
                <w:sz w:val="22"/>
                <w:szCs w:val="22"/>
              </w:rPr>
              <w:t>Ograničen recept</w:t>
            </w:r>
          </w:p>
          <w:p w:rsidR="0051655A" w:rsidRPr="00B02AD6" w:rsidRDefault="0051655A" w:rsidP="00A03C69">
            <w:pPr>
              <w:pStyle w:val="Header"/>
              <w:tabs>
                <w:tab w:val="left" w:pos="284"/>
              </w:tabs>
              <w:rPr>
                <w:color w:val="FF0000"/>
                <w:sz w:val="22"/>
                <w:szCs w:val="22"/>
              </w:rPr>
            </w:pP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 xml:space="preserve">7. NOSILAC DOZVOLE </w:t>
            </w:r>
          </w:p>
        </w:tc>
      </w:tr>
      <w:tr w:rsidR="0051655A" w:rsidRPr="00B02AD6" w:rsidTr="00985E90">
        <w:trPr>
          <w:trHeight w:val="1145"/>
        </w:trPr>
        <w:tc>
          <w:tcPr>
            <w:tcW w:w="5000" w:type="pct"/>
            <w:gridSpan w:val="4"/>
            <w:vAlign w:val="center"/>
          </w:tcPr>
          <w:p w:rsidR="0010432E" w:rsidRDefault="0010432E" w:rsidP="0010432E">
            <w:pPr>
              <w:rPr>
                <w:sz w:val="22"/>
                <w:szCs w:val="22"/>
              </w:rPr>
            </w:pPr>
          </w:p>
          <w:p w:rsidR="0010432E" w:rsidRPr="0010432E" w:rsidRDefault="0010432E" w:rsidP="0010432E">
            <w:pPr>
              <w:rPr>
                <w:sz w:val="22"/>
                <w:szCs w:val="22"/>
              </w:rPr>
            </w:pPr>
            <w:r w:rsidRPr="0010432E">
              <w:rPr>
                <w:sz w:val="22"/>
                <w:szCs w:val="22"/>
              </w:rPr>
              <w:t>DSD „KRKA, d.d., Novo mesto“ - predstavništvo Podgorica</w:t>
            </w:r>
          </w:p>
          <w:p w:rsidR="0010432E" w:rsidRPr="0010432E" w:rsidRDefault="0010432E" w:rsidP="0010432E">
            <w:pPr>
              <w:rPr>
                <w:sz w:val="22"/>
                <w:szCs w:val="22"/>
              </w:rPr>
            </w:pPr>
            <w:r w:rsidRPr="0010432E">
              <w:rPr>
                <w:sz w:val="22"/>
                <w:szCs w:val="22"/>
              </w:rPr>
              <w:t>Svetlane Kane Radević br. 3, 81000 Podgorica, Crna Gora</w:t>
            </w:r>
          </w:p>
          <w:p w:rsidR="0051655A" w:rsidRDefault="0051655A" w:rsidP="00A03C69">
            <w:pPr>
              <w:rPr>
                <w:sz w:val="22"/>
                <w:szCs w:val="22"/>
              </w:rPr>
            </w:pPr>
          </w:p>
          <w:p w:rsidR="0010432E" w:rsidRPr="00B02AD6" w:rsidRDefault="0010432E" w:rsidP="00A03C69">
            <w:pPr>
              <w:rPr>
                <w:sz w:val="22"/>
                <w:szCs w:val="22"/>
              </w:rPr>
            </w:pP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8. BROJ PRVE DOZVOLE/ OBNOVE DOZVOLE</w:t>
            </w:r>
          </w:p>
        </w:tc>
      </w:tr>
      <w:tr w:rsidR="0051655A" w:rsidRPr="00B02AD6" w:rsidTr="004D36E0">
        <w:trPr>
          <w:trHeight w:val="1978"/>
        </w:trPr>
        <w:tc>
          <w:tcPr>
            <w:tcW w:w="5000" w:type="pct"/>
            <w:gridSpan w:val="4"/>
            <w:vAlign w:val="center"/>
          </w:tcPr>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150 mg, blister, 60 film tableta:   </w:t>
            </w:r>
            <w:r>
              <w:rPr>
                <w:sz w:val="22"/>
                <w:szCs w:val="22"/>
              </w:rPr>
              <w:t xml:space="preserve">2030/16/139 – 6190 </w:t>
            </w:r>
          </w:p>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150 mg, blister, 120 film tableta: </w:t>
            </w:r>
            <w:r>
              <w:rPr>
                <w:sz w:val="22"/>
                <w:szCs w:val="22"/>
                <w:lang w:val="en-US"/>
              </w:rPr>
              <w:t xml:space="preserve">2030/16/140 – 6191 </w:t>
            </w:r>
          </w:p>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300 mg, blister, 60 film tableta:   </w:t>
            </w:r>
            <w:r>
              <w:rPr>
                <w:sz w:val="22"/>
                <w:szCs w:val="22"/>
                <w:lang w:val="en-US"/>
              </w:rPr>
              <w:t xml:space="preserve">2030/16/141 – 6192 </w:t>
            </w:r>
          </w:p>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300 mg, blister, 120 film tableta: </w:t>
            </w:r>
            <w:r>
              <w:rPr>
                <w:sz w:val="22"/>
                <w:szCs w:val="22"/>
              </w:rPr>
              <w:t xml:space="preserve">2030/16/142 – 6193 </w:t>
            </w:r>
          </w:p>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500 mg, blister, 60 film tableta:   </w:t>
            </w:r>
            <w:r>
              <w:rPr>
                <w:sz w:val="22"/>
                <w:szCs w:val="22"/>
              </w:rPr>
              <w:t xml:space="preserve">2030/16/143 – 6194 </w:t>
            </w:r>
          </w:p>
          <w:p w:rsidR="0051655A" w:rsidRPr="00B02AD6" w:rsidRDefault="004D36E0" w:rsidP="004D36E0">
            <w:pPr>
              <w:rPr>
                <w:sz w:val="22"/>
                <w:szCs w:val="22"/>
              </w:rPr>
            </w:pPr>
            <w:r>
              <w:rPr>
                <w:sz w:val="22"/>
                <w:szCs w:val="22"/>
                <w:lang w:eastAsia="en-US"/>
              </w:rPr>
              <w:t xml:space="preserve">Δ Ecansya®, film tableta, 500 mg, blister, 120 film tableta: </w:t>
            </w:r>
            <w:r>
              <w:rPr>
                <w:sz w:val="22"/>
                <w:szCs w:val="22"/>
              </w:rPr>
              <w:t xml:space="preserve">2030/16/144 – 6195 </w:t>
            </w: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9. D</w:t>
            </w:r>
            <w:bookmarkStart w:id="0" w:name="_GoBack"/>
            <w:bookmarkEnd w:id="0"/>
            <w:r w:rsidRPr="00B02AD6">
              <w:rPr>
                <w:b/>
                <w:bCs/>
                <w:sz w:val="22"/>
                <w:szCs w:val="22"/>
              </w:rPr>
              <w:t>ATUM PRVE DOZVOLE/ DATUM OBNOVE DOZVOLE</w:t>
            </w:r>
          </w:p>
        </w:tc>
      </w:tr>
      <w:tr w:rsidR="0051655A" w:rsidRPr="00B02AD6" w:rsidTr="004D36E0">
        <w:trPr>
          <w:trHeight w:val="1882"/>
        </w:trPr>
        <w:tc>
          <w:tcPr>
            <w:tcW w:w="5000" w:type="pct"/>
            <w:gridSpan w:val="4"/>
            <w:vAlign w:val="center"/>
          </w:tcPr>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150 mg, blister, 60 film tableta:   </w:t>
            </w:r>
            <w:r>
              <w:rPr>
                <w:sz w:val="22"/>
                <w:szCs w:val="22"/>
              </w:rPr>
              <w:t>08.04.2016. godine</w:t>
            </w:r>
          </w:p>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150 mg, blister, 120 film tableta: </w:t>
            </w:r>
            <w:r>
              <w:rPr>
                <w:sz w:val="22"/>
                <w:szCs w:val="22"/>
                <w:lang w:val="en-US"/>
              </w:rPr>
              <w:t xml:space="preserve">08.04.2016. godine </w:t>
            </w:r>
          </w:p>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300 mg, blister, 60 film tableta:   </w:t>
            </w:r>
            <w:r>
              <w:rPr>
                <w:sz w:val="22"/>
                <w:szCs w:val="22"/>
                <w:lang w:val="en-US"/>
              </w:rPr>
              <w:t>08.04.2016. godine</w:t>
            </w:r>
          </w:p>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300 mg, blister, 120 film tableta: </w:t>
            </w:r>
            <w:r>
              <w:rPr>
                <w:sz w:val="22"/>
                <w:szCs w:val="22"/>
              </w:rPr>
              <w:t>08.04.2016. godine</w:t>
            </w:r>
          </w:p>
          <w:p w:rsidR="004D36E0" w:rsidRDefault="004D36E0" w:rsidP="004D36E0">
            <w:pPr>
              <w:widowControl w:val="0"/>
              <w:autoSpaceDE w:val="0"/>
              <w:autoSpaceDN w:val="0"/>
              <w:jc w:val="both"/>
              <w:rPr>
                <w:sz w:val="22"/>
                <w:szCs w:val="22"/>
                <w:lang w:eastAsia="en-US"/>
              </w:rPr>
            </w:pPr>
            <w:r>
              <w:rPr>
                <w:sz w:val="22"/>
                <w:szCs w:val="22"/>
                <w:lang w:eastAsia="en-US"/>
              </w:rPr>
              <w:t xml:space="preserve">Δ Ecansya®, film tableta, 500 mg, blister, 60 film tableta:   </w:t>
            </w:r>
            <w:r>
              <w:rPr>
                <w:sz w:val="22"/>
                <w:szCs w:val="22"/>
              </w:rPr>
              <w:t>08.04.2016. godine</w:t>
            </w:r>
          </w:p>
          <w:p w:rsidR="0051655A" w:rsidRPr="00B02AD6" w:rsidRDefault="004D36E0" w:rsidP="004D36E0">
            <w:pPr>
              <w:rPr>
                <w:b/>
                <w:color w:val="FF0000"/>
                <w:sz w:val="22"/>
                <w:szCs w:val="22"/>
                <w:u w:val="single"/>
              </w:rPr>
            </w:pPr>
            <w:r>
              <w:rPr>
                <w:sz w:val="22"/>
                <w:szCs w:val="22"/>
                <w:lang w:eastAsia="en-US"/>
              </w:rPr>
              <w:t xml:space="preserve">Δ Ecansya®, film tableta, 500 mg, blister, 120 film tableta: </w:t>
            </w:r>
            <w:r>
              <w:rPr>
                <w:sz w:val="22"/>
                <w:szCs w:val="22"/>
              </w:rPr>
              <w:t>08.04.2016. godine</w:t>
            </w:r>
          </w:p>
        </w:tc>
      </w:tr>
      <w:tr w:rsidR="0051655A" w:rsidRPr="00B02AD6" w:rsidTr="00985E90">
        <w:tc>
          <w:tcPr>
            <w:tcW w:w="5000" w:type="pct"/>
            <w:gridSpan w:val="4"/>
            <w:shd w:val="clear" w:color="auto" w:fill="E0E0E0"/>
            <w:vAlign w:val="center"/>
          </w:tcPr>
          <w:p w:rsidR="0051655A" w:rsidRPr="00B02AD6" w:rsidRDefault="0051655A" w:rsidP="00A03C69">
            <w:pPr>
              <w:pStyle w:val="Header"/>
              <w:tabs>
                <w:tab w:val="left" w:pos="284"/>
              </w:tabs>
              <w:rPr>
                <w:b/>
                <w:bCs/>
                <w:sz w:val="22"/>
                <w:szCs w:val="22"/>
              </w:rPr>
            </w:pPr>
            <w:r w:rsidRPr="00B02AD6">
              <w:rPr>
                <w:b/>
                <w:bCs/>
                <w:sz w:val="22"/>
                <w:szCs w:val="22"/>
              </w:rPr>
              <w:t>10. DATUM POSLJEDNJE REVIZIJE TEKSTA SAŽETKA OSNOVNIH KARAKTERISTIKA LIJEKA</w:t>
            </w:r>
          </w:p>
        </w:tc>
      </w:tr>
      <w:tr w:rsidR="0051655A" w:rsidRPr="00B02AD6" w:rsidTr="00985E90">
        <w:trPr>
          <w:trHeight w:val="706"/>
        </w:trPr>
        <w:tc>
          <w:tcPr>
            <w:tcW w:w="5000" w:type="pct"/>
            <w:gridSpan w:val="4"/>
            <w:vAlign w:val="center"/>
          </w:tcPr>
          <w:p w:rsidR="0051655A" w:rsidRPr="00B02AD6" w:rsidRDefault="009E4A39" w:rsidP="00A03C69">
            <w:pPr>
              <w:pStyle w:val="Header"/>
              <w:tabs>
                <w:tab w:val="left" w:pos="284"/>
              </w:tabs>
              <w:rPr>
                <w:color w:val="FF0000"/>
                <w:sz w:val="22"/>
                <w:szCs w:val="22"/>
              </w:rPr>
            </w:pPr>
            <w:r w:rsidRPr="00B02AD6">
              <w:rPr>
                <w:sz w:val="22"/>
                <w:szCs w:val="22"/>
              </w:rPr>
              <w:t>April, 2016. godine.</w:t>
            </w:r>
          </w:p>
        </w:tc>
      </w:tr>
    </w:tbl>
    <w:p w:rsidR="0051655A" w:rsidRPr="00B02AD6" w:rsidRDefault="0051655A" w:rsidP="0051655A">
      <w:pPr>
        <w:rPr>
          <w:color w:val="FF0000"/>
          <w:sz w:val="22"/>
          <w:szCs w:val="22"/>
        </w:rPr>
      </w:pPr>
    </w:p>
    <w:p w:rsidR="00CF089C" w:rsidRPr="00B02AD6" w:rsidRDefault="00CF089C" w:rsidP="0051655A"/>
    <w:sectPr w:rsidR="00CF089C" w:rsidRPr="00B02AD6" w:rsidSect="00985E90">
      <w:headerReference w:type="default" r:id="rId9"/>
      <w:footerReference w:type="even" r:id="rId10"/>
      <w:footerReference w:type="default" r:id="rId1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25" w:rsidRDefault="00962D25">
      <w:r>
        <w:separator/>
      </w:r>
    </w:p>
  </w:endnote>
  <w:endnote w:type="continuationSeparator" w:id="0">
    <w:p w:rsidR="00962D25" w:rsidRDefault="0096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Univers Condensed">
    <w:charset w:val="EE"/>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99D" w:rsidRDefault="0010299D"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299D" w:rsidRDefault="0010299D" w:rsidP="00AE42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99D" w:rsidRPr="00985E90" w:rsidRDefault="0010299D" w:rsidP="00985E90">
    <w:pPr>
      <w:framePr w:wrap="around" w:vAnchor="text" w:hAnchor="margin" w:xAlign="right" w:y="1"/>
      <w:tabs>
        <w:tab w:val="center" w:pos="4320"/>
        <w:tab w:val="right" w:pos="8640"/>
      </w:tabs>
      <w:rPr>
        <w:sz w:val="20"/>
        <w:lang w:eastAsia="en-US"/>
      </w:rPr>
    </w:pPr>
  </w:p>
  <w:p w:rsidR="0010299D" w:rsidRPr="00985E90" w:rsidRDefault="0010299D" w:rsidP="00985E90">
    <w:pPr>
      <w:pBdr>
        <w:top w:val="thinThickSmallGap" w:sz="24" w:space="1" w:color="auto"/>
      </w:pBdr>
      <w:tabs>
        <w:tab w:val="center" w:pos="4320"/>
        <w:tab w:val="right" w:pos="8640"/>
      </w:tabs>
      <w:jc w:val="center"/>
      <w:rPr>
        <w:sz w:val="20"/>
        <w:lang w:eastAsia="en-US"/>
      </w:rPr>
    </w:pPr>
  </w:p>
  <w:p w:rsidR="0010299D" w:rsidRPr="00985E90" w:rsidRDefault="0010299D" w:rsidP="00985E90">
    <w:pPr>
      <w:tabs>
        <w:tab w:val="center" w:pos="4320"/>
        <w:tab w:val="right" w:pos="8640"/>
      </w:tabs>
      <w:jc w:val="center"/>
      <w:rPr>
        <w:color w:val="E65900"/>
        <w:sz w:val="16"/>
        <w:szCs w:val="18"/>
        <w:lang w:eastAsia="en-US"/>
      </w:rPr>
    </w:pPr>
    <w:r w:rsidRPr="00985E90">
      <w:rPr>
        <w:color w:val="FA0000"/>
        <w:sz w:val="16"/>
        <w:szCs w:val="18"/>
        <w:lang w:eastAsia="en-US"/>
      </w:rPr>
      <w:t>Agencija za ljekove i medicinska sredstva Crne Gore,</w:t>
    </w:r>
    <w:r w:rsidRPr="00985E90">
      <w:rPr>
        <w:sz w:val="16"/>
        <w:szCs w:val="18"/>
        <w:lang w:eastAsia="en-US"/>
      </w:rPr>
      <w:t xml:space="preserve"> </w:t>
    </w:r>
    <w:r w:rsidRPr="00985E90">
      <w:rPr>
        <w:color w:val="E65900"/>
        <w:sz w:val="16"/>
        <w:szCs w:val="18"/>
        <w:lang w:eastAsia="en-US"/>
      </w:rPr>
      <w:t>81000 Podgorica, Bul. Ivana Crnojevića 64a</w:t>
    </w:r>
  </w:p>
  <w:p w:rsidR="0010299D" w:rsidRPr="00985E90" w:rsidRDefault="0010299D" w:rsidP="00985E90">
    <w:pPr>
      <w:tabs>
        <w:tab w:val="center" w:pos="4320"/>
        <w:tab w:val="right" w:pos="8640"/>
      </w:tabs>
      <w:jc w:val="center"/>
      <w:rPr>
        <w:color w:val="FA0000"/>
        <w:sz w:val="16"/>
        <w:szCs w:val="18"/>
        <w:lang w:eastAsia="en-US"/>
      </w:rPr>
    </w:pPr>
    <w:r w:rsidRPr="00985E90">
      <w:rPr>
        <w:color w:val="E65900"/>
        <w:sz w:val="16"/>
        <w:szCs w:val="18"/>
        <w:lang w:eastAsia="en-US"/>
      </w:rPr>
      <w:t xml:space="preserve">tel: +382 (0) 20 310 280  </w:t>
    </w:r>
    <w:r w:rsidRPr="00985E90">
      <w:rPr>
        <w:color w:val="FA0000"/>
        <w:sz w:val="16"/>
        <w:szCs w:val="18"/>
        <w:lang w:eastAsia="en-US"/>
      </w:rPr>
      <w:t>fax: +382 (0) 20 310 581,</w:t>
    </w:r>
    <w:r w:rsidRPr="00985E90">
      <w:rPr>
        <w:sz w:val="16"/>
        <w:szCs w:val="18"/>
        <w:lang w:eastAsia="en-US"/>
      </w:rPr>
      <w:t xml:space="preserve"> </w:t>
    </w:r>
    <w:r w:rsidRPr="00985E90">
      <w:rPr>
        <w:color w:val="E65900"/>
        <w:sz w:val="16"/>
        <w:szCs w:val="18"/>
        <w:lang w:eastAsia="en-US"/>
      </w:rPr>
      <w:t>e-mail: info@calims.me,</w:t>
    </w:r>
    <w:r w:rsidRPr="00985E90">
      <w:rPr>
        <w:sz w:val="16"/>
        <w:szCs w:val="18"/>
        <w:lang w:eastAsia="en-US"/>
      </w:rPr>
      <w:t xml:space="preserve"> </w:t>
    </w:r>
    <w:r w:rsidRPr="00985E90">
      <w:rPr>
        <w:color w:val="FA0000"/>
        <w:sz w:val="16"/>
        <w:szCs w:val="18"/>
        <w:lang w:eastAsia="en-US"/>
      </w:rPr>
      <w:t>www.calims.me</w:t>
    </w:r>
    <w:r w:rsidRPr="00985E90">
      <w:rPr>
        <w:sz w:val="16"/>
        <w:szCs w:val="18"/>
        <w:lang w:eastAsia="en-US"/>
      </w:rPr>
      <w:t xml:space="preserve">, </w:t>
    </w:r>
    <w:r w:rsidRPr="00985E90">
      <w:rPr>
        <w:color w:val="E65900"/>
        <w:sz w:val="16"/>
        <w:szCs w:val="18"/>
        <w:lang w:eastAsia="en-US"/>
      </w:rPr>
      <w:t>PIB: 02739658,</w:t>
    </w:r>
    <w:r w:rsidRPr="00985E90">
      <w:rPr>
        <w:sz w:val="16"/>
        <w:szCs w:val="18"/>
        <w:lang w:eastAsia="en-US"/>
      </w:rPr>
      <w:t xml:space="preserve"> </w:t>
    </w:r>
    <w:r w:rsidRPr="00985E90">
      <w:rPr>
        <w:color w:val="FA0000"/>
        <w:sz w:val="16"/>
        <w:szCs w:val="18"/>
        <w:lang w:eastAsia="en-US"/>
      </w:rPr>
      <w:t>žiro račun: 520-3603-33</w:t>
    </w:r>
  </w:p>
  <w:p w:rsidR="0010299D" w:rsidRPr="00985E90" w:rsidRDefault="0010299D" w:rsidP="00985E90">
    <w:pPr>
      <w:tabs>
        <w:tab w:val="center" w:pos="4320"/>
        <w:tab w:val="right" w:pos="8640"/>
      </w:tabs>
      <w:jc w:val="center"/>
      <w:rPr>
        <w:sz w:val="16"/>
        <w:szCs w:val="18"/>
        <w:lang w:eastAsia="en-US"/>
      </w:rPr>
    </w:pPr>
  </w:p>
  <w:p w:rsidR="0010299D" w:rsidRPr="00985E90" w:rsidRDefault="0010299D" w:rsidP="00985E90">
    <w:pPr>
      <w:tabs>
        <w:tab w:val="center" w:pos="4320"/>
        <w:tab w:val="right" w:pos="8640"/>
      </w:tabs>
      <w:rPr>
        <w:sz w:val="20"/>
        <w:lang w:eastAsia="en-US"/>
      </w:rPr>
    </w:pPr>
  </w:p>
  <w:p w:rsidR="0010299D" w:rsidRPr="00985E90" w:rsidRDefault="0010299D" w:rsidP="00985E90">
    <w:pPr>
      <w:tabs>
        <w:tab w:val="center" w:pos="4320"/>
        <w:tab w:val="right" w:pos="8640"/>
      </w:tabs>
      <w:jc w:val="center"/>
      <w:rPr>
        <w:sz w:val="22"/>
        <w:szCs w:val="22"/>
        <w:lang w:eastAsia="en-US"/>
      </w:rPr>
    </w:pPr>
    <w:r w:rsidRPr="00985E90">
      <w:rPr>
        <w:sz w:val="20"/>
        <w:lang w:eastAsia="en-US"/>
      </w:rPr>
      <w:fldChar w:fldCharType="begin"/>
    </w:r>
    <w:r w:rsidRPr="00985E90">
      <w:rPr>
        <w:sz w:val="20"/>
        <w:lang w:eastAsia="en-US"/>
      </w:rPr>
      <w:instrText xml:space="preserve"> PAGE </w:instrText>
    </w:r>
    <w:r w:rsidRPr="00985E90">
      <w:rPr>
        <w:sz w:val="20"/>
        <w:lang w:eastAsia="en-US"/>
      </w:rPr>
      <w:fldChar w:fldCharType="separate"/>
    </w:r>
    <w:r w:rsidR="0010432E">
      <w:rPr>
        <w:sz w:val="20"/>
        <w:lang w:eastAsia="en-US"/>
      </w:rPr>
      <w:t>2</w:t>
    </w:r>
    <w:r w:rsidRPr="00985E90">
      <w:rPr>
        <w:sz w:val="20"/>
        <w:lang w:eastAsia="en-US"/>
      </w:rPr>
      <w:fldChar w:fldCharType="end"/>
    </w:r>
    <w:r w:rsidRPr="00985E90">
      <w:rPr>
        <w:sz w:val="20"/>
        <w:lang w:eastAsia="en-US"/>
      </w:rPr>
      <w:t xml:space="preserve"> / </w:t>
    </w:r>
    <w:r w:rsidRPr="00985E90">
      <w:rPr>
        <w:sz w:val="20"/>
        <w:lang w:eastAsia="en-US"/>
      </w:rPr>
      <w:fldChar w:fldCharType="begin"/>
    </w:r>
    <w:r w:rsidRPr="00985E90">
      <w:rPr>
        <w:sz w:val="20"/>
        <w:lang w:eastAsia="en-US"/>
      </w:rPr>
      <w:instrText xml:space="preserve"> NUMPAGES </w:instrText>
    </w:r>
    <w:r w:rsidRPr="00985E90">
      <w:rPr>
        <w:sz w:val="20"/>
        <w:lang w:eastAsia="en-US"/>
      </w:rPr>
      <w:fldChar w:fldCharType="separate"/>
    </w:r>
    <w:r w:rsidR="0010432E">
      <w:rPr>
        <w:sz w:val="20"/>
        <w:lang w:eastAsia="en-US"/>
      </w:rPr>
      <w:t>33</w:t>
    </w:r>
    <w:r w:rsidRPr="00985E90">
      <w:rPr>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25" w:rsidRDefault="00962D25">
      <w:r>
        <w:separator/>
      </w:r>
    </w:p>
  </w:footnote>
  <w:footnote w:type="continuationSeparator" w:id="0">
    <w:p w:rsidR="00962D25" w:rsidRDefault="00962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99D" w:rsidRPr="00985E90" w:rsidRDefault="0010299D" w:rsidP="00985E90">
    <w:pPr>
      <w:pStyle w:val="Header"/>
      <w:pBdr>
        <w:top w:val="thinThickSmallGap" w:sz="24" w:space="2" w:color="auto"/>
      </w:pBdr>
      <w:tabs>
        <w:tab w:val="clear" w:pos="4320"/>
        <w:tab w:val="clear" w:pos="8640"/>
        <w:tab w:val="left" w:pos="4095"/>
      </w:tabs>
    </w:pPr>
    <w:bookmarkStart w:id="1" w:name="TableTag1"/>
    <w:bookmarkEnd w:id="1"/>
    <w:r>
      <w:rPr>
        <w:sz w:val="16"/>
        <w:szCs w:val="16"/>
        <w:lang w:val="en-US" w:eastAsia="en-US"/>
      </w:rPr>
      <w:drawing>
        <wp:inline distT="0" distB="0" distL="0" distR="0" wp14:anchorId="5BAB2A51" wp14:editId="508348DB">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B932C1"/>
    <w:multiLevelType w:val="hybridMultilevel"/>
    <w:tmpl w:val="0AE688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CA7AA5"/>
    <w:multiLevelType w:val="hybridMultilevel"/>
    <w:tmpl w:val="B8F8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80BA7"/>
    <w:multiLevelType w:val="hybridMultilevel"/>
    <w:tmpl w:val="7ACA2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93D6622"/>
    <w:multiLevelType w:val="hybridMultilevel"/>
    <w:tmpl w:val="0056627E"/>
    <w:lvl w:ilvl="0" w:tplc="4C72472E">
      <w:start w:val="19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13904"/>
    <w:multiLevelType w:val="hybridMultilevel"/>
    <w:tmpl w:val="06A8B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F12943"/>
    <w:multiLevelType w:val="hybridMultilevel"/>
    <w:tmpl w:val="7CFA0166"/>
    <w:lvl w:ilvl="0" w:tplc="51662C04">
      <w:start w:val="1"/>
      <w:numFmt w:val="bullet"/>
      <w:lvlText w:val="-"/>
      <w:lvlJc w:val="left"/>
      <w:pPr>
        <w:tabs>
          <w:tab w:val="num" w:pos="540"/>
        </w:tabs>
        <w:ind w:left="540" w:hanging="360"/>
      </w:pPr>
      <w:rPr>
        <w:rFonts w:ascii="Times New Roman" w:eastAsia="SimSu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12E84"/>
    <w:multiLevelType w:val="hybridMultilevel"/>
    <w:tmpl w:val="9686022E"/>
    <w:lvl w:ilvl="0" w:tplc="3544FE76">
      <w:start w:val="9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95242"/>
    <w:multiLevelType w:val="hybridMultilevel"/>
    <w:tmpl w:val="0D70C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8E42EC4"/>
    <w:multiLevelType w:val="hybridMultilevel"/>
    <w:tmpl w:val="F8A6C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33755FF"/>
    <w:multiLevelType w:val="hybridMultilevel"/>
    <w:tmpl w:val="D4463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358C4"/>
    <w:multiLevelType w:val="hybridMultilevel"/>
    <w:tmpl w:val="CAD83890"/>
    <w:lvl w:ilvl="0" w:tplc="5846C876">
      <w:start w:val="5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16"/>
  </w:num>
  <w:num w:numId="6">
    <w:abstractNumId w:val="18"/>
  </w:num>
  <w:num w:numId="7">
    <w:abstractNumId w:val="10"/>
  </w:num>
  <w:num w:numId="8">
    <w:abstractNumId w:val="15"/>
  </w:num>
  <w:num w:numId="9">
    <w:abstractNumId w:val="8"/>
  </w:num>
  <w:num w:numId="10">
    <w:abstractNumId w:val="11"/>
  </w:num>
  <w:num w:numId="11">
    <w:abstractNumId w:val="20"/>
  </w:num>
  <w:num w:numId="12">
    <w:abstractNumId w:val="20"/>
  </w:num>
  <w:num w:numId="13">
    <w:abstractNumId w:val="12"/>
  </w:num>
  <w:num w:numId="14">
    <w:abstractNumId w:val="12"/>
  </w:num>
  <w:num w:numId="15">
    <w:abstractNumId w:val="17"/>
  </w:num>
  <w:num w:numId="16">
    <w:abstractNumId w:val="9"/>
  </w:num>
  <w:num w:numId="17">
    <w:abstractNumId w:val="5"/>
  </w:num>
  <w:num w:numId="18">
    <w:abstractNumId w:val="14"/>
  </w:num>
  <w:num w:numId="19">
    <w:abstractNumId w:val="19"/>
  </w:num>
  <w:num w:numId="20">
    <w:abstractNumId w:val="1"/>
  </w:num>
  <w:num w:numId="21">
    <w:abstractNumId w:val="2"/>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4195"/>
    <w:rsid w:val="000065B2"/>
    <w:rsid w:val="000433F2"/>
    <w:rsid w:val="00053A38"/>
    <w:rsid w:val="000559DD"/>
    <w:rsid w:val="00055F41"/>
    <w:rsid w:val="000575B5"/>
    <w:rsid w:val="00064D45"/>
    <w:rsid w:val="00073CBA"/>
    <w:rsid w:val="00082F94"/>
    <w:rsid w:val="000906E7"/>
    <w:rsid w:val="000A34D6"/>
    <w:rsid w:val="000A548A"/>
    <w:rsid w:val="000B09CA"/>
    <w:rsid w:val="000B3484"/>
    <w:rsid w:val="000C3C2E"/>
    <w:rsid w:val="000D182F"/>
    <w:rsid w:val="001003D9"/>
    <w:rsid w:val="0010299D"/>
    <w:rsid w:val="0010432E"/>
    <w:rsid w:val="00105480"/>
    <w:rsid w:val="001219D9"/>
    <w:rsid w:val="00123891"/>
    <w:rsid w:val="00147B5E"/>
    <w:rsid w:val="0015479F"/>
    <w:rsid w:val="001575C1"/>
    <w:rsid w:val="00173E2B"/>
    <w:rsid w:val="001840B2"/>
    <w:rsid w:val="001A22EB"/>
    <w:rsid w:val="001B20C3"/>
    <w:rsid w:val="001B38B4"/>
    <w:rsid w:val="001B5073"/>
    <w:rsid w:val="001C4601"/>
    <w:rsid w:val="001C4710"/>
    <w:rsid w:val="001C7614"/>
    <w:rsid w:val="001C79DF"/>
    <w:rsid w:val="001D14E3"/>
    <w:rsid w:val="001D4EAB"/>
    <w:rsid w:val="001D5D7A"/>
    <w:rsid w:val="001D7818"/>
    <w:rsid w:val="001F2D60"/>
    <w:rsid w:val="001F4CEE"/>
    <w:rsid w:val="001F67D3"/>
    <w:rsid w:val="002031D1"/>
    <w:rsid w:val="00204DAF"/>
    <w:rsid w:val="00206C34"/>
    <w:rsid w:val="00211E4A"/>
    <w:rsid w:val="00220694"/>
    <w:rsid w:val="00224BDC"/>
    <w:rsid w:val="002373F7"/>
    <w:rsid w:val="00240FE0"/>
    <w:rsid w:val="00243B15"/>
    <w:rsid w:val="002503B8"/>
    <w:rsid w:val="002504A7"/>
    <w:rsid w:val="00257ABE"/>
    <w:rsid w:val="00260E96"/>
    <w:rsid w:val="0026149B"/>
    <w:rsid w:val="00272057"/>
    <w:rsid w:val="00273E33"/>
    <w:rsid w:val="002830B7"/>
    <w:rsid w:val="00291EF3"/>
    <w:rsid w:val="002943DD"/>
    <w:rsid w:val="002A4EDB"/>
    <w:rsid w:val="002C1127"/>
    <w:rsid w:val="002C2548"/>
    <w:rsid w:val="002C340F"/>
    <w:rsid w:val="002D28FA"/>
    <w:rsid w:val="002E402E"/>
    <w:rsid w:val="002E6597"/>
    <w:rsid w:val="002F5252"/>
    <w:rsid w:val="002F60DC"/>
    <w:rsid w:val="00304201"/>
    <w:rsid w:val="00304273"/>
    <w:rsid w:val="00304649"/>
    <w:rsid w:val="00306F2E"/>
    <w:rsid w:val="00312060"/>
    <w:rsid w:val="00313D7A"/>
    <w:rsid w:val="0032241F"/>
    <w:rsid w:val="00325207"/>
    <w:rsid w:val="00330D36"/>
    <w:rsid w:val="0036451C"/>
    <w:rsid w:val="00365FAE"/>
    <w:rsid w:val="003753C3"/>
    <w:rsid w:val="003811F3"/>
    <w:rsid w:val="003940DB"/>
    <w:rsid w:val="003A4A45"/>
    <w:rsid w:val="003C059E"/>
    <w:rsid w:val="003D0748"/>
    <w:rsid w:val="003D3A5C"/>
    <w:rsid w:val="003D3DDA"/>
    <w:rsid w:val="003E1BD2"/>
    <w:rsid w:val="003E3DCF"/>
    <w:rsid w:val="003F3AEC"/>
    <w:rsid w:val="00402CEE"/>
    <w:rsid w:val="00407000"/>
    <w:rsid w:val="0041262D"/>
    <w:rsid w:val="00413C23"/>
    <w:rsid w:val="0041487B"/>
    <w:rsid w:val="00416F48"/>
    <w:rsid w:val="00420EAD"/>
    <w:rsid w:val="00421B9E"/>
    <w:rsid w:val="00431167"/>
    <w:rsid w:val="00431E79"/>
    <w:rsid w:val="00435513"/>
    <w:rsid w:val="004479A6"/>
    <w:rsid w:val="0045056D"/>
    <w:rsid w:val="0045374E"/>
    <w:rsid w:val="004837CC"/>
    <w:rsid w:val="0048689D"/>
    <w:rsid w:val="00493236"/>
    <w:rsid w:val="004A2109"/>
    <w:rsid w:val="004B5407"/>
    <w:rsid w:val="004C226A"/>
    <w:rsid w:val="004C537C"/>
    <w:rsid w:val="004C62C1"/>
    <w:rsid w:val="004D2479"/>
    <w:rsid w:val="004D2FF4"/>
    <w:rsid w:val="004D36E0"/>
    <w:rsid w:val="004D63B0"/>
    <w:rsid w:val="004E1FFD"/>
    <w:rsid w:val="004E2538"/>
    <w:rsid w:val="004E5B9C"/>
    <w:rsid w:val="00505E1F"/>
    <w:rsid w:val="0051655A"/>
    <w:rsid w:val="00520307"/>
    <w:rsid w:val="00524545"/>
    <w:rsid w:val="00526D57"/>
    <w:rsid w:val="00530F31"/>
    <w:rsid w:val="005314FE"/>
    <w:rsid w:val="00547C4E"/>
    <w:rsid w:val="00552406"/>
    <w:rsid w:val="005526D7"/>
    <w:rsid w:val="005562DE"/>
    <w:rsid w:val="00575802"/>
    <w:rsid w:val="00576EC6"/>
    <w:rsid w:val="00580C69"/>
    <w:rsid w:val="00583266"/>
    <w:rsid w:val="00583857"/>
    <w:rsid w:val="005A53E3"/>
    <w:rsid w:val="005B609D"/>
    <w:rsid w:val="005C3651"/>
    <w:rsid w:val="005D1F03"/>
    <w:rsid w:val="005E5EF0"/>
    <w:rsid w:val="005F2656"/>
    <w:rsid w:val="006004E1"/>
    <w:rsid w:val="006053F5"/>
    <w:rsid w:val="00607523"/>
    <w:rsid w:val="0063379D"/>
    <w:rsid w:val="00633FF1"/>
    <w:rsid w:val="00643730"/>
    <w:rsid w:val="0065078D"/>
    <w:rsid w:val="00652497"/>
    <w:rsid w:val="0065680E"/>
    <w:rsid w:val="00660B27"/>
    <w:rsid w:val="006615B0"/>
    <w:rsid w:val="00670A0E"/>
    <w:rsid w:val="006B0A86"/>
    <w:rsid w:val="006B2549"/>
    <w:rsid w:val="006B56BD"/>
    <w:rsid w:val="006B5CA9"/>
    <w:rsid w:val="006B5D8B"/>
    <w:rsid w:val="006D1BCB"/>
    <w:rsid w:val="006E2B71"/>
    <w:rsid w:val="006E7784"/>
    <w:rsid w:val="006F0B35"/>
    <w:rsid w:val="006F13BA"/>
    <w:rsid w:val="00700CE3"/>
    <w:rsid w:val="00755AD6"/>
    <w:rsid w:val="00771E64"/>
    <w:rsid w:val="00774447"/>
    <w:rsid w:val="007846BC"/>
    <w:rsid w:val="007A2E3F"/>
    <w:rsid w:val="007A5809"/>
    <w:rsid w:val="007A75FE"/>
    <w:rsid w:val="007A786A"/>
    <w:rsid w:val="007A7A0A"/>
    <w:rsid w:val="007B76F6"/>
    <w:rsid w:val="007D57EF"/>
    <w:rsid w:val="007E0A3A"/>
    <w:rsid w:val="007E117C"/>
    <w:rsid w:val="007E1FF6"/>
    <w:rsid w:val="008035C7"/>
    <w:rsid w:val="00803A50"/>
    <w:rsid w:val="0081093E"/>
    <w:rsid w:val="0081705B"/>
    <w:rsid w:val="008321E6"/>
    <w:rsid w:val="0084123A"/>
    <w:rsid w:val="008421E5"/>
    <w:rsid w:val="00847C24"/>
    <w:rsid w:val="00854A6F"/>
    <w:rsid w:val="00861D75"/>
    <w:rsid w:val="00861EC0"/>
    <w:rsid w:val="00866D2B"/>
    <w:rsid w:val="00873C86"/>
    <w:rsid w:val="008844BD"/>
    <w:rsid w:val="008854E5"/>
    <w:rsid w:val="0089573E"/>
    <w:rsid w:val="008B5CAB"/>
    <w:rsid w:val="008F3AA1"/>
    <w:rsid w:val="00932A58"/>
    <w:rsid w:val="0093776A"/>
    <w:rsid w:val="00943815"/>
    <w:rsid w:val="009462B4"/>
    <w:rsid w:val="00950D3B"/>
    <w:rsid w:val="0095247C"/>
    <w:rsid w:val="00953BFC"/>
    <w:rsid w:val="009561F6"/>
    <w:rsid w:val="00960280"/>
    <w:rsid w:val="00962D25"/>
    <w:rsid w:val="009732AC"/>
    <w:rsid w:val="0097582E"/>
    <w:rsid w:val="009767A1"/>
    <w:rsid w:val="00985E90"/>
    <w:rsid w:val="009905A1"/>
    <w:rsid w:val="009926CE"/>
    <w:rsid w:val="009A4510"/>
    <w:rsid w:val="009A5259"/>
    <w:rsid w:val="009A6544"/>
    <w:rsid w:val="009A6823"/>
    <w:rsid w:val="009B0E6C"/>
    <w:rsid w:val="009B1F15"/>
    <w:rsid w:val="009C07A1"/>
    <w:rsid w:val="009C5B05"/>
    <w:rsid w:val="009D2377"/>
    <w:rsid w:val="009E4A39"/>
    <w:rsid w:val="009E4A45"/>
    <w:rsid w:val="009E4D57"/>
    <w:rsid w:val="009F2CB4"/>
    <w:rsid w:val="009F2E45"/>
    <w:rsid w:val="009F2ED3"/>
    <w:rsid w:val="009F692D"/>
    <w:rsid w:val="00A03C69"/>
    <w:rsid w:val="00A17841"/>
    <w:rsid w:val="00A2172F"/>
    <w:rsid w:val="00A225A1"/>
    <w:rsid w:val="00A322B1"/>
    <w:rsid w:val="00A33F6B"/>
    <w:rsid w:val="00A4244F"/>
    <w:rsid w:val="00A5221C"/>
    <w:rsid w:val="00A63499"/>
    <w:rsid w:val="00A63901"/>
    <w:rsid w:val="00A941B0"/>
    <w:rsid w:val="00AA034D"/>
    <w:rsid w:val="00AA1538"/>
    <w:rsid w:val="00AA333F"/>
    <w:rsid w:val="00AA592A"/>
    <w:rsid w:val="00AA7407"/>
    <w:rsid w:val="00AA76BD"/>
    <w:rsid w:val="00AB35DE"/>
    <w:rsid w:val="00AB6AB8"/>
    <w:rsid w:val="00AC0C1D"/>
    <w:rsid w:val="00AD4CFC"/>
    <w:rsid w:val="00AD5EFC"/>
    <w:rsid w:val="00AE0E4F"/>
    <w:rsid w:val="00AE4202"/>
    <w:rsid w:val="00AE6048"/>
    <w:rsid w:val="00AF3A48"/>
    <w:rsid w:val="00AF6CAC"/>
    <w:rsid w:val="00B0104C"/>
    <w:rsid w:val="00B02AD6"/>
    <w:rsid w:val="00B07FF6"/>
    <w:rsid w:val="00B121DA"/>
    <w:rsid w:val="00B1269B"/>
    <w:rsid w:val="00B12F97"/>
    <w:rsid w:val="00B243EC"/>
    <w:rsid w:val="00B3767F"/>
    <w:rsid w:val="00B45363"/>
    <w:rsid w:val="00B57DDB"/>
    <w:rsid w:val="00B64AA7"/>
    <w:rsid w:val="00B926C0"/>
    <w:rsid w:val="00B964A6"/>
    <w:rsid w:val="00BB7B3A"/>
    <w:rsid w:val="00BC744B"/>
    <w:rsid w:val="00BD7E85"/>
    <w:rsid w:val="00BE5C2D"/>
    <w:rsid w:val="00BF2848"/>
    <w:rsid w:val="00BF6C2F"/>
    <w:rsid w:val="00C02EDA"/>
    <w:rsid w:val="00C05838"/>
    <w:rsid w:val="00C05BA5"/>
    <w:rsid w:val="00C108B8"/>
    <w:rsid w:val="00C12759"/>
    <w:rsid w:val="00C45A0E"/>
    <w:rsid w:val="00C45A79"/>
    <w:rsid w:val="00C47DAF"/>
    <w:rsid w:val="00C54A4E"/>
    <w:rsid w:val="00C70E41"/>
    <w:rsid w:val="00C73CD2"/>
    <w:rsid w:val="00C745BF"/>
    <w:rsid w:val="00C7794F"/>
    <w:rsid w:val="00C81C87"/>
    <w:rsid w:val="00C97991"/>
    <w:rsid w:val="00CA1874"/>
    <w:rsid w:val="00CA24F3"/>
    <w:rsid w:val="00CB580B"/>
    <w:rsid w:val="00CC6D90"/>
    <w:rsid w:val="00CC6EEF"/>
    <w:rsid w:val="00CD4940"/>
    <w:rsid w:val="00CE5A62"/>
    <w:rsid w:val="00CE7393"/>
    <w:rsid w:val="00CF089C"/>
    <w:rsid w:val="00CF57AD"/>
    <w:rsid w:val="00CF718F"/>
    <w:rsid w:val="00CF71C6"/>
    <w:rsid w:val="00D05EDF"/>
    <w:rsid w:val="00D1180E"/>
    <w:rsid w:val="00D31162"/>
    <w:rsid w:val="00D31268"/>
    <w:rsid w:val="00D44126"/>
    <w:rsid w:val="00D46756"/>
    <w:rsid w:val="00D74D0B"/>
    <w:rsid w:val="00D76B47"/>
    <w:rsid w:val="00DA56EB"/>
    <w:rsid w:val="00DC7BA3"/>
    <w:rsid w:val="00DD4807"/>
    <w:rsid w:val="00DD7956"/>
    <w:rsid w:val="00DE1779"/>
    <w:rsid w:val="00DE3280"/>
    <w:rsid w:val="00E0414A"/>
    <w:rsid w:val="00E13A32"/>
    <w:rsid w:val="00E171E6"/>
    <w:rsid w:val="00E20AC0"/>
    <w:rsid w:val="00E23FC9"/>
    <w:rsid w:val="00E30A03"/>
    <w:rsid w:val="00E32A86"/>
    <w:rsid w:val="00E34EB5"/>
    <w:rsid w:val="00E35EDD"/>
    <w:rsid w:val="00E407C3"/>
    <w:rsid w:val="00E57CFD"/>
    <w:rsid w:val="00E620C1"/>
    <w:rsid w:val="00E73DCA"/>
    <w:rsid w:val="00E74EC3"/>
    <w:rsid w:val="00E76214"/>
    <w:rsid w:val="00EA6283"/>
    <w:rsid w:val="00EB0C7B"/>
    <w:rsid w:val="00EB39D7"/>
    <w:rsid w:val="00EC5FAE"/>
    <w:rsid w:val="00EF7B76"/>
    <w:rsid w:val="00F01292"/>
    <w:rsid w:val="00F04115"/>
    <w:rsid w:val="00F238C4"/>
    <w:rsid w:val="00F3010D"/>
    <w:rsid w:val="00F43728"/>
    <w:rsid w:val="00F463FF"/>
    <w:rsid w:val="00F54F37"/>
    <w:rsid w:val="00F81203"/>
    <w:rsid w:val="00F82F64"/>
    <w:rsid w:val="00F83C4B"/>
    <w:rsid w:val="00F914B8"/>
    <w:rsid w:val="00F968E4"/>
    <w:rsid w:val="00FA2436"/>
    <w:rsid w:val="00FA4652"/>
    <w:rsid w:val="00FA5D93"/>
    <w:rsid w:val="00FD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F8D00B-FABF-4B3A-A68E-F4B36F00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2D"/>
    <w:rPr>
      <w:noProof/>
      <w:sz w:val="24"/>
      <w:lang w:val="sr-Latn-ME" w:eastAsia="sl-SI"/>
    </w:rPr>
  </w:style>
  <w:style w:type="paragraph" w:styleId="Heading1">
    <w:name w:val="heading 1"/>
    <w:basedOn w:val="Normal"/>
    <w:next w:val="Normal"/>
    <w:link w:val="Heading1Char"/>
    <w:qFormat/>
    <w:rsid w:val="003252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562DE"/>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link w:val="Heading3Char"/>
    <w:qFormat/>
    <w:rsid w:val="005562DE"/>
    <w:pPr>
      <w:keepNext/>
      <w:tabs>
        <w:tab w:val="decimal" w:pos="6760"/>
      </w:tabs>
      <w:spacing w:line="480" w:lineRule="atLeast"/>
      <w:outlineLvl w:val="2"/>
    </w:pPr>
    <w:rPr>
      <w:b/>
      <w:lang w:val="en-US"/>
    </w:rPr>
  </w:style>
  <w:style w:type="paragraph" w:styleId="Heading4">
    <w:name w:val="heading 4"/>
    <w:basedOn w:val="Normal"/>
    <w:next w:val="Normal"/>
    <w:link w:val="Heading4Char"/>
    <w:qFormat/>
    <w:rsid w:val="00526D57"/>
    <w:pPr>
      <w:keepNext/>
      <w:spacing w:before="240" w:after="60"/>
      <w:outlineLvl w:val="3"/>
    </w:pPr>
    <w:rPr>
      <w:b/>
      <w:bCs/>
      <w:sz w:val="28"/>
      <w:szCs w:val="28"/>
    </w:rPr>
  </w:style>
  <w:style w:type="paragraph" w:styleId="Heading5">
    <w:name w:val="heading 5"/>
    <w:basedOn w:val="Normal"/>
    <w:next w:val="Normal"/>
    <w:link w:val="Heading5Char"/>
    <w:qFormat/>
    <w:rsid w:val="0051655A"/>
    <w:pPr>
      <w:keepNext/>
      <w:tabs>
        <w:tab w:val="num" w:pos="1008"/>
      </w:tabs>
      <w:ind w:left="1008" w:hanging="1008"/>
      <w:outlineLvl w:val="4"/>
    </w:pPr>
    <w:rPr>
      <w:b/>
      <w:lang w:val="en-GB" w:eastAsia="en-US"/>
    </w:rPr>
  </w:style>
  <w:style w:type="paragraph" w:styleId="Heading6">
    <w:name w:val="heading 6"/>
    <w:basedOn w:val="Normal"/>
    <w:next w:val="Normal"/>
    <w:link w:val="Heading6Char"/>
    <w:qFormat/>
    <w:rsid w:val="005562DE"/>
    <w:pPr>
      <w:keepNext/>
      <w:keepLines/>
      <w:tabs>
        <w:tab w:val="right" w:pos="4536"/>
        <w:tab w:val="left" w:pos="5180"/>
        <w:tab w:val="left" w:pos="5380"/>
        <w:tab w:val="left" w:pos="8222"/>
      </w:tabs>
      <w:outlineLvl w:val="5"/>
    </w:pPr>
    <w:rPr>
      <w:b/>
      <w:lang w:val="en-US"/>
    </w:rPr>
  </w:style>
  <w:style w:type="paragraph" w:styleId="Heading7">
    <w:name w:val="heading 7"/>
    <w:basedOn w:val="Normal"/>
    <w:next w:val="Normal"/>
    <w:link w:val="Heading7Char"/>
    <w:unhideWhenUsed/>
    <w:qFormat/>
    <w:rsid w:val="008B5CAB"/>
    <w:pPr>
      <w:keepNext/>
      <w:tabs>
        <w:tab w:val="left" w:pos="-720"/>
        <w:tab w:val="left" w:pos="567"/>
        <w:tab w:val="left" w:pos="4536"/>
      </w:tabs>
      <w:suppressAutoHyphens/>
      <w:spacing w:line="260" w:lineRule="exact"/>
      <w:jc w:val="both"/>
      <w:outlineLvl w:val="6"/>
    </w:pPr>
    <w:rPr>
      <w:i/>
      <w:sz w:val="22"/>
      <w:lang w:val="x-none" w:eastAsia="en-US"/>
    </w:rPr>
  </w:style>
  <w:style w:type="paragraph" w:styleId="Heading8">
    <w:name w:val="heading 8"/>
    <w:basedOn w:val="Normal"/>
    <w:next w:val="Normal"/>
    <w:link w:val="Heading8Char"/>
    <w:qFormat/>
    <w:rsid w:val="0051655A"/>
    <w:pPr>
      <w:spacing w:before="240" w:after="60"/>
      <w:outlineLvl w:val="7"/>
    </w:pPr>
    <w:rPr>
      <w:i/>
      <w:iCs/>
      <w:szCs w:val="24"/>
      <w:lang w:val="en-US" w:eastAsia="en-US"/>
    </w:rPr>
  </w:style>
  <w:style w:type="paragraph" w:styleId="Heading9">
    <w:name w:val="heading 9"/>
    <w:basedOn w:val="Normal"/>
    <w:next w:val="Normal"/>
    <w:link w:val="Heading9Char"/>
    <w:qFormat/>
    <w:rsid w:val="0051655A"/>
    <w:pPr>
      <w:tabs>
        <w:tab w:val="num" w:pos="1584"/>
      </w:tabs>
      <w:spacing w:before="240" w:after="60"/>
      <w:ind w:left="1584" w:hanging="1584"/>
      <w:outlineLvl w:val="8"/>
    </w:pPr>
    <w:rPr>
      <w:rFonts w:ascii="Arial" w:hAnsi="Arial" w:cs="Arial"/>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Header Char, Char,Char"/>
    <w:basedOn w:val="Normal"/>
    <w:link w:val="HeaderChar2"/>
    <w:rsid w:val="00173E2B"/>
    <w:pPr>
      <w:tabs>
        <w:tab w:val="center" w:pos="4320"/>
        <w:tab w:val="right" w:pos="8640"/>
      </w:tabs>
    </w:pPr>
  </w:style>
  <w:style w:type="paragraph" w:styleId="Footer">
    <w:name w:val="footer"/>
    <w:basedOn w:val="Normal"/>
    <w:link w:val="FooterChar"/>
    <w:rsid w:val="00173E2B"/>
    <w:pPr>
      <w:tabs>
        <w:tab w:val="center" w:pos="4320"/>
        <w:tab w:val="right" w:pos="8640"/>
      </w:tabs>
    </w:p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E4202"/>
  </w:style>
  <w:style w:type="character" w:styleId="Hyperlink">
    <w:name w:val="Hyperlink"/>
    <w:rsid w:val="00C745BF"/>
    <w:rPr>
      <w:rFonts w:ascii="Times New Roman" w:hAnsi="Times New Roman"/>
      <w:color w:val="auto"/>
      <w:sz w:val="24"/>
      <w:szCs w:val="24"/>
      <w:u w:val="single"/>
      <w:lang w:val="en-US"/>
    </w:rPr>
  </w:style>
  <w:style w:type="character" w:styleId="FollowedHyperlink">
    <w:name w:val="FollowedHyperlink"/>
    <w:rsid w:val="00C745BF"/>
    <w:rPr>
      <w:color w:val="800080"/>
      <w:u w:val="single"/>
    </w:rPr>
  </w:style>
  <w:style w:type="paragraph" w:styleId="PlainText">
    <w:name w:val="Plain Text"/>
    <w:basedOn w:val="Normal"/>
    <w:link w:val="PlainTextChar"/>
    <w:rsid w:val="00660B27"/>
    <w:rPr>
      <w:rFonts w:ascii="Courier New" w:hAnsi="Courier New"/>
      <w:sz w:val="20"/>
      <w:lang w:val="en-GB"/>
    </w:rPr>
  </w:style>
  <w:style w:type="paragraph" w:styleId="Caption">
    <w:name w:val="caption"/>
    <w:basedOn w:val="Normal"/>
    <w:next w:val="Normal"/>
    <w:qFormat/>
    <w:rsid w:val="00660B27"/>
    <w:pPr>
      <w:jc w:val="both"/>
    </w:pPr>
    <w:rPr>
      <w:lang w:val="en-GB"/>
    </w:rPr>
  </w:style>
  <w:style w:type="paragraph" w:customStyle="1" w:styleId="Naslov1">
    <w:name w:val="Naslov1"/>
    <w:basedOn w:val="Heading1"/>
    <w:rsid w:val="00325207"/>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576EC6"/>
    <w:pPr>
      <w:spacing w:before="120"/>
    </w:pPr>
    <w:rPr>
      <w:b/>
      <w:bCs/>
      <w:i/>
      <w:iCs/>
      <w:szCs w:val="28"/>
    </w:rPr>
  </w:style>
  <w:style w:type="paragraph" w:styleId="BodyText">
    <w:name w:val="Body Text"/>
    <w:basedOn w:val="Normal"/>
    <w:link w:val="BodyTextChar"/>
    <w:rsid w:val="00526D57"/>
    <w:pPr>
      <w:numPr>
        <w:ilvl w:val="12"/>
      </w:numPr>
      <w:tabs>
        <w:tab w:val="left" w:pos="8505"/>
      </w:tabs>
      <w:ind w:right="-2"/>
    </w:pPr>
    <w:rPr>
      <w:sz w:val="22"/>
    </w:rPr>
  </w:style>
  <w:style w:type="paragraph" w:styleId="BodyText2">
    <w:name w:val="Body Text 2"/>
    <w:basedOn w:val="Normal"/>
    <w:link w:val="BodyText2Char"/>
    <w:rsid w:val="00AA1538"/>
    <w:pPr>
      <w:spacing w:after="120" w:line="480" w:lineRule="auto"/>
    </w:pPr>
  </w:style>
  <w:style w:type="paragraph" w:customStyle="1" w:styleId="EMEAEnBodyText">
    <w:name w:val="EMEA En Body Text"/>
    <w:basedOn w:val="Normal"/>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Heading7Char">
    <w:name w:val="Heading 7 Char"/>
    <w:link w:val="Heading7"/>
    <w:semiHidden/>
    <w:rsid w:val="008B5CAB"/>
    <w:rPr>
      <w:i/>
      <w:sz w:val="22"/>
      <w:lang w:val="x-none" w:eastAsia="en-US"/>
    </w:rPr>
  </w:style>
  <w:style w:type="character" w:customStyle="1" w:styleId="Heading1Char">
    <w:name w:val="Heading 1 Char"/>
    <w:link w:val="Heading1"/>
    <w:rsid w:val="008B5CAB"/>
    <w:rPr>
      <w:rFonts w:ascii="Arial" w:hAnsi="Arial" w:cs="Arial"/>
      <w:b/>
      <w:bCs/>
      <w:kern w:val="32"/>
      <w:sz w:val="32"/>
      <w:szCs w:val="32"/>
    </w:rPr>
  </w:style>
  <w:style w:type="character" w:customStyle="1" w:styleId="Heading2Char">
    <w:name w:val="Heading 2 Char"/>
    <w:link w:val="Heading2"/>
    <w:rsid w:val="008B5CAB"/>
    <w:rPr>
      <w:b/>
      <w:sz w:val="24"/>
      <w:u w:val="single"/>
      <w:lang w:val="en-US"/>
    </w:rPr>
  </w:style>
  <w:style w:type="character" w:customStyle="1" w:styleId="Heading3Char">
    <w:name w:val="Heading 3 Char"/>
    <w:link w:val="Heading3"/>
    <w:rsid w:val="008B5CAB"/>
    <w:rPr>
      <w:b/>
      <w:sz w:val="24"/>
      <w:lang w:val="en-US"/>
    </w:rPr>
  </w:style>
  <w:style w:type="character" w:customStyle="1" w:styleId="Heading4Char">
    <w:name w:val="Heading 4 Char"/>
    <w:link w:val="Heading4"/>
    <w:rsid w:val="008B5CAB"/>
    <w:rPr>
      <w:b/>
      <w:bCs/>
      <w:sz w:val="28"/>
      <w:szCs w:val="28"/>
    </w:rPr>
  </w:style>
  <w:style w:type="character" w:customStyle="1" w:styleId="Heading6Char">
    <w:name w:val="Heading 6 Char"/>
    <w:link w:val="Heading6"/>
    <w:rsid w:val="008B5CAB"/>
    <w:rPr>
      <w:b/>
      <w:sz w:val="24"/>
      <w:lang w:val="en-US"/>
    </w:rPr>
  </w:style>
  <w:style w:type="paragraph" w:styleId="NormalWeb">
    <w:name w:val="Normal (Web)"/>
    <w:basedOn w:val="Normal"/>
    <w:unhideWhenUsed/>
    <w:rsid w:val="008B5CAB"/>
    <w:pPr>
      <w:spacing w:before="100" w:beforeAutospacing="1" w:after="75"/>
    </w:pPr>
    <w:rPr>
      <w:color w:val="000000"/>
      <w:szCs w:val="24"/>
      <w:lang w:val="en-IN" w:eastAsia="en-IN"/>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rsid w:val="008B5CAB"/>
    <w:rPr>
      <w:sz w:val="24"/>
    </w:rPr>
  </w:style>
  <w:style w:type="character" w:customStyle="1" w:styleId="FooterChar">
    <w:name w:val="Footer Char"/>
    <w:link w:val="Footer"/>
    <w:rsid w:val="008B5CAB"/>
    <w:rPr>
      <w:sz w:val="24"/>
    </w:rPr>
  </w:style>
  <w:style w:type="character" w:customStyle="1" w:styleId="BodyTextChar">
    <w:name w:val="Body Text Char"/>
    <w:link w:val="BodyText"/>
    <w:rsid w:val="008B5CAB"/>
    <w:rPr>
      <w:sz w:val="22"/>
    </w:rPr>
  </w:style>
  <w:style w:type="character" w:customStyle="1" w:styleId="BodyText2Char">
    <w:name w:val="Body Text 2 Char"/>
    <w:link w:val="BodyText2"/>
    <w:rsid w:val="008B5CAB"/>
    <w:rPr>
      <w:sz w:val="24"/>
    </w:rPr>
  </w:style>
  <w:style w:type="paragraph" w:styleId="BodyText3">
    <w:name w:val="Body Text 3"/>
    <w:basedOn w:val="Normal"/>
    <w:link w:val="BodyText3Char"/>
    <w:unhideWhenUsed/>
    <w:rsid w:val="008B5CAB"/>
    <w:pPr>
      <w:tabs>
        <w:tab w:val="left" w:pos="567"/>
      </w:tabs>
      <w:spacing w:after="120" w:line="260" w:lineRule="exact"/>
    </w:pPr>
    <w:rPr>
      <w:sz w:val="16"/>
      <w:szCs w:val="16"/>
      <w:lang w:val="x-none" w:eastAsia="en-US"/>
    </w:rPr>
  </w:style>
  <w:style w:type="character" w:customStyle="1" w:styleId="BodyText3Char">
    <w:name w:val="Body Text 3 Char"/>
    <w:link w:val="BodyText3"/>
    <w:rsid w:val="008B5CAB"/>
    <w:rPr>
      <w:sz w:val="16"/>
      <w:szCs w:val="16"/>
      <w:lang w:val="x-none" w:eastAsia="en-US"/>
    </w:rPr>
  </w:style>
  <w:style w:type="character" w:customStyle="1" w:styleId="PlainTextChar">
    <w:name w:val="Plain Text Char"/>
    <w:link w:val="PlainText"/>
    <w:rsid w:val="008B5CAB"/>
    <w:rPr>
      <w:rFonts w:ascii="Courier New" w:hAnsi="Courier New"/>
      <w:lang w:val="en-GB"/>
    </w:rPr>
  </w:style>
  <w:style w:type="paragraph" w:styleId="BalloonText">
    <w:name w:val="Balloon Text"/>
    <w:basedOn w:val="Normal"/>
    <w:link w:val="BalloonTextChar"/>
    <w:unhideWhenUsed/>
    <w:rsid w:val="008B5CAB"/>
    <w:pPr>
      <w:tabs>
        <w:tab w:val="left" w:pos="567"/>
      </w:tabs>
    </w:pPr>
    <w:rPr>
      <w:rFonts w:ascii="Tahoma" w:hAnsi="Tahoma"/>
      <w:sz w:val="16"/>
      <w:szCs w:val="16"/>
      <w:lang w:val="x-none" w:eastAsia="en-US"/>
    </w:rPr>
  </w:style>
  <w:style w:type="character" w:customStyle="1" w:styleId="BalloonTextChar">
    <w:name w:val="Balloon Text Char"/>
    <w:link w:val="BalloonText"/>
    <w:rsid w:val="008B5CAB"/>
    <w:rPr>
      <w:rFonts w:ascii="Tahoma" w:hAnsi="Tahoma"/>
      <w:sz w:val="16"/>
      <w:szCs w:val="16"/>
      <w:lang w:val="x-none" w:eastAsia="en-US"/>
    </w:rPr>
  </w:style>
  <w:style w:type="paragraph" w:styleId="Revision">
    <w:name w:val="Revision"/>
    <w:uiPriority w:val="99"/>
    <w:semiHidden/>
    <w:rsid w:val="008B5CAB"/>
    <w:rPr>
      <w:sz w:val="22"/>
      <w:lang w:val="sl-SI"/>
    </w:rPr>
  </w:style>
  <w:style w:type="paragraph" w:styleId="ListParagraph">
    <w:name w:val="List Paragraph"/>
    <w:basedOn w:val="Normal"/>
    <w:qFormat/>
    <w:rsid w:val="008B5CAB"/>
    <w:pPr>
      <w:tabs>
        <w:tab w:val="left" w:pos="567"/>
      </w:tabs>
      <w:spacing w:line="260" w:lineRule="exact"/>
      <w:ind w:left="720"/>
      <w:contextualSpacing/>
    </w:pPr>
    <w:rPr>
      <w:sz w:val="22"/>
      <w:lang w:eastAsia="en-US"/>
    </w:rPr>
  </w:style>
  <w:style w:type="character" w:customStyle="1" w:styleId="BodytextAgencyChar">
    <w:name w:val="Body text (Agency) Char"/>
    <w:link w:val="BodytextAgency"/>
    <w:locked/>
    <w:rsid w:val="008B5CAB"/>
    <w:rPr>
      <w:rFonts w:ascii="Verdana" w:eastAsia="Verdana" w:hAnsi="Verdana"/>
      <w:sz w:val="18"/>
      <w:szCs w:val="18"/>
      <w:lang w:val="en-GB" w:eastAsia="en-GB"/>
    </w:rPr>
  </w:style>
  <w:style w:type="paragraph" w:customStyle="1" w:styleId="BodytextAgency">
    <w:name w:val="Body text (Agency)"/>
    <w:basedOn w:val="Normal"/>
    <w:link w:val="BodytextAgencyChar"/>
    <w:rsid w:val="008B5CAB"/>
    <w:pPr>
      <w:spacing w:after="140" w:line="280" w:lineRule="atLeast"/>
    </w:pPr>
    <w:rPr>
      <w:rFonts w:ascii="Verdana" w:eastAsia="Verdana" w:hAnsi="Verdana"/>
      <w:sz w:val="18"/>
      <w:szCs w:val="18"/>
      <w:lang w:val="en-GB" w:eastAsia="en-GB"/>
    </w:rPr>
  </w:style>
  <w:style w:type="character" w:customStyle="1" w:styleId="NormalAgencyChar">
    <w:name w:val="Normal (Agency) Char"/>
    <w:link w:val="NormalAgency"/>
    <w:locked/>
    <w:rsid w:val="008B5CAB"/>
    <w:rPr>
      <w:rFonts w:ascii="Verdana" w:eastAsia="Verdana" w:hAnsi="Verdana" w:cs="Verdana"/>
      <w:sz w:val="18"/>
      <w:szCs w:val="18"/>
      <w:lang w:val="en-GB" w:eastAsia="en-GB"/>
    </w:rPr>
  </w:style>
  <w:style w:type="paragraph" w:customStyle="1" w:styleId="NormalAgency">
    <w:name w:val="Normal (Agency)"/>
    <w:link w:val="NormalAgencyChar"/>
    <w:rsid w:val="008B5CAB"/>
    <w:rPr>
      <w:rFonts w:ascii="Verdana" w:eastAsia="Verdana" w:hAnsi="Verdana" w:cs="Verdana"/>
      <w:sz w:val="18"/>
      <w:szCs w:val="18"/>
      <w:lang w:val="en-GB" w:eastAsia="en-GB"/>
    </w:rPr>
  </w:style>
  <w:style w:type="paragraph" w:customStyle="1" w:styleId="TabletextrowsAgency">
    <w:name w:val="Table text rows (Agency)"/>
    <w:basedOn w:val="Normal"/>
    <w:rsid w:val="008B5CAB"/>
    <w:pPr>
      <w:spacing w:line="280" w:lineRule="exact"/>
    </w:pPr>
    <w:rPr>
      <w:rFonts w:ascii="Verdana" w:hAnsi="Verdana" w:cs="Verdana"/>
      <w:sz w:val="18"/>
      <w:szCs w:val="18"/>
      <w:lang w:val="en-GB" w:eastAsia="zh-CN"/>
    </w:rPr>
  </w:style>
  <w:style w:type="character" w:customStyle="1" w:styleId="TextTi10Char">
    <w:name w:val="Text:Ti10 Char"/>
    <w:link w:val="TextTi10"/>
    <w:locked/>
    <w:rsid w:val="008B5CAB"/>
    <w:rPr>
      <w:noProof/>
      <w:sz w:val="22"/>
      <w:lang w:val="en-US" w:eastAsia="ja-JP"/>
    </w:rPr>
  </w:style>
  <w:style w:type="paragraph" w:customStyle="1" w:styleId="TextTi10">
    <w:name w:val="Text:Ti10"/>
    <w:basedOn w:val="Normal"/>
    <w:link w:val="TextTi10Char"/>
    <w:rsid w:val="008B5CAB"/>
    <w:rPr>
      <w:sz w:val="22"/>
      <w:lang w:val="en-US" w:eastAsia="ja-JP"/>
    </w:rPr>
  </w:style>
  <w:style w:type="paragraph" w:customStyle="1" w:styleId="TableCellCenter">
    <w:name w:val="Table Cell Center"/>
    <w:basedOn w:val="Normal"/>
    <w:rsid w:val="008B5CAB"/>
    <w:pPr>
      <w:keepNext/>
      <w:keepLines/>
      <w:spacing w:before="50" w:after="50" w:line="240" w:lineRule="exact"/>
      <w:jc w:val="center"/>
    </w:pPr>
    <w:rPr>
      <w:sz w:val="20"/>
      <w:szCs w:val="24"/>
      <w:lang w:val="en-GB" w:eastAsia="de-DE"/>
    </w:rPr>
  </w:style>
  <w:style w:type="paragraph" w:customStyle="1" w:styleId="TableCellLeft">
    <w:name w:val="Table Cell Left"/>
    <w:basedOn w:val="Normal"/>
    <w:rsid w:val="008B5CAB"/>
    <w:pPr>
      <w:keepNext/>
      <w:keepLines/>
      <w:spacing w:before="50" w:after="50" w:line="240" w:lineRule="exact"/>
    </w:pPr>
    <w:rPr>
      <w:sz w:val="20"/>
      <w:szCs w:val="24"/>
      <w:lang w:val="en-GB" w:eastAsia="de-DE"/>
    </w:rPr>
  </w:style>
  <w:style w:type="paragraph" w:customStyle="1" w:styleId="TableFooter">
    <w:name w:val="Table Footer"/>
    <w:basedOn w:val="Normal"/>
    <w:rsid w:val="008B5CAB"/>
    <w:pPr>
      <w:keepNext/>
      <w:keepLines/>
      <w:tabs>
        <w:tab w:val="right" w:pos="144"/>
      </w:tabs>
      <w:spacing w:before="60" w:line="240" w:lineRule="exact"/>
      <w:ind w:left="216" w:hanging="216"/>
    </w:pPr>
    <w:rPr>
      <w:sz w:val="20"/>
      <w:szCs w:val="24"/>
      <w:lang w:val="en-GB" w:eastAsia="de-DE"/>
    </w:rPr>
  </w:style>
  <w:style w:type="character" w:customStyle="1" w:styleId="Heading5Char">
    <w:name w:val="Heading 5 Char"/>
    <w:link w:val="Heading5"/>
    <w:rsid w:val="0051655A"/>
    <w:rPr>
      <w:b/>
      <w:sz w:val="24"/>
      <w:lang w:val="en-GB" w:eastAsia="en-US"/>
    </w:rPr>
  </w:style>
  <w:style w:type="character" w:customStyle="1" w:styleId="Heading8Char">
    <w:name w:val="Heading 8 Char"/>
    <w:link w:val="Heading8"/>
    <w:rsid w:val="0051655A"/>
    <w:rPr>
      <w:i/>
      <w:iCs/>
      <w:sz w:val="24"/>
      <w:szCs w:val="24"/>
      <w:lang w:val="en-US" w:eastAsia="en-US"/>
    </w:rPr>
  </w:style>
  <w:style w:type="character" w:customStyle="1" w:styleId="Heading9Char">
    <w:name w:val="Heading 9 Char"/>
    <w:link w:val="Heading9"/>
    <w:rsid w:val="0051655A"/>
    <w:rPr>
      <w:rFonts w:ascii="Arial" w:hAnsi="Arial" w:cs="Arial"/>
      <w:sz w:val="22"/>
      <w:szCs w:val="22"/>
      <w:lang w:val="en-AU" w:eastAsia="en-US"/>
    </w:rPr>
  </w:style>
  <w:style w:type="paragraph" w:styleId="Title">
    <w:name w:val="Title"/>
    <w:basedOn w:val="Normal"/>
    <w:link w:val="TitleChar"/>
    <w:qFormat/>
    <w:rsid w:val="0051655A"/>
    <w:pPr>
      <w:jc w:val="center"/>
    </w:pPr>
    <w:rPr>
      <w:b/>
      <w:szCs w:val="24"/>
      <w:lang w:val="en-US" w:eastAsia="en-US"/>
    </w:rPr>
  </w:style>
  <w:style w:type="character" w:customStyle="1" w:styleId="TitleChar">
    <w:name w:val="Title Char"/>
    <w:link w:val="Title"/>
    <w:rsid w:val="0051655A"/>
    <w:rPr>
      <w:b/>
      <w:sz w:val="24"/>
      <w:szCs w:val="24"/>
      <w:lang w:val="en-US" w:eastAsia="en-US"/>
    </w:rPr>
  </w:style>
  <w:style w:type="paragraph" w:styleId="EndnoteText">
    <w:name w:val="endnote text"/>
    <w:basedOn w:val="Normal"/>
    <w:link w:val="EndnoteTextChar"/>
    <w:rsid w:val="0051655A"/>
    <w:rPr>
      <w:rFonts w:ascii="TmsRmn 12pt" w:hAnsi="TmsRmn 12pt"/>
      <w:szCs w:val="24"/>
      <w:lang w:val="en-US" w:eastAsia="en-US"/>
    </w:rPr>
  </w:style>
  <w:style w:type="character" w:customStyle="1" w:styleId="EndnoteTextChar">
    <w:name w:val="Endnote Text Char"/>
    <w:link w:val="EndnoteText"/>
    <w:rsid w:val="0051655A"/>
    <w:rPr>
      <w:rFonts w:ascii="TmsRmn 12pt" w:hAnsi="TmsRmn 12pt"/>
      <w:sz w:val="24"/>
      <w:szCs w:val="24"/>
      <w:lang w:val="en-US" w:eastAsia="en-US"/>
    </w:rPr>
  </w:style>
  <w:style w:type="paragraph" w:styleId="BodyTextIndent2">
    <w:name w:val="Body Text Indent 2"/>
    <w:basedOn w:val="Normal"/>
    <w:link w:val="BodyTextIndent2Char"/>
    <w:rsid w:val="0051655A"/>
    <w:pPr>
      <w:ind w:left="1440"/>
    </w:pPr>
    <w:rPr>
      <w:i/>
      <w:szCs w:val="24"/>
      <w:lang w:val="en-US" w:eastAsia="en-US"/>
    </w:rPr>
  </w:style>
  <w:style w:type="character" w:customStyle="1" w:styleId="BodyTextIndent2Char">
    <w:name w:val="Body Text Indent 2 Char"/>
    <w:link w:val="BodyTextIndent2"/>
    <w:rsid w:val="0051655A"/>
    <w:rPr>
      <w:i/>
      <w:sz w:val="24"/>
      <w:szCs w:val="24"/>
      <w:lang w:val="en-US" w:eastAsia="en-US"/>
    </w:rPr>
  </w:style>
  <w:style w:type="paragraph" w:customStyle="1" w:styleId="TimesNewRoman">
    <w:name w:val="Times New Roman"/>
    <w:basedOn w:val="Normal"/>
    <w:rsid w:val="0051655A"/>
    <w:pPr>
      <w:jc w:val="both"/>
    </w:pPr>
    <w:rPr>
      <w:b/>
      <w:szCs w:val="24"/>
      <w:lang w:val="en-US" w:eastAsia="en-US"/>
    </w:rPr>
  </w:style>
  <w:style w:type="paragraph" w:styleId="BodyTextIndent3">
    <w:name w:val="Body Text Indent 3"/>
    <w:basedOn w:val="Normal"/>
    <w:link w:val="BodyTextIndent3Char"/>
    <w:rsid w:val="0051655A"/>
    <w:pPr>
      <w:spacing w:after="120"/>
      <w:ind w:left="360"/>
    </w:pPr>
    <w:rPr>
      <w:sz w:val="16"/>
      <w:szCs w:val="16"/>
      <w:lang w:val="en-US" w:eastAsia="en-US"/>
    </w:rPr>
  </w:style>
  <w:style w:type="character" w:customStyle="1" w:styleId="BodyTextIndent3Char">
    <w:name w:val="Body Text Indent 3 Char"/>
    <w:link w:val="BodyTextIndent3"/>
    <w:rsid w:val="0051655A"/>
    <w:rPr>
      <w:sz w:val="16"/>
      <w:szCs w:val="16"/>
      <w:lang w:val="en-US" w:eastAsia="en-US"/>
    </w:rPr>
  </w:style>
  <w:style w:type="paragraph" w:styleId="BodyTextIndent">
    <w:name w:val="Body Text Indent"/>
    <w:basedOn w:val="Normal"/>
    <w:link w:val="BodyTextIndentChar"/>
    <w:rsid w:val="0051655A"/>
    <w:pPr>
      <w:spacing w:after="120"/>
      <w:ind w:left="360"/>
    </w:pPr>
    <w:rPr>
      <w:sz w:val="20"/>
      <w:lang w:val="en-US" w:eastAsia="en-US"/>
    </w:rPr>
  </w:style>
  <w:style w:type="character" w:customStyle="1" w:styleId="BodyTextIndentChar">
    <w:name w:val="Body Text Indent Char"/>
    <w:link w:val="BodyTextIndent"/>
    <w:rsid w:val="0051655A"/>
    <w:rPr>
      <w:lang w:val="en-US" w:eastAsia="en-US"/>
    </w:rPr>
  </w:style>
  <w:style w:type="character" w:styleId="Strong">
    <w:name w:val="Strong"/>
    <w:qFormat/>
    <w:rsid w:val="0051655A"/>
    <w:rPr>
      <w:b/>
      <w:bCs w:val="0"/>
    </w:rPr>
  </w:style>
  <w:style w:type="paragraph" w:styleId="NoSpacing">
    <w:name w:val="No Spacing"/>
    <w:uiPriority w:val="1"/>
    <w:qFormat/>
    <w:rsid w:val="0051655A"/>
    <w:rPr>
      <w:rFonts w:ascii="Arial" w:hAnsi="Arial"/>
      <w:sz w:val="22"/>
      <w:szCs w:val="22"/>
    </w:rPr>
  </w:style>
  <w:style w:type="character" w:styleId="Emphasis">
    <w:name w:val="Emphasis"/>
    <w:qFormat/>
    <w:rsid w:val="0051655A"/>
    <w:rPr>
      <w:b/>
      <w:bCs/>
      <w:i w:val="0"/>
      <w:iCs w:val="0"/>
    </w:rPr>
  </w:style>
  <w:style w:type="paragraph" w:customStyle="1" w:styleId="IntoksikacijesaovimpreparatomsuupreporueenomdoziranjunemogueeSobzromda">
    <w:name w:val="Intoksikacije sa ovim preparatom su u preporueenom doziranju nemoguee. S obzromda"/>
    <w:basedOn w:val="Normal"/>
    <w:rsid w:val="0051655A"/>
    <w:rPr>
      <w:rFonts w:ascii="Arial" w:eastAsia="Univers Condensed" w:hAnsi="Arial"/>
      <w:lang w:val="en-GB" w:eastAsia="en-US"/>
    </w:rPr>
  </w:style>
  <w:style w:type="paragraph" w:styleId="ListNumber">
    <w:name w:val="List Number"/>
    <w:basedOn w:val="Normal"/>
    <w:rsid w:val="0051655A"/>
    <w:pPr>
      <w:tabs>
        <w:tab w:val="num" w:pos="360"/>
      </w:tabs>
      <w:ind w:left="360" w:hanging="360"/>
    </w:pPr>
    <w:rPr>
      <w:rFonts w:ascii="Arial" w:hAnsi="Arial"/>
      <w:lang w:val="en-AU" w:eastAsia="en-US"/>
    </w:rPr>
  </w:style>
  <w:style w:type="paragraph" w:styleId="Subtitle">
    <w:name w:val="Subtitle"/>
    <w:basedOn w:val="Normal"/>
    <w:link w:val="SubtitleChar"/>
    <w:qFormat/>
    <w:rsid w:val="0051655A"/>
    <w:pPr>
      <w:jc w:val="center"/>
    </w:pPr>
    <w:rPr>
      <w:b/>
      <w:bCs/>
      <w:szCs w:val="24"/>
      <w:lang w:val="hr-HR" w:eastAsia="en-US"/>
    </w:rPr>
  </w:style>
  <w:style w:type="character" w:customStyle="1" w:styleId="SubtitleChar">
    <w:name w:val="Subtitle Char"/>
    <w:link w:val="Subtitle"/>
    <w:rsid w:val="0051655A"/>
    <w:rPr>
      <w:b/>
      <w:bCs/>
      <w:sz w:val="24"/>
      <w:szCs w:val="24"/>
      <w:lang w:val="hr-HR" w:eastAsia="en-US"/>
    </w:rPr>
  </w:style>
  <w:style w:type="character" w:customStyle="1" w:styleId="CharChar4">
    <w:name w:val="Char Char4"/>
    <w:rsid w:val="0051655A"/>
    <w:rPr>
      <w:rFonts w:ascii="Humanist777" w:hAnsi="Humanist777"/>
      <w:sz w:val="24"/>
      <w:szCs w:val="24"/>
    </w:rPr>
  </w:style>
  <w:style w:type="paragraph" w:customStyle="1" w:styleId="lstpara1">
    <w:name w:val="lst_para1"/>
    <w:basedOn w:val="Normal"/>
    <w:rsid w:val="0051655A"/>
    <w:pPr>
      <w:spacing w:after="240" w:line="312" w:lineRule="atLeast"/>
      <w:ind w:left="360"/>
    </w:pPr>
    <w:rPr>
      <w:rFonts w:ascii="Times" w:hAnsi="Times"/>
      <w:lang w:val="en-GB" w:eastAsia="en-GB"/>
    </w:rPr>
  </w:style>
  <w:style w:type="character" w:customStyle="1" w:styleId="CharCharChar1">
    <w:name w:val="Char Char Char1"/>
    <w:aliases w:val=" Char Char Char1, Char Char Char Char Char, Char Char1 Char Char,Header Char Char1, Char Char1 Char Char Char"/>
    <w:rsid w:val="0051655A"/>
    <w:rPr>
      <w:rFonts w:ascii="Humanist777" w:hAnsi="Humanist777"/>
      <w:sz w:val="24"/>
      <w:szCs w:val="24"/>
      <w:lang w:val="en-US" w:eastAsia="en-US" w:bidi="ar-SA"/>
    </w:rPr>
  </w:style>
  <w:style w:type="paragraph" w:styleId="CommentText">
    <w:name w:val="annotation text"/>
    <w:basedOn w:val="Normal"/>
    <w:link w:val="CommentTextChar"/>
    <w:rsid w:val="0051655A"/>
    <w:pPr>
      <w:tabs>
        <w:tab w:val="left" w:pos="284"/>
      </w:tabs>
      <w:jc w:val="both"/>
    </w:pPr>
    <w:rPr>
      <w:rFonts w:ascii="Humanist777" w:hAnsi="Humanist777"/>
      <w:sz w:val="20"/>
      <w:lang w:val="en-US" w:eastAsia="en-US"/>
    </w:rPr>
  </w:style>
  <w:style w:type="character" w:customStyle="1" w:styleId="CommentTextChar">
    <w:name w:val="Comment Text Char"/>
    <w:link w:val="CommentText"/>
    <w:rsid w:val="0051655A"/>
    <w:rPr>
      <w:rFonts w:ascii="Humanist777" w:hAnsi="Humanist777"/>
      <w:lang w:val="en-US" w:eastAsia="en-US"/>
    </w:rPr>
  </w:style>
  <w:style w:type="paragraph" w:customStyle="1" w:styleId="MSD">
    <w:name w:val="MSD"/>
    <w:basedOn w:val="Normal"/>
    <w:rsid w:val="0051655A"/>
    <w:pPr>
      <w:widowControl w:val="0"/>
      <w:spacing w:after="10"/>
      <w:ind w:left="6067"/>
    </w:pPr>
    <w:rPr>
      <w:rFonts w:ascii="Arial" w:hAnsi="Arial" w:cs="Angsana New"/>
      <w:sz w:val="16"/>
      <w:szCs w:val="16"/>
      <w:lang w:val="en-GB" w:eastAsia="sr-Latn-C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334359">
      <w:bodyDiv w:val="1"/>
      <w:marLeft w:val="0"/>
      <w:marRight w:val="0"/>
      <w:marTop w:val="0"/>
      <w:marBottom w:val="0"/>
      <w:divBdr>
        <w:top w:val="none" w:sz="0" w:space="0" w:color="auto"/>
        <w:left w:val="none" w:sz="0" w:space="0" w:color="auto"/>
        <w:bottom w:val="none" w:sz="0" w:space="0" w:color="auto"/>
        <w:right w:val="none" w:sz="0" w:space="0" w:color="auto"/>
      </w:divBdr>
    </w:div>
    <w:div w:id="1602179361">
      <w:bodyDiv w:val="1"/>
      <w:marLeft w:val="0"/>
      <w:marRight w:val="0"/>
      <w:marTop w:val="0"/>
      <w:marBottom w:val="0"/>
      <w:divBdr>
        <w:top w:val="none" w:sz="0" w:space="0" w:color="auto"/>
        <w:left w:val="none" w:sz="0" w:space="0" w:color="auto"/>
        <w:bottom w:val="none" w:sz="0" w:space="0" w:color="auto"/>
        <w:right w:val="none" w:sz="0" w:space="0" w:color="auto"/>
      </w:divBdr>
    </w:div>
    <w:div w:id="1665547533">
      <w:bodyDiv w:val="1"/>
      <w:marLeft w:val="0"/>
      <w:marRight w:val="0"/>
      <w:marTop w:val="0"/>
      <w:marBottom w:val="0"/>
      <w:divBdr>
        <w:top w:val="none" w:sz="0" w:space="0" w:color="auto"/>
        <w:left w:val="none" w:sz="0" w:space="0" w:color="auto"/>
        <w:bottom w:val="none" w:sz="0" w:space="0" w:color="auto"/>
        <w:right w:val="none" w:sz="0" w:space="0" w:color="auto"/>
      </w:divBdr>
    </w:div>
    <w:div w:id="1767774217">
      <w:bodyDiv w:val="1"/>
      <w:marLeft w:val="0"/>
      <w:marRight w:val="0"/>
      <w:marTop w:val="0"/>
      <w:marBottom w:val="0"/>
      <w:divBdr>
        <w:top w:val="none" w:sz="0" w:space="0" w:color="auto"/>
        <w:left w:val="none" w:sz="0" w:space="0" w:color="auto"/>
        <w:bottom w:val="none" w:sz="0" w:space="0" w:color="auto"/>
        <w:right w:val="none" w:sz="0" w:space="0" w:color="auto"/>
      </w:divBdr>
    </w:div>
    <w:div w:id="20670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12885</Words>
  <Characters>73451</Characters>
  <Application>Microsoft Office Word</Application>
  <DocSecurity>0</DocSecurity>
  <Lines>612</Lines>
  <Paragraphs>172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86164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Miloš Krivokapić</cp:lastModifiedBy>
  <cp:revision>2</cp:revision>
  <dcterms:created xsi:type="dcterms:W3CDTF">2017-05-29T06:42:00Z</dcterms:created>
  <dcterms:modified xsi:type="dcterms:W3CDTF">2017-05-29T06:42:00Z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Capecitabine</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13.03.2013</vt:lpwstr>
  </property>
  <property fmtid="{D5CDD505-2E9C-101B-9397-08002B2CF9AE}" pid="7" name="mp_updated_effective_date">
    <vt:lpwstr>24.05.2016</vt:lpwstr>
  </property>
  <property fmtid="{D5CDD505-2E9C-101B-9397-08002B2CF9AE}" pid="8" name="object_name">
    <vt:lpwstr>SmPCPIL037624_3</vt:lpwstr>
  </property>
  <property fmtid="{D5CDD505-2E9C-101B-9397-08002B2CF9AE}" pid="9" name="ph_strength_custom">
    <vt:lpwstr>150, 300, 500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ME</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