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5BD" w:rsidRPr="004C25BD" w:rsidRDefault="004C25BD" w:rsidP="004C25BD">
      <w:pPr>
        <w:pStyle w:val="Header"/>
        <w:ind w:right="-483"/>
        <w:jc w:val="right"/>
        <w:rPr>
          <w:sz w:val="22"/>
          <w:szCs w:val="22"/>
          <w:lang w:val="hr-HR"/>
        </w:rPr>
      </w:pPr>
    </w:p>
    <w:p w:rsidR="004C25BD" w:rsidRPr="004C25BD" w:rsidRDefault="004C25BD" w:rsidP="004C25BD">
      <w:pPr>
        <w:pStyle w:val="Header"/>
        <w:ind w:right="-483"/>
        <w:jc w:val="center"/>
        <w:rPr>
          <w:b/>
          <w:bCs/>
          <w:iCs/>
          <w:sz w:val="22"/>
          <w:szCs w:val="22"/>
          <w:u w:val="single"/>
        </w:rPr>
      </w:pPr>
    </w:p>
    <w:p w:rsidR="004C25BD" w:rsidRPr="004C25BD" w:rsidRDefault="004C25BD" w:rsidP="004C25BD">
      <w:pPr>
        <w:pStyle w:val="Header"/>
        <w:ind w:right="-483"/>
        <w:jc w:val="center"/>
        <w:rPr>
          <w:b/>
          <w:bCs/>
          <w:iCs/>
          <w:sz w:val="22"/>
          <w:szCs w:val="22"/>
          <w:u w:val="single"/>
        </w:rPr>
      </w:pPr>
    </w:p>
    <w:p w:rsidR="004C25BD" w:rsidRPr="004C25BD" w:rsidRDefault="004C25BD" w:rsidP="004C25BD">
      <w:pPr>
        <w:pStyle w:val="Header"/>
        <w:ind w:right="-483"/>
        <w:jc w:val="center"/>
        <w:rPr>
          <w:b/>
          <w:bCs/>
          <w:iCs/>
          <w:sz w:val="22"/>
          <w:szCs w:val="22"/>
          <w:u w:val="single"/>
        </w:rPr>
      </w:pPr>
    </w:p>
    <w:p w:rsidR="004C25BD" w:rsidRPr="004C25BD" w:rsidRDefault="004C25BD" w:rsidP="004C25BD">
      <w:pPr>
        <w:pStyle w:val="Header"/>
        <w:ind w:right="-483"/>
        <w:jc w:val="center"/>
        <w:rPr>
          <w:b/>
          <w:bCs/>
          <w:iCs/>
          <w:sz w:val="22"/>
          <w:szCs w:val="22"/>
          <w:u w:val="single"/>
        </w:rPr>
      </w:pPr>
    </w:p>
    <w:p w:rsidR="004C25BD" w:rsidRPr="004C25BD" w:rsidRDefault="004C25BD" w:rsidP="004C25BD">
      <w:pPr>
        <w:pStyle w:val="Header"/>
        <w:ind w:right="-483"/>
        <w:jc w:val="center"/>
        <w:rPr>
          <w:b/>
          <w:bCs/>
          <w:iCs/>
          <w:sz w:val="22"/>
          <w:szCs w:val="22"/>
          <w:u w:val="single"/>
        </w:rPr>
      </w:pPr>
    </w:p>
    <w:p w:rsidR="004C25BD" w:rsidRPr="004C25BD" w:rsidRDefault="004C25BD" w:rsidP="004C25BD">
      <w:pPr>
        <w:pStyle w:val="Header"/>
        <w:ind w:right="-483"/>
        <w:jc w:val="center"/>
        <w:rPr>
          <w:b/>
          <w:bCs/>
          <w:iCs/>
          <w:sz w:val="22"/>
          <w:szCs w:val="22"/>
          <w:u w:val="single"/>
        </w:rPr>
      </w:pPr>
    </w:p>
    <w:p w:rsidR="004C25BD" w:rsidRPr="004C25BD" w:rsidRDefault="004C25BD" w:rsidP="004C25BD">
      <w:pPr>
        <w:pStyle w:val="Header"/>
        <w:ind w:right="-483"/>
        <w:jc w:val="center"/>
        <w:rPr>
          <w:b/>
          <w:bCs/>
          <w:iCs/>
          <w:sz w:val="22"/>
          <w:szCs w:val="22"/>
          <w:u w:val="single"/>
        </w:rPr>
      </w:pPr>
    </w:p>
    <w:p w:rsidR="004C25BD" w:rsidRPr="004C25BD" w:rsidRDefault="004C25BD" w:rsidP="004C25BD">
      <w:pPr>
        <w:pStyle w:val="Header"/>
        <w:ind w:right="-483"/>
        <w:jc w:val="center"/>
        <w:rPr>
          <w:sz w:val="22"/>
          <w:szCs w:val="22"/>
          <w:lang w:val="hr-HR"/>
        </w:rPr>
      </w:pPr>
      <w:r w:rsidRPr="004C25BD">
        <w:rPr>
          <w:b/>
          <w:bCs/>
          <w:iCs/>
          <w:sz w:val="22"/>
          <w:szCs w:val="22"/>
          <w:u w:val="single"/>
        </w:rPr>
        <w:t>SAŽETAK KARAKTERISTIKA LIJEKA</w:t>
      </w:r>
    </w:p>
    <w:p w:rsidR="004C25BD" w:rsidRPr="004C25BD" w:rsidRDefault="004C25BD" w:rsidP="004C25BD">
      <w:pPr>
        <w:pStyle w:val="Header"/>
        <w:ind w:right="-483"/>
        <w:jc w:val="right"/>
        <w:rPr>
          <w:sz w:val="22"/>
          <w:szCs w:val="22"/>
          <w:lang w:val="hr-HR"/>
        </w:rPr>
      </w:pPr>
    </w:p>
    <w:p w:rsidR="004C25BD" w:rsidRPr="004C25BD" w:rsidRDefault="004C25BD" w:rsidP="004C25BD">
      <w:pPr>
        <w:pStyle w:val="Header"/>
        <w:ind w:right="-483"/>
        <w:jc w:val="right"/>
        <w:rPr>
          <w:sz w:val="22"/>
          <w:szCs w:val="22"/>
          <w:lang w:val="hr-HR"/>
        </w:rPr>
      </w:pPr>
    </w:p>
    <w:p w:rsidR="004C25BD" w:rsidRPr="004C25BD" w:rsidRDefault="004C25BD" w:rsidP="004C25BD">
      <w:pPr>
        <w:pStyle w:val="Header"/>
        <w:ind w:right="-483"/>
        <w:jc w:val="right"/>
        <w:rPr>
          <w:sz w:val="22"/>
          <w:szCs w:val="22"/>
          <w:lang w:val="hr-HR"/>
        </w:rPr>
      </w:pPr>
    </w:p>
    <w:p w:rsidR="004C25BD" w:rsidRPr="004C25BD" w:rsidRDefault="004C25BD" w:rsidP="004C25BD">
      <w:pPr>
        <w:pStyle w:val="Header"/>
        <w:ind w:right="-483"/>
        <w:jc w:val="right"/>
        <w:rPr>
          <w:sz w:val="22"/>
          <w:szCs w:val="22"/>
          <w:lang w:val="hr-HR"/>
        </w:rPr>
      </w:pPr>
    </w:p>
    <w:p w:rsidR="004C25BD" w:rsidRPr="004C25BD" w:rsidRDefault="004C25BD" w:rsidP="004C25BD">
      <w:pPr>
        <w:pStyle w:val="Header"/>
        <w:ind w:right="-483"/>
        <w:jc w:val="right"/>
        <w:rPr>
          <w:sz w:val="22"/>
          <w:szCs w:val="22"/>
          <w:lang w:val="hr-HR"/>
        </w:rPr>
      </w:pPr>
    </w:p>
    <w:p w:rsidR="004C25BD" w:rsidRPr="004C25BD" w:rsidRDefault="004C25BD" w:rsidP="004C25BD">
      <w:pPr>
        <w:jc w:val="both"/>
        <w:rPr>
          <w:b/>
          <w:bCs/>
          <w:sz w:val="22"/>
          <w:szCs w:val="22"/>
          <w:lang w:eastAsia="hr-HR"/>
        </w:rPr>
      </w:pPr>
    </w:p>
    <w:p w:rsidR="004C25BD" w:rsidRPr="004C25BD" w:rsidRDefault="004C25BD" w:rsidP="004C25BD">
      <w:pPr>
        <w:pStyle w:val="Header"/>
        <w:tabs>
          <w:tab w:val="left" w:pos="404"/>
        </w:tabs>
        <w:ind w:right="-483"/>
        <w:rPr>
          <w:sz w:val="22"/>
          <w:szCs w:val="22"/>
          <w:lang w:val="hr-HR"/>
        </w:rPr>
      </w:pPr>
      <w:r w:rsidRPr="004C25BD">
        <w:rPr>
          <w:sz w:val="22"/>
          <w:szCs w:val="22"/>
          <w:lang w:val="hr-HR"/>
        </w:rPr>
        <w:tab/>
      </w:r>
      <w:r w:rsidRPr="004C25BD">
        <w:rPr>
          <w:sz w:val="22"/>
          <w:szCs w:val="22"/>
          <w:lang w:val="hr-HR"/>
        </w:rPr>
        <w:tab/>
      </w:r>
    </w:p>
    <w:tbl>
      <w:tblPr>
        <w:tblW w:w="9360" w:type="dxa"/>
        <w:jc w:val="center"/>
        <w:tblLayout w:type="fixed"/>
        <w:tblLook w:val="04A0" w:firstRow="1" w:lastRow="0" w:firstColumn="1" w:lastColumn="0" w:noHBand="0" w:noVBand="1"/>
      </w:tblPr>
      <w:tblGrid>
        <w:gridCol w:w="2160"/>
        <w:gridCol w:w="7200"/>
      </w:tblGrid>
      <w:tr w:rsidR="004C25BD" w:rsidRPr="004C25BD" w:rsidTr="00AC3D92">
        <w:trPr>
          <w:trHeight w:val="1225"/>
          <w:jc w:val="center"/>
        </w:trPr>
        <w:tc>
          <w:tcPr>
            <w:tcW w:w="9360" w:type="dxa"/>
            <w:gridSpan w:val="2"/>
          </w:tcPr>
          <w:p w:rsidR="004C25BD" w:rsidRPr="004C25BD" w:rsidRDefault="004C25BD" w:rsidP="00AC3D92">
            <w:pPr>
              <w:keepNext/>
              <w:tabs>
                <w:tab w:val="left" w:pos="284"/>
              </w:tabs>
              <w:jc w:val="center"/>
              <w:outlineLvl w:val="1"/>
              <w:rPr>
                <w:bCs/>
                <w:iCs/>
                <w:sz w:val="22"/>
                <w:szCs w:val="22"/>
              </w:rPr>
            </w:pPr>
            <w:r w:rsidRPr="004C25BD">
              <w:rPr>
                <w:b/>
                <w:bCs/>
                <w:iCs/>
                <w:sz w:val="22"/>
                <w:szCs w:val="22"/>
              </w:rPr>
              <w:t>Tolura</w:t>
            </w:r>
            <w:r w:rsidRPr="004C25BD">
              <w:rPr>
                <w:b/>
                <w:bCs/>
                <w:iCs/>
                <w:sz w:val="22"/>
                <w:szCs w:val="22"/>
                <w:vertAlign w:val="superscript"/>
              </w:rPr>
              <w:t>®</w:t>
            </w:r>
            <w:r w:rsidRPr="004C25BD">
              <w:rPr>
                <w:iCs/>
                <w:sz w:val="22"/>
                <w:szCs w:val="22"/>
              </w:rPr>
              <w:t xml:space="preserve">, </w:t>
            </w:r>
            <w:r w:rsidRPr="004C25BD">
              <w:rPr>
                <w:bCs/>
                <w:iCs/>
                <w:sz w:val="22"/>
                <w:szCs w:val="22"/>
              </w:rPr>
              <w:t>tableta, 20</w:t>
            </w:r>
            <w:r w:rsidR="002578F0">
              <w:rPr>
                <w:bCs/>
                <w:iCs/>
                <w:sz w:val="22"/>
                <w:szCs w:val="22"/>
              </w:rPr>
              <w:t xml:space="preserve"> </w:t>
            </w:r>
            <w:r w:rsidRPr="004C25BD">
              <w:rPr>
                <w:bCs/>
                <w:iCs/>
                <w:sz w:val="22"/>
                <w:szCs w:val="22"/>
              </w:rPr>
              <w:t xml:space="preserve">mg, </w:t>
            </w:r>
          </w:p>
          <w:p w:rsidR="004C25BD" w:rsidRPr="004C25BD" w:rsidRDefault="004C25BD" w:rsidP="00AC3D92">
            <w:pPr>
              <w:keepNext/>
              <w:tabs>
                <w:tab w:val="left" w:pos="284"/>
              </w:tabs>
              <w:jc w:val="center"/>
              <w:outlineLvl w:val="1"/>
              <w:rPr>
                <w:i/>
                <w:iCs/>
                <w:sz w:val="22"/>
                <w:szCs w:val="22"/>
              </w:rPr>
            </w:pPr>
            <w:r w:rsidRPr="004C25BD">
              <w:rPr>
                <w:bCs/>
                <w:iCs/>
                <w:sz w:val="22"/>
                <w:szCs w:val="22"/>
              </w:rPr>
              <w:t>blister, 4x7 tableta</w:t>
            </w:r>
          </w:p>
          <w:p w:rsidR="004C25BD" w:rsidRPr="004C25BD" w:rsidRDefault="004C25BD" w:rsidP="00AC3D92">
            <w:pPr>
              <w:keepNext/>
              <w:tabs>
                <w:tab w:val="left" w:pos="284"/>
              </w:tabs>
              <w:jc w:val="center"/>
              <w:outlineLvl w:val="1"/>
              <w:rPr>
                <w:bCs/>
                <w:iCs/>
                <w:sz w:val="22"/>
                <w:szCs w:val="22"/>
              </w:rPr>
            </w:pPr>
            <w:r w:rsidRPr="004C25BD">
              <w:rPr>
                <w:b/>
                <w:bCs/>
                <w:iCs/>
                <w:sz w:val="22"/>
                <w:szCs w:val="22"/>
              </w:rPr>
              <w:t>Tolura</w:t>
            </w:r>
            <w:r w:rsidRPr="004C25BD">
              <w:rPr>
                <w:b/>
                <w:bCs/>
                <w:iCs/>
                <w:sz w:val="22"/>
                <w:szCs w:val="22"/>
                <w:vertAlign w:val="superscript"/>
              </w:rPr>
              <w:t>®</w:t>
            </w:r>
            <w:r w:rsidRPr="004C25BD">
              <w:rPr>
                <w:iCs/>
                <w:sz w:val="22"/>
                <w:szCs w:val="22"/>
              </w:rPr>
              <w:t xml:space="preserve">, </w:t>
            </w:r>
            <w:r w:rsidRPr="004C25BD">
              <w:rPr>
                <w:bCs/>
                <w:iCs/>
                <w:sz w:val="22"/>
                <w:szCs w:val="22"/>
              </w:rPr>
              <w:t>tableta, 40</w:t>
            </w:r>
            <w:r w:rsidR="002578F0">
              <w:rPr>
                <w:bCs/>
                <w:iCs/>
                <w:sz w:val="22"/>
                <w:szCs w:val="22"/>
              </w:rPr>
              <w:t xml:space="preserve"> </w:t>
            </w:r>
            <w:r w:rsidRPr="004C25BD">
              <w:rPr>
                <w:bCs/>
                <w:iCs/>
                <w:sz w:val="22"/>
                <w:szCs w:val="22"/>
              </w:rPr>
              <w:t xml:space="preserve">mg, </w:t>
            </w:r>
          </w:p>
          <w:p w:rsidR="004C25BD" w:rsidRPr="004C25BD" w:rsidRDefault="004C25BD" w:rsidP="00AC3D92">
            <w:pPr>
              <w:keepNext/>
              <w:tabs>
                <w:tab w:val="left" w:pos="284"/>
              </w:tabs>
              <w:jc w:val="center"/>
              <w:outlineLvl w:val="1"/>
              <w:rPr>
                <w:i/>
                <w:iCs/>
                <w:sz w:val="22"/>
                <w:szCs w:val="22"/>
              </w:rPr>
            </w:pPr>
            <w:r w:rsidRPr="004C25BD">
              <w:rPr>
                <w:bCs/>
                <w:iCs/>
                <w:sz w:val="22"/>
                <w:szCs w:val="22"/>
              </w:rPr>
              <w:t>blister, 4x7 tableta</w:t>
            </w:r>
          </w:p>
          <w:p w:rsidR="004C25BD" w:rsidRPr="004C25BD" w:rsidRDefault="004C25BD" w:rsidP="00AC3D92">
            <w:pPr>
              <w:keepNext/>
              <w:tabs>
                <w:tab w:val="left" w:pos="284"/>
              </w:tabs>
              <w:jc w:val="center"/>
              <w:outlineLvl w:val="1"/>
              <w:rPr>
                <w:bCs/>
                <w:iCs/>
                <w:sz w:val="22"/>
                <w:szCs w:val="22"/>
              </w:rPr>
            </w:pPr>
            <w:r w:rsidRPr="004C25BD">
              <w:rPr>
                <w:b/>
                <w:bCs/>
                <w:iCs/>
                <w:sz w:val="22"/>
                <w:szCs w:val="22"/>
              </w:rPr>
              <w:t>Tolura</w:t>
            </w:r>
            <w:r w:rsidRPr="004C25BD">
              <w:rPr>
                <w:b/>
                <w:bCs/>
                <w:iCs/>
                <w:sz w:val="22"/>
                <w:szCs w:val="22"/>
                <w:vertAlign w:val="superscript"/>
              </w:rPr>
              <w:t>®</w:t>
            </w:r>
            <w:r w:rsidRPr="004C25BD">
              <w:rPr>
                <w:iCs/>
                <w:sz w:val="22"/>
                <w:szCs w:val="22"/>
              </w:rPr>
              <w:t xml:space="preserve">, </w:t>
            </w:r>
            <w:r w:rsidRPr="004C25BD">
              <w:rPr>
                <w:bCs/>
                <w:iCs/>
                <w:sz w:val="22"/>
                <w:szCs w:val="22"/>
              </w:rPr>
              <w:t>tableta, 80</w:t>
            </w:r>
            <w:r w:rsidR="002578F0">
              <w:rPr>
                <w:bCs/>
                <w:iCs/>
                <w:sz w:val="22"/>
                <w:szCs w:val="22"/>
              </w:rPr>
              <w:t xml:space="preserve"> </w:t>
            </w:r>
            <w:r w:rsidRPr="004C25BD">
              <w:rPr>
                <w:bCs/>
                <w:iCs/>
                <w:sz w:val="22"/>
                <w:szCs w:val="22"/>
              </w:rPr>
              <w:t xml:space="preserve">mg, </w:t>
            </w:r>
          </w:p>
          <w:p w:rsidR="004C25BD" w:rsidRPr="004C25BD" w:rsidRDefault="004C25BD" w:rsidP="00AC3D92">
            <w:pPr>
              <w:keepNext/>
              <w:tabs>
                <w:tab w:val="left" w:pos="284"/>
              </w:tabs>
              <w:jc w:val="center"/>
              <w:outlineLvl w:val="1"/>
              <w:rPr>
                <w:i/>
                <w:iCs/>
                <w:sz w:val="22"/>
                <w:szCs w:val="22"/>
              </w:rPr>
            </w:pPr>
            <w:r w:rsidRPr="004C25BD">
              <w:rPr>
                <w:bCs/>
                <w:iCs/>
                <w:sz w:val="22"/>
                <w:szCs w:val="22"/>
              </w:rPr>
              <w:t>blister, 4x7 tableta</w:t>
            </w:r>
          </w:p>
          <w:p w:rsidR="004C25BD" w:rsidRPr="004C25BD" w:rsidRDefault="004C25BD" w:rsidP="00AC3D92">
            <w:pPr>
              <w:keepNext/>
              <w:tabs>
                <w:tab w:val="left" w:pos="284"/>
              </w:tabs>
              <w:jc w:val="center"/>
              <w:outlineLvl w:val="1"/>
              <w:rPr>
                <w:b/>
                <w:iCs/>
                <w:sz w:val="22"/>
                <w:szCs w:val="22"/>
              </w:rPr>
            </w:pPr>
          </w:p>
          <w:p w:rsidR="004C25BD" w:rsidRPr="004C25BD" w:rsidRDefault="004C25BD" w:rsidP="00AC3D92">
            <w:pPr>
              <w:keepNext/>
              <w:tabs>
                <w:tab w:val="left" w:pos="284"/>
              </w:tabs>
              <w:jc w:val="center"/>
              <w:outlineLvl w:val="1"/>
              <w:rPr>
                <w:b/>
                <w:iCs/>
                <w:sz w:val="22"/>
                <w:szCs w:val="22"/>
              </w:rPr>
            </w:pPr>
          </w:p>
        </w:tc>
      </w:tr>
      <w:tr w:rsidR="004C25BD" w:rsidRPr="004C25BD" w:rsidTr="00AC3D92">
        <w:trPr>
          <w:jc w:val="center"/>
        </w:trPr>
        <w:tc>
          <w:tcPr>
            <w:tcW w:w="2160" w:type="dxa"/>
            <w:vAlign w:val="bottom"/>
            <w:hideMark/>
          </w:tcPr>
          <w:p w:rsidR="004C25BD" w:rsidRPr="004C25BD" w:rsidRDefault="004C25BD" w:rsidP="00AC3D92">
            <w:pPr>
              <w:spacing w:before="200"/>
              <w:jc w:val="right"/>
              <w:rPr>
                <w:sz w:val="22"/>
                <w:szCs w:val="22"/>
              </w:rPr>
            </w:pPr>
            <w:r w:rsidRPr="004C25BD">
              <w:rPr>
                <w:b/>
                <w:sz w:val="22"/>
                <w:szCs w:val="22"/>
              </w:rPr>
              <w:t>Proizvođač:</w:t>
            </w:r>
          </w:p>
        </w:tc>
        <w:tc>
          <w:tcPr>
            <w:tcW w:w="7200" w:type="dxa"/>
            <w:hideMark/>
          </w:tcPr>
          <w:p w:rsidR="004C25BD" w:rsidRPr="004C25BD" w:rsidRDefault="008635C9" w:rsidP="00AC3D92">
            <w:pPr>
              <w:spacing w:before="200"/>
              <w:ind w:left="72" w:hanging="72"/>
              <w:rPr>
                <w:color w:val="000000"/>
                <w:sz w:val="22"/>
                <w:szCs w:val="22"/>
              </w:rPr>
            </w:pPr>
            <w:r>
              <w:rPr>
                <w:bCs/>
                <w:color w:val="000000"/>
                <w:sz w:val="22"/>
                <w:szCs w:val="22"/>
              </w:rPr>
              <w:t>Krka</w:t>
            </w:r>
            <w:r w:rsidR="004C25BD" w:rsidRPr="004C25BD">
              <w:rPr>
                <w:bCs/>
                <w:color w:val="000000"/>
                <w:sz w:val="22"/>
                <w:szCs w:val="22"/>
              </w:rPr>
              <w:t xml:space="preserve"> d.d., Novo mesto</w:t>
            </w:r>
          </w:p>
          <w:p w:rsidR="004C25BD" w:rsidRPr="004C25BD" w:rsidRDefault="004C25BD" w:rsidP="00AC3D92">
            <w:pPr>
              <w:spacing w:before="200"/>
              <w:ind w:left="72" w:hanging="72"/>
              <w:rPr>
                <w:b/>
                <w:bCs/>
                <w:sz w:val="22"/>
                <w:szCs w:val="22"/>
              </w:rPr>
            </w:pPr>
            <w:r w:rsidRPr="004C25BD">
              <w:rPr>
                <w:sz w:val="22"/>
                <w:szCs w:val="22"/>
              </w:rPr>
              <w:t>Krka Polska Sp. z o.o.</w:t>
            </w:r>
          </w:p>
        </w:tc>
      </w:tr>
      <w:tr w:rsidR="004C25BD" w:rsidRPr="004C25BD" w:rsidTr="00AC3D92">
        <w:trPr>
          <w:jc w:val="center"/>
        </w:trPr>
        <w:tc>
          <w:tcPr>
            <w:tcW w:w="2160" w:type="dxa"/>
            <w:hideMark/>
          </w:tcPr>
          <w:p w:rsidR="004C25BD" w:rsidRPr="004C25BD" w:rsidRDefault="004C25BD" w:rsidP="00AC3D92">
            <w:pPr>
              <w:spacing w:before="200"/>
              <w:jc w:val="right"/>
              <w:rPr>
                <w:sz w:val="22"/>
                <w:szCs w:val="22"/>
              </w:rPr>
            </w:pPr>
            <w:r w:rsidRPr="004C25BD">
              <w:rPr>
                <w:b/>
                <w:sz w:val="22"/>
                <w:szCs w:val="22"/>
              </w:rPr>
              <w:t>Adresa:</w:t>
            </w:r>
          </w:p>
        </w:tc>
        <w:tc>
          <w:tcPr>
            <w:tcW w:w="7200" w:type="dxa"/>
            <w:hideMark/>
          </w:tcPr>
          <w:p w:rsidR="004C25BD" w:rsidRPr="004C25BD" w:rsidRDefault="004C25BD" w:rsidP="00AC3D92">
            <w:pPr>
              <w:spacing w:before="200"/>
              <w:ind w:left="72" w:hanging="72"/>
              <w:rPr>
                <w:sz w:val="22"/>
                <w:szCs w:val="22"/>
              </w:rPr>
            </w:pPr>
            <w:r w:rsidRPr="004C25BD">
              <w:rPr>
                <w:sz w:val="22"/>
                <w:szCs w:val="22"/>
              </w:rPr>
              <w:t>Šmarješka cesta 6, 8501 Novo mesto, Slovenija</w:t>
            </w:r>
          </w:p>
          <w:p w:rsidR="004C25BD" w:rsidRPr="004C25BD" w:rsidRDefault="004C25BD" w:rsidP="00AC3D92">
            <w:pPr>
              <w:spacing w:before="200"/>
              <w:ind w:left="72" w:hanging="72"/>
              <w:rPr>
                <w:b/>
                <w:bCs/>
                <w:sz w:val="22"/>
                <w:szCs w:val="22"/>
              </w:rPr>
            </w:pPr>
            <w:r w:rsidRPr="004C25BD">
              <w:rPr>
                <w:sz w:val="22"/>
                <w:szCs w:val="22"/>
              </w:rPr>
              <w:t>Rownolegla Str. 5, 02-235 Warsaw, Poljska</w:t>
            </w:r>
          </w:p>
        </w:tc>
      </w:tr>
      <w:tr w:rsidR="009D438B" w:rsidRPr="004C25BD" w:rsidTr="00AC3D92">
        <w:trPr>
          <w:jc w:val="center"/>
        </w:trPr>
        <w:tc>
          <w:tcPr>
            <w:tcW w:w="2160" w:type="dxa"/>
            <w:vAlign w:val="bottom"/>
            <w:hideMark/>
          </w:tcPr>
          <w:p w:rsidR="009D438B" w:rsidRPr="004C25BD" w:rsidRDefault="009D438B" w:rsidP="009D438B">
            <w:pPr>
              <w:spacing w:before="200"/>
              <w:jc w:val="right"/>
              <w:rPr>
                <w:sz w:val="22"/>
                <w:szCs w:val="22"/>
              </w:rPr>
            </w:pPr>
            <w:r w:rsidRPr="004C25BD">
              <w:rPr>
                <w:b/>
                <w:sz w:val="22"/>
                <w:szCs w:val="22"/>
              </w:rPr>
              <w:t>Podnosilac zahtjeva:</w:t>
            </w:r>
          </w:p>
        </w:tc>
        <w:tc>
          <w:tcPr>
            <w:tcW w:w="7200" w:type="dxa"/>
            <w:hideMark/>
          </w:tcPr>
          <w:p w:rsidR="009D438B" w:rsidRPr="009D438B" w:rsidRDefault="009D438B" w:rsidP="009D438B">
            <w:pPr>
              <w:ind w:left="72" w:hanging="72"/>
              <w:rPr>
                <w:bCs/>
                <w:sz w:val="22"/>
                <w:szCs w:val="22"/>
              </w:rPr>
            </w:pPr>
          </w:p>
          <w:p w:rsidR="009D438B" w:rsidRPr="009D438B" w:rsidRDefault="009D438B" w:rsidP="009D438B">
            <w:pPr>
              <w:ind w:left="72" w:hanging="72"/>
              <w:rPr>
                <w:bCs/>
                <w:sz w:val="22"/>
                <w:szCs w:val="22"/>
              </w:rPr>
            </w:pPr>
            <w:r w:rsidRPr="009D438B">
              <w:rPr>
                <w:bCs/>
                <w:sz w:val="22"/>
                <w:szCs w:val="22"/>
                <w:lang w:val="hr-HR"/>
              </w:rPr>
              <w:t>DSD „KRKA, d.d., Novo mesto“ - predstavništvo Podgorica</w:t>
            </w:r>
          </w:p>
        </w:tc>
      </w:tr>
      <w:tr w:rsidR="009D438B" w:rsidRPr="004C25BD" w:rsidTr="00E308FC">
        <w:trPr>
          <w:jc w:val="center"/>
        </w:trPr>
        <w:tc>
          <w:tcPr>
            <w:tcW w:w="2160" w:type="dxa"/>
            <w:vAlign w:val="bottom"/>
            <w:hideMark/>
          </w:tcPr>
          <w:p w:rsidR="009D438B" w:rsidRPr="004C25BD" w:rsidRDefault="009D438B" w:rsidP="009D438B">
            <w:pPr>
              <w:spacing w:before="200"/>
              <w:jc w:val="right"/>
              <w:rPr>
                <w:sz w:val="22"/>
                <w:szCs w:val="22"/>
              </w:rPr>
            </w:pPr>
            <w:r w:rsidRPr="004C25BD">
              <w:rPr>
                <w:b/>
                <w:sz w:val="22"/>
                <w:szCs w:val="22"/>
              </w:rPr>
              <w:t>Adresa:</w:t>
            </w:r>
          </w:p>
        </w:tc>
        <w:tc>
          <w:tcPr>
            <w:tcW w:w="7200" w:type="dxa"/>
            <w:hideMark/>
          </w:tcPr>
          <w:p w:rsidR="009D438B" w:rsidRPr="009D438B" w:rsidRDefault="009D438B" w:rsidP="009D438B">
            <w:pPr>
              <w:ind w:left="72" w:hanging="72"/>
              <w:rPr>
                <w:bCs/>
                <w:sz w:val="22"/>
                <w:szCs w:val="22"/>
              </w:rPr>
            </w:pPr>
          </w:p>
          <w:p w:rsidR="009D438B" w:rsidRPr="009D438B" w:rsidRDefault="009D438B" w:rsidP="009D438B">
            <w:pPr>
              <w:ind w:left="72" w:hanging="72"/>
              <w:rPr>
                <w:bCs/>
                <w:sz w:val="22"/>
                <w:szCs w:val="22"/>
              </w:rPr>
            </w:pPr>
            <w:r w:rsidRPr="009D438B">
              <w:rPr>
                <w:bCs/>
                <w:sz w:val="22"/>
                <w:szCs w:val="22"/>
                <w:lang w:val="sl-SI"/>
              </w:rPr>
              <w:t>Svetlane Kane Radević br. 3, 81000 Podgorica, Crna Gora</w:t>
            </w:r>
          </w:p>
        </w:tc>
      </w:tr>
    </w:tbl>
    <w:p w:rsidR="004C25BD" w:rsidRPr="004C25BD" w:rsidRDefault="004C25BD" w:rsidP="004C25BD">
      <w:pPr>
        <w:pStyle w:val="Header"/>
        <w:ind w:right="-483"/>
        <w:jc w:val="right"/>
        <w:rPr>
          <w:sz w:val="22"/>
          <w:szCs w:val="22"/>
          <w:lang w:val="hr-HR"/>
        </w:rPr>
      </w:pPr>
    </w:p>
    <w:p w:rsidR="004C25BD" w:rsidRPr="004C25BD" w:rsidRDefault="004C25BD" w:rsidP="004C25BD">
      <w:pPr>
        <w:pStyle w:val="Header"/>
        <w:ind w:right="-483"/>
        <w:jc w:val="right"/>
        <w:rPr>
          <w:sz w:val="22"/>
          <w:szCs w:val="22"/>
          <w:lang w:val="hr-HR"/>
        </w:rPr>
      </w:pPr>
    </w:p>
    <w:p w:rsidR="004C25BD" w:rsidRPr="004C25BD" w:rsidRDefault="004C25BD" w:rsidP="004C25BD">
      <w:pPr>
        <w:pStyle w:val="Header"/>
        <w:ind w:right="-483"/>
        <w:jc w:val="right"/>
        <w:rPr>
          <w:sz w:val="22"/>
          <w:szCs w:val="22"/>
          <w:lang w:val="hr-HR"/>
        </w:rPr>
      </w:pPr>
    </w:p>
    <w:p w:rsidR="004C25BD" w:rsidRPr="004C25BD" w:rsidRDefault="004C25BD" w:rsidP="004C25BD">
      <w:pPr>
        <w:pStyle w:val="Header"/>
        <w:ind w:right="-483"/>
        <w:jc w:val="right"/>
        <w:rPr>
          <w:sz w:val="22"/>
          <w:szCs w:val="22"/>
          <w:lang w:val="hr-HR"/>
        </w:rPr>
      </w:pPr>
    </w:p>
    <w:p w:rsidR="004C25BD" w:rsidRPr="004C25BD" w:rsidRDefault="004C25BD" w:rsidP="004C25BD">
      <w:pPr>
        <w:pStyle w:val="Header"/>
        <w:ind w:right="-483"/>
        <w:jc w:val="right"/>
        <w:rPr>
          <w:sz w:val="22"/>
          <w:szCs w:val="22"/>
          <w:lang w:val="hr-HR"/>
        </w:rPr>
      </w:pPr>
    </w:p>
    <w:p w:rsidR="004C25BD" w:rsidRPr="004C25BD" w:rsidRDefault="004C25BD" w:rsidP="004C25BD">
      <w:pPr>
        <w:pStyle w:val="Header"/>
        <w:ind w:right="-483"/>
        <w:jc w:val="right"/>
        <w:rPr>
          <w:sz w:val="22"/>
          <w:szCs w:val="22"/>
          <w:lang w:val="hr-HR"/>
        </w:rPr>
      </w:pPr>
    </w:p>
    <w:p w:rsidR="004C25BD" w:rsidRPr="004C25BD" w:rsidRDefault="004C25BD" w:rsidP="004C25BD">
      <w:pPr>
        <w:pStyle w:val="Header"/>
        <w:ind w:right="-483"/>
        <w:jc w:val="right"/>
        <w:rPr>
          <w:sz w:val="22"/>
          <w:szCs w:val="22"/>
          <w:lang w:val="hr-HR"/>
        </w:rPr>
      </w:pPr>
    </w:p>
    <w:p w:rsidR="004C25BD" w:rsidRPr="004C25BD" w:rsidRDefault="004C25BD" w:rsidP="004C25BD">
      <w:pPr>
        <w:pStyle w:val="Header"/>
        <w:ind w:right="-483"/>
        <w:jc w:val="right"/>
        <w:rPr>
          <w:sz w:val="22"/>
          <w:szCs w:val="22"/>
          <w:lang w:val="hr-HR"/>
        </w:rPr>
      </w:pPr>
    </w:p>
    <w:p w:rsidR="004C25BD" w:rsidRPr="004C25BD" w:rsidRDefault="004C25BD" w:rsidP="004C25BD">
      <w:pPr>
        <w:pStyle w:val="Header"/>
        <w:ind w:right="-483"/>
        <w:jc w:val="right"/>
        <w:rPr>
          <w:sz w:val="22"/>
          <w:szCs w:val="22"/>
          <w:lang w:val="hr-HR"/>
        </w:rPr>
      </w:pPr>
    </w:p>
    <w:p w:rsidR="004C25BD" w:rsidRPr="004C25BD" w:rsidRDefault="004C25BD" w:rsidP="004C25BD">
      <w:pPr>
        <w:pStyle w:val="Header"/>
        <w:ind w:right="-483"/>
        <w:jc w:val="right"/>
        <w:rPr>
          <w:sz w:val="22"/>
          <w:szCs w:val="22"/>
          <w:lang w:val="hr-HR"/>
        </w:rPr>
      </w:pPr>
    </w:p>
    <w:p w:rsidR="004C25BD" w:rsidRPr="004C25BD" w:rsidRDefault="004C25BD" w:rsidP="004C25BD">
      <w:pPr>
        <w:pStyle w:val="Header"/>
        <w:ind w:right="-483"/>
        <w:jc w:val="right"/>
        <w:rPr>
          <w:sz w:val="22"/>
          <w:szCs w:val="22"/>
          <w:lang w:val="hr-HR"/>
        </w:rPr>
      </w:pPr>
    </w:p>
    <w:p w:rsidR="004C25BD" w:rsidRPr="004C25BD" w:rsidRDefault="004C25BD" w:rsidP="004C25BD">
      <w:pPr>
        <w:pStyle w:val="Header"/>
        <w:ind w:right="-483"/>
        <w:jc w:val="right"/>
        <w:rPr>
          <w:sz w:val="22"/>
          <w:szCs w:val="22"/>
          <w:lang w:val="hr-HR"/>
        </w:rPr>
      </w:pPr>
    </w:p>
    <w:p w:rsidR="004C25BD" w:rsidRPr="004C25BD" w:rsidRDefault="004C25BD" w:rsidP="004C25BD">
      <w:pPr>
        <w:ind w:right="-483"/>
        <w:rPr>
          <w:b/>
          <w:bCs/>
          <w:sz w:val="22"/>
          <w:szCs w:val="22"/>
          <w:lang w:val="hr-HR" w:eastAsia="hr-HR"/>
        </w:rPr>
      </w:pPr>
      <w:r w:rsidRPr="004C25BD">
        <w:rPr>
          <w:b/>
          <w:bCs/>
          <w:sz w:val="22"/>
          <w:szCs w:val="22"/>
          <w:lang w:val="hr-HR"/>
        </w:rPr>
        <w:lastRenderedPageBreak/>
        <w:t>1. NAZIV LIJEKA</w:t>
      </w:r>
    </w:p>
    <w:p w:rsidR="004C25BD" w:rsidRPr="004C25BD" w:rsidRDefault="004C25BD" w:rsidP="004C25BD">
      <w:pPr>
        <w:ind w:right="-483"/>
        <w:jc w:val="both"/>
        <w:rPr>
          <w:sz w:val="22"/>
          <w:szCs w:val="22"/>
          <w:lang w:val="hr-HR" w:eastAsia="hr-HR"/>
        </w:rPr>
      </w:pPr>
    </w:p>
    <w:p w:rsidR="004C25BD" w:rsidRPr="004C25BD" w:rsidRDefault="004C25BD" w:rsidP="004C25BD">
      <w:pPr>
        <w:ind w:right="-483"/>
        <w:jc w:val="both"/>
        <w:rPr>
          <w:bCs/>
          <w:sz w:val="22"/>
          <w:szCs w:val="22"/>
          <w:lang w:val="hr-HR"/>
        </w:rPr>
      </w:pPr>
      <w:r w:rsidRPr="004C25BD">
        <w:rPr>
          <w:bCs/>
          <w:sz w:val="22"/>
          <w:szCs w:val="22"/>
          <w:lang w:val="hr-HR"/>
        </w:rPr>
        <w:t>Tolura</w:t>
      </w:r>
      <w:r w:rsidRPr="004C25BD">
        <w:rPr>
          <w:bCs/>
          <w:sz w:val="22"/>
          <w:szCs w:val="22"/>
          <w:vertAlign w:val="superscript"/>
          <w:lang w:val="hr-HR"/>
        </w:rPr>
        <w:sym w:font="Symbol" w:char="F0D2"/>
      </w:r>
      <w:r w:rsidRPr="004C25BD">
        <w:rPr>
          <w:bCs/>
          <w:sz w:val="22"/>
          <w:szCs w:val="22"/>
          <w:lang w:val="hr-HR"/>
        </w:rPr>
        <w:t xml:space="preserve"> 20 mg tablete</w:t>
      </w:r>
    </w:p>
    <w:p w:rsidR="004C25BD" w:rsidRPr="004C25BD" w:rsidRDefault="004C25BD" w:rsidP="004C25BD">
      <w:pPr>
        <w:ind w:right="-483"/>
        <w:jc w:val="both"/>
        <w:rPr>
          <w:bCs/>
          <w:sz w:val="22"/>
          <w:szCs w:val="22"/>
          <w:lang w:val="hr-HR"/>
        </w:rPr>
      </w:pPr>
      <w:r w:rsidRPr="004C25BD">
        <w:rPr>
          <w:bCs/>
          <w:sz w:val="22"/>
          <w:szCs w:val="22"/>
          <w:lang w:val="hr-HR"/>
        </w:rPr>
        <w:t>Tolura</w:t>
      </w:r>
      <w:r w:rsidRPr="004C25BD">
        <w:rPr>
          <w:bCs/>
          <w:sz w:val="22"/>
          <w:szCs w:val="22"/>
          <w:vertAlign w:val="superscript"/>
          <w:lang w:val="hr-HR"/>
        </w:rPr>
        <w:sym w:font="Symbol" w:char="F0D2"/>
      </w:r>
      <w:r w:rsidRPr="004C25BD">
        <w:rPr>
          <w:bCs/>
          <w:sz w:val="22"/>
          <w:szCs w:val="22"/>
          <w:lang w:val="hr-HR"/>
        </w:rPr>
        <w:t xml:space="preserve"> 40 mg tablete</w:t>
      </w:r>
    </w:p>
    <w:p w:rsidR="004C25BD" w:rsidRPr="004C25BD" w:rsidRDefault="004C25BD" w:rsidP="004C25BD">
      <w:pPr>
        <w:ind w:right="-483"/>
        <w:jc w:val="both"/>
        <w:rPr>
          <w:bCs/>
          <w:sz w:val="22"/>
          <w:szCs w:val="22"/>
          <w:lang w:val="hr-HR"/>
        </w:rPr>
      </w:pPr>
      <w:r w:rsidRPr="004C25BD">
        <w:rPr>
          <w:bCs/>
          <w:sz w:val="22"/>
          <w:szCs w:val="22"/>
          <w:lang w:val="hr-HR"/>
        </w:rPr>
        <w:t>Tolura</w:t>
      </w:r>
      <w:r w:rsidRPr="004C25BD">
        <w:rPr>
          <w:bCs/>
          <w:sz w:val="22"/>
          <w:szCs w:val="22"/>
          <w:vertAlign w:val="superscript"/>
          <w:lang w:val="hr-HR"/>
        </w:rPr>
        <w:sym w:font="Symbol" w:char="F0D2"/>
      </w:r>
      <w:r w:rsidRPr="004C25BD">
        <w:rPr>
          <w:bCs/>
          <w:sz w:val="22"/>
          <w:szCs w:val="22"/>
          <w:lang w:val="hr-HR"/>
        </w:rPr>
        <w:t xml:space="preserve"> 80 mg tablete</w:t>
      </w:r>
    </w:p>
    <w:p w:rsidR="004C25BD" w:rsidRPr="004C25BD" w:rsidRDefault="004C25BD" w:rsidP="004C25BD">
      <w:pPr>
        <w:ind w:right="-483"/>
        <w:jc w:val="both"/>
        <w:rPr>
          <w:sz w:val="22"/>
          <w:szCs w:val="22"/>
          <w:lang w:val="hr-HR" w:eastAsia="hr-HR"/>
        </w:rPr>
      </w:pPr>
    </w:p>
    <w:p w:rsidR="004C25BD" w:rsidRPr="004C25BD" w:rsidRDefault="004C25BD" w:rsidP="004C25BD">
      <w:pPr>
        <w:ind w:right="-483"/>
        <w:jc w:val="both"/>
        <w:rPr>
          <w:sz w:val="22"/>
          <w:szCs w:val="22"/>
          <w:lang w:val="hr-HR" w:eastAsia="hr-HR"/>
        </w:rPr>
      </w:pPr>
      <w:r w:rsidRPr="004C25BD">
        <w:rPr>
          <w:sz w:val="22"/>
          <w:szCs w:val="22"/>
          <w:lang w:val="hr-HR" w:eastAsia="hr-HR"/>
        </w:rPr>
        <w:t>INN:</w:t>
      </w:r>
      <w:r w:rsidRPr="004C25BD">
        <w:rPr>
          <w:sz w:val="22"/>
          <w:szCs w:val="22"/>
          <w:lang w:val="hr-HR" w:eastAsia="hr-HR"/>
        </w:rPr>
        <w:tab/>
        <w:t>telmisartan</w:t>
      </w:r>
    </w:p>
    <w:p w:rsidR="004C25BD" w:rsidRPr="004C25BD" w:rsidRDefault="004C25BD" w:rsidP="004C25BD">
      <w:pPr>
        <w:ind w:right="-483"/>
        <w:jc w:val="both"/>
        <w:rPr>
          <w:sz w:val="22"/>
          <w:szCs w:val="22"/>
          <w:lang w:val="hr-HR" w:eastAsia="hr-HR"/>
        </w:rPr>
      </w:pPr>
    </w:p>
    <w:p w:rsidR="004C25BD" w:rsidRPr="004C25BD" w:rsidRDefault="004C25BD" w:rsidP="004C25BD">
      <w:pPr>
        <w:ind w:right="-483"/>
        <w:jc w:val="both"/>
        <w:rPr>
          <w:sz w:val="22"/>
          <w:szCs w:val="22"/>
          <w:lang w:val="hr-HR" w:eastAsia="hr-HR"/>
        </w:rPr>
      </w:pPr>
    </w:p>
    <w:p w:rsidR="004C25BD" w:rsidRPr="004C25BD" w:rsidRDefault="004C25BD" w:rsidP="004C25BD">
      <w:pPr>
        <w:ind w:right="-483"/>
        <w:rPr>
          <w:b/>
          <w:bCs/>
          <w:sz w:val="22"/>
          <w:szCs w:val="22"/>
          <w:lang w:val="hr-HR" w:eastAsia="hr-HR"/>
        </w:rPr>
      </w:pPr>
      <w:r w:rsidRPr="004C25BD">
        <w:rPr>
          <w:b/>
          <w:bCs/>
          <w:sz w:val="22"/>
          <w:szCs w:val="22"/>
          <w:lang w:val="hr-HR"/>
        </w:rPr>
        <w:t>2. KVALITATIVNI I KVANTITATIVNI SASTAV</w:t>
      </w:r>
    </w:p>
    <w:p w:rsidR="004C25BD" w:rsidRPr="004C25BD" w:rsidRDefault="004C25BD" w:rsidP="004C25BD">
      <w:pPr>
        <w:ind w:right="-483"/>
        <w:jc w:val="both"/>
        <w:rPr>
          <w:sz w:val="22"/>
          <w:szCs w:val="22"/>
          <w:lang w:val="hr-HR" w:eastAsia="hr-HR"/>
        </w:rPr>
      </w:pPr>
    </w:p>
    <w:p w:rsidR="004C25BD" w:rsidRPr="004C25BD" w:rsidRDefault="004C25BD" w:rsidP="004C25BD">
      <w:pPr>
        <w:ind w:right="-483"/>
        <w:jc w:val="both"/>
        <w:rPr>
          <w:sz w:val="22"/>
          <w:szCs w:val="22"/>
          <w:lang w:val="hr-HR" w:eastAsia="hr-HR"/>
        </w:rPr>
      </w:pPr>
      <w:r w:rsidRPr="004C25BD">
        <w:rPr>
          <w:sz w:val="22"/>
          <w:szCs w:val="22"/>
          <w:lang w:val="hr-HR" w:eastAsia="hr-HR"/>
        </w:rPr>
        <w:t xml:space="preserve">Jedna </w:t>
      </w:r>
      <w:r w:rsidRPr="004C25BD">
        <w:rPr>
          <w:bCs/>
          <w:sz w:val="22"/>
          <w:szCs w:val="22"/>
          <w:lang w:val="hr-HR"/>
        </w:rPr>
        <w:t>tableta</w:t>
      </w:r>
      <w:r w:rsidRPr="004C25BD">
        <w:rPr>
          <w:sz w:val="22"/>
          <w:szCs w:val="22"/>
          <w:lang w:val="hr-HR" w:eastAsia="hr-HR"/>
        </w:rPr>
        <w:t xml:space="preserve"> sadrži 20 mg, 40 mg ili 80 mg </w:t>
      </w:r>
      <w:r w:rsidRPr="004C25BD">
        <w:rPr>
          <w:bCs/>
          <w:sz w:val="22"/>
          <w:szCs w:val="22"/>
          <w:lang w:val="hr-HR"/>
        </w:rPr>
        <w:t>telmisartana</w:t>
      </w:r>
      <w:r w:rsidRPr="004C25BD">
        <w:rPr>
          <w:sz w:val="22"/>
          <w:szCs w:val="22"/>
          <w:lang w:val="hr-HR" w:eastAsia="hr-HR"/>
        </w:rPr>
        <w:t>.</w:t>
      </w:r>
    </w:p>
    <w:p w:rsidR="004C25BD" w:rsidRPr="004C25BD" w:rsidRDefault="004C25BD" w:rsidP="004C25BD">
      <w:pPr>
        <w:ind w:right="-483"/>
        <w:jc w:val="both"/>
        <w:rPr>
          <w:sz w:val="22"/>
          <w:szCs w:val="22"/>
          <w:lang w:val="hr-HR" w:eastAsia="hr-HR"/>
        </w:rPr>
      </w:pPr>
    </w:p>
    <w:p w:rsidR="004C25BD" w:rsidRPr="004C25BD" w:rsidRDefault="004C25BD" w:rsidP="004C25BD">
      <w:pPr>
        <w:ind w:right="-483"/>
        <w:jc w:val="both"/>
        <w:rPr>
          <w:sz w:val="22"/>
          <w:szCs w:val="22"/>
          <w:lang w:val="hr-HR" w:eastAsia="hr-HR"/>
        </w:rPr>
      </w:pPr>
      <w:r w:rsidRPr="004C25BD">
        <w:rPr>
          <w:sz w:val="22"/>
          <w:szCs w:val="22"/>
          <w:lang w:val="hr-HR" w:eastAsia="hr-HR"/>
        </w:rPr>
        <w:t>Pomoćne supstance sa potvrđenim djelovanjem:</w:t>
      </w:r>
    </w:p>
    <w:p w:rsidR="004C25BD" w:rsidRPr="004C25BD" w:rsidRDefault="004C25BD" w:rsidP="004C25BD">
      <w:pPr>
        <w:ind w:right="-483"/>
        <w:jc w:val="both"/>
        <w:rPr>
          <w:sz w:val="22"/>
          <w:szCs w:val="22"/>
          <w:lang w:val="hr-HR" w:eastAsia="hr-HR"/>
        </w:rPr>
      </w:pPr>
    </w:p>
    <w:tbl>
      <w:tblPr>
        <w:tblW w:w="34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8"/>
        <w:gridCol w:w="1655"/>
        <w:gridCol w:w="1653"/>
        <w:gridCol w:w="1651"/>
      </w:tblGrid>
      <w:tr w:rsidR="004C25BD" w:rsidRPr="004C25BD" w:rsidTr="00AC3D92">
        <w:tc>
          <w:tcPr>
            <w:tcW w:w="1314" w:type="pct"/>
            <w:tcBorders>
              <w:top w:val="single" w:sz="4" w:space="0" w:color="auto"/>
              <w:left w:val="single" w:sz="4" w:space="0" w:color="auto"/>
              <w:bottom w:val="single" w:sz="4" w:space="0" w:color="auto"/>
              <w:right w:val="single" w:sz="4" w:space="0" w:color="auto"/>
            </w:tcBorders>
          </w:tcPr>
          <w:p w:rsidR="004C25BD" w:rsidRPr="004C25BD" w:rsidRDefault="004C25BD" w:rsidP="00AC3D92">
            <w:pPr>
              <w:ind w:right="-483"/>
              <w:jc w:val="both"/>
              <w:rPr>
                <w:sz w:val="22"/>
                <w:szCs w:val="22"/>
                <w:lang w:val="hr-HR" w:eastAsia="hr-HR"/>
              </w:rPr>
            </w:pPr>
          </w:p>
        </w:tc>
        <w:tc>
          <w:tcPr>
            <w:tcW w:w="1230" w:type="pct"/>
            <w:tcBorders>
              <w:top w:val="single" w:sz="4" w:space="0" w:color="auto"/>
              <w:left w:val="single" w:sz="4" w:space="0" w:color="auto"/>
              <w:bottom w:val="single" w:sz="4" w:space="0" w:color="auto"/>
              <w:right w:val="single" w:sz="4" w:space="0" w:color="auto"/>
            </w:tcBorders>
            <w:hideMark/>
          </w:tcPr>
          <w:p w:rsidR="004C25BD" w:rsidRPr="004C25BD" w:rsidRDefault="004C25BD" w:rsidP="00AC3D92">
            <w:pPr>
              <w:ind w:right="-483"/>
              <w:jc w:val="both"/>
              <w:rPr>
                <w:sz w:val="22"/>
                <w:szCs w:val="22"/>
                <w:lang w:val="hr-HR" w:eastAsia="hr-HR"/>
              </w:rPr>
            </w:pPr>
            <w:r w:rsidRPr="004C25BD">
              <w:rPr>
                <w:bCs/>
                <w:sz w:val="22"/>
                <w:szCs w:val="22"/>
                <w:lang w:val="hr-HR"/>
              </w:rPr>
              <w:t>20 mg tablete</w:t>
            </w:r>
          </w:p>
        </w:tc>
        <w:tc>
          <w:tcPr>
            <w:tcW w:w="1229" w:type="pct"/>
            <w:tcBorders>
              <w:top w:val="single" w:sz="4" w:space="0" w:color="auto"/>
              <w:left w:val="single" w:sz="4" w:space="0" w:color="auto"/>
              <w:bottom w:val="single" w:sz="4" w:space="0" w:color="auto"/>
              <w:right w:val="single" w:sz="4" w:space="0" w:color="auto"/>
            </w:tcBorders>
            <w:hideMark/>
          </w:tcPr>
          <w:p w:rsidR="004C25BD" w:rsidRPr="004C25BD" w:rsidRDefault="004C25BD" w:rsidP="00AC3D92">
            <w:pPr>
              <w:ind w:right="-483"/>
              <w:jc w:val="both"/>
              <w:rPr>
                <w:sz w:val="22"/>
                <w:szCs w:val="22"/>
                <w:lang w:val="hr-HR" w:eastAsia="hr-HR"/>
              </w:rPr>
            </w:pPr>
            <w:r w:rsidRPr="004C25BD">
              <w:rPr>
                <w:bCs/>
                <w:sz w:val="22"/>
                <w:szCs w:val="22"/>
                <w:lang w:val="hr-HR"/>
              </w:rPr>
              <w:t>40 mg tablete</w:t>
            </w:r>
          </w:p>
        </w:tc>
        <w:tc>
          <w:tcPr>
            <w:tcW w:w="1228" w:type="pct"/>
            <w:tcBorders>
              <w:top w:val="single" w:sz="4" w:space="0" w:color="auto"/>
              <w:left w:val="single" w:sz="4" w:space="0" w:color="auto"/>
              <w:bottom w:val="single" w:sz="4" w:space="0" w:color="auto"/>
              <w:right w:val="single" w:sz="4" w:space="0" w:color="auto"/>
            </w:tcBorders>
            <w:hideMark/>
          </w:tcPr>
          <w:p w:rsidR="004C25BD" w:rsidRPr="004C25BD" w:rsidRDefault="004C25BD" w:rsidP="00AC3D92">
            <w:pPr>
              <w:ind w:right="-483"/>
              <w:jc w:val="both"/>
              <w:rPr>
                <w:sz w:val="22"/>
                <w:szCs w:val="22"/>
                <w:lang w:val="hr-HR" w:eastAsia="hr-HR"/>
              </w:rPr>
            </w:pPr>
            <w:r w:rsidRPr="004C25BD">
              <w:rPr>
                <w:bCs/>
                <w:sz w:val="22"/>
                <w:szCs w:val="22"/>
                <w:lang w:val="hr-HR"/>
              </w:rPr>
              <w:t>80 mg tablete</w:t>
            </w:r>
          </w:p>
        </w:tc>
      </w:tr>
      <w:tr w:rsidR="004C25BD" w:rsidRPr="004C25BD" w:rsidTr="00AC3D92">
        <w:tc>
          <w:tcPr>
            <w:tcW w:w="1314" w:type="pct"/>
            <w:tcBorders>
              <w:top w:val="single" w:sz="4" w:space="0" w:color="auto"/>
              <w:left w:val="single" w:sz="4" w:space="0" w:color="auto"/>
              <w:bottom w:val="single" w:sz="4" w:space="0" w:color="auto"/>
              <w:right w:val="single" w:sz="4" w:space="0" w:color="auto"/>
            </w:tcBorders>
            <w:hideMark/>
          </w:tcPr>
          <w:p w:rsidR="004C25BD" w:rsidRPr="004C25BD" w:rsidRDefault="004C25BD" w:rsidP="00AC3D92">
            <w:pPr>
              <w:ind w:right="-483"/>
              <w:jc w:val="both"/>
              <w:rPr>
                <w:sz w:val="22"/>
                <w:szCs w:val="22"/>
                <w:lang w:val="hr-HR" w:eastAsia="hr-HR"/>
              </w:rPr>
            </w:pPr>
            <w:r w:rsidRPr="004C25BD">
              <w:rPr>
                <w:sz w:val="22"/>
                <w:szCs w:val="22"/>
                <w:lang w:val="hr-HR" w:eastAsia="hr-HR"/>
              </w:rPr>
              <w:t>laktoza</w:t>
            </w:r>
          </w:p>
        </w:tc>
        <w:tc>
          <w:tcPr>
            <w:tcW w:w="1230" w:type="pct"/>
            <w:tcBorders>
              <w:top w:val="single" w:sz="4" w:space="0" w:color="auto"/>
              <w:left w:val="single" w:sz="4" w:space="0" w:color="auto"/>
              <w:bottom w:val="single" w:sz="4" w:space="0" w:color="auto"/>
              <w:right w:val="single" w:sz="4" w:space="0" w:color="auto"/>
            </w:tcBorders>
            <w:hideMark/>
          </w:tcPr>
          <w:p w:rsidR="004C25BD" w:rsidRPr="004C25BD" w:rsidRDefault="004C25BD" w:rsidP="00AC3D92">
            <w:pPr>
              <w:ind w:right="-483"/>
              <w:jc w:val="both"/>
              <w:rPr>
                <w:sz w:val="22"/>
                <w:szCs w:val="22"/>
                <w:lang w:val="hr-HR" w:eastAsia="hr-HR"/>
              </w:rPr>
            </w:pPr>
            <w:r w:rsidRPr="004C25BD">
              <w:rPr>
                <w:sz w:val="22"/>
                <w:szCs w:val="22"/>
                <w:lang w:val="hr-HR" w:eastAsia="hr-HR"/>
              </w:rPr>
              <w:t>28,5 mg</w:t>
            </w:r>
          </w:p>
        </w:tc>
        <w:tc>
          <w:tcPr>
            <w:tcW w:w="1229" w:type="pct"/>
            <w:tcBorders>
              <w:top w:val="single" w:sz="4" w:space="0" w:color="auto"/>
              <w:left w:val="single" w:sz="4" w:space="0" w:color="auto"/>
              <w:bottom w:val="single" w:sz="4" w:space="0" w:color="auto"/>
              <w:right w:val="single" w:sz="4" w:space="0" w:color="auto"/>
            </w:tcBorders>
            <w:hideMark/>
          </w:tcPr>
          <w:p w:rsidR="004C25BD" w:rsidRPr="004C25BD" w:rsidRDefault="004C25BD" w:rsidP="00AC3D92">
            <w:pPr>
              <w:ind w:right="-483"/>
              <w:jc w:val="both"/>
              <w:rPr>
                <w:sz w:val="22"/>
                <w:szCs w:val="22"/>
                <w:lang w:val="hr-HR" w:eastAsia="hr-HR"/>
              </w:rPr>
            </w:pPr>
            <w:r w:rsidRPr="004C25BD">
              <w:rPr>
                <w:sz w:val="22"/>
                <w:szCs w:val="22"/>
                <w:lang w:val="hr-HR" w:eastAsia="hr-HR"/>
              </w:rPr>
              <w:t>57 mg</w:t>
            </w:r>
          </w:p>
        </w:tc>
        <w:tc>
          <w:tcPr>
            <w:tcW w:w="1228" w:type="pct"/>
            <w:tcBorders>
              <w:top w:val="single" w:sz="4" w:space="0" w:color="auto"/>
              <w:left w:val="single" w:sz="4" w:space="0" w:color="auto"/>
              <w:bottom w:val="single" w:sz="4" w:space="0" w:color="auto"/>
              <w:right w:val="single" w:sz="4" w:space="0" w:color="auto"/>
            </w:tcBorders>
            <w:hideMark/>
          </w:tcPr>
          <w:p w:rsidR="004C25BD" w:rsidRPr="004C25BD" w:rsidRDefault="004C25BD" w:rsidP="00AC3D92">
            <w:pPr>
              <w:ind w:right="-483"/>
              <w:jc w:val="both"/>
              <w:rPr>
                <w:sz w:val="22"/>
                <w:szCs w:val="22"/>
                <w:lang w:val="hr-HR" w:eastAsia="hr-HR"/>
              </w:rPr>
            </w:pPr>
            <w:r w:rsidRPr="004C25BD">
              <w:rPr>
                <w:sz w:val="22"/>
                <w:szCs w:val="22"/>
                <w:lang w:val="hr-HR" w:eastAsia="hr-HR"/>
              </w:rPr>
              <w:t>114 mg</w:t>
            </w:r>
          </w:p>
        </w:tc>
      </w:tr>
      <w:tr w:rsidR="004C25BD" w:rsidRPr="004C25BD" w:rsidTr="00AC3D92">
        <w:tc>
          <w:tcPr>
            <w:tcW w:w="1314" w:type="pct"/>
            <w:tcBorders>
              <w:top w:val="single" w:sz="4" w:space="0" w:color="auto"/>
              <w:left w:val="single" w:sz="4" w:space="0" w:color="auto"/>
              <w:bottom w:val="single" w:sz="4" w:space="0" w:color="auto"/>
              <w:right w:val="single" w:sz="4" w:space="0" w:color="auto"/>
            </w:tcBorders>
            <w:hideMark/>
          </w:tcPr>
          <w:p w:rsidR="004C25BD" w:rsidRPr="004C25BD" w:rsidRDefault="004C25BD" w:rsidP="00AC3D92">
            <w:pPr>
              <w:ind w:right="-483"/>
              <w:jc w:val="both"/>
              <w:rPr>
                <w:sz w:val="22"/>
                <w:szCs w:val="22"/>
                <w:lang w:val="hr-HR" w:eastAsia="hr-HR"/>
              </w:rPr>
            </w:pPr>
            <w:r w:rsidRPr="004C25BD">
              <w:rPr>
                <w:sz w:val="22"/>
                <w:szCs w:val="22"/>
                <w:lang w:val="hr-HR" w:eastAsia="hr-HR"/>
              </w:rPr>
              <w:t>sorbitol (E420)</w:t>
            </w:r>
          </w:p>
        </w:tc>
        <w:tc>
          <w:tcPr>
            <w:tcW w:w="1230" w:type="pct"/>
            <w:tcBorders>
              <w:top w:val="single" w:sz="4" w:space="0" w:color="auto"/>
              <w:left w:val="single" w:sz="4" w:space="0" w:color="auto"/>
              <w:bottom w:val="single" w:sz="4" w:space="0" w:color="auto"/>
              <w:right w:val="single" w:sz="4" w:space="0" w:color="auto"/>
            </w:tcBorders>
            <w:hideMark/>
          </w:tcPr>
          <w:p w:rsidR="004C25BD" w:rsidRPr="004C25BD" w:rsidRDefault="004C25BD" w:rsidP="00AC3D92">
            <w:pPr>
              <w:ind w:right="-483"/>
              <w:jc w:val="both"/>
              <w:rPr>
                <w:sz w:val="22"/>
                <w:szCs w:val="22"/>
                <w:lang w:val="hr-HR" w:eastAsia="hr-HR"/>
              </w:rPr>
            </w:pPr>
            <w:r w:rsidRPr="004C25BD">
              <w:rPr>
                <w:sz w:val="22"/>
                <w:szCs w:val="22"/>
                <w:lang w:val="hr-HR" w:eastAsia="hr-HR"/>
              </w:rPr>
              <w:t>74,9 mg</w:t>
            </w:r>
          </w:p>
        </w:tc>
        <w:tc>
          <w:tcPr>
            <w:tcW w:w="1229" w:type="pct"/>
            <w:tcBorders>
              <w:top w:val="single" w:sz="4" w:space="0" w:color="auto"/>
              <w:left w:val="single" w:sz="4" w:space="0" w:color="auto"/>
              <w:bottom w:val="single" w:sz="4" w:space="0" w:color="auto"/>
              <w:right w:val="single" w:sz="4" w:space="0" w:color="auto"/>
            </w:tcBorders>
            <w:hideMark/>
          </w:tcPr>
          <w:p w:rsidR="004C25BD" w:rsidRPr="004C25BD" w:rsidRDefault="004C25BD" w:rsidP="00AC3D92">
            <w:pPr>
              <w:ind w:right="-483"/>
              <w:jc w:val="both"/>
              <w:rPr>
                <w:sz w:val="22"/>
                <w:szCs w:val="22"/>
                <w:lang w:val="hr-HR" w:eastAsia="hr-HR"/>
              </w:rPr>
            </w:pPr>
            <w:r w:rsidRPr="004C25BD">
              <w:rPr>
                <w:sz w:val="22"/>
                <w:szCs w:val="22"/>
                <w:lang w:val="hr-HR" w:eastAsia="hr-HR"/>
              </w:rPr>
              <w:t>149,8 mg</w:t>
            </w:r>
          </w:p>
        </w:tc>
        <w:tc>
          <w:tcPr>
            <w:tcW w:w="1228" w:type="pct"/>
            <w:tcBorders>
              <w:top w:val="single" w:sz="4" w:space="0" w:color="auto"/>
              <w:left w:val="single" w:sz="4" w:space="0" w:color="auto"/>
              <w:bottom w:val="single" w:sz="4" w:space="0" w:color="auto"/>
              <w:right w:val="single" w:sz="4" w:space="0" w:color="auto"/>
            </w:tcBorders>
            <w:hideMark/>
          </w:tcPr>
          <w:p w:rsidR="004C25BD" w:rsidRPr="004C25BD" w:rsidRDefault="004C25BD" w:rsidP="00AC3D92">
            <w:pPr>
              <w:ind w:right="-483"/>
              <w:jc w:val="both"/>
              <w:rPr>
                <w:sz w:val="22"/>
                <w:szCs w:val="22"/>
                <w:lang w:val="hr-HR" w:eastAsia="hr-HR"/>
              </w:rPr>
            </w:pPr>
            <w:r w:rsidRPr="004C25BD">
              <w:rPr>
                <w:sz w:val="22"/>
                <w:szCs w:val="22"/>
                <w:lang w:val="hr-HR" w:eastAsia="hr-HR"/>
              </w:rPr>
              <w:t>299,7 mg</w:t>
            </w:r>
          </w:p>
        </w:tc>
      </w:tr>
    </w:tbl>
    <w:p w:rsidR="004C25BD" w:rsidRPr="004C25BD" w:rsidRDefault="004C25BD" w:rsidP="004C25BD">
      <w:pPr>
        <w:ind w:right="-483"/>
        <w:jc w:val="both"/>
        <w:rPr>
          <w:sz w:val="22"/>
          <w:szCs w:val="22"/>
          <w:lang w:val="hr-HR" w:eastAsia="hr-HR"/>
        </w:rPr>
      </w:pPr>
    </w:p>
    <w:p w:rsidR="004C25BD" w:rsidRPr="004C25BD" w:rsidRDefault="004C25BD" w:rsidP="004C25BD">
      <w:pPr>
        <w:ind w:right="-483"/>
        <w:jc w:val="both"/>
        <w:rPr>
          <w:sz w:val="22"/>
          <w:szCs w:val="22"/>
          <w:lang w:val="hr-HR" w:eastAsia="hr-HR"/>
        </w:rPr>
      </w:pPr>
      <w:r w:rsidRPr="004C25BD">
        <w:rPr>
          <w:sz w:val="22"/>
          <w:szCs w:val="22"/>
          <w:lang w:val="hr-HR" w:eastAsia="hr-HR"/>
        </w:rPr>
        <w:t>Za listu svih pomoćnih supstanci, vidjeti odjeljak 6.1.</w:t>
      </w:r>
    </w:p>
    <w:p w:rsidR="004C25BD" w:rsidRPr="004C25BD" w:rsidRDefault="004C25BD" w:rsidP="004C25BD">
      <w:pPr>
        <w:ind w:right="-483"/>
        <w:jc w:val="both"/>
        <w:rPr>
          <w:sz w:val="22"/>
          <w:szCs w:val="22"/>
          <w:lang w:val="hr-HR" w:eastAsia="hr-HR"/>
        </w:rPr>
      </w:pPr>
    </w:p>
    <w:p w:rsidR="004C25BD" w:rsidRPr="004C25BD" w:rsidRDefault="004C25BD" w:rsidP="004C25BD">
      <w:pPr>
        <w:ind w:right="-483"/>
        <w:jc w:val="both"/>
        <w:rPr>
          <w:sz w:val="22"/>
          <w:szCs w:val="22"/>
          <w:lang w:val="hr-HR" w:eastAsia="hr-HR"/>
        </w:rPr>
      </w:pPr>
    </w:p>
    <w:p w:rsidR="004C25BD" w:rsidRPr="004C25BD" w:rsidRDefault="004C25BD" w:rsidP="004C25BD">
      <w:pPr>
        <w:ind w:right="-483"/>
        <w:rPr>
          <w:b/>
          <w:bCs/>
          <w:sz w:val="22"/>
          <w:szCs w:val="22"/>
          <w:lang w:val="hr-HR" w:eastAsia="hr-HR"/>
        </w:rPr>
      </w:pPr>
      <w:r w:rsidRPr="004C25BD">
        <w:rPr>
          <w:b/>
          <w:bCs/>
          <w:sz w:val="22"/>
          <w:szCs w:val="22"/>
          <w:lang w:val="hr-HR"/>
        </w:rPr>
        <w:t>3. FARMACEUTSKI OBLIK</w:t>
      </w:r>
    </w:p>
    <w:p w:rsidR="004C25BD" w:rsidRPr="004C25BD" w:rsidRDefault="004C25BD" w:rsidP="004C25BD">
      <w:pPr>
        <w:ind w:right="-483"/>
        <w:jc w:val="both"/>
        <w:rPr>
          <w:sz w:val="22"/>
          <w:szCs w:val="22"/>
          <w:lang w:val="hr-HR" w:eastAsia="hr-HR"/>
        </w:rPr>
      </w:pPr>
    </w:p>
    <w:p w:rsidR="004C25BD" w:rsidRPr="004C25BD" w:rsidRDefault="004C25BD" w:rsidP="004C25BD">
      <w:pPr>
        <w:ind w:right="-483"/>
        <w:jc w:val="both"/>
        <w:rPr>
          <w:sz w:val="22"/>
          <w:szCs w:val="22"/>
          <w:lang w:val="hr-HR"/>
        </w:rPr>
      </w:pPr>
      <w:r w:rsidRPr="004C25BD">
        <w:rPr>
          <w:sz w:val="22"/>
          <w:szCs w:val="22"/>
          <w:lang w:val="hr-HR"/>
        </w:rPr>
        <w:t>Tableta.</w:t>
      </w:r>
    </w:p>
    <w:p w:rsidR="004C25BD" w:rsidRPr="004C25BD" w:rsidRDefault="004C25BD" w:rsidP="004C25BD">
      <w:pPr>
        <w:ind w:right="-483"/>
        <w:jc w:val="both"/>
        <w:rPr>
          <w:sz w:val="22"/>
          <w:szCs w:val="22"/>
          <w:lang w:val="hr-HR" w:eastAsia="hr-HR"/>
        </w:rPr>
      </w:pPr>
    </w:p>
    <w:p w:rsidR="004C25BD" w:rsidRPr="004C25BD" w:rsidRDefault="004C25BD" w:rsidP="004C25BD">
      <w:pPr>
        <w:ind w:right="-483"/>
        <w:jc w:val="both"/>
        <w:rPr>
          <w:bCs/>
          <w:sz w:val="22"/>
          <w:szCs w:val="22"/>
          <w:lang w:val="hr-HR"/>
        </w:rPr>
      </w:pPr>
      <w:r w:rsidRPr="004C25BD">
        <w:rPr>
          <w:bCs/>
          <w:sz w:val="22"/>
          <w:szCs w:val="22"/>
          <w:lang w:val="hr-HR"/>
        </w:rPr>
        <w:t>20 mg tablete:</w:t>
      </w:r>
      <w:r w:rsidRPr="004C25BD">
        <w:rPr>
          <w:sz w:val="22"/>
          <w:szCs w:val="22"/>
          <w:lang w:val="hr-HR"/>
        </w:rPr>
        <w:t xml:space="preserve"> </w:t>
      </w:r>
      <w:r w:rsidRPr="004C25BD">
        <w:rPr>
          <w:bCs/>
          <w:sz w:val="22"/>
          <w:szCs w:val="22"/>
          <w:lang w:val="hr-HR"/>
        </w:rPr>
        <w:t>bijele do gotovo bijele, okrugle tablete.</w:t>
      </w:r>
    </w:p>
    <w:p w:rsidR="004C25BD" w:rsidRPr="004C25BD" w:rsidRDefault="004C25BD" w:rsidP="004C25BD">
      <w:pPr>
        <w:ind w:right="-483"/>
        <w:jc w:val="both"/>
        <w:rPr>
          <w:bCs/>
          <w:sz w:val="22"/>
          <w:szCs w:val="22"/>
          <w:lang w:val="hr-HR"/>
        </w:rPr>
      </w:pPr>
      <w:r w:rsidRPr="004C25BD">
        <w:rPr>
          <w:bCs/>
          <w:sz w:val="22"/>
          <w:szCs w:val="22"/>
          <w:lang w:val="hr-HR"/>
        </w:rPr>
        <w:t>40 mg tablete:</w:t>
      </w:r>
      <w:r w:rsidRPr="004C25BD">
        <w:rPr>
          <w:sz w:val="22"/>
          <w:szCs w:val="22"/>
          <w:lang w:val="hr-HR"/>
        </w:rPr>
        <w:t xml:space="preserve"> </w:t>
      </w:r>
      <w:r w:rsidRPr="004C25BD">
        <w:rPr>
          <w:bCs/>
          <w:sz w:val="22"/>
          <w:szCs w:val="22"/>
          <w:lang w:val="hr-HR"/>
        </w:rPr>
        <w:t>bijele do gotovo bijele, bikonveksne, ovalne tablete.</w:t>
      </w:r>
    </w:p>
    <w:p w:rsidR="004C25BD" w:rsidRPr="004C25BD" w:rsidRDefault="004C25BD" w:rsidP="004C25BD">
      <w:pPr>
        <w:ind w:right="-483"/>
        <w:jc w:val="both"/>
        <w:rPr>
          <w:sz w:val="22"/>
          <w:szCs w:val="22"/>
          <w:lang w:val="hr-HR" w:eastAsia="hr-HR"/>
        </w:rPr>
      </w:pPr>
      <w:r w:rsidRPr="004C25BD">
        <w:rPr>
          <w:bCs/>
          <w:sz w:val="22"/>
          <w:szCs w:val="22"/>
          <w:lang w:val="hr-HR"/>
        </w:rPr>
        <w:t>80 mg tablete:</w:t>
      </w:r>
      <w:r w:rsidRPr="004C25BD">
        <w:rPr>
          <w:sz w:val="22"/>
          <w:szCs w:val="22"/>
          <w:lang w:val="hr-HR"/>
        </w:rPr>
        <w:t xml:space="preserve"> </w:t>
      </w:r>
      <w:r w:rsidRPr="004C25BD">
        <w:rPr>
          <w:bCs/>
          <w:sz w:val="22"/>
          <w:szCs w:val="22"/>
          <w:lang w:val="hr-HR"/>
        </w:rPr>
        <w:t>bijele do gotovo bijele, bikonveksne tablete, u obliku kapsule.</w:t>
      </w:r>
    </w:p>
    <w:p w:rsidR="004C25BD" w:rsidRPr="004C25BD" w:rsidRDefault="004C25BD" w:rsidP="004C25BD">
      <w:pPr>
        <w:ind w:right="-483"/>
        <w:jc w:val="both"/>
        <w:rPr>
          <w:sz w:val="22"/>
          <w:szCs w:val="22"/>
          <w:lang w:val="hr-HR" w:eastAsia="hr-HR"/>
        </w:rPr>
      </w:pPr>
    </w:p>
    <w:p w:rsidR="004C25BD" w:rsidRPr="004C25BD" w:rsidRDefault="004C25BD" w:rsidP="004C25BD">
      <w:pPr>
        <w:ind w:right="-483"/>
        <w:jc w:val="both"/>
        <w:rPr>
          <w:sz w:val="22"/>
          <w:szCs w:val="22"/>
          <w:lang w:val="hr-HR" w:eastAsia="hr-HR"/>
        </w:rPr>
      </w:pPr>
    </w:p>
    <w:p w:rsidR="004C25BD" w:rsidRPr="004C25BD" w:rsidRDefault="004C25BD" w:rsidP="004C25BD">
      <w:pPr>
        <w:ind w:right="-483"/>
        <w:rPr>
          <w:b/>
          <w:bCs/>
          <w:sz w:val="22"/>
          <w:szCs w:val="22"/>
          <w:lang w:val="hr-HR"/>
        </w:rPr>
      </w:pPr>
      <w:r w:rsidRPr="004C25BD">
        <w:rPr>
          <w:b/>
          <w:bCs/>
          <w:sz w:val="22"/>
          <w:szCs w:val="22"/>
          <w:lang w:val="hr-HR"/>
        </w:rPr>
        <w:t>4. KLINIČKI PODACI</w:t>
      </w:r>
    </w:p>
    <w:p w:rsidR="004C25BD" w:rsidRPr="004C25BD" w:rsidRDefault="004C25BD" w:rsidP="004C25BD">
      <w:pPr>
        <w:ind w:right="-483"/>
        <w:rPr>
          <w:bCs/>
          <w:sz w:val="22"/>
          <w:szCs w:val="22"/>
          <w:lang w:val="hr-HR"/>
        </w:rPr>
      </w:pPr>
    </w:p>
    <w:p w:rsidR="004C25BD" w:rsidRPr="004C25BD" w:rsidRDefault="004C25BD" w:rsidP="004C25BD">
      <w:pPr>
        <w:ind w:right="-483"/>
        <w:rPr>
          <w:b/>
          <w:bCs/>
          <w:sz w:val="22"/>
          <w:szCs w:val="22"/>
          <w:lang w:val="hr-HR" w:eastAsia="hr-HR"/>
        </w:rPr>
      </w:pPr>
      <w:r w:rsidRPr="004C25BD">
        <w:rPr>
          <w:b/>
          <w:bCs/>
          <w:sz w:val="22"/>
          <w:szCs w:val="22"/>
          <w:lang w:val="hr-HR"/>
        </w:rPr>
        <w:t>4.1. Terapijske indikacije</w:t>
      </w:r>
    </w:p>
    <w:p w:rsidR="004C25BD" w:rsidRPr="004C25BD" w:rsidRDefault="004C25BD" w:rsidP="004C25BD">
      <w:pPr>
        <w:ind w:right="-483"/>
        <w:rPr>
          <w:bCs/>
          <w:sz w:val="22"/>
          <w:szCs w:val="22"/>
          <w:lang w:val="hr-HR" w:eastAsia="hr-HR"/>
        </w:rPr>
      </w:pPr>
    </w:p>
    <w:p w:rsidR="004C25BD" w:rsidRPr="004C25BD" w:rsidRDefault="004C25BD" w:rsidP="004C25BD">
      <w:pPr>
        <w:widowControl w:val="0"/>
        <w:autoSpaceDE w:val="0"/>
        <w:autoSpaceDN w:val="0"/>
        <w:adjustRightInd w:val="0"/>
        <w:jc w:val="both"/>
        <w:rPr>
          <w:color w:val="000000"/>
          <w:sz w:val="22"/>
          <w:szCs w:val="22"/>
          <w:u w:val="single"/>
          <w:lang w:val="hr-HR"/>
        </w:rPr>
      </w:pPr>
      <w:r w:rsidRPr="004C25BD">
        <w:rPr>
          <w:color w:val="000000"/>
          <w:sz w:val="22"/>
          <w:szCs w:val="22"/>
          <w:u w:val="single"/>
          <w:lang w:val="hr-HR"/>
        </w:rPr>
        <w:t>Hipertenzija</w:t>
      </w:r>
    </w:p>
    <w:p w:rsidR="004C25BD" w:rsidRPr="004C25BD" w:rsidRDefault="004C25BD" w:rsidP="004C25BD">
      <w:pPr>
        <w:ind w:right="-483"/>
        <w:jc w:val="both"/>
        <w:rPr>
          <w:sz w:val="22"/>
          <w:szCs w:val="22"/>
          <w:lang w:val="hr-HR"/>
        </w:rPr>
      </w:pPr>
      <w:r w:rsidRPr="004C25BD">
        <w:rPr>
          <w:sz w:val="22"/>
          <w:szCs w:val="22"/>
          <w:lang w:val="hr-HR"/>
        </w:rPr>
        <w:t>Liječenje esencijalne hipertenzije kod  odraslih osoba.</w:t>
      </w:r>
    </w:p>
    <w:p w:rsidR="004C25BD" w:rsidRPr="004C25BD" w:rsidRDefault="004C25BD" w:rsidP="004C25BD">
      <w:pPr>
        <w:widowControl w:val="0"/>
        <w:autoSpaceDE w:val="0"/>
        <w:autoSpaceDN w:val="0"/>
        <w:adjustRightInd w:val="0"/>
        <w:jc w:val="both"/>
        <w:rPr>
          <w:sz w:val="22"/>
          <w:szCs w:val="22"/>
          <w:u w:val="single"/>
          <w:lang w:val="hr-HR"/>
        </w:rPr>
      </w:pPr>
    </w:p>
    <w:p w:rsidR="004C25BD" w:rsidRPr="004C25BD" w:rsidRDefault="004C25BD" w:rsidP="004C25BD">
      <w:pPr>
        <w:widowControl w:val="0"/>
        <w:autoSpaceDE w:val="0"/>
        <w:autoSpaceDN w:val="0"/>
        <w:adjustRightInd w:val="0"/>
        <w:jc w:val="both"/>
        <w:rPr>
          <w:sz w:val="22"/>
          <w:szCs w:val="22"/>
          <w:u w:val="single"/>
          <w:lang w:val="hr-HR"/>
        </w:rPr>
      </w:pPr>
      <w:r w:rsidRPr="004C25BD">
        <w:rPr>
          <w:sz w:val="22"/>
          <w:szCs w:val="22"/>
          <w:u w:val="single"/>
          <w:lang w:val="hr-HR"/>
        </w:rPr>
        <w:t>Kardiovaskularna prevencija</w:t>
      </w:r>
    </w:p>
    <w:p w:rsidR="004C25BD" w:rsidRPr="004C25BD" w:rsidRDefault="004C25BD" w:rsidP="004C25BD">
      <w:pPr>
        <w:widowControl w:val="0"/>
        <w:autoSpaceDE w:val="0"/>
        <w:autoSpaceDN w:val="0"/>
        <w:adjustRightInd w:val="0"/>
        <w:jc w:val="both"/>
        <w:rPr>
          <w:sz w:val="22"/>
          <w:szCs w:val="22"/>
          <w:lang w:val="hr-HR"/>
        </w:rPr>
      </w:pPr>
      <w:r w:rsidRPr="004C25BD">
        <w:rPr>
          <w:sz w:val="22"/>
          <w:szCs w:val="22"/>
          <w:lang w:val="hr-HR"/>
        </w:rPr>
        <w:t>Smanjenje kardiovaskularnog morbiditeta kod odraslih osoba sa:</w:t>
      </w:r>
    </w:p>
    <w:p w:rsidR="004C25BD" w:rsidRPr="004C25BD" w:rsidRDefault="004C25BD" w:rsidP="004C25BD">
      <w:pPr>
        <w:widowControl w:val="0"/>
        <w:autoSpaceDE w:val="0"/>
        <w:autoSpaceDN w:val="0"/>
        <w:adjustRightInd w:val="0"/>
        <w:ind w:left="567" w:hanging="567"/>
        <w:jc w:val="both"/>
        <w:rPr>
          <w:sz w:val="22"/>
          <w:szCs w:val="22"/>
          <w:lang w:val="hr-HR"/>
        </w:rPr>
      </w:pPr>
      <w:r w:rsidRPr="004C25BD">
        <w:rPr>
          <w:sz w:val="22"/>
          <w:szCs w:val="22"/>
          <w:lang w:val="hr-HR"/>
        </w:rPr>
        <w:t>-</w:t>
      </w:r>
      <w:r w:rsidRPr="004C25BD">
        <w:rPr>
          <w:sz w:val="22"/>
          <w:szCs w:val="22"/>
          <w:lang w:val="hr-HR"/>
        </w:rPr>
        <w:tab/>
        <w:t>manifestnom aterotrombotskom kardiovaskularnom bolešću (koronarna bolest srca, moždani udar ili periferna arterijska bolest u anamnezi) ili</w:t>
      </w:r>
    </w:p>
    <w:p w:rsidR="004C25BD" w:rsidRPr="004C25BD" w:rsidRDefault="004C25BD" w:rsidP="004C25BD">
      <w:pPr>
        <w:widowControl w:val="0"/>
        <w:tabs>
          <w:tab w:val="left" w:pos="540"/>
        </w:tabs>
        <w:autoSpaceDE w:val="0"/>
        <w:autoSpaceDN w:val="0"/>
        <w:adjustRightInd w:val="0"/>
        <w:ind w:left="567" w:hanging="567"/>
        <w:jc w:val="both"/>
        <w:rPr>
          <w:color w:val="000000"/>
          <w:sz w:val="22"/>
          <w:szCs w:val="22"/>
          <w:lang w:val="hr-HR"/>
        </w:rPr>
      </w:pPr>
      <w:r w:rsidRPr="004C25BD">
        <w:rPr>
          <w:color w:val="000000"/>
          <w:sz w:val="22"/>
          <w:szCs w:val="22"/>
          <w:lang w:val="hr-HR"/>
        </w:rPr>
        <w:t>-</w:t>
      </w:r>
      <w:r w:rsidRPr="004C25BD">
        <w:rPr>
          <w:color w:val="000000"/>
          <w:sz w:val="22"/>
          <w:szCs w:val="22"/>
          <w:lang w:val="hr-HR"/>
        </w:rPr>
        <w:tab/>
        <w:t>dijabetes melitus tip 2 sa dokazanim oštećenjem ciljnih organa.</w:t>
      </w:r>
    </w:p>
    <w:p w:rsidR="004C25BD" w:rsidRPr="004C25BD" w:rsidRDefault="004C25BD" w:rsidP="004C25BD">
      <w:pPr>
        <w:ind w:right="-483"/>
        <w:rPr>
          <w:bCs/>
          <w:sz w:val="22"/>
          <w:szCs w:val="22"/>
          <w:lang w:val="hr-HR" w:eastAsia="hr-HR"/>
        </w:rPr>
      </w:pPr>
    </w:p>
    <w:p w:rsidR="00431B77" w:rsidRDefault="00431B77" w:rsidP="004C25BD">
      <w:pPr>
        <w:ind w:right="-483"/>
        <w:rPr>
          <w:b/>
          <w:bCs/>
          <w:sz w:val="22"/>
          <w:szCs w:val="22"/>
          <w:lang w:val="hr-HR"/>
        </w:rPr>
      </w:pPr>
    </w:p>
    <w:p w:rsidR="00431B77" w:rsidRDefault="00431B77" w:rsidP="004C25BD">
      <w:pPr>
        <w:ind w:right="-483"/>
        <w:rPr>
          <w:b/>
          <w:bCs/>
          <w:sz w:val="22"/>
          <w:szCs w:val="22"/>
          <w:lang w:val="hr-HR"/>
        </w:rPr>
      </w:pPr>
    </w:p>
    <w:p w:rsidR="004C25BD" w:rsidRPr="004C25BD" w:rsidRDefault="004C25BD" w:rsidP="004C25BD">
      <w:pPr>
        <w:ind w:right="-483"/>
        <w:rPr>
          <w:b/>
          <w:bCs/>
          <w:sz w:val="22"/>
          <w:szCs w:val="22"/>
          <w:lang w:val="hr-HR"/>
        </w:rPr>
      </w:pPr>
      <w:r w:rsidRPr="004C25BD">
        <w:rPr>
          <w:b/>
          <w:bCs/>
          <w:sz w:val="22"/>
          <w:szCs w:val="22"/>
          <w:lang w:val="hr-HR"/>
        </w:rPr>
        <w:lastRenderedPageBreak/>
        <w:t>4.2. Doziranje i način primjene</w:t>
      </w:r>
    </w:p>
    <w:p w:rsidR="00431B77" w:rsidRDefault="00431B77" w:rsidP="004C25BD">
      <w:pPr>
        <w:widowControl w:val="0"/>
        <w:tabs>
          <w:tab w:val="left" w:pos="708"/>
        </w:tabs>
        <w:jc w:val="both"/>
        <w:rPr>
          <w:sz w:val="22"/>
          <w:szCs w:val="22"/>
          <w:u w:val="single"/>
          <w:lang w:val="hr-HR"/>
        </w:rPr>
      </w:pPr>
    </w:p>
    <w:p w:rsidR="004C25BD" w:rsidRPr="004C25BD" w:rsidRDefault="004C25BD" w:rsidP="004C25BD">
      <w:pPr>
        <w:widowControl w:val="0"/>
        <w:tabs>
          <w:tab w:val="left" w:pos="708"/>
        </w:tabs>
        <w:jc w:val="both"/>
        <w:rPr>
          <w:sz w:val="22"/>
          <w:szCs w:val="22"/>
          <w:u w:val="single"/>
          <w:lang w:val="hr-HR"/>
        </w:rPr>
      </w:pPr>
      <w:r w:rsidRPr="004C25BD">
        <w:rPr>
          <w:sz w:val="22"/>
          <w:szCs w:val="22"/>
          <w:u w:val="single"/>
          <w:lang w:val="hr-HR"/>
        </w:rPr>
        <w:t>Doziranje</w:t>
      </w:r>
    </w:p>
    <w:p w:rsidR="004C25BD" w:rsidRPr="004C25BD" w:rsidRDefault="004C25BD" w:rsidP="004C25BD">
      <w:pPr>
        <w:widowControl w:val="0"/>
        <w:tabs>
          <w:tab w:val="left" w:pos="708"/>
        </w:tabs>
        <w:jc w:val="both"/>
        <w:rPr>
          <w:sz w:val="22"/>
          <w:szCs w:val="22"/>
          <w:lang w:val="hr-HR"/>
        </w:rPr>
      </w:pPr>
    </w:p>
    <w:p w:rsidR="004C25BD" w:rsidRPr="004C25BD" w:rsidRDefault="004C25BD" w:rsidP="004C25BD">
      <w:pPr>
        <w:widowControl w:val="0"/>
        <w:tabs>
          <w:tab w:val="left" w:pos="540"/>
        </w:tabs>
        <w:autoSpaceDE w:val="0"/>
        <w:autoSpaceDN w:val="0"/>
        <w:adjustRightInd w:val="0"/>
        <w:jc w:val="both"/>
        <w:rPr>
          <w:rFonts w:eastAsia="Calibri"/>
          <w:b/>
          <w:bCs/>
          <w:sz w:val="22"/>
          <w:szCs w:val="22"/>
          <w:lang w:val="hr-HR" w:eastAsia="hr-HR"/>
        </w:rPr>
      </w:pPr>
      <w:r w:rsidRPr="004C25BD">
        <w:rPr>
          <w:color w:val="000000"/>
          <w:sz w:val="22"/>
          <w:szCs w:val="22"/>
          <w:u w:val="single"/>
          <w:lang w:val="hr-HR"/>
        </w:rPr>
        <w:t>Liječenje esencijalne hipertenzije</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Preporučena dnevna doza je 40 mg jednom  dnevno. Pojedini pacijenti mogu imati pozitivnan efekat već pri dnevnoj dozi od 20 mg. U slučajevima gdje nije postignuta ciljana vrijednost krvnog pritiska, doza telmisartana se može povisiti na maksimalno 80 mg jedanput dnevno. Kao alternativa, telmisartan se može primjenjivati u kombinaciji sa tiazidskim diureticima, kao što je hidrohlorotiazid, za koji se pokazalo da ima dodatni efekat na snižavanje krvnog pritiska uz telmisartan. Kada se razmatra povišenje doze, mora se imati na umu da se maksimalno antihipertenzivno dejstvo uopšteno postiže četiri do osam nedjelja nakon početka liječenja (vidjeti odjeljak  5.1).</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widowControl w:val="0"/>
        <w:autoSpaceDE w:val="0"/>
        <w:autoSpaceDN w:val="0"/>
        <w:adjustRightInd w:val="0"/>
        <w:jc w:val="both"/>
        <w:rPr>
          <w:sz w:val="22"/>
          <w:szCs w:val="22"/>
          <w:u w:val="single"/>
          <w:lang w:val="hr-HR"/>
        </w:rPr>
      </w:pPr>
      <w:r w:rsidRPr="004C25BD">
        <w:rPr>
          <w:sz w:val="22"/>
          <w:szCs w:val="22"/>
          <w:u w:val="single"/>
          <w:lang w:val="hr-HR"/>
        </w:rPr>
        <w:t>Kardiovaskularna prevencija</w:t>
      </w:r>
    </w:p>
    <w:p w:rsidR="004C25BD" w:rsidRPr="004C25BD" w:rsidRDefault="004C25BD" w:rsidP="004C25BD">
      <w:pPr>
        <w:widowControl w:val="0"/>
        <w:autoSpaceDE w:val="0"/>
        <w:autoSpaceDN w:val="0"/>
        <w:adjustRightInd w:val="0"/>
        <w:jc w:val="both"/>
        <w:rPr>
          <w:sz w:val="22"/>
          <w:szCs w:val="22"/>
          <w:lang w:val="hr-HR"/>
        </w:rPr>
      </w:pPr>
      <w:r w:rsidRPr="004C25BD">
        <w:rPr>
          <w:sz w:val="22"/>
          <w:szCs w:val="22"/>
          <w:lang w:val="hr-HR"/>
        </w:rPr>
        <w:t>Preporučena doza je 80 mg jednom dnevno. Nije poznato jesu li doze niže od 80 mg telmisartana efikasne u snižavanju kardiovaskularnog morbiditeta.</w:t>
      </w:r>
    </w:p>
    <w:p w:rsidR="004C25BD" w:rsidRPr="004C25BD" w:rsidRDefault="004C25BD" w:rsidP="004C25BD">
      <w:pPr>
        <w:widowControl w:val="0"/>
        <w:autoSpaceDE w:val="0"/>
        <w:autoSpaceDN w:val="0"/>
        <w:adjustRightInd w:val="0"/>
        <w:jc w:val="both"/>
        <w:rPr>
          <w:sz w:val="22"/>
          <w:szCs w:val="22"/>
          <w:lang w:val="hr-HR"/>
        </w:rPr>
      </w:pPr>
      <w:r w:rsidRPr="004C25BD">
        <w:rPr>
          <w:sz w:val="22"/>
          <w:szCs w:val="22"/>
          <w:lang w:val="hr-HR"/>
        </w:rPr>
        <w:t>Kada se započinje terapija telmisartanom zbog smanjenja kardiovaskularnog morbiditeta, potrebne su redovne kontrole krvnog pritiska, ako je potrebno, i  prilagođavanje doze drugih antihipertenziva.</w:t>
      </w:r>
    </w:p>
    <w:p w:rsidR="004C25BD" w:rsidRPr="004C25BD" w:rsidRDefault="004C25BD" w:rsidP="004C25BD">
      <w:pPr>
        <w:ind w:right="-483"/>
        <w:jc w:val="both"/>
        <w:rPr>
          <w:sz w:val="22"/>
          <w:szCs w:val="22"/>
          <w:lang w:val="hr-HR"/>
        </w:rPr>
      </w:pPr>
    </w:p>
    <w:p w:rsidR="004C25BD" w:rsidRPr="004C25BD" w:rsidRDefault="004C25BD" w:rsidP="004C25BD">
      <w:pPr>
        <w:widowControl w:val="0"/>
        <w:tabs>
          <w:tab w:val="left" w:pos="540"/>
        </w:tabs>
        <w:autoSpaceDE w:val="0"/>
        <w:autoSpaceDN w:val="0"/>
        <w:adjustRightInd w:val="0"/>
        <w:jc w:val="both"/>
        <w:rPr>
          <w:i/>
          <w:color w:val="000000"/>
          <w:sz w:val="22"/>
          <w:szCs w:val="22"/>
          <w:lang w:val="hr-HR"/>
        </w:rPr>
      </w:pPr>
      <w:r w:rsidRPr="004C25BD">
        <w:rPr>
          <w:i/>
          <w:color w:val="000000"/>
          <w:sz w:val="22"/>
          <w:szCs w:val="22"/>
          <w:lang w:val="hr-HR"/>
        </w:rPr>
        <w:t>Posebne populacije</w:t>
      </w:r>
    </w:p>
    <w:p w:rsidR="004C25BD" w:rsidRPr="004C25BD" w:rsidRDefault="004C25BD" w:rsidP="004C25BD">
      <w:pPr>
        <w:widowControl w:val="0"/>
        <w:autoSpaceDE w:val="0"/>
        <w:autoSpaceDN w:val="0"/>
        <w:adjustRightInd w:val="0"/>
        <w:jc w:val="both"/>
        <w:rPr>
          <w:color w:val="000000"/>
          <w:sz w:val="22"/>
          <w:szCs w:val="22"/>
          <w:lang w:val="hr-HR"/>
        </w:rPr>
      </w:pPr>
    </w:p>
    <w:p w:rsidR="004C25BD" w:rsidRPr="004C25BD" w:rsidRDefault="004C25BD" w:rsidP="004C25BD">
      <w:pPr>
        <w:widowControl w:val="0"/>
        <w:tabs>
          <w:tab w:val="left" w:pos="540"/>
        </w:tabs>
        <w:autoSpaceDE w:val="0"/>
        <w:autoSpaceDN w:val="0"/>
        <w:adjustRightInd w:val="0"/>
        <w:jc w:val="both"/>
        <w:rPr>
          <w:sz w:val="22"/>
          <w:szCs w:val="22"/>
          <w:u w:val="single"/>
          <w:lang w:val="hr-HR"/>
        </w:rPr>
      </w:pPr>
      <w:r w:rsidRPr="004C25BD">
        <w:rPr>
          <w:rFonts w:eastAsia="Calibri"/>
          <w:sz w:val="22"/>
          <w:szCs w:val="22"/>
          <w:u w:val="single"/>
          <w:lang w:val="hr-HR" w:eastAsia="hr-HR"/>
        </w:rPr>
        <w:t>Pacijenti sa oštećenjem bubrega</w:t>
      </w:r>
    </w:p>
    <w:p w:rsidR="004C25BD" w:rsidRPr="004C25BD" w:rsidRDefault="004C25BD" w:rsidP="004C25BD">
      <w:pPr>
        <w:widowControl w:val="0"/>
        <w:autoSpaceDE w:val="0"/>
        <w:autoSpaceDN w:val="0"/>
        <w:adjustRightInd w:val="0"/>
        <w:jc w:val="both"/>
        <w:rPr>
          <w:rFonts w:eastAsia="Calibri"/>
          <w:sz w:val="22"/>
          <w:szCs w:val="22"/>
          <w:lang w:val="hr-HR" w:eastAsia="hr-HR"/>
        </w:rPr>
      </w:pPr>
      <w:r w:rsidRPr="004C25BD">
        <w:rPr>
          <w:rFonts w:eastAsia="Calibri"/>
          <w:sz w:val="22"/>
          <w:szCs w:val="22"/>
          <w:lang w:val="hr-HR" w:eastAsia="hr-HR"/>
        </w:rPr>
        <w:t>Postoji ograničeno iskustvo kod pacijenata sa teškim oštećenjem bubrega ili pacijenata na hemodijalizi. Kod ovih pacijenata preporučuje se niža početna doza od 20 mg (vidjeti odjeljak 4.4). Nije potrebno prilagođavanje doze kod pacijenata sa blagim do umjerenim oštećenjem bubrega.</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widowControl w:val="0"/>
        <w:tabs>
          <w:tab w:val="left" w:pos="540"/>
        </w:tabs>
        <w:jc w:val="both"/>
        <w:rPr>
          <w:color w:val="auto"/>
          <w:sz w:val="22"/>
          <w:szCs w:val="22"/>
          <w:u w:val="single"/>
          <w:lang w:val="hr-HR"/>
        </w:rPr>
      </w:pPr>
      <w:r w:rsidRPr="004C25BD">
        <w:rPr>
          <w:color w:val="auto"/>
          <w:sz w:val="22"/>
          <w:szCs w:val="22"/>
          <w:u w:val="single"/>
          <w:lang w:val="hr-HR"/>
        </w:rPr>
        <w:t>Pacijenti sa oštećenje</w:t>
      </w:r>
      <w:r w:rsidR="00781426">
        <w:rPr>
          <w:color w:val="auto"/>
          <w:sz w:val="22"/>
          <w:szCs w:val="22"/>
          <w:u w:val="single"/>
          <w:lang w:val="hr-HR"/>
        </w:rPr>
        <w:t>m</w:t>
      </w:r>
      <w:r w:rsidRPr="004C25BD">
        <w:rPr>
          <w:color w:val="auto"/>
          <w:sz w:val="22"/>
          <w:szCs w:val="22"/>
          <w:u w:val="single"/>
          <w:lang w:val="hr-HR"/>
        </w:rPr>
        <w:t xml:space="preserve"> jetre</w:t>
      </w:r>
    </w:p>
    <w:p w:rsidR="004C25BD" w:rsidRPr="004C25BD" w:rsidRDefault="004C25BD" w:rsidP="004C25BD">
      <w:pPr>
        <w:pStyle w:val="Default"/>
        <w:widowControl w:val="0"/>
        <w:tabs>
          <w:tab w:val="left" w:pos="540"/>
        </w:tabs>
        <w:jc w:val="both"/>
        <w:rPr>
          <w:color w:val="auto"/>
          <w:sz w:val="22"/>
          <w:szCs w:val="22"/>
          <w:lang w:val="hr-HR"/>
        </w:rPr>
      </w:pPr>
      <w:r w:rsidRPr="004C25BD">
        <w:rPr>
          <w:color w:val="auto"/>
          <w:sz w:val="22"/>
          <w:szCs w:val="22"/>
          <w:lang w:val="hr-HR"/>
        </w:rPr>
        <w:t>Kod pacijenata sa blagim do umjerenim oštećenjem jetre doziranje ne smije prelaziti 40 mg jedanput dnevno (vidjeti odjeljak  4.4).</w:t>
      </w:r>
    </w:p>
    <w:p w:rsidR="004C25BD" w:rsidRPr="004C25BD" w:rsidRDefault="004C25BD" w:rsidP="004C25BD">
      <w:pPr>
        <w:ind w:right="-483"/>
        <w:jc w:val="both"/>
        <w:rPr>
          <w:sz w:val="22"/>
          <w:szCs w:val="22"/>
          <w:lang w:val="hr-HR" w:eastAsia="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Starije osobe</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Nije potrebno prilagodjavanje doze kod starijih pacijenata.</w:t>
      </w:r>
    </w:p>
    <w:p w:rsidR="004C25BD" w:rsidRPr="004C25BD" w:rsidRDefault="004C25BD" w:rsidP="004C25BD">
      <w:pPr>
        <w:widowControl w:val="0"/>
        <w:tabs>
          <w:tab w:val="left" w:pos="540"/>
        </w:tabs>
        <w:autoSpaceDE w:val="0"/>
        <w:autoSpaceDN w:val="0"/>
        <w:adjustRightInd w:val="0"/>
        <w:jc w:val="both"/>
        <w:rPr>
          <w:color w:val="000000"/>
          <w:sz w:val="22"/>
          <w:szCs w:val="22"/>
          <w:lang w:val="hr-HR"/>
        </w:rPr>
      </w:pPr>
    </w:p>
    <w:p w:rsidR="004C25BD" w:rsidRPr="004C25BD" w:rsidRDefault="004C25BD" w:rsidP="004C25BD">
      <w:pPr>
        <w:widowControl w:val="0"/>
        <w:tabs>
          <w:tab w:val="left" w:pos="540"/>
        </w:tabs>
        <w:autoSpaceDE w:val="0"/>
        <w:autoSpaceDN w:val="0"/>
        <w:adjustRightInd w:val="0"/>
        <w:jc w:val="both"/>
        <w:rPr>
          <w:i/>
          <w:color w:val="000000"/>
          <w:sz w:val="22"/>
          <w:szCs w:val="22"/>
          <w:lang w:val="hr-HR"/>
        </w:rPr>
      </w:pPr>
      <w:r w:rsidRPr="004C25BD">
        <w:rPr>
          <w:i/>
          <w:color w:val="000000"/>
          <w:sz w:val="22"/>
          <w:szCs w:val="22"/>
          <w:lang w:val="hr-HR"/>
        </w:rPr>
        <w:t>Pedijatrijska populacija</w:t>
      </w:r>
    </w:p>
    <w:p w:rsidR="004C25BD" w:rsidRPr="004C25BD" w:rsidRDefault="004C25BD" w:rsidP="004C25BD">
      <w:pPr>
        <w:widowControl w:val="0"/>
        <w:tabs>
          <w:tab w:val="left" w:pos="540"/>
        </w:tabs>
        <w:autoSpaceDE w:val="0"/>
        <w:autoSpaceDN w:val="0"/>
        <w:adjustRightInd w:val="0"/>
        <w:jc w:val="both"/>
        <w:rPr>
          <w:color w:val="000000"/>
          <w:sz w:val="22"/>
          <w:szCs w:val="22"/>
          <w:lang w:val="hr-HR"/>
        </w:rPr>
      </w:pPr>
    </w:p>
    <w:p w:rsidR="004C25BD" w:rsidRPr="004C25BD" w:rsidRDefault="004C25BD" w:rsidP="004C25BD">
      <w:pPr>
        <w:widowControl w:val="0"/>
        <w:tabs>
          <w:tab w:val="left" w:pos="540"/>
        </w:tabs>
        <w:autoSpaceDE w:val="0"/>
        <w:autoSpaceDN w:val="0"/>
        <w:adjustRightInd w:val="0"/>
        <w:jc w:val="both"/>
        <w:rPr>
          <w:color w:val="000000"/>
          <w:sz w:val="22"/>
          <w:szCs w:val="22"/>
          <w:lang w:val="hr-HR"/>
        </w:rPr>
      </w:pPr>
      <w:r w:rsidRPr="004C25BD">
        <w:rPr>
          <w:color w:val="000000"/>
          <w:sz w:val="22"/>
          <w:szCs w:val="22"/>
          <w:lang w:val="hr-HR"/>
        </w:rPr>
        <w:t>Bezbjednost i efikasnost lijeka Tolura nije utvrđena kod djece i adolescenata ispod 18 godina.</w:t>
      </w:r>
    </w:p>
    <w:p w:rsidR="004C25BD" w:rsidRPr="004C25BD" w:rsidRDefault="004C25BD" w:rsidP="004C25BD">
      <w:pPr>
        <w:widowControl w:val="0"/>
        <w:tabs>
          <w:tab w:val="left" w:pos="540"/>
        </w:tabs>
        <w:autoSpaceDE w:val="0"/>
        <w:autoSpaceDN w:val="0"/>
        <w:adjustRightInd w:val="0"/>
        <w:jc w:val="both"/>
        <w:rPr>
          <w:color w:val="000000"/>
          <w:sz w:val="22"/>
          <w:szCs w:val="22"/>
          <w:lang w:val="hr-HR"/>
        </w:rPr>
      </w:pPr>
      <w:r w:rsidRPr="004C25BD">
        <w:rPr>
          <w:color w:val="000000"/>
          <w:sz w:val="22"/>
          <w:szCs w:val="22"/>
          <w:lang w:val="hr-HR"/>
        </w:rPr>
        <w:t>Trenutno dostupni podaci opisani su u odjeljak 5.1 i 5.2, međutim, nije moguće dati preporuku o doziranju.</w:t>
      </w:r>
    </w:p>
    <w:p w:rsidR="004C25BD" w:rsidRPr="004C25BD" w:rsidRDefault="004C25BD" w:rsidP="004C25BD">
      <w:pPr>
        <w:widowControl w:val="0"/>
        <w:tabs>
          <w:tab w:val="left" w:pos="540"/>
        </w:tabs>
        <w:autoSpaceDE w:val="0"/>
        <w:autoSpaceDN w:val="0"/>
        <w:adjustRightInd w:val="0"/>
        <w:jc w:val="both"/>
        <w:rPr>
          <w:color w:val="000000"/>
          <w:sz w:val="22"/>
          <w:szCs w:val="22"/>
          <w:lang w:val="hr-HR"/>
        </w:rPr>
      </w:pPr>
    </w:p>
    <w:p w:rsidR="004C25BD" w:rsidRPr="004C25BD" w:rsidRDefault="004C25BD" w:rsidP="004C25BD">
      <w:pPr>
        <w:widowControl w:val="0"/>
        <w:jc w:val="both"/>
        <w:rPr>
          <w:bCs/>
          <w:sz w:val="22"/>
          <w:szCs w:val="22"/>
          <w:lang w:val="hr-HR"/>
        </w:rPr>
      </w:pPr>
      <w:r w:rsidRPr="004C25BD">
        <w:rPr>
          <w:bCs/>
          <w:color w:val="000000"/>
          <w:sz w:val="22"/>
          <w:szCs w:val="22"/>
          <w:u w:val="single"/>
          <w:lang w:val="hr-HR"/>
        </w:rPr>
        <w:t>Način primjene</w:t>
      </w:r>
    </w:p>
    <w:p w:rsidR="004C25BD" w:rsidRPr="004C25BD" w:rsidRDefault="004C25BD" w:rsidP="004C25BD">
      <w:pPr>
        <w:widowControl w:val="0"/>
        <w:tabs>
          <w:tab w:val="left" w:pos="567"/>
        </w:tabs>
        <w:jc w:val="both"/>
        <w:rPr>
          <w:sz w:val="22"/>
          <w:szCs w:val="22"/>
          <w:lang w:val="hr-HR"/>
        </w:rPr>
      </w:pPr>
      <w:r w:rsidRPr="004C25BD">
        <w:rPr>
          <w:sz w:val="22"/>
          <w:szCs w:val="22"/>
          <w:lang w:val="hr-HR"/>
        </w:rPr>
        <w:t>Telmisartan tablete primjenjuju se peroralno jednom dnevno i trebaju se uzimati sa tečnošću, sa ili bez hrane.</w:t>
      </w:r>
    </w:p>
    <w:p w:rsidR="004C25BD" w:rsidRPr="004C25BD" w:rsidRDefault="004C25BD" w:rsidP="004C25BD">
      <w:pPr>
        <w:widowControl w:val="0"/>
        <w:jc w:val="both"/>
        <w:rPr>
          <w:sz w:val="22"/>
          <w:szCs w:val="22"/>
          <w:lang w:val="hr-HR"/>
        </w:rPr>
      </w:pPr>
    </w:p>
    <w:p w:rsidR="004C25BD" w:rsidRPr="004C25BD" w:rsidRDefault="004C25BD" w:rsidP="004C25BD">
      <w:pPr>
        <w:widowControl w:val="0"/>
        <w:jc w:val="both"/>
        <w:rPr>
          <w:i/>
          <w:iCs/>
          <w:sz w:val="22"/>
          <w:szCs w:val="22"/>
          <w:lang w:val="hr-HR"/>
        </w:rPr>
      </w:pPr>
      <w:r w:rsidRPr="004C25BD">
        <w:rPr>
          <w:i/>
          <w:iCs/>
          <w:sz w:val="22"/>
          <w:szCs w:val="22"/>
          <w:lang w:val="hr-HR"/>
        </w:rPr>
        <w:t>Mjere opreza koje treba preduzeti prije rukovanja ili primjene lijeka</w:t>
      </w:r>
    </w:p>
    <w:p w:rsidR="004C25BD" w:rsidRPr="004C25BD" w:rsidRDefault="004C25BD" w:rsidP="004C25BD">
      <w:pPr>
        <w:widowControl w:val="0"/>
        <w:jc w:val="both"/>
        <w:rPr>
          <w:sz w:val="22"/>
          <w:szCs w:val="22"/>
          <w:lang w:val="hr-HR"/>
        </w:rPr>
      </w:pPr>
    </w:p>
    <w:p w:rsidR="004C25BD" w:rsidRPr="004C25BD" w:rsidRDefault="004C25BD" w:rsidP="004C25BD">
      <w:pPr>
        <w:widowControl w:val="0"/>
        <w:jc w:val="both"/>
        <w:rPr>
          <w:sz w:val="22"/>
          <w:szCs w:val="22"/>
          <w:lang w:val="hr-HR"/>
        </w:rPr>
      </w:pPr>
      <w:r w:rsidRPr="004C25BD">
        <w:rPr>
          <w:sz w:val="22"/>
          <w:szCs w:val="22"/>
          <w:lang w:val="hr-HR"/>
        </w:rPr>
        <w:t>Telmisartan treba čuvati u zapečaćenom blisteru zbog higroskopskog svojstva tableta. Tablete se trebaju izvaditi iz blistera neposredno prije primjene (vidjeti odjeljak 6.6).</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ind w:right="-483"/>
        <w:jc w:val="both"/>
        <w:rPr>
          <w:sz w:val="22"/>
          <w:szCs w:val="22"/>
          <w:lang w:val="hr-HR" w:eastAsia="hr-HR"/>
        </w:rPr>
      </w:pPr>
    </w:p>
    <w:p w:rsidR="004C25BD" w:rsidRPr="004C25BD" w:rsidRDefault="004C25BD" w:rsidP="004C25BD">
      <w:pPr>
        <w:tabs>
          <w:tab w:val="left" w:pos="426"/>
        </w:tabs>
        <w:ind w:right="-483"/>
        <w:rPr>
          <w:b/>
          <w:bCs/>
          <w:sz w:val="22"/>
          <w:szCs w:val="22"/>
          <w:lang w:val="hr-HR" w:eastAsia="hr-HR"/>
        </w:rPr>
      </w:pPr>
      <w:r w:rsidRPr="004C25BD">
        <w:rPr>
          <w:b/>
          <w:bCs/>
          <w:sz w:val="22"/>
          <w:szCs w:val="22"/>
          <w:lang w:val="hr-HR"/>
        </w:rPr>
        <w:lastRenderedPageBreak/>
        <w:t>4.3. Kontraindikacije</w:t>
      </w:r>
    </w:p>
    <w:p w:rsidR="004C25BD" w:rsidRPr="004C25BD" w:rsidRDefault="004C25BD" w:rsidP="004C25BD">
      <w:pPr>
        <w:ind w:right="-483"/>
        <w:jc w:val="both"/>
        <w:rPr>
          <w:sz w:val="22"/>
          <w:szCs w:val="22"/>
          <w:lang w:val="hr-HR" w:eastAsia="hr-HR"/>
        </w:rPr>
      </w:pPr>
    </w:p>
    <w:p w:rsidR="004C25BD" w:rsidRPr="004C25BD" w:rsidRDefault="004C25BD" w:rsidP="004C25BD">
      <w:pPr>
        <w:pStyle w:val="ListParagraph"/>
        <w:numPr>
          <w:ilvl w:val="0"/>
          <w:numId w:val="44"/>
        </w:numPr>
        <w:tabs>
          <w:tab w:val="clear" w:pos="284"/>
        </w:tabs>
        <w:ind w:left="567" w:hanging="567"/>
        <w:contextualSpacing/>
        <w:rPr>
          <w:sz w:val="22"/>
          <w:szCs w:val="22"/>
          <w:lang w:val="hr-HR" w:eastAsia="hr-HR"/>
        </w:rPr>
      </w:pPr>
      <w:r w:rsidRPr="004C25BD">
        <w:rPr>
          <w:sz w:val="22"/>
          <w:szCs w:val="22"/>
          <w:lang w:val="hr-HR" w:eastAsia="hr-HR"/>
        </w:rPr>
        <w:t xml:space="preserve">Preosjetljivost na aktivnu supstancu ili na bilo koju od pomoćnih supstanci </w:t>
      </w:r>
      <w:r w:rsidRPr="004C25BD">
        <w:rPr>
          <w:sz w:val="22"/>
          <w:szCs w:val="22"/>
          <w:lang w:val="hr-HR"/>
        </w:rPr>
        <w:t>(vidjeti odjeljak 6.1)</w:t>
      </w:r>
      <w:r w:rsidRPr="004C25BD">
        <w:rPr>
          <w:sz w:val="22"/>
          <w:szCs w:val="22"/>
          <w:lang w:val="hr-HR" w:eastAsia="hr-HR"/>
        </w:rPr>
        <w:t>.</w:t>
      </w:r>
    </w:p>
    <w:p w:rsidR="004C25BD" w:rsidRPr="004C25BD" w:rsidRDefault="004C25BD" w:rsidP="004C25BD">
      <w:pPr>
        <w:pStyle w:val="Default"/>
        <w:numPr>
          <w:ilvl w:val="0"/>
          <w:numId w:val="44"/>
        </w:numPr>
        <w:ind w:left="567" w:hanging="567"/>
        <w:jc w:val="both"/>
        <w:rPr>
          <w:color w:val="auto"/>
          <w:sz w:val="22"/>
          <w:szCs w:val="22"/>
          <w:lang w:val="hr-HR"/>
        </w:rPr>
      </w:pPr>
      <w:r w:rsidRPr="004C25BD">
        <w:rPr>
          <w:color w:val="auto"/>
          <w:sz w:val="22"/>
          <w:szCs w:val="22"/>
          <w:lang w:val="hr-HR"/>
        </w:rPr>
        <w:t>Drugo i treće tromjesečje trudnoće (vidjeti odjeljak 4.4 i 4.6).</w:t>
      </w:r>
    </w:p>
    <w:p w:rsidR="004C25BD" w:rsidRPr="004C25BD" w:rsidRDefault="004C25BD" w:rsidP="004C25BD">
      <w:pPr>
        <w:pStyle w:val="Default"/>
        <w:numPr>
          <w:ilvl w:val="0"/>
          <w:numId w:val="44"/>
        </w:numPr>
        <w:ind w:left="567" w:hanging="567"/>
        <w:jc w:val="both"/>
        <w:rPr>
          <w:color w:val="auto"/>
          <w:sz w:val="22"/>
          <w:szCs w:val="22"/>
          <w:lang w:val="hr-HR"/>
        </w:rPr>
      </w:pPr>
      <w:r w:rsidRPr="004C25BD">
        <w:rPr>
          <w:color w:val="auto"/>
          <w:sz w:val="22"/>
          <w:szCs w:val="22"/>
          <w:lang w:val="hr-HR"/>
        </w:rPr>
        <w:t>Bilijarno opstruktivni poremećaji.</w:t>
      </w:r>
    </w:p>
    <w:p w:rsidR="004C25BD" w:rsidRPr="004C25BD" w:rsidRDefault="004C25BD" w:rsidP="004C25BD">
      <w:pPr>
        <w:pStyle w:val="ListParagraph"/>
        <w:numPr>
          <w:ilvl w:val="0"/>
          <w:numId w:val="44"/>
        </w:numPr>
        <w:tabs>
          <w:tab w:val="clear" w:pos="284"/>
        </w:tabs>
        <w:ind w:left="567" w:hanging="567"/>
        <w:contextualSpacing/>
        <w:rPr>
          <w:sz w:val="22"/>
          <w:szCs w:val="22"/>
          <w:lang w:val="hr-HR"/>
        </w:rPr>
      </w:pPr>
      <w:r w:rsidRPr="004C25BD">
        <w:rPr>
          <w:sz w:val="22"/>
          <w:szCs w:val="22"/>
          <w:lang w:val="hr-HR"/>
        </w:rPr>
        <w:t>Teško oštećenje jetre.</w:t>
      </w:r>
    </w:p>
    <w:p w:rsidR="004C25BD" w:rsidRPr="004C25BD" w:rsidRDefault="004C25BD" w:rsidP="004C25BD">
      <w:pPr>
        <w:pStyle w:val="ListParagraph"/>
        <w:ind w:left="567"/>
        <w:rPr>
          <w:sz w:val="22"/>
          <w:szCs w:val="22"/>
          <w:lang w:val="hr-HR"/>
        </w:rPr>
      </w:pPr>
    </w:p>
    <w:p w:rsidR="004C25BD" w:rsidRPr="004C25BD" w:rsidRDefault="004C25BD" w:rsidP="004C25BD">
      <w:pPr>
        <w:ind w:right="-1"/>
        <w:jc w:val="both"/>
        <w:rPr>
          <w:sz w:val="22"/>
          <w:szCs w:val="22"/>
          <w:lang w:val="hr-HR" w:eastAsia="hr-HR"/>
        </w:rPr>
      </w:pPr>
      <w:r w:rsidRPr="004C25BD">
        <w:rPr>
          <w:sz w:val="22"/>
          <w:szCs w:val="22"/>
          <w:lang w:val="hr-HR" w:eastAsia="hr-HR"/>
        </w:rPr>
        <w:t>Istovremena primjena lijeka Tolura sa ljekovima koji sadrže aliskiren komtraindikovana je u pacijenata sa šećernom bolešću ili oštećenjem bubrega (GER &lt; 60 ml/min/1,73 m</w:t>
      </w:r>
      <w:r w:rsidRPr="004C25BD">
        <w:rPr>
          <w:sz w:val="22"/>
          <w:szCs w:val="22"/>
          <w:vertAlign w:val="superscript"/>
          <w:lang w:val="hr-HR" w:eastAsia="hr-HR"/>
        </w:rPr>
        <w:t>2</w:t>
      </w:r>
      <w:r w:rsidRPr="004C25BD">
        <w:rPr>
          <w:sz w:val="22"/>
          <w:szCs w:val="22"/>
          <w:lang w:val="hr-HR" w:eastAsia="hr-HR"/>
        </w:rPr>
        <w:t>) (vidjeti djelove 5.5 i 5.1)</w:t>
      </w:r>
    </w:p>
    <w:p w:rsidR="004C25BD" w:rsidRPr="004C25BD" w:rsidRDefault="004C25BD" w:rsidP="004C25BD">
      <w:pPr>
        <w:ind w:right="-483"/>
        <w:jc w:val="both"/>
        <w:rPr>
          <w:sz w:val="22"/>
          <w:szCs w:val="22"/>
          <w:lang w:val="hr-HR" w:eastAsia="hr-HR"/>
        </w:rPr>
      </w:pPr>
    </w:p>
    <w:p w:rsidR="004C25BD" w:rsidRPr="004C25BD" w:rsidRDefault="004C25BD" w:rsidP="004C25BD">
      <w:pPr>
        <w:jc w:val="both"/>
        <w:rPr>
          <w:b/>
          <w:sz w:val="22"/>
          <w:szCs w:val="22"/>
          <w:lang w:val="hr-HR"/>
        </w:rPr>
      </w:pPr>
      <w:r w:rsidRPr="004C25BD">
        <w:rPr>
          <w:b/>
          <w:sz w:val="22"/>
          <w:szCs w:val="22"/>
          <w:lang w:val="hr-HR"/>
        </w:rPr>
        <w:t>4.4. Posebna upozorenja i mjere opreza pri upotrebi lijeka</w:t>
      </w:r>
    </w:p>
    <w:p w:rsidR="004C25BD" w:rsidRPr="004C25BD" w:rsidRDefault="004C25BD" w:rsidP="004C25BD">
      <w:pPr>
        <w:jc w:val="both"/>
        <w:rPr>
          <w:sz w:val="22"/>
          <w:szCs w:val="22"/>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Trudnoća</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Primjena antagonista receptora angiotenzina II ne smije se započinjati tokom trudnoće. Osim ako se nastavak terapije antagonistima receptora angiotenzina II ne smatra nužnim, pacijentkinje koje planiraju trudnoću treba da nastave liječenje drugim antihipertenzivima sa utvrđenim bezbjednosnim profilom kod primjene u trudnoći. Kada se utvrdi trudnoća, liječenje antagonistima receptora angiotenzina II se mora trenutno prekinuti, ako je potrebno, započeti sa primjenom drugog lijeka (vidjeti odjeljak 4.3 i 4.6).</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Oštećenje jetre</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 xml:space="preserve">Tolura se ne smije davati pacijentima sa holestazom, bilijarno opstruktivnim poremećajima, ili teškim oštećenjem jetre (vidjeti odjeljak 4.3), s obzirom da se telmisartan uglavnom eliminiše putem žuči. </w:t>
      </w:r>
    </w:p>
    <w:p w:rsidR="004C25BD" w:rsidRPr="004C25BD" w:rsidRDefault="004C25BD" w:rsidP="004C25BD">
      <w:pPr>
        <w:widowControl w:val="0"/>
        <w:autoSpaceDE w:val="0"/>
        <w:autoSpaceDN w:val="0"/>
        <w:adjustRightInd w:val="0"/>
        <w:jc w:val="both"/>
        <w:rPr>
          <w:rFonts w:eastAsia="Calibri"/>
          <w:sz w:val="22"/>
          <w:szCs w:val="22"/>
          <w:lang w:val="hr-HR" w:eastAsia="hr-HR"/>
        </w:rPr>
      </w:pPr>
      <w:r w:rsidRPr="004C25BD">
        <w:rPr>
          <w:rFonts w:eastAsia="Calibri"/>
          <w:sz w:val="22"/>
          <w:szCs w:val="22"/>
          <w:lang w:val="hr-HR" w:eastAsia="hr-HR"/>
        </w:rPr>
        <w:t>Kod ovih pacijenata  očekuje se smanjeni klirens telmisartana u jetri. Tolura se treba primjenjivati isključivo sa oprezom kod pacijenata sa blagim do umjerenim oštećenjem jetre</w:t>
      </w:r>
      <w:r w:rsidRPr="004C25BD">
        <w:rPr>
          <w:sz w:val="22"/>
          <w:szCs w:val="22"/>
          <w:lang w:val="hr-HR"/>
        </w:rPr>
        <w:t>.</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Renovaskularna hipertenzija</w:t>
      </w:r>
    </w:p>
    <w:p w:rsidR="004C25BD" w:rsidRPr="004C25BD" w:rsidRDefault="004C25BD" w:rsidP="004C25BD">
      <w:pPr>
        <w:widowControl w:val="0"/>
        <w:autoSpaceDE w:val="0"/>
        <w:autoSpaceDN w:val="0"/>
        <w:adjustRightInd w:val="0"/>
        <w:jc w:val="both"/>
        <w:rPr>
          <w:sz w:val="22"/>
          <w:szCs w:val="22"/>
          <w:lang w:val="hr-HR"/>
        </w:rPr>
      </w:pPr>
      <w:r w:rsidRPr="004C25BD">
        <w:rPr>
          <w:rFonts w:eastAsia="Calibri"/>
          <w:sz w:val="22"/>
          <w:szCs w:val="22"/>
          <w:lang w:val="hr-HR" w:eastAsia="hr-HR"/>
        </w:rPr>
        <w:t>Postoji povećan rizik od teške hipotenzije i insuficijencije bubrega kada se pacijenti sa bilateralnom stenozom bubrežne arterije ili stenozom arterije jednog funkcionalnog bubrega liječe ljekovima koji utiču na sistem renin-angiotenzin-aldosteron.</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Oštećenje bubrega i transplantacija bubrega</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Kada se Tolura primjenjuje kod pacijenata sa oštećenom funkcijom bubrega, preporučuje se povremeno praćenje vrijednosti kalijuma i kreatinina u serumu. Ne postoji iskustvo u primjeni Tolure kod pacijenata koji su nedavno imali transplantaciju bubrega.</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Intravaskularna hipovolemija</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Simptomatska hipotenzija, posebno nakon prve doze Tolure, se može pojaviti kod pacijenata koji imaju depleciju volumena i/ili natrijuma zbog snažne terapije diureticima, prehrane sa ograničenim unosom soli, proliva ili povraćanja. Takva stanja se moraju korigovati prije primjene lijeka Tolura. Deplecija volumena i/ili natrijuma  se mora korigovati prije primjene lijeka Tolura.</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Dvostruka blokada sastava renin-angiotenzin-aldosteron</w:t>
      </w:r>
    </w:p>
    <w:p w:rsidR="004C25BD" w:rsidRPr="004C25BD" w:rsidRDefault="004C25BD" w:rsidP="004C25BD">
      <w:pPr>
        <w:tabs>
          <w:tab w:val="left" w:pos="567"/>
        </w:tabs>
        <w:jc w:val="both"/>
        <w:rPr>
          <w:sz w:val="22"/>
          <w:szCs w:val="22"/>
          <w:lang w:val="hr-HR" w:eastAsia="it-IT"/>
        </w:rPr>
      </w:pPr>
      <w:r w:rsidRPr="004C25BD">
        <w:rPr>
          <w:sz w:val="22"/>
          <w:szCs w:val="22"/>
          <w:lang w:val="hr-HR" w:eastAsia="it-IT"/>
        </w:rPr>
        <w:t>Postoje dokazi da istovremena primjena ACE inhibitora, blokatora angiotenzin II receptora ili aliskirena povećava rizik od hipotenzije, hiperkalemije i smanjene bubrežne funkcije (uključujući akutnu insuficijenciju bubrega). Dvostruka blokada RAAS-a kombinovanom primjenom ACE inhibitora, blokatora angiotenzin II receptora ili aliskirena stoga se ne preporučuje (vidjeti odjeljak 4.5 i 5.1).</w:t>
      </w:r>
    </w:p>
    <w:p w:rsidR="004C25BD" w:rsidRPr="004C25BD" w:rsidRDefault="004C25BD" w:rsidP="004C25BD">
      <w:pPr>
        <w:tabs>
          <w:tab w:val="left" w:pos="567"/>
        </w:tabs>
        <w:jc w:val="both"/>
        <w:rPr>
          <w:sz w:val="22"/>
          <w:szCs w:val="22"/>
          <w:lang w:val="hr-HR" w:eastAsia="it-IT"/>
        </w:rPr>
      </w:pPr>
      <w:r w:rsidRPr="004C25BD">
        <w:rPr>
          <w:sz w:val="22"/>
          <w:szCs w:val="22"/>
          <w:lang w:val="hr-HR" w:eastAsia="it-IT"/>
        </w:rPr>
        <w:lastRenderedPageBreak/>
        <w:t>Ako se terapija dvostrukom blokadom smatra apsolutno nužnom, smije se samo sprovoditi pod nadzorom specijalista i uz pažljivo praćenje bubrežne funkcije, elektrolita i krvnog pritiska.</w:t>
      </w:r>
    </w:p>
    <w:p w:rsidR="004C25BD" w:rsidRPr="004C25BD" w:rsidRDefault="004C25BD" w:rsidP="004C25BD">
      <w:pPr>
        <w:tabs>
          <w:tab w:val="left" w:pos="567"/>
        </w:tabs>
        <w:jc w:val="both"/>
        <w:rPr>
          <w:sz w:val="22"/>
          <w:szCs w:val="22"/>
          <w:lang w:val="hr-HR"/>
        </w:rPr>
      </w:pPr>
      <w:r w:rsidRPr="004C25BD">
        <w:rPr>
          <w:sz w:val="22"/>
          <w:szCs w:val="22"/>
          <w:lang w:val="hr-HR"/>
        </w:rPr>
        <w:t>ACE inhibitori i blokatori angiotentin II receptora ne smiju se primjenjivati istovremeno kod pacijenata sa dijabetičkom nefropatijom.”</w:t>
      </w:r>
    </w:p>
    <w:p w:rsidR="004C25BD" w:rsidRPr="004C25BD" w:rsidRDefault="004C25BD" w:rsidP="004C25BD">
      <w:pPr>
        <w:pStyle w:val="Default"/>
        <w:tabs>
          <w:tab w:val="left" w:pos="540"/>
        </w:tabs>
        <w:jc w:val="both"/>
        <w:rPr>
          <w:color w:val="auto"/>
          <w:sz w:val="22"/>
          <w:szCs w:val="22"/>
          <w:u w:val="single"/>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Ostala stanja sa stimulacijom sistema renin-angiotenzin-aldosteron</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Kod pacijenata čiji vaskularni tonus i bubrežna funkcija zavise uglavnom od aktivnosti sastava renin-angiotenzin-aldosteron (npr. pacijenti sa teškim kongestivnim insufencijencijom srca ili osnovnom bubrežnom bolešću, uključujući stenozu bubrežne arterije), liječenje ljekovima koji utiču na ovaj sistem, kao što je telmisartan, je povezano sa akutnom hipotenzijom, hiperazotemijom, oligurijom, ili, rijetko, akutnom insuficijencijom bubrega (vidjeti odjeljak 4.8).</w:t>
      </w:r>
    </w:p>
    <w:p w:rsidR="004C25BD" w:rsidRPr="004C25BD" w:rsidRDefault="004C25BD" w:rsidP="004C25BD">
      <w:pPr>
        <w:pStyle w:val="Default"/>
        <w:tabs>
          <w:tab w:val="left" w:pos="540"/>
        </w:tabs>
        <w:rPr>
          <w:color w:val="auto"/>
          <w:sz w:val="22"/>
          <w:szCs w:val="22"/>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Primarni aldosteronizam</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Pacijenti sa primarnim aldosteronizmom generalno ne reaguju na antihipertenzivne ljekove koji djeluju putem inhibicije sastava renin-angiotenzin. Stoga se ne preporučuje primjena telmisartana.</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Stenoza aortnog i mitralnog zaliska, opstruktivna hipertrofička kardiomiopatija</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Kao i sa ostalim vazodilatatorima, potreban je poseban oprez za pacijente koji pate od aortne ili mitralne stenoze, ili opstruktivne hipertrofičke kardiomiopatije.</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widowControl w:val="0"/>
        <w:tabs>
          <w:tab w:val="left" w:pos="540"/>
        </w:tabs>
        <w:autoSpaceDE w:val="0"/>
        <w:autoSpaceDN w:val="0"/>
        <w:adjustRightInd w:val="0"/>
        <w:jc w:val="both"/>
        <w:rPr>
          <w:sz w:val="22"/>
          <w:szCs w:val="22"/>
          <w:u w:val="single"/>
          <w:lang w:val="hr-HR"/>
        </w:rPr>
      </w:pPr>
      <w:r w:rsidRPr="004C25BD">
        <w:rPr>
          <w:sz w:val="22"/>
          <w:szCs w:val="22"/>
          <w:u w:val="single"/>
          <w:lang w:val="hr-HR"/>
        </w:rPr>
        <w:t>Pacijenti sa dijabetesom liječeni insulinom ili antidijabeticima</w:t>
      </w:r>
    </w:p>
    <w:p w:rsidR="004C25BD" w:rsidRPr="004C25BD" w:rsidRDefault="004C25BD" w:rsidP="004C25BD">
      <w:pPr>
        <w:widowControl w:val="0"/>
        <w:tabs>
          <w:tab w:val="left" w:pos="540"/>
        </w:tabs>
        <w:autoSpaceDE w:val="0"/>
        <w:autoSpaceDN w:val="0"/>
        <w:adjustRightInd w:val="0"/>
        <w:jc w:val="both"/>
        <w:rPr>
          <w:sz w:val="22"/>
          <w:szCs w:val="22"/>
          <w:lang w:val="hr-HR"/>
        </w:rPr>
      </w:pPr>
      <w:r w:rsidRPr="004C25BD">
        <w:rPr>
          <w:sz w:val="22"/>
          <w:szCs w:val="22"/>
          <w:lang w:val="hr-HR"/>
        </w:rPr>
        <w:t>Kod ovih pacijenata hipoglikemija se može pojaviti kod liječenja telmisartanom. Stoga, kod ovih pacijenata reba adekvatno kontrolisati glukozu u krvi; može biti potrebno podesiti dozu insulina ili antidijabetika, kada je to indicirano.</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Hiperkalijemija</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Primjena ljekova koji utiču na sistem renin-angiotenzin-aldosteron može izazvati hiperkalijemiju.</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Kod starijih osoba, pacijenata sa insuficijencijom bubrega, dijabetičara, pacijenata koji se istovremeno liječe drugim ljekovima koji mogu izazvati porast vrijednosti kalijuma, i/ili pacijenata sa interkurentnim događajima, hiperkalijemija može imati smrtan ishod.</w:t>
      </w:r>
    </w:p>
    <w:p w:rsidR="004C25BD" w:rsidRPr="004C25BD" w:rsidRDefault="004C25BD" w:rsidP="004C25BD">
      <w:pPr>
        <w:pStyle w:val="Default"/>
        <w:jc w:val="both"/>
        <w:rPr>
          <w:color w:val="auto"/>
          <w:sz w:val="22"/>
          <w:szCs w:val="22"/>
          <w:lang w:val="hr-HR"/>
        </w:rPr>
      </w:pPr>
      <w:r w:rsidRPr="004C25BD">
        <w:rPr>
          <w:color w:val="auto"/>
          <w:sz w:val="22"/>
          <w:szCs w:val="22"/>
          <w:lang w:val="hr-HR"/>
        </w:rPr>
        <w:t>Prije razmatranja istovremene primjene ljekova koji utiču na sastav renin-angiotenzin-aldosteron, potrebno je procijeniti odnos koristi i rizika.</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Glavni faktori rizika od hiperkalijemije koji se moraju razmotriti su:</w:t>
      </w:r>
    </w:p>
    <w:p w:rsidR="004C25BD" w:rsidRPr="004C25BD" w:rsidRDefault="004C25BD" w:rsidP="004C25BD">
      <w:pPr>
        <w:pStyle w:val="Default"/>
        <w:numPr>
          <w:ilvl w:val="0"/>
          <w:numId w:val="45"/>
        </w:numPr>
        <w:ind w:left="567" w:hanging="567"/>
        <w:jc w:val="both"/>
        <w:rPr>
          <w:color w:val="auto"/>
          <w:sz w:val="22"/>
          <w:szCs w:val="22"/>
          <w:lang w:val="hr-HR"/>
        </w:rPr>
      </w:pPr>
      <w:r w:rsidRPr="004C25BD">
        <w:rPr>
          <w:color w:val="auto"/>
          <w:sz w:val="22"/>
          <w:szCs w:val="22"/>
          <w:lang w:val="hr-HR"/>
        </w:rPr>
        <w:t>Dijabetes melitus, poremećaj rada bubrega, uzrast (&gt;70 godina).</w:t>
      </w:r>
    </w:p>
    <w:p w:rsidR="004C25BD" w:rsidRPr="004C25BD" w:rsidRDefault="004C25BD" w:rsidP="004C25BD">
      <w:pPr>
        <w:pStyle w:val="Default"/>
        <w:numPr>
          <w:ilvl w:val="0"/>
          <w:numId w:val="45"/>
        </w:numPr>
        <w:ind w:left="567" w:hanging="567"/>
        <w:jc w:val="both"/>
        <w:rPr>
          <w:color w:val="auto"/>
          <w:sz w:val="22"/>
          <w:szCs w:val="22"/>
          <w:lang w:val="hr-HR"/>
        </w:rPr>
      </w:pPr>
      <w:r w:rsidRPr="004C25BD">
        <w:rPr>
          <w:color w:val="auto"/>
          <w:sz w:val="22"/>
          <w:szCs w:val="22"/>
          <w:lang w:val="hr-HR"/>
        </w:rPr>
        <w:t>Kombinacija sa jednim ili više ljekova koji utiču na sistem renin-angiotenzin-aldosteron i/ili preparatima za nadoknadu kalijuma. Ljekovi ili terapijske grupe ljekova koji mogu izazvati hiperkalijemiju su zamjene za soli koje sadrže kalijum, diuretici koji štede kalijum, ACE-inhibitori, antagonisti receptora angiotenzina II, nesteroidni antiinflamatorni ljekovi (NSAR-i, uključujući selektivne COX-2 inhibitore), heparin, imunosupresivi (ciklosporin ili takrolimus) i trimetoprim.</w:t>
      </w:r>
    </w:p>
    <w:p w:rsidR="004C25BD" w:rsidRPr="004C25BD" w:rsidRDefault="004C25BD" w:rsidP="004C25BD">
      <w:pPr>
        <w:pStyle w:val="Default"/>
        <w:numPr>
          <w:ilvl w:val="0"/>
          <w:numId w:val="45"/>
        </w:numPr>
        <w:ind w:left="567" w:hanging="567"/>
        <w:jc w:val="both"/>
        <w:rPr>
          <w:color w:val="auto"/>
          <w:sz w:val="22"/>
          <w:szCs w:val="22"/>
          <w:lang w:val="hr-HR"/>
        </w:rPr>
      </w:pPr>
      <w:r w:rsidRPr="004C25BD">
        <w:rPr>
          <w:color w:val="auto"/>
          <w:sz w:val="22"/>
          <w:szCs w:val="22"/>
          <w:lang w:val="hr-HR"/>
        </w:rPr>
        <w:t>Interkurentni događaji, naročito dehidracija, akutna srčana dekompenzacija, metabolička acidoza, pogoršanje bubrežne funkcije, iznenadno pogoršanje stanja bubrega (npr. infektivne bolesti), liza ćelija (npr.akutna ishemija uda, rabdomioliza, produžena trauma).</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Preporučuje se pažljivo praćenje kalijuma u serumu rizičnih pacijenata (vidjeti odjeljak 4.5).</w:t>
      </w:r>
    </w:p>
    <w:p w:rsidR="004C25BD" w:rsidRDefault="004C25BD" w:rsidP="004C25BD">
      <w:pPr>
        <w:pStyle w:val="Default"/>
        <w:tabs>
          <w:tab w:val="left" w:pos="540"/>
        </w:tabs>
        <w:jc w:val="both"/>
        <w:rPr>
          <w:color w:val="auto"/>
          <w:sz w:val="22"/>
          <w:szCs w:val="22"/>
          <w:lang w:val="hr-HR"/>
        </w:rPr>
      </w:pPr>
    </w:p>
    <w:p w:rsidR="00781426" w:rsidRPr="004C25BD" w:rsidRDefault="00781426" w:rsidP="004C25BD">
      <w:pPr>
        <w:pStyle w:val="Default"/>
        <w:tabs>
          <w:tab w:val="left" w:pos="540"/>
        </w:tabs>
        <w:jc w:val="both"/>
        <w:rPr>
          <w:color w:val="auto"/>
          <w:sz w:val="22"/>
          <w:szCs w:val="22"/>
          <w:lang w:val="hr-HR"/>
        </w:rPr>
      </w:pPr>
    </w:p>
    <w:p w:rsidR="004C25BD" w:rsidRPr="004C25BD" w:rsidRDefault="004C25BD" w:rsidP="004C25BD">
      <w:pPr>
        <w:widowControl w:val="0"/>
        <w:tabs>
          <w:tab w:val="left" w:pos="567"/>
        </w:tabs>
        <w:jc w:val="both"/>
        <w:rPr>
          <w:sz w:val="22"/>
          <w:szCs w:val="22"/>
          <w:u w:val="single"/>
          <w:lang w:val="hr-HR"/>
        </w:rPr>
      </w:pPr>
      <w:r w:rsidRPr="004C25BD">
        <w:rPr>
          <w:sz w:val="22"/>
          <w:szCs w:val="22"/>
          <w:u w:val="single"/>
          <w:lang w:val="hr-HR"/>
        </w:rPr>
        <w:lastRenderedPageBreak/>
        <w:t>Sorbitol</w:t>
      </w:r>
    </w:p>
    <w:p w:rsidR="004C25BD" w:rsidRPr="004C25BD" w:rsidRDefault="004C25BD" w:rsidP="004C25BD">
      <w:pPr>
        <w:widowControl w:val="0"/>
        <w:autoSpaceDE w:val="0"/>
        <w:autoSpaceDN w:val="0"/>
        <w:adjustRightInd w:val="0"/>
        <w:jc w:val="both"/>
        <w:rPr>
          <w:sz w:val="22"/>
          <w:szCs w:val="22"/>
          <w:lang w:val="hr-HR"/>
        </w:rPr>
      </w:pPr>
      <w:r w:rsidRPr="004C25BD">
        <w:rPr>
          <w:sz w:val="22"/>
          <w:szCs w:val="22"/>
          <w:lang w:val="hr-HR"/>
        </w:rPr>
        <w:t xml:space="preserve">Tolura tablete sadrže sorbitol (E420). </w:t>
      </w:r>
      <w:r w:rsidRPr="004C25BD">
        <w:rPr>
          <w:rFonts w:eastAsia="Calibri"/>
          <w:sz w:val="22"/>
          <w:szCs w:val="22"/>
          <w:lang w:val="hr-HR" w:eastAsia="hr-HR"/>
        </w:rPr>
        <w:t>Pacijenti sa rijetkim nasljednim poremećajem nepodnošenja fruktoze ne bi trebali uzimati lijek Tolura.</w:t>
      </w:r>
    </w:p>
    <w:p w:rsidR="004C25BD" w:rsidRPr="004C25BD" w:rsidRDefault="004C25BD" w:rsidP="004C25BD">
      <w:pPr>
        <w:widowControl w:val="0"/>
        <w:tabs>
          <w:tab w:val="left" w:pos="567"/>
        </w:tabs>
        <w:jc w:val="both"/>
        <w:rPr>
          <w:sz w:val="22"/>
          <w:szCs w:val="22"/>
          <w:lang w:val="hr-HR"/>
        </w:rPr>
      </w:pPr>
    </w:p>
    <w:p w:rsidR="004C25BD" w:rsidRPr="004C25BD" w:rsidRDefault="004C25BD" w:rsidP="004C25BD">
      <w:pPr>
        <w:widowControl w:val="0"/>
        <w:tabs>
          <w:tab w:val="left" w:pos="567"/>
        </w:tabs>
        <w:jc w:val="both"/>
        <w:rPr>
          <w:sz w:val="22"/>
          <w:szCs w:val="22"/>
          <w:u w:val="single"/>
          <w:lang w:val="hr-HR"/>
        </w:rPr>
      </w:pPr>
      <w:r w:rsidRPr="004C25BD">
        <w:rPr>
          <w:sz w:val="22"/>
          <w:szCs w:val="22"/>
          <w:u w:val="single"/>
          <w:lang w:val="hr-HR"/>
        </w:rPr>
        <w:t>Laktoza</w:t>
      </w:r>
    </w:p>
    <w:p w:rsidR="004C25BD" w:rsidRPr="004C25BD" w:rsidRDefault="004C25BD" w:rsidP="004C25BD">
      <w:pPr>
        <w:pStyle w:val="Default"/>
        <w:tabs>
          <w:tab w:val="left" w:pos="540"/>
        </w:tabs>
        <w:jc w:val="both"/>
        <w:rPr>
          <w:color w:val="auto"/>
          <w:sz w:val="22"/>
          <w:szCs w:val="22"/>
          <w:lang w:val="hr-HR"/>
        </w:rPr>
      </w:pPr>
      <w:r w:rsidRPr="004C25BD">
        <w:rPr>
          <w:sz w:val="22"/>
          <w:szCs w:val="22"/>
          <w:lang w:val="hr-HR"/>
        </w:rPr>
        <w:t xml:space="preserve">Tolura tablete sadrže laktozu. </w:t>
      </w:r>
      <w:r w:rsidRPr="004C25BD">
        <w:rPr>
          <w:rFonts w:eastAsia="Calibri"/>
          <w:sz w:val="22"/>
          <w:szCs w:val="22"/>
          <w:lang w:val="hr-HR" w:eastAsia="hr-HR"/>
        </w:rPr>
        <w:t>Pacijenti sa rijetkim nasljednim poremećajima nepodnošenja</w:t>
      </w:r>
      <w:r w:rsidRPr="004C25BD">
        <w:rPr>
          <w:sz w:val="22"/>
          <w:szCs w:val="22"/>
          <w:lang w:val="hr-HR"/>
        </w:rPr>
        <w:t xml:space="preserve"> galaktoze, </w:t>
      </w:r>
      <w:r w:rsidRPr="004C25BD">
        <w:rPr>
          <w:rFonts w:eastAsia="Calibri"/>
          <w:sz w:val="22"/>
          <w:szCs w:val="22"/>
          <w:lang w:val="hr-HR" w:eastAsia="hr-HR"/>
        </w:rPr>
        <w:t>nedostatkom Lapp laktaze ili glukoza-galaktoza malapsorpcijom ne bi trebali uzimati lijek Tolura.</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jc w:val="both"/>
        <w:rPr>
          <w:color w:val="auto"/>
          <w:sz w:val="22"/>
          <w:szCs w:val="22"/>
          <w:u w:val="single"/>
          <w:lang w:val="hr-HR"/>
        </w:rPr>
      </w:pPr>
      <w:r w:rsidRPr="004C25BD">
        <w:rPr>
          <w:color w:val="auto"/>
          <w:sz w:val="22"/>
          <w:szCs w:val="22"/>
          <w:u w:val="single"/>
          <w:lang w:val="hr-HR"/>
        </w:rPr>
        <w:t>Etničke razlike</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Kao što je uočeno za inhibitore angiotenzin konvertujućeg enzima, telmisartan i drugi antagonisti receptora angiotenzina II su manje efikasni u snižavanju krvnog pritiska  kod osoba crne rase nego kod osoba koje nijesu crne rase, možda zbog veće zastupljenosti stanja sa sniženim vrijednostima renina u populaciji crne rase sa hipertenzijom.</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widowControl w:val="0"/>
        <w:tabs>
          <w:tab w:val="left" w:pos="540"/>
        </w:tabs>
        <w:jc w:val="both"/>
        <w:rPr>
          <w:color w:val="auto"/>
          <w:sz w:val="22"/>
          <w:szCs w:val="22"/>
          <w:u w:val="single"/>
          <w:lang w:val="hr-HR"/>
        </w:rPr>
      </w:pPr>
      <w:r w:rsidRPr="004C25BD">
        <w:rPr>
          <w:color w:val="auto"/>
          <w:sz w:val="22"/>
          <w:szCs w:val="22"/>
          <w:u w:val="single"/>
          <w:lang w:val="hr-HR"/>
        </w:rPr>
        <w:t>Ostalo</w:t>
      </w:r>
    </w:p>
    <w:p w:rsidR="004C25BD" w:rsidRPr="004C25BD" w:rsidRDefault="004C25BD" w:rsidP="004C25BD">
      <w:pPr>
        <w:pStyle w:val="Default"/>
        <w:widowControl w:val="0"/>
        <w:tabs>
          <w:tab w:val="left" w:pos="540"/>
        </w:tabs>
        <w:jc w:val="both"/>
        <w:rPr>
          <w:color w:val="auto"/>
          <w:sz w:val="22"/>
          <w:szCs w:val="22"/>
          <w:lang w:val="hr-HR"/>
        </w:rPr>
      </w:pPr>
      <w:r w:rsidRPr="004C25BD">
        <w:rPr>
          <w:color w:val="auto"/>
          <w:sz w:val="22"/>
          <w:szCs w:val="22"/>
          <w:lang w:val="hr-HR"/>
        </w:rPr>
        <w:t>Kao i kod drugih antihipertenzivnih ljekova, prekomjerno snižavanje krvnog pritiska kod pacijenata sa ishemičnom kardiopatijom ili ishemičnom kardiovaskularnom bolešću može rezultirati infarktom miokarda ili moždanim udarom.</w:t>
      </w:r>
    </w:p>
    <w:p w:rsidR="004C25BD" w:rsidRPr="004C25BD" w:rsidRDefault="004C25BD" w:rsidP="004C25BD">
      <w:pPr>
        <w:rPr>
          <w:sz w:val="22"/>
          <w:szCs w:val="22"/>
          <w:lang w:val="hr-HR"/>
        </w:rPr>
      </w:pPr>
    </w:p>
    <w:p w:rsidR="004C25BD" w:rsidRPr="004C25BD" w:rsidRDefault="004C25BD" w:rsidP="004C25BD">
      <w:pPr>
        <w:rPr>
          <w:b/>
          <w:sz w:val="22"/>
          <w:szCs w:val="22"/>
          <w:lang w:val="hr-HR"/>
        </w:rPr>
      </w:pPr>
      <w:r w:rsidRPr="004C25BD">
        <w:rPr>
          <w:b/>
          <w:sz w:val="22"/>
          <w:szCs w:val="22"/>
          <w:lang w:val="hr-HR"/>
        </w:rPr>
        <w:t>4.5. Interakcije sa drugim ljekovima ili druge vrste interakcija</w:t>
      </w:r>
    </w:p>
    <w:p w:rsidR="004C25BD" w:rsidRPr="004C25BD" w:rsidRDefault="004C25BD" w:rsidP="004C25BD">
      <w:pPr>
        <w:widowControl w:val="0"/>
        <w:autoSpaceDE w:val="0"/>
        <w:autoSpaceDN w:val="0"/>
        <w:adjustRightInd w:val="0"/>
        <w:rPr>
          <w:rFonts w:eastAsia="Calibri"/>
          <w:sz w:val="22"/>
          <w:szCs w:val="22"/>
          <w:lang w:val="hr-HR" w:eastAsia="hr-HR"/>
        </w:rPr>
      </w:pPr>
    </w:p>
    <w:p w:rsidR="004C25BD" w:rsidRPr="004C25BD" w:rsidRDefault="004C25BD" w:rsidP="004C25BD">
      <w:pPr>
        <w:widowControl w:val="0"/>
        <w:autoSpaceDE w:val="0"/>
        <w:autoSpaceDN w:val="0"/>
        <w:adjustRightInd w:val="0"/>
        <w:jc w:val="both"/>
        <w:rPr>
          <w:rFonts w:eastAsia="Calibri"/>
          <w:sz w:val="22"/>
          <w:szCs w:val="22"/>
          <w:u w:val="single"/>
          <w:lang w:val="hr-HR" w:eastAsia="hr-HR"/>
        </w:rPr>
      </w:pPr>
      <w:r w:rsidRPr="004C25BD">
        <w:rPr>
          <w:rFonts w:eastAsia="Calibri"/>
          <w:sz w:val="22"/>
          <w:szCs w:val="22"/>
          <w:u w:val="single"/>
          <w:lang w:val="hr-HR" w:eastAsia="hr-HR"/>
        </w:rPr>
        <w:t>Digoksin</w:t>
      </w:r>
    </w:p>
    <w:p w:rsidR="004C25BD" w:rsidRPr="004C25BD" w:rsidRDefault="004C25BD" w:rsidP="004C25BD">
      <w:pPr>
        <w:widowControl w:val="0"/>
        <w:tabs>
          <w:tab w:val="left" w:pos="567"/>
        </w:tabs>
        <w:autoSpaceDE w:val="0"/>
        <w:autoSpaceDN w:val="0"/>
        <w:jc w:val="both"/>
        <w:rPr>
          <w:bCs/>
          <w:sz w:val="22"/>
          <w:szCs w:val="22"/>
          <w:lang w:val="hr-HR"/>
        </w:rPr>
      </w:pPr>
      <w:r w:rsidRPr="004C25BD">
        <w:rPr>
          <w:bCs/>
          <w:sz w:val="22"/>
          <w:szCs w:val="22"/>
          <w:lang w:val="hr-HR"/>
        </w:rPr>
        <w:t>Kada se telmisartan istovremeno primjenjivao sa digoksinom, uočen je porast medijana kod maksimalne koncentracije digoksina u plazmi (49%) te kod najniže koncentracije (20%). Kod početka primjene, prilagođavanje doze i prekida primjene telmisartana, pratite nivo digoksina kako bi održali nivoe unutar terapijskog raspona.</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autoSpaceDE w:val="0"/>
        <w:autoSpaceDN w:val="0"/>
        <w:adjustRightInd w:val="0"/>
        <w:jc w:val="both"/>
        <w:rPr>
          <w:sz w:val="22"/>
          <w:szCs w:val="22"/>
          <w:lang w:val="hr-HR"/>
        </w:rPr>
      </w:pPr>
      <w:r w:rsidRPr="004C25BD">
        <w:rPr>
          <w:sz w:val="22"/>
          <w:szCs w:val="22"/>
          <w:lang w:val="hr-HR"/>
        </w:rPr>
        <w:t>Poput ostalih ljekova koji djeluju na ssistem renin-angiotenzin-aldosteron, telmisartan može izazvati hiperkalijemiju (vidjeti odjeljak 4.4). Rizik se može povećati u slučaju kombinacije liječenja drugim ljekovima koji takođe mogu izazvati hiperkalijemiju (zamjenske soli koje sadrže kalijum, diuretici koji štede kalijum, ACE-inhibitori, antagonisti receptora angiotenzina II, nesteroidni antiinflamatorni ljekovi (NSAR-i, uključujući selektivne COX-2 inhibitore), heparin, imunosupresivi (ciklosporin ili takrolimus) i trimetoprim).</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Pojava hiperkalijemije zavisi od udruženih faktora rizika. Rizik se povećava u slučaju gore spomenutih kombinacija liječenja. Rizik je osobito visok u kombinaciji sa diureticima koji štede kalijum i kada se kombinuje sa zamjenskim solima koje sadrže kalijum. Kombinacija s ACE-inhibitorima ili NSAR-ima, na primjer, predstavlja manji rizik pod uslovom  da se striktno slijede mjere opreza u primjeni.</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i/>
          <w:color w:val="auto"/>
          <w:sz w:val="22"/>
          <w:szCs w:val="22"/>
          <w:lang w:val="hr-HR"/>
        </w:rPr>
      </w:pPr>
      <w:r w:rsidRPr="004C25BD">
        <w:rPr>
          <w:i/>
          <w:color w:val="auto"/>
          <w:sz w:val="22"/>
          <w:szCs w:val="22"/>
          <w:lang w:val="hr-HR"/>
        </w:rPr>
        <w:t>Ne preporučuje se istovremena primjena</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Diuretici koji štede kalijum ili dodaci kalijuma</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Antagonisti receptora angiotenzina II, kao što je telmisartan, ublažavaju gubitak kalijuma indikovan diureticima. Diuretici koji štede kalijum, npr. spirinolakton, eplerenon, triamteren, ili amilorid, dodaci kalijuma, ili zamjenske soli koje sadrže kalijum mogu dovesti do značajnog porasta kalijuma u serumu. Ako se indicira istovremena primjena zbog registrirane hipokalijemije, primjenjuju se sa oprezom i uz često praćenje kalijuma u serumu.</w:t>
      </w: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lastRenderedPageBreak/>
        <w:t>Litijum</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Prijavljena su reverzibilna povećanja koncentracija litijuma  u serumu i toksičnost tokom istovremene primjene litijuma sa inhibitorima angiotenzin konvertujućeg enzima, te sa antagonistima receptora angiotenzina II, uključujući telmisartan. Ako je primjena kombinacije dokazana kao potrebna, preporučuje se pažljivo praćenje vrijednosti litijuma u serumu.</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i/>
          <w:color w:val="auto"/>
          <w:sz w:val="22"/>
          <w:szCs w:val="22"/>
          <w:lang w:val="hr-HR"/>
        </w:rPr>
      </w:pPr>
      <w:r w:rsidRPr="004C25BD">
        <w:rPr>
          <w:i/>
          <w:color w:val="auto"/>
          <w:sz w:val="22"/>
          <w:szCs w:val="22"/>
          <w:lang w:val="hr-HR"/>
        </w:rPr>
        <w:t>Istovremena primjena zahtijeva oprez</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Nesteroidni antiinflamatorni  ljekovi</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NSAIL-i (npr. acetilsalicilna kiselina u antiinflamatornim režimima doziranja, COX-2-inhibitori i neselektivni NSAIL-i) mogu smanjiti antihipertenzivni efekat antagonista receptora angiotenzina II.</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Kod pojedinih pacijenata sa narušenom bubrežnom funkcijom (npr. dehidrirani pacijenti ili stariji pacijenti sa narušenom bubrežnom funkcijom), istovremena primjena antagonista receptora angiotenzina II i inhibitora ciklooksigenaze  može rezultirati daljim pogoršanjem bubrežne funkcije, uključujući moguću akutnu insuficijenciju bubrega koja je obično reverzibilna. Stoga se kombinacija mora primjenjivati sa oprezom, posebno kod starijih osoba. Pacijente treba na odgovarajući način   hidrirati, a potrebno je razmotriti praćenje bubrežne funkcije nakon početka istovremene terapije i periodično nakon toga.</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jc w:val="both"/>
        <w:rPr>
          <w:sz w:val="22"/>
          <w:szCs w:val="22"/>
          <w:lang w:val="hr-HR"/>
        </w:rPr>
      </w:pPr>
      <w:r w:rsidRPr="004C25BD">
        <w:rPr>
          <w:sz w:val="22"/>
          <w:szCs w:val="22"/>
          <w:lang w:val="hr-HR"/>
        </w:rPr>
        <w:t>U jednom ispitivanju istovremena primjena telmisartana i ramiprila dovela je do porasta do 2,5 puta u AUC</w:t>
      </w:r>
      <w:r w:rsidRPr="004C25BD">
        <w:rPr>
          <w:sz w:val="22"/>
          <w:szCs w:val="22"/>
          <w:vertAlign w:val="subscript"/>
          <w:lang w:val="hr-HR"/>
        </w:rPr>
        <w:t>0-24</w:t>
      </w:r>
      <w:r w:rsidRPr="004C25BD">
        <w:rPr>
          <w:sz w:val="22"/>
          <w:szCs w:val="22"/>
          <w:lang w:val="hr-HR"/>
        </w:rPr>
        <w:t xml:space="preserve"> i C</w:t>
      </w:r>
      <w:r w:rsidRPr="004C25BD">
        <w:rPr>
          <w:sz w:val="22"/>
          <w:szCs w:val="22"/>
          <w:vertAlign w:val="subscript"/>
          <w:lang w:val="hr-HR"/>
        </w:rPr>
        <w:t>max</w:t>
      </w:r>
      <w:r w:rsidRPr="004C25BD">
        <w:rPr>
          <w:sz w:val="22"/>
          <w:szCs w:val="22"/>
          <w:lang w:val="hr-HR"/>
        </w:rPr>
        <w:t xml:space="preserve"> ramiprila i ramiprilata, čija klinička relevantnost nije poznata.</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Diuretici (tiazidski diuretici ili diuretici Henleove petlje)</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hodno liječenje visokim dozama diuretika, kao što su furosemid (diuretik Henleove petlje) i hidrohlorotiazid (tiazidski diuretik) može rezultirati deplecijom volumena kao i rizikom od hipotenzije, kada se terapija počinje telmisartanom.</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i/>
          <w:color w:val="auto"/>
          <w:sz w:val="22"/>
          <w:szCs w:val="22"/>
          <w:lang w:val="hr-HR"/>
        </w:rPr>
      </w:pPr>
      <w:r w:rsidRPr="004C25BD">
        <w:rPr>
          <w:i/>
          <w:color w:val="auto"/>
          <w:sz w:val="22"/>
          <w:szCs w:val="22"/>
          <w:lang w:val="hr-HR"/>
        </w:rPr>
        <w:t>Potrebno je uzeti u obzir kod istovremene primjene</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jc w:val="both"/>
        <w:rPr>
          <w:sz w:val="22"/>
          <w:szCs w:val="22"/>
          <w:u w:val="single"/>
          <w:lang w:val="hr-HR"/>
        </w:rPr>
      </w:pPr>
      <w:r w:rsidRPr="004C25BD">
        <w:rPr>
          <w:sz w:val="22"/>
          <w:szCs w:val="22"/>
          <w:u w:val="single"/>
          <w:lang w:val="hr-HR"/>
        </w:rPr>
        <w:t>Ostali antihipertenzi</w:t>
      </w:r>
    </w:p>
    <w:p w:rsidR="004C25BD" w:rsidRPr="004C25BD" w:rsidRDefault="004C25BD" w:rsidP="004C25BD">
      <w:pPr>
        <w:jc w:val="both"/>
        <w:rPr>
          <w:sz w:val="22"/>
          <w:szCs w:val="22"/>
          <w:u w:val="single"/>
          <w:lang w:val="hr-HR"/>
        </w:rPr>
      </w:pPr>
    </w:p>
    <w:p w:rsidR="004C25BD" w:rsidRPr="004C25BD" w:rsidRDefault="004C25BD" w:rsidP="004C25BD">
      <w:pPr>
        <w:jc w:val="both"/>
        <w:rPr>
          <w:sz w:val="22"/>
          <w:szCs w:val="22"/>
          <w:lang w:val="hr-HR"/>
        </w:rPr>
      </w:pPr>
      <w:r w:rsidRPr="004C25BD">
        <w:rPr>
          <w:sz w:val="22"/>
          <w:szCs w:val="22"/>
          <w:lang w:val="hr-HR"/>
        </w:rPr>
        <w:t>Efekat telmisartana u snižavanju krvnog pritisaka može se povećati istovremenom primjenom drugih antihipertenzivnih ljekova.</w:t>
      </w:r>
    </w:p>
    <w:p w:rsidR="004C25BD" w:rsidRPr="004C25BD" w:rsidRDefault="004C25BD" w:rsidP="004C25BD">
      <w:pPr>
        <w:widowControl w:val="0"/>
        <w:autoSpaceDE w:val="0"/>
        <w:autoSpaceDN w:val="0"/>
        <w:adjustRightInd w:val="0"/>
        <w:jc w:val="both"/>
        <w:rPr>
          <w:sz w:val="22"/>
          <w:szCs w:val="22"/>
          <w:lang w:val="hr-HR" w:eastAsia="de-DE"/>
        </w:rPr>
      </w:pPr>
      <w:r w:rsidRPr="004C25BD">
        <w:rPr>
          <w:sz w:val="22"/>
          <w:szCs w:val="22"/>
          <w:lang w:val="hr-HR" w:eastAsia="it-IT"/>
        </w:rPr>
        <w:t xml:space="preserve">Podaci iz kliničkih ispitivanja pokazali su da je dvostruka blokada renin-angiotenzin-aldosteronskog sistema (RAAS) kombinovanom primjenom ACE inhibitora, blokatora angiotenzin II receptora ili aliskirena povezana sa većom učestalošću štetnih događaja kao što su hipotenzija, hiperkalijemija i smanjena bubrežna funkcija </w:t>
      </w:r>
      <w:r w:rsidRPr="004C25BD">
        <w:rPr>
          <w:sz w:val="22"/>
          <w:szCs w:val="22"/>
          <w:lang w:val="hr-HR" w:eastAsia="de-DE"/>
        </w:rPr>
        <w:t>(uključujući akutnu insuficijenciju bubrega) u poređenju sa primjenom samo jednog lijeka koji djeluje na RAAS (vidjeti odjeljak 4.3, 4.4 i 5.1).</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Na osnovi njihovih farmakoloških svojstava, može se očekivati da sljedeći ljekovi mogu potencirati hipotenzivne efekte svih antihipertenzivnih ljekova, uključujući telmisartan: baclofen, amifostin. Osim toga, ortostatska hipotenzija se može pogoršati konzumacijom alkohola, barbiturata, narkotika ili antidepresiva.</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Kortikosteroidi (sistemska primjena)</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Smanjenje antihipertenzivnog efekta.</w:t>
      </w:r>
    </w:p>
    <w:p w:rsidR="004C25BD" w:rsidRDefault="004C25BD" w:rsidP="004C25BD">
      <w:pPr>
        <w:rPr>
          <w:sz w:val="22"/>
          <w:szCs w:val="22"/>
          <w:lang w:val="hr-HR"/>
        </w:rPr>
      </w:pPr>
    </w:p>
    <w:p w:rsidR="00B861B4" w:rsidRDefault="00B861B4" w:rsidP="004C25BD">
      <w:pPr>
        <w:rPr>
          <w:sz w:val="22"/>
          <w:szCs w:val="22"/>
          <w:lang w:val="hr-HR"/>
        </w:rPr>
      </w:pPr>
    </w:p>
    <w:p w:rsidR="00B861B4" w:rsidRDefault="00B861B4" w:rsidP="004C25BD">
      <w:pPr>
        <w:rPr>
          <w:sz w:val="22"/>
          <w:szCs w:val="22"/>
          <w:lang w:val="hr-HR"/>
        </w:rPr>
      </w:pPr>
    </w:p>
    <w:p w:rsidR="00B861B4" w:rsidRPr="004C25BD" w:rsidRDefault="00B861B4" w:rsidP="004C25BD">
      <w:pPr>
        <w:rPr>
          <w:sz w:val="22"/>
          <w:szCs w:val="22"/>
          <w:lang w:val="hr-HR"/>
        </w:rPr>
      </w:pPr>
    </w:p>
    <w:p w:rsidR="004C25BD" w:rsidRPr="004C25BD" w:rsidRDefault="004C25BD" w:rsidP="004C25BD">
      <w:pPr>
        <w:rPr>
          <w:b/>
          <w:sz w:val="22"/>
          <w:szCs w:val="22"/>
          <w:lang w:val="hr-HR"/>
        </w:rPr>
      </w:pPr>
      <w:r w:rsidRPr="004C25BD">
        <w:rPr>
          <w:b/>
          <w:sz w:val="22"/>
          <w:szCs w:val="22"/>
          <w:lang w:val="hr-HR"/>
        </w:rPr>
        <w:lastRenderedPageBreak/>
        <w:t>4.6. Primjena u periodu trudnoće i dojenje</w:t>
      </w:r>
    </w:p>
    <w:p w:rsidR="004C25BD" w:rsidRPr="004C25BD" w:rsidRDefault="004C25BD" w:rsidP="004C25BD">
      <w:pPr>
        <w:rPr>
          <w:sz w:val="22"/>
          <w:szCs w:val="22"/>
          <w:lang w:val="hr-HR"/>
        </w:rPr>
      </w:pPr>
    </w:p>
    <w:p w:rsidR="004C25BD" w:rsidRPr="004C25BD" w:rsidRDefault="004C25BD" w:rsidP="004C25BD">
      <w:pPr>
        <w:pStyle w:val="Default"/>
        <w:tabs>
          <w:tab w:val="left" w:pos="540"/>
        </w:tabs>
        <w:rPr>
          <w:color w:val="auto"/>
          <w:sz w:val="22"/>
          <w:szCs w:val="22"/>
          <w:u w:val="single"/>
          <w:lang w:val="hr-HR"/>
        </w:rPr>
      </w:pPr>
      <w:r w:rsidRPr="004C25BD">
        <w:rPr>
          <w:color w:val="auto"/>
          <w:sz w:val="22"/>
          <w:szCs w:val="22"/>
          <w:u w:val="single"/>
          <w:lang w:val="hr-HR"/>
        </w:rPr>
        <w:t>Trudnoća</w:t>
      </w:r>
    </w:p>
    <w:p w:rsidR="004C25BD" w:rsidRPr="004C25BD" w:rsidRDefault="004C25BD" w:rsidP="004C25BD">
      <w:pPr>
        <w:pStyle w:val="Default"/>
        <w:tabs>
          <w:tab w:val="left" w:pos="540"/>
        </w:tabs>
        <w:rPr>
          <w:color w:val="auto"/>
          <w:sz w:val="22"/>
          <w:szCs w:val="22"/>
          <w:u w:val="single"/>
          <w:lang w:val="hr-HR"/>
        </w:rPr>
      </w:pPr>
    </w:p>
    <w:p w:rsidR="004C25BD" w:rsidRPr="004C25BD" w:rsidRDefault="004C25BD" w:rsidP="004C25BD">
      <w:pPr>
        <w:pStyle w:val="Default"/>
        <w:pBdr>
          <w:top w:val="single" w:sz="4" w:space="1" w:color="auto"/>
          <w:left w:val="single" w:sz="4" w:space="4" w:color="auto"/>
          <w:bottom w:val="single" w:sz="4" w:space="1" w:color="auto"/>
          <w:right w:val="single" w:sz="4" w:space="4" w:color="auto"/>
        </w:pBdr>
        <w:tabs>
          <w:tab w:val="left" w:pos="540"/>
        </w:tabs>
        <w:jc w:val="both"/>
        <w:rPr>
          <w:color w:val="auto"/>
          <w:sz w:val="22"/>
          <w:szCs w:val="22"/>
          <w:lang w:val="hr-HR"/>
        </w:rPr>
      </w:pPr>
      <w:r w:rsidRPr="004C25BD">
        <w:rPr>
          <w:color w:val="auto"/>
          <w:sz w:val="22"/>
          <w:szCs w:val="22"/>
          <w:lang w:val="hr-HR"/>
        </w:rPr>
        <w:t>Primjena antagonista receptora angiotenzina II se ne preporučuje tokom prvog tromjesečja trudnoće (vidjeti odjeljak 4.4). Primjena antagonista receptora angiotenzina II je kontraindikovana  tokom drugog i trećeg tromjesečja trudnoće (vidjeti odjeljak  4.3 i 4.4).</w:t>
      </w:r>
    </w:p>
    <w:p w:rsidR="004C25BD" w:rsidRPr="004C25BD" w:rsidRDefault="004C25BD" w:rsidP="004C25BD">
      <w:pPr>
        <w:pStyle w:val="Default"/>
        <w:tabs>
          <w:tab w:val="left" w:pos="540"/>
        </w:tabs>
        <w:rPr>
          <w:color w:val="auto"/>
          <w:sz w:val="22"/>
          <w:szCs w:val="22"/>
          <w:lang w:val="hr-HR"/>
        </w:rPr>
      </w:pP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Ne postoje odgovarajući podaci o primjeni lijekaTolura kod trudnica. Ispitivanja na životinjama su pokazala reproduktivnu toksičnost (vidjeti odjeljak 5.3).</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Epidemiološki podaci vezani uz  teratogeni rizik nakon izloženosti ACE inhibitorima tokom prvog tromjesečja trudnoće ne omogućuje konačan zaključak; međutim, ne može se isključiti malen porast rizika. Dok nema kontrolisanih epidemioloških podataka o riziku uz antagoniste receptora angiotenzina II, slični rizici mogu postojati za ovu grupu ljekova. Osim ako se produžena terapija antagonistima receptora angiotenzina II ne smatra nužnom, pacijentkinje koje planiraju trudnoću trebale bi preći na alternativno antihipertenzivno liječenje sa utvrđenim bezbjednosnim profilom primjene tokom trudnoće. Kada se trudnoća dijagnostikuje, liječenje antagonistima receptora angiotenzina II treba  odmah prekinuti i, ako je potrebno, započeti sa primjenom drugog lijeka.</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autoSpaceDE w:val="0"/>
        <w:autoSpaceDN w:val="0"/>
        <w:adjustRightInd w:val="0"/>
        <w:jc w:val="both"/>
        <w:rPr>
          <w:sz w:val="22"/>
          <w:szCs w:val="22"/>
          <w:lang w:val="hr-HR"/>
        </w:rPr>
      </w:pPr>
      <w:r w:rsidRPr="004C25BD">
        <w:rPr>
          <w:sz w:val="22"/>
          <w:szCs w:val="22"/>
          <w:lang w:val="hr-HR"/>
        </w:rPr>
        <w:t>Poznato je da izloženost antagonistima receptora angiotenzina II tokom drugog i trećeg tromjesečja inducira humanu fetotoksičnost (smanjenje bubrežne funkcije, oligohidramnios (nepostojanje amnionske tečnosti), usporana osifikacije kostiju lobanje) i neonatalnu toksičnost (insuficijencija bubrega, hipotenzija, hiperkalijemija) (vidjeti odjeljak 5.3).</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Ako dođe do izlaganja antagonistima receptora angiotenzina II od drugog tromjesečja trudnoće nadalje, preporučuje se ultrazvučno praćenje bubrežne funkcije i razvoja lobanje.</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Nedonoščad čije su majke uzimale antagoniste receptora angiotenzina II moraju se pažljivo pratiti radi hipotenzije (vidjeti odjeljak 4.3 i 4.4).</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Dojenje</w:t>
      </w:r>
    </w:p>
    <w:p w:rsidR="004C25BD" w:rsidRPr="004C25BD" w:rsidRDefault="004C25BD" w:rsidP="004C25BD">
      <w:pPr>
        <w:autoSpaceDE w:val="0"/>
        <w:autoSpaceDN w:val="0"/>
        <w:adjustRightInd w:val="0"/>
        <w:jc w:val="both"/>
        <w:rPr>
          <w:sz w:val="22"/>
          <w:szCs w:val="22"/>
          <w:lang w:val="hr-HR"/>
        </w:rPr>
      </w:pPr>
      <w:r w:rsidRPr="004C25BD">
        <w:rPr>
          <w:sz w:val="22"/>
          <w:szCs w:val="22"/>
          <w:lang w:val="hr-HR"/>
        </w:rPr>
        <w:t xml:space="preserve">Budući da ne postoje podaci o primjeni lijeka Tolura tokom dojenja, ne preporučuje se  primjena lijeka Tolura i </w:t>
      </w:r>
      <w:r w:rsidRPr="004C25BD">
        <w:rPr>
          <w:rFonts w:eastAsia="Calibri"/>
          <w:sz w:val="22"/>
          <w:szCs w:val="22"/>
          <w:lang w:val="hr-HR" w:eastAsia="hr-HR"/>
        </w:rPr>
        <w:t>prednost se daje drugim ljekovima sa bolje utvrđenim bezbjednosnim profilima tokom dojenja, posebno tokom perioda dojenja novorođenčeta ili nedonoščeta.</w:t>
      </w:r>
    </w:p>
    <w:p w:rsidR="004C25BD" w:rsidRPr="004C25BD" w:rsidRDefault="004C25BD" w:rsidP="004C25BD">
      <w:pPr>
        <w:autoSpaceDE w:val="0"/>
        <w:autoSpaceDN w:val="0"/>
        <w:adjustRightInd w:val="0"/>
        <w:jc w:val="both"/>
        <w:rPr>
          <w:sz w:val="22"/>
          <w:szCs w:val="22"/>
          <w:lang w:val="hr-HR"/>
        </w:rPr>
      </w:pPr>
    </w:p>
    <w:p w:rsidR="004C25BD" w:rsidRPr="004C25BD" w:rsidRDefault="004C25BD" w:rsidP="004C25BD">
      <w:pPr>
        <w:widowControl w:val="0"/>
        <w:tabs>
          <w:tab w:val="left" w:pos="567"/>
        </w:tabs>
        <w:jc w:val="both"/>
        <w:rPr>
          <w:sz w:val="22"/>
          <w:szCs w:val="22"/>
          <w:u w:val="single"/>
          <w:lang w:val="hr-HR"/>
        </w:rPr>
      </w:pPr>
      <w:r w:rsidRPr="004C25BD">
        <w:rPr>
          <w:sz w:val="22"/>
          <w:szCs w:val="22"/>
          <w:u w:val="single"/>
          <w:lang w:val="hr-HR"/>
        </w:rPr>
        <w:t>Plodnost</w:t>
      </w:r>
    </w:p>
    <w:p w:rsidR="004C25BD" w:rsidRPr="004C25BD" w:rsidRDefault="004C25BD" w:rsidP="004C25BD">
      <w:pPr>
        <w:widowControl w:val="0"/>
        <w:autoSpaceDE w:val="0"/>
        <w:autoSpaceDN w:val="0"/>
        <w:adjustRightInd w:val="0"/>
        <w:jc w:val="both"/>
        <w:rPr>
          <w:sz w:val="22"/>
          <w:szCs w:val="22"/>
          <w:lang w:val="hr-HR"/>
        </w:rPr>
      </w:pPr>
      <w:r w:rsidRPr="004C25BD">
        <w:rPr>
          <w:sz w:val="22"/>
          <w:szCs w:val="22"/>
          <w:lang w:val="hr-HR"/>
        </w:rPr>
        <w:t>U pretkliničkim ispitivanjima dejstvo lijeka</w:t>
      </w:r>
      <w:r w:rsidR="00C32A49">
        <w:rPr>
          <w:sz w:val="22"/>
          <w:szCs w:val="22"/>
          <w:lang w:val="hr-HR"/>
        </w:rPr>
        <w:t xml:space="preserve"> </w:t>
      </w:r>
      <w:r w:rsidRPr="004C25BD">
        <w:rPr>
          <w:sz w:val="22"/>
          <w:szCs w:val="22"/>
          <w:lang w:val="hr-HR"/>
        </w:rPr>
        <w:t>Tolura na plodnost muškaraca i žena nijesu uočeni.</w:t>
      </w:r>
    </w:p>
    <w:p w:rsidR="004C25BD" w:rsidRPr="004C25BD" w:rsidRDefault="004C25BD" w:rsidP="004C25BD">
      <w:pPr>
        <w:rPr>
          <w:sz w:val="22"/>
          <w:szCs w:val="22"/>
          <w:lang w:val="hr-HR"/>
        </w:rPr>
      </w:pPr>
    </w:p>
    <w:p w:rsidR="004C25BD" w:rsidRPr="004C25BD" w:rsidRDefault="004C25BD" w:rsidP="004C25BD">
      <w:pPr>
        <w:jc w:val="both"/>
        <w:rPr>
          <w:b/>
          <w:sz w:val="22"/>
          <w:szCs w:val="22"/>
          <w:lang w:val="hr-HR"/>
        </w:rPr>
      </w:pPr>
      <w:r w:rsidRPr="004C25BD">
        <w:rPr>
          <w:b/>
          <w:sz w:val="22"/>
          <w:szCs w:val="22"/>
          <w:lang w:val="hr-HR"/>
        </w:rPr>
        <w:t xml:space="preserve">4.7. </w:t>
      </w:r>
      <w:r w:rsidRPr="004C25BD">
        <w:rPr>
          <w:b/>
          <w:bCs/>
          <w:sz w:val="22"/>
          <w:szCs w:val="22"/>
          <w:lang w:eastAsia="hr-HR"/>
        </w:rPr>
        <w:t xml:space="preserve">Uticaj na </w:t>
      </w:r>
      <w:r w:rsidRPr="004C25BD">
        <w:rPr>
          <w:b/>
          <w:bCs/>
          <w:sz w:val="22"/>
          <w:szCs w:val="22"/>
        </w:rPr>
        <w:t>psihofizičke sposobnosti prilikom upravljanja motornim vozilima i rukovanja mašinama</w:t>
      </w:r>
    </w:p>
    <w:p w:rsidR="004C25BD" w:rsidRPr="004C25BD" w:rsidRDefault="004C25BD" w:rsidP="004C25BD">
      <w:pPr>
        <w:jc w:val="both"/>
        <w:rPr>
          <w:sz w:val="22"/>
          <w:szCs w:val="22"/>
          <w:lang w:val="hr-HR"/>
        </w:rPr>
      </w:pPr>
    </w:p>
    <w:p w:rsidR="004C25BD" w:rsidRPr="004C25BD" w:rsidRDefault="004C25BD" w:rsidP="004C25BD">
      <w:pPr>
        <w:widowControl w:val="0"/>
        <w:autoSpaceDE w:val="0"/>
        <w:autoSpaceDN w:val="0"/>
        <w:adjustRightInd w:val="0"/>
        <w:jc w:val="both"/>
        <w:rPr>
          <w:sz w:val="22"/>
          <w:szCs w:val="22"/>
          <w:lang w:val="hr-HR"/>
        </w:rPr>
      </w:pPr>
      <w:r w:rsidRPr="004C25BD">
        <w:rPr>
          <w:rFonts w:eastAsia="Calibri"/>
          <w:sz w:val="22"/>
          <w:szCs w:val="22"/>
          <w:lang w:val="hr-HR" w:eastAsia="hr-HR"/>
        </w:rPr>
        <w:t>Prilikom upravljanja motornim vozilima ili rukovanja mašinama, povremeno može doći do pojave vrtoglavice ili pospanosti, kada se uzima antihipertenzivna terapija poput lijeka</w:t>
      </w:r>
      <w:r w:rsidR="00C32A49">
        <w:rPr>
          <w:rFonts w:eastAsia="Calibri"/>
          <w:sz w:val="22"/>
          <w:szCs w:val="22"/>
          <w:lang w:val="hr-HR" w:eastAsia="hr-HR"/>
        </w:rPr>
        <w:t xml:space="preserve"> </w:t>
      </w:r>
      <w:r w:rsidRPr="004C25BD">
        <w:rPr>
          <w:rFonts w:eastAsia="Calibri"/>
          <w:sz w:val="22"/>
          <w:szCs w:val="22"/>
          <w:lang w:val="hr-HR" w:eastAsia="hr-HR"/>
        </w:rPr>
        <w:t>Tolura.</w:t>
      </w:r>
    </w:p>
    <w:p w:rsidR="004C25BD" w:rsidRPr="004C25BD" w:rsidRDefault="004C25BD" w:rsidP="004C25BD">
      <w:pPr>
        <w:jc w:val="both"/>
        <w:rPr>
          <w:sz w:val="22"/>
          <w:szCs w:val="22"/>
          <w:lang w:val="hr-HR"/>
        </w:rPr>
      </w:pPr>
    </w:p>
    <w:p w:rsidR="004C25BD" w:rsidRPr="004C25BD" w:rsidRDefault="004C25BD" w:rsidP="004C25BD">
      <w:pPr>
        <w:rPr>
          <w:b/>
          <w:sz w:val="22"/>
          <w:szCs w:val="22"/>
          <w:lang w:val="hr-HR"/>
        </w:rPr>
      </w:pPr>
      <w:r w:rsidRPr="004C25BD">
        <w:rPr>
          <w:b/>
          <w:sz w:val="22"/>
          <w:szCs w:val="22"/>
          <w:lang w:val="hr-HR"/>
        </w:rPr>
        <w:t>4.8. Neželjena dejstva</w:t>
      </w:r>
    </w:p>
    <w:p w:rsidR="004C25BD" w:rsidRPr="004C25BD" w:rsidRDefault="004C25BD" w:rsidP="004C25BD">
      <w:pPr>
        <w:rPr>
          <w:sz w:val="22"/>
          <w:szCs w:val="22"/>
          <w:lang w:val="hr-HR"/>
        </w:rPr>
      </w:pPr>
    </w:p>
    <w:p w:rsidR="004C25BD" w:rsidRPr="004C25BD" w:rsidRDefault="004C25BD" w:rsidP="004C25BD">
      <w:pPr>
        <w:widowControl w:val="0"/>
        <w:tabs>
          <w:tab w:val="left" w:pos="567"/>
        </w:tabs>
        <w:jc w:val="both"/>
        <w:rPr>
          <w:sz w:val="22"/>
          <w:szCs w:val="22"/>
          <w:u w:val="single"/>
          <w:lang w:val="hr-HR"/>
        </w:rPr>
      </w:pPr>
      <w:r w:rsidRPr="004C25BD">
        <w:rPr>
          <w:sz w:val="22"/>
          <w:szCs w:val="22"/>
          <w:u w:val="single"/>
          <w:lang w:val="hr-HR"/>
        </w:rPr>
        <w:t>Sažetak bezbjednosnog profila</w:t>
      </w:r>
    </w:p>
    <w:p w:rsidR="004C25BD" w:rsidRPr="004C25BD" w:rsidRDefault="004C25BD" w:rsidP="004C25BD">
      <w:pPr>
        <w:widowControl w:val="0"/>
        <w:tabs>
          <w:tab w:val="left" w:pos="708"/>
        </w:tabs>
        <w:jc w:val="both"/>
        <w:rPr>
          <w:sz w:val="22"/>
          <w:szCs w:val="22"/>
          <w:lang w:val="hr-HR"/>
        </w:rPr>
      </w:pPr>
      <w:r w:rsidRPr="004C25BD">
        <w:rPr>
          <w:sz w:val="22"/>
          <w:szCs w:val="22"/>
          <w:lang w:val="hr-HR"/>
        </w:rPr>
        <w:t>Ozbiljna neželjena dejstva obuhvataju anafilaktičku reakciju i angioedem koji se mogu rijetko pojaviti (≥ 1/10 000 do &lt; 1/1000) i akutnu insuficijenciju bubrega.</w:t>
      </w:r>
    </w:p>
    <w:p w:rsidR="004C25BD" w:rsidRPr="004C25BD" w:rsidRDefault="004C25BD" w:rsidP="004C25BD">
      <w:pPr>
        <w:widowControl w:val="0"/>
        <w:tabs>
          <w:tab w:val="left" w:pos="708"/>
        </w:tabs>
        <w:rPr>
          <w:sz w:val="22"/>
          <w:szCs w:val="22"/>
          <w:lang w:val="hr-HR"/>
        </w:rPr>
      </w:pPr>
    </w:p>
    <w:p w:rsidR="004C25BD" w:rsidRPr="004C25BD" w:rsidRDefault="004C25BD" w:rsidP="004C25BD">
      <w:pPr>
        <w:widowControl w:val="0"/>
        <w:autoSpaceDE w:val="0"/>
        <w:autoSpaceDN w:val="0"/>
        <w:adjustRightInd w:val="0"/>
        <w:jc w:val="both"/>
        <w:rPr>
          <w:rFonts w:eastAsia="Calibri"/>
          <w:sz w:val="22"/>
          <w:szCs w:val="22"/>
          <w:lang w:val="hr-HR" w:eastAsia="hr-HR"/>
        </w:rPr>
      </w:pPr>
      <w:r w:rsidRPr="004C25BD">
        <w:rPr>
          <w:rFonts w:eastAsia="Calibri"/>
          <w:sz w:val="22"/>
          <w:szCs w:val="22"/>
          <w:lang w:val="hr-HR" w:eastAsia="hr-HR"/>
        </w:rPr>
        <w:lastRenderedPageBreak/>
        <w:t>Ukupna incidenca neželjenih dejstava zabilježenih sa telmisartanom</w:t>
      </w:r>
      <w:r w:rsidRPr="004C25BD">
        <w:rPr>
          <w:sz w:val="22"/>
          <w:szCs w:val="22"/>
          <w:lang w:val="hr-HR"/>
        </w:rPr>
        <w:t xml:space="preserve"> </w:t>
      </w:r>
      <w:r w:rsidRPr="004C25BD">
        <w:rPr>
          <w:rFonts w:eastAsia="Calibri"/>
          <w:sz w:val="22"/>
          <w:szCs w:val="22"/>
          <w:lang w:val="hr-HR" w:eastAsia="hr-HR"/>
        </w:rPr>
        <w:t>bila je uobičajeno uporediva sa placebom</w:t>
      </w:r>
      <w:r w:rsidRPr="004C25BD">
        <w:rPr>
          <w:sz w:val="22"/>
          <w:szCs w:val="22"/>
          <w:lang w:val="hr-HR"/>
        </w:rPr>
        <w:t xml:space="preserve"> (41,4 % u odnosu na 43,9 %), </w:t>
      </w:r>
      <w:r w:rsidRPr="004C25BD">
        <w:rPr>
          <w:rFonts w:eastAsia="Calibri"/>
          <w:sz w:val="22"/>
          <w:szCs w:val="22"/>
          <w:lang w:val="hr-HR" w:eastAsia="hr-HR"/>
        </w:rPr>
        <w:t>u kontrolisanim ispitivanjima</w:t>
      </w:r>
      <w:r w:rsidRPr="004C25BD">
        <w:rPr>
          <w:sz w:val="22"/>
          <w:szCs w:val="22"/>
          <w:lang w:val="hr-HR"/>
        </w:rPr>
        <w:t xml:space="preserve"> kod pacijenata liječenih zbog hipertenzije</w:t>
      </w:r>
      <w:r w:rsidRPr="004C25BD">
        <w:rPr>
          <w:b/>
          <w:sz w:val="22"/>
          <w:szCs w:val="22"/>
          <w:lang w:val="hr-HR"/>
        </w:rPr>
        <w:t xml:space="preserve">. </w:t>
      </w:r>
      <w:r w:rsidRPr="004C25BD">
        <w:rPr>
          <w:rFonts w:eastAsia="Calibri"/>
          <w:sz w:val="22"/>
          <w:szCs w:val="22"/>
          <w:lang w:val="hr-HR" w:eastAsia="hr-HR"/>
        </w:rPr>
        <w:t xml:space="preserve">Incidenca neželjenih dejstava nije bila povezana sa dozom i nije pokazala korelaciju sa polom, uzrastom ili rasom pacijenta. </w:t>
      </w:r>
      <w:r w:rsidRPr="004C25BD">
        <w:rPr>
          <w:sz w:val="22"/>
          <w:szCs w:val="22"/>
          <w:lang w:val="hr-HR"/>
        </w:rPr>
        <w:t>Profil bezbjednosti telmisartana kod pacijenta liječenih radi smanjenja kardiovaskularnog morbiditeta bio je u skladu sa onim kod pacijenata sa hipertenzijom.</w:t>
      </w:r>
    </w:p>
    <w:p w:rsidR="004C25BD" w:rsidRPr="004C25BD" w:rsidRDefault="004C25BD" w:rsidP="004C25BD">
      <w:pPr>
        <w:widowControl w:val="0"/>
        <w:tabs>
          <w:tab w:val="left" w:pos="540"/>
        </w:tabs>
        <w:autoSpaceDE w:val="0"/>
        <w:autoSpaceDN w:val="0"/>
        <w:adjustRightInd w:val="0"/>
        <w:jc w:val="both"/>
        <w:rPr>
          <w:sz w:val="22"/>
          <w:szCs w:val="22"/>
          <w:lang w:val="hr-HR"/>
        </w:rPr>
      </w:pPr>
    </w:p>
    <w:p w:rsidR="004C25BD" w:rsidRPr="004C25BD" w:rsidRDefault="004C25BD" w:rsidP="004C25BD">
      <w:pPr>
        <w:widowControl w:val="0"/>
        <w:autoSpaceDE w:val="0"/>
        <w:autoSpaceDN w:val="0"/>
        <w:adjustRightInd w:val="0"/>
        <w:jc w:val="both"/>
        <w:rPr>
          <w:sz w:val="22"/>
          <w:szCs w:val="22"/>
          <w:lang w:val="hr-HR"/>
        </w:rPr>
      </w:pPr>
      <w:r w:rsidRPr="004C25BD">
        <w:rPr>
          <w:rFonts w:eastAsia="Calibri"/>
          <w:sz w:val="22"/>
          <w:szCs w:val="22"/>
          <w:lang w:val="hr-HR" w:eastAsia="hr-HR"/>
        </w:rPr>
        <w:t>Dolje navedena neželjena dejstva prikupljena su iz kontrolisanih kliničkih ispitivanja kod pacijenata liječenih zbog hipertenzije</w:t>
      </w:r>
      <w:r w:rsidRPr="004C25BD">
        <w:rPr>
          <w:sz w:val="22"/>
          <w:szCs w:val="22"/>
          <w:lang w:val="hr-HR"/>
        </w:rPr>
        <w:t xml:space="preserve"> i iz podataka prikupljenih nakon stavljanja lijeka u promet. Popis takođe uzima u obzir ozbiljna neželjena dejstva i neželjena dejstva koja su dovela do prekida liječenja, zabilježena u tri dugotrajna klinička ispitivanja koja su uključivala 21642 pacijenata liječena telmisartanom radi smanjenja kardiovaskularnog morbiditeta, u trajanju do 6 godina.</w:t>
      </w:r>
    </w:p>
    <w:p w:rsidR="004C25BD" w:rsidRPr="004C25BD" w:rsidRDefault="004C25BD" w:rsidP="004C25BD">
      <w:pPr>
        <w:widowControl w:val="0"/>
        <w:autoSpaceDE w:val="0"/>
        <w:autoSpaceDN w:val="0"/>
        <w:adjustRightInd w:val="0"/>
        <w:rPr>
          <w:sz w:val="22"/>
          <w:szCs w:val="22"/>
          <w:lang w:val="hr-HR"/>
        </w:rPr>
      </w:pPr>
    </w:p>
    <w:p w:rsidR="004C25BD" w:rsidRPr="004C25BD" w:rsidRDefault="004C25BD" w:rsidP="004C25BD">
      <w:pPr>
        <w:widowControl w:val="0"/>
        <w:autoSpaceDE w:val="0"/>
        <w:autoSpaceDN w:val="0"/>
        <w:adjustRightInd w:val="0"/>
        <w:rPr>
          <w:iCs/>
          <w:sz w:val="22"/>
          <w:szCs w:val="22"/>
          <w:u w:val="single"/>
          <w:lang w:val="hr-HR" w:eastAsia="de-DE"/>
        </w:rPr>
      </w:pPr>
      <w:r w:rsidRPr="004C25BD">
        <w:rPr>
          <w:iCs/>
          <w:sz w:val="22"/>
          <w:szCs w:val="22"/>
          <w:u w:val="single"/>
          <w:lang w:val="hr-HR" w:eastAsia="de-DE"/>
        </w:rPr>
        <w:t>Tabelarni prikaz neželjenih dejstava</w:t>
      </w:r>
    </w:p>
    <w:p w:rsidR="004C25BD" w:rsidRPr="004C25BD" w:rsidRDefault="004C25BD" w:rsidP="004C25BD">
      <w:pPr>
        <w:widowControl w:val="0"/>
        <w:tabs>
          <w:tab w:val="left" w:pos="540"/>
        </w:tabs>
        <w:autoSpaceDE w:val="0"/>
        <w:autoSpaceDN w:val="0"/>
        <w:adjustRightInd w:val="0"/>
        <w:rPr>
          <w:sz w:val="22"/>
          <w:szCs w:val="22"/>
          <w:lang w:val="hr-HR"/>
        </w:rPr>
      </w:pPr>
      <w:r w:rsidRPr="004C25BD">
        <w:rPr>
          <w:rFonts w:eastAsia="Calibri"/>
          <w:sz w:val="22"/>
          <w:szCs w:val="22"/>
          <w:lang w:val="hr-HR" w:eastAsia="hr-HR"/>
        </w:rPr>
        <w:t>Neželjena dejstva su poređana po kategorijama učestalosti prema sljedećem pravilu</w:t>
      </w:r>
      <w:r w:rsidRPr="004C25BD">
        <w:rPr>
          <w:sz w:val="22"/>
          <w:szCs w:val="22"/>
          <w:lang w:val="hr-HR"/>
        </w:rPr>
        <w:t>: veoma često (≥1/10); često (≥1/100 do &lt;1/10); povremeno (≥1/1000 do &lt;1/100); rijetko (≥1/10 000 do &lt;1/1000); veoma rijetko (&lt;1/10 000).</w:t>
      </w:r>
    </w:p>
    <w:p w:rsidR="004C25BD" w:rsidRPr="004C25BD" w:rsidRDefault="004C25BD" w:rsidP="004C25BD">
      <w:pPr>
        <w:rPr>
          <w:sz w:val="22"/>
          <w:szCs w:val="22"/>
          <w:lang w:val="hr-HR"/>
        </w:rPr>
      </w:pPr>
    </w:p>
    <w:p w:rsidR="004C25BD" w:rsidRPr="004C25BD" w:rsidRDefault="004C25BD" w:rsidP="004C25BD">
      <w:pPr>
        <w:pStyle w:val="Default"/>
        <w:tabs>
          <w:tab w:val="left" w:pos="540"/>
        </w:tabs>
        <w:rPr>
          <w:sz w:val="22"/>
          <w:szCs w:val="22"/>
          <w:lang w:val="hr-HR"/>
        </w:rPr>
      </w:pPr>
      <w:r w:rsidRPr="004C25BD">
        <w:rPr>
          <w:sz w:val="22"/>
          <w:szCs w:val="22"/>
          <w:lang w:val="hr-HR"/>
        </w:rPr>
        <w:t>Unutar svake grupe učestalosti neželjena dejstva su prikazana u opadajućem nizu prema ozbiljnosti.</w:t>
      </w:r>
    </w:p>
    <w:p w:rsidR="004C25BD" w:rsidRPr="004C25BD" w:rsidRDefault="004C25BD" w:rsidP="004C25BD">
      <w:pPr>
        <w:rPr>
          <w:sz w:val="22"/>
          <w:szCs w:val="22"/>
          <w:lang w:val="hr-HR"/>
        </w:rPr>
      </w:pPr>
    </w:p>
    <w:tbl>
      <w:tblPr>
        <w:tblW w:w="0" w:type="auto"/>
        <w:tblInd w:w="108" w:type="dxa"/>
        <w:tblBorders>
          <w:top w:val="nil"/>
          <w:left w:val="nil"/>
          <w:bottom w:val="nil"/>
          <w:right w:val="nil"/>
        </w:tblBorders>
        <w:tblLook w:val="0000" w:firstRow="0" w:lastRow="0" w:firstColumn="0" w:lastColumn="0" w:noHBand="0" w:noVBand="0"/>
      </w:tblPr>
      <w:tblGrid>
        <w:gridCol w:w="2127"/>
        <w:gridCol w:w="7051"/>
      </w:tblGrid>
      <w:tr w:rsidR="004C25BD" w:rsidRPr="004C25BD" w:rsidTr="00AC3D92">
        <w:trPr>
          <w:trHeight w:val="289"/>
        </w:trPr>
        <w:tc>
          <w:tcPr>
            <w:tcW w:w="9178" w:type="dxa"/>
            <w:gridSpan w:val="2"/>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Infekcije i infestacije</w:t>
            </w:r>
            <w:r w:rsidRPr="004C25BD">
              <w:rPr>
                <w:color w:val="000000"/>
                <w:sz w:val="22"/>
                <w:szCs w:val="22"/>
                <w:lang w:val="hr-HR"/>
              </w:rPr>
              <w:t xml:space="preserve"> </w:t>
            </w:r>
          </w:p>
        </w:tc>
      </w:tr>
      <w:tr w:rsidR="004C25BD" w:rsidRPr="004C25BD" w:rsidTr="00AC3D92">
        <w:trPr>
          <w:trHeight w:val="536"/>
        </w:trPr>
        <w:tc>
          <w:tcPr>
            <w:tcW w:w="2127"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sz w:val="22"/>
                <w:szCs w:val="22"/>
                <w:lang w:val="hr-HR"/>
              </w:rPr>
              <w:tab/>
            </w:r>
            <w:r w:rsidRPr="004C25BD">
              <w:rPr>
                <w:color w:val="000000"/>
                <w:sz w:val="22"/>
                <w:szCs w:val="22"/>
                <w:lang w:val="hr-HR"/>
              </w:rPr>
              <w:t>Povremeno:</w:t>
            </w:r>
          </w:p>
          <w:p w:rsidR="004C25BD" w:rsidRPr="004C25BD" w:rsidRDefault="004C25BD" w:rsidP="00AC3D92">
            <w:pPr>
              <w:widowControl w:val="0"/>
              <w:tabs>
                <w:tab w:val="left" w:pos="540"/>
              </w:tabs>
              <w:autoSpaceDE w:val="0"/>
              <w:autoSpaceDN w:val="0"/>
              <w:adjustRightInd w:val="0"/>
              <w:rPr>
                <w:color w:val="000000"/>
                <w:sz w:val="22"/>
                <w:szCs w:val="22"/>
                <w:lang w:val="hr-HR"/>
              </w:rPr>
            </w:pPr>
          </w:p>
          <w:p w:rsidR="004C25BD" w:rsidRPr="004C25BD" w:rsidRDefault="004C25BD" w:rsidP="00AC3D92">
            <w:pPr>
              <w:widowControl w:val="0"/>
              <w:tabs>
                <w:tab w:val="left" w:pos="540"/>
              </w:tabs>
              <w:autoSpaceDE w:val="0"/>
              <w:autoSpaceDN w:val="0"/>
              <w:adjustRightInd w:val="0"/>
              <w:rPr>
                <w:sz w:val="22"/>
                <w:szCs w:val="22"/>
                <w:lang w:val="hr-HR"/>
              </w:rPr>
            </w:pPr>
            <w:r w:rsidRPr="004C25BD">
              <w:rPr>
                <w:sz w:val="22"/>
                <w:szCs w:val="22"/>
                <w:lang w:val="hr-HR"/>
              </w:rPr>
              <w:tab/>
              <w:t xml:space="preserve">Rijetko: </w:t>
            </w:r>
          </w:p>
        </w:tc>
        <w:tc>
          <w:tcPr>
            <w:tcW w:w="7051" w:type="dxa"/>
          </w:tcPr>
          <w:p w:rsidR="004C25BD" w:rsidRPr="004C25BD" w:rsidRDefault="004C25BD" w:rsidP="00AC3D92">
            <w:pPr>
              <w:widowControl w:val="0"/>
              <w:autoSpaceDE w:val="0"/>
              <w:autoSpaceDN w:val="0"/>
              <w:adjustRightInd w:val="0"/>
              <w:rPr>
                <w:color w:val="000000"/>
                <w:sz w:val="22"/>
                <w:szCs w:val="22"/>
                <w:lang w:val="hr-HR"/>
              </w:rPr>
            </w:pPr>
            <w:r w:rsidRPr="004C25BD">
              <w:rPr>
                <w:rFonts w:eastAsia="Calibri"/>
                <w:sz w:val="22"/>
                <w:szCs w:val="22"/>
                <w:lang w:val="hr-HR" w:eastAsia="hr-HR"/>
              </w:rPr>
              <w:t>Infekcije mokraćnog sistema uključujući cistitis</w:t>
            </w:r>
            <w:r w:rsidRPr="004C25BD">
              <w:rPr>
                <w:color w:val="000000"/>
                <w:sz w:val="22"/>
                <w:szCs w:val="22"/>
                <w:lang w:val="hr-HR"/>
              </w:rPr>
              <w:t xml:space="preserve">, </w:t>
            </w:r>
            <w:r w:rsidRPr="004C25BD">
              <w:rPr>
                <w:rFonts w:eastAsia="Calibri"/>
                <w:sz w:val="22"/>
                <w:szCs w:val="22"/>
                <w:lang w:val="hr-HR" w:eastAsia="hr-HR"/>
              </w:rPr>
              <w:t>infekcije gornjeg disajnog sistema uključujući faringitis i sinusitis</w:t>
            </w: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Sepsa uključujući smrtni ishod</w:t>
            </w:r>
            <w:r w:rsidRPr="004C25BD">
              <w:rPr>
                <w:sz w:val="22"/>
                <w:szCs w:val="22"/>
                <w:vertAlign w:val="superscript"/>
                <w:lang w:val="hr-HR"/>
              </w:rPr>
              <w:t xml:space="preserve"> 1</w:t>
            </w:r>
          </w:p>
        </w:tc>
      </w:tr>
      <w:tr w:rsidR="004C25BD" w:rsidRPr="004C25BD" w:rsidTr="00AC3D92">
        <w:trPr>
          <w:trHeight w:val="289"/>
        </w:trPr>
        <w:tc>
          <w:tcPr>
            <w:tcW w:w="9178" w:type="dxa"/>
            <w:gridSpan w:val="2"/>
          </w:tcPr>
          <w:p w:rsidR="004C25BD" w:rsidRPr="004C25BD" w:rsidRDefault="004C25BD" w:rsidP="00AC3D92">
            <w:pPr>
              <w:widowControl w:val="0"/>
              <w:tabs>
                <w:tab w:val="left" w:pos="540"/>
              </w:tabs>
              <w:autoSpaceDE w:val="0"/>
              <w:autoSpaceDN w:val="0"/>
              <w:adjustRightInd w:val="0"/>
              <w:rPr>
                <w:color w:val="000000"/>
                <w:sz w:val="22"/>
                <w:szCs w:val="22"/>
                <w:lang w:val="hr-HR"/>
              </w:rPr>
            </w:pP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Poremećaji krvi i limfnog sistema</w:t>
            </w:r>
          </w:p>
        </w:tc>
      </w:tr>
      <w:tr w:rsidR="004C25BD" w:rsidRPr="004C25BD" w:rsidTr="00AC3D92">
        <w:trPr>
          <w:trHeight w:val="289"/>
        </w:trPr>
        <w:tc>
          <w:tcPr>
            <w:tcW w:w="2127" w:type="dxa"/>
          </w:tcPr>
          <w:p w:rsidR="004C25BD" w:rsidRPr="004C25BD" w:rsidRDefault="004C25BD" w:rsidP="00AC3D92">
            <w:pPr>
              <w:widowControl w:val="0"/>
              <w:tabs>
                <w:tab w:val="left" w:pos="540"/>
              </w:tabs>
              <w:autoSpaceDE w:val="0"/>
              <w:autoSpaceDN w:val="0"/>
              <w:adjustRightInd w:val="0"/>
              <w:rPr>
                <w:sz w:val="22"/>
                <w:szCs w:val="22"/>
                <w:lang w:val="hr-HR"/>
              </w:rPr>
            </w:pPr>
            <w:r w:rsidRPr="004C25BD">
              <w:rPr>
                <w:sz w:val="22"/>
                <w:szCs w:val="22"/>
                <w:lang w:val="hr-HR"/>
              </w:rPr>
              <w:tab/>
              <w:t>Povremeno</w:t>
            </w:r>
            <w:r w:rsidRPr="004C25BD">
              <w:rPr>
                <w:color w:val="000000"/>
                <w:sz w:val="22"/>
                <w:szCs w:val="22"/>
                <w:lang w:val="hr-HR"/>
              </w:rPr>
              <w:t>:</w:t>
            </w: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color w:val="000000"/>
                <w:sz w:val="22"/>
                <w:szCs w:val="22"/>
                <w:lang w:val="hr-HR"/>
              </w:rPr>
              <w:tab/>
              <w:t xml:space="preserve">Rijetko: </w:t>
            </w:r>
            <w:r w:rsidRPr="004C25BD">
              <w:rPr>
                <w:color w:val="000000"/>
                <w:sz w:val="22"/>
                <w:szCs w:val="22"/>
                <w:lang w:val="hr-HR"/>
              </w:rPr>
              <w:tab/>
            </w:r>
          </w:p>
        </w:tc>
        <w:tc>
          <w:tcPr>
            <w:tcW w:w="7051"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Anemija</w:t>
            </w: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Eozinofilija, trombocitopenija</w:t>
            </w:r>
          </w:p>
        </w:tc>
      </w:tr>
      <w:tr w:rsidR="004C25BD" w:rsidRPr="004C25BD" w:rsidTr="00AC3D92">
        <w:trPr>
          <w:trHeight w:val="289"/>
        </w:trPr>
        <w:tc>
          <w:tcPr>
            <w:tcW w:w="9178" w:type="dxa"/>
            <w:gridSpan w:val="2"/>
          </w:tcPr>
          <w:p w:rsidR="004C25BD" w:rsidRPr="004C25BD" w:rsidRDefault="004C25BD" w:rsidP="00AC3D92">
            <w:pPr>
              <w:widowControl w:val="0"/>
              <w:tabs>
                <w:tab w:val="left" w:pos="540"/>
              </w:tabs>
              <w:autoSpaceDE w:val="0"/>
              <w:autoSpaceDN w:val="0"/>
              <w:adjustRightInd w:val="0"/>
              <w:rPr>
                <w:color w:val="000000"/>
                <w:sz w:val="22"/>
                <w:szCs w:val="22"/>
                <w:lang w:val="hr-HR"/>
              </w:rPr>
            </w:pP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Poremećaji imunološkog sistema</w:t>
            </w:r>
          </w:p>
        </w:tc>
      </w:tr>
      <w:tr w:rsidR="004C25BD" w:rsidRPr="004C25BD" w:rsidTr="00AC3D92">
        <w:trPr>
          <w:trHeight w:val="289"/>
        </w:trPr>
        <w:tc>
          <w:tcPr>
            <w:tcW w:w="2127" w:type="dxa"/>
          </w:tcPr>
          <w:p w:rsidR="004C25BD" w:rsidRPr="004C25BD" w:rsidRDefault="004C25BD" w:rsidP="00AC3D92">
            <w:pPr>
              <w:widowControl w:val="0"/>
              <w:tabs>
                <w:tab w:val="left" w:pos="540"/>
              </w:tabs>
              <w:autoSpaceDE w:val="0"/>
              <w:autoSpaceDN w:val="0"/>
              <w:adjustRightInd w:val="0"/>
              <w:ind w:right="-100"/>
              <w:rPr>
                <w:sz w:val="22"/>
                <w:szCs w:val="22"/>
                <w:lang w:val="hr-HR"/>
              </w:rPr>
            </w:pPr>
            <w:r w:rsidRPr="004C25BD">
              <w:rPr>
                <w:sz w:val="22"/>
                <w:szCs w:val="22"/>
                <w:lang w:val="hr-HR"/>
              </w:rPr>
              <w:tab/>
            </w:r>
            <w:r w:rsidRPr="004C25BD">
              <w:rPr>
                <w:color w:val="000000"/>
                <w:sz w:val="22"/>
                <w:szCs w:val="22"/>
                <w:lang w:val="hr-HR"/>
              </w:rPr>
              <w:t>Rijetko:</w:t>
            </w:r>
          </w:p>
        </w:tc>
        <w:tc>
          <w:tcPr>
            <w:tcW w:w="7051"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color w:val="000000"/>
                <w:sz w:val="22"/>
                <w:szCs w:val="22"/>
                <w:lang w:val="hr-HR"/>
              </w:rPr>
              <w:t>A</w:t>
            </w:r>
            <w:r w:rsidRPr="004C25BD">
              <w:rPr>
                <w:rFonts w:eastAsia="Calibri"/>
                <w:sz w:val="22"/>
                <w:szCs w:val="22"/>
                <w:lang w:val="hr-HR" w:eastAsia="hr-HR"/>
              </w:rPr>
              <w:t>nafilaktička reakcija, preosjetljivost</w:t>
            </w:r>
          </w:p>
        </w:tc>
      </w:tr>
      <w:tr w:rsidR="004C25BD" w:rsidRPr="004C25BD" w:rsidTr="00AC3D92">
        <w:trPr>
          <w:trHeight w:val="289"/>
        </w:trPr>
        <w:tc>
          <w:tcPr>
            <w:tcW w:w="9178" w:type="dxa"/>
            <w:gridSpan w:val="2"/>
          </w:tcPr>
          <w:p w:rsidR="004C25BD" w:rsidRPr="004C25BD" w:rsidRDefault="004C25BD" w:rsidP="00AC3D92">
            <w:pPr>
              <w:widowControl w:val="0"/>
              <w:tabs>
                <w:tab w:val="left" w:pos="540"/>
              </w:tabs>
              <w:autoSpaceDE w:val="0"/>
              <w:autoSpaceDN w:val="0"/>
              <w:adjustRightInd w:val="0"/>
              <w:rPr>
                <w:color w:val="000000"/>
                <w:sz w:val="22"/>
                <w:szCs w:val="22"/>
                <w:lang w:val="hr-HR"/>
              </w:rPr>
            </w:pP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Poremećaji metabolizma i prehrane</w:t>
            </w:r>
            <w:r w:rsidRPr="004C25BD">
              <w:rPr>
                <w:color w:val="000000"/>
                <w:sz w:val="22"/>
                <w:szCs w:val="22"/>
                <w:lang w:val="hr-HR"/>
              </w:rPr>
              <w:t xml:space="preserve"> </w:t>
            </w:r>
          </w:p>
        </w:tc>
      </w:tr>
      <w:tr w:rsidR="004C25BD" w:rsidRPr="004C25BD" w:rsidTr="00AC3D92">
        <w:trPr>
          <w:trHeight w:val="289"/>
        </w:trPr>
        <w:tc>
          <w:tcPr>
            <w:tcW w:w="2127"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sz w:val="22"/>
                <w:szCs w:val="22"/>
                <w:lang w:val="hr-HR"/>
              </w:rPr>
              <w:tab/>
            </w:r>
            <w:r w:rsidRPr="004C25BD">
              <w:rPr>
                <w:color w:val="000000"/>
                <w:sz w:val="22"/>
                <w:szCs w:val="22"/>
                <w:lang w:val="hr-HR"/>
              </w:rPr>
              <w:t>Povremeno:</w:t>
            </w: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color w:val="000000"/>
                <w:sz w:val="22"/>
                <w:szCs w:val="22"/>
                <w:lang w:val="hr-HR"/>
              </w:rPr>
              <w:tab/>
              <w:t>Rijetko:</w:t>
            </w:r>
          </w:p>
        </w:tc>
        <w:tc>
          <w:tcPr>
            <w:tcW w:w="7051"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Hiperkalijemija</w:t>
            </w: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sz w:val="22"/>
                <w:szCs w:val="22"/>
                <w:lang w:val="hr-HR"/>
              </w:rPr>
              <w:t>Hipoglikemija ( kod pacijenata sa šećernom bolešću)</w:t>
            </w:r>
          </w:p>
        </w:tc>
      </w:tr>
      <w:tr w:rsidR="004C25BD" w:rsidRPr="004C25BD" w:rsidTr="00AC3D92">
        <w:trPr>
          <w:trHeight w:val="289"/>
        </w:trPr>
        <w:tc>
          <w:tcPr>
            <w:tcW w:w="9178" w:type="dxa"/>
            <w:gridSpan w:val="2"/>
          </w:tcPr>
          <w:p w:rsidR="004C25BD" w:rsidRPr="004C25BD" w:rsidRDefault="004C25BD" w:rsidP="00AC3D92">
            <w:pPr>
              <w:widowControl w:val="0"/>
              <w:tabs>
                <w:tab w:val="left" w:pos="540"/>
              </w:tabs>
              <w:autoSpaceDE w:val="0"/>
              <w:autoSpaceDN w:val="0"/>
              <w:adjustRightInd w:val="0"/>
              <w:rPr>
                <w:color w:val="000000"/>
                <w:sz w:val="22"/>
                <w:szCs w:val="22"/>
                <w:lang w:val="hr-HR"/>
              </w:rPr>
            </w:pP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Psihijatrijski poremećaji</w:t>
            </w:r>
            <w:r w:rsidRPr="004C25BD">
              <w:rPr>
                <w:color w:val="000000"/>
                <w:sz w:val="22"/>
                <w:szCs w:val="22"/>
                <w:lang w:val="hr-HR"/>
              </w:rPr>
              <w:t xml:space="preserve"> </w:t>
            </w:r>
          </w:p>
        </w:tc>
      </w:tr>
      <w:tr w:rsidR="004C25BD" w:rsidRPr="004C25BD" w:rsidTr="00AC3D92">
        <w:trPr>
          <w:trHeight w:val="289"/>
        </w:trPr>
        <w:tc>
          <w:tcPr>
            <w:tcW w:w="2127"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sz w:val="22"/>
                <w:szCs w:val="22"/>
                <w:lang w:val="hr-HR"/>
              </w:rPr>
              <w:tab/>
              <w:t>Povremeno</w:t>
            </w:r>
            <w:r w:rsidRPr="004C25BD">
              <w:rPr>
                <w:color w:val="000000"/>
                <w:sz w:val="22"/>
                <w:szCs w:val="22"/>
                <w:lang w:val="hr-HR"/>
              </w:rPr>
              <w:t>:</w:t>
            </w: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color w:val="000000"/>
                <w:sz w:val="22"/>
                <w:szCs w:val="22"/>
                <w:lang w:val="hr-HR"/>
              </w:rPr>
              <w:tab/>
              <w:t>Rijetko:</w:t>
            </w:r>
          </w:p>
        </w:tc>
        <w:tc>
          <w:tcPr>
            <w:tcW w:w="7051"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color w:val="000000"/>
                <w:sz w:val="22"/>
                <w:szCs w:val="22"/>
                <w:lang w:val="hr-HR"/>
              </w:rPr>
              <w:t xml:space="preserve">Nesanica, </w:t>
            </w:r>
            <w:r w:rsidRPr="004C25BD">
              <w:rPr>
                <w:rFonts w:eastAsia="Calibri"/>
                <w:sz w:val="22"/>
                <w:szCs w:val="22"/>
                <w:lang w:val="hr-HR" w:eastAsia="hr-HR"/>
              </w:rPr>
              <w:t>depresija</w:t>
            </w: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Anksioznost</w:t>
            </w:r>
          </w:p>
        </w:tc>
      </w:tr>
      <w:tr w:rsidR="004C25BD" w:rsidRPr="004C25BD" w:rsidTr="00AC3D92">
        <w:trPr>
          <w:trHeight w:val="289"/>
        </w:trPr>
        <w:tc>
          <w:tcPr>
            <w:tcW w:w="9178" w:type="dxa"/>
            <w:gridSpan w:val="2"/>
          </w:tcPr>
          <w:p w:rsidR="004C25BD" w:rsidRPr="004C25BD" w:rsidRDefault="004C25BD" w:rsidP="00AC3D92">
            <w:pPr>
              <w:widowControl w:val="0"/>
              <w:tabs>
                <w:tab w:val="left" w:pos="540"/>
              </w:tabs>
              <w:autoSpaceDE w:val="0"/>
              <w:autoSpaceDN w:val="0"/>
              <w:adjustRightInd w:val="0"/>
              <w:rPr>
                <w:color w:val="000000"/>
                <w:sz w:val="22"/>
                <w:szCs w:val="22"/>
                <w:lang w:val="hr-HR"/>
              </w:rPr>
            </w:pPr>
          </w:p>
          <w:p w:rsidR="004C25BD" w:rsidRPr="004C25BD" w:rsidRDefault="004C25BD" w:rsidP="00C32A49">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 xml:space="preserve">Poremećaji </w:t>
            </w:r>
            <w:r w:rsidR="00C32A49">
              <w:rPr>
                <w:rFonts w:eastAsia="Calibri"/>
                <w:sz w:val="22"/>
                <w:szCs w:val="22"/>
                <w:lang w:val="hr-HR" w:eastAsia="hr-HR"/>
              </w:rPr>
              <w:t>nerv</w:t>
            </w:r>
            <w:r w:rsidRPr="004C25BD">
              <w:rPr>
                <w:rFonts w:eastAsia="Calibri"/>
                <w:sz w:val="22"/>
                <w:szCs w:val="22"/>
                <w:lang w:val="hr-HR" w:eastAsia="hr-HR"/>
              </w:rPr>
              <w:t>nog sistema</w:t>
            </w:r>
          </w:p>
        </w:tc>
      </w:tr>
      <w:tr w:rsidR="004C25BD" w:rsidRPr="004C25BD" w:rsidTr="00AC3D92">
        <w:trPr>
          <w:trHeight w:val="289"/>
        </w:trPr>
        <w:tc>
          <w:tcPr>
            <w:tcW w:w="2127"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sz w:val="22"/>
                <w:szCs w:val="22"/>
                <w:lang w:val="hr-HR"/>
              </w:rPr>
              <w:tab/>
              <w:t>Povremeno</w:t>
            </w:r>
            <w:r w:rsidRPr="004C25BD">
              <w:rPr>
                <w:color w:val="000000"/>
                <w:sz w:val="22"/>
                <w:szCs w:val="22"/>
                <w:lang w:val="hr-HR"/>
              </w:rPr>
              <w:t>:</w:t>
            </w: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color w:val="000000"/>
                <w:sz w:val="22"/>
                <w:szCs w:val="22"/>
                <w:lang w:val="hr-HR"/>
              </w:rPr>
              <w:tab/>
              <w:t xml:space="preserve">Rijetko: </w:t>
            </w:r>
          </w:p>
        </w:tc>
        <w:tc>
          <w:tcPr>
            <w:tcW w:w="7051"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color w:val="000000"/>
                <w:sz w:val="22"/>
                <w:szCs w:val="22"/>
                <w:lang w:val="hr-HR"/>
              </w:rPr>
              <w:t>Sinkopa</w:t>
            </w: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color w:val="000000"/>
                <w:sz w:val="22"/>
                <w:szCs w:val="22"/>
                <w:lang w:val="hr-HR"/>
              </w:rPr>
              <w:t>Somnolencija</w:t>
            </w:r>
          </w:p>
        </w:tc>
      </w:tr>
      <w:tr w:rsidR="004C25BD" w:rsidRPr="004C25BD" w:rsidTr="00AC3D92">
        <w:trPr>
          <w:trHeight w:val="289"/>
        </w:trPr>
        <w:tc>
          <w:tcPr>
            <w:tcW w:w="9178" w:type="dxa"/>
            <w:gridSpan w:val="2"/>
          </w:tcPr>
          <w:p w:rsidR="004C25BD" w:rsidRPr="004C25BD" w:rsidRDefault="004C25BD" w:rsidP="00AC3D92">
            <w:pPr>
              <w:widowControl w:val="0"/>
              <w:tabs>
                <w:tab w:val="left" w:pos="540"/>
              </w:tabs>
              <w:autoSpaceDE w:val="0"/>
              <w:autoSpaceDN w:val="0"/>
              <w:adjustRightInd w:val="0"/>
              <w:rPr>
                <w:color w:val="000000"/>
                <w:sz w:val="22"/>
                <w:szCs w:val="22"/>
                <w:lang w:val="hr-HR"/>
              </w:rPr>
            </w:pP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Poremećaji oka</w:t>
            </w:r>
            <w:r w:rsidRPr="004C25BD">
              <w:rPr>
                <w:color w:val="000000"/>
                <w:sz w:val="22"/>
                <w:szCs w:val="22"/>
                <w:lang w:val="hr-HR"/>
              </w:rPr>
              <w:t xml:space="preserve"> </w:t>
            </w:r>
          </w:p>
        </w:tc>
      </w:tr>
      <w:tr w:rsidR="004C25BD" w:rsidRPr="004C25BD" w:rsidTr="00AC3D92">
        <w:trPr>
          <w:trHeight w:val="289"/>
        </w:trPr>
        <w:tc>
          <w:tcPr>
            <w:tcW w:w="2127"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sz w:val="22"/>
                <w:szCs w:val="22"/>
                <w:lang w:val="hr-HR"/>
              </w:rPr>
              <w:tab/>
            </w:r>
            <w:r w:rsidRPr="004C25BD">
              <w:rPr>
                <w:color w:val="000000"/>
                <w:sz w:val="22"/>
                <w:szCs w:val="22"/>
                <w:lang w:val="hr-HR"/>
              </w:rPr>
              <w:t xml:space="preserve">Rijetko: </w:t>
            </w:r>
          </w:p>
        </w:tc>
        <w:tc>
          <w:tcPr>
            <w:tcW w:w="7051"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color w:val="000000"/>
                <w:sz w:val="22"/>
                <w:szCs w:val="22"/>
                <w:lang w:val="hr-HR"/>
              </w:rPr>
              <w:t>Poremećaj vida</w:t>
            </w:r>
          </w:p>
        </w:tc>
      </w:tr>
      <w:tr w:rsidR="004C25BD" w:rsidRPr="004C25BD" w:rsidTr="00AC3D92">
        <w:trPr>
          <w:trHeight w:val="289"/>
        </w:trPr>
        <w:tc>
          <w:tcPr>
            <w:tcW w:w="9178" w:type="dxa"/>
            <w:gridSpan w:val="2"/>
          </w:tcPr>
          <w:p w:rsidR="004C25BD" w:rsidRPr="004C25BD" w:rsidRDefault="004C25BD" w:rsidP="00AC3D92">
            <w:pPr>
              <w:widowControl w:val="0"/>
              <w:tabs>
                <w:tab w:val="left" w:pos="540"/>
              </w:tabs>
              <w:autoSpaceDE w:val="0"/>
              <w:autoSpaceDN w:val="0"/>
              <w:adjustRightInd w:val="0"/>
              <w:rPr>
                <w:color w:val="000000"/>
                <w:sz w:val="22"/>
                <w:szCs w:val="22"/>
                <w:lang w:val="hr-HR"/>
              </w:rPr>
            </w:pP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lastRenderedPageBreak/>
              <w:t>Poremećaji uha i labirinta</w:t>
            </w:r>
            <w:r w:rsidRPr="004C25BD">
              <w:rPr>
                <w:color w:val="000000"/>
                <w:sz w:val="22"/>
                <w:szCs w:val="22"/>
                <w:lang w:val="hr-HR"/>
              </w:rPr>
              <w:t xml:space="preserve"> </w:t>
            </w:r>
          </w:p>
        </w:tc>
      </w:tr>
      <w:tr w:rsidR="004C25BD" w:rsidRPr="004C25BD" w:rsidTr="00AC3D92">
        <w:trPr>
          <w:trHeight w:val="289"/>
        </w:trPr>
        <w:tc>
          <w:tcPr>
            <w:tcW w:w="2127"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sz w:val="22"/>
                <w:szCs w:val="22"/>
                <w:lang w:val="hr-HR"/>
              </w:rPr>
              <w:lastRenderedPageBreak/>
              <w:tab/>
              <w:t>Povremeno</w:t>
            </w:r>
            <w:r w:rsidRPr="004C25BD">
              <w:rPr>
                <w:color w:val="000000"/>
                <w:sz w:val="22"/>
                <w:szCs w:val="22"/>
                <w:lang w:val="hr-HR"/>
              </w:rPr>
              <w:t xml:space="preserve">: </w:t>
            </w:r>
          </w:p>
        </w:tc>
        <w:tc>
          <w:tcPr>
            <w:tcW w:w="7051"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Vrtoglavica</w:t>
            </w:r>
            <w:r w:rsidRPr="004C25BD">
              <w:rPr>
                <w:color w:val="000000"/>
                <w:sz w:val="22"/>
                <w:szCs w:val="22"/>
                <w:lang w:val="hr-HR"/>
              </w:rPr>
              <w:t xml:space="preserve"> </w:t>
            </w:r>
          </w:p>
        </w:tc>
      </w:tr>
      <w:tr w:rsidR="004C25BD" w:rsidRPr="004C25BD" w:rsidTr="00AC3D92">
        <w:trPr>
          <w:trHeight w:val="289"/>
        </w:trPr>
        <w:tc>
          <w:tcPr>
            <w:tcW w:w="9178" w:type="dxa"/>
            <w:gridSpan w:val="2"/>
          </w:tcPr>
          <w:p w:rsidR="004C25BD" w:rsidRPr="004C25BD" w:rsidRDefault="004C25BD" w:rsidP="00AC3D92">
            <w:pPr>
              <w:widowControl w:val="0"/>
              <w:tabs>
                <w:tab w:val="left" w:pos="540"/>
              </w:tabs>
              <w:autoSpaceDE w:val="0"/>
              <w:autoSpaceDN w:val="0"/>
              <w:adjustRightInd w:val="0"/>
              <w:rPr>
                <w:color w:val="000000"/>
                <w:sz w:val="22"/>
                <w:szCs w:val="22"/>
                <w:lang w:val="hr-HR"/>
              </w:rPr>
            </w:pP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Srčani poremećaji</w:t>
            </w:r>
            <w:r w:rsidRPr="004C25BD">
              <w:rPr>
                <w:color w:val="000000"/>
                <w:sz w:val="22"/>
                <w:szCs w:val="22"/>
                <w:lang w:val="hr-HR"/>
              </w:rPr>
              <w:t xml:space="preserve"> </w:t>
            </w:r>
          </w:p>
        </w:tc>
      </w:tr>
      <w:tr w:rsidR="004C25BD" w:rsidRPr="004C25BD" w:rsidTr="00AC3D92">
        <w:trPr>
          <w:trHeight w:val="289"/>
        </w:trPr>
        <w:tc>
          <w:tcPr>
            <w:tcW w:w="2127" w:type="dxa"/>
          </w:tcPr>
          <w:p w:rsidR="004C25BD" w:rsidRPr="004C25BD" w:rsidRDefault="004C25BD" w:rsidP="00AC3D92">
            <w:pPr>
              <w:widowControl w:val="0"/>
              <w:tabs>
                <w:tab w:val="left" w:pos="540"/>
              </w:tabs>
              <w:autoSpaceDE w:val="0"/>
              <w:autoSpaceDN w:val="0"/>
              <w:adjustRightInd w:val="0"/>
              <w:rPr>
                <w:sz w:val="22"/>
                <w:szCs w:val="22"/>
                <w:lang w:val="hr-HR"/>
              </w:rPr>
            </w:pPr>
            <w:r w:rsidRPr="004C25BD">
              <w:rPr>
                <w:sz w:val="22"/>
                <w:szCs w:val="22"/>
                <w:lang w:val="hr-HR"/>
              </w:rPr>
              <w:tab/>
              <w:t>Povremeno</w:t>
            </w:r>
            <w:r w:rsidRPr="004C25BD">
              <w:rPr>
                <w:color w:val="000000"/>
                <w:sz w:val="22"/>
                <w:szCs w:val="22"/>
                <w:lang w:val="hr-HR"/>
              </w:rPr>
              <w:t>:</w:t>
            </w: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color w:val="000000"/>
                <w:sz w:val="22"/>
                <w:szCs w:val="22"/>
                <w:lang w:val="hr-HR"/>
              </w:rPr>
              <w:tab/>
              <w:t xml:space="preserve">Rijetko: </w:t>
            </w:r>
          </w:p>
        </w:tc>
        <w:tc>
          <w:tcPr>
            <w:tcW w:w="7051"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Bradikardija</w:t>
            </w: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Tahikardija</w:t>
            </w:r>
            <w:r w:rsidRPr="004C25BD">
              <w:rPr>
                <w:color w:val="000000"/>
                <w:sz w:val="22"/>
                <w:szCs w:val="22"/>
                <w:lang w:val="hr-HR"/>
              </w:rPr>
              <w:t xml:space="preserve"> </w:t>
            </w:r>
          </w:p>
        </w:tc>
      </w:tr>
      <w:tr w:rsidR="004C25BD" w:rsidRPr="004C25BD" w:rsidTr="00AC3D92">
        <w:trPr>
          <w:trHeight w:val="289"/>
        </w:trPr>
        <w:tc>
          <w:tcPr>
            <w:tcW w:w="9178" w:type="dxa"/>
            <w:gridSpan w:val="2"/>
          </w:tcPr>
          <w:p w:rsidR="004C25BD" w:rsidRPr="004C25BD" w:rsidRDefault="004C25BD" w:rsidP="00AC3D92">
            <w:pPr>
              <w:widowControl w:val="0"/>
              <w:tabs>
                <w:tab w:val="left" w:pos="540"/>
              </w:tabs>
              <w:autoSpaceDE w:val="0"/>
              <w:autoSpaceDN w:val="0"/>
              <w:adjustRightInd w:val="0"/>
              <w:rPr>
                <w:color w:val="000000"/>
                <w:sz w:val="22"/>
                <w:szCs w:val="22"/>
                <w:lang w:val="hr-HR"/>
              </w:rPr>
            </w:pP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Poremećaji</w:t>
            </w:r>
            <w:r w:rsidRPr="004C25BD">
              <w:rPr>
                <w:color w:val="000000"/>
                <w:sz w:val="22"/>
                <w:szCs w:val="22"/>
                <w:lang w:val="hr-HR"/>
              </w:rPr>
              <w:t xml:space="preserve"> kardiovaskularnog sistema</w:t>
            </w:r>
          </w:p>
        </w:tc>
      </w:tr>
      <w:tr w:rsidR="004C25BD" w:rsidRPr="004C25BD" w:rsidTr="00AC3D92">
        <w:trPr>
          <w:trHeight w:val="549"/>
        </w:trPr>
        <w:tc>
          <w:tcPr>
            <w:tcW w:w="2127" w:type="dxa"/>
            <w:vAlign w:val="center"/>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sz w:val="22"/>
                <w:szCs w:val="22"/>
                <w:lang w:val="hr-HR"/>
              </w:rPr>
              <w:tab/>
              <w:t>Povremeno</w:t>
            </w:r>
            <w:r w:rsidRPr="004C25BD">
              <w:rPr>
                <w:color w:val="000000"/>
                <w:sz w:val="22"/>
                <w:szCs w:val="22"/>
                <w:lang w:val="hr-HR"/>
              </w:rPr>
              <w:t>:</w:t>
            </w:r>
          </w:p>
        </w:tc>
        <w:tc>
          <w:tcPr>
            <w:tcW w:w="7051" w:type="dxa"/>
            <w:vAlign w:val="center"/>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Hipotenzija</w:t>
            </w:r>
            <w:r w:rsidRPr="004C25BD">
              <w:rPr>
                <w:color w:val="000000"/>
                <w:sz w:val="22"/>
                <w:szCs w:val="22"/>
                <w:vertAlign w:val="superscript"/>
                <w:lang w:val="hr-HR"/>
              </w:rPr>
              <w:t xml:space="preserve"> 2</w:t>
            </w:r>
            <w:r w:rsidRPr="004C25BD">
              <w:rPr>
                <w:color w:val="000000"/>
                <w:sz w:val="22"/>
                <w:szCs w:val="22"/>
                <w:lang w:val="hr-HR"/>
              </w:rPr>
              <w:t>, o</w:t>
            </w:r>
            <w:r w:rsidRPr="004C25BD">
              <w:rPr>
                <w:rFonts w:eastAsia="Calibri"/>
                <w:sz w:val="22"/>
                <w:szCs w:val="22"/>
                <w:lang w:val="hr-HR" w:eastAsia="hr-HR"/>
              </w:rPr>
              <w:t>rtostatska hipotenzija</w:t>
            </w:r>
          </w:p>
        </w:tc>
      </w:tr>
      <w:tr w:rsidR="004C25BD" w:rsidRPr="004C25BD" w:rsidTr="00AC3D92">
        <w:trPr>
          <w:trHeight w:val="289"/>
        </w:trPr>
        <w:tc>
          <w:tcPr>
            <w:tcW w:w="9178" w:type="dxa"/>
            <w:gridSpan w:val="2"/>
          </w:tcPr>
          <w:p w:rsidR="004C25BD" w:rsidRPr="004C25BD" w:rsidRDefault="004C25BD" w:rsidP="00AC3D92">
            <w:pPr>
              <w:widowControl w:val="0"/>
              <w:tabs>
                <w:tab w:val="left" w:pos="540"/>
              </w:tabs>
              <w:autoSpaceDE w:val="0"/>
              <w:autoSpaceDN w:val="0"/>
              <w:adjustRightInd w:val="0"/>
              <w:rPr>
                <w:color w:val="000000"/>
                <w:sz w:val="22"/>
                <w:szCs w:val="22"/>
                <w:lang w:val="hr-HR"/>
              </w:rPr>
            </w:pP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Poremećaji disajnog sistema, grudnog koša i medijastinuma</w:t>
            </w:r>
          </w:p>
        </w:tc>
      </w:tr>
      <w:tr w:rsidR="004C25BD" w:rsidRPr="004C25BD" w:rsidTr="00AC3D92">
        <w:trPr>
          <w:trHeight w:val="289"/>
        </w:trPr>
        <w:tc>
          <w:tcPr>
            <w:tcW w:w="2127"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sz w:val="22"/>
                <w:szCs w:val="22"/>
                <w:lang w:val="hr-HR"/>
              </w:rPr>
              <w:tab/>
              <w:t>Povremeno</w:t>
            </w:r>
            <w:r w:rsidRPr="004C25BD">
              <w:rPr>
                <w:color w:val="000000"/>
                <w:sz w:val="22"/>
                <w:szCs w:val="22"/>
                <w:lang w:val="hr-HR"/>
              </w:rPr>
              <w:t>:</w:t>
            </w:r>
          </w:p>
          <w:p w:rsidR="004C25BD" w:rsidRPr="004C25BD" w:rsidRDefault="004C25BD" w:rsidP="00AC3D92">
            <w:pPr>
              <w:widowControl w:val="0"/>
              <w:tabs>
                <w:tab w:val="left" w:pos="540"/>
              </w:tabs>
              <w:autoSpaceDE w:val="0"/>
              <w:autoSpaceDN w:val="0"/>
              <w:adjustRightInd w:val="0"/>
              <w:ind w:left="540"/>
              <w:rPr>
                <w:color w:val="000000"/>
                <w:sz w:val="22"/>
                <w:szCs w:val="22"/>
                <w:lang w:val="hr-HR"/>
              </w:rPr>
            </w:pPr>
            <w:r w:rsidRPr="004C25BD">
              <w:rPr>
                <w:color w:val="000000"/>
                <w:sz w:val="22"/>
                <w:szCs w:val="22"/>
                <w:lang w:val="hr-HR"/>
              </w:rPr>
              <w:t xml:space="preserve">Veoma rijetko: </w:t>
            </w:r>
          </w:p>
        </w:tc>
        <w:tc>
          <w:tcPr>
            <w:tcW w:w="7051"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Dispneja, kašalj</w:t>
            </w: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color w:val="000000"/>
                <w:sz w:val="22"/>
                <w:szCs w:val="22"/>
                <w:lang w:val="hr-HR"/>
              </w:rPr>
              <w:t>Bolest plućnog intersticija</w:t>
            </w:r>
            <w:r w:rsidRPr="004C25BD">
              <w:rPr>
                <w:color w:val="000000"/>
                <w:sz w:val="22"/>
                <w:szCs w:val="22"/>
                <w:vertAlign w:val="superscript"/>
                <w:lang w:val="hr-HR"/>
              </w:rPr>
              <w:t>4</w:t>
            </w:r>
          </w:p>
        </w:tc>
      </w:tr>
      <w:tr w:rsidR="004C25BD" w:rsidRPr="004C25BD" w:rsidTr="00AC3D92">
        <w:trPr>
          <w:trHeight w:val="289"/>
        </w:trPr>
        <w:tc>
          <w:tcPr>
            <w:tcW w:w="9178" w:type="dxa"/>
            <w:gridSpan w:val="2"/>
          </w:tcPr>
          <w:p w:rsidR="004C25BD" w:rsidRPr="004C25BD" w:rsidRDefault="004C25BD" w:rsidP="00AC3D92">
            <w:pPr>
              <w:widowControl w:val="0"/>
              <w:tabs>
                <w:tab w:val="left" w:pos="540"/>
              </w:tabs>
              <w:autoSpaceDE w:val="0"/>
              <w:autoSpaceDN w:val="0"/>
              <w:adjustRightInd w:val="0"/>
              <w:ind w:left="540"/>
              <w:rPr>
                <w:rFonts w:eastAsia="Calibri"/>
                <w:sz w:val="22"/>
                <w:szCs w:val="22"/>
                <w:lang w:val="hr-HR" w:eastAsia="hr-HR"/>
              </w:rPr>
            </w:pP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Poremećaji digestivnog trakta</w:t>
            </w:r>
          </w:p>
        </w:tc>
      </w:tr>
      <w:tr w:rsidR="004C25BD" w:rsidRPr="004C25BD" w:rsidTr="00AC3D92">
        <w:trPr>
          <w:trHeight w:val="549"/>
        </w:trPr>
        <w:tc>
          <w:tcPr>
            <w:tcW w:w="2127"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sz w:val="22"/>
                <w:szCs w:val="22"/>
                <w:lang w:val="hr-HR"/>
              </w:rPr>
              <w:tab/>
              <w:t>Povremeno</w:t>
            </w:r>
            <w:r w:rsidRPr="004C25BD">
              <w:rPr>
                <w:color w:val="000000"/>
                <w:sz w:val="22"/>
                <w:szCs w:val="22"/>
                <w:lang w:val="hr-HR"/>
              </w:rPr>
              <w:t>:</w:t>
            </w: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sz w:val="22"/>
                <w:szCs w:val="22"/>
                <w:lang w:val="hr-HR"/>
              </w:rPr>
              <w:tab/>
            </w:r>
            <w:r w:rsidRPr="004C25BD">
              <w:rPr>
                <w:color w:val="000000"/>
                <w:sz w:val="22"/>
                <w:szCs w:val="22"/>
                <w:lang w:val="hr-HR"/>
              </w:rPr>
              <w:t xml:space="preserve">Rijetko: </w:t>
            </w:r>
          </w:p>
        </w:tc>
        <w:tc>
          <w:tcPr>
            <w:tcW w:w="7051"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Abdominalni bol, proliv,</w:t>
            </w:r>
            <w:r w:rsidRPr="004C25BD">
              <w:rPr>
                <w:color w:val="000000"/>
                <w:sz w:val="22"/>
                <w:szCs w:val="22"/>
                <w:lang w:val="hr-HR"/>
              </w:rPr>
              <w:t xml:space="preserve"> dispepsija, flatulencija, povraćanje</w:t>
            </w: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color w:val="000000"/>
                <w:sz w:val="22"/>
                <w:szCs w:val="22"/>
                <w:lang w:val="hr-HR"/>
              </w:rPr>
              <w:t>Suva usta, nelagoda u želucu, disgeuzija</w:t>
            </w:r>
          </w:p>
        </w:tc>
      </w:tr>
      <w:tr w:rsidR="004C25BD" w:rsidRPr="004C25BD" w:rsidTr="00AC3D92">
        <w:trPr>
          <w:trHeight w:val="289"/>
        </w:trPr>
        <w:tc>
          <w:tcPr>
            <w:tcW w:w="9178" w:type="dxa"/>
            <w:gridSpan w:val="2"/>
          </w:tcPr>
          <w:p w:rsidR="004C25BD" w:rsidRPr="004C25BD" w:rsidRDefault="004C25BD" w:rsidP="00AC3D92">
            <w:pPr>
              <w:widowControl w:val="0"/>
              <w:tabs>
                <w:tab w:val="left" w:pos="540"/>
              </w:tabs>
              <w:autoSpaceDE w:val="0"/>
              <w:autoSpaceDN w:val="0"/>
              <w:adjustRightInd w:val="0"/>
              <w:rPr>
                <w:color w:val="000000"/>
                <w:sz w:val="22"/>
                <w:szCs w:val="22"/>
                <w:lang w:val="hr-HR"/>
              </w:rPr>
            </w:pP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Poremećaji jetre i žuči</w:t>
            </w:r>
            <w:r w:rsidRPr="004C25BD">
              <w:rPr>
                <w:color w:val="000000"/>
                <w:sz w:val="22"/>
                <w:szCs w:val="22"/>
                <w:lang w:val="hr-HR"/>
              </w:rPr>
              <w:t xml:space="preserve"> </w:t>
            </w:r>
          </w:p>
        </w:tc>
      </w:tr>
      <w:tr w:rsidR="004C25BD" w:rsidRPr="004C25BD" w:rsidTr="00AC3D92">
        <w:trPr>
          <w:trHeight w:val="289"/>
        </w:trPr>
        <w:tc>
          <w:tcPr>
            <w:tcW w:w="2127"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sz w:val="22"/>
                <w:szCs w:val="22"/>
                <w:lang w:val="hr-HR"/>
              </w:rPr>
              <w:tab/>
            </w:r>
            <w:r w:rsidRPr="004C25BD">
              <w:rPr>
                <w:color w:val="000000"/>
                <w:sz w:val="22"/>
                <w:szCs w:val="22"/>
                <w:lang w:val="hr-HR"/>
              </w:rPr>
              <w:t xml:space="preserve">Rijetko: </w:t>
            </w:r>
          </w:p>
        </w:tc>
        <w:tc>
          <w:tcPr>
            <w:tcW w:w="7051"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Abnormalna funkcija jetre/poremećaj rada jetre</w:t>
            </w:r>
            <w:r w:rsidRPr="004C25BD">
              <w:rPr>
                <w:color w:val="000000"/>
                <w:sz w:val="22"/>
                <w:szCs w:val="22"/>
                <w:vertAlign w:val="superscript"/>
                <w:lang w:val="hr-HR"/>
              </w:rPr>
              <w:t xml:space="preserve"> 3</w:t>
            </w:r>
            <w:r w:rsidRPr="004C25BD">
              <w:rPr>
                <w:color w:val="000000"/>
                <w:sz w:val="22"/>
                <w:szCs w:val="22"/>
                <w:lang w:val="hr-HR"/>
              </w:rPr>
              <w:t xml:space="preserve"> </w:t>
            </w:r>
          </w:p>
        </w:tc>
      </w:tr>
      <w:tr w:rsidR="004C25BD" w:rsidRPr="004C25BD" w:rsidTr="00AC3D92">
        <w:trPr>
          <w:trHeight w:val="289"/>
        </w:trPr>
        <w:tc>
          <w:tcPr>
            <w:tcW w:w="9178" w:type="dxa"/>
            <w:gridSpan w:val="2"/>
          </w:tcPr>
          <w:p w:rsidR="004C25BD" w:rsidRPr="004C25BD" w:rsidRDefault="004C25BD" w:rsidP="00AC3D92">
            <w:pPr>
              <w:widowControl w:val="0"/>
              <w:tabs>
                <w:tab w:val="left" w:pos="540"/>
              </w:tabs>
              <w:autoSpaceDE w:val="0"/>
              <w:autoSpaceDN w:val="0"/>
              <w:adjustRightInd w:val="0"/>
              <w:rPr>
                <w:color w:val="000000"/>
                <w:sz w:val="22"/>
                <w:szCs w:val="22"/>
                <w:lang w:val="hr-HR"/>
              </w:rPr>
            </w:pP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Poremećaji kože i potkožnog tkiva</w:t>
            </w:r>
            <w:r w:rsidRPr="004C25BD">
              <w:rPr>
                <w:color w:val="000000"/>
                <w:sz w:val="22"/>
                <w:szCs w:val="22"/>
                <w:lang w:val="hr-HR"/>
              </w:rPr>
              <w:t xml:space="preserve"> </w:t>
            </w:r>
          </w:p>
        </w:tc>
      </w:tr>
      <w:tr w:rsidR="004C25BD" w:rsidRPr="004C25BD" w:rsidTr="00AC3D92">
        <w:trPr>
          <w:trHeight w:val="810"/>
        </w:trPr>
        <w:tc>
          <w:tcPr>
            <w:tcW w:w="2127"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sz w:val="22"/>
                <w:szCs w:val="22"/>
                <w:lang w:val="hr-HR"/>
              </w:rPr>
              <w:tab/>
              <w:t>Povremeno</w:t>
            </w:r>
            <w:r w:rsidRPr="004C25BD">
              <w:rPr>
                <w:color w:val="000000"/>
                <w:sz w:val="22"/>
                <w:szCs w:val="22"/>
                <w:lang w:val="hr-HR"/>
              </w:rPr>
              <w:t>:</w:t>
            </w: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sz w:val="22"/>
                <w:szCs w:val="22"/>
                <w:lang w:val="hr-HR"/>
              </w:rPr>
              <w:tab/>
            </w:r>
            <w:r w:rsidRPr="004C25BD">
              <w:rPr>
                <w:color w:val="000000"/>
                <w:sz w:val="22"/>
                <w:szCs w:val="22"/>
                <w:lang w:val="hr-HR"/>
              </w:rPr>
              <w:t>Rijetko:</w:t>
            </w:r>
          </w:p>
        </w:tc>
        <w:tc>
          <w:tcPr>
            <w:tcW w:w="7051"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Pruritus, hiperhidroza</w:t>
            </w:r>
            <w:r w:rsidRPr="004C25BD">
              <w:rPr>
                <w:color w:val="000000"/>
                <w:sz w:val="22"/>
                <w:szCs w:val="22"/>
                <w:lang w:val="hr-HR"/>
              </w:rPr>
              <w:t>, osip</w:t>
            </w: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color w:val="000000"/>
                <w:sz w:val="22"/>
                <w:szCs w:val="22"/>
                <w:lang w:val="hr-HR"/>
              </w:rPr>
              <w:t xml:space="preserve">Angioedem </w:t>
            </w:r>
            <w:r w:rsidRPr="004C25BD">
              <w:rPr>
                <w:sz w:val="22"/>
                <w:szCs w:val="22"/>
                <w:lang w:val="hr-HR"/>
              </w:rPr>
              <w:t>(takođe sa smrtnim ishodom)</w:t>
            </w:r>
            <w:r w:rsidRPr="004C25BD">
              <w:rPr>
                <w:color w:val="000000"/>
                <w:sz w:val="22"/>
                <w:szCs w:val="22"/>
                <w:lang w:val="hr-HR"/>
              </w:rPr>
              <w:t xml:space="preserve">, ekcem, eritem, urtikarija, osip od lijeka, toksični osip kože </w:t>
            </w:r>
          </w:p>
        </w:tc>
      </w:tr>
      <w:tr w:rsidR="004C25BD" w:rsidRPr="004C25BD" w:rsidTr="00AC3D92">
        <w:trPr>
          <w:trHeight w:val="289"/>
        </w:trPr>
        <w:tc>
          <w:tcPr>
            <w:tcW w:w="9178" w:type="dxa"/>
            <w:gridSpan w:val="2"/>
          </w:tcPr>
          <w:p w:rsidR="004C25BD" w:rsidRPr="004C25BD" w:rsidRDefault="004C25BD" w:rsidP="00AC3D92">
            <w:pPr>
              <w:widowControl w:val="0"/>
              <w:tabs>
                <w:tab w:val="left" w:pos="567"/>
              </w:tabs>
              <w:rPr>
                <w:sz w:val="22"/>
                <w:szCs w:val="22"/>
                <w:lang w:val="hr-HR"/>
              </w:rPr>
            </w:pPr>
          </w:p>
          <w:p w:rsidR="004C25BD" w:rsidRPr="004C25BD" w:rsidRDefault="004C25BD" w:rsidP="00AC3D92">
            <w:pPr>
              <w:widowControl w:val="0"/>
              <w:tabs>
                <w:tab w:val="left" w:pos="567"/>
              </w:tabs>
              <w:rPr>
                <w:sz w:val="22"/>
                <w:szCs w:val="22"/>
                <w:lang w:val="hr-HR"/>
              </w:rPr>
            </w:pPr>
            <w:r w:rsidRPr="004C25BD">
              <w:rPr>
                <w:rFonts w:eastAsia="Calibri"/>
                <w:sz w:val="22"/>
                <w:szCs w:val="22"/>
                <w:lang w:val="hr-HR" w:eastAsia="hr-HR"/>
              </w:rPr>
              <w:t>Poremećaji mišićno-koštanog sistema i vezivnog tkiva</w:t>
            </w:r>
            <w:r w:rsidRPr="004C25BD">
              <w:rPr>
                <w:sz w:val="22"/>
                <w:szCs w:val="22"/>
                <w:lang w:val="hr-HR"/>
              </w:rPr>
              <w:t xml:space="preserve"> </w:t>
            </w:r>
          </w:p>
        </w:tc>
      </w:tr>
      <w:tr w:rsidR="004C25BD" w:rsidRPr="004C25BD" w:rsidTr="00AC3D92">
        <w:trPr>
          <w:trHeight w:val="510"/>
        </w:trPr>
        <w:tc>
          <w:tcPr>
            <w:tcW w:w="2127" w:type="dxa"/>
          </w:tcPr>
          <w:p w:rsidR="004C25BD" w:rsidRPr="004C25BD" w:rsidRDefault="004C25BD" w:rsidP="00AC3D92">
            <w:pPr>
              <w:widowControl w:val="0"/>
              <w:tabs>
                <w:tab w:val="left" w:pos="567"/>
              </w:tabs>
              <w:rPr>
                <w:sz w:val="22"/>
                <w:szCs w:val="22"/>
                <w:lang w:val="hr-HR"/>
              </w:rPr>
            </w:pPr>
            <w:r w:rsidRPr="004C25BD">
              <w:rPr>
                <w:sz w:val="22"/>
                <w:szCs w:val="22"/>
                <w:lang w:val="hr-HR"/>
              </w:rPr>
              <w:tab/>
              <w:t>Povremeno:</w:t>
            </w:r>
          </w:p>
          <w:p w:rsidR="004C25BD" w:rsidRPr="004C25BD" w:rsidRDefault="004C25BD" w:rsidP="00AC3D92">
            <w:pPr>
              <w:widowControl w:val="0"/>
              <w:tabs>
                <w:tab w:val="left" w:pos="567"/>
              </w:tabs>
              <w:rPr>
                <w:sz w:val="22"/>
                <w:szCs w:val="22"/>
                <w:lang w:val="hr-HR"/>
              </w:rPr>
            </w:pPr>
            <w:r w:rsidRPr="004C25BD">
              <w:rPr>
                <w:sz w:val="22"/>
                <w:szCs w:val="22"/>
                <w:lang w:val="hr-HR"/>
              </w:rPr>
              <w:tab/>
              <w:t>Rijetko:</w:t>
            </w:r>
          </w:p>
        </w:tc>
        <w:tc>
          <w:tcPr>
            <w:tcW w:w="7051" w:type="dxa"/>
          </w:tcPr>
          <w:p w:rsidR="004C25BD" w:rsidRPr="004C25BD" w:rsidRDefault="004C25BD" w:rsidP="00AC3D92">
            <w:pPr>
              <w:widowControl w:val="0"/>
              <w:tabs>
                <w:tab w:val="left" w:pos="567"/>
              </w:tabs>
              <w:rPr>
                <w:sz w:val="22"/>
                <w:szCs w:val="22"/>
                <w:lang w:val="hr-HR"/>
              </w:rPr>
            </w:pPr>
            <w:r w:rsidRPr="004C25BD">
              <w:rPr>
                <w:rFonts w:eastAsia="Calibri"/>
                <w:sz w:val="22"/>
                <w:szCs w:val="22"/>
                <w:lang w:val="hr-HR" w:eastAsia="hr-HR"/>
              </w:rPr>
              <w:t>Bol u leđima (npr. išijas)</w:t>
            </w:r>
            <w:r w:rsidRPr="004C25BD">
              <w:rPr>
                <w:sz w:val="22"/>
                <w:szCs w:val="22"/>
                <w:lang w:val="hr-HR"/>
              </w:rPr>
              <w:t>, grčevi mišića, mijalgija</w:t>
            </w:r>
          </w:p>
          <w:p w:rsidR="004C25BD" w:rsidRPr="004C25BD" w:rsidRDefault="004C25BD" w:rsidP="00AC3D92">
            <w:pPr>
              <w:widowControl w:val="0"/>
              <w:tabs>
                <w:tab w:val="left" w:pos="567"/>
              </w:tabs>
              <w:rPr>
                <w:sz w:val="22"/>
                <w:szCs w:val="22"/>
                <w:lang w:val="hr-HR"/>
              </w:rPr>
            </w:pPr>
            <w:r w:rsidRPr="004C25BD">
              <w:rPr>
                <w:sz w:val="22"/>
                <w:szCs w:val="22"/>
                <w:lang w:val="hr-HR"/>
              </w:rPr>
              <w:t>Artralgija, bol u ekstremitetima, bol tetiva (simptomi poput tendinitisa)</w:t>
            </w:r>
          </w:p>
        </w:tc>
      </w:tr>
      <w:tr w:rsidR="004C25BD" w:rsidRPr="004C25BD" w:rsidTr="00AC3D92">
        <w:trPr>
          <w:trHeight w:val="289"/>
        </w:trPr>
        <w:tc>
          <w:tcPr>
            <w:tcW w:w="9178" w:type="dxa"/>
            <w:gridSpan w:val="2"/>
          </w:tcPr>
          <w:p w:rsidR="004C25BD" w:rsidRPr="004C25BD" w:rsidRDefault="004C25BD" w:rsidP="00AC3D92">
            <w:pPr>
              <w:widowControl w:val="0"/>
              <w:tabs>
                <w:tab w:val="left" w:pos="540"/>
              </w:tabs>
              <w:autoSpaceDE w:val="0"/>
              <w:autoSpaceDN w:val="0"/>
              <w:adjustRightInd w:val="0"/>
              <w:rPr>
                <w:color w:val="000000"/>
                <w:sz w:val="22"/>
                <w:szCs w:val="22"/>
                <w:lang w:val="hr-HR"/>
              </w:rPr>
            </w:pP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Poremećaji bubrega i mokraćnog sistema</w:t>
            </w:r>
          </w:p>
        </w:tc>
      </w:tr>
      <w:tr w:rsidR="004C25BD" w:rsidRPr="004C25BD" w:rsidTr="00AC3D92">
        <w:trPr>
          <w:trHeight w:val="289"/>
        </w:trPr>
        <w:tc>
          <w:tcPr>
            <w:tcW w:w="2127"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sz w:val="22"/>
                <w:szCs w:val="22"/>
                <w:lang w:val="hr-HR"/>
              </w:rPr>
              <w:tab/>
              <w:t>Povremeno</w:t>
            </w:r>
            <w:r w:rsidRPr="004C25BD">
              <w:rPr>
                <w:color w:val="000000"/>
                <w:sz w:val="22"/>
                <w:szCs w:val="22"/>
                <w:lang w:val="hr-HR"/>
              </w:rPr>
              <w:t xml:space="preserve">: </w:t>
            </w:r>
          </w:p>
        </w:tc>
        <w:tc>
          <w:tcPr>
            <w:tcW w:w="7051" w:type="dxa"/>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Oštećenje bubrega uključujući akutnu insuficijenciju bubrega</w:t>
            </w:r>
            <w:r w:rsidRPr="004C25BD">
              <w:rPr>
                <w:color w:val="000000"/>
                <w:sz w:val="22"/>
                <w:szCs w:val="22"/>
                <w:lang w:val="hr-HR"/>
              </w:rPr>
              <w:t xml:space="preserve"> </w:t>
            </w:r>
          </w:p>
        </w:tc>
      </w:tr>
      <w:tr w:rsidR="004C25BD" w:rsidRPr="004C25BD" w:rsidTr="00AC3D92">
        <w:trPr>
          <w:trHeight w:val="289"/>
        </w:trPr>
        <w:tc>
          <w:tcPr>
            <w:tcW w:w="9178" w:type="dxa"/>
            <w:gridSpan w:val="2"/>
            <w:tcBorders>
              <w:bottom w:val="nil"/>
            </w:tcBorders>
          </w:tcPr>
          <w:p w:rsidR="004C25BD" w:rsidRPr="004C25BD" w:rsidRDefault="004C25BD" w:rsidP="00AC3D92">
            <w:pPr>
              <w:widowControl w:val="0"/>
              <w:tabs>
                <w:tab w:val="left" w:pos="540"/>
              </w:tabs>
              <w:autoSpaceDE w:val="0"/>
              <w:autoSpaceDN w:val="0"/>
              <w:adjustRightInd w:val="0"/>
              <w:rPr>
                <w:color w:val="000000"/>
                <w:sz w:val="22"/>
                <w:szCs w:val="22"/>
                <w:lang w:val="hr-HR"/>
              </w:rPr>
            </w:pP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Opšti poremećaji i reakcije na mjestu primjene</w:t>
            </w:r>
            <w:r w:rsidRPr="004C25BD">
              <w:rPr>
                <w:color w:val="000000"/>
                <w:sz w:val="22"/>
                <w:szCs w:val="22"/>
                <w:lang w:val="hr-HR"/>
              </w:rPr>
              <w:t xml:space="preserve"> </w:t>
            </w:r>
          </w:p>
        </w:tc>
      </w:tr>
      <w:tr w:rsidR="004C25BD" w:rsidRPr="004C25BD" w:rsidTr="00AC3D92">
        <w:trPr>
          <w:trHeight w:val="289"/>
        </w:trPr>
        <w:tc>
          <w:tcPr>
            <w:tcW w:w="2127" w:type="dxa"/>
            <w:tcBorders>
              <w:top w:val="nil"/>
              <w:bottom w:val="nil"/>
            </w:tcBorders>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sz w:val="22"/>
                <w:szCs w:val="22"/>
                <w:lang w:val="hr-HR"/>
              </w:rPr>
              <w:tab/>
              <w:t>Povremeno</w:t>
            </w:r>
            <w:r w:rsidRPr="004C25BD">
              <w:rPr>
                <w:color w:val="000000"/>
                <w:sz w:val="22"/>
                <w:szCs w:val="22"/>
                <w:lang w:val="hr-HR"/>
              </w:rPr>
              <w:t xml:space="preserve">: </w:t>
            </w:r>
            <w:r w:rsidRPr="004C25BD">
              <w:rPr>
                <w:sz w:val="22"/>
                <w:szCs w:val="22"/>
                <w:lang w:val="hr-HR"/>
              </w:rPr>
              <w:tab/>
            </w:r>
            <w:r w:rsidRPr="004C25BD">
              <w:rPr>
                <w:color w:val="000000"/>
                <w:sz w:val="22"/>
                <w:szCs w:val="22"/>
                <w:lang w:val="hr-HR"/>
              </w:rPr>
              <w:t>Rijetko:</w:t>
            </w:r>
          </w:p>
        </w:tc>
        <w:tc>
          <w:tcPr>
            <w:tcW w:w="7051" w:type="dxa"/>
            <w:tcBorders>
              <w:top w:val="nil"/>
              <w:bottom w:val="nil"/>
            </w:tcBorders>
          </w:tcPr>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Bol u prsima</w:t>
            </w:r>
            <w:r w:rsidRPr="004C25BD">
              <w:rPr>
                <w:color w:val="000000"/>
                <w:sz w:val="22"/>
                <w:szCs w:val="22"/>
                <w:lang w:val="hr-HR"/>
              </w:rPr>
              <w:t>, astenija (slabost)</w:t>
            </w:r>
          </w:p>
          <w:p w:rsidR="004C25BD" w:rsidRPr="004C25BD" w:rsidRDefault="004C25BD" w:rsidP="00AC3D92">
            <w:pPr>
              <w:widowControl w:val="0"/>
              <w:autoSpaceDE w:val="0"/>
              <w:autoSpaceDN w:val="0"/>
              <w:adjustRightInd w:val="0"/>
              <w:rPr>
                <w:color w:val="000000"/>
                <w:sz w:val="22"/>
                <w:szCs w:val="22"/>
                <w:lang w:val="hr-HR"/>
              </w:rPr>
            </w:pPr>
            <w:r w:rsidRPr="004C25BD">
              <w:rPr>
                <w:rFonts w:eastAsia="Calibri"/>
                <w:sz w:val="22"/>
                <w:szCs w:val="22"/>
                <w:lang w:val="hr-HR" w:eastAsia="hr-HR"/>
              </w:rPr>
              <w:t>Bolest sa simptomima sličnim gripu</w:t>
            </w:r>
          </w:p>
        </w:tc>
      </w:tr>
      <w:tr w:rsidR="004C25BD" w:rsidRPr="004C25BD" w:rsidTr="00AC3D92">
        <w:trPr>
          <w:trHeight w:val="289"/>
        </w:trPr>
        <w:tc>
          <w:tcPr>
            <w:tcW w:w="0" w:type="auto"/>
            <w:gridSpan w:val="2"/>
          </w:tcPr>
          <w:p w:rsidR="004C25BD" w:rsidRPr="004C25BD" w:rsidRDefault="004C25BD" w:rsidP="00AC3D92">
            <w:pPr>
              <w:widowControl w:val="0"/>
              <w:tabs>
                <w:tab w:val="left" w:pos="540"/>
              </w:tabs>
              <w:autoSpaceDE w:val="0"/>
              <w:autoSpaceDN w:val="0"/>
              <w:adjustRightInd w:val="0"/>
              <w:rPr>
                <w:rFonts w:eastAsia="Calibri"/>
                <w:sz w:val="22"/>
                <w:szCs w:val="22"/>
                <w:lang w:val="hr-HR" w:eastAsia="hr-HR"/>
              </w:rPr>
            </w:pP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rFonts w:eastAsia="Calibri"/>
                <w:sz w:val="22"/>
                <w:szCs w:val="22"/>
                <w:lang w:val="hr-HR" w:eastAsia="hr-HR"/>
              </w:rPr>
              <w:t>Ispitivanja</w:t>
            </w:r>
            <w:r w:rsidRPr="004C25BD">
              <w:rPr>
                <w:color w:val="000000"/>
                <w:sz w:val="22"/>
                <w:szCs w:val="22"/>
                <w:lang w:val="hr-HR"/>
              </w:rPr>
              <w:t xml:space="preserve"> </w:t>
            </w:r>
          </w:p>
        </w:tc>
      </w:tr>
      <w:tr w:rsidR="004C25BD" w:rsidRPr="004C25BD" w:rsidTr="00AC3D92">
        <w:trPr>
          <w:trHeight w:val="810"/>
        </w:trPr>
        <w:tc>
          <w:tcPr>
            <w:tcW w:w="2127" w:type="dxa"/>
            <w:tcBorders>
              <w:top w:val="nil"/>
              <w:bottom w:val="nil"/>
            </w:tcBorders>
          </w:tcPr>
          <w:p w:rsidR="004C25BD" w:rsidRPr="004C25BD" w:rsidRDefault="004C25BD" w:rsidP="00AC3D92">
            <w:pPr>
              <w:widowControl w:val="0"/>
              <w:tabs>
                <w:tab w:val="left" w:pos="540"/>
              </w:tabs>
              <w:autoSpaceDE w:val="0"/>
              <w:autoSpaceDN w:val="0"/>
              <w:adjustRightInd w:val="0"/>
              <w:rPr>
                <w:sz w:val="22"/>
                <w:szCs w:val="22"/>
                <w:lang w:val="hr-HR"/>
              </w:rPr>
            </w:pPr>
            <w:r w:rsidRPr="004C25BD">
              <w:rPr>
                <w:sz w:val="22"/>
                <w:szCs w:val="22"/>
                <w:lang w:val="hr-HR"/>
              </w:rPr>
              <w:tab/>
              <w:t>Povremeno</w:t>
            </w:r>
            <w:r w:rsidRPr="004C25BD">
              <w:rPr>
                <w:color w:val="000000"/>
                <w:sz w:val="22"/>
                <w:szCs w:val="22"/>
                <w:lang w:val="hr-HR"/>
              </w:rPr>
              <w:t>:</w:t>
            </w:r>
          </w:p>
          <w:p w:rsidR="004C25BD" w:rsidRPr="004C25BD" w:rsidRDefault="004C25BD" w:rsidP="00AC3D92">
            <w:pPr>
              <w:widowControl w:val="0"/>
              <w:tabs>
                <w:tab w:val="left" w:pos="540"/>
              </w:tabs>
              <w:autoSpaceDE w:val="0"/>
              <w:autoSpaceDN w:val="0"/>
              <w:adjustRightInd w:val="0"/>
              <w:rPr>
                <w:color w:val="000000"/>
                <w:sz w:val="22"/>
                <w:szCs w:val="22"/>
                <w:lang w:val="hr-HR"/>
              </w:rPr>
            </w:pPr>
            <w:r w:rsidRPr="004C25BD">
              <w:rPr>
                <w:color w:val="000000"/>
                <w:sz w:val="22"/>
                <w:szCs w:val="22"/>
                <w:lang w:val="hr-HR"/>
              </w:rPr>
              <w:tab/>
              <w:t>Rijetko:</w:t>
            </w:r>
          </w:p>
          <w:p w:rsidR="004C25BD" w:rsidRPr="004C25BD" w:rsidRDefault="004C25BD" w:rsidP="00AC3D92">
            <w:pPr>
              <w:widowControl w:val="0"/>
              <w:tabs>
                <w:tab w:val="left" w:pos="540"/>
              </w:tabs>
              <w:autoSpaceDE w:val="0"/>
              <w:autoSpaceDN w:val="0"/>
              <w:adjustRightInd w:val="0"/>
              <w:rPr>
                <w:color w:val="000000"/>
                <w:sz w:val="22"/>
                <w:szCs w:val="22"/>
                <w:lang w:val="hr-HR"/>
              </w:rPr>
            </w:pPr>
          </w:p>
        </w:tc>
        <w:tc>
          <w:tcPr>
            <w:tcW w:w="7051" w:type="dxa"/>
            <w:tcBorders>
              <w:top w:val="nil"/>
              <w:bottom w:val="nil"/>
            </w:tcBorders>
          </w:tcPr>
          <w:p w:rsidR="004C25BD" w:rsidRPr="004C25BD" w:rsidRDefault="004C25BD" w:rsidP="00AC3D92">
            <w:pPr>
              <w:widowControl w:val="0"/>
              <w:autoSpaceDE w:val="0"/>
              <w:autoSpaceDN w:val="0"/>
              <w:adjustRightInd w:val="0"/>
              <w:ind w:left="34"/>
              <w:rPr>
                <w:sz w:val="22"/>
                <w:szCs w:val="22"/>
                <w:lang w:val="hr-HR"/>
              </w:rPr>
            </w:pPr>
            <w:r w:rsidRPr="004C25BD">
              <w:rPr>
                <w:rFonts w:eastAsia="Calibri"/>
                <w:sz w:val="22"/>
                <w:szCs w:val="22"/>
                <w:lang w:val="hr-HR" w:eastAsia="hr-HR"/>
              </w:rPr>
              <w:t>Povišen kreatinin u krvi</w:t>
            </w:r>
          </w:p>
          <w:p w:rsidR="004C25BD" w:rsidRPr="004C25BD" w:rsidRDefault="004C25BD" w:rsidP="00AC3D92">
            <w:pPr>
              <w:widowControl w:val="0"/>
              <w:autoSpaceDE w:val="0"/>
              <w:autoSpaceDN w:val="0"/>
              <w:adjustRightInd w:val="0"/>
              <w:ind w:left="34"/>
              <w:rPr>
                <w:sz w:val="22"/>
                <w:szCs w:val="22"/>
                <w:lang w:val="hr-HR"/>
              </w:rPr>
            </w:pPr>
            <w:r w:rsidRPr="004C25BD">
              <w:rPr>
                <w:rFonts w:eastAsia="Calibri"/>
                <w:sz w:val="22"/>
                <w:szCs w:val="22"/>
                <w:lang w:val="hr-HR" w:eastAsia="hr-HR"/>
              </w:rPr>
              <w:t>Snižen hemoglobin</w:t>
            </w:r>
            <w:r w:rsidRPr="004C25BD">
              <w:rPr>
                <w:sz w:val="22"/>
                <w:szCs w:val="22"/>
                <w:lang w:val="hr-HR"/>
              </w:rPr>
              <w:t>, p</w:t>
            </w:r>
            <w:r w:rsidRPr="004C25BD">
              <w:rPr>
                <w:rFonts w:eastAsia="Calibri"/>
                <w:sz w:val="22"/>
                <w:szCs w:val="22"/>
                <w:lang w:val="hr-HR" w:eastAsia="hr-HR"/>
              </w:rPr>
              <w:t>ovišene vrijednosti mokraćne kiseline u krvi</w:t>
            </w:r>
            <w:r w:rsidRPr="004C25BD">
              <w:rPr>
                <w:sz w:val="22"/>
                <w:szCs w:val="22"/>
                <w:lang w:val="hr-HR"/>
              </w:rPr>
              <w:t xml:space="preserve">, </w:t>
            </w:r>
            <w:r w:rsidRPr="004C25BD">
              <w:rPr>
                <w:rFonts w:eastAsia="Calibri"/>
                <w:sz w:val="22"/>
                <w:szCs w:val="22"/>
                <w:lang w:val="hr-HR" w:eastAsia="hr-HR"/>
              </w:rPr>
              <w:t>povišeni enzimi jetre,</w:t>
            </w:r>
            <w:r w:rsidRPr="004C25BD">
              <w:rPr>
                <w:sz w:val="22"/>
                <w:szCs w:val="22"/>
                <w:lang w:val="hr-HR"/>
              </w:rPr>
              <w:t xml:space="preserve"> </w:t>
            </w:r>
            <w:r w:rsidRPr="004C25BD">
              <w:rPr>
                <w:rFonts w:eastAsia="Calibri"/>
                <w:sz w:val="22"/>
                <w:szCs w:val="22"/>
                <w:lang w:val="hr-HR" w:eastAsia="hr-HR"/>
              </w:rPr>
              <w:t>povišena kreatin-fosfokinaza u krvi</w:t>
            </w:r>
            <w:r w:rsidRPr="004C25BD">
              <w:rPr>
                <w:sz w:val="22"/>
                <w:szCs w:val="22"/>
                <w:lang w:val="hr-HR"/>
              </w:rPr>
              <w:t xml:space="preserve"> </w:t>
            </w:r>
          </w:p>
        </w:tc>
      </w:tr>
    </w:tbl>
    <w:p w:rsidR="004C25BD" w:rsidRPr="004C25BD" w:rsidRDefault="004C25BD" w:rsidP="004C25BD">
      <w:pPr>
        <w:widowControl w:val="0"/>
        <w:tabs>
          <w:tab w:val="left" w:pos="567"/>
        </w:tabs>
        <w:rPr>
          <w:sz w:val="22"/>
          <w:szCs w:val="22"/>
          <w:lang w:val="hr-HR"/>
        </w:rPr>
      </w:pPr>
      <w:r w:rsidRPr="004C25BD">
        <w:rPr>
          <w:sz w:val="22"/>
          <w:szCs w:val="22"/>
          <w:lang w:val="hr-HR"/>
        </w:rPr>
        <w:t xml:space="preserve">1, 2, 3, 4: za detaljnije opise, pogledajte </w:t>
      </w:r>
      <w:r w:rsidRPr="004C25BD">
        <w:rPr>
          <w:i/>
          <w:sz w:val="22"/>
          <w:szCs w:val="22"/>
          <w:lang w:val="hr-HR"/>
        </w:rPr>
        <w:t>“Opis odabranih neželjenih dejstava”.</w:t>
      </w:r>
    </w:p>
    <w:p w:rsidR="004C25BD" w:rsidRDefault="004C25BD" w:rsidP="004C25BD">
      <w:pPr>
        <w:widowControl w:val="0"/>
        <w:tabs>
          <w:tab w:val="left" w:pos="567"/>
        </w:tabs>
        <w:rPr>
          <w:sz w:val="22"/>
          <w:szCs w:val="22"/>
          <w:lang w:val="hr-HR"/>
        </w:rPr>
      </w:pPr>
    </w:p>
    <w:p w:rsidR="00C32A49" w:rsidRDefault="00C32A49" w:rsidP="004C25BD">
      <w:pPr>
        <w:widowControl w:val="0"/>
        <w:tabs>
          <w:tab w:val="left" w:pos="567"/>
        </w:tabs>
        <w:rPr>
          <w:sz w:val="22"/>
          <w:szCs w:val="22"/>
          <w:lang w:val="hr-HR"/>
        </w:rPr>
      </w:pPr>
    </w:p>
    <w:p w:rsidR="00C32A49" w:rsidRPr="004C25BD" w:rsidRDefault="00C32A49" w:rsidP="004C25BD">
      <w:pPr>
        <w:widowControl w:val="0"/>
        <w:tabs>
          <w:tab w:val="left" w:pos="567"/>
        </w:tabs>
        <w:rPr>
          <w:sz w:val="22"/>
          <w:szCs w:val="22"/>
          <w:lang w:val="hr-HR"/>
        </w:rPr>
      </w:pPr>
    </w:p>
    <w:p w:rsidR="004C25BD" w:rsidRPr="004C25BD" w:rsidRDefault="004C25BD" w:rsidP="004C25BD">
      <w:pPr>
        <w:widowControl w:val="0"/>
        <w:tabs>
          <w:tab w:val="left" w:pos="567"/>
        </w:tabs>
        <w:rPr>
          <w:sz w:val="22"/>
          <w:szCs w:val="22"/>
          <w:u w:val="single"/>
          <w:lang w:val="hr-HR"/>
        </w:rPr>
      </w:pPr>
      <w:r w:rsidRPr="004C25BD">
        <w:rPr>
          <w:sz w:val="22"/>
          <w:szCs w:val="22"/>
          <w:u w:val="single"/>
          <w:lang w:val="hr-HR"/>
        </w:rPr>
        <w:lastRenderedPageBreak/>
        <w:t>Opis odabranih neželjenih dejstava</w:t>
      </w:r>
    </w:p>
    <w:p w:rsidR="004C25BD" w:rsidRPr="004C25BD" w:rsidRDefault="004C25BD" w:rsidP="004C25BD">
      <w:pPr>
        <w:widowControl w:val="0"/>
        <w:tabs>
          <w:tab w:val="left" w:pos="567"/>
        </w:tabs>
        <w:rPr>
          <w:b/>
          <w:sz w:val="22"/>
          <w:szCs w:val="22"/>
          <w:lang w:val="hr-HR"/>
        </w:rPr>
      </w:pPr>
    </w:p>
    <w:p w:rsidR="004C25BD" w:rsidRPr="004C25BD" w:rsidRDefault="004C25BD" w:rsidP="004C25BD">
      <w:pPr>
        <w:widowControl w:val="0"/>
        <w:tabs>
          <w:tab w:val="left" w:pos="567"/>
        </w:tabs>
        <w:rPr>
          <w:sz w:val="22"/>
          <w:szCs w:val="22"/>
          <w:u w:val="single"/>
          <w:lang w:val="hr-HR"/>
        </w:rPr>
      </w:pPr>
      <w:r w:rsidRPr="004C25BD">
        <w:rPr>
          <w:sz w:val="22"/>
          <w:szCs w:val="22"/>
          <w:u w:val="single"/>
          <w:lang w:val="hr-HR"/>
        </w:rPr>
        <w:t>Sepsa</w:t>
      </w:r>
    </w:p>
    <w:p w:rsidR="004C25BD" w:rsidRPr="004C25BD" w:rsidRDefault="004C25BD" w:rsidP="004C25BD">
      <w:pPr>
        <w:widowControl w:val="0"/>
        <w:tabs>
          <w:tab w:val="left" w:pos="567"/>
        </w:tabs>
        <w:jc w:val="both"/>
        <w:rPr>
          <w:sz w:val="22"/>
          <w:szCs w:val="22"/>
          <w:lang w:val="hr-HR"/>
        </w:rPr>
      </w:pPr>
      <w:r w:rsidRPr="004C25BD">
        <w:rPr>
          <w:sz w:val="22"/>
          <w:szCs w:val="22"/>
          <w:lang w:val="hr-HR"/>
        </w:rPr>
        <w:t>U ispitivanju PRoFESS, uočena je veća učestalost sepse sa telmisartanom u poređenju sa placebom. Taj događaj može biti slučajan ili povezan sa trenutno nepoznatim mehanizmom (takođe vidjeti odjeljak 5.1).</w:t>
      </w:r>
    </w:p>
    <w:p w:rsidR="004C25BD" w:rsidRPr="004C25BD" w:rsidRDefault="004C25BD" w:rsidP="004C25BD">
      <w:pPr>
        <w:widowControl w:val="0"/>
        <w:tabs>
          <w:tab w:val="left" w:pos="567"/>
        </w:tabs>
        <w:jc w:val="both"/>
        <w:rPr>
          <w:sz w:val="22"/>
          <w:szCs w:val="22"/>
          <w:lang w:val="hr-HR"/>
        </w:rPr>
      </w:pPr>
    </w:p>
    <w:p w:rsidR="004C25BD" w:rsidRPr="004C25BD" w:rsidRDefault="004C25BD" w:rsidP="004C25BD">
      <w:pPr>
        <w:widowControl w:val="0"/>
        <w:tabs>
          <w:tab w:val="left" w:pos="567"/>
        </w:tabs>
        <w:rPr>
          <w:sz w:val="22"/>
          <w:szCs w:val="22"/>
          <w:u w:val="single"/>
          <w:lang w:val="hr-HR"/>
        </w:rPr>
      </w:pPr>
      <w:r w:rsidRPr="004C25BD">
        <w:rPr>
          <w:sz w:val="22"/>
          <w:szCs w:val="22"/>
          <w:u w:val="single"/>
          <w:lang w:val="hr-HR"/>
        </w:rPr>
        <w:t>Hipotenzija</w:t>
      </w:r>
    </w:p>
    <w:p w:rsidR="004C25BD" w:rsidRPr="004C25BD" w:rsidRDefault="004C25BD" w:rsidP="004C25BD">
      <w:pPr>
        <w:widowControl w:val="0"/>
        <w:tabs>
          <w:tab w:val="left" w:pos="567"/>
        </w:tabs>
        <w:jc w:val="both"/>
        <w:rPr>
          <w:sz w:val="22"/>
          <w:szCs w:val="22"/>
          <w:lang w:val="hr-HR"/>
        </w:rPr>
      </w:pPr>
      <w:r w:rsidRPr="004C25BD">
        <w:rPr>
          <w:sz w:val="22"/>
          <w:szCs w:val="22"/>
          <w:lang w:val="hr-HR"/>
        </w:rPr>
        <w:t>Ovo neželjeno dejstvo zabilježeno je kao često kod pacijenata sa kontrolisanim  krvnim pritiskom koji su liječeni telmisartanom radi smanjenja kardiovaskularnog morbiditeta uz standardnu zdravstvenu zaštitu.</w:t>
      </w:r>
    </w:p>
    <w:p w:rsidR="004C25BD" w:rsidRPr="004C25BD" w:rsidRDefault="004C25BD" w:rsidP="004C25BD">
      <w:pPr>
        <w:widowControl w:val="0"/>
        <w:tabs>
          <w:tab w:val="left" w:pos="567"/>
        </w:tabs>
        <w:rPr>
          <w:sz w:val="22"/>
          <w:szCs w:val="22"/>
          <w:lang w:val="hr-HR"/>
        </w:rPr>
      </w:pPr>
    </w:p>
    <w:p w:rsidR="004C25BD" w:rsidRPr="004C25BD" w:rsidRDefault="004C25BD" w:rsidP="004C25BD">
      <w:pPr>
        <w:widowControl w:val="0"/>
        <w:tabs>
          <w:tab w:val="left" w:pos="567"/>
        </w:tabs>
        <w:jc w:val="both"/>
        <w:rPr>
          <w:sz w:val="22"/>
          <w:szCs w:val="22"/>
          <w:u w:val="single"/>
          <w:lang w:val="hr-HR"/>
        </w:rPr>
      </w:pPr>
      <w:r w:rsidRPr="004C25BD">
        <w:rPr>
          <w:sz w:val="22"/>
          <w:szCs w:val="22"/>
          <w:u w:val="single"/>
          <w:lang w:val="hr-HR"/>
        </w:rPr>
        <w:t>Abnormalna funkcija jetre / poremećaj rada jetre</w:t>
      </w:r>
    </w:p>
    <w:p w:rsidR="004C25BD" w:rsidRPr="004C25BD" w:rsidRDefault="004C25BD" w:rsidP="004C25BD">
      <w:pPr>
        <w:widowControl w:val="0"/>
        <w:autoSpaceDE w:val="0"/>
        <w:autoSpaceDN w:val="0"/>
        <w:adjustRightInd w:val="0"/>
        <w:jc w:val="both"/>
        <w:rPr>
          <w:sz w:val="22"/>
          <w:szCs w:val="22"/>
          <w:lang w:val="hr-HR" w:eastAsia="de-DE"/>
        </w:rPr>
      </w:pPr>
      <w:r w:rsidRPr="004C25BD">
        <w:rPr>
          <w:sz w:val="22"/>
          <w:szCs w:val="22"/>
          <w:lang w:val="hr-HR" w:eastAsia="de-DE"/>
        </w:rPr>
        <w:t>Većina slučajeva abnormalne funkcije jetre/poremećaja rada jetre nakon stavljanja lijeka u promet, pojavila se kod pacijenata u Japanu. Japanska populacija ima veće izglede za razvoj ovih neželjenih dejstava.</w:t>
      </w:r>
    </w:p>
    <w:p w:rsidR="004C25BD" w:rsidRPr="004C25BD" w:rsidRDefault="004C25BD" w:rsidP="004C25BD">
      <w:pPr>
        <w:widowControl w:val="0"/>
        <w:autoSpaceDE w:val="0"/>
        <w:autoSpaceDN w:val="0"/>
        <w:adjustRightInd w:val="0"/>
        <w:jc w:val="both"/>
        <w:rPr>
          <w:sz w:val="22"/>
          <w:szCs w:val="22"/>
          <w:lang w:val="hr-HR" w:eastAsia="de-DE"/>
        </w:rPr>
      </w:pPr>
    </w:p>
    <w:p w:rsidR="004C25BD" w:rsidRPr="004C25BD" w:rsidRDefault="004C25BD" w:rsidP="004C25BD">
      <w:pPr>
        <w:widowControl w:val="0"/>
        <w:autoSpaceDE w:val="0"/>
        <w:autoSpaceDN w:val="0"/>
        <w:adjustRightInd w:val="0"/>
        <w:rPr>
          <w:sz w:val="22"/>
          <w:szCs w:val="22"/>
          <w:u w:val="single"/>
          <w:lang w:val="hr-HR" w:eastAsia="de-DE"/>
        </w:rPr>
      </w:pPr>
      <w:r w:rsidRPr="004C25BD">
        <w:rPr>
          <w:sz w:val="22"/>
          <w:szCs w:val="22"/>
          <w:u w:val="single"/>
          <w:lang w:val="hr-HR" w:eastAsia="de-DE"/>
        </w:rPr>
        <w:t>Bolest plućnog intersticija</w:t>
      </w:r>
    </w:p>
    <w:p w:rsidR="004C25BD" w:rsidRPr="004C25BD" w:rsidRDefault="004C25BD" w:rsidP="004C25BD">
      <w:pPr>
        <w:widowControl w:val="0"/>
        <w:autoSpaceDE w:val="0"/>
        <w:autoSpaceDN w:val="0"/>
        <w:adjustRightInd w:val="0"/>
        <w:rPr>
          <w:sz w:val="22"/>
          <w:szCs w:val="22"/>
          <w:lang w:val="hr-HR" w:eastAsia="de-DE"/>
        </w:rPr>
      </w:pPr>
      <w:r w:rsidRPr="004C25BD">
        <w:rPr>
          <w:sz w:val="22"/>
          <w:szCs w:val="22"/>
          <w:lang w:val="hr-HR" w:eastAsia="de-DE"/>
        </w:rPr>
        <w:t>Nakon stavljanja lijeka u promet zabilježena je vremenska povezanost slučajeva intesticijske bolesti pluća sa unosom telmisartana. Međutim, nije utvrđena uzročna povezanost.</w:t>
      </w:r>
    </w:p>
    <w:p w:rsidR="004C25BD" w:rsidRPr="004C25BD" w:rsidRDefault="004C25BD" w:rsidP="004C25BD">
      <w:pPr>
        <w:rPr>
          <w:sz w:val="22"/>
          <w:szCs w:val="22"/>
          <w:lang w:val="hr-HR"/>
        </w:rPr>
      </w:pPr>
    </w:p>
    <w:p w:rsidR="004C25BD" w:rsidRPr="004C25BD" w:rsidRDefault="004C25BD" w:rsidP="004C25BD">
      <w:pPr>
        <w:spacing w:after="200" w:line="276" w:lineRule="auto"/>
        <w:jc w:val="both"/>
        <w:rPr>
          <w:rFonts w:eastAsia="Calibri"/>
          <w:sz w:val="22"/>
          <w:szCs w:val="22"/>
          <w:u w:val="single"/>
        </w:rPr>
      </w:pPr>
      <w:r w:rsidRPr="004C25BD">
        <w:rPr>
          <w:rFonts w:eastAsia="Calibri"/>
          <w:sz w:val="22"/>
          <w:szCs w:val="22"/>
          <w:u w:val="single"/>
        </w:rPr>
        <w:t>Prijavljivanje sumnji na neželjena dejstva</w:t>
      </w:r>
    </w:p>
    <w:p w:rsidR="004C25BD" w:rsidRPr="004C25BD" w:rsidRDefault="004C25BD" w:rsidP="004C25BD">
      <w:pPr>
        <w:spacing w:after="200"/>
        <w:jc w:val="both"/>
        <w:rPr>
          <w:rFonts w:eastAsia="Calibri"/>
          <w:sz w:val="22"/>
          <w:szCs w:val="22"/>
        </w:rPr>
      </w:pPr>
      <w:r w:rsidRPr="004C25BD">
        <w:rPr>
          <w:rFonts w:eastAsia="Calibri"/>
          <w:sz w:val="22"/>
          <w:szCs w:val="22"/>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4C25BD" w:rsidRPr="0094339F" w:rsidRDefault="004C25BD" w:rsidP="004C25BD">
      <w:pPr>
        <w:pStyle w:val="NoSpacing"/>
        <w:jc w:val="both"/>
        <w:rPr>
          <w:rFonts w:ascii="Times New Roman" w:eastAsia="Calibri" w:hAnsi="Times New Roman"/>
          <w:lang w:val="sr-Latn-ME"/>
        </w:rPr>
      </w:pPr>
      <w:r w:rsidRPr="0094339F">
        <w:rPr>
          <w:rFonts w:ascii="Times New Roman" w:eastAsia="Calibri" w:hAnsi="Times New Roman"/>
          <w:lang w:val="sr-Latn-ME"/>
        </w:rPr>
        <w:t>Agencija za ljekove i medicinska sredstva Crne Gore</w:t>
      </w:r>
    </w:p>
    <w:p w:rsidR="004C25BD" w:rsidRPr="0094339F" w:rsidRDefault="004C25BD" w:rsidP="004C25BD">
      <w:pPr>
        <w:pStyle w:val="NoSpacing"/>
        <w:jc w:val="both"/>
        <w:rPr>
          <w:rFonts w:ascii="Times New Roman" w:eastAsia="Calibri" w:hAnsi="Times New Roman"/>
          <w:lang w:val="sr-Latn-ME"/>
        </w:rPr>
      </w:pPr>
      <w:r w:rsidRPr="0094339F">
        <w:rPr>
          <w:rFonts w:ascii="Times New Roman" w:eastAsia="Calibri" w:hAnsi="Times New Roman"/>
          <w:lang w:val="sr-Latn-ME"/>
        </w:rPr>
        <w:t>Odjeljenje za farmakovigilancu</w:t>
      </w:r>
    </w:p>
    <w:p w:rsidR="004C25BD" w:rsidRPr="0094339F" w:rsidRDefault="004C25BD" w:rsidP="004C25BD">
      <w:pPr>
        <w:pStyle w:val="NoSpacing"/>
        <w:jc w:val="both"/>
        <w:rPr>
          <w:rFonts w:ascii="Times New Roman" w:eastAsia="Calibri" w:hAnsi="Times New Roman"/>
          <w:lang w:val="sr-Latn-ME"/>
        </w:rPr>
      </w:pPr>
      <w:r w:rsidRPr="0094339F">
        <w:rPr>
          <w:rFonts w:ascii="Times New Roman" w:eastAsia="Calibri" w:hAnsi="Times New Roman"/>
          <w:lang w:val="sr-Latn-ME"/>
        </w:rPr>
        <w:t>Bulevar Ivana Crnojevića 64a, 81000 Podgorica</w:t>
      </w:r>
    </w:p>
    <w:p w:rsidR="004C25BD" w:rsidRPr="0094339F" w:rsidRDefault="004C25BD" w:rsidP="004C25BD">
      <w:pPr>
        <w:pStyle w:val="NoSpacing"/>
        <w:jc w:val="both"/>
        <w:rPr>
          <w:rFonts w:ascii="Times New Roman" w:eastAsia="Calibri" w:hAnsi="Times New Roman"/>
          <w:lang w:val="sr-Latn-ME"/>
        </w:rPr>
      </w:pPr>
    </w:p>
    <w:p w:rsidR="004C25BD" w:rsidRPr="0094339F" w:rsidRDefault="004C25BD" w:rsidP="004C25BD">
      <w:pPr>
        <w:pStyle w:val="NoSpacing"/>
        <w:jc w:val="both"/>
        <w:rPr>
          <w:rFonts w:ascii="Times New Roman" w:eastAsia="Calibri" w:hAnsi="Times New Roman"/>
          <w:lang w:val="sr-Latn-ME"/>
        </w:rPr>
      </w:pPr>
      <w:r w:rsidRPr="0094339F">
        <w:rPr>
          <w:rFonts w:ascii="Times New Roman" w:eastAsia="Calibri" w:hAnsi="Times New Roman"/>
          <w:lang w:val="sr-Latn-ME"/>
        </w:rPr>
        <w:t>tel: +382 (0) 20 310 280</w:t>
      </w:r>
    </w:p>
    <w:p w:rsidR="004C25BD" w:rsidRPr="0094339F" w:rsidRDefault="004C25BD" w:rsidP="004C25BD">
      <w:pPr>
        <w:pStyle w:val="NoSpacing"/>
        <w:jc w:val="both"/>
        <w:rPr>
          <w:rFonts w:ascii="Times New Roman" w:eastAsia="Calibri" w:hAnsi="Times New Roman"/>
          <w:lang w:val="sr-Latn-ME"/>
        </w:rPr>
      </w:pPr>
      <w:r w:rsidRPr="0094339F">
        <w:rPr>
          <w:rFonts w:ascii="Times New Roman" w:eastAsia="Calibri" w:hAnsi="Times New Roman"/>
          <w:lang w:val="sr-Latn-ME"/>
        </w:rPr>
        <w:t>fax: +382 (0) 20 310 581</w:t>
      </w:r>
    </w:p>
    <w:p w:rsidR="004C25BD" w:rsidRPr="0094339F" w:rsidRDefault="002A0F1B" w:rsidP="004C25BD">
      <w:pPr>
        <w:pStyle w:val="NoSpacing"/>
        <w:jc w:val="both"/>
        <w:rPr>
          <w:rFonts w:ascii="Times New Roman" w:eastAsia="Calibri" w:hAnsi="Times New Roman"/>
          <w:lang w:val="sr-Latn-ME"/>
        </w:rPr>
      </w:pPr>
      <w:hyperlink r:id="rId8" w:history="1">
        <w:r w:rsidR="004C25BD" w:rsidRPr="0094339F">
          <w:rPr>
            <w:rFonts w:ascii="Times New Roman" w:eastAsia="Calibri" w:hAnsi="Times New Roman"/>
            <w:color w:val="0000FF"/>
            <w:u w:val="single"/>
            <w:lang w:val="sr-Latn-ME"/>
          </w:rPr>
          <w:t>www.calims.me</w:t>
        </w:r>
      </w:hyperlink>
    </w:p>
    <w:p w:rsidR="004C25BD" w:rsidRPr="0094339F" w:rsidRDefault="002A0F1B" w:rsidP="004C25BD">
      <w:pPr>
        <w:pStyle w:val="NoSpacing"/>
        <w:jc w:val="both"/>
        <w:rPr>
          <w:rFonts w:ascii="Times New Roman" w:eastAsia="Calibri" w:hAnsi="Times New Roman"/>
          <w:color w:val="0000FF"/>
          <w:u w:val="single"/>
          <w:lang w:val="sr-Latn-ME"/>
        </w:rPr>
      </w:pPr>
      <w:hyperlink r:id="rId9" w:history="1">
        <w:r w:rsidR="004C25BD" w:rsidRPr="0094339F">
          <w:rPr>
            <w:rFonts w:ascii="Times New Roman" w:eastAsia="Calibri" w:hAnsi="Times New Roman"/>
            <w:color w:val="0000FF"/>
            <w:u w:val="single"/>
            <w:lang w:val="sr-Latn-ME"/>
          </w:rPr>
          <w:t>nezeljenadejstva@calims.me</w:t>
        </w:r>
      </w:hyperlink>
    </w:p>
    <w:p w:rsidR="004C25BD" w:rsidRPr="0094339F" w:rsidRDefault="004C25BD" w:rsidP="004C25BD">
      <w:pPr>
        <w:pStyle w:val="NoSpacing"/>
        <w:jc w:val="both"/>
        <w:rPr>
          <w:rFonts w:ascii="Times New Roman" w:eastAsia="Calibri" w:hAnsi="Times New Roman"/>
          <w:lang w:val="sr-Latn-ME"/>
        </w:rPr>
      </w:pPr>
      <w:r w:rsidRPr="0094339F">
        <w:rPr>
          <w:rFonts w:ascii="Times New Roman" w:eastAsia="Calibri" w:hAnsi="Times New Roman"/>
          <w:lang w:val="sr-Latn-ME"/>
        </w:rPr>
        <w:t>putem IS zdravstvene zaštite</w:t>
      </w:r>
    </w:p>
    <w:p w:rsidR="004C25BD" w:rsidRPr="004C25BD" w:rsidRDefault="004C25BD" w:rsidP="004C25BD">
      <w:pPr>
        <w:tabs>
          <w:tab w:val="left" w:pos="540"/>
          <w:tab w:val="left" w:pos="569"/>
        </w:tabs>
        <w:jc w:val="both"/>
        <w:rPr>
          <w:b/>
          <w:bCs/>
          <w:sz w:val="22"/>
          <w:szCs w:val="22"/>
        </w:rPr>
      </w:pPr>
    </w:p>
    <w:p w:rsidR="004C25BD" w:rsidRPr="004C25BD" w:rsidRDefault="004C25BD" w:rsidP="004C25BD">
      <w:pPr>
        <w:tabs>
          <w:tab w:val="left" w:pos="540"/>
          <w:tab w:val="left" w:pos="569"/>
        </w:tabs>
        <w:jc w:val="both"/>
        <w:rPr>
          <w:b/>
          <w:bCs/>
          <w:sz w:val="22"/>
          <w:szCs w:val="22"/>
        </w:rPr>
      </w:pPr>
      <w:r w:rsidRPr="004C25BD">
        <w:rPr>
          <w:b/>
          <w:bCs/>
          <w:sz w:val="22"/>
          <w:szCs w:val="22"/>
          <w:lang w:eastAsia="hr-HR"/>
        </w:rPr>
        <w:t xml:space="preserve">4.9   Predoziranje </w:t>
      </w:r>
      <w:r w:rsidRPr="004C25BD">
        <w:rPr>
          <w:b/>
          <w:bCs/>
          <w:sz w:val="22"/>
          <w:szCs w:val="22"/>
        </w:rPr>
        <w:t>i mjere koje je potrebno preduzeti</w:t>
      </w:r>
    </w:p>
    <w:p w:rsidR="004C25BD" w:rsidRPr="004C25BD" w:rsidRDefault="004C25BD" w:rsidP="004C25BD">
      <w:pPr>
        <w:rPr>
          <w:sz w:val="22"/>
          <w:szCs w:val="22"/>
          <w:lang w:val="hr-HR"/>
        </w:rPr>
      </w:pP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Postoje ograničeni dostupni podaci u vezi sa predoziranjem u ljudi.</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Simptomi</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Najizraženije manifestacije predoziranja telmisartanom bile su hipotenzija i tahikardija; takođe su prijavljeni bradikardija, vrtoglavica, porast kreatinina u serumu i akutna renalna insuficijencija.</w:t>
      </w:r>
    </w:p>
    <w:p w:rsidR="004C25BD" w:rsidRPr="004C25BD" w:rsidRDefault="004C25BD" w:rsidP="004C25BD">
      <w:pPr>
        <w:pStyle w:val="Default"/>
        <w:tabs>
          <w:tab w:val="left" w:pos="540"/>
        </w:tabs>
        <w:jc w:val="both"/>
        <w:rPr>
          <w:color w:val="auto"/>
          <w:sz w:val="22"/>
          <w:szCs w:val="22"/>
          <w:u w:val="single"/>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Liječenje</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 xml:space="preserve">Telmisartan se ne uklanja hemodijalizom. Pacijenti se moraju  pažljivo pratiti, a liječenje mora biti simptomatsko i suportivno. Terapija zavisi od vremena proteklog od unosa i težini simptoma. Predložene mjere uključuju indukciju povraćanja i/ili lavažu želuca. Aktivni ugalj može biti koristan u liječenju </w:t>
      </w:r>
      <w:r w:rsidRPr="004C25BD">
        <w:rPr>
          <w:color w:val="auto"/>
          <w:sz w:val="22"/>
          <w:szCs w:val="22"/>
          <w:lang w:val="hr-HR"/>
        </w:rPr>
        <w:lastRenderedPageBreak/>
        <w:t>predoziranja. Elektroliti i kreatinin u serumu se moraju često pratiti. Ako dođe do hipotenziije, pacijent se mora smjestiti u ležeći leđni položaj i brzo nadoknađivati elektrolite i tečnost.</w:t>
      </w:r>
    </w:p>
    <w:p w:rsidR="004C25BD" w:rsidRPr="004C25BD" w:rsidRDefault="004C25BD" w:rsidP="004C25BD">
      <w:pPr>
        <w:jc w:val="both"/>
        <w:rPr>
          <w:sz w:val="22"/>
          <w:szCs w:val="22"/>
          <w:lang w:val="hr-HR"/>
        </w:rPr>
      </w:pPr>
    </w:p>
    <w:p w:rsidR="004C25BD" w:rsidRPr="004C25BD" w:rsidRDefault="004C25BD" w:rsidP="004C25BD">
      <w:pPr>
        <w:pStyle w:val="naslovSmPC-a"/>
        <w:spacing w:before="0" w:after="0" w:line="240" w:lineRule="auto"/>
        <w:ind w:right="-483"/>
        <w:jc w:val="both"/>
        <w:rPr>
          <w:rFonts w:ascii="Times New Roman" w:hAnsi="Times New Roman"/>
          <w:sz w:val="22"/>
          <w:szCs w:val="22"/>
          <w:lang w:val="hr-HR"/>
        </w:rPr>
      </w:pPr>
    </w:p>
    <w:p w:rsidR="004C25BD" w:rsidRPr="004C25BD" w:rsidRDefault="004C25BD" w:rsidP="004C25BD">
      <w:pPr>
        <w:pStyle w:val="naslovSmPC-a"/>
        <w:spacing w:before="0" w:after="0" w:line="240" w:lineRule="auto"/>
        <w:ind w:right="-483"/>
        <w:jc w:val="both"/>
        <w:rPr>
          <w:rFonts w:ascii="Times New Roman" w:hAnsi="Times New Roman"/>
          <w:sz w:val="22"/>
          <w:szCs w:val="22"/>
          <w:lang w:val="hr-HR"/>
        </w:rPr>
      </w:pPr>
      <w:r w:rsidRPr="004C25BD">
        <w:rPr>
          <w:rFonts w:ascii="Times New Roman" w:hAnsi="Times New Roman"/>
          <w:sz w:val="22"/>
          <w:szCs w:val="22"/>
          <w:lang w:val="hr-HR"/>
        </w:rPr>
        <w:t>5. FARMAKOLOŠKI PODACI</w:t>
      </w:r>
    </w:p>
    <w:p w:rsidR="004C25BD" w:rsidRPr="004C25BD" w:rsidRDefault="004C25BD" w:rsidP="004C25BD">
      <w:pPr>
        <w:pStyle w:val="naslovSmPC-a"/>
        <w:spacing w:before="0" w:after="0" w:line="240" w:lineRule="auto"/>
        <w:ind w:right="-483"/>
        <w:jc w:val="both"/>
        <w:rPr>
          <w:rFonts w:ascii="Times New Roman" w:hAnsi="Times New Roman"/>
          <w:b w:val="0"/>
          <w:sz w:val="22"/>
          <w:szCs w:val="22"/>
          <w:lang w:val="hr-HR"/>
        </w:rPr>
      </w:pPr>
    </w:p>
    <w:p w:rsidR="004C25BD" w:rsidRPr="004C25BD" w:rsidRDefault="004C25BD" w:rsidP="004C25BD">
      <w:pPr>
        <w:pStyle w:val="naslovSmPC-a"/>
        <w:spacing w:before="0" w:after="0" w:line="240" w:lineRule="auto"/>
        <w:ind w:right="-483"/>
        <w:jc w:val="both"/>
        <w:rPr>
          <w:rFonts w:ascii="Times New Roman" w:hAnsi="Times New Roman"/>
          <w:sz w:val="22"/>
          <w:szCs w:val="22"/>
          <w:lang w:val="hr-HR"/>
        </w:rPr>
      </w:pPr>
      <w:r w:rsidRPr="004C25BD">
        <w:rPr>
          <w:rFonts w:ascii="Times New Roman" w:hAnsi="Times New Roman"/>
          <w:sz w:val="22"/>
          <w:szCs w:val="22"/>
          <w:lang w:val="hr-HR"/>
        </w:rPr>
        <w:t>5.1. Farmakodinamski podaci</w:t>
      </w:r>
    </w:p>
    <w:p w:rsidR="004C25BD" w:rsidRPr="004C25BD" w:rsidRDefault="004C25BD" w:rsidP="004C25BD">
      <w:pPr>
        <w:pStyle w:val="naslovSmPC-a"/>
        <w:spacing w:before="0" w:after="0" w:line="240" w:lineRule="auto"/>
        <w:ind w:right="-483"/>
        <w:rPr>
          <w:rFonts w:ascii="Times New Roman" w:hAnsi="Times New Roman"/>
          <w:b w:val="0"/>
          <w:sz w:val="22"/>
          <w:szCs w:val="22"/>
          <w:lang w:val="hr-HR"/>
        </w:rPr>
      </w:pPr>
    </w:p>
    <w:p w:rsidR="004C25BD" w:rsidRPr="004C25BD" w:rsidRDefault="004C25BD" w:rsidP="004C25BD">
      <w:pPr>
        <w:pStyle w:val="naslovSmPC-a"/>
        <w:spacing w:before="0" w:after="0" w:line="240" w:lineRule="auto"/>
        <w:ind w:right="-483"/>
        <w:jc w:val="both"/>
        <w:rPr>
          <w:rFonts w:ascii="Times New Roman" w:hAnsi="Times New Roman"/>
          <w:b w:val="0"/>
          <w:sz w:val="22"/>
          <w:szCs w:val="22"/>
          <w:lang w:val="hr-HR"/>
        </w:rPr>
      </w:pPr>
      <w:r w:rsidRPr="004C25BD">
        <w:rPr>
          <w:rFonts w:ascii="Times New Roman" w:hAnsi="Times New Roman"/>
          <w:sz w:val="22"/>
          <w:szCs w:val="22"/>
          <w:lang w:val="hr-HR"/>
        </w:rPr>
        <w:t>Farmakoterapijska grupa</w:t>
      </w:r>
      <w:r w:rsidRPr="004C25BD">
        <w:rPr>
          <w:rFonts w:ascii="Times New Roman" w:hAnsi="Times New Roman"/>
          <w:b w:val="0"/>
          <w:sz w:val="22"/>
          <w:szCs w:val="22"/>
          <w:lang w:val="hr-HR"/>
        </w:rPr>
        <w:t xml:space="preserve">: Antagonisti angiotenzina II, monokomponentni </w:t>
      </w:r>
    </w:p>
    <w:p w:rsidR="004C25BD" w:rsidRPr="004C25BD" w:rsidRDefault="004C25BD" w:rsidP="004C25BD">
      <w:pPr>
        <w:pStyle w:val="naslovSmPC-a"/>
        <w:spacing w:before="0" w:after="0" w:line="240" w:lineRule="auto"/>
        <w:ind w:right="-483"/>
        <w:jc w:val="both"/>
        <w:rPr>
          <w:rFonts w:ascii="Times New Roman" w:hAnsi="Times New Roman"/>
          <w:b w:val="0"/>
          <w:sz w:val="22"/>
          <w:szCs w:val="22"/>
          <w:lang w:val="hr-HR"/>
        </w:rPr>
      </w:pPr>
      <w:r w:rsidRPr="004C25BD">
        <w:rPr>
          <w:rFonts w:ascii="Times New Roman" w:hAnsi="Times New Roman"/>
          <w:b w:val="0"/>
          <w:sz w:val="22"/>
          <w:szCs w:val="22"/>
          <w:lang w:val="hr-HR"/>
        </w:rPr>
        <w:t>ATC:</w:t>
      </w:r>
      <w:r w:rsidRPr="004C25BD">
        <w:rPr>
          <w:rFonts w:ascii="Times New Roman" w:hAnsi="Times New Roman"/>
          <w:sz w:val="22"/>
          <w:szCs w:val="22"/>
          <w:lang w:val="hr-HR"/>
        </w:rPr>
        <w:t xml:space="preserve"> </w:t>
      </w:r>
      <w:r w:rsidRPr="004C25BD">
        <w:rPr>
          <w:rFonts w:ascii="Times New Roman" w:hAnsi="Times New Roman"/>
          <w:b w:val="0"/>
          <w:sz w:val="22"/>
          <w:szCs w:val="22"/>
          <w:lang w:val="hr-HR"/>
        </w:rPr>
        <w:t>C09CA07</w:t>
      </w:r>
    </w:p>
    <w:p w:rsidR="004C25BD" w:rsidRPr="004C25BD" w:rsidRDefault="004C25BD" w:rsidP="004C25BD">
      <w:pPr>
        <w:pStyle w:val="naslovSmPC-a"/>
        <w:spacing w:before="0" w:after="0" w:line="240" w:lineRule="auto"/>
        <w:ind w:right="-483"/>
        <w:jc w:val="both"/>
        <w:rPr>
          <w:rFonts w:ascii="Times New Roman" w:hAnsi="Times New Roman"/>
          <w:b w:val="0"/>
          <w:sz w:val="22"/>
          <w:szCs w:val="22"/>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Mehanizam djelovanja:</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Telmisartan je oralno aktivan i specifičan antagonist receptora angiotenzina II (tipa AT</w:t>
      </w:r>
      <w:r w:rsidRPr="004C25BD">
        <w:rPr>
          <w:color w:val="auto"/>
          <w:sz w:val="22"/>
          <w:szCs w:val="22"/>
          <w:vertAlign w:val="subscript"/>
          <w:lang w:val="hr-HR"/>
        </w:rPr>
        <w:t>1</w:t>
      </w:r>
      <w:r w:rsidRPr="004C25BD">
        <w:rPr>
          <w:color w:val="auto"/>
          <w:sz w:val="22"/>
          <w:szCs w:val="22"/>
          <w:lang w:val="hr-HR"/>
        </w:rPr>
        <w:t xml:space="preserve">). Telmisartan sa vrlo visokim afinitetom  </w:t>
      </w:r>
      <w:r w:rsidRPr="004C25BD">
        <w:rPr>
          <w:rFonts w:eastAsia="Calibri"/>
          <w:color w:val="auto"/>
          <w:sz w:val="22"/>
          <w:szCs w:val="22"/>
          <w:lang w:val="hr-HR" w:eastAsia="en-GB"/>
        </w:rPr>
        <w:t xml:space="preserve">potiskuje angiotenzin II </w:t>
      </w:r>
      <w:r w:rsidRPr="004C25BD">
        <w:rPr>
          <w:color w:val="auto"/>
          <w:sz w:val="22"/>
          <w:szCs w:val="22"/>
          <w:lang w:val="hr-HR"/>
        </w:rPr>
        <w:t>sa njegovog mjesta vezivanja na AT</w:t>
      </w:r>
      <w:r w:rsidRPr="004C25BD">
        <w:rPr>
          <w:color w:val="auto"/>
          <w:sz w:val="22"/>
          <w:szCs w:val="22"/>
          <w:vertAlign w:val="subscript"/>
          <w:lang w:val="hr-HR"/>
        </w:rPr>
        <w:t>1</w:t>
      </w:r>
      <w:r w:rsidRPr="004C25BD">
        <w:rPr>
          <w:color w:val="auto"/>
          <w:position w:val="-8"/>
          <w:sz w:val="22"/>
          <w:szCs w:val="22"/>
          <w:vertAlign w:val="subscript"/>
          <w:lang w:val="hr-HR"/>
        </w:rPr>
        <w:t xml:space="preserve"> </w:t>
      </w:r>
      <w:r w:rsidRPr="004C25BD">
        <w:rPr>
          <w:color w:val="auto"/>
          <w:sz w:val="22"/>
          <w:szCs w:val="22"/>
          <w:lang w:val="hr-HR"/>
        </w:rPr>
        <w:t>receptorskom podtipu, koji je odgovoran za poznata djelovanja angiotenzina II. Telmisartan ne pokazuje parcijalno  agonističko djelovanje na AT</w:t>
      </w:r>
      <w:r w:rsidRPr="004C25BD">
        <w:rPr>
          <w:color w:val="auto"/>
          <w:sz w:val="22"/>
          <w:szCs w:val="22"/>
          <w:vertAlign w:val="subscript"/>
          <w:lang w:val="hr-HR"/>
        </w:rPr>
        <w:t>1</w:t>
      </w:r>
      <w:r w:rsidRPr="004C25BD">
        <w:rPr>
          <w:color w:val="auto"/>
          <w:position w:val="-8"/>
          <w:sz w:val="22"/>
          <w:szCs w:val="22"/>
          <w:vertAlign w:val="subscript"/>
          <w:lang w:val="hr-HR"/>
        </w:rPr>
        <w:t xml:space="preserve"> </w:t>
      </w:r>
      <w:r w:rsidRPr="004C25BD">
        <w:rPr>
          <w:color w:val="auto"/>
          <w:sz w:val="22"/>
          <w:szCs w:val="22"/>
          <w:lang w:val="hr-HR"/>
        </w:rPr>
        <w:t>receptoru. Telmisartan se selektivno veže na AT</w:t>
      </w:r>
      <w:r w:rsidRPr="004C25BD">
        <w:rPr>
          <w:color w:val="auto"/>
          <w:sz w:val="22"/>
          <w:szCs w:val="22"/>
          <w:vertAlign w:val="subscript"/>
          <w:lang w:val="hr-HR"/>
        </w:rPr>
        <w:t>1</w:t>
      </w:r>
      <w:r w:rsidRPr="004C25BD">
        <w:rPr>
          <w:color w:val="auto"/>
          <w:position w:val="-8"/>
          <w:sz w:val="22"/>
          <w:szCs w:val="22"/>
          <w:vertAlign w:val="subscript"/>
          <w:lang w:val="hr-HR"/>
        </w:rPr>
        <w:t xml:space="preserve"> </w:t>
      </w:r>
      <w:r w:rsidRPr="004C25BD">
        <w:rPr>
          <w:color w:val="auto"/>
          <w:sz w:val="22"/>
          <w:szCs w:val="22"/>
          <w:lang w:val="hr-HR"/>
        </w:rPr>
        <w:t>receptor. Vezanje je dugotrajno. Telmisartan ne pokazuje afinitet za druge receptore, uključujući AT</w:t>
      </w:r>
      <w:r w:rsidRPr="004C25BD">
        <w:rPr>
          <w:color w:val="auto"/>
          <w:sz w:val="22"/>
          <w:szCs w:val="22"/>
          <w:vertAlign w:val="subscript"/>
          <w:lang w:val="hr-HR"/>
        </w:rPr>
        <w:t>2</w:t>
      </w:r>
      <w:r w:rsidRPr="004C25BD">
        <w:rPr>
          <w:color w:val="auto"/>
          <w:position w:val="-8"/>
          <w:sz w:val="22"/>
          <w:szCs w:val="22"/>
          <w:vertAlign w:val="subscript"/>
          <w:lang w:val="hr-HR"/>
        </w:rPr>
        <w:t xml:space="preserve"> </w:t>
      </w:r>
      <w:r w:rsidRPr="004C25BD">
        <w:rPr>
          <w:color w:val="auto"/>
          <w:sz w:val="22"/>
          <w:szCs w:val="22"/>
          <w:lang w:val="hr-HR"/>
        </w:rPr>
        <w:t>i druge manje karakteristične  AT receptore. Funkcionalna uloga ovih receptora nije poznata, kao ni dejstvo njihove moguće prekomjerne stimulacije angiotenzinom II, čije vrijednosti se povećavaju telmisartanom. Vrijednost aldosterona u plazmi se smanjuje telmisartanom. Telmisartan ne inhibira renin u ljudskoj plazmi, niti blokira jonske kanale. Telmisartan ne inhibira enzim koji pretvara angiotenzin (kininaza II), enzim koji takođe razgrađuje bradikinin. Zbog toga  se ne očekuje potenciranje neželjenih dejstava  koja nastaju podsredsvom bradikinina.</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Kod  ljudi, doza od 80 mg telmisartana gotovo u potpunost inhibira porast krvnog pritisaka izazvan angiotenzinom II. Inhibitorni efekat se održava tokom 24 sata, a još uvijek se može izmjeriti i nakon 48 sati.</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Klinička efikasnost i bezbjednost</w:t>
      </w:r>
    </w:p>
    <w:p w:rsidR="004C25BD" w:rsidRPr="004C25BD" w:rsidRDefault="004C25BD" w:rsidP="004C25BD">
      <w:pPr>
        <w:pStyle w:val="Default"/>
        <w:tabs>
          <w:tab w:val="left" w:pos="540"/>
        </w:tabs>
        <w:jc w:val="both"/>
        <w:rPr>
          <w:color w:val="auto"/>
          <w:sz w:val="22"/>
          <w:szCs w:val="22"/>
          <w:u w:val="single"/>
          <w:lang w:val="hr-HR"/>
        </w:rPr>
      </w:pPr>
    </w:p>
    <w:p w:rsidR="004C25BD" w:rsidRPr="004C25BD" w:rsidRDefault="004C25BD" w:rsidP="004C25BD">
      <w:pPr>
        <w:widowControl w:val="0"/>
        <w:tabs>
          <w:tab w:val="left" w:pos="540"/>
        </w:tabs>
        <w:autoSpaceDE w:val="0"/>
        <w:autoSpaceDN w:val="0"/>
        <w:adjustRightInd w:val="0"/>
        <w:jc w:val="both"/>
        <w:rPr>
          <w:sz w:val="22"/>
          <w:szCs w:val="22"/>
          <w:u w:val="single"/>
          <w:lang w:val="hr-HR"/>
        </w:rPr>
      </w:pPr>
      <w:r w:rsidRPr="004C25BD">
        <w:rPr>
          <w:color w:val="000000"/>
          <w:sz w:val="22"/>
          <w:szCs w:val="22"/>
          <w:u w:val="single"/>
          <w:lang w:val="hr-HR"/>
        </w:rPr>
        <w:t>Liječenje esencijalne hipertenzije</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Nakon prve doze telmisartana, antihipertenzivno djelovanje postupno postaje evidentno unutar 3 sata. Maksimalno sniženje krvnog pritisaka se obično postiže  4 do 8 nedjelja nakon početka liječenja i održava se tokom dugotrajne terapije.</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Antihipertenzivni efekat je stalno prisutan tokom 24 sata nakon doziranja i uključuje posljednja 4 sata prije sljedeće doze, kako je prikazano ambulantnim mjerenjima krvnog pritisaka. Ovo je potvrđeno minimalnim do maksimalnim vrijednostima koje su konstantno bile iznad 80 % nakon doziranja i 40 i 80 mg telmisartana u placebom kontroliranim kliničkim studijama. Postoji očigledan trend odnosa doze i vremena potrebnog za vraćanje osnovne vrijednosti sistolnog krvnog pritiska (SKT). U ovom pogledu, podaci koji se tiču dijastolnog krvnog pritisaka (DKT) nijesu konzistentni.</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Kod pacijenata sa hipertenzijom telmisartan snižava i sistolni i dijastolni krvni pritisak, bez uticaja na brzinu pulsa. Doprinos diuretskih i natriuretskih efekata lijeka na njegovu hipotenzivnu aktivnost tek treba da se definiše. Antihipertenzivno dejstvo telmisartana je uporedivo sa  agensima koji pripadaju drugim grupama antihipertenzivnih ljekova (pokazano u kliničkim ispitivanjima, u poređenju telmisartana sa amlodipinom, atenololom, enalaprilom, hidrohlorotiazidom i lizinoprilom).</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lastRenderedPageBreak/>
        <w:t>Nakon naglog prekida liječenja telmisartanom, krvni pritisak se postupno vraća na vrijednosti prije liječenja tokom perioda od nekoliko dana, bez dokaza o povratnoj hipertenziji.</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Incidencija suvog kašlja bila je značajno niža kod pacijenata liječenih telmisartanom nego kod osoba koje su primali inhibitore angiotenzin konvertujućeg enzima u kliničkim ispitivanjima koja su direktno upoređivala ove dvije antihipertenzivne terapije.</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widowControl w:val="0"/>
        <w:autoSpaceDE w:val="0"/>
        <w:autoSpaceDN w:val="0"/>
        <w:adjustRightInd w:val="0"/>
        <w:jc w:val="both"/>
        <w:rPr>
          <w:sz w:val="22"/>
          <w:szCs w:val="22"/>
          <w:u w:val="single"/>
          <w:lang w:val="hr-HR"/>
        </w:rPr>
      </w:pPr>
      <w:r w:rsidRPr="004C25BD">
        <w:rPr>
          <w:sz w:val="22"/>
          <w:szCs w:val="22"/>
          <w:u w:val="single"/>
          <w:lang w:val="hr-HR"/>
        </w:rPr>
        <w:t>Kardiovaskularna prevencija</w:t>
      </w:r>
    </w:p>
    <w:p w:rsidR="004C25BD" w:rsidRPr="004C25BD" w:rsidRDefault="004C25BD" w:rsidP="004C25BD">
      <w:pPr>
        <w:widowControl w:val="0"/>
        <w:autoSpaceDE w:val="0"/>
        <w:autoSpaceDN w:val="0"/>
        <w:adjustRightInd w:val="0"/>
        <w:jc w:val="both"/>
        <w:rPr>
          <w:sz w:val="22"/>
          <w:szCs w:val="22"/>
          <w:lang w:val="hr-HR"/>
        </w:rPr>
      </w:pPr>
      <w:r w:rsidRPr="004C25BD">
        <w:rPr>
          <w:bCs/>
          <w:sz w:val="22"/>
          <w:szCs w:val="22"/>
          <w:lang w:val="hr-HR"/>
        </w:rPr>
        <w:t xml:space="preserve">ONTARGET ispitivanje </w:t>
      </w:r>
      <w:r w:rsidRPr="004C25BD">
        <w:rPr>
          <w:sz w:val="22"/>
          <w:szCs w:val="22"/>
          <w:lang w:val="hr-HR"/>
        </w:rPr>
        <w:t xml:space="preserve">(eng. </w:t>
      </w:r>
      <w:r w:rsidRPr="004C25BD">
        <w:rPr>
          <w:b/>
          <w:bCs/>
          <w:sz w:val="22"/>
          <w:szCs w:val="22"/>
          <w:lang w:val="hr-HR"/>
        </w:rPr>
        <w:t>ON</w:t>
      </w:r>
      <w:r w:rsidRPr="004C25BD">
        <w:rPr>
          <w:sz w:val="22"/>
          <w:szCs w:val="22"/>
          <w:lang w:val="hr-HR"/>
        </w:rPr>
        <w:t xml:space="preserve">going </w:t>
      </w:r>
      <w:r w:rsidRPr="004C25BD">
        <w:rPr>
          <w:b/>
          <w:bCs/>
          <w:sz w:val="22"/>
          <w:szCs w:val="22"/>
          <w:lang w:val="hr-HR"/>
        </w:rPr>
        <w:t>T</w:t>
      </w:r>
      <w:r w:rsidRPr="004C25BD">
        <w:rPr>
          <w:sz w:val="22"/>
          <w:szCs w:val="22"/>
          <w:lang w:val="hr-HR"/>
        </w:rPr>
        <w:t xml:space="preserve">elmisartan </w:t>
      </w:r>
      <w:r w:rsidRPr="004C25BD">
        <w:rPr>
          <w:b/>
          <w:bCs/>
          <w:sz w:val="22"/>
          <w:szCs w:val="22"/>
          <w:lang w:val="hr-HR"/>
        </w:rPr>
        <w:t>A</w:t>
      </w:r>
      <w:r w:rsidRPr="004C25BD">
        <w:rPr>
          <w:sz w:val="22"/>
          <w:szCs w:val="22"/>
          <w:lang w:val="hr-HR"/>
        </w:rPr>
        <w:t xml:space="preserve">lone and in Combination with </w:t>
      </w:r>
      <w:r w:rsidRPr="004C25BD">
        <w:rPr>
          <w:b/>
          <w:bCs/>
          <w:sz w:val="22"/>
          <w:szCs w:val="22"/>
          <w:lang w:val="hr-HR"/>
        </w:rPr>
        <w:t>R</w:t>
      </w:r>
      <w:r w:rsidRPr="004C25BD">
        <w:rPr>
          <w:sz w:val="22"/>
          <w:szCs w:val="22"/>
          <w:lang w:val="hr-HR"/>
        </w:rPr>
        <w:t xml:space="preserve">amipril </w:t>
      </w:r>
      <w:r w:rsidRPr="004C25BD">
        <w:rPr>
          <w:b/>
          <w:bCs/>
          <w:sz w:val="22"/>
          <w:szCs w:val="22"/>
          <w:lang w:val="hr-HR"/>
        </w:rPr>
        <w:t>G</w:t>
      </w:r>
      <w:r w:rsidRPr="004C25BD">
        <w:rPr>
          <w:sz w:val="22"/>
          <w:szCs w:val="22"/>
          <w:lang w:val="hr-HR"/>
        </w:rPr>
        <w:t xml:space="preserve">lobal </w:t>
      </w:r>
      <w:r w:rsidRPr="004C25BD">
        <w:rPr>
          <w:b/>
          <w:bCs/>
          <w:sz w:val="22"/>
          <w:szCs w:val="22"/>
          <w:lang w:val="hr-HR"/>
        </w:rPr>
        <w:t>E</w:t>
      </w:r>
      <w:r w:rsidRPr="004C25BD">
        <w:rPr>
          <w:sz w:val="22"/>
          <w:szCs w:val="22"/>
          <w:lang w:val="hr-HR"/>
        </w:rPr>
        <w:t xml:space="preserve">ndpoint </w:t>
      </w:r>
      <w:r w:rsidRPr="004C25BD">
        <w:rPr>
          <w:b/>
          <w:bCs/>
          <w:sz w:val="22"/>
          <w:szCs w:val="22"/>
          <w:lang w:val="hr-HR"/>
        </w:rPr>
        <w:t>T</w:t>
      </w:r>
      <w:r w:rsidRPr="004C25BD">
        <w:rPr>
          <w:sz w:val="22"/>
          <w:szCs w:val="22"/>
          <w:lang w:val="hr-HR"/>
        </w:rPr>
        <w:t>rial) upoređivalo je dejstvo telmisartana, ramiprila i kombinacije telmisartana i ramiprila na kardiovaskularne ishode kod 25620 pacijenata  starosti od 55 godina ili starijim, sa anamnezom koronarne arterijske bolesti, moždanog udara, TIA-e, periferne arterijske bolesti ili dijabetes melitusom tipa 2 sa dokazanim oštećenjima ciljnih organa (npr. retinopatija, hipertrofija lijeve komore, makro- ili mikroalbuminurija), što predstavlja populaciju sa rizikom od pojave kardiovaskularnih događaja.</w:t>
      </w:r>
    </w:p>
    <w:p w:rsidR="004C25BD" w:rsidRPr="004C25BD" w:rsidRDefault="004C25BD" w:rsidP="004C25BD">
      <w:pPr>
        <w:widowControl w:val="0"/>
        <w:autoSpaceDE w:val="0"/>
        <w:autoSpaceDN w:val="0"/>
        <w:adjustRightInd w:val="0"/>
        <w:jc w:val="both"/>
        <w:rPr>
          <w:sz w:val="22"/>
          <w:szCs w:val="22"/>
          <w:lang w:val="hr-HR"/>
        </w:rPr>
      </w:pPr>
    </w:p>
    <w:p w:rsidR="004C25BD" w:rsidRPr="004C25BD" w:rsidRDefault="004C25BD" w:rsidP="004C25BD">
      <w:pPr>
        <w:widowControl w:val="0"/>
        <w:autoSpaceDE w:val="0"/>
        <w:autoSpaceDN w:val="0"/>
        <w:adjustRightInd w:val="0"/>
        <w:jc w:val="both"/>
        <w:rPr>
          <w:sz w:val="22"/>
          <w:szCs w:val="22"/>
          <w:lang w:val="hr-HR"/>
        </w:rPr>
      </w:pPr>
      <w:r w:rsidRPr="004C25BD">
        <w:rPr>
          <w:sz w:val="22"/>
          <w:szCs w:val="22"/>
          <w:lang w:val="hr-HR"/>
        </w:rPr>
        <w:t>Pacijenti su randomizovani u jednu od tri sljedeće grupe liječenja: telmisartan 80 mg (n = 8542), ramipril 10 mg (n = 8576) ili kombinacija telmisartana 80 mg i ramiprila 10 mg (n = 8502) uz prosječno trajanje praćenja od 4,5 godina.</w:t>
      </w:r>
    </w:p>
    <w:p w:rsidR="004C25BD" w:rsidRPr="004C25BD" w:rsidRDefault="004C25BD" w:rsidP="004C25BD">
      <w:pPr>
        <w:widowControl w:val="0"/>
        <w:autoSpaceDE w:val="0"/>
        <w:autoSpaceDN w:val="0"/>
        <w:adjustRightInd w:val="0"/>
        <w:jc w:val="both"/>
        <w:rPr>
          <w:sz w:val="22"/>
          <w:szCs w:val="22"/>
          <w:lang w:val="hr-HR"/>
        </w:rPr>
      </w:pPr>
    </w:p>
    <w:p w:rsidR="004C25BD" w:rsidRPr="004C25BD" w:rsidRDefault="004C25BD" w:rsidP="004C25BD">
      <w:pPr>
        <w:widowControl w:val="0"/>
        <w:autoSpaceDE w:val="0"/>
        <w:autoSpaceDN w:val="0"/>
        <w:adjustRightInd w:val="0"/>
        <w:jc w:val="both"/>
        <w:rPr>
          <w:sz w:val="22"/>
          <w:szCs w:val="22"/>
          <w:lang w:val="hr-HR"/>
        </w:rPr>
      </w:pPr>
      <w:r w:rsidRPr="004C25BD">
        <w:rPr>
          <w:sz w:val="22"/>
          <w:szCs w:val="22"/>
          <w:lang w:val="hr-HR"/>
        </w:rPr>
        <w:t>Telmisartan je pokazao sličan efekat ramiprilu u smanjenju primarnog kompozitnog ishoda kojeg čine kardiovaskularna smrt, nefatalni infarkt miokarda, nefatalni moždani udar ili hospitalizacija zbog kongestivne srčane insuficijencije. Učestalost primarnog ishoda bila je slična u grupama na telmisartanu (16,7 %) i ramiprilu (16,5 %). Odnos rizika za telmisartan u odnosu na ramipril bio je 1,01 (97,5 % CI 0,93 – 1,10, p (neinferiornost) = 0,0019 na granici od 1,13). Opšta stopa mortaliteta iznosila je 11,6 % kod pacijenata  liječenih telmisartanom odnosno 11,8 % kod pacijenata  liječenih ramiprilom.</w:t>
      </w:r>
    </w:p>
    <w:p w:rsidR="004C25BD" w:rsidRPr="004C25BD" w:rsidRDefault="004C25BD" w:rsidP="004C25BD">
      <w:pPr>
        <w:widowControl w:val="0"/>
        <w:autoSpaceDE w:val="0"/>
        <w:autoSpaceDN w:val="0"/>
        <w:adjustRightInd w:val="0"/>
        <w:jc w:val="both"/>
        <w:rPr>
          <w:sz w:val="22"/>
          <w:szCs w:val="22"/>
          <w:lang w:val="hr-HR"/>
        </w:rPr>
      </w:pPr>
    </w:p>
    <w:p w:rsidR="004C25BD" w:rsidRPr="004C25BD" w:rsidRDefault="004C25BD" w:rsidP="004C25BD">
      <w:pPr>
        <w:widowControl w:val="0"/>
        <w:autoSpaceDE w:val="0"/>
        <w:autoSpaceDN w:val="0"/>
        <w:adjustRightInd w:val="0"/>
        <w:jc w:val="both"/>
        <w:rPr>
          <w:sz w:val="22"/>
          <w:szCs w:val="22"/>
          <w:lang w:val="hr-HR"/>
        </w:rPr>
      </w:pPr>
      <w:r w:rsidRPr="004C25BD">
        <w:rPr>
          <w:sz w:val="22"/>
          <w:szCs w:val="22"/>
          <w:lang w:val="hr-HR"/>
        </w:rPr>
        <w:t xml:space="preserve">Pokazalo se da je telmisartan slično efikasan kao i ramipril u prethodno određenom sekundarnom ishodu uključujući kardiovaskularnu smrt, nefatalni infarkt miokarda i nefatalni moždani udar [0,99 (97,5 % CI 0,90 – 1,08), p (neinferiornost) = 0,0004], u primarnom ishodu referentnog ispitivanja HOPE (The </w:t>
      </w:r>
      <w:r w:rsidRPr="004C25BD">
        <w:rPr>
          <w:b/>
          <w:bCs/>
          <w:sz w:val="22"/>
          <w:szCs w:val="22"/>
          <w:lang w:val="hr-HR"/>
        </w:rPr>
        <w:t>H</w:t>
      </w:r>
      <w:r w:rsidRPr="004C25BD">
        <w:rPr>
          <w:sz w:val="22"/>
          <w:szCs w:val="22"/>
          <w:lang w:val="hr-HR"/>
        </w:rPr>
        <w:t xml:space="preserve">eart </w:t>
      </w:r>
      <w:r w:rsidRPr="004C25BD">
        <w:rPr>
          <w:b/>
          <w:bCs/>
          <w:sz w:val="22"/>
          <w:szCs w:val="22"/>
          <w:lang w:val="hr-HR"/>
        </w:rPr>
        <w:t>O</w:t>
      </w:r>
      <w:r w:rsidRPr="004C25BD">
        <w:rPr>
          <w:sz w:val="22"/>
          <w:szCs w:val="22"/>
          <w:lang w:val="hr-HR"/>
        </w:rPr>
        <w:t xml:space="preserve">utcomes </w:t>
      </w:r>
      <w:r w:rsidRPr="004C25BD">
        <w:rPr>
          <w:b/>
          <w:bCs/>
          <w:sz w:val="22"/>
          <w:szCs w:val="22"/>
          <w:lang w:val="hr-HR"/>
        </w:rPr>
        <w:t>P</w:t>
      </w:r>
      <w:r w:rsidRPr="004C25BD">
        <w:rPr>
          <w:sz w:val="22"/>
          <w:szCs w:val="22"/>
          <w:lang w:val="hr-HR"/>
        </w:rPr>
        <w:t xml:space="preserve">revention </w:t>
      </w:r>
      <w:r w:rsidRPr="004C25BD">
        <w:rPr>
          <w:b/>
          <w:bCs/>
          <w:sz w:val="22"/>
          <w:szCs w:val="22"/>
          <w:lang w:val="hr-HR"/>
        </w:rPr>
        <w:t>E</w:t>
      </w:r>
      <w:r w:rsidRPr="004C25BD">
        <w:rPr>
          <w:sz w:val="22"/>
          <w:szCs w:val="22"/>
          <w:lang w:val="hr-HR"/>
        </w:rPr>
        <w:t>valuation Study) koje je ispitivalo efekat  ramiprila u odnosu na placebo.</w:t>
      </w:r>
    </w:p>
    <w:p w:rsidR="004C25BD" w:rsidRPr="004C25BD" w:rsidRDefault="004C25BD" w:rsidP="004C25BD">
      <w:pPr>
        <w:widowControl w:val="0"/>
        <w:autoSpaceDE w:val="0"/>
        <w:autoSpaceDN w:val="0"/>
        <w:adjustRightInd w:val="0"/>
        <w:jc w:val="both"/>
        <w:rPr>
          <w:sz w:val="22"/>
          <w:szCs w:val="22"/>
          <w:lang w:val="hr-HR"/>
        </w:rPr>
      </w:pPr>
    </w:p>
    <w:p w:rsidR="004C25BD" w:rsidRPr="004C25BD" w:rsidRDefault="004C25BD" w:rsidP="004C25BD">
      <w:pPr>
        <w:widowControl w:val="0"/>
        <w:autoSpaceDE w:val="0"/>
        <w:autoSpaceDN w:val="0"/>
        <w:adjustRightInd w:val="0"/>
        <w:jc w:val="both"/>
        <w:rPr>
          <w:sz w:val="22"/>
          <w:szCs w:val="22"/>
          <w:lang w:val="hr-HR"/>
        </w:rPr>
      </w:pPr>
      <w:r w:rsidRPr="004C25BD">
        <w:rPr>
          <w:sz w:val="22"/>
          <w:szCs w:val="22"/>
          <w:lang w:val="hr-HR"/>
        </w:rPr>
        <w:t>Pacijenti sa netolerancijom na ACE-I randomizirani u TRANSCEND ispitivanju, sa inače sličnim kriterijima uključivosti kao u ONTARGET ispitivanju, randomizovani su na telmisartan 80 mg (n=2954) ili placebo (n=2972), oba davana povrh standardnog liječenja. Prosječno trajanje praćenja iznosilo je 4 godine i 8 mjeseci. Nije pronađena statistički značajna razlika u učestalosti primarnog složenog ishoda (kardiovaskularna smrt, nefatalni infarkt miokarda, nefatalni moždani udar ili hospitalizacija zbog kongestivne srčane insuficijencije) [15,7 % u grupi na telmisartanu i 17,0 % u grupi na placebu sa odnosom rizika od 0,92 (95 % CI 0,81 – 1,05, p = 0,22)]. Dokazana je korist liječenja telmisartanom u poređenju sa placebom u prethodno određenom sekundarnom složenom ishodu od kardiovaskularne smrti, nefatalnog infarkta miokarda i nefatalnog moždanog udara [0,87 (95 % CI 0,76 – 1,00, p = 0,048)]. Nije dokazana koristi u odnosu na kardiovaskularni mortalitet (odnos  rizika 1,03, 95 % CI 0,85 – 1,24).</w:t>
      </w:r>
    </w:p>
    <w:p w:rsidR="004C25BD" w:rsidRPr="004C25BD" w:rsidRDefault="004C25BD" w:rsidP="004C25BD">
      <w:pPr>
        <w:widowControl w:val="0"/>
        <w:autoSpaceDE w:val="0"/>
        <w:autoSpaceDN w:val="0"/>
        <w:adjustRightInd w:val="0"/>
        <w:jc w:val="both"/>
        <w:rPr>
          <w:sz w:val="22"/>
          <w:szCs w:val="22"/>
          <w:lang w:val="hr-HR"/>
        </w:rPr>
      </w:pPr>
    </w:p>
    <w:p w:rsidR="004C25BD" w:rsidRPr="004C25BD" w:rsidRDefault="004C25BD" w:rsidP="004C25BD">
      <w:pPr>
        <w:widowControl w:val="0"/>
        <w:autoSpaceDE w:val="0"/>
        <w:autoSpaceDN w:val="0"/>
        <w:adjustRightInd w:val="0"/>
        <w:jc w:val="both"/>
        <w:rPr>
          <w:sz w:val="22"/>
          <w:szCs w:val="22"/>
          <w:lang w:val="hr-HR"/>
        </w:rPr>
      </w:pPr>
      <w:r w:rsidRPr="004C25BD">
        <w:rPr>
          <w:sz w:val="22"/>
          <w:szCs w:val="22"/>
          <w:lang w:val="hr-HR"/>
        </w:rPr>
        <w:t>Kašalj i angioedem rjeđe su zabilježeni kod pacijenata liječenih telmisartanom nego kod pacijenata liječenih ramiprilom, dok je hipotenzija češće zabilježena sa telmisartanom.</w:t>
      </w:r>
    </w:p>
    <w:p w:rsidR="004C25BD" w:rsidRPr="004C25BD" w:rsidRDefault="004C25BD" w:rsidP="004C25BD">
      <w:pPr>
        <w:widowControl w:val="0"/>
        <w:autoSpaceDE w:val="0"/>
        <w:autoSpaceDN w:val="0"/>
        <w:adjustRightInd w:val="0"/>
        <w:jc w:val="both"/>
        <w:rPr>
          <w:sz w:val="22"/>
          <w:szCs w:val="22"/>
          <w:lang w:val="hr-HR"/>
        </w:rPr>
      </w:pPr>
    </w:p>
    <w:p w:rsidR="004C25BD" w:rsidRPr="004C25BD" w:rsidRDefault="004C25BD" w:rsidP="004C25BD">
      <w:pPr>
        <w:widowControl w:val="0"/>
        <w:autoSpaceDE w:val="0"/>
        <w:autoSpaceDN w:val="0"/>
        <w:adjustRightInd w:val="0"/>
        <w:jc w:val="both"/>
        <w:rPr>
          <w:sz w:val="22"/>
          <w:szCs w:val="22"/>
          <w:lang w:val="hr-HR"/>
        </w:rPr>
      </w:pPr>
      <w:r w:rsidRPr="004C25BD">
        <w:rPr>
          <w:sz w:val="22"/>
          <w:szCs w:val="22"/>
          <w:lang w:val="hr-HR"/>
        </w:rPr>
        <w:t xml:space="preserve">Kombiniranje telmisartana sa ramiprilom nije imalo dodatnu korist u odnosu na sam ramipril ili telmisartan. CV (kardiovaskularni) mortalitet i opšti  mortalitet u ovoj su kombinaciji bili brojčano veći. Pored toga, u </w:t>
      </w:r>
      <w:r w:rsidRPr="004C25BD">
        <w:rPr>
          <w:sz w:val="22"/>
          <w:szCs w:val="22"/>
          <w:lang w:val="hr-HR"/>
        </w:rPr>
        <w:lastRenderedPageBreak/>
        <w:t>grupi koja je primala kombinaciju postojala je znatno veća učestalost pojave hiperkalijemije, insuficijencije bubrega, hipotenzije i sinkope. Stoga se primjena kombinacije telmisartana i ramiprila ne preporučuje u ovoj populaciji.</w:t>
      </w:r>
    </w:p>
    <w:p w:rsidR="004C25BD" w:rsidRPr="004C25BD" w:rsidRDefault="004C25BD" w:rsidP="004C25BD">
      <w:pPr>
        <w:widowControl w:val="0"/>
        <w:tabs>
          <w:tab w:val="left" w:pos="540"/>
        </w:tabs>
        <w:autoSpaceDE w:val="0"/>
        <w:autoSpaceDN w:val="0"/>
        <w:adjustRightInd w:val="0"/>
        <w:jc w:val="both"/>
        <w:rPr>
          <w:sz w:val="22"/>
          <w:szCs w:val="22"/>
          <w:lang w:val="hr-HR"/>
        </w:rPr>
      </w:pPr>
    </w:p>
    <w:p w:rsidR="004C25BD" w:rsidRPr="004C25BD" w:rsidRDefault="004C25BD" w:rsidP="004C25BD">
      <w:pPr>
        <w:widowControl w:val="0"/>
        <w:autoSpaceDE w:val="0"/>
        <w:autoSpaceDN w:val="0"/>
        <w:adjustRightInd w:val="0"/>
        <w:jc w:val="both"/>
        <w:rPr>
          <w:rFonts w:eastAsia="Calibri"/>
          <w:sz w:val="22"/>
          <w:szCs w:val="22"/>
          <w:lang w:val="hr-HR" w:eastAsia="hr-HR"/>
        </w:rPr>
      </w:pPr>
      <w:r w:rsidRPr="004C25BD">
        <w:rPr>
          <w:rFonts w:eastAsia="Calibri"/>
          <w:sz w:val="22"/>
          <w:szCs w:val="22"/>
          <w:lang w:val="hr-HR" w:eastAsia="hr-HR"/>
        </w:rPr>
        <w:t>U ispitivanju „Preventivni režim za efikasno izbjegavanje drugog moždanog udara“ (eng. “Prevention Regimen For Effectively avoiding Second Strokes”) (PRoFESS) kod pacijenata od 50 godina i starijih, koji su nedavno imali moždani udar, zabilježena je povećana incidencija sepse za telmisartan u poređenju sa placebom,</w:t>
      </w:r>
      <w:r w:rsidRPr="004C25BD">
        <w:rPr>
          <w:sz w:val="22"/>
          <w:szCs w:val="22"/>
          <w:lang w:val="hr-HR"/>
        </w:rPr>
        <w:t xml:space="preserve"> 0,70 % u odnosu na 0,49 % </w:t>
      </w:r>
      <w:r w:rsidRPr="004C25BD">
        <w:rPr>
          <w:sz w:val="22"/>
          <w:szCs w:val="22"/>
          <w:lang w:val="hr-HR"/>
        </w:rPr>
        <w:sym w:font="Symbol" w:char="F05B"/>
      </w:r>
      <w:r w:rsidRPr="004C25BD">
        <w:rPr>
          <w:sz w:val="22"/>
          <w:szCs w:val="22"/>
          <w:lang w:val="hr-HR"/>
        </w:rPr>
        <w:t>RR 1,43 (95 % interval pouzdanosti 1,00 – 2,06)</w:t>
      </w:r>
      <w:r w:rsidRPr="004C25BD">
        <w:rPr>
          <w:sz w:val="22"/>
          <w:szCs w:val="22"/>
          <w:lang w:val="hr-HR"/>
        </w:rPr>
        <w:sym w:font="Symbol" w:char="F05D"/>
      </w:r>
      <w:r w:rsidRPr="004C25BD">
        <w:rPr>
          <w:sz w:val="22"/>
          <w:szCs w:val="22"/>
          <w:lang w:val="hr-HR"/>
        </w:rPr>
        <w:sym w:font="Symbol" w:char="F03B"/>
      </w:r>
      <w:r w:rsidRPr="004C25BD">
        <w:rPr>
          <w:sz w:val="22"/>
          <w:szCs w:val="22"/>
          <w:lang w:val="hr-HR"/>
        </w:rPr>
        <w:t xml:space="preserve"> incidencija smrtnih slučajeva od sepse bila je povećana za pacijente koji su uzimali telmisartan (0,33 %) u odnosu na pacijente  koji su uzimali placebo (0,16 %) </w:t>
      </w:r>
      <w:r w:rsidRPr="004C25BD">
        <w:rPr>
          <w:sz w:val="22"/>
          <w:szCs w:val="22"/>
          <w:lang w:val="hr-HR"/>
        </w:rPr>
        <w:sym w:font="Symbol" w:char="F05B"/>
      </w:r>
      <w:r w:rsidRPr="004C25BD">
        <w:rPr>
          <w:sz w:val="22"/>
          <w:szCs w:val="22"/>
          <w:lang w:val="hr-HR"/>
        </w:rPr>
        <w:t>RR 2,07 (95 % interval pouzdanosti 1,14 – 3,76)</w:t>
      </w:r>
      <w:r w:rsidRPr="004C25BD">
        <w:rPr>
          <w:sz w:val="22"/>
          <w:szCs w:val="22"/>
          <w:lang w:val="hr-HR"/>
        </w:rPr>
        <w:sym w:font="Symbol" w:char="F05D"/>
      </w:r>
      <w:r w:rsidRPr="004C25BD">
        <w:rPr>
          <w:sz w:val="22"/>
          <w:szCs w:val="22"/>
          <w:lang w:val="hr-HR"/>
        </w:rPr>
        <w:t xml:space="preserve">. </w:t>
      </w:r>
      <w:r w:rsidRPr="004C25BD">
        <w:rPr>
          <w:rFonts w:eastAsia="Calibri"/>
          <w:sz w:val="22"/>
          <w:szCs w:val="22"/>
          <w:lang w:val="hr-HR" w:eastAsia="hr-HR"/>
        </w:rPr>
        <w:t xml:space="preserve">Uočena povećana stopa pojave sepse povezane sa primjenom telmisartana može biti </w:t>
      </w:r>
      <w:r w:rsidRPr="004C25BD">
        <w:rPr>
          <w:sz w:val="22"/>
          <w:szCs w:val="22"/>
          <w:lang w:val="hr-HR"/>
        </w:rPr>
        <w:t>slučajna ili povezana sa trenutno nepoznatim mehanizmom.</w:t>
      </w:r>
    </w:p>
    <w:p w:rsidR="004C25BD" w:rsidRPr="004C25BD" w:rsidRDefault="004C25BD" w:rsidP="004C25BD">
      <w:pPr>
        <w:widowControl w:val="0"/>
        <w:numPr>
          <w:ilvl w:val="12"/>
          <w:numId w:val="0"/>
        </w:numPr>
        <w:tabs>
          <w:tab w:val="left" w:pos="567"/>
        </w:tabs>
        <w:ind w:right="-2"/>
        <w:jc w:val="both"/>
        <w:rPr>
          <w:iCs/>
          <w:sz w:val="22"/>
          <w:szCs w:val="22"/>
          <w:lang w:val="hr-HR"/>
        </w:rPr>
      </w:pPr>
    </w:p>
    <w:p w:rsidR="004C25BD" w:rsidRPr="004C25BD" w:rsidRDefault="004C25BD" w:rsidP="004C25BD">
      <w:pPr>
        <w:tabs>
          <w:tab w:val="left" w:pos="567"/>
        </w:tabs>
        <w:jc w:val="both"/>
        <w:rPr>
          <w:bCs/>
          <w:sz w:val="22"/>
          <w:szCs w:val="22"/>
          <w:lang w:val="hr-HR" w:eastAsia="de-DE"/>
        </w:rPr>
      </w:pPr>
      <w:r w:rsidRPr="004C25BD">
        <w:rPr>
          <w:bCs/>
          <w:sz w:val="22"/>
          <w:szCs w:val="22"/>
          <w:lang w:val="hr-HR" w:eastAsia="de-DE"/>
        </w:rPr>
        <w:t xml:space="preserve">Dva velika randomizovana, kontrolisana ispitivanja (ONTARGET (eng. ONgoing Telmisartan Alone and in </w:t>
      </w:r>
      <w:r w:rsidRPr="004C25BD">
        <w:rPr>
          <w:bCs/>
          <w:sz w:val="22"/>
          <w:szCs w:val="22"/>
          <w:lang w:val="hr-HR"/>
        </w:rPr>
        <w:t>c</w:t>
      </w:r>
      <w:r w:rsidRPr="004C25BD">
        <w:rPr>
          <w:bCs/>
          <w:sz w:val="22"/>
          <w:szCs w:val="22"/>
          <w:lang w:val="hr-HR" w:eastAsia="de-DE"/>
        </w:rPr>
        <w:t>ombination with Ramipril Global Endpoint Trial) i VA NEPHRON</w:t>
      </w:r>
      <w:r w:rsidRPr="004C25BD">
        <w:rPr>
          <w:bCs/>
          <w:sz w:val="22"/>
          <w:szCs w:val="22"/>
          <w:lang w:val="hr-HR"/>
        </w:rPr>
        <w:t>-</w:t>
      </w:r>
      <w:r w:rsidRPr="004C25BD">
        <w:rPr>
          <w:bCs/>
          <w:sz w:val="22"/>
          <w:szCs w:val="22"/>
          <w:lang w:val="hr-HR" w:eastAsia="de-DE"/>
        </w:rPr>
        <w:t>D (eng. The Veterans Affairs Nephropathy in Diabetes)) ispitivala su primjenu kombinacije ACE inhibitora sa blokatorom angiotenzin II receptora</w:t>
      </w:r>
      <w:r w:rsidRPr="004C25BD">
        <w:rPr>
          <w:bCs/>
          <w:sz w:val="22"/>
          <w:szCs w:val="22"/>
          <w:lang w:val="hr-HR"/>
        </w:rPr>
        <w:t>.</w:t>
      </w:r>
      <w:r w:rsidRPr="004C25BD">
        <w:rPr>
          <w:bCs/>
          <w:sz w:val="22"/>
          <w:szCs w:val="22"/>
          <w:lang w:val="hr-HR" w:eastAsia="de-DE"/>
        </w:rPr>
        <w:t xml:space="preserve"> ONTARGET je bilo ispitivanje sprovedeno kod pacijenata sa kardiovaskularnom ili cerebrovaskularnom bolešću u anamnezi, ili sa šećernom bolešću tipa 2 uz dokaze oštećenja ciljanih organa. </w:t>
      </w:r>
      <w:r w:rsidRPr="004C25BD">
        <w:rPr>
          <w:bCs/>
          <w:sz w:val="22"/>
          <w:szCs w:val="22"/>
          <w:lang w:val="hr-HR"/>
        </w:rPr>
        <w:t>VA NEPHRON-</w:t>
      </w:r>
      <w:r w:rsidRPr="004C25BD">
        <w:rPr>
          <w:bCs/>
          <w:sz w:val="22"/>
          <w:szCs w:val="22"/>
          <w:lang w:val="hr-HR" w:eastAsia="de-DE"/>
        </w:rPr>
        <w:t xml:space="preserve">D je bilo ispitivanje kod pacijenata sa šećernom bolešću tipa 2 i dijabetičkom nefropatijom. </w:t>
      </w:r>
    </w:p>
    <w:p w:rsidR="004C25BD" w:rsidRPr="004C25BD" w:rsidRDefault="004C25BD" w:rsidP="004C25BD">
      <w:pPr>
        <w:tabs>
          <w:tab w:val="left" w:pos="567"/>
        </w:tabs>
        <w:jc w:val="both"/>
        <w:rPr>
          <w:bCs/>
          <w:sz w:val="22"/>
          <w:szCs w:val="22"/>
          <w:lang w:val="hr-HR" w:eastAsia="de-DE"/>
        </w:rPr>
      </w:pPr>
      <w:r w:rsidRPr="004C25BD">
        <w:rPr>
          <w:bCs/>
          <w:sz w:val="22"/>
          <w:szCs w:val="22"/>
          <w:lang w:val="hr-HR" w:eastAsia="de-DE"/>
        </w:rPr>
        <w:t>Ta ispitivanja nijesu pokazala nikakav značajan povoljan učinak na bubrežne i/ili kardiovaskularne ishode i smrtnost, a bio je uočen povećani rizik od hiperkalemije, akutne ozljede bubrega i/ili hipotenzije u poredjenju sa monoterapijom. S obzirom na njihova slična farmakodinamička svojstva, ti su rezultati relevantni i za druge ACE inhibitore i blokatore angiotenzin II receptora.</w:t>
      </w:r>
    </w:p>
    <w:p w:rsidR="004C25BD" w:rsidRPr="004C25BD" w:rsidRDefault="004C25BD" w:rsidP="004C25BD">
      <w:pPr>
        <w:tabs>
          <w:tab w:val="left" w:pos="567"/>
        </w:tabs>
        <w:jc w:val="both"/>
        <w:rPr>
          <w:bCs/>
          <w:sz w:val="22"/>
          <w:szCs w:val="22"/>
          <w:lang w:val="hr-HR"/>
        </w:rPr>
      </w:pPr>
      <w:r w:rsidRPr="004C25BD">
        <w:rPr>
          <w:bCs/>
          <w:sz w:val="22"/>
          <w:szCs w:val="22"/>
          <w:lang w:val="hr-HR" w:eastAsia="de-DE"/>
        </w:rPr>
        <w:t xml:space="preserve">ACE </w:t>
      </w:r>
      <w:r w:rsidRPr="004C25BD">
        <w:rPr>
          <w:bCs/>
          <w:sz w:val="22"/>
          <w:szCs w:val="22"/>
          <w:lang w:val="hr-HR"/>
        </w:rPr>
        <w:t>inhibitori i blokatori angiotenzin II receptora stoga se ne smiju istovremeno primjenjivati kod pacijenatas dijabetičkom nefropatijom.</w:t>
      </w:r>
    </w:p>
    <w:p w:rsidR="004C25BD" w:rsidRPr="004C25BD" w:rsidRDefault="004C25BD" w:rsidP="004C25BD">
      <w:pPr>
        <w:tabs>
          <w:tab w:val="left" w:pos="567"/>
        </w:tabs>
        <w:jc w:val="both"/>
        <w:rPr>
          <w:bCs/>
          <w:sz w:val="22"/>
          <w:szCs w:val="22"/>
          <w:lang w:val="hr-HR" w:eastAsia="de-DE"/>
        </w:rPr>
      </w:pPr>
      <w:r w:rsidRPr="004C25BD">
        <w:rPr>
          <w:bCs/>
          <w:sz w:val="22"/>
          <w:szCs w:val="22"/>
          <w:lang w:val="hr-HR" w:eastAsia="de-DE"/>
        </w:rPr>
        <w:t>ALTITUDE (eng. Aliskiren Trial in Type 2 Diabetes Using Cardiovascular and Renal Disease Endpoints) je bilo ispitivanje osmišljeno za testiranje koristi dodavanja aliskirena standardnoj terapiji sa ACE inhibitorom ili blokatorom angiotenzin II receptora kod pacijenata sa šećernom bolešću tipa 2 i hroničnom bolešću bubrega, kardiovaskularnom bolešću ili oboje. Ispitivanje je bilo prijevremeno prekinuto zbog povećanog rizika od neželjenih dejstava. Kardiovaskularna smrt i moždani udar  bili su učestaliji u grupi koja je primala aliskiren nego u onoj koja je primala placebo, a neželjeni događaji i ozbiljni neželjeni događaji od značaja (hiperkalijemija, hipotenzija i bubrežna disfunkcija) bili su učestaliji u grupi koja je primala aliskiren nego u onoj koja je primala placebo.</w:t>
      </w:r>
    </w:p>
    <w:p w:rsidR="004C25BD" w:rsidRPr="004C25BD" w:rsidRDefault="004C25BD" w:rsidP="004C25BD">
      <w:pPr>
        <w:widowControl w:val="0"/>
        <w:numPr>
          <w:ilvl w:val="12"/>
          <w:numId w:val="0"/>
        </w:numPr>
        <w:tabs>
          <w:tab w:val="left" w:pos="567"/>
        </w:tabs>
        <w:ind w:right="-2"/>
        <w:jc w:val="both"/>
        <w:rPr>
          <w:iCs/>
          <w:sz w:val="22"/>
          <w:szCs w:val="22"/>
          <w:lang w:val="hr-HR"/>
        </w:rPr>
      </w:pPr>
    </w:p>
    <w:p w:rsidR="004C25BD" w:rsidRPr="004C25BD" w:rsidRDefault="004C25BD" w:rsidP="004C25BD">
      <w:pPr>
        <w:widowControl w:val="0"/>
        <w:numPr>
          <w:ilvl w:val="12"/>
          <w:numId w:val="0"/>
        </w:numPr>
        <w:tabs>
          <w:tab w:val="left" w:pos="567"/>
        </w:tabs>
        <w:ind w:right="-2"/>
        <w:jc w:val="both"/>
        <w:rPr>
          <w:iCs/>
          <w:sz w:val="22"/>
          <w:szCs w:val="22"/>
          <w:u w:val="single"/>
          <w:lang w:val="hr-HR"/>
        </w:rPr>
      </w:pPr>
      <w:r w:rsidRPr="004C25BD">
        <w:rPr>
          <w:iCs/>
          <w:sz w:val="22"/>
          <w:szCs w:val="22"/>
          <w:u w:val="single"/>
          <w:lang w:val="hr-HR"/>
        </w:rPr>
        <w:t>Pedijatrijska populacija</w:t>
      </w:r>
    </w:p>
    <w:p w:rsidR="004C25BD" w:rsidRPr="004C25BD" w:rsidRDefault="004C25BD" w:rsidP="004C25BD">
      <w:pPr>
        <w:widowControl w:val="0"/>
        <w:numPr>
          <w:ilvl w:val="12"/>
          <w:numId w:val="0"/>
        </w:numPr>
        <w:tabs>
          <w:tab w:val="left" w:pos="567"/>
        </w:tabs>
        <w:ind w:right="-2"/>
        <w:jc w:val="both"/>
        <w:rPr>
          <w:iCs/>
          <w:sz w:val="22"/>
          <w:szCs w:val="22"/>
          <w:lang w:val="hr-HR"/>
        </w:rPr>
      </w:pPr>
      <w:r w:rsidRPr="004C25BD">
        <w:rPr>
          <w:iCs/>
          <w:sz w:val="22"/>
          <w:szCs w:val="22"/>
          <w:lang w:val="hr-HR"/>
        </w:rPr>
        <w:t>Bezbjednost i efikasnost telmisartana kod djece i adolescenata mlađih od 18 godina nijesu utvrđene.</w:t>
      </w:r>
    </w:p>
    <w:p w:rsidR="004C25BD" w:rsidRPr="004C25BD" w:rsidRDefault="004C25BD" w:rsidP="004C25BD">
      <w:pPr>
        <w:widowControl w:val="0"/>
        <w:numPr>
          <w:ilvl w:val="12"/>
          <w:numId w:val="0"/>
        </w:numPr>
        <w:tabs>
          <w:tab w:val="left" w:pos="567"/>
        </w:tabs>
        <w:ind w:right="-2"/>
        <w:jc w:val="both"/>
        <w:rPr>
          <w:b/>
          <w:iCs/>
          <w:sz w:val="22"/>
          <w:szCs w:val="22"/>
          <w:lang w:val="hr-HR"/>
        </w:rPr>
      </w:pPr>
    </w:p>
    <w:p w:rsidR="004C25BD" w:rsidRPr="004C25BD" w:rsidRDefault="004C25BD" w:rsidP="004C25BD">
      <w:pPr>
        <w:widowControl w:val="0"/>
        <w:numPr>
          <w:ilvl w:val="12"/>
          <w:numId w:val="0"/>
        </w:numPr>
        <w:tabs>
          <w:tab w:val="left" w:pos="567"/>
        </w:tabs>
        <w:jc w:val="both"/>
        <w:rPr>
          <w:bCs/>
          <w:sz w:val="22"/>
          <w:szCs w:val="22"/>
          <w:lang w:val="hr-HR"/>
        </w:rPr>
      </w:pPr>
      <w:r w:rsidRPr="004C25BD">
        <w:rPr>
          <w:bCs/>
          <w:sz w:val="22"/>
          <w:szCs w:val="22"/>
          <w:lang w:val="hr-HR"/>
        </w:rPr>
        <w:t xml:space="preserve">Efekat primjene dvije doze telmisartana na snižavanje krvnog pritiska procijenjeni su u 76 uglavnom gojaznih pacijenata sa hipertenzijom, uzrasta od 6 do &lt; 18 godina (tjelesna masa  ≥ 20 kg i  ≤ 120 kg, u prosjeku 74,6 kg), nakon uzimanja telmisartana 1 mg/kg (n = 29 liječenih) ili 2 mg/kg (n = 31 liječena) tokom trajanja liječenja od četiri sedmice. Prisutnost sekundarne hipertenzije nije ispitana uključivanjem. Kod nekih od ispitivanih pacijenata korištene doze bile su veće od onih preporučenih u liječenju hipertenzije u odrasloj populaciji, dosežući dnevnu dozu uporedivu sa 160 mg, koja je ispitana kod odraslih. Nakon prilagođavanja dejstva za starosnu grupu, prosječne SBP promjene od početne vrijednosti (primarni cilj) iznosile su -14,5 (1,7) mm Hg u grupi koja je primala telmisartan 2 mg/kg, -9,7 (1,7) mm Hg u grupi koja je primala telmisartan 1 mg/kg, a </w:t>
      </w:r>
      <w:r w:rsidRPr="004C25BD">
        <w:rPr>
          <w:bCs/>
          <w:sz w:val="22"/>
          <w:szCs w:val="22"/>
          <w:lang w:val="hr-HR"/>
        </w:rPr>
        <w:noBreakHyphen/>
        <w:t xml:space="preserve">6,0 (2,4) u grupi koja je primala placebo. Prilagođene DBP promjene od početne vrijednosti iznosile su </w:t>
      </w:r>
      <w:r w:rsidRPr="004C25BD">
        <w:rPr>
          <w:bCs/>
          <w:sz w:val="22"/>
          <w:szCs w:val="22"/>
          <w:lang w:val="hr-HR"/>
        </w:rPr>
        <w:noBreakHyphen/>
        <w:t>8,4 (1,5) mm Hg, -4,5 (1,6) mm Hg odnosno </w:t>
      </w:r>
      <w:r w:rsidRPr="004C25BD">
        <w:rPr>
          <w:bCs/>
          <w:sz w:val="22"/>
          <w:szCs w:val="22"/>
          <w:lang w:val="hr-HR"/>
        </w:rPr>
        <w:noBreakHyphen/>
        <w:t xml:space="preserve">3,5 (2,1) mm Hg. Promjena je </w:t>
      </w:r>
      <w:r w:rsidRPr="004C25BD">
        <w:rPr>
          <w:bCs/>
          <w:sz w:val="22"/>
          <w:szCs w:val="22"/>
          <w:lang w:val="hr-HR"/>
        </w:rPr>
        <w:lastRenderedPageBreak/>
        <w:t>bila zavisna od doze. Podaci o bezbjednosti iz ovog ispitivanja kod pacijenatau uzrasta od 6 do &lt; 18 godina  su bili slični onima uočenim kod odraslih. Nije procijenjena bezbjednost dugotrajnog liječenja djece i adolescenata.</w:t>
      </w:r>
    </w:p>
    <w:p w:rsidR="004C25BD" w:rsidRPr="004C25BD" w:rsidRDefault="004C25BD" w:rsidP="004C25BD">
      <w:pPr>
        <w:widowControl w:val="0"/>
        <w:numPr>
          <w:ilvl w:val="12"/>
          <w:numId w:val="0"/>
        </w:numPr>
        <w:tabs>
          <w:tab w:val="left" w:pos="567"/>
        </w:tabs>
        <w:jc w:val="both"/>
        <w:rPr>
          <w:bCs/>
          <w:sz w:val="22"/>
          <w:szCs w:val="22"/>
          <w:lang w:val="hr-HR"/>
        </w:rPr>
      </w:pPr>
    </w:p>
    <w:p w:rsidR="004C25BD" w:rsidRPr="004C25BD" w:rsidRDefault="004C25BD" w:rsidP="004C25BD">
      <w:pPr>
        <w:widowControl w:val="0"/>
        <w:numPr>
          <w:ilvl w:val="12"/>
          <w:numId w:val="0"/>
        </w:numPr>
        <w:tabs>
          <w:tab w:val="left" w:pos="567"/>
        </w:tabs>
        <w:jc w:val="both"/>
        <w:rPr>
          <w:bCs/>
          <w:sz w:val="22"/>
          <w:szCs w:val="22"/>
          <w:lang w:val="hr-HR"/>
        </w:rPr>
      </w:pPr>
      <w:r w:rsidRPr="004C25BD">
        <w:rPr>
          <w:bCs/>
          <w:sz w:val="22"/>
          <w:szCs w:val="22"/>
          <w:lang w:val="hr-HR"/>
        </w:rPr>
        <w:t>Porast eozinofila zabilježen u ovoj populaciji pacijenata  nije zabilježen kod odraslih. Nije poznat njegov klinički značaj i relevantnost.</w:t>
      </w:r>
    </w:p>
    <w:p w:rsidR="004C25BD" w:rsidRPr="004C25BD" w:rsidRDefault="004C25BD" w:rsidP="004C25BD">
      <w:pPr>
        <w:widowControl w:val="0"/>
        <w:numPr>
          <w:ilvl w:val="12"/>
          <w:numId w:val="0"/>
        </w:numPr>
        <w:tabs>
          <w:tab w:val="left" w:pos="567"/>
        </w:tabs>
        <w:jc w:val="both"/>
        <w:rPr>
          <w:bCs/>
          <w:sz w:val="22"/>
          <w:szCs w:val="22"/>
          <w:lang w:val="hr-HR"/>
        </w:rPr>
      </w:pPr>
    </w:p>
    <w:p w:rsidR="004C25BD" w:rsidRPr="004C25BD" w:rsidRDefault="004C25BD" w:rsidP="004C25BD">
      <w:pPr>
        <w:widowControl w:val="0"/>
        <w:numPr>
          <w:ilvl w:val="12"/>
          <w:numId w:val="0"/>
        </w:numPr>
        <w:tabs>
          <w:tab w:val="left" w:pos="567"/>
        </w:tabs>
        <w:jc w:val="both"/>
        <w:rPr>
          <w:bCs/>
          <w:sz w:val="22"/>
          <w:szCs w:val="22"/>
          <w:lang w:val="hr-HR"/>
        </w:rPr>
      </w:pPr>
      <w:r w:rsidRPr="004C25BD">
        <w:rPr>
          <w:bCs/>
          <w:sz w:val="22"/>
          <w:szCs w:val="22"/>
          <w:lang w:val="hr-HR"/>
        </w:rPr>
        <w:t>Na osnovu ovih kliničkih podataka ne mogu se donositi zaključci o efikasnosti i bezbjednosti primjene telmisartana u pedijatrijskoj populaciji sa hipertenzijom.</w:t>
      </w:r>
    </w:p>
    <w:p w:rsidR="004C25BD" w:rsidRPr="004C25BD" w:rsidRDefault="004C25BD" w:rsidP="004C25BD">
      <w:pPr>
        <w:pStyle w:val="Default"/>
        <w:tabs>
          <w:tab w:val="left" w:pos="540"/>
        </w:tabs>
        <w:rPr>
          <w:color w:val="auto"/>
          <w:sz w:val="22"/>
          <w:szCs w:val="22"/>
          <w:lang w:val="hr-HR"/>
        </w:rPr>
      </w:pPr>
    </w:p>
    <w:p w:rsidR="004C25BD" w:rsidRPr="004C25BD" w:rsidRDefault="004C25BD" w:rsidP="004C25BD">
      <w:pPr>
        <w:pStyle w:val="naslovSmPC-a"/>
        <w:spacing w:before="0" w:after="0" w:line="240" w:lineRule="auto"/>
        <w:ind w:right="-483"/>
        <w:jc w:val="both"/>
        <w:rPr>
          <w:rFonts w:ascii="Times New Roman" w:hAnsi="Times New Roman"/>
          <w:sz w:val="22"/>
          <w:szCs w:val="22"/>
          <w:lang w:val="hr-HR"/>
        </w:rPr>
      </w:pPr>
      <w:r w:rsidRPr="004C25BD">
        <w:rPr>
          <w:rFonts w:ascii="Times New Roman" w:hAnsi="Times New Roman"/>
          <w:sz w:val="22"/>
          <w:szCs w:val="22"/>
          <w:lang w:val="hr-HR"/>
        </w:rPr>
        <w:t>5.2. Farmakokinetički podaci</w:t>
      </w:r>
    </w:p>
    <w:p w:rsidR="004C25BD" w:rsidRPr="004C25BD" w:rsidRDefault="004C25BD" w:rsidP="004C25BD">
      <w:pPr>
        <w:pStyle w:val="Style2"/>
        <w:spacing w:line="240" w:lineRule="auto"/>
        <w:ind w:left="0" w:right="-483"/>
        <w:rPr>
          <w:rFonts w:ascii="Times New Roman" w:hAnsi="Times New Roman"/>
          <w:sz w:val="22"/>
          <w:szCs w:val="22"/>
          <w:u w:val="single"/>
        </w:rPr>
      </w:pPr>
    </w:p>
    <w:p w:rsidR="004C25BD" w:rsidRPr="004C25BD" w:rsidRDefault="004C25BD" w:rsidP="004C25BD">
      <w:pPr>
        <w:pStyle w:val="Style2"/>
        <w:spacing w:line="240" w:lineRule="auto"/>
        <w:ind w:left="0" w:right="-483"/>
        <w:rPr>
          <w:rFonts w:ascii="Times New Roman" w:hAnsi="Times New Roman"/>
          <w:i/>
          <w:sz w:val="22"/>
          <w:szCs w:val="22"/>
          <w:u w:val="single"/>
        </w:rPr>
      </w:pPr>
      <w:r w:rsidRPr="004C25BD">
        <w:rPr>
          <w:rFonts w:ascii="Times New Roman" w:hAnsi="Times New Roman"/>
          <w:i/>
          <w:sz w:val="22"/>
          <w:szCs w:val="22"/>
          <w:u w:val="single"/>
        </w:rPr>
        <w:t>Resorpcija</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Resorpcija telmisartana je brza, iako resorbirana količina varira. Prosječna apsolutna bioraspoloživost telmisartana je oko 50 %. Kada se telmisartan uzima sa hranom, smanjenje površine ispod koncentracijske krive (PIK</w:t>
      </w:r>
      <w:r w:rsidRPr="004C25BD">
        <w:rPr>
          <w:color w:val="auto"/>
          <w:sz w:val="22"/>
          <w:szCs w:val="22"/>
          <w:vertAlign w:val="subscript"/>
          <w:lang w:val="hr-HR"/>
        </w:rPr>
        <w:t>0-∞</w:t>
      </w:r>
      <w:r w:rsidRPr="004C25BD">
        <w:rPr>
          <w:color w:val="auto"/>
          <w:sz w:val="22"/>
          <w:szCs w:val="22"/>
          <w:lang w:val="hr-HR"/>
        </w:rPr>
        <w:t>) telmisartana varira od oko 6 % (40 mg doze) do oko 19 % (160 mg doze). Do 3 sata nakon primjene, koncentracije u plazmi su slične bez obzira uzima li se telmisartan natašte ili sa hranom.</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jc w:val="both"/>
        <w:rPr>
          <w:sz w:val="22"/>
          <w:szCs w:val="22"/>
          <w:u w:val="single"/>
          <w:lang w:val="hr-HR"/>
        </w:rPr>
      </w:pPr>
      <w:r w:rsidRPr="004C25BD">
        <w:rPr>
          <w:sz w:val="22"/>
          <w:szCs w:val="22"/>
          <w:u w:val="single"/>
          <w:lang w:val="hr-HR"/>
        </w:rPr>
        <w:t>Linearnost/nelinearnost</w:t>
      </w:r>
    </w:p>
    <w:p w:rsidR="004C25BD" w:rsidRPr="004C25BD" w:rsidRDefault="004C25BD" w:rsidP="004C25BD">
      <w:pPr>
        <w:jc w:val="both"/>
        <w:rPr>
          <w:sz w:val="22"/>
          <w:szCs w:val="22"/>
          <w:lang w:val="hr-HR"/>
        </w:rPr>
      </w:pPr>
      <w:r w:rsidRPr="004C25BD">
        <w:rPr>
          <w:sz w:val="22"/>
          <w:szCs w:val="22"/>
          <w:lang w:val="hr-HR"/>
        </w:rPr>
        <w:t>Ne očekuje se da malo smanjenje PIK izaziva smanjenje terapijske efikasnosti. Ne postoji linearan odnos između doza i plazmatskih vrijednosti. C</w:t>
      </w:r>
      <w:r w:rsidRPr="004C25BD">
        <w:rPr>
          <w:sz w:val="22"/>
          <w:szCs w:val="22"/>
          <w:vertAlign w:val="subscript"/>
          <w:lang w:val="hr-HR"/>
        </w:rPr>
        <w:t>max</w:t>
      </w:r>
      <w:r w:rsidRPr="004C25BD">
        <w:rPr>
          <w:position w:val="-8"/>
          <w:sz w:val="22"/>
          <w:szCs w:val="22"/>
          <w:vertAlign w:val="subscript"/>
          <w:lang w:val="hr-HR"/>
        </w:rPr>
        <w:t xml:space="preserve"> </w:t>
      </w:r>
      <w:r w:rsidRPr="004C25BD">
        <w:rPr>
          <w:sz w:val="22"/>
          <w:szCs w:val="22"/>
          <w:lang w:val="hr-HR"/>
        </w:rPr>
        <w:t>i, u manjoj mjeri, PIK se povećava disproporcionalno pri dozama iznad 40 mg.</w:t>
      </w:r>
    </w:p>
    <w:p w:rsidR="004C25BD" w:rsidRPr="004C25BD" w:rsidRDefault="004C25BD" w:rsidP="004C25BD">
      <w:pPr>
        <w:pStyle w:val="Style2"/>
        <w:spacing w:line="240" w:lineRule="auto"/>
        <w:ind w:left="0" w:right="-483"/>
        <w:rPr>
          <w:rFonts w:ascii="Times New Roman" w:hAnsi="Times New Roman"/>
          <w:sz w:val="22"/>
          <w:szCs w:val="22"/>
        </w:rPr>
      </w:pPr>
    </w:p>
    <w:p w:rsidR="004C25BD" w:rsidRPr="004C25BD" w:rsidRDefault="004C25BD" w:rsidP="004C25BD">
      <w:pPr>
        <w:pStyle w:val="Style2"/>
        <w:spacing w:line="240" w:lineRule="auto"/>
        <w:ind w:left="0" w:right="-483"/>
        <w:rPr>
          <w:rFonts w:ascii="Times New Roman" w:hAnsi="Times New Roman"/>
          <w:i/>
          <w:sz w:val="22"/>
          <w:szCs w:val="22"/>
          <w:u w:val="single"/>
        </w:rPr>
      </w:pPr>
      <w:r w:rsidRPr="004C25BD">
        <w:rPr>
          <w:rFonts w:ascii="Times New Roman" w:hAnsi="Times New Roman"/>
          <w:i/>
          <w:sz w:val="22"/>
          <w:szCs w:val="22"/>
          <w:u w:val="single"/>
        </w:rPr>
        <w:t>Distribucija</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Telmisartan se uvelike veže na proteine plazme (&gt;99,5 %), uglavnom albumin i alfa-1 kiselinski glikoprotein. Prosječni vidljivi volumen distribucije u stanju dinamičke ravnoteže (V</w:t>
      </w:r>
      <w:r w:rsidRPr="004C25BD">
        <w:rPr>
          <w:color w:val="auto"/>
          <w:sz w:val="22"/>
          <w:szCs w:val="22"/>
          <w:vertAlign w:val="subscript"/>
          <w:lang w:val="hr-HR"/>
        </w:rPr>
        <w:t>dss</w:t>
      </w:r>
      <w:r w:rsidRPr="004C25BD">
        <w:rPr>
          <w:color w:val="auto"/>
          <w:sz w:val="22"/>
          <w:szCs w:val="22"/>
          <w:lang w:val="hr-HR"/>
        </w:rPr>
        <w:t>) je oko 500 l.</w:t>
      </w:r>
    </w:p>
    <w:p w:rsidR="004C25BD" w:rsidRPr="004C25BD" w:rsidRDefault="004C25BD" w:rsidP="004C25BD">
      <w:pPr>
        <w:pStyle w:val="Style2"/>
        <w:spacing w:line="240" w:lineRule="auto"/>
        <w:ind w:left="0" w:right="-483"/>
        <w:rPr>
          <w:rFonts w:ascii="Times New Roman" w:hAnsi="Times New Roman"/>
          <w:sz w:val="22"/>
          <w:szCs w:val="22"/>
        </w:rPr>
      </w:pPr>
    </w:p>
    <w:p w:rsidR="004C25BD" w:rsidRPr="004C25BD" w:rsidRDefault="004C25BD" w:rsidP="004C25BD">
      <w:pPr>
        <w:pStyle w:val="Style2"/>
        <w:spacing w:line="240" w:lineRule="auto"/>
        <w:ind w:left="0" w:right="-483"/>
        <w:rPr>
          <w:rFonts w:ascii="Times New Roman" w:hAnsi="Times New Roman"/>
          <w:i/>
          <w:sz w:val="22"/>
          <w:szCs w:val="22"/>
          <w:u w:val="single"/>
        </w:rPr>
      </w:pPr>
      <w:r w:rsidRPr="004C25BD">
        <w:rPr>
          <w:rFonts w:ascii="Times New Roman" w:hAnsi="Times New Roman"/>
          <w:i/>
          <w:sz w:val="22"/>
          <w:szCs w:val="22"/>
          <w:u w:val="single"/>
        </w:rPr>
        <w:t>Biotransformacija</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Telmisartan se metaboliše konjugacijom u glukuronid osnovnog jedinjenja. Nije pokazana farmakološka aktivnost za konjugat.</w:t>
      </w:r>
    </w:p>
    <w:p w:rsidR="004C25BD" w:rsidRPr="004C25BD" w:rsidRDefault="004C25BD" w:rsidP="004C25BD">
      <w:pPr>
        <w:pStyle w:val="Style2"/>
        <w:spacing w:line="240" w:lineRule="auto"/>
        <w:ind w:left="0" w:right="-483"/>
        <w:rPr>
          <w:rFonts w:ascii="Times New Roman" w:hAnsi="Times New Roman"/>
          <w:sz w:val="22"/>
          <w:szCs w:val="22"/>
        </w:rPr>
      </w:pPr>
    </w:p>
    <w:p w:rsidR="004C25BD" w:rsidRPr="004C25BD" w:rsidRDefault="004C25BD" w:rsidP="004C25BD">
      <w:pPr>
        <w:jc w:val="both"/>
        <w:rPr>
          <w:i/>
          <w:sz w:val="22"/>
          <w:szCs w:val="22"/>
          <w:u w:val="single"/>
          <w:lang w:val="hr-HR"/>
        </w:rPr>
      </w:pPr>
      <w:r w:rsidRPr="004C25BD">
        <w:rPr>
          <w:i/>
          <w:sz w:val="22"/>
          <w:szCs w:val="22"/>
          <w:u w:val="single"/>
          <w:lang w:val="hr-HR"/>
        </w:rPr>
        <w:t>Eliminacija</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Za telmisartan je karakteristična bieksponencijalna farmakokinetika raspada, sa terminalnim poluvremenom eliminacije od &gt;20 sati. Maksimalna koncentracija u plazmi (C</w:t>
      </w:r>
      <w:r w:rsidRPr="004C25BD">
        <w:rPr>
          <w:color w:val="auto"/>
          <w:sz w:val="22"/>
          <w:szCs w:val="22"/>
          <w:vertAlign w:val="subscript"/>
          <w:lang w:val="hr-HR"/>
        </w:rPr>
        <w:t>max</w:t>
      </w:r>
      <w:r w:rsidRPr="004C25BD">
        <w:rPr>
          <w:color w:val="auto"/>
          <w:sz w:val="22"/>
          <w:szCs w:val="22"/>
          <w:lang w:val="hr-HR"/>
        </w:rPr>
        <w:t>) i, u manjoj mjeri, površina ispod koncentracijske krive (PIK), povećava se disproporcionalno s dozom. Nema dokaza o klinički značajnoj akumulaciji telmisartana ako se uzima u preporučenoj dozi. Koncentracije u plazmi bile su više kod žena nego kod muškaraca, bez značajnog uticaja na efikasnost.</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Nakon oralne (i intravenske) primjene, telmisartan se gotovo isključivo izlučuje fecesom, uglavnom u nepromijenjenom obliku. Kumulativna urinarna ekskrecija je  &lt;1 % doze. Ukupni klirens plazme (Cl</w:t>
      </w:r>
      <w:r w:rsidRPr="004C25BD">
        <w:rPr>
          <w:color w:val="auto"/>
          <w:sz w:val="22"/>
          <w:szCs w:val="22"/>
          <w:vertAlign w:val="subscript"/>
          <w:lang w:val="hr-HR"/>
        </w:rPr>
        <w:t>tot</w:t>
      </w:r>
      <w:r w:rsidRPr="004C25BD">
        <w:rPr>
          <w:color w:val="auto"/>
          <w:sz w:val="22"/>
          <w:szCs w:val="22"/>
          <w:lang w:val="hr-HR"/>
        </w:rPr>
        <w:t>) je visok (oko 1 000 ml/min) u poređenju sa protokom krvi u jetri (oko 1 500 ml/min).</w:t>
      </w:r>
    </w:p>
    <w:p w:rsidR="004C25BD" w:rsidRPr="004C25BD" w:rsidRDefault="004C25BD" w:rsidP="004C25BD">
      <w:pPr>
        <w:pStyle w:val="naslovSmPC-a"/>
        <w:spacing w:before="0" w:after="0" w:line="240" w:lineRule="auto"/>
        <w:ind w:right="-483"/>
        <w:jc w:val="both"/>
        <w:rPr>
          <w:rFonts w:ascii="Times New Roman" w:hAnsi="Times New Roman"/>
          <w:sz w:val="22"/>
          <w:szCs w:val="22"/>
          <w:lang w:val="hr-HR"/>
        </w:rPr>
      </w:pPr>
    </w:p>
    <w:p w:rsidR="004C25BD" w:rsidRPr="004C25BD" w:rsidRDefault="004C25BD" w:rsidP="004C25BD">
      <w:pPr>
        <w:pStyle w:val="Default"/>
        <w:tabs>
          <w:tab w:val="left" w:pos="540"/>
        </w:tabs>
        <w:jc w:val="both"/>
        <w:rPr>
          <w:i/>
          <w:color w:val="auto"/>
          <w:sz w:val="22"/>
          <w:szCs w:val="22"/>
          <w:lang w:val="hr-HR"/>
        </w:rPr>
      </w:pPr>
      <w:r w:rsidRPr="004C25BD">
        <w:rPr>
          <w:i/>
          <w:color w:val="auto"/>
          <w:sz w:val="22"/>
          <w:szCs w:val="22"/>
          <w:lang w:val="hr-HR"/>
        </w:rPr>
        <w:t>Posebne populacije</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widowControl w:val="0"/>
        <w:tabs>
          <w:tab w:val="left" w:pos="540"/>
        </w:tabs>
        <w:autoSpaceDE w:val="0"/>
        <w:autoSpaceDN w:val="0"/>
        <w:adjustRightInd w:val="0"/>
        <w:jc w:val="both"/>
        <w:rPr>
          <w:sz w:val="22"/>
          <w:szCs w:val="22"/>
          <w:u w:val="single"/>
          <w:lang w:val="hr-HR"/>
        </w:rPr>
      </w:pPr>
      <w:r w:rsidRPr="004C25BD">
        <w:rPr>
          <w:sz w:val="22"/>
          <w:szCs w:val="22"/>
          <w:u w:val="single"/>
          <w:lang w:val="hr-HR"/>
        </w:rPr>
        <w:t>Pedijatrijska populacija</w:t>
      </w:r>
    </w:p>
    <w:p w:rsidR="004C25BD" w:rsidRPr="004C25BD" w:rsidRDefault="004C25BD" w:rsidP="004C25BD">
      <w:pPr>
        <w:widowControl w:val="0"/>
        <w:tabs>
          <w:tab w:val="left" w:pos="567"/>
        </w:tabs>
        <w:autoSpaceDE w:val="0"/>
        <w:autoSpaceDN w:val="0"/>
        <w:jc w:val="both"/>
        <w:rPr>
          <w:bCs/>
          <w:sz w:val="22"/>
          <w:szCs w:val="22"/>
          <w:lang w:val="hr-HR"/>
        </w:rPr>
      </w:pPr>
      <w:r w:rsidRPr="004C25BD">
        <w:rPr>
          <w:bCs/>
          <w:sz w:val="22"/>
          <w:szCs w:val="22"/>
          <w:lang w:val="hr-HR"/>
        </w:rPr>
        <w:t xml:space="preserve">Farmakokinetika dvije doze telmisartana procijenjena je kao sekundarni cilj kod pacijenata sa hipertenzijom (n = 57) uzrasta 6 do &lt; 18 godina nakon uzimanja telmisartana 1 mg/kg ili 2 mg/kg tokom perioda liječenja </w:t>
      </w:r>
      <w:r w:rsidRPr="004C25BD">
        <w:rPr>
          <w:bCs/>
          <w:sz w:val="22"/>
          <w:szCs w:val="22"/>
          <w:lang w:val="hr-HR"/>
        </w:rPr>
        <w:lastRenderedPageBreak/>
        <w:t>od četiri sedmice. Farmakokinetički ciljevi obuhvatali su određivanje stanja dinamičke ravnoteže telmisartana kod djece i adolescenata te istraživanje razlika vezani za uzrast. Iako je ispitivanje bilo premalo za smislenu procjenu farmakokinetike kod djece mlađe od 12 godina, rezultati su  bili u skladu sa nalazima kod odraslih i potvrdili nelinearnost telmisartana, posebno za C</w:t>
      </w:r>
      <w:r w:rsidRPr="004C25BD">
        <w:rPr>
          <w:bCs/>
          <w:sz w:val="22"/>
          <w:szCs w:val="22"/>
          <w:vertAlign w:val="subscript"/>
          <w:lang w:val="hr-HR"/>
        </w:rPr>
        <w:t>max</w:t>
      </w:r>
      <w:r w:rsidRPr="004C25BD">
        <w:rPr>
          <w:bCs/>
          <w:sz w:val="22"/>
          <w:szCs w:val="22"/>
          <w:lang w:val="hr-HR"/>
        </w:rPr>
        <w:t>.</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Pol</w:t>
      </w:r>
    </w:p>
    <w:p w:rsidR="004C25BD" w:rsidRPr="004C25BD" w:rsidRDefault="004C25BD" w:rsidP="004C25BD">
      <w:pPr>
        <w:widowControl w:val="0"/>
        <w:autoSpaceDE w:val="0"/>
        <w:autoSpaceDN w:val="0"/>
        <w:adjustRightInd w:val="0"/>
        <w:jc w:val="both"/>
        <w:rPr>
          <w:sz w:val="22"/>
          <w:szCs w:val="22"/>
          <w:lang w:val="hr-HR"/>
        </w:rPr>
      </w:pPr>
      <w:r w:rsidRPr="004C25BD">
        <w:rPr>
          <w:sz w:val="22"/>
          <w:szCs w:val="22"/>
          <w:lang w:val="hr-HR"/>
        </w:rPr>
        <w:t>Uočene su razlike u koncentracijama u plazmi, sa C</w:t>
      </w:r>
      <w:r w:rsidRPr="004C25BD">
        <w:rPr>
          <w:sz w:val="22"/>
          <w:szCs w:val="22"/>
          <w:vertAlign w:val="subscript"/>
          <w:lang w:val="hr-HR"/>
        </w:rPr>
        <w:t>max</w:t>
      </w:r>
      <w:r w:rsidRPr="004C25BD">
        <w:rPr>
          <w:position w:val="-8"/>
          <w:sz w:val="22"/>
          <w:szCs w:val="22"/>
          <w:vertAlign w:val="subscript"/>
          <w:lang w:val="hr-HR"/>
        </w:rPr>
        <w:t xml:space="preserve"> </w:t>
      </w:r>
      <w:r w:rsidRPr="004C25BD">
        <w:rPr>
          <w:sz w:val="22"/>
          <w:szCs w:val="22"/>
          <w:lang w:val="hr-HR"/>
        </w:rPr>
        <w:t xml:space="preserve">i PIK </w:t>
      </w:r>
      <w:r w:rsidRPr="004C25BD">
        <w:rPr>
          <w:rFonts w:eastAsia="Calibri"/>
          <w:sz w:val="22"/>
          <w:szCs w:val="22"/>
          <w:lang w:val="hr-HR" w:eastAsia="hr-HR"/>
        </w:rPr>
        <w:t>oko 3 odnosno 2 puta više kod žena u poređenju  sa muškarcima.</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Stariji pacijenti</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Farmakokinetika telmisartana se ne razlikuje kod starijih i onih mlađih od 65 godina.</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Pacijenti sa oštećenjem bubrega</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Kod pacijenata sa blagim do umjerenim i teškim oštećenjem bubrega, primijećeno je udvostručavanje koncentracija u plazmi. Međutim, niže koncentracije u plazmi uočene su kod pacijenata sa insuficijencijom bubrega koji su podvrgnuti dijalizi. Telmisartan se u visokoj mjeri veže za proteine plazme kod osoba sa insuficijencijom bubrega, te se ne može ukloniti dijalizom. Poluvrijeme eliminacije ostaje nepromijenjeno kod pacijenata sa oštećenjem bubrega.</w:t>
      </w:r>
    </w:p>
    <w:p w:rsidR="004C25BD" w:rsidRPr="004C25BD" w:rsidRDefault="004C25BD" w:rsidP="004C25BD">
      <w:pPr>
        <w:pStyle w:val="Default"/>
        <w:tabs>
          <w:tab w:val="left" w:pos="540"/>
        </w:tabs>
        <w:jc w:val="both"/>
        <w:rPr>
          <w:color w:val="auto"/>
          <w:sz w:val="22"/>
          <w:szCs w:val="22"/>
          <w:lang w:val="hr-HR"/>
        </w:rPr>
      </w:pPr>
    </w:p>
    <w:p w:rsidR="004C25BD" w:rsidRPr="004C25BD" w:rsidRDefault="004C25BD" w:rsidP="004C25BD">
      <w:pPr>
        <w:pStyle w:val="Default"/>
        <w:tabs>
          <w:tab w:val="left" w:pos="540"/>
        </w:tabs>
        <w:jc w:val="both"/>
        <w:rPr>
          <w:color w:val="auto"/>
          <w:sz w:val="22"/>
          <w:szCs w:val="22"/>
          <w:u w:val="single"/>
          <w:lang w:val="hr-HR"/>
        </w:rPr>
      </w:pPr>
      <w:r w:rsidRPr="004C25BD">
        <w:rPr>
          <w:color w:val="auto"/>
          <w:sz w:val="22"/>
          <w:szCs w:val="22"/>
          <w:u w:val="single"/>
          <w:lang w:val="hr-HR"/>
        </w:rPr>
        <w:t>Pacijenti sa oštećenjem jetre</w:t>
      </w:r>
    </w:p>
    <w:p w:rsidR="004C25BD" w:rsidRPr="004C25BD" w:rsidRDefault="004C25BD" w:rsidP="004C25BD">
      <w:pPr>
        <w:pStyle w:val="Default"/>
        <w:tabs>
          <w:tab w:val="left" w:pos="540"/>
        </w:tabs>
        <w:jc w:val="both"/>
        <w:rPr>
          <w:color w:val="auto"/>
          <w:sz w:val="22"/>
          <w:szCs w:val="22"/>
          <w:lang w:val="hr-HR"/>
        </w:rPr>
      </w:pPr>
      <w:r w:rsidRPr="004C25BD">
        <w:rPr>
          <w:color w:val="auto"/>
          <w:sz w:val="22"/>
          <w:szCs w:val="22"/>
          <w:lang w:val="hr-HR"/>
        </w:rPr>
        <w:t>Farmakokinetičke studije na pacijentima sa oštećenjem jetre pokazale su porast apsolutne bioraspoloživosti, do gotovo 100 %. Poluvrijeme eliminacije ostaje nepromijenjeno kod pacijenata sa oštećenejm jetre.</w:t>
      </w:r>
    </w:p>
    <w:p w:rsidR="004C25BD" w:rsidRPr="004C25BD" w:rsidRDefault="004C25BD" w:rsidP="004C25BD">
      <w:pPr>
        <w:pStyle w:val="naslovSmPC-a"/>
        <w:spacing w:before="0" w:after="0" w:line="240" w:lineRule="auto"/>
        <w:ind w:right="-483"/>
        <w:jc w:val="both"/>
        <w:rPr>
          <w:rFonts w:ascii="Times New Roman" w:hAnsi="Times New Roman"/>
          <w:sz w:val="22"/>
          <w:szCs w:val="22"/>
          <w:lang w:val="hr-HR"/>
        </w:rPr>
      </w:pPr>
    </w:p>
    <w:p w:rsidR="004C25BD" w:rsidRPr="004C25BD" w:rsidRDefault="004C25BD" w:rsidP="004C25BD">
      <w:pPr>
        <w:pStyle w:val="naslovSmPC-a"/>
        <w:spacing w:before="0" w:after="0" w:line="240" w:lineRule="auto"/>
        <w:ind w:right="-483"/>
        <w:jc w:val="both"/>
        <w:rPr>
          <w:rFonts w:ascii="Times New Roman" w:hAnsi="Times New Roman"/>
          <w:sz w:val="22"/>
          <w:szCs w:val="22"/>
          <w:lang w:val="hr-HR"/>
        </w:rPr>
      </w:pPr>
      <w:r w:rsidRPr="004C25BD">
        <w:rPr>
          <w:rFonts w:ascii="Times New Roman" w:hAnsi="Times New Roman"/>
          <w:sz w:val="22"/>
          <w:szCs w:val="22"/>
          <w:lang w:val="hr-HR"/>
        </w:rPr>
        <w:t xml:space="preserve">5.3. Pretklinički podaci o bezbjednosti </w:t>
      </w:r>
    </w:p>
    <w:p w:rsidR="004C25BD" w:rsidRPr="004C25BD" w:rsidRDefault="004C25BD" w:rsidP="004C25BD">
      <w:pPr>
        <w:ind w:right="-483"/>
        <w:jc w:val="both"/>
        <w:rPr>
          <w:b/>
          <w:bCs/>
          <w:sz w:val="22"/>
          <w:szCs w:val="22"/>
          <w:lang w:val="hr-HR"/>
        </w:rPr>
      </w:pPr>
    </w:p>
    <w:p w:rsidR="004C25BD" w:rsidRPr="004C25BD" w:rsidRDefault="004C25BD" w:rsidP="004C25BD">
      <w:pPr>
        <w:widowControl w:val="0"/>
        <w:autoSpaceDE w:val="0"/>
        <w:autoSpaceDN w:val="0"/>
        <w:adjustRightInd w:val="0"/>
        <w:jc w:val="both"/>
        <w:rPr>
          <w:rFonts w:eastAsia="Calibri"/>
          <w:sz w:val="22"/>
          <w:szCs w:val="22"/>
          <w:lang w:val="hr-HR" w:eastAsia="hr-HR"/>
        </w:rPr>
      </w:pPr>
      <w:r w:rsidRPr="004C25BD">
        <w:rPr>
          <w:sz w:val="22"/>
          <w:szCs w:val="22"/>
          <w:lang w:val="hr-HR"/>
        </w:rPr>
        <w:t xml:space="preserve">U pretkliničkim </w:t>
      </w:r>
      <w:r w:rsidRPr="004C25BD">
        <w:rPr>
          <w:rFonts w:eastAsia="Calibri"/>
          <w:sz w:val="22"/>
          <w:szCs w:val="22"/>
          <w:lang w:val="hr-HR" w:eastAsia="hr-HR"/>
        </w:rPr>
        <w:t>ispitivanjima bezbjednosti, doze čija ekspozicija je uporediva sa onom u kliničkom terapijskom rasponu izazvale su smanjenje parametara crvenih krvnih ćelija (eritrociti, hemoglobin, hematokrit), promjene u hemodinamici bubrega (povišene vrijednosti azota iz ureje i kreatinina u krvi), kao i povišeni kalijum u serumu normotenzivnih životinja. Kod pasa su uočene renalna tubularna dilatacija i atrofija. Povrede sluzokože želuca (erozija, ulkusi ili upala) takođe je primijećena kod pacova i pasa. Ove farmakološki posredovana neželjena dejstva, poznata iz nekliničkih ispitivanja sa inhibitorima angiotenzin konvertirajućeg enzima i antagonistima receptora angiotenzina II, bile su spriječene oralnom nadoknadom soli.</w:t>
      </w:r>
    </w:p>
    <w:p w:rsidR="004C25BD" w:rsidRPr="004C25BD" w:rsidRDefault="004C25BD" w:rsidP="004C25BD">
      <w:pPr>
        <w:widowControl w:val="0"/>
        <w:autoSpaceDE w:val="0"/>
        <w:autoSpaceDN w:val="0"/>
        <w:adjustRightInd w:val="0"/>
        <w:jc w:val="both"/>
        <w:rPr>
          <w:sz w:val="22"/>
          <w:szCs w:val="22"/>
          <w:lang w:val="hr-HR"/>
        </w:rPr>
      </w:pPr>
    </w:p>
    <w:p w:rsidR="004C25BD" w:rsidRPr="004C25BD" w:rsidRDefault="004C25BD" w:rsidP="004C25BD">
      <w:pPr>
        <w:widowControl w:val="0"/>
        <w:autoSpaceDE w:val="0"/>
        <w:autoSpaceDN w:val="0"/>
        <w:adjustRightInd w:val="0"/>
        <w:jc w:val="both"/>
        <w:rPr>
          <w:rFonts w:eastAsia="Calibri"/>
          <w:sz w:val="22"/>
          <w:szCs w:val="22"/>
          <w:lang w:val="hr-HR" w:eastAsia="hr-HR"/>
        </w:rPr>
      </w:pPr>
      <w:r w:rsidRPr="004C25BD">
        <w:rPr>
          <w:rFonts w:eastAsia="Calibri"/>
          <w:sz w:val="22"/>
          <w:szCs w:val="22"/>
          <w:lang w:val="hr-HR" w:eastAsia="hr-HR"/>
        </w:rPr>
        <w:t>U obje vrste uočeni su povećano djelovanje renina u plazmi i hipertrofija/hiperplazija jukstaglomerularnih ćelija bubrega. Ove promjene koje su takođe efekat klase inhibitora angiotenzin konvertirajućeg enzima i ostalih antagonista receptora angiotenzina II, nemaju klinički značaj.</w:t>
      </w:r>
    </w:p>
    <w:p w:rsidR="004C25BD" w:rsidRPr="004C25BD" w:rsidRDefault="004C25BD" w:rsidP="004C25BD">
      <w:pPr>
        <w:widowControl w:val="0"/>
        <w:autoSpaceDE w:val="0"/>
        <w:autoSpaceDN w:val="0"/>
        <w:adjustRightInd w:val="0"/>
        <w:jc w:val="both"/>
        <w:rPr>
          <w:rFonts w:eastAsia="Calibri"/>
          <w:sz w:val="22"/>
          <w:szCs w:val="22"/>
          <w:lang w:val="hr-HR" w:eastAsia="hr-HR"/>
        </w:rPr>
      </w:pPr>
    </w:p>
    <w:p w:rsidR="004C25BD" w:rsidRPr="004C25BD" w:rsidRDefault="004C25BD" w:rsidP="004C25BD">
      <w:pPr>
        <w:widowControl w:val="0"/>
        <w:autoSpaceDE w:val="0"/>
        <w:autoSpaceDN w:val="0"/>
        <w:adjustRightInd w:val="0"/>
        <w:jc w:val="both"/>
        <w:rPr>
          <w:sz w:val="22"/>
          <w:szCs w:val="22"/>
          <w:lang w:val="hr-HR"/>
        </w:rPr>
      </w:pPr>
      <w:r w:rsidRPr="004C25BD">
        <w:rPr>
          <w:sz w:val="22"/>
          <w:szCs w:val="22"/>
          <w:lang w:val="hr-HR"/>
        </w:rPr>
        <w:t xml:space="preserve">Nije </w:t>
      </w:r>
      <w:r w:rsidRPr="004C25BD">
        <w:rPr>
          <w:rFonts w:eastAsia="Calibri"/>
          <w:sz w:val="22"/>
          <w:szCs w:val="22"/>
          <w:lang w:val="hr-HR" w:eastAsia="hr-HR"/>
        </w:rPr>
        <w:t>dokazan jasan teratogeni efekat, međutim, pri toksičnim nivoima doze telmisartana, uočen je efekat na</w:t>
      </w:r>
      <w:r w:rsidRPr="004C25BD">
        <w:rPr>
          <w:sz w:val="22"/>
          <w:szCs w:val="22"/>
          <w:lang w:val="hr-HR"/>
        </w:rPr>
        <w:t xml:space="preserve"> </w:t>
      </w:r>
      <w:r w:rsidRPr="004C25BD">
        <w:rPr>
          <w:rFonts w:eastAsia="Calibri"/>
          <w:sz w:val="22"/>
          <w:szCs w:val="22"/>
          <w:lang w:val="hr-HR" w:eastAsia="hr-HR"/>
        </w:rPr>
        <w:t>postnatalni razvoj mladunčadi, kao što su mala tjelesna težina i odloženo otvaranje očiju.</w:t>
      </w:r>
    </w:p>
    <w:p w:rsidR="004C25BD" w:rsidRPr="004C25BD" w:rsidRDefault="004C25BD" w:rsidP="004C25BD">
      <w:pPr>
        <w:widowControl w:val="0"/>
        <w:tabs>
          <w:tab w:val="left" w:pos="540"/>
        </w:tabs>
        <w:autoSpaceDE w:val="0"/>
        <w:autoSpaceDN w:val="0"/>
        <w:adjustRightInd w:val="0"/>
        <w:jc w:val="both"/>
        <w:rPr>
          <w:sz w:val="22"/>
          <w:szCs w:val="22"/>
          <w:lang w:val="hr-HR"/>
        </w:rPr>
      </w:pPr>
    </w:p>
    <w:p w:rsidR="004C25BD" w:rsidRPr="004C25BD" w:rsidRDefault="004C25BD" w:rsidP="004C25BD">
      <w:pPr>
        <w:widowControl w:val="0"/>
        <w:autoSpaceDE w:val="0"/>
        <w:autoSpaceDN w:val="0"/>
        <w:adjustRightInd w:val="0"/>
        <w:jc w:val="both"/>
        <w:rPr>
          <w:rFonts w:eastAsia="Calibri"/>
          <w:sz w:val="22"/>
          <w:szCs w:val="22"/>
          <w:lang w:val="hr-HR" w:eastAsia="hr-HR"/>
        </w:rPr>
      </w:pPr>
      <w:r w:rsidRPr="004C25BD">
        <w:rPr>
          <w:rFonts w:eastAsia="Calibri"/>
          <w:sz w:val="22"/>
          <w:szCs w:val="22"/>
          <w:lang w:val="hr-HR" w:eastAsia="hr-HR"/>
        </w:rPr>
        <w:t xml:space="preserve">Nema dokaza mutagenosti i relevantnog klastogenog djelovanja u </w:t>
      </w:r>
      <w:r w:rsidRPr="004C25BD">
        <w:rPr>
          <w:rFonts w:eastAsia="Calibri"/>
          <w:i/>
          <w:iCs/>
          <w:sz w:val="22"/>
          <w:szCs w:val="22"/>
          <w:lang w:val="hr-HR" w:eastAsia="hr-HR"/>
        </w:rPr>
        <w:t xml:space="preserve">in vitro </w:t>
      </w:r>
      <w:r w:rsidRPr="004C25BD">
        <w:rPr>
          <w:rFonts w:eastAsia="Calibri"/>
          <w:sz w:val="22"/>
          <w:szCs w:val="22"/>
          <w:lang w:val="hr-HR" w:eastAsia="hr-HR"/>
        </w:rPr>
        <w:t>ispitivanjima niti dokaza kancerogenosti kod pacova i miševa.</w:t>
      </w:r>
    </w:p>
    <w:p w:rsidR="004C25BD" w:rsidRDefault="004C25BD" w:rsidP="004C25BD">
      <w:pPr>
        <w:ind w:right="-483"/>
        <w:jc w:val="both"/>
        <w:rPr>
          <w:b/>
          <w:bCs/>
          <w:sz w:val="22"/>
          <w:szCs w:val="22"/>
          <w:lang w:val="hr-HR"/>
        </w:rPr>
      </w:pPr>
    </w:p>
    <w:p w:rsidR="00F65B3E" w:rsidRDefault="00F65B3E" w:rsidP="004C25BD">
      <w:pPr>
        <w:ind w:right="-483"/>
        <w:jc w:val="both"/>
        <w:rPr>
          <w:b/>
          <w:bCs/>
          <w:sz w:val="22"/>
          <w:szCs w:val="22"/>
          <w:lang w:val="hr-HR"/>
        </w:rPr>
      </w:pPr>
    </w:p>
    <w:p w:rsidR="00F65B3E" w:rsidRPr="004C25BD" w:rsidRDefault="00F65B3E" w:rsidP="004C25BD">
      <w:pPr>
        <w:ind w:right="-483"/>
        <w:jc w:val="both"/>
        <w:rPr>
          <w:b/>
          <w:bCs/>
          <w:sz w:val="22"/>
          <w:szCs w:val="22"/>
          <w:lang w:val="hr-HR"/>
        </w:rPr>
      </w:pPr>
    </w:p>
    <w:p w:rsidR="004C25BD" w:rsidRPr="004C25BD" w:rsidRDefault="004C25BD" w:rsidP="004C25BD">
      <w:pPr>
        <w:ind w:right="-483"/>
        <w:rPr>
          <w:b/>
          <w:bCs/>
          <w:sz w:val="22"/>
          <w:szCs w:val="22"/>
          <w:lang w:val="hr-HR"/>
        </w:rPr>
      </w:pPr>
    </w:p>
    <w:p w:rsidR="004C25BD" w:rsidRPr="004C25BD" w:rsidRDefault="004C25BD" w:rsidP="004C25BD">
      <w:pPr>
        <w:ind w:right="-483"/>
        <w:rPr>
          <w:b/>
          <w:bCs/>
          <w:sz w:val="22"/>
          <w:szCs w:val="22"/>
          <w:lang w:val="hr-HR" w:eastAsia="hr-HR"/>
        </w:rPr>
      </w:pPr>
      <w:r w:rsidRPr="004C25BD">
        <w:rPr>
          <w:b/>
          <w:bCs/>
          <w:sz w:val="22"/>
          <w:szCs w:val="22"/>
          <w:lang w:val="hr-HR"/>
        </w:rPr>
        <w:lastRenderedPageBreak/>
        <w:t>6. FARMACEUTSKI PODACI</w:t>
      </w:r>
    </w:p>
    <w:p w:rsidR="004C25BD" w:rsidRPr="004C25BD" w:rsidRDefault="004C25BD" w:rsidP="004C25BD">
      <w:pPr>
        <w:ind w:right="-483"/>
        <w:rPr>
          <w:b/>
          <w:bCs/>
          <w:sz w:val="22"/>
          <w:szCs w:val="22"/>
          <w:lang w:val="hr-HR" w:eastAsia="hr-HR"/>
        </w:rPr>
      </w:pPr>
    </w:p>
    <w:p w:rsidR="004C25BD" w:rsidRPr="004C25BD" w:rsidRDefault="004C25BD" w:rsidP="004C25BD">
      <w:pPr>
        <w:ind w:right="-483"/>
        <w:rPr>
          <w:b/>
          <w:bCs/>
          <w:sz w:val="22"/>
          <w:szCs w:val="22"/>
          <w:lang w:val="hr-HR" w:eastAsia="hr-HR"/>
        </w:rPr>
      </w:pPr>
      <w:r w:rsidRPr="004C25BD">
        <w:rPr>
          <w:b/>
          <w:bCs/>
          <w:sz w:val="22"/>
          <w:szCs w:val="22"/>
          <w:lang w:val="hr-HR"/>
        </w:rPr>
        <w:t>6.1. Lista pomoćnih supstanci</w:t>
      </w:r>
    </w:p>
    <w:p w:rsidR="004C25BD" w:rsidRPr="004C25BD" w:rsidRDefault="004C25BD" w:rsidP="004C25BD">
      <w:pPr>
        <w:ind w:right="-483"/>
        <w:rPr>
          <w:sz w:val="22"/>
          <w:szCs w:val="22"/>
          <w:lang w:val="hr-HR" w:eastAsia="hr-HR"/>
        </w:rPr>
      </w:pPr>
    </w:p>
    <w:p w:rsidR="004C25BD" w:rsidRPr="004C25BD" w:rsidRDefault="004C25BD" w:rsidP="004C25BD">
      <w:pPr>
        <w:ind w:right="-483"/>
        <w:rPr>
          <w:sz w:val="22"/>
          <w:szCs w:val="22"/>
          <w:lang w:val="hr-HR"/>
        </w:rPr>
      </w:pPr>
      <w:r w:rsidRPr="004C25BD">
        <w:rPr>
          <w:sz w:val="22"/>
          <w:szCs w:val="22"/>
          <w:lang w:val="hr-HR"/>
        </w:rPr>
        <w:t>Povidon (K30)</w:t>
      </w:r>
    </w:p>
    <w:p w:rsidR="004C25BD" w:rsidRPr="004C25BD" w:rsidRDefault="004C25BD" w:rsidP="004C25BD">
      <w:pPr>
        <w:ind w:right="-483"/>
        <w:rPr>
          <w:sz w:val="22"/>
          <w:szCs w:val="22"/>
          <w:lang w:val="hr-HR"/>
        </w:rPr>
      </w:pPr>
      <w:r w:rsidRPr="004C25BD">
        <w:rPr>
          <w:sz w:val="22"/>
          <w:szCs w:val="22"/>
          <w:lang w:val="hr-HR"/>
        </w:rPr>
        <w:t>Meglumin</w:t>
      </w:r>
    </w:p>
    <w:p w:rsidR="004C25BD" w:rsidRPr="004C25BD" w:rsidRDefault="004C25BD" w:rsidP="004C25BD">
      <w:pPr>
        <w:ind w:right="-483"/>
        <w:rPr>
          <w:sz w:val="22"/>
          <w:szCs w:val="22"/>
          <w:lang w:val="hr-HR"/>
        </w:rPr>
      </w:pPr>
      <w:r w:rsidRPr="004C25BD">
        <w:rPr>
          <w:sz w:val="22"/>
          <w:szCs w:val="22"/>
          <w:lang w:val="hr-HR"/>
        </w:rPr>
        <w:t>Natrijum hidroksid</w:t>
      </w:r>
    </w:p>
    <w:p w:rsidR="004C25BD" w:rsidRPr="004C25BD" w:rsidRDefault="004C25BD" w:rsidP="004C25BD">
      <w:pPr>
        <w:ind w:right="-483"/>
        <w:rPr>
          <w:sz w:val="22"/>
          <w:szCs w:val="22"/>
          <w:lang w:val="hr-HR"/>
        </w:rPr>
      </w:pPr>
      <w:r w:rsidRPr="004C25BD">
        <w:rPr>
          <w:sz w:val="22"/>
          <w:szCs w:val="22"/>
          <w:lang w:val="hr-HR"/>
        </w:rPr>
        <w:t>Laktoza monohidrat</w:t>
      </w:r>
    </w:p>
    <w:p w:rsidR="004C25BD" w:rsidRPr="004C25BD" w:rsidRDefault="004C25BD" w:rsidP="004C25BD">
      <w:pPr>
        <w:ind w:right="-483"/>
        <w:rPr>
          <w:sz w:val="22"/>
          <w:szCs w:val="22"/>
          <w:lang w:val="hr-HR"/>
        </w:rPr>
      </w:pPr>
      <w:r w:rsidRPr="004C25BD">
        <w:rPr>
          <w:sz w:val="22"/>
          <w:szCs w:val="22"/>
          <w:lang w:val="hr-HR"/>
        </w:rPr>
        <w:t>Sorbitol (E420)</w:t>
      </w:r>
    </w:p>
    <w:p w:rsidR="004C25BD" w:rsidRPr="004C25BD" w:rsidRDefault="004C25BD" w:rsidP="004C25BD">
      <w:pPr>
        <w:ind w:right="-483"/>
        <w:rPr>
          <w:sz w:val="22"/>
          <w:szCs w:val="22"/>
          <w:lang w:val="hr-HR"/>
        </w:rPr>
      </w:pPr>
      <w:r w:rsidRPr="004C25BD">
        <w:rPr>
          <w:sz w:val="22"/>
          <w:szCs w:val="22"/>
          <w:lang w:val="hr-HR"/>
        </w:rPr>
        <w:t>Magnezijum stearat</w:t>
      </w:r>
    </w:p>
    <w:p w:rsidR="004C25BD" w:rsidRPr="004C25BD" w:rsidRDefault="004C25BD" w:rsidP="004C25BD">
      <w:pPr>
        <w:ind w:right="-483"/>
        <w:rPr>
          <w:sz w:val="22"/>
          <w:szCs w:val="22"/>
          <w:lang w:val="hr-HR" w:eastAsia="hr-HR"/>
        </w:rPr>
      </w:pPr>
    </w:p>
    <w:p w:rsidR="004C25BD" w:rsidRPr="004C25BD" w:rsidRDefault="004C25BD" w:rsidP="004C25BD">
      <w:pPr>
        <w:ind w:right="-483"/>
        <w:rPr>
          <w:b/>
          <w:bCs/>
          <w:sz w:val="22"/>
          <w:szCs w:val="22"/>
          <w:lang w:val="hr-HR" w:eastAsia="hr-HR"/>
        </w:rPr>
      </w:pPr>
      <w:r w:rsidRPr="004C25BD">
        <w:rPr>
          <w:b/>
          <w:sz w:val="22"/>
          <w:szCs w:val="22"/>
          <w:lang w:val="hr-HR" w:eastAsia="hr-HR"/>
        </w:rPr>
        <w:t>6.2.</w:t>
      </w:r>
      <w:r w:rsidRPr="004C25BD">
        <w:rPr>
          <w:sz w:val="22"/>
          <w:szCs w:val="22"/>
          <w:lang w:val="hr-HR" w:eastAsia="hr-HR"/>
        </w:rPr>
        <w:t xml:space="preserve"> </w:t>
      </w:r>
      <w:r w:rsidRPr="004C25BD">
        <w:rPr>
          <w:b/>
          <w:sz w:val="22"/>
          <w:szCs w:val="22"/>
          <w:lang w:val="hr-HR" w:eastAsia="hr-HR"/>
        </w:rPr>
        <w:t>I</w:t>
      </w:r>
      <w:r w:rsidRPr="004C25BD">
        <w:rPr>
          <w:b/>
          <w:bCs/>
          <w:sz w:val="22"/>
          <w:szCs w:val="22"/>
          <w:lang w:val="hr-HR"/>
        </w:rPr>
        <w:t>nkompatibilnosti</w:t>
      </w:r>
    </w:p>
    <w:p w:rsidR="004C25BD" w:rsidRPr="004C25BD" w:rsidRDefault="004C25BD" w:rsidP="00F65B3E">
      <w:pPr>
        <w:ind w:right="-483"/>
        <w:jc w:val="both"/>
        <w:rPr>
          <w:sz w:val="22"/>
          <w:szCs w:val="22"/>
          <w:lang w:val="hr-HR" w:eastAsia="hr-HR"/>
        </w:rPr>
      </w:pPr>
    </w:p>
    <w:p w:rsidR="004C25BD" w:rsidRDefault="004C25BD" w:rsidP="00F65B3E">
      <w:pPr>
        <w:ind w:right="-483"/>
        <w:jc w:val="both"/>
        <w:rPr>
          <w:sz w:val="22"/>
          <w:szCs w:val="22"/>
          <w:lang w:val="hr-HR" w:eastAsia="hr-HR"/>
        </w:rPr>
      </w:pPr>
      <w:r w:rsidRPr="004C25BD">
        <w:rPr>
          <w:sz w:val="22"/>
          <w:szCs w:val="22"/>
          <w:lang w:val="hr-HR" w:eastAsia="hr-HR"/>
        </w:rPr>
        <w:t>Nije primjenjivo.</w:t>
      </w:r>
    </w:p>
    <w:p w:rsidR="00F65B3E" w:rsidRPr="004C25BD" w:rsidRDefault="00F65B3E" w:rsidP="00F65B3E">
      <w:pPr>
        <w:ind w:right="-483"/>
        <w:jc w:val="both"/>
        <w:rPr>
          <w:sz w:val="22"/>
          <w:szCs w:val="22"/>
          <w:lang w:val="hr-HR" w:eastAsia="hr-HR"/>
        </w:rPr>
      </w:pPr>
    </w:p>
    <w:p w:rsidR="004C25BD" w:rsidRPr="004C25BD" w:rsidRDefault="004C25BD" w:rsidP="004C25BD">
      <w:pPr>
        <w:ind w:right="-483"/>
        <w:rPr>
          <w:b/>
          <w:bCs/>
          <w:sz w:val="22"/>
          <w:szCs w:val="22"/>
          <w:lang w:val="hr-HR" w:eastAsia="hr-HR"/>
        </w:rPr>
      </w:pPr>
      <w:r w:rsidRPr="004C25BD">
        <w:rPr>
          <w:b/>
          <w:bCs/>
          <w:sz w:val="22"/>
          <w:szCs w:val="22"/>
          <w:lang w:val="hr-HR"/>
        </w:rPr>
        <w:t>6.3. Rok upotrebe</w:t>
      </w:r>
    </w:p>
    <w:p w:rsidR="004C25BD" w:rsidRPr="004C25BD" w:rsidRDefault="004C25BD" w:rsidP="004C25BD">
      <w:pPr>
        <w:ind w:right="-483"/>
        <w:jc w:val="both"/>
        <w:rPr>
          <w:sz w:val="22"/>
          <w:szCs w:val="22"/>
          <w:lang w:val="hr-HR" w:eastAsia="hr-HR"/>
        </w:rPr>
      </w:pPr>
    </w:p>
    <w:p w:rsidR="004C25BD" w:rsidRPr="004C25BD" w:rsidRDefault="004C25BD" w:rsidP="004C25BD">
      <w:pPr>
        <w:ind w:right="-483"/>
        <w:jc w:val="both"/>
        <w:rPr>
          <w:sz w:val="22"/>
          <w:szCs w:val="22"/>
          <w:lang w:val="hr-HR" w:eastAsia="hr-HR"/>
        </w:rPr>
      </w:pPr>
      <w:r w:rsidRPr="004C25BD">
        <w:rPr>
          <w:sz w:val="22"/>
          <w:szCs w:val="22"/>
          <w:lang w:val="hr-HR" w:eastAsia="hr-HR"/>
        </w:rPr>
        <w:t>2 godine.</w:t>
      </w:r>
    </w:p>
    <w:p w:rsidR="004C25BD" w:rsidRPr="004C25BD" w:rsidRDefault="004C25BD" w:rsidP="004C25BD">
      <w:pPr>
        <w:ind w:right="-483"/>
        <w:jc w:val="both"/>
        <w:rPr>
          <w:sz w:val="22"/>
          <w:szCs w:val="22"/>
          <w:lang w:val="hr-HR" w:eastAsia="hr-HR"/>
        </w:rPr>
      </w:pPr>
    </w:p>
    <w:p w:rsidR="004C25BD" w:rsidRPr="004C25BD" w:rsidRDefault="004C25BD" w:rsidP="004C25BD">
      <w:pPr>
        <w:ind w:right="-483"/>
        <w:rPr>
          <w:b/>
          <w:bCs/>
          <w:sz w:val="22"/>
          <w:szCs w:val="22"/>
          <w:lang w:val="hr-HR" w:eastAsia="hr-HR"/>
        </w:rPr>
      </w:pPr>
      <w:r w:rsidRPr="004C25BD">
        <w:rPr>
          <w:b/>
          <w:bCs/>
          <w:sz w:val="22"/>
          <w:szCs w:val="22"/>
          <w:lang w:val="hr-HR"/>
        </w:rPr>
        <w:t>6.4. Posebne mjere upozorenja pri čuvanju lijeka</w:t>
      </w:r>
    </w:p>
    <w:p w:rsidR="004C25BD" w:rsidRPr="004C25BD" w:rsidRDefault="004C25BD" w:rsidP="004C25BD">
      <w:pPr>
        <w:ind w:right="-483"/>
        <w:rPr>
          <w:sz w:val="22"/>
          <w:szCs w:val="22"/>
          <w:lang w:val="hr-HR" w:eastAsia="hr-HR"/>
        </w:rPr>
      </w:pPr>
    </w:p>
    <w:p w:rsidR="004C25BD" w:rsidRPr="004C25BD" w:rsidRDefault="004C25BD" w:rsidP="004C25BD">
      <w:pPr>
        <w:ind w:right="-483"/>
        <w:rPr>
          <w:sz w:val="22"/>
          <w:szCs w:val="22"/>
          <w:lang w:val="hr-HR" w:eastAsia="hr-HR"/>
        </w:rPr>
      </w:pPr>
      <w:r w:rsidRPr="004C25BD">
        <w:rPr>
          <w:sz w:val="22"/>
          <w:szCs w:val="22"/>
          <w:lang w:val="hr-HR" w:eastAsia="hr-HR"/>
        </w:rPr>
        <w:t>Čuvati u originalnom pakovanju, radi zaštite od svjetlosti.</w:t>
      </w:r>
    </w:p>
    <w:p w:rsidR="004C25BD" w:rsidRPr="004C25BD" w:rsidRDefault="004C25BD" w:rsidP="004C25BD">
      <w:pPr>
        <w:widowControl w:val="0"/>
        <w:tabs>
          <w:tab w:val="left" w:pos="708"/>
        </w:tabs>
        <w:rPr>
          <w:sz w:val="22"/>
          <w:szCs w:val="22"/>
          <w:lang w:val="hr-HR"/>
        </w:rPr>
      </w:pPr>
      <w:r w:rsidRPr="004C25BD">
        <w:rPr>
          <w:sz w:val="22"/>
          <w:szCs w:val="22"/>
          <w:lang w:val="hr-HR"/>
        </w:rPr>
        <w:t>Čuvati na temperaturi do 30°C.</w:t>
      </w:r>
    </w:p>
    <w:p w:rsidR="004C25BD" w:rsidRPr="004C25BD" w:rsidRDefault="004C25BD" w:rsidP="004C25BD">
      <w:pPr>
        <w:ind w:right="-483"/>
        <w:rPr>
          <w:sz w:val="22"/>
          <w:szCs w:val="22"/>
          <w:lang w:val="hr-HR" w:eastAsia="hr-HR"/>
        </w:rPr>
      </w:pPr>
    </w:p>
    <w:p w:rsidR="004C25BD" w:rsidRPr="004C25BD" w:rsidRDefault="004C25BD" w:rsidP="004C25BD">
      <w:pPr>
        <w:ind w:right="-483"/>
        <w:rPr>
          <w:b/>
          <w:bCs/>
          <w:sz w:val="22"/>
          <w:szCs w:val="22"/>
          <w:lang w:val="hr-HR" w:eastAsia="hr-HR"/>
        </w:rPr>
      </w:pPr>
      <w:r w:rsidRPr="004C25BD">
        <w:rPr>
          <w:b/>
          <w:bCs/>
          <w:sz w:val="22"/>
          <w:szCs w:val="22"/>
          <w:lang w:val="hr-HR"/>
        </w:rPr>
        <w:t xml:space="preserve">6.5. Vrsta i sadržaj pakovanja </w:t>
      </w:r>
    </w:p>
    <w:p w:rsidR="004C25BD" w:rsidRPr="004C25BD" w:rsidRDefault="004C25BD" w:rsidP="004C25BD">
      <w:pPr>
        <w:ind w:right="-483"/>
        <w:rPr>
          <w:b/>
          <w:bCs/>
          <w:sz w:val="22"/>
          <w:szCs w:val="22"/>
          <w:lang w:val="hr-HR"/>
        </w:rPr>
      </w:pPr>
    </w:p>
    <w:p w:rsidR="004C25BD" w:rsidRPr="004C25BD" w:rsidRDefault="004C25BD" w:rsidP="004C25BD">
      <w:pPr>
        <w:ind w:right="-483"/>
        <w:rPr>
          <w:bCs/>
          <w:sz w:val="22"/>
          <w:szCs w:val="22"/>
          <w:lang w:val="hr-HR"/>
        </w:rPr>
      </w:pPr>
      <w:r w:rsidRPr="004C25BD">
        <w:rPr>
          <w:bCs/>
          <w:sz w:val="22"/>
          <w:szCs w:val="22"/>
          <w:lang w:val="hr-HR"/>
        </w:rPr>
        <w:t>Blister (OPA/Al/PVC//Al): 28 tableta (4 blister</w:t>
      </w:r>
      <w:r w:rsidR="000517E1">
        <w:rPr>
          <w:bCs/>
          <w:sz w:val="22"/>
          <w:szCs w:val="22"/>
          <w:lang w:val="hr-HR"/>
        </w:rPr>
        <w:t>a</w:t>
      </w:r>
      <w:r w:rsidRPr="004C25BD">
        <w:rPr>
          <w:bCs/>
          <w:sz w:val="22"/>
          <w:szCs w:val="22"/>
          <w:lang w:val="hr-HR"/>
        </w:rPr>
        <w:t xml:space="preserve"> po 7 tableta), u kutiji.</w:t>
      </w:r>
    </w:p>
    <w:p w:rsidR="004C25BD" w:rsidRPr="004C25BD" w:rsidRDefault="004C25BD" w:rsidP="004C25BD">
      <w:pPr>
        <w:ind w:right="-483"/>
        <w:rPr>
          <w:b/>
          <w:bCs/>
          <w:sz w:val="22"/>
          <w:szCs w:val="22"/>
          <w:lang w:val="hr-HR" w:eastAsia="hr-HR"/>
        </w:rPr>
      </w:pPr>
    </w:p>
    <w:p w:rsidR="004C25BD" w:rsidRPr="004C25BD" w:rsidRDefault="004C25BD" w:rsidP="004C25BD">
      <w:pPr>
        <w:ind w:right="-483"/>
        <w:rPr>
          <w:b/>
          <w:bCs/>
          <w:sz w:val="22"/>
          <w:szCs w:val="22"/>
          <w:lang w:val="hr-HR" w:eastAsia="hr-HR"/>
        </w:rPr>
      </w:pPr>
      <w:r w:rsidRPr="004C25BD">
        <w:rPr>
          <w:b/>
          <w:bCs/>
          <w:sz w:val="22"/>
          <w:szCs w:val="22"/>
          <w:lang w:val="hr-HR"/>
        </w:rPr>
        <w:t>6.6. Posebne mjere opreza pri odlaganju materijala koji treba odbaciti nakon primjene lijeka</w:t>
      </w:r>
    </w:p>
    <w:p w:rsidR="004C25BD" w:rsidRPr="004C25BD" w:rsidRDefault="004C25BD" w:rsidP="004C25BD">
      <w:pPr>
        <w:ind w:right="-483"/>
        <w:rPr>
          <w:b/>
          <w:bCs/>
          <w:sz w:val="22"/>
          <w:szCs w:val="22"/>
          <w:lang w:val="hr-HR" w:eastAsia="hr-HR"/>
        </w:rPr>
      </w:pPr>
    </w:p>
    <w:p w:rsidR="004C25BD" w:rsidRPr="004C25BD" w:rsidRDefault="004C25BD" w:rsidP="004C25BD">
      <w:pPr>
        <w:jc w:val="both"/>
        <w:rPr>
          <w:sz w:val="22"/>
          <w:szCs w:val="22"/>
        </w:rPr>
      </w:pPr>
      <w:r w:rsidRPr="004C25BD">
        <w:rPr>
          <w:sz w:val="22"/>
          <w:szCs w:val="22"/>
        </w:rPr>
        <w:t>Neupotrijebljeni lijek se uništava prema važećim propisima.</w:t>
      </w:r>
    </w:p>
    <w:p w:rsidR="004C25BD" w:rsidRPr="004C25BD" w:rsidRDefault="004C25BD" w:rsidP="004C25BD">
      <w:pPr>
        <w:jc w:val="both"/>
        <w:rPr>
          <w:b/>
          <w:bCs/>
          <w:sz w:val="22"/>
          <w:szCs w:val="22"/>
          <w:lang w:eastAsia="hr-HR"/>
        </w:rPr>
      </w:pPr>
    </w:p>
    <w:p w:rsidR="004C25BD" w:rsidRPr="004C25BD" w:rsidRDefault="004C25BD" w:rsidP="004C25BD">
      <w:pPr>
        <w:tabs>
          <w:tab w:val="left" w:pos="540"/>
          <w:tab w:val="left" w:pos="569"/>
        </w:tabs>
        <w:jc w:val="both"/>
        <w:rPr>
          <w:b/>
          <w:bCs/>
          <w:sz w:val="22"/>
          <w:szCs w:val="22"/>
        </w:rPr>
      </w:pPr>
      <w:r w:rsidRPr="004C25BD">
        <w:rPr>
          <w:b/>
          <w:bCs/>
          <w:sz w:val="22"/>
          <w:szCs w:val="22"/>
        </w:rPr>
        <w:t xml:space="preserve">6.7. </w:t>
      </w:r>
      <w:r w:rsidRPr="004C25BD">
        <w:rPr>
          <w:b/>
          <w:bCs/>
          <w:sz w:val="22"/>
          <w:szCs w:val="22"/>
        </w:rPr>
        <w:tab/>
        <w:t>Režim izdavanja lijeka</w:t>
      </w:r>
    </w:p>
    <w:p w:rsidR="004C25BD" w:rsidRPr="004C25BD" w:rsidRDefault="004C25BD" w:rsidP="004C25BD">
      <w:pPr>
        <w:jc w:val="both"/>
        <w:rPr>
          <w:b/>
          <w:bCs/>
          <w:sz w:val="22"/>
          <w:szCs w:val="22"/>
          <w:lang w:eastAsia="hr-HR"/>
        </w:rPr>
      </w:pPr>
    </w:p>
    <w:p w:rsidR="004C25BD" w:rsidRPr="00F65B3E" w:rsidRDefault="004C25BD" w:rsidP="00F65B3E">
      <w:pPr>
        <w:jc w:val="both"/>
        <w:rPr>
          <w:sz w:val="22"/>
          <w:szCs w:val="22"/>
        </w:rPr>
      </w:pPr>
      <w:r w:rsidRPr="00F65B3E">
        <w:rPr>
          <w:sz w:val="22"/>
          <w:szCs w:val="22"/>
        </w:rPr>
        <w:t>Obnovljiv (višekratni) recept</w:t>
      </w:r>
    </w:p>
    <w:p w:rsidR="004C25BD" w:rsidRPr="00F65B3E" w:rsidRDefault="004C25BD" w:rsidP="00F65B3E">
      <w:pPr>
        <w:jc w:val="both"/>
        <w:rPr>
          <w:sz w:val="22"/>
          <w:szCs w:val="22"/>
        </w:rPr>
      </w:pPr>
    </w:p>
    <w:p w:rsidR="004C25BD" w:rsidRPr="004C25BD" w:rsidRDefault="004C25BD" w:rsidP="004C25BD">
      <w:pPr>
        <w:rPr>
          <w:sz w:val="22"/>
          <w:szCs w:val="22"/>
        </w:rPr>
      </w:pPr>
    </w:p>
    <w:p w:rsidR="004C25BD" w:rsidRPr="004C25BD" w:rsidRDefault="004C25BD" w:rsidP="004C25BD">
      <w:pPr>
        <w:jc w:val="both"/>
        <w:rPr>
          <w:b/>
          <w:bCs/>
          <w:sz w:val="22"/>
          <w:szCs w:val="22"/>
          <w:lang w:eastAsia="hr-HR"/>
        </w:rPr>
      </w:pPr>
      <w:r w:rsidRPr="004C25BD">
        <w:rPr>
          <w:b/>
          <w:bCs/>
          <w:sz w:val="22"/>
          <w:szCs w:val="22"/>
          <w:lang w:eastAsia="hr-HR"/>
        </w:rPr>
        <w:t xml:space="preserve">7.       NOSILAC DOZVOLE </w:t>
      </w:r>
    </w:p>
    <w:p w:rsidR="004C25BD" w:rsidRPr="004C25BD" w:rsidRDefault="004C25BD" w:rsidP="004C25BD">
      <w:pPr>
        <w:jc w:val="both"/>
        <w:rPr>
          <w:sz w:val="22"/>
          <w:szCs w:val="22"/>
          <w:lang w:eastAsia="hr-HR"/>
        </w:rPr>
      </w:pPr>
    </w:p>
    <w:p w:rsidR="009D438B" w:rsidRPr="009D438B" w:rsidRDefault="009D438B" w:rsidP="009D438B">
      <w:pPr>
        <w:jc w:val="both"/>
        <w:rPr>
          <w:color w:val="000000"/>
          <w:sz w:val="22"/>
          <w:szCs w:val="22"/>
        </w:rPr>
      </w:pPr>
      <w:r w:rsidRPr="009D438B">
        <w:rPr>
          <w:color w:val="000000"/>
          <w:sz w:val="22"/>
          <w:szCs w:val="22"/>
        </w:rPr>
        <w:t>DSD „KRKA, d.d., Novo mesto“ - predstavništvo Podgorica</w:t>
      </w:r>
    </w:p>
    <w:p w:rsidR="009D438B" w:rsidRPr="009D438B" w:rsidRDefault="009D438B" w:rsidP="009D438B">
      <w:pPr>
        <w:jc w:val="both"/>
        <w:rPr>
          <w:color w:val="000000"/>
          <w:sz w:val="22"/>
          <w:szCs w:val="22"/>
        </w:rPr>
      </w:pPr>
      <w:r w:rsidRPr="009D438B">
        <w:rPr>
          <w:color w:val="000000"/>
          <w:sz w:val="22"/>
          <w:szCs w:val="22"/>
        </w:rPr>
        <w:t>Svetlane Kane Radević br. 3, 81000 Podgorica, Crna Gora</w:t>
      </w:r>
    </w:p>
    <w:p w:rsidR="004C25BD" w:rsidRPr="004C25BD" w:rsidRDefault="004C25BD" w:rsidP="004C25BD">
      <w:pPr>
        <w:jc w:val="both"/>
        <w:rPr>
          <w:sz w:val="22"/>
          <w:szCs w:val="22"/>
          <w:lang w:eastAsia="hr-HR"/>
        </w:rPr>
      </w:pPr>
      <w:bookmarkStart w:id="0" w:name="_GoBack"/>
      <w:bookmarkEnd w:id="0"/>
    </w:p>
    <w:p w:rsidR="004C25BD" w:rsidRPr="004C25BD" w:rsidRDefault="004C25BD" w:rsidP="004C25BD">
      <w:pPr>
        <w:jc w:val="both"/>
        <w:rPr>
          <w:sz w:val="22"/>
          <w:szCs w:val="22"/>
          <w:lang w:eastAsia="hr-HR"/>
        </w:rPr>
      </w:pPr>
    </w:p>
    <w:p w:rsidR="004C25BD" w:rsidRPr="004C25BD" w:rsidRDefault="004C25BD" w:rsidP="004C25BD">
      <w:pPr>
        <w:tabs>
          <w:tab w:val="left" w:pos="540"/>
          <w:tab w:val="left" w:pos="569"/>
        </w:tabs>
        <w:jc w:val="both"/>
        <w:rPr>
          <w:b/>
          <w:bCs/>
          <w:sz w:val="22"/>
          <w:szCs w:val="22"/>
        </w:rPr>
      </w:pPr>
      <w:r w:rsidRPr="004C25BD">
        <w:rPr>
          <w:b/>
          <w:bCs/>
          <w:sz w:val="22"/>
          <w:szCs w:val="22"/>
          <w:lang w:eastAsia="hr-HR"/>
        </w:rPr>
        <w:t xml:space="preserve">8.         BROJ </w:t>
      </w:r>
      <w:r w:rsidRPr="004C25BD">
        <w:rPr>
          <w:b/>
          <w:bCs/>
          <w:sz w:val="22"/>
          <w:szCs w:val="22"/>
        </w:rPr>
        <w:t>PRVE DOZVOLE/ OBNOVE DOZVOLE</w:t>
      </w:r>
    </w:p>
    <w:p w:rsidR="004C25BD" w:rsidRPr="004C25BD" w:rsidRDefault="004C25BD" w:rsidP="004C25BD">
      <w:pPr>
        <w:jc w:val="both"/>
        <w:rPr>
          <w:sz w:val="22"/>
          <w:szCs w:val="22"/>
          <w:lang w:eastAsia="hr-HR"/>
        </w:rPr>
      </w:pPr>
    </w:p>
    <w:p w:rsidR="004C25BD" w:rsidRDefault="00AD5229" w:rsidP="004C25BD">
      <w:pPr>
        <w:jc w:val="both"/>
        <w:rPr>
          <w:bCs/>
          <w:sz w:val="22"/>
          <w:szCs w:val="22"/>
          <w:lang w:eastAsia="hr-HR"/>
        </w:rPr>
      </w:pPr>
      <w:r w:rsidRPr="00AD5229">
        <w:rPr>
          <w:bCs/>
          <w:sz w:val="22"/>
          <w:szCs w:val="22"/>
          <w:lang w:eastAsia="hr-HR"/>
        </w:rPr>
        <w:t>Tolura®, tableta, 20</w:t>
      </w:r>
      <w:r w:rsidR="000517E1">
        <w:rPr>
          <w:bCs/>
          <w:sz w:val="22"/>
          <w:szCs w:val="22"/>
          <w:lang w:eastAsia="hr-HR"/>
        </w:rPr>
        <w:t xml:space="preserve"> </w:t>
      </w:r>
      <w:r w:rsidRPr="00AD5229">
        <w:rPr>
          <w:bCs/>
          <w:sz w:val="22"/>
          <w:szCs w:val="22"/>
          <w:lang w:eastAsia="hr-HR"/>
        </w:rPr>
        <w:t xml:space="preserve">mg, blister, </w:t>
      </w:r>
      <w:r w:rsidR="00012322">
        <w:rPr>
          <w:bCs/>
          <w:sz w:val="22"/>
          <w:szCs w:val="22"/>
          <w:lang w:eastAsia="hr-HR"/>
        </w:rPr>
        <w:t>4x7</w:t>
      </w:r>
      <w:r w:rsidRPr="00AD5229">
        <w:rPr>
          <w:bCs/>
          <w:sz w:val="22"/>
          <w:szCs w:val="22"/>
          <w:lang w:eastAsia="hr-HR"/>
        </w:rPr>
        <w:t xml:space="preserve"> tableta</w:t>
      </w:r>
      <w:r>
        <w:rPr>
          <w:bCs/>
          <w:sz w:val="22"/>
          <w:szCs w:val="22"/>
          <w:lang w:eastAsia="hr-HR"/>
        </w:rPr>
        <w:t xml:space="preserve">: </w:t>
      </w:r>
      <w:r w:rsidR="00012322" w:rsidRPr="00012322">
        <w:rPr>
          <w:bCs/>
          <w:sz w:val="22"/>
          <w:szCs w:val="22"/>
          <w:lang w:eastAsia="hr-HR"/>
        </w:rPr>
        <w:t>2030/15/453 - 1636</w:t>
      </w:r>
    </w:p>
    <w:p w:rsidR="00AD5229" w:rsidRDefault="00AD5229" w:rsidP="004C25BD">
      <w:pPr>
        <w:jc w:val="both"/>
        <w:rPr>
          <w:rFonts w:ascii="TimesNewRoman" w:hAnsi="TimesNewRoman" w:cs="TimesNewRoman"/>
          <w:sz w:val="22"/>
          <w:szCs w:val="22"/>
          <w:lang w:val="en-US" w:eastAsia="sr-Latn-ME"/>
        </w:rPr>
      </w:pPr>
      <w:r>
        <w:rPr>
          <w:rFonts w:ascii="TimesNewRoman" w:hAnsi="TimesNewRoman" w:cs="TimesNewRoman"/>
          <w:sz w:val="22"/>
          <w:szCs w:val="22"/>
          <w:lang w:val="en-US" w:eastAsia="sr-Latn-ME"/>
        </w:rPr>
        <w:t>Tolura®, tableta, 40</w:t>
      </w:r>
      <w:r w:rsidR="000517E1">
        <w:rPr>
          <w:rFonts w:ascii="TimesNewRoman" w:hAnsi="TimesNewRoman" w:cs="TimesNewRoman"/>
          <w:sz w:val="22"/>
          <w:szCs w:val="22"/>
          <w:lang w:val="en-US" w:eastAsia="sr-Latn-ME"/>
        </w:rPr>
        <w:t xml:space="preserve"> </w:t>
      </w:r>
      <w:r>
        <w:rPr>
          <w:rFonts w:ascii="TimesNewRoman" w:hAnsi="TimesNewRoman" w:cs="TimesNewRoman"/>
          <w:sz w:val="22"/>
          <w:szCs w:val="22"/>
          <w:lang w:val="en-US" w:eastAsia="sr-Latn-ME"/>
        </w:rPr>
        <w:t xml:space="preserve">mg, blister, </w:t>
      </w:r>
      <w:r w:rsidR="00012322">
        <w:rPr>
          <w:rFonts w:ascii="TimesNewRoman" w:hAnsi="TimesNewRoman" w:cs="TimesNewRoman"/>
          <w:sz w:val="22"/>
          <w:szCs w:val="22"/>
          <w:lang w:val="en-US" w:eastAsia="sr-Latn-ME"/>
        </w:rPr>
        <w:t>4x7</w:t>
      </w:r>
      <w:r>
        <w:rPr>
          <w:rFonts w:ascii="TimesNewRoman" w:hAnsi="TimesNewRoman" w:cs="TimesNewRoman"/>
          <w:sz w:val="22"/>
          <w:szCs w:val="22"/>
          <w:lang w:val="en-US" w:eastAsia="sr-Latn-ME"/>
        </w:rPr>
        <w:t xml:space="preserve"> tableta</w:t>
      </w:r>
      <w:r w:rsidR="00012322">
        <w:rPr>
          <w:rFonts w:ascii="TimesNewRoman" w:hAnsi="TimesNewRoman" w:cs="TimesNewRoman"/>
          <w:sz w:val="22"/>
          <w:szCs w:val="22"/>
          <w:lang w:val="en-US" w:eastAsia="sr-Latn-ME"/>
        </w:rPr>
        <w:t>:</w:t>
      </w:r>
      <w:r w:rsidR="00EA2E3B">
        <w:rPr>
          <w:rFonts w:ascii="TimesNewRoman" w:hAnsi="TimesNewRoman" w:cs="TimesNewRoman"/>
          <w:sz w:val="22"/>
          <w:szCs w:val="22"/>
          <w:lang w:val="en-US" w:eastAsia="sr-Latn-ME"/>
        </w:rPr>
        <w:t xml:space="preserve"> </w:t>
      </w:r>
      <w:r w:rsidR="00EA2E3B" w:rsidRPr="00EA2E3B">
        <w:rPr>
          <w:rFonts w:ascii="TimesNewRoman" w:hAnsi="TimesNewRoman" w:cs="TimesNewRoman"/>
          <w:sz w:val="22"/>
          <w:szCs w:val="22"/>
          <w:lang w:val="en-US" w:eastAsia="sr-Latn-ME"/>
        </w:rPr>
        <w:t>2030/15/454 - 1637</w:t>
      </w:r>
    </w:p>
    <w:p w:rsidR="00AD5229" w:rsidRPr="00AD5229" w:rsidRDefault="00AD5229" w:rsidP="004C25BD">
      <w:pPr>
        <w:jc w:val="both"/>
        <w:rPr>
          <w:bCs/>
          <w:sz w:val="22"/>
          <w:szCs w:val="22"/>
          <w:lang w:eastAsia="hr-HR"/>
        </w:rPr>
      </w:pPr>
      <w:r>
        <w:rPr>
          <w:rFonts w:ascii="TimesNewRoman" w:hAnsi="TimesNewRoman" w:cs="TimesNewRoman"/>
          <w:sz w:val="22"/>
          <w:szCs w:val="22"/>
          <w:lang w:val="en-US" w:eastAsia="sr-Latn-ME"/>
        </w:rPr>
        <w:lastRenderedPageBreak/>
        <w:t>Tolura®, tableta, 80</w:t>
      </w:r>
      <w:r w:rsidR="000517E1">
        <w:rPr>
          <w:rFonts w:ascii="TimesNewRoman" w:hAnsi="TimesNewRoman" w:cs="TimesNewRoman"/>
          <w:sz w:val="22"/>
          <w:szCs w:val="22"/>
          <w:lang w:val="en-US" w:eastAsia="sr-Latn-ME"/>
        </w:rPr>
        <w:t xml:space="preserve"> </w:t>
      </w:r>
      <w:r>
        <w:rPr>
          <w:rFonts w:ascii="TimesNewRoman" w:hAnsi="TimesNewRoman" w:cs="TimesNewRoman"/>
          <w:sz w:val="22"/>
          <w:szCs w:val="22"/>
          <w:lang w:val="en-US" w:eastAsia="sr-Latn-ME"/>
        </w:rPr>
        <w:t xml:space="preserve">mg, blister, </w:t>
      </w:r>
      <w:r w:rsidR="00012322">
        <w:rPr>
          <w:rFonts w:ascii="TimesNewRoman" w:hAnsi="TimesNewRoman" w:cs="TimesNewRoman"/>
          <w:sz w:val="22"/>
          <w:szCs w:val="22"/>
          <w:lang w:val="en-US" w:eastAsia="sr-Latn-ME"/>
        </w:rPr>
        <w:t>4x7</w:t>
      </w:r>
      <w:r>
        <w:rPr>
          <w:rFonts w:ascii="TimesNewRoman" w:hAnsi="TimesNewRoman" w:cs="TimesNewRoman"/>
          <w:sz w:val="22"/>
          <w:szCs w:val="22"/>
          <w:lang w:val="en-US" w:eastAsia="sr-Latn-ME"/>
        </w:rPr>
        <w:t xml:space="preserve"> tableta</w:t>
      </w:r>
      <w:r w:rsidR="00012322">
        <w:rPr>
          <w:rFonts w:ascii="TimesNewRoman" w:hAnsi="TimesNewRoman" w:cs="TimesNewRoman"/>
          <w:sz w:val="22"/>
          <w:szCs w:val="22"/>
          <w:lang w:val="en-US" w:eastAsia="sr-Latn-ME"/>
        </w:rPr>
        <w:t xml:space="preserve">: </w:t>
      </w:r>
      <w:r w:rsidR="00EA2E3B" w:rsidRPr="00EA2E3B">
        <w:rPr>
          <w:rFonts w:ascii="TimesNewRoman" w:hAnsi="TimesNewRoman" w:cs="TimesNewRoman"/>
          <w:sz w:val="22"/>
          <w:szCs w:val="22"/>
          <w:lang w:val="en-US" w:eastAsia="sr-Latn-ME"/>
        </w:rPr>
        <w:t>2030/15/455 - 1638</w:t>
      </w:r>
    </w:p>
    <w:p w:rsidR="004C25BD" w:rsidRPr="004C25BD" w:rsidRDefault="004C25BD" w:rsidP="004C25BD">
      <w:pPr>
        <w:tabs>
          <w:tab w:val="left" w:pos="540"/>
          <w:tab w:val="left" w:pos="569"/>
        </w:tabs>
        <w:jc w:val="both"/>
        <w:rPr>
          <w:b/>
          <w:bCs/>
          <w:sz w:val="22"/>
          <w:szCs w:val="22"/>
        </w:rPr>
      </w:pPr>
      <w:r w:rsidRPr="004C25BD">
        <w:rPr>
          <w:b/>
          <w:bCs/>
          <w:sz w:val="22"/>
          <w:szCs w:val="22"/>
          <w:lang w:eastAsia="hr-HR"/>
        </w:rPr>
        <w:t xml:space="preserve">9.         DATUM </w:t>
      </w:r>
      <w:r w:rsidRPr="004C25BD">
        <w:rPr>
          <w:b/>
          <w:bCs/>
          <w:sz w:val="22"/>
          <w:szCs w:val="22"/>
        </w:rPr>
        <w:t>PRVE DOZVOLE/ DATUM OBNOVE DOZVOLE</w:t>
      </w:r>
    </w:p>
    <w:p w:rsidR="004C25BD" w:rsidRPr="004C25BD" w:rsidRDefault="004C25BD" w:rsidP="004C25BD">
      <w:pPr>
        <w:jc w:val="both"/>
        <w:rPr>
          <w:sz w:val="22"/>
          <w:szCs w:val="22"/>
          <w:lang w:eastAsia="hr-HR"/>
        </w:rPr>
      </w:pPr>
    </w:p>
    <w:p w:rsidR="00C0467B" w:rsidRDefault="00C0467B" w:rsidP="00C0467B">
      <w:pPr>
        <w:jc w:val="both"/>
        <w:rPr>
          <w:bCs/>
          <w:sz w:val="22"/>
          <w:szCs w:val="22"/>
          <w:lang w:eastAsia="hr-HR"/>
        </w:rPr>
      </w:pPr>
      <w:r w:rsidRPr="00AD5229">
        <w:rPr>
          <w:bCs/>
          <w:sz w:val="22"/>
          <w:szCs w:val="22"/>
          <w:lang w:eastAsia="hr-HR"/>
        </w:rPr>
        <w:t>Tolura®, tableta, 20</w:t>
      </w:r>
      <w:r w:rsidR="000517E1">
        <w:rPr>
          <w:bCs/>
          <w:sz w:val="22"/>
          <w:szCs w:val="22"/>
          <w:lang w:eastAsia="hr-HR"/>
        </w:rPr>
        <w:t xml:space="preserve"> </w:t>
      </w:r>
      <w:r w:rsidRPr="00AD5229">
        <w:rPr>
          <w:bCs/>
          <w:sz w:val="22"/>
          <w:szCs w:val="22"/>
          <w:lang w:eastAsia="hr-HR"/>
        </w:rPr>
        <w:t xml:space="preserve">mg, blister, </w:t>
      </w:r>
      <w:r>
        <w:rPr>
          <w:bCs/>
          <w:sz w:val="22"/>
          <w:szCs w:val="22"/>
          <w:lang w:eastAsia="hr-HR"/>
        </w:rPr>
        <w:t>4x7</w:t>
      </w:r>
      <w:r w:rsidRPr="00AD5229">
        <w:rPr>
          <w:bCs/>
          <w:sz w:val="22"/>
          <w:szCs w:val="22"/>
          <w:lang w:eastAsia="hr-HR"/>
        </w:rPr>
        <w:t xml:space="preserve"> tableta</w:t>
      </w:r>
      <w:r>
        <w:rPr>
          <w:bCs/>
          <w:sz w:val="22"/>
          <w:szCs w:val="22"/>
          <w:lang w:eastAsia="hr-HR"/>
        </w:rPr>
        <w:t xml:space="preserve">: </w:t>
      </w:r>
      <w:r w:rsidRPr="00C0467B">
        <w:rPr>
          <w:bCs/>
          <w:sz w:val="22"/>
          <w:szCs w:val="22"/>
          <w:lang w:eastAsia="hr-HR"/>
        </w:rPr>
        <w:t>03.12.2015. godine</w:t>
      </w:r>
    </w:p>
    <w:p w:rsidR="00C0467B" w:rsidRDefault="00C0467B" w:rsidP="00C0467B">
      <w:pPr>
        <w:jc w:val="both"/>
        <w:rPr>
          <w:rFonts w:ascii="TimesNewRoman" w:hAnsi="TimesNewRoman" w:cs="TimesNewRoman"/>
          <w:sz w:val="22"/>
          <w:szCs w:val="22"/>
          <w:lang w:val="en-US" w:eastAsia="sr-Latn-ME"/>
        </w:rPr>
      </w:pPr>
      <w:r>
        <w:rPr>
          <w:rFonts w:ascii="TimesNewRoman" w:hAnsi="TimesNewRoman" w:cs="TimesNewRoman"/>
          <w:sz w:val="22"/>
          <w:szCs w:val="22"/>
          <w:lang w:val="en-US" w:eastAsia="sr-Latn-ME"/>
        </w:rPr>
        <w:t>Tolura®, tableta, 40</w:t>
      </w:r>
      <w:r w:rsidR="000517E1">
        <w:rPr>
          <w:rFonts w:ascii="TimesNewRoman" w:hAnsi="TimesNewRoman" w:cs="TimesNewRoman"/>
          <w:sz w:val="22"/>
          <w:szCs w:val="22"/>
          <w:lang w:val="en-US" w:eastAsia="sr-Latn-ME"/>
        </w:rPr>
        <w:t xml:space="preserve"> </w:t>
      </w:r>
      <w:r>
        <w:rPr>
          <w:rFonts w:ascii="TimesNewRoman" w:hAnsi="TimesNewRoman" w:cs="TimesNewRoman"/>
          <w:sz w:val="22"/>
          <w:szCs w:val="22"/>
          <w:lang w:val="en-US" w:eastAsia="sr-Latn-ME"/>
        </w:rPr>
        <w:t xml:space="preserve">mg, blister, 4x7 tableta: </w:t>
      </w:r>
      <w:r w:rsidRPr="00C0467B">
        <w:rPr>
          <w:rFonts w:ascii="TimesNewRoman" w:hAnsi="TimesNewRoman" w:cs="TimesNewRoman"/>
          <w:sz w:val="22"/>
          <w:szCs w:val="22"/>
          <w:lang w:val="en-US" w:eastAsia="sr-Latn-ME"/>
        </w:rPr>
        <w:t>03.12.2015. godine</w:t>
      </w:r>
    </w:p>
    <w:p w:rsidR="00C0467B" w:rsidRPr="00AD5229" w:rsidRDefault="00C0467B" w:rsidP="00C0467B">
      <w:pPr>
        <w:jc w:val="both"/>
        <w:rPr>
          <w:bCs/>
          <w:sz w:val="22"/>
          <w:szCs w:val="22"/>
          <w:lang w:eastAsia="hr-HR"/>
        </w:rPr>
      </w:pPr>
      <w:r>
        <w:rPr>
          <w:rFonts w:ascii="TimesNewRoman" w:hAnsi="TimesNewRoman" w:cs="TimesNewRoman"/>
          <w:sz w:val="22"/>
          <w:szCs w:val="22"/>
          <w:lang w:val="en-US" w:eastAsia="sr-Latn-ME"/>
        </w:rPr>
        <w:t>Tolura®, tableta, 80</w:t>
      </w:r>
      <w:r w:rsidR="000517E1">
        <w:rPr>
          <w:rFonts w:ascii="TimesNewRoman" w:hAnsi="TimesNewRoman" w:cs="TimesNewRoman"/>
          <w:sz w:val="22"/>
          <w:szCs w:val="22"/>
          <w:lang w:val="en-US" w:eastAsia="sr-Latn-ME"/>
        </w:rPr>
        <w:t xml:space="preserve"> </w:t>
      </w:r>
      <w:r>
        <w:rPr>
          <w:rFonts w:ascii="TimesNewRoman" w:hAnsi="TimesNewRoman" w:cs="TimesNewRoman"/>
          <w:sz w:val="22"/>
          <w:szCs w:val="22"/>
          <w:lang w:val="en-US" w:eastAsia="sr-Latn-ME"/>
        </w:rPr>
        <w:t xml:space="preserve">mg, blister, 4x7 tableta: </w:t>
      </w:r>
      <w:r w:rsidRPr="00C0467B">
        <w:rPr>
          <w:rFonts w:ascii="TimesNewRoman" w:hAnsi="TimesNewRoman" w:cs="TimesNewRoman"/>
          <w:sz w:val="22"/>
          <w:szCs w:val="22"/>
          <w:lang w:val="en-US" w:eastAsia="sr-Latn-ME"/>
        </w:rPr>
        <w:t>03.12.2015. godine</w:t>
      </w:r>
    </w:p>
    <w:p w:rsidR="004C25BD" w:rsidRPr="004C25BD" w:rsidRDefault="004C25BD" w:rsidP="004C25BD">
      <w:pPr>
        <w:jc w:val="both"/>
        <w:rPr>
          <w:b/>
          <w:bCs/>
          <w:sz w:val="22"/>
          <w:szCs w:val="22"/>
          <w:lang w:eastAsia="hr-HR"/>
        </w:rPr>
      </w:pPr>
    </w:p>
    <w:p w:rsidR="004C25BD" w:rsidRPr="004C25BD" w:rsidRDefault="004C25BD" w:rsidP="004C25BD">
      <w:pPr>
        <w:jc w:val="both"/>
        <w:rPr>
          <w:b/>
          <w:bCs/>
          <w:sz w:val="22"/>
          <w:szCs w:val="22"/>
          <w:lang w:eastAsia="hr-HR"/>
        </w:rPr>
      </w:pPr>
    </w:p>
    <w:p w:rsidR="004C25BD" w:rsidRPr="004C25BD" w:rsidRDefault="004C25BD" w:rsidP="004C25BD">
      <w:pPr>
        <w:tabs>
          <w:tab w:val="left" w:pos="540"/>
          <w:tab w:val="left" w:pos="569"/>
        </w:tabs>
        <w:ind w:left="540" w:hanging="540"/>
        <w:jc w:val="both"/>
        <w:rPr>
          <w:b/>
          <w:bCs/>
          <w:sz w:val="22"/>
          <w:szCs w:val="22"/>
        </w:rPr>
      </w:pPr>
      <w:r w:rsidRPr="004C25BD">
        <w:rPr>
          <w:b/>
          <w:bCs/>
          <w:sz w:val="22"/>
          <w:szCs w:val="22"/>
          <w:lang w:eastAsia="hr-HR"/>
        </w:rPr>
        <w:t xml:space="preserve">10.  DATUM </w:t>
      </w:r>
      <w:r w:rsidRPr="004C25BD">
        <w:rPr>
          <w:b/>
          <w:bCs/>
          <w:sz w:val="22"/>
          <w:szCs w:val="22"/>
        </w:rPr>
        <w:t>POSLEDNJE REVIZIJE TEKSTA SAŽETKA OSNOVNIH KARAKTERISTIKA LIJEKA</w:t>
      </w:r>
    </w:p>
    <w:p w:rsidR="004C25BD" w:rsidRPr="004C25BD" w:rsidRDefault="004C25BD" w:rsidP="004C25BD">
      <w:pPr>
        <w:jc w:val="both"/>
        <w:rPr>
          <w:sz w:val="22"/>
          <w:szCs w:val="22"/>
          <w:lang w:eastAsia="hr-HR"/>
        </w:rPr>
      </w:pPr>
    </w:p>
    <w:p w:rsidR="004C25BD" w:rsidRPr="00007C28" w:rsidRDefault="00007C28" w:rsidP="004C25BD">
      <w:pPr>
        <w:jc w:val="both"/>
        <w:rPr>
          <w:bCs/>
          <w:sz w:val="22"/>
          <w:szCs w:val="22"/>
          <w:lang w:eastAsia="hr-HR"/>
        </w:rPr>
      </w:pPr>
      <w:r>
        <w:rPr>
          <w:bCs/>
          <w:sz w:val="22"/>
          <w:szCs w:val="22"/>
          <w:lang w:eastAsia="hr-HR"/>
        </w:rPr>
        <w:t>Decembar, 2015.</w:t>
      </w:r>
      <w:r w:rsidR="00C53057">
        <w:rPr>
          <w:bCs/>
          <w:sz w:val="22"/>
          <w:szCs w:val="22"/>
          <w:lang w:eastAsia="hr-HR"/>
        </w:rPr>
        <w:t xml:space="preserve"> godine</w:t>
      </w:r>
    </w:p>
    <w:sectPr w:rsidR="004C25BD" w:rsidRPr="00007C28" w:rsidSect="00B86396">
      <w:headerReference w:type="default" r:id="rId10"/>
      <w:footerReference w:type="even" r:id="rId11"/>
      <w:footerReference w:type="default" r:id="rId12"/>
      <w:headerReference w:type="first" r:id="rId13"/>
      <w:footerReference w:type="first" r:id="rId14"/>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F1B" w:rsidRDefault="002A0F1B">
      <w:r>
        <w:separator/>
      </w:r>
    </w:p>
  </w:endnote>
  <w:endnote w:type="continuationSeparator" w:id="0">
    <w:p w:rsidR="002A0F1B" w:rsidRDefault="002A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EE"/>
    <w:family w:val="swiss"/>
    <w:pitch w:val="variable"/>
    <w:sig w:usb0="00000007" w:usb1="00000000" w:usb2="00000000" w:usb3="00000000" w:csb0="00000093" w:csb1="00000000"/>
  </w:font>
  <w:font w:name="Humanist777">
    <w:altName w:val="Times New Roman"/>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2D3D" w:rsidRDefault="00C62D3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p>
  <w:p w:rsidR="00C62D3D" w:rsidRDefault="00C62D3D" w:rsidP="00F96E5A">
    <w:pPr>
      <w:pStyle w:val="Header"/>
      <w:pBdr>
        <w:top w:val="thinThickSmallGap" w:sz="24" w:space="1" w:color="auto"/>
      </w:pBdr>
      <w:jc w:val="center"/>
    </w:pPr>
  </w:p>
  <w:p w:rsidR="00C62D3D" w:rsidRPr="00743A79" w:rsidRDefault="00C62D3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C62D3D" w:rsidRDefault="00C62D3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C62D3D" w:rsidRDefault="00C62D3D" w:rsidP="00756FDD">
    <w:pPr>
      <w:pStyle w:val="Footer"/>
      <w:jc w:val="center"/>
      <w:rPr>
        <w:sz w:val="16"/>
        <w:szCs w:val="18"/>
      </w:rPr>
    </w:pPr>
  </w:p>
  <w:p w:rsidR="00C62D3D" w:rsidRDefault="00C62D3D" w:rsidP="002F3E4D">
    <w:pPr>
      <w:pStyle w:val="Header"/>
    </w:pPr>
  </w:p>
  <w:p w:rsidR="00C62D3D" w:rsidRPr="00F96E5A" w:rsidRDefault="00C62D3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9D438B">
      <w:rPr>
        <w:rStyle w:val="PageNumber"/>
        <w:noProof/>
      </w:rPr>
      <w:t>17</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9D438B">
      <w:rPr>
        <w:rStyle w:val="PageNumber"/>
        <w:noProof/>
      </w:rPr>
      <w:t>18</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F1B" w:rsidRDefault="002A0F1B">
      <w:r>
        <w:separator/>
      </w:r>
    </w:p>
  </w:footnote>
  <w:footnote w:type="continuationSeparator" w:id="0">
    <w:p w:rsidR="002A0F1B" w:rsidRDefault="002A0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615ADD">
    <w:pPr>
      <w:pStyle w:val="Header"/>
      <w:rPr>
        <w:sz w:val="16"/>
        <w:szCs w:val="16"/>
      </w:rPr>
    </w:pPr>
  </w:p>
  <w:p w:rsidR="00C62D3D" w:rsidRDefault="00C62D3D" w:rsidP="00471E3E">
    <w:pPr>
      <w:pStyle w:val="Header"/>
      <w:pBdr>
        <w:top w:val="thinThickSmallGap" w:sz="24" w:space="2" w:color="auto"/>
      </w:pBdr>
      <w:rPr>
        <w:sz w:val="16"/>
        <w:szCs w:val="16"/>
      </w:rPr>
    </w:pPr>
    <w:r>
      <w:rPr>
        <w:noProof/>
        <w:sz w:val="16"/>
        <w:szCs w:val="16"/>
        <w:lang w:val="en-US"/>
      </w:rPr>
      <w:drawing>
        <wp:inline distT="0" distB="0" distL="0" distR="0" wp14:anchorId="7662147A" wp14:editId="2BB87945">
          <wp:extent cx="1419225" cy="971550"/>
          <wp:effectExtent l="0" t="0" r="9525" b="0"/>
          <wp:docPr id="5" name="Picture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C62D3D" w:rsidRPr="00615ADD" w:rsidRDefault="00C62D3D"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pPr>
      <w:pStyle w:val="Header"/>
      <w:rPr>
        <w:sz w:val="16"/>
        <w:szCs w:val="16"/>
      </w:rPr>
    </w:pPr>
    <w:r>
      <w:rPr>
        <w:noProof/>
        <w:sz w:val="16"/>
        <w:szCs w:val="16"/>
        <w:lang w:val="en-US"/>
      </w:rPr>
      <w:drawing>
        <wp:inline distT="0" distB="0" distL="0" distR="0" wp14:anchorId="73B67383" wp14:editId="397A5802">
          <wp:extent cx="144780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C62D3D" w:rsidRDefault="00C62D3D">
    <w:pPr>
      <w:pStyle w:val="Header"/>
      <w:rPr>
        <w:sz w:val="16"/>
        <w:szCs w:val="16"/>
      </w:rPr>
    </w:pPr>
  </w:p>
  <w:p w:rsidR="00C62D3D" w:rsidRDefault="00C62D3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2"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5"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6"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7" w15:restartNumberingAfterBreak="0">
    <w:nsid w:val="02187D23"/>
    <w:multiLevelType w:val="hybridMultilevel"/>
    <w:tmpl w:val="0812D922"/>
    <w:lvl w:ilvl="0" w:tplc="6EAE79E4">
      <w:start w:val="1"/>
      <w:numFmt w:val="decimal"/>
      <w:lvlText w:val="%1."/>
      <w:lvlJc w:val="left"/>
      <w:pPr>
        <w:ind w:hanging="567"/>
      </w:pPr>
      <w:rPr>
        <w:rFonts w:ascii="Times New Roman" w:eastAsia="Times New Roman" w:hAnsi="Times New Roman" w:hint="default"/>
        <w:sz w:val="22"/>
        <w:szCs w:val="22"/>
      </w:rPr>
    </w:lvl>
    <w:lvl w:ilvl="1" w:tplc="BA82BD1A">
      <w:start w:val="1"/>
      <w:numFmt w:val="bullet"/>
      <w:lvlText w:val="•"/>
      <w:lvlJc w:val="left"/>
      <w:rPr>
        <w:rFonts w:hint="default"/>
      </w:rPr>
    </w:lvl>
    <w:lvl w:ilvl="2" w:tplc="00C02F36">
      <w:start w:val="1"/>
      <w:numFmt w:val="bullet"/>
      <w:lvlText w:val="•"/>
      <w:lvlJc w:val="left"/>
      <w:rPr>
        <w:rFonts w:hint="default"/>
      </w:rPr>
    </w:lvl>
    <w:lvl w:ilvl="3" w:tplc="B23AF7A8">
      <w:start w:val="1"/>
      <w:numFmt w:val="bullet"/>
      <w:lvlText w:val="•"/>
      <w:lvlJc w:val="left"/>
      <w:rPr>
        <w:rFonts w:hint="default"/>
      </w:rPr>
    </w:lvl>
    <w:lvl w:ilvl="4" w:tplc="B2248EAC">
      <w:start w:val="1"/>
      <w:numFmt w:val="bullet"/>
      <w:lvlText w:val="•"/>
      <w:lvlJc w:val="left"/>
      <w:rPr>
        <w:rFonts w:hint="default"/>
      </w:rPr>
    </w:lvl>
    <w:lvl w:ilvl="5" w:tplc="0404735C">
      <w:start w:val="1"/>
      <w:numFmt w:val="bullet"/>
      <w:lvlText w:val="•"/>
      <w:lvlJc w:val="left"/>
      <w:rPr>
        <w:rFonts w:hint="default"/>
      </w:rPr>
    </w:lvl>
    <w:lvl w:ilvl="6" w:tplc="34B8D4BA">
      <w:start w:val="1"/>
      <w:numFmt w:val="bullet"/>
      <w:lvlText w:val="•"/>
      <w:lvlJc w:val="left"/>
      <w:rPr>
        <w:rFonts w:hint="default"/>
      </w:rPr>
    </w:lvl>
    <w:lvl w:ilvl="7" w:tplc="67D4C30E">
      <w:start w:val="1"/>
      <w:numFmt w:val="bullet"/>
      <w:lvlText w:val="•"/>
      <w:lvlJc w:val="left"/>
      <w:rPr>
        <w:rFonts w:hint="default"/>
      </w:rPr>
    </w:lvl>
    <w:lvl w:ilvl="8" w:tplc="6C6245A4">
      <w:start w:val="1"/>
      <w:numFmt w:val="bullet"/>
      <w:lvlText w:val="•"/>
      <w:lvlJc w:val="left"/>
      <w:rPr>
        <w:rFonts w:hint="default"/>
      </w:rPr>
    </w:lvl>
  </w:abstractNum>
  <w:abstractNum w:abstractNumId="8"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9" w15:restartNumberingAfterBreak="0">
    <w:nsid w:val="08C6367E"/>
    <w:multiLevelType w:val="hybridMultilevel"/>
    <w:tmpl w:val="67BC274E"/>
    <w:lvl w:ilvl="0" w:tplc="3BF0B892">
      <w:start w:val="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09970FCE"/>
    <w:multiLevelType w:val="hybridMultilevel"/>
    <w:tmpl w:val="F05A5874"/>
    <w:lvl w:ilvl="0" w:tplc="F70085AC">
      <w:start w:val="1"/>
      <w:numFmt w:val="decimal"/>
      <w:lvlText w:val="%1."/>
      <w:lvlJc w:val="left"/>
      <w:pPr>
        <w:ind w:hanging="567"/>
      </w:pPr>
      <w:rPr>
        <w:rFonts w:ascii="Times New Roman" w:eastAsia="Times New Roman" w:hAnsi="Times New Roman" w:hint="default"/>
        <w:b/>
        <w:bCs/>
        <w:sz w:val="22"/>
        <w:szCs w:val="22"/>
      </w:rPr>
    </w:lvl>
    <w:lvl w:ilvl="1" w:tplc="C0FAEAA8">
      <w:start w:val="1"/>
      <w:numFmt w:val="bullet"/>
      <w:lvlText w:val="•"/>
      <w:lvlJc w:val="left"/>
      <w:rPr>
        <w:rFonts w:hint="default"/>
      </w:rPr>
    </w:lvl>
    <w:lvl w:ilvl="2" w:tplc="F1C84DEA">
      <w:start w:val="1"/>
      <w:numFmt w:val="bullet"/>
      <w:lvlText w:val="•"/>
      <w:lvlJc w:val="left"/>
      <w:rPr>
        <w:rFonts w:hint="default"/>
      </w:rPr>
    </w:lvl>
    <w:lvl w:ilvl="3" w:tplc="8B68AAB0">
      <w:start w:val="1"/>
      <w:numFmt w:val="bullet"/>
      <w:lvlText w:val="•"/>
      <w:lvlJc w:val="left"/>
      <w:rPr>
        <w:rFonts w:hint="default"/>
      </w:rPr>
    </w:lvl>
    <w:lvl w:ilvl="4" w:tplc="A9B88F5C">
      <w:start w:val="1"/>
      <w:numFmt w:val="bullet"/>
      <w:lvlText w:val="•"/>
      <w:lvlJc w:val="left"/>
      <w:rPr>
        <w:rFonts w:hint="default"/>
      </w:rPr>
    </w:lvl>
    <w:lvl w:ilvl="5" w:tplc="23A8293E">
      <w:start w:val="1"/>
      <w:numFmt w:val="bullet"/>
      <w:lvlText w:val="•"/>
      <w:lvlJc w:val="left"/>
      <w:rPr>
        <w:rFonts w:hint="default"/>
      </w:rPr>
    </w:lvl>
    <w:lvl w:ilvl="6" w:tplc="9E44242A">
      <w:start w:val="1"/>
      <w:numFmt w:val="bullet"/>
      <w:lvlText w:val="•"/>
      <w:lvlJc w:val="left"/>
      <w:rPr>
        <w:rFonts w:hint="default"/>
      </w:rPr>
    </w:lvl>
    <w:lvl w:ilvl="7" w:tplc="A34AC4CA">
      <w:start w:val="1"/>
      <w:numFmt w:val="bullet"/>
      <w:lvlText w:val="•"/>
      <w:lvlJc w:val="left"/>
      <w:rPr>
        <w:rFonts w:hint="default"/>
      </w:rPr>
    </w:lvl>
    <w:lvl w:ilvl="8" w:tplc="1F22ABEC">
      <w:start w:val="1"/>
      <w:numFmt w:val="bullet"/>
      <w:lvlText w:val="•"/>
      <w:lvlJc w:val="left"/>
      <w:rPr>
        <w:rFonts w:hint="default"/>
      </w:rPr>
    </w:lvl>
  </w:abstractNum>
  <w:abstractNum w:abstractNumId="11" w15:restartNumberingAfterBreak="0">
    <w:nsid w:val="0A6C7F5B"/>
    <w:multiLevelType w:val="hybridMultilevel"/>
    <w:tmpl w:val="B4D49E28"/>
    <w:lvl w:ilvl="0" w:tplc="CDEE9806">
      <w:start w:val="1"/>
      <w:numFmt w:val="bullet"/>
      <w:lvlText w:val=""/>
      <w:lvlJc w:val="left"/>
      <w:pPr>
        <w:ind w:left="686" w:hanging="568"/>
      </w:pPr>
      <w:rPr>
        <w:rFonts w:ascii="Symbol" w:eastAsia="Symbol" w:hAnsi="Symbol" w:hint="default"/>
        <w:w w:val="76"/>
        <w:sz w:val="22"/>
        <w:szCs w:val="22"/>
      </w:rPr>
    </w:lvl>
    <w:lvl w:ilvl="1" w:tplc="8E0E1D3C">
      <w:start w:val="1"/>
      <w:numFmt w:val="bullet"/>
      <w:lvlText w:val=""/>
      <w:lvlJc w:val="left"/>
      <w:pPr>
        <w:ind w:left="685" w:hanging="208"/>
      </w:pPr>
      <w:rPr>
        <w:rFonts w:ascii="Symbol" w:eastAsia="Symbol" w:hAnsi="Symbol" w:hint="default"/>
        <w:w w:val="76"/>
        <w:sz w:val="22"/>
        <w:szCs w:val="22"/>
      </w:rPr>
    </w:lvl>
    <w:lvl w:ilvl="2" w:tplc="08FA9D70">
      <w:start w:val="1"/>
      <w:numFmt w:val="bullet"/>
      <w:lvlText w:val="•"/>
      <w:lvlJc w:val="left"/>
      <w:pPr>
        <w:ind w:left="826" w:hanging="208"/>
      </w:pPr>
      <w:rPr>
        <w:rFonts w:hint="default"/>
      </w:rPr>
    </w:lvl>
    <w:lvl w:ilvl="3" w:tplc="457400C2">
      <w:start w:val="1"/>
      <w:numFmt w:val="bullet"/>
      <w:lvlText w:val="•"/>
      <w:lvlJc w:val="left"/>
      <w:pPr>
        <w:ind w:left="1871" w:hanging="208"/>
      </w:pPr>
      <w:rPr>
        <w:rFonts w:hint="default"/>
      </w:rPr>
    </w:lvl>
    <w:lvl w:ilvl="4" w:tplc="5AD874C8">
      <w:start w:val="1"/>
      <w:numFmt w:val="bullet"/>
      <w:lvlText w:val="•"/>
      <w:lvlJc w:val="left"/>
      <w:pPr>
        <w:ind w:left="2915" w:hanging="208"/>
      </w:pPr>
      <w:rPr>
        <w:rFonts w:hint="default"/>
      </w:rPr>
    </w:lvl>
    <w:lvl w:ilvl="5" w:tplc="91C22E50">
      <w:start w:val="1"/>
      <w:numFmt w:val="bullet"/>
      <w:lvlText w:val="•"/>
      <w:lvlJc w:val="left"/>
      <w:pPr>
        <w:ind w:left="3960" w:hanging="208"/>
      </w:pPr>
      <w:rPr>
        <w:rFonts w:hint="default"/>
      </w:rPr>
    </w:lvl>
    <w:lvl w:ilvl="6" w:tplc="FF0C1420">
      <w:start w:val="1"/>
      <w:numFmt w:val="bullet"/>
      <w:lvlText w:val="•"/>
      <w:lvlJc w:val="left"/>
      <w:pPr>
        <w:ind w:left="5005" w:hanging="208"/>
      </w:pPr>
      <w:rPr>
        <w:rFonts w:hint="default"/>
      </w:rPr>
    </w:lvl>
    <w:lvl w:ilvl="7" w:tplc="7E26F0A8">
      <w:start w:val="1"/>
      <w:numFmt w:val="bullet"/>
      <w:lvlText w:val="•"/>
      <w:lvlJc w:val="left"/>
      <w:pPr>
        <w:ind w:left="6050" w:hanging="208"/>
      </w:pPr>
      <w:rPr>
        <w:rFonts w:hint="default"/>
      </w:rPr>
    </w:lvl>
    <w:lvl w:ilvl="8" w:tplc="1752E358">
      <w:start w:val="1"/>
      <w:numFmt w:val="bullet"/>
      <w:lvlText w:val="•"/>
      <w:lvlJc w:val="left"/>
      <w:pPr>
        <w:ind w:left="7094" w:hanging="208"/>
      </w:pPr>
      <w:rPr>
        <w:rFonts w:hint="default"/>
      </w:rPr>
    </w:lvl>
  </w:abstractNum>
  <w:abstractNum w:abstractNumId="12" w15:restartNumberingAfterBreak="0">
    <w:nsid w:val="0AE77CEF"/>
    <w:multiLevelType w:val="hybridMultilevel"/>
    <w:tmpl w:val="67CA33D4"/>
    <w:lvl w:ilvl="0" w:tplc="9B72D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FC7BEC"/>
    <w:multiLevelType w:val="hybridMultilevel"/>
    <w:tmpl w:val="C1CE7FE8"/>
    <w:lvl w:ilvl="0" w:tplc="856050CA">
      <w:start w:val="1"/>
      <w:numFmt w:val="decimal"/>
      <w:lvlText w:val="%1."/>
      <w:lvlJc w:val="left"/>
      <w:pPr>
        <w:ind w:hanging="567"/>
      </w:pPr>
      <w:rPr>
        <w:rFonts w:ascii="Times New Roman" w:eastAsia="Times New Roman" w:hAnsi="Times New Roman" w:hint="default"/>
        <w:b/>
        <w:bCs/>
        <w:sz w:val="22"/>
        <w:szCs w:val="22"/>
      </w:rPr>
    </w:lvl>
    <w:lvl w:ilvl="1" w:tplc="C148947E">
      <w:start w:val="1"/>
      <w:numFmt w:val="bullet"/>
      <w:lvlText w:val="•"/>
      <w:lvlJc w:val="left"/>
      <w:rPr>
        <w:rFonts w:hint="default"/>
      </w:rPr>
    </w:lvl>
    <w:lvl w:ilvl="2" w:tplc="0A0CC5BA">
      <w:start w:val="1"/>
      <w:numFmt w:val="bullet"/>
      <w:lvlText w:val="•"/>
      <w:lvlJc w:val="left"/>
      <w:rPr>
        <w:rFonts w:hint="default"/>
      </w:rPr>
    </w:lvl>
    <w:lvl w:ilvl="3" w:tplc="E86C27C0">
      <w:start w:val="1"/>
      <w:numFmt w:val="bullet"/>
      <w:lvlText w:val="•"/>
      <w:lvlJc w:val="left"/>
      <w:rPr>
        <w:rFonts w:hint="default"/>
      </w:rPr>
    </w:lvl>
    <w:lvl w:ilvl="4" w:tplc="3A9AAC74">
      <w:start w:val="1"/>
      <w:numFmt w:val="bullet"/>
      <w:lvlText w:val="•"/>
      <w:lvlJc w:val="left"/>
      <w:rPr>
        <w:rFonts w:hint="default"/>
      </w:rPr>
    </w:lvl>
    <w:lvl w:ilvl="5" w:tplc="8662CB6C">
      <w:start w:val="1"/>
      <w:numFmt w:val="bullet"/>
      <w:lvlText w:val="•"/>
      <w:lvlJc w:val="left"/>
      <w:rPr>
        <w:rFonts w:hint="default"/>
      </w:rPr>
    </w:lvl>
    <w:lvl w:ilvl="6" w:tplc="896EBD42">
      <w:start w:val="1"/>
      <w:numFmt w:val="bullet"/>
      <w:lvlText w:val="•"/>
      <w:lvlJc w:val="left"/>
      <w:rPr>
        <w:rFonts w:hint="default"/>
      </w:rPr>
    </w:lvl>
    <w:lvl w:ilvl="7" w:tplc="1BA27FF4">
      <w:start w:val="1"/>
      <w:numFmt w:val="bullet"/>
      <w:lvlText w:val="•"/>
      <w:lvlJc w:val="left"/>
      <w:rPr>
        <w:rFonts w:hint="default"/>
      </w:rPr>
    </w:lvl>
    <w:lvl w:ilvl="8" w:tplc="12E06B62">
      <w:start w:val="1"/>
      <w:numFmt w:val="bullet"/>
      <w:lvlText w:val="•"/>
      <w:lvlJc w:val="left"/>
      <w:rPr>
        <w:rFonts w:hint="default"/>
      </w:rPr>
    </w:lvl>
  </w:abstractNum>
  <w:abstractNum w:abstractNumId="14"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CEC684D"/>
    <w:multiLevelType w:val="hybridMultilevel"/>
    <w:tmpl w:val="612C44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015377B"/>
    <w:multiLevelType w:val="hybridMultilevel"/>
    <w:tmpl w:val="5C7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F37D88"/>
    <w:multiLevelType w:val="hybridMultilevel"/>
    <w:tmpl w:val="188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12CE204D"/>
    <w:multiLevelType w:val="multilevel"/>
    <w:tmpl w:val="8A08F048"/>
    <w:lvl w:ilvl="0">
      <w:start w:val="1"/>
      <w:numFmt w:val="decimal"/>
      <w:lvlText w:val="%1."/>
      <w:lvlJc w:val="left"/>
      <w:pPr>
        <w:ind w:hanging="567"/>
        <w:jc w:val="right"/>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decimal"/>
      <w:lvlText w:val="(%3)"/>
      <w:lvlJc w:val="left"/>
      <w:pPr>
        <w:ind w:hanging="312"/>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3C1F07"/>
    <w:multiLevelType w:val="hybridMultilevel"/>
    <w:tmpl w:val="FC90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6B33B1"/>
    <w:multiLevelType w:val="hybridMultilevel"/>
    <w:tmpl w:val="875A2F06"/>
    <w:lvl w:ilvl="0" w:tplc="70C221FC">
      <w:start w:val="1"/>
      <w:numFmt w:val="upperLetter"/>
      <w:lvlText w:val="%1."/>
      <w:lvlJc w:val="left"/>
      <w:pPr>
        <w:ind w:hanging="711"/>
      </w:pPr>
      <w:rPr>
        <w:rFonts w:ascii="Times New Roman" w:eastAsia="Times New Roman" w:hAnsi="Times New Roman" w:hint="default"/>
        <w:b/>
        <w:bCs/>
        <w:spacing w:val="-2"/>
        <w:sz w:val="22"/>
        <w:szCs w:val="22"/>
      </w:rPr>
    </w:lvl>
    <w:lvl w:ilvl="1" w:tplc="42901B18">
      <w:start w:val="1"/>
      <w:numFmt w:val="bullet"/>
      <w:lvlText w:val="•"/>
      <w:lvlJc w:val="left"/>
      <w:rPr>
        <w:rFonts w:hint="default"/>
      </w:rPr>
    </w:lvl>
    <w:lvl w:ilvl="2" w:tplc="DA881C4A">
      <w:start w:val="1"/>
      <w:numFmt w:val="bullet"/>
      <w:lvlText w:val="•"/>
      <w:lvlJc w:val="left"/>
      <w:rPr>
        <w:rFonts w:hint="default"/>
      </w:rPr>
    </w:lvl>
    <w:lvl w:ilvl="3" w:tplc="98E61F1A">
      <w:start w:val="1"/>
      <w:numFmt w:val="bullet"/>
      <w:lvlText w:val="•"/>
      <w:lvlJc w:val="left"/>
      <w:rPr>
        <w:rFonts w:hint="default"/>
      </w:rPr>
    </w:lvl>
    <w:lvl w:ilvl="4" w:tplc="8EDABCEC">
      <w:start w:val="1"/>
      <w:numFmt w:val="bullet"/>
      <w:lvlText w:val="•"/>
      <w:lvlJc w:val="left"/>
      <w:rPr>
        <w:rFonts w:hint="default"/>
      </w:rPr>
    </w:lvl>
    <w:lvl w:ilvl="5" w:tplc="2A10F0EC">
      <w:start w:val="1"/>
      <w:numFmt w:val="bullet"/>
      <w:lvlText w:val="•"/>
      <w:lvlJc w:val="left"/>
      <w:rPr>
        <w:rFonts w:hint="default"/>
      </w:rPr>
    </w:lvl>
    <w:lvl w:ilvl="6" w:tplc="10D64A68">
      <w:start w:val="1"/>
      <w:numFmt w:val="bullet"/>
      <w:lvlText w:val="•"/>
      <w:lvlJc w:val="left"/>
      <w:rPr>
        <w:rFonts w:hint="default"/>
      </w:rPr>
    </w:lvl>
    <w:lvl w:ilvl="7" w:tplc="C61CB07E">
      <w:start w:val="1"/>
      <w:numFmt w:val="bullet"/>
      <w:lvlText w:val="•"/>
      <w:lvlJc w:val="left"/>
      <w:rPr>
        <w:rFonts w:hint="default"/>
      </w:rPr>
    </w:lvl>
    <w:lvl w:ilvl="8" w:tplc="8634204E">
      <w:start w:val="1"/>
      <w:numFmt w:val="bullet"/>
      <w:lvlText w:val="•"/>
      <w:lvlJc w:val="left"/>
      <w:rPr>
        <w:rFonts w:hint="default"/>
      </w:rPr>
    </w:lvl>
  </w:abstractNum>
  <w:abstractNum w:abstractNumId="24" w15:restartNumberingAfterBreak="0">
    <w:nsid w:val="2ADB3C19"/>
    <w:multiLevelType w:val="hybridMultilevel"/>
    <w:tmpl w:val="55A87316"/>
    <w:lvl w:ilvl="0" w:tplc="B06EF62A">
      <w:numFmt w:val="bullet"/>
      <w:lvlText w:val="-"/>
      <w:lvlJc w:val="left"/>
      <w:pPr>
        <w:ind w:left="1080" w:hanging="72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2B407265"/>
    <w:multiLevelType w:val="hybridMultilevel"/>
    <w:tmpl w:val="A62C6B22"/>
    <w:lvl w:ilvl="0" w:tplc="09685584">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1D73DA4"/>
    <w:multiLevelType w:val="hybridMultilevel"/>
    <w:tmpl w:val="F0E6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411B63"/>
    <w:multiLevelType w:val="hybridMultilevel"/>
    <w:tmpl w:val="C4800380"/>
    <w:lvl w:ilvl="0" w:tplc="3BF0B892">
      <w:start w:val="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D94743"/>
    <w:multiLevelType w:val="hybridMultilevel"/>
    <w:tmpl w:val="3B00EF32"/>
    <w:lvl w:ilvl="0" w:tplc="F2D21D02">
      <w:start w:val="1"/>
      <w:numFmt w:val="decimal"/>
      <w:lvlText w:val="%1."/>
      <w:lvlJc w:val="left"/>
      <w:pPr>
        <w:ind w:hanging="567"/>
      </w:pPr>
      <w:rPr>
        <w:rFonts w:ascii="Times New Roman" w:eastAsia="Times New Roman" w:hAnsi="Times New Roman" w:hint="default"/>
        <w:b/>
        <w:bCs/>
        <w:sz w:val="22"/>
        <w:szCs w:val="22"/>
      </w:rPr>
    </w:lvl>
    <w:lvl w:ilvl="1" w:tplc="4D368998">
      <w:start w:val="1"/>
      <w:numFmt w:val="bullet"/>
      <w:lvlText w:val="•"/>
      <w:lvlJc w:val="left"/>
      <w:rPr>
        <w:rFonts w:hint="default"/>
      </w:rPr>
    </w:lvl>
    <w:lvl w:ilvl="2" w:tplc="227E9C68">
      <w:start w:val="1"/>
      <w:numFmt w:val="bullet"/>
      <w:lvlText w:val="•"/>
      <w:lvlJc w:val="left"/>
      <w:rPr>
        <w:rFonts w:hint="default"/>
      </w:rPr>
    </w:lvl>
    <w:lvl w:ilvl="3" w:tplc="E390A112">
      <w:start w:val="1"/>
      <w:numFmt w:val="bullet"/>
      <w:lvlText w:val="•"/>
      <w:lvlJc w:val="left"/>
      <w:rPr>
        <w:rFonts w:hint="default"/>
      </w:rPr>
    </w:lvl>
    <w:lvl w:ilvl="4" w:tplc="DDE4F280">
      <w:start w:val="1"/>
      <w:numFmt w:val="bullet"/>
      <w:lvlText w:val="•"/>
      <w:lvlJc w:val="left"/>
      <w:rPr>
        <w:rFonts w:hint="default"/>
      </w:rPr>
    </w:lvl>
    <w:lvl w:ilvl="5" w:tplc="D1CE8966">
      <w:start w:val="1"/>
      <w:numFmt w:val="bullet"/>
      <w:lvlText w:val="•"/>
      <w:lvlJc w:val="left"/>
      <w:rPr>
        <w:rFonts w:hint="default"/>
      </w:rPr>
    </w:lvl>
    <w:lvl w:ilvl="6" w:tplc="A0403AB4">
      <w:start w:val="1"/>
      <w:numFmt w:val="bullet"/>
      <w:lvlText w:val="•"/>
      <w:lvlJc w:val="left"/>
      <w:rPr>
        <w:rFonts w:hint="default"/>
      </w:rPr>
    </w:lvl>
    <w:lvl w:ilvl="7" w:tplc="8B84D2D0">
      <w:start w:val="1"/>
      <w:numFmt w:val="bullet"/>
      <w:lvlText w:val="•"/>
      <w:lvlJc w:val="left"/>
      <w:rPr>
        <w:rFonts w:hint="default"/>
      </w:rPr>
    </w:lvl>
    <w:lvl w:ilvl="8" w:tplc="32262BC2">
      <w:start w:val="1"/>
      <w:numFmt w:val="bullet"/>
      <w:lvlText w:val="•"/>
      <w:lvlJc w:val="left"/>
      <w:rPr>
        <w:rFonts w:hint="default"/>
      </w:rPr>
    </w:lvl>
  </w:abstractNum>
  <w:abstractNum w:abstractNumId="34" w15:restartNumberingAfterBreak="0">
    <w:nsid w:val="4E40383E"/>
    <w:multiLevelType w:val="hybridMultilevel"/>
    <w:tmpl w:val="A04057CE"/>
    <w:lvl w:ilvl="0" w:tplc="F07A0E3A">
      <w:start w:val="1"/>
      <w:numFmt w:val="bullet"/>
      <w:lvlText w:val="•"/>
      <w:lvlJc w:val="left"/>
      <w:pPr>
        <w:ind w:hanging="349"/>
      </w:pPr>
      <w:rPr>
        <w:rFonts w:ascii="Arial" w:eastAsia="Arial" w:hAnsi="Arial" w:hint="default"/>
        <w:w w:val="131"/>
        <w:sz w:val="22"/>
        <w:szCs w:val="22"/>
      </w:rPr>
    </w:lvl>
    <w:lvl w:ilvl="1" w:tplc="078E4224">
      <w:start w:val="1"/>
      <w:numFmt w:val="bullet"/>
      <w:lvlText w:val="o"/>
      <w:lvlJc w:val="left"/>
      <w:pPr>
        <w:ind w:hanging="337"/>
      </w:pPr>
      <w:rPr>
        <w:rFonts w:ascii="Courier New" w:eastAsia="Courier New" w:hAnsi="Courier New" w:hint="default"/>
        <w:sz w:val="22"/>
        <w:szCs w:val="22"/>
      </w:rPr>
    </w:lvl>
    <w:lvl w:ilvl="2" w:tplc="F2F68FE2">
      <w:start w:val="1"/>
      <w:numFmt w:val="bullet"/>
      <w:lvlText w:val="•"/>
      <w:lvlJc w:val="left"/>
      <w:rPr>
        <w:rFonts w:hint="default"/>
      </w:rPr>
    </w:lvl>
    <w:lvl w:ilvl="3" w:tplc="51B890B8">
      <w:start w:val="1"/>
      <w:numFmt w:val="bullet"/>
      <w:lvlText w:val="•"/>
      <w:lvlJc w:val="left"/>
      <w:rPr>
        <w:rFonts w:hint="default"/>
      </w:rPr>
    </w:lvl>
    <w:lvl w:ilvl="4" w:tplc="7AF2146A">
      <w:start w:val="1"/>
      <w:numFmt w:val="bullet"/>
      <w:lvlText w:val="•"/>
      <w:lvlJc w:val="left"/>
      <w:rPr>
        <w:rFonts w:hint="default"/>
      </w:rPr>
    </w:lvl>
    <w:lvl w:ilvl="5" w:tplc="64326994">
      <w:start w:val="1"/>
      <w:numFmt w:val="bullet"/>
      <w:lvlText w:val="•"/>
      <w:lvlJc w:val="left"/>
      <w:rPr>
        <w:rFonts w:hint="default"/>
      </w:rPr>
    </w:lvl>
    <w:lvl w:ilvl="6" w:tplc="E764AC68">
      <w:start w:val="1"/>
      <w:numFmt w:val="bullet"/>
      <w:lvlText w:val="•"/>
      <w:lvlJc w:val="left"/>
      <w:rPr>
        <w:rFonts w:hint="default"/>
      </w:rPr>
    </w:lvl>
    <w:lvl w:ilvl="7" w:tplc="9AAA0FF8">
      <w:start w:val="1"/>
      <w:numFmt w:val="bullet"/>
      <w:lvlText w:val="•"/>
      <w:lvlJc w:val="left"/>
      <w:rPr>
        <w:rFonts w:hint="default"/>
      </w:rPr>
    </w:lvl>
    <w:lvl w:ilvl="8" w:tplc="0BECE222">
      <w:start w:val="1"/>
      <w:numFmt w:val="bullet"/>
      <w:lvlText w:val="•"/>
      <w:lvlJc w:val="left"/>
      <w:rPr>
        <w:rFonts w:hint="default"/>
      </w:rPr>
    </w:lvl>
  </w:abstractNum>
  <w:abstractNum w:abstractNumId="35" w15:restartNumberingAfterBreak="0">
    <w:nsid w:val="4EF977CF"/>
    <w:multiLevelType w:val="hybridMultilevel"/>
    <w:tmpl w:val="1102CB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B615CEA"/>
    <w:multiLevelType w:val="hybridMultilevel"/>
    <w:tmpl w:val="4218EA00"/>
    <w:lvl w:ilvl="0" w:tplc="FFFFFFFF">
      <w:start w:val="6"/>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ECA3190"/>
    <w:multiLevelType w:val="hybridMultilevel"/>
    <w:tmpl w:val="40E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E62682"/>
    <w:multiLevelType w:val="hybridMultilevel"/>
    <w:tmpl w:val="E2A21B64"/>
    <w:lvl w:ilvl="0" w:tplc="456A6400">
      <w:start w:val="1"/>
      <w:numFmt w:val="upperLetter"/>
      <w:lvlText w:val="%1."/>
      <w:lvlJc w:val="left"/>
      <w:pPr>
        <w:ind w:hanging="567"/>
        <w:jc w:val="right"/>
      </w:pPr>
      <w:rPr>
        <w:rFonts w:ascii="Times New Roman" w:eastAsia="Times New Roman" w:hAnsi="Times New Roman" w:hint="default"/>
        <w:b/>
        <w:bCs/>
        <w:spacing w:val="-2"/>
        <w:sz w:val="22"/>
        <w:szCs w:val="22"/>
      </w:rPr>
    </w:lvl>
    <w:lvl w:ilvl="1" w:tplc="D20E21C0">
      <w:start w:val="1"/>
      <w:numFmt w:val="upperLetter"/>
      <w:lvlText w:val="%2."/>
      <w:lvlJc w:val="left"/>
      <w:pPr>
        <w:ind w:hanging="269"/>
        <w:jc w:val="right"/>
      </w:pPr>
      <w:rPr>
        <w:rFonts w:ascii="Times New Roman" w:eastAsia="Times New Roman" w:hAnsi="Times New Roman" w:hint="default"/>
        <w:b/>
        <w:bCs/>
        <w:spacing w:val="-2"/>
        <w:sz w:val="22"/>
        <w:szCs w:val="22"/>
      </w:rPr>
    </w:lvl>
    <w:lvl w:ilvl="2" w:tplc="4F12E0B0">
      <w:start w:val="1"/>
      <w:numFmt w:val="bullet"/>
      <w:lvlText w:val="•"/>
      <w:lvlJc w:val="left"/>
      <w:rPr>
        <w:rFonts w:hint="default"/>
      </w:rPr>
    </w:lvl>
    <w:lvl w:ilvl="3" w:tplc="7A64B75C">
      <w:start w:val="1"/>
      <w:numFmt w:val="bullet"/>
      <w:lvlText w:val="•"/>
      <w:lvlJc w:val="left"/>
      <w:rPr>
        <w:rFonts w:hint="default"/>
      </w:rPr>
    </w:lvl>
    <w:lvl w:ilvl="4" w:tplc="BE16EE14">
      <w:start w:val="1"/>
      <w:numFmt w:val="bullet"/>
      <w:lvlText w:val="•"/>
      <w:lvlJc w:val="left"/>
      <w:rPr>
        <w:rFonts w:hint="default"/>
      </w:rPr>
    </w:lvl>
    <w:lvl w:ilvl="5" w:tplc="2136765E">
      <w:start w:val="1"/>
      <w:numFmt w:val="bullet"/>
      <w:lvlText w:val="•"/>
      <w:lvlJc w:val="left"/>
      <w:rPr>
        <w:rFonts w:hint="default"/>
      </w:rPr>
    </w:lvl>
    <w:lvl w:ilvl="6" w:tplc="7E10B5A6">
      <w:start w:val="1"/>
      <w:numFmt w:val="bullet"/>
      <w:lvlText w:val="•"/>
      <w:lvlJc w:val="left"/>
      <w:rPr>
        <w:rFonts w:hint="default"/>
      </w:rPr>
    </w:lvl>
    <w:lvl w:ilvl="7" w:tplc="4100E7C8">
      <w:start w:val="1"/>
      <w:numFmt w:val="bullet"/>
      <w:lvlText w:val="•"/>
      <w:lvlJc w:val="left"/>
      <w:rPr>
        <w:rFonts w:hint="default"/>
      </w:rPr>
    </w:lvl>
    <w:lvl w:ilvl="8" w:tplc="8A8488E6">
      <w:start w:val="1"/>
      <w:numFmt w:val="bullet"/>
      <w:lvlText w:val="•"/>
      <w:lvlJc w:val="left"/>
      <w:rPr>
        <w:rFonts w:hint="default"/>
      </w:rPr>
    </w:lvl>
  </w:abstractNum>
  <w:abstractNum w:abstractNumId="40" w15:restartNumberingAfterBreak="0">
    <w:nsid w:val="60F571BD"/>
    <w:multiLevelType w:val="hybridMultilevel"/>
    <w:tmpl w:val="02C4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9C2EEC"/>
    <w:multiLevelType w:val="hybridMultilevel"/>
    <w:tmpl w:val="9CF4B5BA"/>
    <w:lvl w:ilvl="0" w:tplc="0EC031E0">
      <w:start w:val="1"/>
      <w:numFmt w:val="bullet"/>
      <w:lvlText w:val="•"/>
      <w:lvlJc w:val="left"/>
      <w:pPr>
        <w:ind w:hanging="567"/>
      </w:pPr>
      <w:rPr>
        <w:rFonts w:ascii="Arial" w:eastAsia="Arial" w:hAnsi="Arial" w:hint="default"/>
        <w:w w:val="131"/>
        <w:sz w:val="22"/>
        <w:szCs w:val="22"/>
      </w:rPr>
    </w:lvl>
    <w:lvl w:ilvl="1" w:tplc="E6CA755E">
      <w:start w:val="1"/>
      <w:numFmt w:val="bullet"/>
      <w:lvlText w:val="o"/>
      <w:lvlJc w:val="left"/>
      <w:pPr>
        <w:ind w:hanging="358"/>
      </w:pPr>
      <w:rPr>
        <w:rFonts w:ascii="Courier New" w:eastAsia="Courier New" w:hAnsi="Courier New" w:hint="default"/>
        <w:sz w:val="22"/>
        <w:szCs w:val="22"/>
      </w:rPr>
    </w:lvl>
    <w:lvl w:ilvl="2" w:tplc="2B2C91FC">
      <w:start w:val="1"/>
      <w:numFmt w:val="bullet"/>
      <w:lvlText w:val="•"/>
      <w:lvlJc w:val="left"/>
      <w:rPr>
        <w:rFonts w:hint="default"/>
      </w:rPr>
    </w:lvl>
    <w:lvl w:ilvl="3" w:tplc="D5FCAAF8">
      <w:start w:val="1"/>
      <w:numFmt w:val="bullet"/>
      <w:lvlText w:val="•"/>
      <w:lvlJc w:val="left"/>
      <w:rPr>
        <w:rFonts w:hint="default"/>
      </w:rPr>
    </w:lvl>
    <w:lvl w:ilvl="4" w:tplc="954AC956">
      <w:start w:val="1"/>
      <w:numFmt w:val="bullet"/>
      <w:lvlText w:val="•"/>
      <w:lvlJc w:val="left"/>
      <w:rPr>
        <w:rFonts w:hint="default"/>
      </w:rPr>
    </w:lvl>
    <w:lvl w:ilvl="5" w:tplc="8D2E9B40">
      <w:start w:val="1"/>
      <w:numFmt w:val="bullet"/>
      <w:lvlText w:val="•"/>
      <w:lvlJc w:val="left"/>
      <w:rPr>
        <w:rFonts w:hint="default"/>
      </w:rPr>
    </w:lvl>
    <w:lvl w:ilvl="6" w:tplc="80DC1F3A">
      <w:start w:val="1"/>
      <w:numFmt w:val="bullet"/>
      <w:lvlText w:val="•"/>
      <w:lvlJc w:val="left"/>
      <w:rPr>
        <w:rFonts w:hint="default"/>
      </w:rPr>
    </w:lvl>
    <w:lvl w:ilvl="7" w:tplc="6E2E4D18">
      <w:start w:val="1"/>
      <w:numFmt w:val="bullet"/>
      <w:lvlText w:val="•"/>
      <w:lvlJc w:val="left"/>
      <w:rPr>
        <w:rFonts w:hint="default"/>
      </w:rPr>
    </w:lvl>
    <w:lvl w:ilvl="8" w:tplc="120CA292">
      <w:start w:val="1"/>
      <w:numFmt w:val="bullet"/>
      <w:lvlText w:val="•"/>
      <w:lvlJc w:val="left"/>
      <w:rPr>
        <w:rFonts w:hint="default"/>
      </w:rPr>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3" w15:restartNumberingAfterBreak="0">
    <w:nsid w:val="690B0CC1"/>
    <w:multiLevelType w:val="hybridMultilevel"/>
    <w:tmpl w:val="E800DB84"/>
    <w:lvl w:ilvl="0" w:tplc="F45ACEBA">
      <w:start w:val="1"/>
      <w:numFmt w:val="bullet"/>
      <w:lvlText w:val="•"/>
      <w:lvlJc w:val="left"/>
      <w:pPr>
        <w:ind w:hanging="207"/>
      </w:pPr>
      <w:rPr>
        <w:rFonts w:ascii="Arial" w:eastAsia="Arial" w:hAnsi="Arial" w:hint="default"/>
        <w:w w:val="131"/>
        <w:sz w:val="22"/>
        <w:szCs w:val="22"/>
      </w:rPr>
    </w:lvl>
    <w:lvl w:ilvl="1" w:tplc="4FCCA9C0">
      <w:start w:val="1"/>
      <w:numFmt w:val="bullet"/>
      <w:lvlText w:val="•"/>
      <w:lvlJc w:val="left"/>
      <w:rPr>
        <w:rFonts w:hint="default"/>
      </w:rPr>
    </w:lvl>
    <w:lvl w:ilvl="2" w:tplc="9750485C">
      <w:start w:val="1"/>
      <w:numFmt w:val="bullet"/>
      <w:lvlText w:val="•"/>
      <w:lvlJc w:val="left"/>
      <w:rPr>
        <w:rFonts w:hint="default"/>
      </w:rPr>
    </w:lvl>
    <w:lvl w:ilvl="3" w:tplc="58A63070">
      <w:start w:val="1"/>
      <w:numFmt w:val="bullet"/>
      <w:lvlText w:val="•"/>
      <w:lvlJc w:val="left"/>
      <w:rPr>
        <w:rFonts w:hint="default"/>
      </w:rPr>
    </w:lvl>
    <w:lvl w:ilvl="4" w:tplc="AB4ADA8A">
      <w:start w:val="1"/>
      <w:numFmt w:val="bullet"/>
      <w:lvlText w:val="•"/>
      <w:lvlJc w:val="left"/>
      <w:rPr>
        <w:rFonts w:hint="default"/>
      </w:rPr>
    </w:lvl>
    <w:lvl w:ilvl="5" w:tplc="9DDEED60">
      <w:start w:val="1"/>
      <w:numFmt w:val="bullet"/>
      <w:lvlText w:val="•"/>
      <w:lvlJc w:val="left"/>
      <w:rPr>
        <w:rFonts w:hint="default"/>
      </w:rPr>
    </w:lvl>
    <w:lvl w:ilvl="6" w:tplc="36DE7240">
      <w:start w:val="1"/>
      <w:numFmt w:val="bullet"/>
      <w:lvlText w:val="•"/>
      <w:lvlJc w:val="left"/>
      <w:rPr>
        <w:rFonts w:hint="default"/>
      </w:rPr>
    </w:lvl>
    <w:lvl w:ilvl="7" w:tplc="8774CE16">
      <w:start w:val="1"/>
      <w:numFmt w:val="bullet"/>
      <w:lvlText w:val="•"/>
      <w:lvlJc w:val="left"/>
      <w:rPr>
        <w:rFonts w:hint="default"/>
      </w:rPr>
    </w:lvl>
    <w:lvl w:ilvl="8" w:tplc="C308A77C">
      <w:start w:val="1"/>
      <w:numFmt w:val="bullet"/>
      <w:lvlText w:val="•"/>
      <w:lvlJc w:val="left"/>
      <w:rPr>
        <w:rFonts w:hint="default"/>
      </w:rPr>
    </w:lvl>
  </w:abstractNum>
  <w:abstractNum w:abstractNumId="4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C7051BB"/>
    <w:multiLevelType w:val="hybridMultilevel"/>
    <w:tmpl w:val="8BF6F6A2"/>
    <w:lvl w:ilvl="0" w:tplc="384AFD5E">
      <w:start w:val="1"/>
      <w:numFmt w:val="bullet"/>
      <w:lvlText w:val=""/>
      <w:lvlJc w:val="left"/>
      <w:pPr>
        <w:ind w:left="686" w:hanging="568"/>
      </w:pPr>
      <w:rPr>
        <w:rFonts w:ascii="Symbol" w:eastAsia="Symbol" w:hAnsi="Symbol" w:hint="default"/>
        <w:w w:val="76"/>
        <w:sz w:val="22"/>
        <w:szCs w:val="22"/>
      </w:rPr>
    </w:lvl>
    <w:lvl w:ilvl="1" w:tplc="C7AEFE76">
      <w:start w:val="1"/>
      <w:numFmt w:val="bullet"/>
      <w:lvlText w:val=""/>
      <w:lvlJc w:val="left"/>
      <w:pPr>
        <w:ind w:left="685" w:hanging="208"/>
      </w:pPr>
      <w:rPr>
        <w:rFonts w:ascii="Symbol" w:eastAsia="Symbol" w:hAnsi="Symbol" w:hint="default"/>
        <w:w w:val="76"/>
        <w:sz w:val="22"/>
        <w:szCs w:val="22"/>
      </w:rPr>
    </w:lvl>
    <w:lvl w:ilvl="2" w:tplc="B2BA2FB6">
      <w:start w:val="1"/>
      <w:numFmt w:val="bullet"/>
      <w:lvlText w:val="•"/>
      <w:lvlJc w:val="left"/>
      <w:pPr>
        <w:ind w:left="826" w:hanging="208"/>
      </w:pPr>
      <w:rPr>
        <w:rFonts w:hint="default"/>
      </w:rPr>
    </w:lvl>
    <w:lvl w:ilvl="3" w:tplc="E35CC106">
      <w:start w:val="1"/>
      <w:numFmt w:val="bullet"/>
      <w:lvlText w:val="•"/>
      <w:lvlJc w:val="left"/>
      <w:pPr>
        <w:ind w:left="1871" w:hanging="208"/>
      </w:pPr>
      <w:rPr>
        <w:rFonts w:hint="default"/>
      </w:rPr>
    </w:lvl>
    <w:lvl w:ilvl="4" w:tplc="A042702E">
      <w:start w:val="1"/>
      <w:numFmt w:val="bullet"/>
      <w:lvlText w:val="•"/>
      <w:lvlJc w:val="left"/>
      <w:pPr>
        <w:ind w:left="2915" w:hanging="208"/>
      </w:pPr>
      <w:rPr>
        <w:rFonts w:hint="default"/>
      </w:rPr>
    </w:lvl>
    <w:lvl w:ilvl="5" w:tplc="1B7A92E6">
      <w:start w:val="1"/>
      <w:numFmt w:val="bullet"/>
      <w:lvlText w:val="•"/>
      <w:lvlJc w:val="left"/>
      <w:pPr>
        <w:ind w:left="3960" w:hanging="208"/>
      </w:pPr>
      <w:rPr>
        <w:rFonts w:hint="default"/>
      </w:rPr>
    </w:lvl>
    <w:lvl w:ilvl="6" w:tplc="FC90AF82">
      <w:start w:val="1"/>
      <w:numFmt w:val="bullet"/>
      <w:lvlText w:val="•"/>
      <w:lvlJc w:val="left"/>
      <w:pPr>
        <w:ind w:left="5005" w:hanging="208"/>
      </w:pPr>
      <w:rPr>
        <w:rFonts w:hint="default"/>
      </w:rPr>
    </w:lvl>
    <w:lvl w:ilvl="7" w:tplc="83FE2E50">
      <w:start w:val="1"/>
      <w:numFmt w:val="bullet"/>
      <w:lvlText w:val="•"/>
      <w:lvlJc w:val="left"/>
      <w:pPr>
        <w:ind w:left="6050" w:hanging="208"/>
      </w:pPr>
      <w:rPr>
        <w:rFonts w:hint="default"/>
      </w:rPr>
    </w:lvl>
    <w:lvl w:ilvl="8" w:tplc="2EB07B04">
      <w:start w:val="1"/>
      <w:numFmt w:val="bullet"/>
      <w:lvlText w:val="•"/>
      <w:lvlJc w:val="left"/>
      <w:pPr>
        <w:ind w:left="7094" w:hanging="208"/>
      </w:pPr>
      <w:rPr>
        <w:rFonts w:hint="default"/>
      </w:rPr>
    </w:lvl>
  </w:abstractNum>
  <w:abstractNum w:abstractNumId="46" w15:restartNumberingAfterBreak="0">
    <w:nsid w:val="6CC04FB4"/>
    <w:multiLevelType w:val="hybridMultilevel"/>
    <w:tmpl w:val="033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5248E0"/>
    <w:multiLevelType w:val="hybridMultilevel"/>
    <w:tmpl w:val="0408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AB5D6A"/>
    <w:multiLevelType w:val="hybridMultilevel"/>
    <w:tmpl w:val="F26C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BD8695B"/>
    <w:multiLevelType w:val="hybridMultilevel"/>
    <w:tmpl w:val="40FC9252"/>
    <w:lvl w:ilvl="0" w:tplc="C9624B92">
      <w:start w:val="1"/>
      <w:numFmt w:val="bullet"/>
      <w:lvlText w:val="•"/>
      <w:lvlJc w:val="left"/>
      <w:pPr>
        <w:ind w:hanging="349"/>
      </w:pPr>
      <w:rPr>
        <w:rFonts w:ascii="Arial" w:eastAsia="Arial" w:hAnsi="Arial" w:hint="default"/>
        <w:w w:val="131"/>
        <w:sz w:val="22"/>
        <w:szCs w:val="22"/>
      </w:rPr>
    </w:lvl>
    <w:lvl w:ilvl="1" w:tplc="7E04E056">
      <w:start w:val="1"/>
      <w:numFmt w:val="bullet"/>
      <w:lvlText w:val="o"/>
      <w:lvlJc w:val="left"/>
      <w:pPr>
        <w:ind w:hanging="337"/>
      </w:pPr>
      <w:rPr>
        <w:rFonts w:ascii="Courier New" w:eastAsia="Courier New" w:hAnsi="Courier New" w:hint="default"/>
        <w:sz w:val="22"/>
        <w:szCs w:val="22"/>
      </w:rPr>
    </w:lvl>
    <w:lvl w:ilvl="2" w:tplc="E89C526E">
      <w:start w:val="1"/>
      <w:numFmt w:val="bullet"/>
      <w:lvlText w:val="•"/>
      <w:lvlJc w:val="left"/>
      <w:rPr>
        <w:rFonts w:hint="default"/>
      </w:rPr>
    </w:lvl>
    <w:lvl w:ilvl="3" w:tplc="D33655FE">
      <w:start w:val="1"/>
      <w:numFmt w:val="bullet"/>
      <w:lvlText w:val="•"/>
      <w:lvlJc w:val="left"/>
      <w:rPr>
        <w:rFonts w:hint="default"/>
      </w:rPr>
    </w:lvl>
    <w:lvl w:ilvl="4" w:tplc="5CD6D3DE">
      <w:start w:val="1"/>
      <w:numFmt w:val="bullet"/>
      <w:lvlText w:val="•"/>
      <w:lvlJc w:val="left"/>
      <w:rPr>
        <w:rFonts w:hint="default"/>
      </w:rPr>
    </w:lvl>
    <w:lvl w:ilvl="5" w:tplc="8DA4725E">
      <w:start w:val="1"/>
      <w:numFmt w:val="bullet"/>
      <w:lvlText w:val="•"/>
      <w:lvlJc w:val="left"/>
      <w:rPr>
        <w:rFonts w:hint="default"/>
      </w:rPr>
    </w:lvl>
    <w:lvl w:ilvl="6" w:tplc="1E34FF8E">
      <w:start w:val="1"/>
      <w:numFmt w:val="bullet"/>
      <w:lvlText w:val="•"/>
      <w:lvlJc w:val="left"/>
      <w:rPr>
        <w:rFonts w:hint="default"/>
      </w:rPr>
    </w:lvl>
    <w:lvl w:ilvl="7" w:tplc="B78C10D6">
      <w:start w:val="1"/>
      <w:numFmt w:val="bullet"/>
      <w:lvlText w:val="•"/>
      <w:lvlJc w:val="left"/>
      <w:rPr>
        <w:rFonts w:hint="default"/>
      </w:rPr>
    </w:lvl>
    <w:lvl w:ilvl="8" w:tplc="2162107A">
      <w:start w:val="1"/>
      <w:numFmt w:val="bullet"/>
      <w:lvlText w:val="•"/>
      <w:lvlJc w:val="left"/>
      <w:rPr>
        <w:rFonts w:hint="default"/>
      </w:rPr>
    </w:lvl>
  </w:abstractNum>
  <w:abstractNum w:abstractNumId="50" w15:restartNumberingAfterBreak="0">
    <w:nsid w:val="7CBB6FD7"/>
    <w:multiLevelType w:val="hybridMultilevel"/>
    <w:tmpl w:val="AD8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B8122E"/>
    <w:multiLevelType w:val="hybridMultilevel"/>
    <w:tmpl w:val="56822C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8"/>
    <w:lvlOverride w:ilvl="0">
      <w:startOverride w:val="1"/>
    </w:lvlOverride>
  </w:num>
  <w:num w:numId="4">
    <w:abstractNumId w:val="32"/>
  </w:num>
  <w:num w:numId="5">
    <w:abstractNumId w:val="40"/>
  </w:num>
  <w:num w:numId="6">
    <w:abstractNumId w:val="27"/>
  </w:num>
  <w:num w:numId="7">
    <w:abstractNumId w:val="17"/>
  </w:num>
  <w:num w:numId="8">
    <w:abstractNumId w:val="51"/>
  </w:num>
  <w:num w:numId="9">
    <w:abstractNumId w:val="48"/>
  </w:num>
  <w:num w:numId="10">
    <w:abstractNumId w:val="15"/>
  </w:num>
  <w:num w:numId="11">
    <w:abstractNumId w:val="12"/>
  </w:num>
  <w:num w:numId="12">
    <w:abstractNumId w:val="38"/>
  </w:num>
  <w:num w:numId="13">
    <w:abstractNumId w:val="35"/>
  </w:num>
  <w:num w:numId="14">
    <w:abstractNumId w:val="25"/>
  </w:num>
  <w:num w:numId="15">
    <w:abstractNumId w:val="22"/>
  </w:num>
  <w:num w:numId="16">
    <w:abstractNumId w:val="41"/>
  </w:num>
  <w:num w:numId="17">
    <w:abstractNumId w:val="16"/>
  </w:num>
  <w:num w:numId="18">
    <w:abstractNumId w:val="33"/>
  </w:num>
  <w:num w:numId="19">
    <w:abstractNumId w:val="7"/>
  </w:num>
  <w:num w:numId="20">
    <w:abstractNumId w:val="10"/>
  </w:num>
  <w:num w:numId="21">
    <w:abstractNumId w:val="13"/>
  </w:num>
  <w:num w:numId="22">
    <w:abstractNumId w:val="49"/>
  </w:num>
  <w:num w:numId="23">
    <w:abstractNumId w:val="34"/>
  </w:num>
  <w:num w:numId="24">
    <w:abstractNumId w:val="43"/>
  </w:num>
  <w:num w:numId="25">
    <w:abstractNumId w:val="39"/>
  </w:num>
  <w:num w:numId="26">
    <w:abstractNumId w:val="23"/>
  </w:num>
  <w:num w:numId="27">
    <w:abstractNumId w:val="19"/>
  </w:num>
  <w:num w:numId="28">
    <w:abstractNumId w:val="45"/>
  </w:num>
  <w:num w:numId="29">
    <w:abstractNumId w:val="50"/>
  </w:num>
  <w:num w:numId="30">
    <w:abstractNumId w:val="46"/>
  </w:num>
  <w:num w:numId="31">
    <w:abstractNumId w:val="11"/>
  </w:num>
  <w:num w:numId="32">
    <w:abstractNumId w:val="47"/>
  </w:num>
  <w:num w:numId="33">
    <w:abstractNumId w:val="37"/>
  </w:num>
  <w:num w:numId="34">
    <w:abstractNumId w:val="31"/>
  </w:num>
  <w:num w:numId="35">
    <w:abstractNumId w:val="21"/>
  </w:num>
  <w:num w:numId="36">
    <w:abstractNumId w:val="20"/>
  </w:num>
  <w:num w:numId="37">
    <w:abstractNumId w:val="0"/>
    <w:lvlOverride w:ilvl="0">
      <w:lvl w:ilvl="0">
        <w:start w:val="1"/>
        <w:numFmt w:val="bullet"/>
        <w:lvlText w:val="-"/>
        <w:legacy w:legacy="1" w:legacySpace="0" w:legacyIndent="360"/>
        <w:lvlJc w:val="left"/>
        <w:pPr>
          <w:ind w:left="360" w:hanging="360"/>
        </w:pPr>
      </w:lvl>
    </w:lvlOverride>
  </w:num>
  <w:num w:numId="38">
    <w:abstractNumId w:val="42"/>
  </w:num>
  <w:num w:numId="39">
    <w:abstractNumId w:val="44"/>
  </w:num>
  <w:num w:numId="40">
    <w:abstractNumId w:val="28"/>
  </w:num>
  <w:num w:numId="41">
    <w:abstractNumId w:val="36"/>
  </w:num>
  <w:num w:numId="42">
    <w:abstractNumId w:val="26"/>
  </w:num>
  <w:num w:numId="43">
    <w:abstractNumId w:val="29"/>
  </w:num>
  <w:num w:numId="44">
    <w:abstractNumId w:val="30"/>
  </w:num>
  <w:num w:numId="45">
    <w:abstractNumId w:val="24"/>
  </w:num>
  <w:num w:numId="4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F40"/>
    <w:rsid w:val="00004B28"/>
    <w:rsid w:val="00005D7D"/>
    <w:rsid w:val="00006E5C"/>
    <w:rsid w:val="00007C28"/>
    <w:rsid w:val="00007DC9"/>
    <w:rsid w:val="000119D9"/>
    <w:rsid w:val="00012322"/>
    <w:rsid w:val="00012793"/>
    <w:rsid w:val="000144AC"/>
    <w:rsid w:val="0001580A"/>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17E1"/>
    <w:rsid w:val="000534C0"/>
    <w:rsid w:val="000537EA"/>
    <w:rsid w:val="00063BF3"/>
    <w:rsid w:val="0006414A"/>
    <w:rsid w:val="0006562A"/>
    <w:rsid w:val="0006657B"/>
    <w:rsid w:val="00071B1A"/>
    <w:rsid w:val="00072EFD"/>
    <w:rsid w:val="00073265"/>
    <w:rsid w:val="00074871"/>
    <w:rsid w:val="000757CF"/>
    <w:rsid w:val="000771E2"/>
    <w:rsid w:val="0008016C"/>
    <w:rsid w:val="00081747"/>
    <w:rsid w:val="0008350D"/>
    <w:rsid w:val="000855A9"/>
    <w:rsid w:val="00086A28"/>
    <w:rsid w:val="00086AB9"/>
    <w:rsid w:val="000927B8"/>
    <w:rsid w:val="00094BE7"/>
    <w:rsid w:val="000975AB"/>
    <w:rsid w:val="00097935"/>
    <w:rsid w:val="00097CFB"/>
    <w:rsid w:val="000A137E"/>
    <w:rsid w:val="000A2EA1"/>
    <w:rsid w:val="000A3DA4"/>
    <w:rsid w:val="000A4786"/>
    <w:rsid w:val="000A47D0"/>
    <w:rsid w:val="000A738C"/>
    <w:rsid w:val="000B0472"/>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E72E5"/>
    <w:rsid w:val="000F1C30"/>
    <w:rsid w:val="000F5734"/>
    <w:rsid w:val="000F5E16"/>
    <w:rsid w:val="000F7222"/>
    <w:rsid w:val="0010177B"/>
    <w:rsid w:val="00101A07"/>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86D"/>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578F0"/>
    <w:rsid w:val="0026475C"/>
    <w:rsid w:val="00265752"/>
    <w:rsid w:val="00267FB1"/>
    <w:rsid w:val="00273A51"/>
    <w:rsid w:val="002769B2"/>
    <w:rsid w:val="00280AF3"/>
    <w:rsid w:val="00281972"/>
    <w:rsid w:val="002860CA"/>
    <w:rsid w:val="002905A8"/>
    <w:rsid w:val="00291DB3"/>
    <w:rsid w:val="00293D8E"/>
    <w:rsid w:val="002A0F1B"/>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B6A"/>
    <w:rsid w:val="002D7DF8"/>
    <w:rsid w:val="002E0261"/>
    <w:rsid w:val="002E15EE"/>
    <w:rsid w:val="002E5013"/>
    <w:rsid w:val="002F1791"/>
    <w:rsid w:val="002F3E4D"/>
    <w:rsid w:val="002F727F"/>
    <w:rsid w:val="002F7D4B"/>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0DEC"/>
    <w:rsid w:val="00366527"/>
    <w:rsid w:val="00370E09"/>
    <w:rsid w:val="00371CCC"/>
    <w:rsid w:val="003731D0"/>
    <w:rsid w:val="00377385"/>
    <w:rsid w:val="00383CAA"/>
    <w:rsid w:val="00384EA9"/>
    <w:rsid w:val="00385042"/>
    <w:rsid w:val="003851FE"/>
    <w:rsid w:val="003853A7"/>
    <w:rsid w:val="00387233"/>
    <w:rsid w:val="003920A5"/>
    <w:rsid w:val="003952F2"/>
    <w:rsid w:val="00396269"/>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273F1"/>
    <w:rsid w:val="00431B77"/>
    <w:rsid w:val="00431E9C"/>
    <w:rsid w:val="004338B8"/>
    <w:rsid w:val="00436AB8"/>
    <w:rsid w:val="00437280"/>
    <w:rsid w:val="00440169"/>
    <w:rsid w:val="00441762"/>
    <w:rsid w:val="00443B2A"/>
    <w:rsid w:val="00444560"/>
    <w:rsid w:val="00447FF9"/>
    <w:rsid w:val="00454A9F"/>
    <w:rsid w:val="00457C0D"/>
    <w:rsid w:val="00463C95"/>
    <w:rsid w:val="00465608"/>
    <w:rsid w:val="00465C8B"/>
    <w:rsid w:val="00466E46"/>
    <w:rsid w:val="00471E3E"/>
    <w:rsid w:val="0047280F"/>
    <w:rsid w:val="0047297A"/>
    <w:rsid w:val="00482641"/>
    <w:rsid w:val="00484DDA"/>
    <w:rsid w:val="00485B8C"/>
    <w:rsid w:val="00485C29"/>
    <w:rsid w:val="0048792E"/>
    <w:rsid w:val="00493D45"/>
    <w:rsid w:val="00494AD0"/>
    <w:rsid w:val="00495295"/>
    <w:rsid w:val="00497906"/>
    <w:rsid w:val="004A0078"/>
    <w:rsid w:val="004A2E88"/>
    <w:rsid w:val="004A5D30"/>
    <w:rsid w:val="004A6C86"/>
    <w:rsid w:val="004A7514"/>
    <w:rsid w:val="004B0963"/>
    <w:rsid w:val="004B21A2"/>
    <w:rsid w:val="004B2780"/>
    <w:rsid w:val="004B2AD3"/>
    <w:rsid w:val="004B5046"/>
    <w:rsid w:val="004B5EE2"/>
    <w:rsid w:val="004B6BB6"/>
    <w:rsid w:val="004B714D"/>
    <w:rsid w:val="004B7805"/>
    <w:rsid w:val="004C19EC"/>
    <w:rsid w:val="004C25BD"/>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6E92"/>
    <w:rsid w:val="00637C1C"/>
    <w:rsid w:val="00640267"/>
    <w:rsid w:val="006454B8"/>
    <w:rsid w:val="0064728E"/>
    <w:rsid w:val="00651794"/>
    <w:rsid w:val="0065194B"/>
    <w:rsid w:val="00656A89"/>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27C9"/>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009"/>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1426"/>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5C9"/>
    <w:rsid w:val="0086367B"/>
    <w:rsid w:val="008642BD"/>
    <w:rsid w:val="00866DE2"/>
    <w:rsid w:val="0086712D"/>
    <w:rsid w:val="00870297"/>
    <w:rsid w:val="00871285"/>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339F"/>
    <w:rsid w:val="00945F9C"/>
    <w:rsid w:val="009507FA"/>
    <w:rsid w:val="009510DA"/>
    <w:rsid w:val="00952CF7"/>
    <w:rsid w:val="009550DA"/>
    <w:rsid w:val="00963573"/>
    <w:rsid w:val="0096506F"/>
    <w:rsid w:val="00976FFE"/>
    <w:rsid w:val="00982DB1"/>
    <w:rsid w:val="0098590D"/>
    <w:rsid w:val="00985A88"/>
    <w:rsid w:val="00985C83"/>
    <w:rsid w:val="00986B3F"/>
    <w:rsid w:val="00987AEE"/>
    <w:rsid w:val="009907A2"/>
    <w:rsid w:val="00990BA9"/>
    <w:rsid w:val="00991D9E"/>
    <w:rsid w:val="009971B0"/>
    <w:rsid w:val="009A1129"/>
    <w:rsid w:val="009A1960"/>
    <w:rsid w:val="009A548F"/>
    <w:rsid w:val="009B1F5B"/>
    <w:rsid w:val="009B3EAE"/>
    <w:rsid w:val="009C0389"/>
    <w:rsid w:val="009C33E7"/>
    <w:rsid w:val="009C4818"/>
    <w:rsid w:val="009D13B3"/>
    <w:rsid w:val="009D438B"/>
    <w:rsid w:val="009D535F"/>
    <w:rsid w:val="009D78D5"/>
    <w:rsid w:val="009E0EF3"/>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DDD"/>
    <w:rsid w:val="00A24FE3"/>
    <w:rsid w:val="00A26072"/>
    <w:rsid w:val="00A27591"/>
    <w:rsid w:val="00A27A7A"/>
    <w:rsid w:val="00A316A0"/>
    <w:rsid w:val="00A32C16"/>
    <w:rsid w:val="00A3356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0E6C"/>
    <w:rsid w:val="00AC158D"/>
    <w:rsid w:val="00AC435A"/>
    <w:rsid w:val="00AC57D3"/>
    <w:rsid w:val="00AD2C0B"/>
    <w:rsid w:val="00AD4357"/>
    <w:rsid w:val="00AD5229"/>
    <w:rsid w:val="00AD5CA5"/>
    <w:rsid w:val="00AD694D"/>
    <w:rsid w:val="00AE55B7"/>
    <w:rsid w:val="00AE68FA"/>
    <w:rsid w:val="00AE6FDF"/>
    <w:rsid w:val="00AF2C5D"/>
    <w:rsid w:val="00AF2E1A"/>
    <w:rsid w:val="00AF5AF1"/>
    <w:rsid w:val="00AF718B"/>
    <w:rsid w:val="00B01AF0"/>
    <w:rsid w:val="00B02EE1"/>
    <w:rsid w:val="00B034D4"/>
    <w:rsid w:val="00B048F2"/>
    <w:rsid w:val="00B04A09"/>
    <w:rsid w:val="00B0620F"/>
    <w:rsid w:val="00B100DB"/>
    <w:rsid w:val="00B12AAE"/>
    <w:rsid w:val="00B23A38"/>
    <w:rsid w:val="00B26FFA"/>
    <w:rsid w:val="00B318A2"/>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1B4"/>
    <w:rsid w:val="00B86396"/>
    <w:rsid w:val="00B90948"/>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67B"/>
    <w:rsid w:val="00C04C5F"/>
    <w:rsid w:val="00C05284"/>
    <w:rsid w:val="00C0597A"/>
    <w:rsid w:val="00C0680B"/>
    <w:rsid w:val="00C13630"/>
    <w:rsid w:val="00C16E22"/>
    <w:rsid w:val="00C17082"/>
    <w:rsid w:val="00C17F0F"/>
    <w:rsid w:val="00C23B01"/>
    <w:rsid w:val="00C24932"/>
    <w:rsid w:val="00C26EC0"/>
    <w:rsid w:val="00C27586"/>
    <w:rsid w:val="00C325D1"/>
    <w:rsid w:val="00C3274A"/>
    <w:rsid w:val="00C32A49"/>
    <w:rsid w:val="00C333A8"/>
    <w:rsid w:val="00C33B38"/>
    <w:rsid w:val="00C347B0"/>
    <w:rsid w:val="00C42008"/>
    <w:rsid w:val="00C45B7C"/>
    <w:rsid w:val="00C466E1"/>
    <w:rsid w:val="00C527B5"/>
    <w:rsid w:val="00C53057"/>
    <w:rsid w:val="00C5558E"/>
    <w:rsid w:val="00C5764A"/>
    <w:rsid w:val="00C62D3D"/>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0BD"/>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96082"/>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252E"/>
    <w:rsid w:val="00E05616"/>
    <w:rsid w:val="00E11BA6"/>
    <w:rsid w:val="00E16BCB"/>
    <w:rsid w:val="00E229D3"/>
    <w:rsid w:val="00E23142"/>
    <w:rsid w:val="00E23201"/>
    <w:rsid w:val="00E26F03"/>
    <w:rsid w:val="00E271CE"/>
    <w:rsid w:val="00E33254"/>
    <w:rsid w:val="00E33CD4"/>
    <w:rsid w:val="00E358F5"/>
    <w:rsid w:val="00E35C3E"/>
    <w:rsid w:val="00E42153"/>
    <w:rsid w:val="00E46202"/>
    <w:rsid w:val="00E51AE4"/>
    <w:rsid w:val="00E520B8"/>
    <w:rsid w:val="00E529D9"/>
    <w:rsid w:val="00E55A65"/>
    <w:rsid w:val="00E570C6"/>
    <w:rsid w:val="00E622AB"/>
    <w:rsid w:val="00E62DDA"/>
    <w:rsid w:val="00E67261"/>
    <w:rsid w:val="00E677D1"/>
    <w:rsid w:val="00E70869"/>
    <w:rsid w:val="00E746AC"/>
    <w:rsid w:val="00E753AE"/>
    <w:rsid w:val="00E757F2"/>
    <w:rsid w:val="00E77D2B"/>
    <w:rsid w:val="00E82627"/>
    <w:rsid w:val="00E92007"/>
    <w:rsid w:val="00E94F8B"/>
    <w:rsid w:val="00E95517"/>
    <w:rsid w:val="00EA1C88"/>
    <w:rsid w:val="00EA28A1"/>
    <w:rsid w:val="00EA2E3B"/>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B12"/>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5220"/>
    <w:rsid w:val="00F472DD"/>
    <w:rsid w:val="00F47951"/>
    <w:rsid w:val="00F51887"/>
    <w:rsid w:val="00F51A4B"/>
    <w:rsid w:val="00F53A0F"/>
    <w:rsid w:val="00F5580C"/>
    <w:rsid w:val="00F5643B"/>
    <w:rsid w:val="00F570AD"/>
    <w:rsid w:val="00F57CDA"/>
    <w:rsid w:val="00F6158D"/>
    <w:rsid w:val="00F65572"/>
    <w:rsid w:val="00F65B3E"/>
    <w:rsid w:val="00F6620F"/>
    <w:rsid w:val="00F673B0"/>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AFFB5D-4C0F-47BA-ACD8-7D14CC3F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uiPriority w:val="99"/>
    <w:qFormat/>
    <w:rsid w:val="00CD5312"/>
    <w:pPr>
      <w:spacing w:after="120"/>
    </w:pPr>
  </w:style>
  <w:style w:type="paragraph" w:styleId="BodyTextIndent3">
    <w:name w:val="Body Text Indent 3"/>
    <w:basedOn w:val="Normal"/>
    <w:link w:val="BodyTextIndent3Char"/>
    <w:uiPriority w:val="99"/>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uiPriority w:val="99"/>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99"/>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uiPriority w:val="99"/>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99"/>
    <w:rsid w:val="00CD20BD"/>
    <w:rPr>
      <w:lang w:eastAsia="en-US"/>
    </w:rPr>
  </w:style>
  <w:style w:type="character" w:customStyle="1" w:styleId="Heading1Char">
    <w:name w:val="Heading 1 Char"/>
    <w:basedOn w:val="DefaultParagraphFont"/>
    <w:link w:val="Heading1"/>
    <w:uiPriority w:val="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 w:type="character" w:styleId="FollowedHyperlink">
    <w:name w:val="FollowedHyperlink"/>
    <w:rsid w:val="004C25BD"/>
    <w:rPr>
      <w:color w:val="800080"/>
      <w:u w:val="single"/>
    </w:rPr>
  </w:style>
  <w:style w:type="paragraph" w:customStyle="1" w:styleId="Naslov1">
    <w:name w:val="Naslov1"/>
    <w:basedOn w:val="Heading1"/>
    <w:rsid w:val="004C25BD"/>
    <w:pPr>
      <w:tabs>
        <w:tab w:val="clear" w:pos="567"/>
      </w:tabs>
      <w:spacing w:before="0" w:after="0"/>
      <w:jc w:val="left"/>
    </w:pPr>
    <w:rPr>
      <w:caps w:val="0"/>
      <w:sz w:val="22"/>
      <w:u w:val="single"/>
      <w:lang w:val="sl-SI" w:eastAsia="sl-SI"/>
    </w:rPr>
  </w:style>
  <w:style w:type="paragraph" w:styleId="TOC1">
    <w:name w:val="toc 1"/>
    <w:basedOn w:val="Normal"/>
    <w:next w:val="Normal"/>
    <w:autoRedefine/>
    <w:semiHidden/>
    <w:rsid w:val="004C25BD"/>
    <w:pPr>
      <w:spacing w:before="120"/>
    </w:pPr>
    <w:rPr>
      <w:b/>
      <w:bCs/>
      <w:i/>
      <w:iCs/>
      <w:sz w:val="24"/>
      <w:szCs w:val="28"/>
      <w:lang w:val="sl-SI" w:eastAsia="sl-SI"/>
    </w:rPr>
  </w:style>
  <w:style w:type="paragraph" w:customStyle="1" w:styleId="EMEAEnBodyText">
    <w:name w:val="EMEA En Body Text"/>
    <w:basedOn w:val="Normal"/>
    <w:rsid w:val="004C25BD"/>
    <w:pPr>
      <w:spacing w:before="120" w:after="120"/>
      <w:jc w:val="both"/>
    </w:pPr>
    <w:rPr>
      <w:sz w:val="22"/>
      <w:lang w:val="en-US"/>
    </w:rPr>
  </w:style>
  <w:style w:type="paragraph" w:customStyle="1" w:styleId="naslovSmPC-a">
    <w:name w:val="naslov SmPC-a"/>
    <w:basedOn w:val="Normal"/>
    <w:uiPriority w:val="99"/>
    <w:rsid w:val="004C25BD"/>
    <w:pPr>
      <w:spacing w:before="240" w:after="120" w:line="360" w:lineRule="atLeast"/>
    </w:pPr>
    <w:rPr>
      <w:rFonts w:ascii="Arial" w:hAnsi="Arial"/>
      <w:b/>
      <w:sz w:val="24"/>
      <w:lang w:val="en-GB"/>
    </w:rPr>
  </w:style>
  <w:style w:type="paragraph" w:customStyle="1" w:styleId="Style2">
    <w:name w:val="Style2"/>
    <w:basedOn w:val="Normal"/>
    <w:uiPriority w:val="99"/>
    <w:rsid w:val="004C25BD"/>
    <w:pPr>
      <w:spacing w:line="360" w:lineRule="atLeast"/>
      <w:ind w:left="567"/>
      <w:jc w:val="both"/>
    </w:pPr>
    <w:rPr>
      <w:rFonts w:ascii="Arial" w:hAnsi="Arial"/>
      <w:sz w:val="24"/>
      <w:lang w:val="hr-HR"/>
    </w:rPr>
  </w:style>
  <w:style w:type="character" w:customStyle="1" w:styleId="0PBASICZnak">
    <w:name w:val="0P_BASIC Znak"/>
    <w:link w:val="0PBASIC"/>
    <w:locked/>
    <w:rsid w:val="004C25BD"/>
    <w:rPr>
      <w:sz w:val="22"/>
      <w:lang w:val="ru-RU" w:eastAsia="ru-RU"/>
    </w:rPr>
  </w:style>
  <w:style w:type="paragraph" w:customStyle="1" w:styleId="0PBASIC">
    <w:name w:val="0P_BASIC"/>
    <w:link w:val="0PBASICZnak"/>
    <w:qFormat/>
    <w:rsid w:val="004C25BD"/>
    <w:pPr>
      <w:jc w:val="both"/>
    </w:pPr>
    <w:rPr>
      <w:sz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725641426">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083D2-BB21-45B2-BD97-A3531548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6221</Words>
  <Characters>35466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41604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Miloš Krivokapić</cp:lastModifiedBy>
  <cp:revision>2</cp:revision>
  <cp:lastPrinted>2012-05-18T12:57:00Z</cp:lastPrinted>
  <dcterms:created xsi:type="dcterms:W3CDTF">2017-05-29T06:13:00Z</dcterms:created>
  <dcterms:modified xsi:type="dcterms:W3CDTF">2017-05-29T06:13:00Z</dcterms:modified>
</cp:coreProperties>
</file>