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CB" w:rsidRPr="005D1C94" w:rsidRDefault="006768CB" w:rsidP="004273F1">
      <w:pPr>
        <w:rPr>
          <w:sz w:val="22"/>
          <w:szCs w:val="22"/>
        </w:rPr>
      </w:pPr>
    </w:p>
    <w:p w:rsidR="00F56C88" w:rsidRPr="005D1C94" w:rsidRDefault="00F56C88" w:rsidP="004273F1">
      <w:pPr>
        <w:rPr>
          <w:sz w:val="22"/>
          <w:szCs w:val="22"/>
        </w:rPr>
      </w:pPr>
    </w:p>
    <w:p w:rsidR="00F56C88" w:rsidRPr="005D1C94" w:rsidRDefault="00F56C88" w:rsidP="004273F1">
      <w:pPr>
        <w:rPr>
          <w:sz w:val="22"/>
          <w:szCs w:val="22"/>
        </w:rPr>
      </w:pPr>
    </w:p>
    <w:p w:rsidR="00F56C88" w:rsidRPr="005D1C94" w:rsidRDefault="00F56C88" w:rsidP="004273F1">
      <w:pPr>
        <w:rPr>
          <w:sz w:val="22"/>
          <w:szCs w:val="22"/>
        </w:rPr>
      </w:pPr>
    </w:p>
    <w:tbl>
      <w:tblPr>
        <w:tblW w:w="12559" w:type="dxa"/>
        <w:jc w:val="center"/>
        <w:tblLayout w:type="fixed"/>
        <w:tblLook w:val="0000" w:firstRow="0" w:lastRow="0" w:firstColumn="0" w:lastColumn="0" w:noHBand="0" w:noVBand="0"/>
      </w:tblPr>
      <w:tblGrid>
        <w:gridCol w:w="3603"/>
        <w:gridCol w:w="7513"/>
        <w:gridCol w:w="1443"/>
      </w:tblGrid>
      <w:tr w:rsidR="00F56C88" w:rsidRPr="005D1C94" w:rsidTr="00092E0C">
        <w:trPr>
          <w:gridAfter w:val="1"/>
          <w:wAfter w:w="1443" w:type="dxa"/>
          <w:trHeight w:val="944"/>
          <w:jc w:val="center"/>
        </w:trPr>
        <w:tc>
          <w:tcPr>
            <w:tcW w:w="11116" w:type="dxa"/>
            <w:gridSpan w:val="2"/>
            <w:vAlign w:val="bottom"/>
          </w:tcPr>
          <w:p w:rsidR="00F56C88" w:rsidRPr="005D1C94" w:rsidRDefault="00F56C88" w:rsidP="00092E0C">
            <w:pPr>
              <w:widowControl w:val="0"/>
              <w:tabs>
                <w:tab w:val="left" w:pos="567"/>
              </w:tabs>
              <w:jc w:val="center"/>
              <w:rPr>
                <w:b/>
                <w:bCs/>
                <w:iCs/>
                <w:sz w:val="22"/>
                <w:szCs w:val="22"/>
                <w:u w:val="single"/>
              </w:rPr>
            </w:pPr>
            <w:r w:rsidRPr="005D1C94">
              <w:rPr>
                <w:b/>
                <w:bCs/>
                <w:iCs/>
                <w:sz w:val="22"/>
                <w:szCs w:val="22"/>
              </w:rPr>
              <w:t xml:space="preserve">                                 </w:t>
            </w:r>
            <w:r w:rsidRPr="005D1C94">
              <w:rPr>
                <w:b/>
                <w:bCs/>
                <w:iCs/>
                <w:sz w:val="22"/>
                <w:szCs w:val="22"/>
                <w:u w:val="single"/>
              </w:rPr>
              <w:t>SAŽETAK KARAKTERISTIKA LIJEKA</w:t>
            </w:r>
          </w:p>
          <w:p w:rsidR="00F56C88" w:rsidRPr="005D1C94" w:rsidRDefault="00F56C88" w:rsidP="00092E0C">
            <w:pPr>
              <w:widowControl w:val="0"/>
              <w:tabs>
                <w:tab w:val="left" w:pos="567"/>
              </w:tabs>
              <w:jc w:val="center"/>
              <w:rPr>
                <w:b/>
                <w:bCs/>
                <w:iCs/>
                <w:sz w:val="22"/>
                <w:szCs w:val="22"/>
                <w:u w:val="single"/>
              </w:rPr>
            </w:pPr>
          </w:p>
          <w:p w:rsidR="00F56C88" w:rsidRPr="005D1C94" w:rsidRDefault="00F56C88" w:rsidP="00092E0C">
            <w:pPr>
              <w:widowControl w:val="0"/>
              <w:tabs>
                <w:tab w:val="left" w:pos="567"/>
              </w:tabs>
              <w:jc w:val="center"/>
              <w:rPr>
                <w:b/>
                <w:bCs/>
                <w:iCs/>
                <w:sz w:val="22"/>
                <w:szCs w:val="22"/>
                <w:u w:val="single"/>
              </w:rPr>
            </w:pPr>
          </w:p>
          <w:p w:rsidR="00F56C88" w:rsidRPr="005D1C94" w:rsidRDefault="00F56C88" w:rsidP="00092E0C">
            <w:pPr>
              <w:widowControl w:val="0"/>
              <w:tabs>
                <w:tab w:val="left" w:pos="567"/>
              </w:tabs>
              <w:ind w:left="1494" w:firstLine="1413"/>
              <w:rPr>
                <w:b/>
                <w:bCs/>
                <w:iCs/>
                <w:sz w:val="22"/>
                <w:szCs w:val="22"/>
                <w:u w:val="single"/>
              </w:rPr>
            </w:pPr>
          </w:p>
          <w:p w:rsidR="00F56C88" w:rsidRPr="005D1C94" w:rsidRDefault="00F56C88" w:rsidP="00092E0C">
            <w:pPr>
              <w:widowControl w:val="0"/>
              <w:tabs>
                <w:tab w:val="left" w:pos="567"/>
              </w:tabs>
              <w:ind w:left="1494" w:firstLine="1413"/>
              <w:rPr>
                <w:b/>
                <w:bCs/>
                <w:iCs/>
                <w:sz w:val="22"/>
                <w:szCs w:val="22"/>
                <w:u w:val="single"/>
              </w:rPr>
            </w:pPr>
          </w:p>
        </w:tc>
      </w:tr>
      <w:tr w:rsidR="00F56C88" w:rsidRPr="005D1C94" w:rsidTr="00092E0C">
        <w:tblPrEx>
          <w:tblLook w:val="04A0" w:firstRow="1" w:lastRow="0" w:firstColumn="1" w:lastColumn="0" w:noHBand="0" w:noVBand="1"/>
        </w:tblPrEx>
        <w:trPr>
          <w:gridAfter w:val="1"/>
          <w:wAfter w:w="1443" w:type="dxa"/>
          <w:trHeight w:val="1225"/>
          <w:jc w:val="center"/>
        </w:trPr>
        <w:tc>
          <w:tcPr>
            <w:tcW w:w="11116" w:type="dxa"/>
            <w:gridSpan w:val="2"/>
            <w:hideMark/>
          </w:tcPr>
          <w:p w:rsidR="00F56C88" w:rsidRPr="005D1C94" w:rsidRDefault="00F56C88" w:rsidP="00092E0C">
            <w:pPr>
              <w:widowControl w:val="0"/>
              <w:tabs>
                <w:tab w:val="left" w:pos="567"/>
                <w:tab w:val="left" w:pos="3763"/>
              </w:tabs>
              <w:ind w:left="785" w:hanging="425"/>
              <w:jc w:val="center"/>
              <w:rPr>
                <w:b/>
                <w:i/>
                <w:iCs/>
                <w:sz w:val="22"/>
                <w:szCs w:val="22"/>
              </w:rPr>
            </w:pPr>
            <w:r w:rsidRPr="005D1C94">
              <w:rPr>
                <w:b/>
                <w:bCs/>
                <w:iCs/>
                <w:sz w:val="22"/>
                <w:szCs w:val="22"/>
              </w:rPr>
              <w:t xml:space="preserve">                       Tolucombi</w:t>
            </w:r>
            <w:r w:rsidRPr="005D1C94">
              <w:rPr>
                <w:b/>
                <w:bCs/>
                <w:iCs/>
                <w:sz w:val="22"/>
                <w:szCs w:val="22"/>
                <w:vertAlign w:val="superscript"/>
              </w:rPr>
              <w:t>®</w:t>
            </w:r>
            <w:r w:rsidRPr="005D1C94">
              <w:rPr>
                <w:iCs/>
                <w:sz w:val="22"/>
                <w:szCs w:val="22"/>
              </w:rPr>
              <w:t xml:space="preserve">, </w:t>
            </w:r>
            <w:r w:rsidRPr="005D1C94">
              <w:rPr>
                <w:bCs/>
                <w:iCs/>
                <w:sz w:val="22"/>
                <w:szCs w:val="22"/>
              </w:rPr>
              <w:t>tableta, 40 mg + 12,5 mg, blister, 4x7 tableta</w:t>
            </w:r>
          </w:p>
          <w:p w:rsidR="00F56C88" w:rsidRPr="005D1C94" w:rsidRDefault="00F56C88" w:rsidP="00092E0C">
            <w:pPr>
              <w:widowControl w:val="0"/>
              <w:tabs>
                <w:tab w:val="left" w:pos="567"/>
                <w:tab w:val="left" w:pos="3763"/>
              </w:tabs>
              <w:ind w:left="785" w:hanging="425"/>
              <w:jc w:val="center"/>
              <w:rPr>
                <w:b/>
                <w:iCs/>
                <w:sz w:val="22"/>
                <w:szCs w:val="22"/>
              </w:rPr>
            </w:pPr>
            <w:r w:rsidRPr="005D1C94">
              <w:rPr>
                <w:b/>
                <w:bCs/>
                <w:iCs/>
                <w:sz w:val="22"/>
                <w:szCs w:val="22"/>
              </w:rPr>
              <w:t xml:space="preserve">                         Tolucombi</w:t>
            </w:r>
            <w:r w:rsidRPr="005D1C94">
              <w:rPr>
                <w:b/>
                <w:bCs/>
                <w:iCs/>
                <w:sz w:val="22"/>
                <w:szCs w:val="22"/>
                <w:vertAlign w:val="superscript"/>
              </w:rPr>
              <w:t>®</w:t>
            </w:r>
            <w:r w:rsidRPr="005D1C94">
              <w:rPr>
                <w:bCs/>
                <w:iCs/>
                <w:sz w:val="22"/>
                <w:szCs w:val="22"/>
              </w:rPr>
              <w:t>, tableta, 40 mg + 12,5 mg, blister, 3x10 tableta</w:t>
            </w:r>
          </w:p>
          <w:p w:rsidR="00F56C88" w:rsidRPr="005D1C94" w:rsidRDefault="00F56C88" w:rsidP="00092E0C">
            <w:pPr>
              <w:widowControl w:val="0"/>
              <w:tabs>
                <w:tab w:val="left" w:pos="567"/>
                <w:tab w:val="left" w:pos="3763"/>
              </w:tabs>
              <w:ind w:left="785" w:hanging="425"/>
              <w:jc w:val="center"/>
              <w:rPr>
                <w:b/>
                <w:iCs/>
                <w:sz w:val="22"/>
                <w:szCs w:val="22"/>
              </w:rPr>
            </w:pPr>
            <w:r w:rsidRPr="005D1C94">
              <w:rPr>
                <w:b/>
                <w:bCs/>
                <w:iCs/>
                <w:sz w:val="22"/>
                <w:szCs w:val="22"/>
              </w:rPr>
              <w:t xml:space="preserve">                       Tolucombi</w:t>
            </w:r>
            <w:r w:rsidRPr="005D1C94">
              <w:rPr>
                <w:b/>
                <w:bCs/>
                <w:iCs/>
                <w:sz w:val="22"/>
                <w:szCs w:val="22"/>
                <w:vertAlign w:val="superscript"/>
              </w:rPr>
              <w:t>®</w:t>
            </w:r>
            <w:r w:rsidRPr="005D1C94">
              <w:rPr>
                <w:iCs/>
                <w:sz w:val="22"/>
                <w:szCs w:val="22"/>
              </w:rPr>
              <w:t xml:space="preserve">, </w:t>
            </w:r>
            <w:r w:rsidRPr="005D1C94">
              <w:rPr>
                <w:bCs/>
                <w:iCs/>
                <w:sz w:val="22"/>
                <w:szCs w:val="22"/>
              </w:rPr>
              <w:t>tableta, 80 mg + 12,5 mg, blister, 4x7 tableta</w:t>
            </w:r>
          </w:p>
          <w:p w:rsidR="00F56C88" w:rsidRPr="005D1C94" w:rsidRDefault="00F56C88" w:rsidP="00092E0C">
            <w:pPr>
              <w:widowControl w:val="0"/>
              <w:tabs>
                <w:tab w:val="left" w:pos="567"/>
                <w:tab w:val="left" w:pos="3763"/>
              </w:tabs>
              <w:ind w:left="785" w:hanging="425"/>
              <w:jc w:val="center"/>
              <w:rPr>
                <w:b/>
                <w:iCs/>
                <w:sz w:val="22"/>
                <w:szCs w:val="22"/>
              </w:rPr>
            </w:pPr>
            <w:r w:rsidRPr="005D1C94">
              <w:rPr>
                <w:b/>
                <w:bCs/>
                <w:iCs/>
                <w:sz w:val="22"/>
                <w:szCs w:val="22"/>
              </w:rPr>
              <w:t xml:space="preserve">                         Tolucombi</w:t>
            </w:r>
            <w:r w:rsidRPr="005D1C94">
              <w:rPr>
                <w:b/>
                <w:bCs/>
                <w:iCs/>
                <w:sz w:val="22"/>
                <w:szCs w:val="22"/>
                <w:vertAlign w:val="superscript"/>
              </w:rPr>
              <w:t>®</w:t>
            </w:r>
            <w:r w:rsidRPr="005D1C94">
              <w:rPr>
                <w:iCs/>
                <w:sz w:val="22"/>
                <w:szCs w:val="22"/>
              </w:rPr>
              <w:t xml:space="preserve">, </w:t>
            </w:r>
            <w:r w:rsidRPr="005D1C94">
              <w:rPr>
                <w:bCs/>
                <w:iCs/>
                <w:sz w:val="22"/>
                <w:szCs w:val="22"/>
              </w:rPr>
              <w:t>tableta, 80 mg + 12,5 mg, blister, 3x10 tableta</w:t>
            </w:r>
          </w:p>
          <w:p w:rsidR="00F56C88" w:rsidRPr="005D1C94" w:rsidRDefault="00F56C88" w:rsidP="00092E0C">
            <w:pPr>
              <w:widowControl w:val="0"/>
              <w:tabs>
                <w:tab w:val="left" w:pos="567"/>
                <w:tab w:val="left" w:pos="3763"/>
              </w:tabs>
              <w:ind w:left="785" w:hanging="425"/>
              <w:jc w:val="center"/>
              <w:rPr>
                <w:b/>
                <w:iCs/>
                <w:sz w:val="22"/>
                <w:szCs w:val="22"/>
              </w:rPr>
            </w:pPr>
            <w:r w:rsidRPr="005D1C94">
              <w:rPr>
                <w:b/>
                <w:bCs/>
                <w:iCs/>
                <w:sz w:val="22"/>
                <w:szCs w:val="22"/>
              </w:rPr>
              <w:t xml:space="preserve">                    Tolucombi</w:t>
            </w:r>
            <w:r w:rsidRPr="005D1C94">
              <w:rPr>
                <w:b/>
                <w:bCs/>
                <w:iCs/>
                <w:sz w:val="22"/>
                <w:szCs w:val="22"/>
                <w:vertAlign w:val="superscript"/>
              </w:rPr>
              <w:t>®</w:t>
            </w:r>
            <w:r w:rsidRPr="005D1C94">
              <w:rPr>
                <w:iCs/>
                <w:sz w:val="22"/>
                <w:szCs w:val="22"/>
              </w:rPr>
              <w:t xml:space="preserve">, </w:t>
            </w:r>
            <w:r w:rsidRPr="005D1C94">
              <w:rPr>
                <w:bCs/>
                <w:iCs/>
                <w:sz w:val="22"/>
                <w:szCs w:val="22"/>
              </w:rPr>
              <w:t>tableta, 80 mg + 25 mg, blister, 4x7 tableta</w:t>
            </w:r>
          </w:p>
          <w:p w:rsidR="00F56C88" w:rsidRPr="005D1C94" w:rsidRDefault="00F56C88" w:rsidP="00092E0C">
            <w:pPr>
              <w:widowControl w:val="0"/>
              <w:tabs>
                <w:tab w:val="left" w:pos="567"/>
                <w:tab w:val="left" w:pos="3763"/>
              </w:tabs>
              <w:ind w:left="785" w:hanging="425"/>
              <w:jc w:val="center"/>
              <w:rPr>
                <w:b/>
                <w:iCs/>
                <w:sz w:val="22"/>
                <w:szCs w:val="22"/>
              </w:rPr>
            </w:pPr>
            <w:r w:rsidRPr="005D1C94">
              <w:rPr>
                <w:b/>
                <w:bCs/>
                <w:iCs/>
                <w:sz w:val="22"/>
                <w:szCs w:val="22"/>
              </w:rPr>
              <w:t xml:space="preserve">                      Tolucombi</w:t>
            </w:r>
            <w:r w:rsidRPr="005D1C94">
              <w:rPr>
                <w:b/>
                <w:bCs/>
                <w:iCs/>
                <w:sz w:val="22"/>
                <w:szCs w:val="22"/>
                <w:vertAlign w:val="superscript"/>
              </w:rPr>
              <w:t>®</w:t>
            </w:r>
            <w:r w:rsidRPr="005D1C94">
              <w:rPr>
                <w:iCs/>
                <w:sz w:val="22"/>
                <w:szCs w:val="22"/>
              </w:rPr>
              <w:t xml:space="preserve">, </w:t>
            </w:r>
            <w:r w:rsidRPr="005D1C94">
              <w:rPr>
                <w:bCs/>
                <w:iCs/>
                <w:sz w:val="22"/>
                <w:szCs w:val="22"/>
              </w:rPr>
              <w:t>tableta, 80 mg + 25 mg, blister, 3x10 tableta</w:t>
            </w:r>
          </w:p>
          <w:p w:rsidR="00F56C88" w:rsidRPr="005D1C94" w:rsidRDefault="00F56C88" w:rsidP="00092E0C">
            <w:pPr>
              <w:widowControl w:val="0"/>
              <w:tabs>
                <w:tab w:val="left" w:pos="567"/>
                <w:tab w:val="left" w:pos="3763"/>
              </w:tabs>
              <w:ind w:left="785" w:hanging="425"/>
              <w:rPr>
                <w:b/>
                <w:iCs/>
                <w:sz w:val="22"/>
                <w:szCs w:val="22"/>
              </w:rPr>
            </w:pPr>
          </w:p>
          <w:p w:rsidR="00F56C88" w:rsidRPr="005D1C94" w:rsidRDefault="00F56C88" w:rsidP="00092E0C">
            <w:pPr>
              <w:widowControl w:val="0"/>
              <w:tabs>
                <w:tab w:val="left" w:pos="567"/>
              </w:tabs>
              <w:ind w:left="1494" w:firstLine="1413"/>
              <w:rPr>
                <w:b/>
                <w:iCs/>
                <w:sz w:val="22"/>
                <w:szCs w:val="22"/>
              </w:rPr>
            </w:pPr>
          </w:p>
          <w:p w:rsidR="00F56C88" w:rsidRPr="005D1C94" w:rsidRDefault="00F56C88" w:rsidP="00092E0C">
            <w:pPr>
              <w:widowControl w:val="0"/>
              <w:tabs>
                <w:tab w:val="left" w:pos="567"/>
              </w:tabs>
              <w:ind w:left="1494" w:firstLine="1413"/>
              <w:rPr>
                <w:b/>
                <w:iCs/>
                <w:sz w:val="22"/>
                <w:szCs w:val="22"/>
              </w:rPr>
            </w:pPr>
          </w:p>
          <w:p w:rsidR="00F56C88" w:rsidRPr="005D1C94" w:rsidRDefault="00F56C88" w:rsidP="00092E0C">
            <w:pPr>
              <w:widowControl w:val="0"/>
              <w:tabs>
                <w:tab w:val="left" w:pos="567"/>
              </w:tabs>
              <w:ind w:left="1494" w:firstLine="1413"/>
              <w:rPr>
                <w:b/>
                <w:iCs/>
                <w:sz w:val="22"/>
                <w:szCs w:val="22"/>
              </w:rPr>
            </w:pPr>
          </w:p>
          <w:p w:rsidR="00F56C88" w:rsidRPr="005D1C94" w:rsidRDefault="00F56C88" w:rsidP="00092E0C">
            <w:pPr>
              <w:widowControl w:val="0"/>
              <w:tabs>
                <w:tab w:val="left" w:pos="567"/>
              </w:tabs>
              <w:ind w:left="1494" w:firstLine="1413"/>
              <w:rPr>
                <w:b/>
                <w:iCs/>
                <w:sz w:val="22"/>
                <w:szCs w:val="22"/>
              </w:rPr>
            </w:pPr>
          </w:p>
        </w:tc>
      </w:tr>
      <w:tr w:rsidR="00F56C88" w:rsidRPr="005D1C94" w:rsidTr="009F4C38">
        <w:tblPrEx>
          <w:tblLook w:val="04A0" w:firstRow="1" w:lastRow="0" w:firstColumn="1" w:lastColumn="0" w:noHBand="0" w:noVBand="1"/>
        </w:tblPrEx>
        <w:trPr>
          <w:jc w:val="center"/>
        </w:trPr>
        <w:tc>
          <w:tcPr>
            <w:tcW w:w="3603" w:type="dxa"/>
            <w:hideMark/>
          </w:tcPr>
          <w:p w:rsidR="009F4C38" w:rsidRDefault="009F4C38" w:rsidP="009F4C38">
            <w:pPr>
              <w:widowControl w:val="0"/>
              <w:tabs>
                <w:tab w:val="left" w:pos="1313"/>
              </w:tabs>
              <w:ind w:left="1794" w:right="-1581" w:hanging="142"/>
              <w:rPr>
                <w:b/>
                <w:iCs/>
                <w:sz w:val="22"/>
                <w:szCs w:val="22"/>
              </w:rPr>
            </w:pPr>
          </w:p>
          <w:p w:rsidR="00F56C88" w:rsidRPr="005D1C94" w:rsidRDefault="00F56C88" w:rsidP="009F4C38">
            <w:pPr>
              <w:widowControl w:val="0"/>
              <w:tabs>
                <w:tab w:val="left" w:pos="1313"/>
              </w:tabs>
              <w:ind w:left="1794" w:right="-1581" w:hanging="142"/>
              <w:rPr>
                <w:b/>
                <w:iCs/>
                <w:sz w:val="22"/>
                <w:szCs w:val="22"/>
              </w:rPr>
            </w:pPr>
            <w:r w:rsidRPr="005D1C94">
              <w:rPr>
                <w:b/>
                <w:iCs/>
                <w:sz w:val="22"/>
                <w:szCs w:val="22"/>
              </w:rPr>
              <w:t>Proizvođač:</w:t>
            </w:r>
          </w:p>
        </w:tc>
        <w:tc>
          <w:tcPr>
            <w:tcW w:w="8956" w:type="dxa"/>
            <w:gridSpan w:val="2"/>
            <w:hideMark/>
          </w:tcPr>
          <w:p w:rsidR="009F4C38" w:rsidRDefault="009F4C38" w:rsidP="00092E0C">
            <w:pPr>
              <w:widowControl w:val="0"/>
              <w:tabs>
                <w:tab w:val="left" w:pos="567"/>
              </w:tabs>
              <w:ind w:left="585"/>
              <w:rPr>
                <w:iCs/>
                <w:sz w:val="22"/>
                <w:szCs w:val="22"/>
              </w:rPr>
            </w:pPr>
          </w:p>
          <w:p w:rsidR="00F56C88" w:rsidRPr="005D1C94" w:rsidRDefault="00F56C88" w:rsidP="00092E0C">
            <w:pPr>
              <w:widowControl w:val="0"/>
              <w:tabs>
                <w:tab w:val="left" w:pos="567"/>
              </w:tabs>
              <w:ind w:left="585"/>
              <w:rPr>
                <w:iCs/>
                <w:sz w:val="22"/>
                <w:szCs w:val="22"/>
              </w:rPr>
            </w:pPr>
            <w:r w:rsidRPr="005D1C94">
              <w:rPr>
                <w:iCs/>
                <w:sz w:val="22"/>
                <w:szCs w:val="22"/>
              </w:rPr>
              <w:t>Krka d.d., Novo mesto</w:t>
            </w:r>
          </w:p>
          <w:p w:rsidR="00F56C88" w:rsidRPr="005D1C94" w:rsidRDefault="00F56C88" w:rsidP="00092E0C">
            <w:pPr>
              <w:widowControl w:val="0"/>
              <w:tabs>
                <w:tab w:val="left" w:pos="567"/>
              </w:tabs>
              <w:ind w:left="585"/>
              <w:rPr>
                <w:iCs/>
                <w:sz w:val="22"/>
                <w:szCs w:val="22"/>
              </w:rPr>
            </w:pPr>
            <w:r w:rsidRPr="005D1C94">
              <w:rPr>
                <w:iCs/>
                <w:sz w:val="22"/>
                <w:szCs w:val="22"/>
              </w:rPr>
              <w:t>Krka Polska Sp. z o.o.</w:t>
            </w:r>
          </w:p>
          <w:p w:rsidR="00F56C88" w:rsidRPr="005D1C94" w:rsidRDefault="00F56C88" w:rsidP="00092E0C">
            <w:pPr>
              <w:widowControl w:val="0"/>
              <w:tabs>
                <w:tab w:val="left" w:pos="567"/>
              </w:tabs>
              <w:ind w:left="585"/>
              <w:rPr>
                <w:iCs/>
                <w:sz w:val="22"/>
                <w:szCs w:val="22"/>
              </w:rPr>
            </w:pPr>
            <w:r w:rsidRPr="005D1C94">
              <w:rPr>
                <w:iCs/>
                <w:sz w:val="22"/>
                <w:szCs w:val="22"/>
              </w:rPr>
              <w:t>Krka-Farma d.o.o.</w:t>
            </w:r>
          </w:p>
          <w:p w:rsidR="00F56C88" w:rsidRPr="005D1C94" w:rsidRDefault="00F56C88" w:rsidP="00092E0C">
            <w:pPr>
              <w:widowControl w:val="0"/>
              <w:tabs>
                <w:tab w:val="left" w:pos="567"/>
              </w:tabs>
              <w:ind w:left="585"/>
              <w:rPr>
                <w:bCs/>
                <w:iCs/>
                <w:sz w:val="22"/>
                <w:szCs w:val="22"/>
              </w:rPr>
            </w:pPr>
            <w:r w:rsidRPr="005D1C94">
              <w:rPr>
                <w:iCs/>
                <w:sz w:val="22"/>
                <w:szCs w:val="22"/>
              </w:rPr>
              <w:t>TAD Pharma GmbH</w:t>
            </w:r>
          </w:p>
        </w:tc>
      </w:tr>
      <w:tr w:rsidR="00F56C88" w:rsidRPr="005D1C94" w:rsidTr="00092E0C">
        <w:tblPrEx>
          <w:tblLook w:val="04A0" w:firstRow="1" w:lastRow="0" w:firstColumn="1" w:lastColumn="0" w:noHBand="0" w:noVBand="1"/>
        </w:tblPrEx>
        <w:trPr>
          <w:jc w:val="center"/>
        </w:trPr>
        <w:tc>
          <w:tcPr>
            <w:tcW w:w="3603" w:type="dxa"/>
            <w:hideMark/>
          </w:tcPr>
          <w:p w:rsidR="00F56C88" w:rsidRPr="005D1C94" w:rsidRDefault="00F56C88" w:rsidP="00092E0C">
            <w:pPr>
              <w:widowControl w:val="0"/>
              <w:tabs>
                <w:tab w:val="left" w:pos="1313"/>
              </w:tabs>
              <w:ind w:left="1794" w:right="-1581" w:hanging="142"/>
              <w:rPr>
                <w:b/>
                <w:iCs/>
                <w:sz w:val="22"/>
                <w:szCs w:val="22"/>
              </w:rPr>
            </w:pPr>
          </w:p>
          <w:p w:rsidR="00F56C88" w:rsidRPr="005D1C94" w:rsidRDefault="00F56C88" w:rsidP="00092E0C">
            <w:pPr>
              <w:widowControl w:val="0"/>
              <w:tabs>
                <w:tab w:val="left" w:pos="1313"/>
              </w:tabs>
              <w:ind w:left="1794" w:right="-1581" w:hanging="142"/>
              <w:rPr>
                <w:b/>
                <w:iCs/>
                <w:sz w:val="22"/>
                <w:szCs w:val="22"/>
              </w:rPr>
            </w:pPr>
            <w:r w:rsidRPr="005D1C94">
              <w:rPr>
                <w:b/>
                <w:iCs/>
                <w:sz w:val="22"/>
                <w:szCs w:val="22"/>
              </w:rPr>
              <w:t>Adresa:</w:t>
            </w:r>
          </w:p>
        </w:tc>
        <w:tc>
          <w:tcPr>
            <w:tcW w:w="8956" w:type="dxa"/>
            <w:gridSpan w:val="2"/>
            <w:hideMark/>
          </w:tcPr>
          <w:p w:rsidR="00F56C88" w:rsidRPr="005D1C94" w:rsidRDefault="00F56C88" w:rsidP="00092E0C">
            <w:pPr>
              <w:widowControl w:val="0"/>
              <w:tabs>
                <w:tab w:val="left" w:pos="567"/>
              </w:tabs>
              <w:ind w:left="585"/>
              <w:rPr>
                <w:iCs/>
                <w:sz w:val="22"/>
                <w:szCs w:val="22"/>
              </w:rPr>
            </w:pPr>
          </w:p>
          <w:p w:rsidR="00F56C88" w:rsidRPr="005D1C94" w:rsidRDefault="00F56C88" w:rsidP="00092E0C">
            <w:pPr>
              <w:widowControl w:val="0"/>
              <w:tabs>
                <w:tab w:val="left" w:pos="567"/>
              </w:tabs>
              <w:ind w:left="585"/>
              <w:rPr>
                <w:iCs/>
                <w:sz w:val="22"/>
                <w:szCs w:val="22"/>
              </w:rPr>
            </w:pPr>
            <w:r w:rsidRPr="005D1C94">
              <w:rPr>
                <w:iCs/>
                <w:sz w:val="22"/>
                <w:szCs w:val="22"/>
              </w:rPr>
              <w:t>Šmarješka cesta 6, 8501 Novo mesto, Slovenija</w:t>
            </w:r>
          </w:p>
          <w:p w:rsidR="00F56C88" w:rsidRPr="005D1C94" w:rsidRDefault="00F56C88" w:rsidP="00092E0C">
            <w:pPr>
              <w:widowControl w:val="0"/>
              <w:tabs>
                <w:tab w:val="left" w:pos="567"/>
              </w:tabs>
              <w:ind w:left="585"/>
              <w:rPr>
                <w:iCs/>
                <w:sz w:val="22"/>
                <w:szCs w:val="22"/>
              </w:rPr>
            </w:pPr>
            <w:r w:rsidRPr="005D1C94">
              <w:rPr>
                <w:iCs/>
                <w:sz w:val="22"/>
                <w:szCs w:val="22"/>
              </w:rPr>
              <w:t>Rownolegla Str. 5, 02-235 Warsaw, Poljska</w:t>
            </w:r>
          </w:p>
          <w:p w:rsidR="00F56C88" w:rsidRPr="005D1C94" w:rsidRDefault="00F56C88" w:rsidP="00092E0C">
            <w:pPr>
              <w:widowControl w:val="0"/>
              <w:tabs>
                <w:tab w:val="left" w:pos="567"/>
              </w:tabs>
              <w:ind w:left="585"/>
              <w:rPr>
                <w:iCs/>
                <w:sz w:val="22"/>
                <w:szCs w:val="22"/>
              </w:rPr>
            </w:pPr>
            <w:r w:rsidRPr="005D1C94">
              <w:rPr>
                <w:iCs/>
                <w:sz w:val="22"/>
                <w:szCs w:val="22"/>
              </w:rPr>
              <w:t>Cvetković bb,10450 Jastrebarsko, Hrvatska</w:t>
            </w:r>
          </w:p>
          <w:p w:rsidR="00F56C88" w:rsidRPr="005D1C94" w:rsidRDefault="00F56C88" w:rsidP="00092E0C">
            <w:pPr>
              <w:widowControl w:val="0"/>
              <w:tabs>
                <w:tab w:val="left" w:pos="567"/>
              </w:tabs>
              <w:ind w:left="585"/>
              <w:rPr>
                <w:bCs/>
                <w:iCs/>
                <w:sz w:val="22"/>
                <w:szCs w:val="22"/>
              </w:rPr>
            </w:pPr>
            <w:r w:rsidRPr="005D1C94">
              <w:rPr>
                <w:bCs/>
                <w:iCs/>
                <w:sz w:val="22"/>
                <w:szCs w:val="22"/>
              </w:rPr>
              <w:t>Heinz-Lohmann-Strasse 5, 27472 Cuxhaven, Njemačka</w:t>
            </w:r>
          </w:p>
        </w:tc>
      </w:tr>
      <w:tr w:rsidR="00F56C88" w:rsidRPr="005D1C94" w:rsidTr="00092E0C">
        <w:tblPrEx>
          <w:tblLook w:val="04A0" w:firstRow="1" w:lastRow="0" w:firstColumn="1" w:lastColumn="0" w:noHBand="0" w:noVBand="1"/>
        </w:tblPrEx>
        <w:trPr>
          <w:jc w:val="center"/>
        </w:trPr>
        <w:tc>
          <w:tcPr>
            <w:tcW w:w="3603" w:type="dxa"/>
            <w:vAlign w:val="bottom"/>
            <w:hideMark/>
          </w:tcPr>
          <w:p w:rsidR="00F56C88" w:rsidRPr="005D1C94" w:rsidRDefault="00F56C88" w:rsidP="00092E0C">
            <w:pPr>
              <w:widowControl w:val="0"/>
              <w:tabs>
                <w:tab w:val="left" w:pos="1313"/>
              </w:tabs>
              <w:ind w:left="1794" w:right="-1581" w:hanging="142"/>
              <w:rPr>
                <w:b/>
                <w:iCs/>
                <w:sz w:val="22"/>
                <w:szCs w:val="22"/>
              </w:rPr>
            </w:pPr>
          </w:p>
          <w:p w:rsidR="00F56C88" w:rsidRPr="005D1C94" w:rsidRDefault="00F56C88" w:rsidP="00092E0C">
            <w:pPr>
              <w:widowControl w:val="0"/>
              <w:tabs>
                <w:tab w:val="left" w:pos="1313"/>
              </w:tabs>
              <w:ind w:left="1794" w:right="-1581" w:hanging="142"/>
              <w:rPr>
                <w:b/>
                <w:iCs/>
                <w:sz w:val="22"/>
                <w:szCs w:val="22"/>
              </w:rPr>
            </w:pPr>
            <w:r w:rsidRPr="005D1C94">
              <w:rPr>
                <w:b/>
                <w:iCs/>
                <w:sz w:val="22"/>
                <w:szCs w:val="22"/>
              </w:rPr>
              <w:t>Podnosilac zahtjeva:</w:t>
            </w:r>
          </w:p>
        </w:tc>
        <w:tc>
          <w:tcPr>
            <w:tcW w:w="8956" w:type="dxa"/>
            <w:gridSpan w:val="2"/>
            <w:hideMark/>
          </w:tcPr>
          <w:p w:rsidR="00F56C88" w:rsidRPr="005D1C94" w:rsidRDefault="00F56C88" w:rsidP="00092E0C">
            <w:pPr>
              <w:widowControl w:val="0"/>
              <w:tabs>
                <w:tab w:val="left" w:pos="567"/>
              </w:tabs>
              <w:ind w:left="585"/>
              <w:rPr>
                <w:bCs/>
                <w:iCs/>
                <w:sz w:val="22"/>
                <w:szCs w:val="22"/>
              </w:rPr>
            </w:pPr>
          </w:p>
          <w:p w:rsidR="00F56C88" w:rsidRPr="005D1C94" w:rsidRDefault="009F4C38" w:rsidP="00092E0C">
            <w:pPr>
              <w:widowControl w:val="0"/>
              <w:tabs>
                <w:tab w:val="left" w:pos="567"/>
              </w:tabs>
              <w:ind w:left="585"/>
              <w:rPr>
                <w:bCs/>
                <w:iCs/>
                <w:sz w:val="22"/>
                <w:szCs w:val="22"/>
              </w:rPr>
            </w:pPr>
            <w:r w:rsidRPr="009F4C38">
              <w:rPr>
                <w:bCs/>
                <w:iCs/>
                <w:sz w:val="22"/>
                <w:szCs w:val="22"/>
              </w:rPr>
              <w:t>DSD „KRKA, d.d., Novo mesto“ – predstavništvo Podgorica</w:t>
            </w:r>
          </w:p>
        </w:tc>
      </w:tr>
      <w:tr w:rsidR="00F56C88" w:rsidRPr="005D1C94" w:rsidTr="00092E0C">
        <w:tblPrEx>
          <w:tblLook w:val="04A0" w:firstRow="1" w:lastRow="0" w:firstColumn="1" w:lastColumn="0" w:noHBand="0" w:noVBand="1"/>
        </w:tblPrEx>
        <w:trPr>
          <w:jc w:val="center"/>
        </w:trPr>
        <w:tc>
          <w:tcPr>
            <w:tcW w:w="3603" w:type="dxa"/>
            <w:vAlign w:val="bottom"/>
            <w:hideMark/>
          </w:tcPr>
          <w:p w:rsidR="00F56C88" w:rsidRPr="005D1C94" w:rsidRDefault="00F56C88" w:rsidP="00092E0C">
            <w:pPr>
              <w:widowControl w:val="0"/>
              <w:tabs>
                <w:tab w:val="left" w:pos="1313"/>
              </w:tabs>
              <w:ind w:left="1794" w:right="-1581" w:hanging="142"/>
              <w:rPr>
                <w:b/>
                <w:iCs/>
                <w:sz w:val="22"/>
                <w:szCs w:val="22"/>
              </w:rPr>
            </w:pPr>
          </w:p>
          <w:p w:rsidR="00F56C88" w:rsidRPr="005D1C94" w:rsidRDefault="00F56C88" w:rsidP="00092E0C">
            <w:pPr>
              <w:widowControl w:val="0"/>
              <w:tabs>
                <w:tab w:val="left" w:pos="1313"/>
              </w:tabs>
              <w:ind w:left="1794" w:right="-1581" w:hanging="142"/>
              <w:rPr>
                <w:b/>
                <w:iCs/>
                <w:sz w:val="22"/>
                <w:szCs w:val="22"/>
              </w:rPr>
            </w:pPr>
            <w:r w:rsidRPr="005D1C94">
              <w:rPr>
                <w:b/>
                <w:iCs/>
                <w:sz w:val="22"/>
                <w:szCs w:val="22"/>
              </w:rPr>
              <w:t>Adresa:</w:t>
            </w:r>
          </w:p>
        </w:tc>
        <w:tc>
          <w:tcPr>
            <w:tcW w:w="8956" w:type="dxa"/>
            <w:gridSpan w:val="2"/>
            <w:vAlign w:val="center"/>
            <w:hideMark/>
          </w:tcPr>
          <w:p w:rsidR="00F56C88" w:rsidRPr="005D1C94" w:rsidRDefault="00F56C88" w:rsidP="00092E0C">
            <w:pPr>
              <w:widowControl w:val="0"/>
              <w:tabs>
                <w:tab w:val="left" w:pos="567"/>
              </w:tabs>
              <w:ind w:left="585"/>
              <w:rPr>
                <w:bCs/>
                <w:iCs/>
                <w:sz w:val="22"/>
                <w:szCs w:val="22"/>
              </w:rPr>
            </w:pPr>
          </w:p>
          <w:p w:rsidR="00F56C88" w:rsidRPr="005D1C94" w:rsidRDefault="0031789B" w:rsidP="009F4C38">
            <w:pPr>
              <w:widowControl w:val="0"/>
              <w:tabs>
                <w:tab w:val="left" w:pos="567"/>
              </w:tabs>
              <w:ind w:left="585"/>
              <w:rPr>
                <w:bCs/>
                <w:iCs/>
                <w:sz w:val="22"/>
                <w:szCs w:val="22"/>
              </w:rPr>
            </w:pPr>
            <w:r>
              <w:rPr>
                <w:bCs/>
                <w:iCs/>
                <w:sz w:val="22"/>
                <w:szCs w:val="22"/>
              </w:rPr>
              <w:t xml:space="preserve">Svetlane </w:t>
            </w:r>
            <w:r w:rsidR="009F4C38" w:rsidRPr="009F4C38">
              <w:rPr>
                <w:bCs/>
                <w:iCs/>
                <w:sz w:val="22"/>
                <w:szCs w:val="22"/>
              </w:rPr>
              <w:t>Kane Radević br. 3, 81000 Podgorica, Crna Gora</w:t>
            </w:r>
          </w:p>
        </w:tc>
      </w:tr>
    </w:tbl>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F56C88">
      <w:pPr>
        <w:widowControl w:val="0"/>
        <w:tabs>
          <w:tab w:val="left" w:pos="567"/>
        </w:tabs>
        <w:rPr>
          <w:b/>
          <w:sz w:val="22"/>
          <w:szCs w:val="22"/>
        </w:rPr>
      </w:pPr>
    </w:p>
    <w:p w:rsidR="00F56C88" w:rsidRPr="005D1C94" w:rsidRDefault="00F56C88" w:rsidP="005D1C94">
      <w:pPr>
        <w:widowControl w:val="0"/>
        <w:tabs>
          <w:tab w:val="left" w:pos="567"/>
        </w:tabs>
        <w:jc w:val="both"/>
        <w:rPr>
          <w:b/>
          <w:sz w:val="22"/>
          <w:szCs w:val="22"/>
        </w:rPr>
      </w:pPr>
      <w:r w:rsidRPr="005D1C94">
        <w:rPr>
          <w:b/>
          <w:sz w:val="22"/>
          <w:szCs w:val="22"/>
        </w:rPr>
        <w:lastRenderedPageBreak/>
        <w:t>1.</w:t>
      </w:r>
      <w:r w:rsidRPr="005D1C94">
        <w:rPr>
          <w:b/>
          <w:sz w:val="22"/>
          <w:szCs w:val="22"/>
        </w:rPr>
        <w:tab/>
        <w:t>NAZIV LIJEKA</w:t>
      </w:r>
    </w:p>
    <w:p w:rsidR="00F56C88" w:rsidRPr="005D1C94" w:rsidRDefault="00F56C88" w:rsidP="005D1C94">
      <w:pPr>
        <w:widowControl w:val="0"/>
        <w:tabs>
          <w:tab w:val="num" w:pos="120"/>
        </w:tabs>
        <w:jc w:val="both"/>
        <w:rPr>
          <w:sz w:val="22"/>
          <w:szCs w:val="22"/>
        </w:rPr>
      </w:pPr>
    </w:p>
    <w:p w:rsidR="00F56C88" w:rsidRPr="005D1C94" w:rsidRDefault="00F56C88" w:rsidP="005D1C94">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40 mg + 12,5 mg tablete</w:t>
      </w:r>
    </w:p>
    <w:p w:rsidR="00F56C88" w:rsidRPr="005D1C94" w:rsidRDefault="00F56C88" w:rsidP="005D1C94">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80 mg + 12,5 mg tablete</w:t>
      </w:r>
    </w:p>
    <w:p w:rsidR="00F56C88" w:rsidRPr="005D1C94" w:rsidRDefault="00F56C88" w:rsidP="005D1C94">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80 mg + 25 mg tablete</w:t>
      </w:r>
    </w:p>
    <w:p w:rsidR="00F56C88" w:rsidRPr="005D1C94" w:rsidRDefault="00F56C88" w:rsidP="005D1C94">
      <w:pPr>
        <w:widowControl w:val="0"/>
        <w:tabs>
          <w:tab w:val="num" w:pos="120"/>
        </w:tabs>
        <w:jc w:val="both"/>
        <w:rPr>
          <w:i/>
          <w:sz w:val="22"/>
          <w:szCs w:val="22"/>
        </w:rPr>
      </w:pPr>
    </w:p>
    <w:p w:rsidR="00F56C88" w:rsidRPr="005D1C94" w:rsidRDefault="00F56C88" w:rsidP="005D1C94">
      <w:pPr>
        <w:widowControl w:val="0"/>
        <w:tabs>
          <w:tab w:val="num" w:pos="120"/>
        </w:tabs>
        <w:jc w:val="both"/>
        <w:rPr>
          <w:sz w:val="22"/>
          <w:szCs w:val="22"/>
        </w:rPr>
      </w:pPr>
    </w:p>
    <w:p w:rsidR="00F56C88" w:rsidRPr="005D1C94" w:rsidRDefault="00F56C88" w:rsidP="005D1C94">
      <w:pPr>
        <w:widowControl w:val="0"/>
        <w:tabs>
          <w:tab w:val="left" w:pos="567"/>
        </w:tabs>
        <w:jc w:val="both"/>
        <w:rPr>
          <w:b/>
          <w:sz w:val="22"/>
          <w:szCs w:val="22"/>
        </w:rPr>
      </w:pPr>
      <w:r w:rsidRPr="005D1C94">
        <w:rPr>
          <w:b/>
          <w:sz w:val="22"/>
          <w:szCs w:val="22"/>
        </w:rPr>
        <w:t>2.</w:t>
      </w:r>
      <w:r w:rsidRPr="005D1C94">
        <w:rPr>
          <w:b/>
          <w:sz w:val="22"/>
          <w:szCs w:val="22"/>
        </w:rPr>
        <w:tab/>
        <w:t>KVALITATIVNI I KVANTITAVNI SASTAV</w:t>
      </w:r>
    </w:p>
    <w:p w:rsidR="00F56C88" w:rsidRPr="005D1C94" w:rsidRDefault="00F56C88" w:rsidP="005D1C94">
      <w:pPr>
        <w:widowControl w:val="0"/>
        <w:tabs>
          <w:tab w:val="num" w:pos="120"/>
        </w:tabs>
        <w:jc w:val="both"/>
        <w:rPr>
          <w:b/>
          <w:sz w:val="22"/>
          <w:szCs w:val="22"/>
        </w:rPr>
      </w:pPr>
    </w:p>
    <w:p w:rsidR="00F56C88" w:rsidRPr="005D1C94" w:rsidRDefault="00F56C88" w:rsidP="005D1C94">
      <w:pPr>
        <w:widowControl w:val="0"/>
        <w:tabs>
          <w:tab w:val="num" w:pos="120"/>
        </w:tabs>
        <w:jc w:val="both"/>
        <w:rPr>
          <w:sz w:val="22"/>
          <w:szCs w:val="22"/>
        </w:rPr>
      </w:pPr>
      <w:r w:rsidRPr="005D1C94">
        <w:rPr>
          <w:sz w:val="22"/>
          <w:szCs w:val="22"/>
        </w:rPr>
        <w:t>Jedna tableta sadrži 40 mg telmisartana i 12,5 mg hidrohlortiazida.</w:t>
      </w:r>
    </w:p>
    <w:p w:rsidR="00F56C88" w:rsidRPr="005D1C94" w:rsidRDefault="00F56C88" w:rsidP="005D1C94">
      <w:pPr>
        <w:widowControl w:val="0"/>
        <w:tabs>
          <w:tab w:val="num" w:pos="120"/>
        </w:tabs>
        <w:jc w:val="both"/>
        <w:rPr>
          <w:sz w:val="22"/>
          <w:szCs w:val="22"/>
        </w:rPr>
      </w:pPr>
      <w:r w:rsidRPr="005D1C94">
        <w:rPr>
          <w:sz w:val="22"/>
          <w:szCs w:val="22"/>
        </w:rPr>
        <w:t>Jedna tableta sadrži 80 mg telmisartana i 12,5 mg hidrohlortiazida.</w:t>
      </w:r>
    </w:p>
    <w:p w:rsidR="00F56C88" w:rsidRPr="005D1C94" w:rsidRDefault="00F56C88" w:rsidP="005D1C94">
      <w:pPr>
        <w:widowControl w:val="0"/>
        <w:tabs>
          <w:tab w:val="num" w:pos="120"/>
        </w:tabs>
        <w:jc w:val="both"/>
        <w:rPr>
          <w:sz w:val="22"/>
          <w:szCs w:val="22"/>
        </w:rPr>
      </w:pPr>
      <w:r w:rsidRPr="005D1C94">
        <w:rPr>
          <w:sz w:val="22"/>
          <w:szCs w:val="22"/>
        </w:rPr>
        <w:t>Jedna tableta sadrži 80 mg telmisartana i 25 mg hidrohlortiazida.</w:t>
      </w:r>
    </w:p>
    <w:p w:rsidR="00F56C88" w:rsidRPr="005D1C94" w:rsidRDefault="00F56C88" w:rsidP="005D1C94">
      <w:pPr>
        <w:widowControl w:val="0"/>
        <w:tabs>
          <w:tab w:val="num" w:pos="120"/>
        </w:tabs>
        <w:jc w:val="both"/>
        <w:rPr>
          <w:sz w:val="22"/>
          <w:szCs w:val="22"/>
        </w:rPr>
      </w:pPr>
    </w:p>
    <w:p w:rsidR="00F56C88" w:rsidRPr="005D1C94" w:rsidRDefault="00F56C88" w:rsidP="005D1C94">
      <w:pPr>
        <w:widowControl w:val="0"/>
        <w:tabs>
          <w:tab w:val="num" w:pos="120"/>
        </w:tabs>
        <w:jc w:val="both"/>
        <w:rPr>
          <w:sz w:val="22"/>
          <w:szCs w:val="22"/>
          <w:u w:val="single"/>
        </w:rPr>
      </w:pPr>
      <w:r w:rsidRPr="005D1C94">
        <w:rPr>
          <w:sz w:val="22"/>
          <w:szCs w:val="22"/>
          <w:u w:val="single"/>
        </w:rPr>
        <w:t>Pomoćne supstance sa potvrđenim dejstvom:</w:t>
      </w:r>
    </w:p>
    <w:p w:rsidR="00F56C88" w:rsidRPr="005D1C94" w:rsidRDefault="00F56C88" w:rsidP="005D1C94">
      <w:pPr>
        <w:widowControl w:val="0"/>
        <w:tabs>
          <w:tab w:val="num" w:pos="120"/>
        </w:tabs>
        <w:jc w:val="both"/>
        <w:rPr>
          <w:sz w:val="22"/>
          <w:szCs w:val="22"/>
        </w:rPr>
      </w:pPr>
      <w:r w:rsidRPr="005D1C94">
        <w:rPr>
          <w:sz w:val="22"/>
          <w:szCs w:val="22"/>
        </w:rPr>
        <w:t>Jedna tableta sadrži 57 mg laktoze (u obliku monohidrata) i 147,04 mg sorbitola (E420).</w:t>
      </w:r>
    </w:p>
    <w:p w:rsidR="00F56C88" w:rsidRPr="005D1C94" w:rsidRDefault="00F56C88" w:rsidP="005D1C94">
      <w:pPr>
        <w:widowControl w:val="0"/>
        <w:tabs>
          <w:tab w:val="num" w:pos="120"/>
        </w:tabs>
        <w:jc w:val="both"/>
        <w:rPr>
          <w:sz w:val="22"/>
          <w:szCs w:val="22"/>
        </w:rPr>
      </w:pPr>
      <w:r w:rsidRPr="005D1C94">
        <w:rPr>
          <w:sz w:val="22"/>
          <w:szCs w:val="22"/>
        </w:rPr>
        <w:t>Jedna tableta sadrži 114 mg laktoza (u obliku monohidrata) i 294,08 mg sorbitola (E420).</w:t>
      </w:r>
    </w:p>
    <w:p w:rsidR="00F56C88" w:rsidRPr="005D1C94" w:rsidRDefault="00F56C88" w:rsidP="005D1C94">
      <w:pPr>
        <w:widowControl w:val="0"/>
        <w:tabs>
          <w:tab w:val="num" w:pos="120"/>
        </w:tabs>
        <w:jc w:val="both"/>
        <w:rPr>
          <w:sz w:val="22"/>
          <w:szCs w:val="22"/>
        </w:rPr>
      </w:pPr>
      <w:r w:rsidRPr="005D1C94">
        <w:rPr>
          <w:sz w:val="22"/>
          <w:szCs w:val="22"/>
        </w:rPr>
        <w:t>Jedna tableta sadrži 114 mg laktoze (u obliku monohidrata) i 294,08 mg sorbitola (E420).</w:t>
      </w:r>
    </w:p>
    <w:p w:rsidR="00F56C88" w:rsidRPr="005D1C94" w:rsidRDefault="00F56C88" w:rsidP="005D1C94">
      <w:pPr>
        <w:widowControl w:val="0"/>
        <w:tabs>
          <w:tab w:val="num" w:pos="120"/>
        </w:tabs>
        <w:jc w:val="both"/>
        <w:rPr>
          <w:sz w:val="22"/>
          <w:szCs w:val="22"/>
        </w:rPr>
      </w:pPr>
    </w:p>
    <w:p w:rsidR="00F56C88" w:rsidRPr="005D1C94" w:rsidRDefault="00F56C88" w:rsidP="005D1C94">
      <w:pPr>
        <w:widowControl w:val="0"/>
        <w:tabs>
          <w:tab w:val="num" w:pos="120"/>
        </w:tabs>
        <w:jc w:val="both"/>
        <w:rPr>
          <w:sz w:val="22"/>
          <w:szCs w:val="22"/>
        </w:rPr>
      </w:pPr>
      <w:r w:rsidRPr="005D1C94">
        <w:rPr>
          <w:sz w:val="22"/>
          <w:szCs w:val="22"/>
        </w:rPr>
        <w:t>Za listu svih pomoćnih supstanci vidjeti odjeljak 6.1.</w:t>
      </w:r>
    </w:p>
    <w:p w:rsidR="00F56C88" w:rsidRPr="005D1C94" w:rsidRDefault="00F56C88" w:rsidP="00F56C88">
      <w:pPr>
        <w:widowControl w:val="0"/>
        <w:tabs>
          <w:tab w:val="num" w:pos="120"/>
        </w:tabs>
        <w:rPr>
          <w:sz w:val="22"/>
          <w:szCs w:val="22"/>
        </w:rPr>
      </w:pPr>
    </w:p>
    <w:p w:rsidR="00F56C88" w:rsidRPr="005D1C94" w:rsidRDefault="00F56C88" w:rsidP="00F56C88">
      <w:pPr>
        <w:widowControl w:val="0"/>
        <w:tabs>
          <w:tab w:val="num" w:pos="120"/>
        </w:tabs>
        <w:rPr>
          <w:sz w:val="22"/>
          <w:szCs w:val="22"/>
        </w:rPr>
      </w:pPr>
    </w:p>
    <w:p w:rsidR="00F56C88" w:rsidRPr="005D1C94" w:rsidRDefault="00F56C88" w:rsidP="00F56C88">
      <w:pPr>
        <w:widowControl w:val="0"/>
        <w:tabs>
          <w:tab w:val="left" w:pos="567"/>
        </w:tabs>
        <w:rPr>
          <w:b/>
          <w:sz w:val="22"/>
          <w:szCs w:val="22"/>
        </w:rPr>
      </w:pPr>
      <w:r w:rsidRPr="005D1C94">
        <w:rPr>
          <w:b/>
          <w:sz w:val="22"/>
          <w:szCs w:val="22"/>
        </w:rPr>
        <w:t>3.</w:t>
      </w:r>
      <w:r w:rsidRPr="005D1C94">
        <w:rPr>
          <w:b/>
          <w:sz w:val="22"/>
          <w:szCs w:val="22"/>
        </w:rPr>
        <w:tab/>
        <w:t>FARMACEUTSKI OBLIK</w:t>
      </w:r>
    </w:p>
    <w:p w:rsidR="00F56C88" w:rsidRPr="005D1C94" w:rsidRDefault="00F56C88" w:rsidP="00F56C88">
      <w:pPr>
        <w:widowControl w:val="0"/>
        <w:tabs>
          <w:tab w:val="num" w:pos="120"/>
        </w:tabs>
        <w:rPr>
          <w:b/>
          <w:sz w:val="22"/>
          <w:szCs w:val="22"/>
        </w:rPr>
      </w:pPr>
    </w:p>
    <w:p w:rsidR="00F56C88" w:rsidRPr="005D1C94" w:rsidRDefault="00F56C88" w:rsidP="00F56C88">
      <w:pPr>
        <w:widowControl w:val="0"/>
        <w:tabs>
          <w:tab w:val="num" w:pos="120"/>
        </w:tabs>
        <w:jc w:val="both"/>
        <w:rPr>
          <w:sz w:val="22"/>
          <w:szCs w:val="22"/>
        </w:rPr>
      </w:pPr>
      <w:r w:rsidRPr="005D1C94">
        <w:rPr>
          <w:sz w:val="22"/>
          <w:szCs w:val="22"/>
        </w:rPr>
        <w:t>Tableta.</w:t>
      </w:r>
    </w:p>
    <w:p w:rsidR="00F56C88" w:rsidRPr="005D1C94" w:rsidRDefault="00F56C88" w:rsidP="00F56C88">
      <w:pPr>
        <w:widowControl w:val="0"/>
        <w:tabs>
          <w:tab w:val="num" w:pos="120"/>
        </w:tabs>
        <w:jc w:val="both"/>
        <w:rPr>
          <w:sz w:val="22"/>
          <w:szCs w:val="22"/>
        </w:rPr>
      </w:pPr>
      <w:r w:rsidRPr="005D1C94">
        <w:rPr>
          <w:noProof/>
          <w:sz w:val="22"/>
          <w:szCs w:val="22"/>
        </w:rPr>
        <w:t>40 mg</w:t>
      </w:r>
      <w:r w:rsidRPr="005D1C94">
        <w:rPr>
          <w:sz w:val="22"/>
          <w:szCs w:val="22"/>
        </w:rPr>
        <w:t xml:space="preserve"> + </w:t>
      </w:r>
      <w:r w:rsidRPr="005D1C94">
        <w:rPr>
          <w:noProof/>
          <w:sz w:val="22"/>
          <w:szCs w:val="22"/>
        </w:rPr>
        <w:t>12,5 mg tablete: dvoslojna, bikonveksna, ovalna tableta, bijela do gotovo bijela ili ružičasto-bijela na jednoj strani, ružičasto mramorisana na suprotnoj strani, veličine 15 mm x 7 mm.</w:t>
      </w:r>
    </w:p>
    <w:p w:rsidR="00F56C88" w:rsidRPr="005D1C94" w:rsidRDefault="00F56C88" w:rsidP="00F56C88">
      <w:pPr>
        <w:widowControl w:val="0"/>
        <w:tabs>
          <w:tab w:val="num" w:pos="120"/>
        </w:tabs>
        <w:jc w:val="both"/>
        <w:rPr>
          <w:noProof/>
          <w:sz w:val="22"/>
          <w:szCs w:val="22"/>
        </w:rPr>
      </w:pPr>
    </w:p>
    <w:p w:rsidR="00F56C88" w:rsidRPr="005D1C94" w:rsidRDefault="00F56C88" w:rsidP="00F56C88">
      <w:pPr>
        <w:widowControl w:val="0"/>
        <w:tabs>
          <w:tab w:val="num" w:pos="120"/>
        </w:tabs>
        <w:jc w:val="both"/>
        <w:rPr>
          <w:sz w:val="22"/>
          <w:szCs w:val="22"/>
        </w:rPr>
      </w:pPr>
      <w:r w:rsidRPr="005D1C94">
        <w:rPr>
          <w:noProof/>
          <w:sz w:val="22"/>
          <w:szCs w:val="22"/>
        </w:rPr>
        <w:t>80 mg</w:t>
      </w:r>
      <w:r w:rsidRPr="005D1C94">
        <w:rPr>
          <w:sz w:val="22"/>
          <w:szCs w:val="22"/>
        </w:rPr>
        <w:t xml:space="preserve"> + </w:t>
      </w:r>
      <w:r w:rsidRPr="005D1C94">
        <w:rPr>
          <w:noProof/>
          <w:sz w:val="22"/>
          <w:szCs w:val="22"/>
        </w:rPr>
        <w:t>12,5 mg tablete: dvoslojna, bikonveksna, ovalna tableta, bijela do gotovo bijela ili ružičasto-bijela na jednoj strani, ružičasto mramorisana na suprotnoj strani, veličine 18 mm x 9 mm.</w:t>
      </w:r>
    </w:p>
    <w:p w:rsidR="00F56C88" w:rsidRPr="005D1C94" w:rsidRDefault="00F56C88" w:rsidP="00F56C88">
      <w:pPr>
        <w:widowControl w:val="0"/>
        <w:tabs>
          <w:tab w:val="num" w:pos="120"/>
        </w:tabs>
        <w:jc w:val="both"/>
        <w:rPr>
          <w:noProof/>
          <w:sz w:val="22"/>
          <w:szCs w:val="22"/>
        </w:rPr>
      </w:pPr>
    </w:p>
    <w:p w:rsidR="00F56C88" w:rsidRPr="005D1C94" w:rsidRDefault="00F56C88" w:rsidP="00F56C88">
      <w:pPr>
        <w:widowControl w:val="0"/>
        <w:tabs>
          <w:tab w:val="num" w:pos="120"/>
        </w:tabs>
        <w:jc w:val="both"/>
        <w:rPr>
          <w:sz w:val="22"/>
          <w:szCs w:val="22"/>
        </w:rPr>
      </w:pPr>
      <w:r w:rsidRPr="005D1C94">
        <w:rPr>
          <w:noProof/>
          <w:sz w:val="22"/>
          <w:szCs w:val="22"/>
        </w:rPr>
        <w:t>80 mg</w:t>
      </w:r>
      <w:r w:rsidRPr="005D1C94">
        <w:rPr>
          <w:sz w:val="22"/>
          <w:szCs w:val="22"/>
        </w:rPr>
        <w:t xml:space="preserve"> + </w:t>
      </w:r>
      <w:r w:rsidRPr="005D1C94">
        <w:rPr>
          <w:noProof/>
          <w:sz w:val="22"/>
          <w:szCs w:val="22"/>
        </w:rPr>
        <w:t>25 mg tablete: dvoslojna, bikonveksna, ovalna tableta, bijela do žućkasto-bijela na jednoj strani, žuto mramorisana na suprotnoj strani, veličine 18 mm x 9 mm.</w:t>
      </w:r>
    </w:p>
    <w:p w:rsidR="00F56C88" w:rsidRPr="005D1C94" w:rsidRDefault="00F56C88" w:rsidP="00F56C88">
      <w:pPr>
        <w:widowControl w:val="0"/>
        <w:tabs>
          <w:tab w:val="num" w:pos="120"/>
        </w:tabs>
        <w:rPr>
          <w:sz w:val="22"/>
          <w:szCs w:val="22"/>
        </w:rPr>
      </w:pPr>
    </w:p>
    <w:p w:rsidR="00F56C88" w:rsidRPr="005D1C94" w:rsidRDefault="00F56C88" w:rsidP="00F56C88">
      <w:pPr>
        <w:widowControl w:val="0"/>
        <w:tabs>
          <w:tab w:val="num" w:pos="120"/>
        </w:tabs>
        <w:rPr>
          <w:sz w:val="22"/>
          <w:szCs w:val="22"/>
        </w:rPr>
      </w:pPr>
    </w:p>
    <w:p w:rsidR="00F56C88" w:rsidRPr="005D1C94" w:rsidRDefault="00F56C88" w:rsidP="00F56C88">
      <w:pPr>
        <w:widowControl w:val="0"/>
        <w:tabs>
          <w:tab w:val="left" w:pos="567"/>
        </w:tabs>
        <w:rPr>
          <w:b/>
          <w:sz w:val="22"/>
          <w:szCs w:val="22"/>
        </w:rPr>
      </w:pPr>
      <w:r w:rsidRPr="005D1C94">
        <w:rPr>
          <w:b/>
          <w:sz w:val="22"/>
          <w:szCs w:val="22"/>
        </w:rPr>
        <w:t>4.</w:t>
      </w:r>
      <w:r w:rsidRPr="005D1C94">
        <w:rPr>
          <w:b/>
          <w:sz w:val="22"/>
          <w:szCs w:val="22"/>
        </w:rPr>
        <w:tab/>
        <w:t>KLINIČKI PODACI</w:t>
      </w:r>
    </w:p>
    <w:p w:rsidR="00F56C88" w:rsidRPr="005D1C94" w:rsidRDefault="00F56C88" w:rsidP="00F56C88">
      <w:pPr>
        <w:widowControl w:val="0"/>
        <w:tabs>
          <w:tab w:val="num" w:pos="120"/>
        </w:tabs>
        <w:rPr>
          <w:b/>
          <w:sz w:val="22"/>
          <w:szCs w:val="22"/>
        </w:rPr>
      </w:pPr>
    </w:p>
    <w:p w:rsidR="00F56C88" w:rsidRPr="005D1C94" w:rsidRDefault="00F56C88" w:rsidP="00F56C88">
      <w:pPr>
        <w:widowControl w:val="0"/>
        <w:tabs>
          <w:tab w:val="num" w:pos="567"/>
        </w:tabs>
        <w:rPr>
          <w:b/>
          <w:sz w:val="22"/>
          <w:szCs w:val="22"/>
        </w:rPr>
      </w:pPr>
      <w:r w:rsidRPr="005D1C94">
        <w:rPr>
          <w:b/>
          <w:sz w:val="22"/>
          <w:szCs w:val="22"/>
        </w:rPr>
        <w:t>4.1</w:t>
      </w:r>
      <w:r w:rsidRPr="005D1C94">
        <w:rPr>
          <w:b/>
          <w:sz w:val="22"/>
          <w:szCs w:val="22"/>
        </w:rPr>
        <w:tab/>
        <w:t>Terapijske indikacije</w:t>
      </w:r>
    </w:p>
    <w:p w:rsidR="00F56C88" w:rsidRPr="005D1C94" w:rsidRDefault="00F56C88" w:rsidP="00F56C88">
      <w:pPr>
        <w:widowControl w:val="0"/>
        <w:tabs>
          <w:tab w:val="num" w:pos="120"/>
        </w:tabs>
        <w:rPr>
          <w:b/>
          <w:sz w:val="22"/>
          <w:szCs w:val="22"/>
        </w:rPr>
      </w:pPr>
    </w:p>
    <w:p w:rsidR="00F56C88" w:rsidRPr="005D1C94" w:rsidRDefault="00F56C88" w:rsidP="00F56C88">
      <w:pPr>
        <w:widowControl w:val="0"/>
        <w:tabs>
          <w:tab w:val="num" w:pos="120"/>
        </w:tabs>
        <w:jc w:val="both"/>
        <w:rPr>
          <w:sz w:val="22"/>
          <w:szCs w:val="22"/>
        </w:rPr>
      </w:pPr>
      <w:r w:rsidRPr="005D1C94">
        <w:rPr>
          <w:sz w:val="22"/>
          <w:szCs w:val="22"/>
        </w:rPr>
        <w:t>Liječenje esencijalne hipertenzije.</w:t>
      </w:r>
    </w:p>
    <w:p w:rsidR="00F56C88" w:rsidRPr="005D1C94" w:rsidRDefault="00F56C88" w:rsidP="00F56C88">
      <w:pPr>
        <w:widowControl w:val="0"/>
        <w:tabs>
          <w:tab w:val="num" w:pos="120"/>
        </w:tabs>
        <w:jc w:val="both"/>
        <w:rPr>
          <w:i/>
          <w:sz w:val="22"/>
          <w:szCs w:val="22"/>
        </w:rPr>
      </w:pPr>
    </w:p>
    <w:p w:rsidR="00F56C88" w:rsidRPr="005D1C94" w:rsidRDefault="00F56C88" w:rsidP="00F56C88">
      <w:pPr>
        <w:widowControl w:val="0"/>
        <w:tabs>
          <w:tab w:val="num" w:pos="120"/>
        </w:tabs>
        <w:jc w:val="both"/>
        <w:rPr>
          <w:i/>
          <w:sz w:val="22"/>
          <w:szCs w:val="22"/>
          <w:u w:val="single"/>
        </w:rPr>
      </w:pPr>
      <w:r w:rsidRPr="005D1C94">
        <w:rPr>
          <w:i/>
          <w:sz w:val="22"/>
          <w:szCs w:val="22"/>
          <w:u w:val="single"/>
        </w:rPr>
        <w:t>Tolucombi</w:t>
      </w:r>
      <w:r w:rsidRPr="005D1C94">
        <w:rPr>
          <w:b/>
          <w:bCs/>
          <w:i/>
          <w:iCs/>
          <w:sz w:val="22"/>
          <w:szCs w:val="22"/>
          <w:u w:val="single"/>
          <w:vertAlign w:val="superscript"/>
        </w:rPr>
        <w:t>®</w:t>
      </w:r>
      <w:r w:rsidRPr="005D1C94">
        <w:rPr>
          <w:i/>
          <w:sz w:val="22"/>
          <w:szCs w:val="22"/>
          <w:u w:val="single"/>
        </w:rPr>
        <w:t xml:space="preserve"> 40 mg + 12,5 mg i Tolucombi</w:t>
      </w:r>
      <w:r w:rsidRPr="005D1C94">
        <w:rPr>
          <w:b/>
          <w:bCs/>
          <w:i/>
          <w:iCs/>
          <w:sz w:val="22"/>
          <w:szCs w:val="22"/>
          <w:u w:val="single"/>
          <w:vertAlign w:val="superscript"/>
        </w:rPr>
        <w:t>®</w:t>
      </w:r>
      <w:r w:rsidRPr="005D1C94">
        <w:rPr>
          <w:i/>
          <w:sz w:val="22"/>
          <w:szCs w:val="22"/>
          <w:u w:val="single"/>
        </w:rPr>
        <w:t xml:space="preserve"> 80 mg + 12,5 mg tablete</w:t>
      </w:r>
    </w:p>
    <w:p w:rsidR="00F56C88" w:rsidRPr="005D1C94" w:rsidRDefault="00F56C88" w:rsidP="00F56C88">
      <w:pPr>
        <w:widowControl w:val="0"/>
        <w:tabs>
          <w:tab w:val="num" w:pos="120"/>
        </w:tabs>
        <w:jc w:val="both"/>
        <w:rPr>
          <w:sz w:val="22"/>
          <w:szCs w:val="22"/>
        </w:rPr>
      </w:pPr>
      <w:r w:rsidRPr="005D1C94">
        <w:rPr>
          <w:sz w:val="22"/>
          <w:szCs w:val="22"/>
        </w:rPr>
        <w:t>Fiksna kombinacija, Tolucombi</w:t>
      </w:r>
      <w:r w:rsidRPr="005D1C94">
        <w:rPr>
          <w:b/>
          <w:bCs/>
          <w:iCs/>
          <w:sz w:val="22"/>
          <w:szCs w:val="22"/>
          <w:vertAlign w:val="superscript"/>
        </w:rPr>
        <w:t>®</w:t>
      </w:r>
      <w:r w:rsidRPr="005D1C94">
        <w:rPr>
          <w:sz w:val="22"/>
          <w:szCs w:val="22"/>
        </w:rPr>
        <w:t xml:space="preserve"> 40 mg + 12,5 mg i Tolucombi</w:t>
      </w:r>
      <w:r w:rsidRPr="005D1C94">
        <w:rPr>
          <w:b/>
          <w:bCs/>
          <w:iCs/>
          <w:sz w:val="22"/>
          <w:szCs w:val="22"/>
          <w:vertAlign w:val="superscript"/>
        </w:rPr>
        <w:t>®</w:t>
      </w:r>
      <w:r w:rsidRPr="005D1C94">
        <w:rPr>
          <w:sz w:val="22"/>
          <w:szCs w:val="22"/>
        </w:rPr>
        <w:t xml:space="preserve"> 80 mg + 12,5 mg, indikovana je kod odraslih pacijenata čiji krvni pritisak nije adekvatno kontrolisan primjenom telmisartana pojedinačno.</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i/>
          <w:sz w:val="22"/>
          <w:szCs w:val="22"/>
          <w:u w:val="single"/>
        </w:rPr>
      </w:pPr>
      <w:r w:rsidRPr="005D1C94">
        <w:rPr>
          <w:i/>
          <w:sz w:val="22"/>
          <w:szCs w:val="22"/>
          <w:u w:val="single"/>
        </w:rPr>
        <w:lastRenderedPageBreak/>
        <w:t>Tolucombi</w:t>
      </w:r>
      <w:r w:rsidRPr="005D1C94">
        <w:rPr>
          <w:b/>
          <w:bCs/>
          <w:iCs/>
          <w:sz w:val="22"/>
          <w:szCs w:val="22"/>
          <w:u w:val="single"/>
          <w:vertAlign w:val="superscript"/>
        </w:rPr>
        <w:t>®</w:t>
      </w:r>
      <w:r w:rsidRPr="005D1C94">
        <w:rPr>
          <w:i/>
          <w:sz w:val="22"/>
          <w:szCs w:val="22"/>
          <w:u w:val="single"/>
        </w:rPr>
        <w:t xml:space="preserve"> 80 mg + 25 mg tablete</w:t>
      </w:r>
    </w:p>
    <w:p w:rsidR="00F56C88" w:rsidRPr="005D1C94" w:rsidRDefault="00F56C88" w:rsidP="00F56C88">
      <w:pPr>
        <w:tabs>
          <w:tab w:val="num" w:pos="120"/>
        </w:tabs>
        <w:jc w:val="both"/>
        <w:rPr>
          <w:sz w:val="22"/>
          <w:szCs w:val="22"/>
        </w:rPr>
      </w:pPr>
      <w:r w:rsidRPr="005D1C94">
        <w:rPr>
          <w:sz w:val="22"/>
          <w:szCs w:val="22"/>
        </w:rPr>
        <w:t>Fiksna kombinacija, Tolucombi</w:t>
      </w:r>
      <w:r w:rsidRPr="005D1C94">
        <w:rPr>
          <w:b/>
          <w:bCs/>
          <w:iCs/>
          <w:sz w:val="22"/>
          <w:szCs w:val="22"/>
          <w:vertAlign w:val="superscript"/>
        </w:rPr>
        <w:t>®</w:t>
      </w:r>
      <w:r w:rsidRPr="005D1C94">
        <w:rPr>
          <w:sz w:val="22"/>
          <w:szCs w:val="22"/>
        </w:rPr>
        <w:t xml:space="preserve"> 80 mg + 25 mg, indikovana je kod odraslih osoba čiji krvni pritisak nije adekvatno kontrolisan primjenom kombinacije Tolucombi</w:t>
      </w:r>
      <w:r w:rsidRPr="005D1C94">
        <w:rPr>
          <w:b/>
          <w:bCs/>
          <w:iCs/>
          <w:sz w:val="22"/>
          <w:szCs w:val="22"/>
          <w:vertAlign w:val="superscript"/>
        </w:rPr>
        <w:t>®</w:t>
      </w:r>
      <w:r w:rsidRPr="005D1C94">
        <w:rPr>
          <w:sz w:val="22"/>
          <w:szCs w:val="22"/>
        </w:rPr>
        <w:t xml:space="preserve"> 80 mg + 12,5 mg (80 mg telmisartana + 12,5 mg hidrohlortiazida) ili odraslih pacijenata koji su prethodno stabilizovani zasebnim terapijama telmisartanom i hidrohlortiazidom.</w:t>
      </w:r>
    </w:p>
    <w:p w:rsidR="00F56C88" w:rsidRPr="005D1C94" w:rsidRDefault="00F56C88" w:rsidP="00F56C88">
      <w:pPr>
        <w:widowControl w:val="0"/>
        <w:tabs>
          <w:tab w:val="num" w:pos="120"/>
        </w:tabs>
        <w:rPr>
          <w:sz w:val="22"/>
          <w:szCs w:val="22"/>
        </w:rPr>
      </w:pPr>
    </w:p>
    <w:p w:rsidR="00F56C88" w:rsidRPr="005D1C94" w:rsidRDefault="00F56C88" w:rsidP="00F56C88">
      <w:pPr>
        <w:widowControl w:val="0"/>
        <w:tabs>
          <w:tab w:val="num" w:pos="567"/>
        </w:tabs>
        <w:rPr>
          <w:sz w:val="22"/>
          <w:szCs w:val="22"/>
        </w:rPr>
      </w:pPr>
      <w:r w:rsidRPr="005D1C94">
        <w:rPr>
          <w:b/>
          <w:sz w:val="22"/>
          <w:szCs w:val="22"/>
        </w:rPr>
        <w:t>4.2</w:t>
      </w:r>
      <w:r w:rsidRPr="005D1C94">
        <w:rPr>
          <w:sz w:val="22"/>
          <w:szCs w:val="22"/>
        </w:rPr>
        <w:tab/>
      </w:r>
      <w:r w:rsidRPr="005D1C94">
        <w:rPr>
          <w:b/>
          <w:sz w:val="22"/>
          <w:szCs w:val="22"/>
        </w:rPr>
        <w:t>Doziranje i način primjene</w:t>
      </w:r>
    </w:p>
    <w:p w:rsidR="00F56C88" w:rsidRPr="005D1C94" w:rsidRDefault="00F56C88" w:rsidP="00F56C88">
      <w:pPr>
        <w:widowControl w:val="0"/>
        <w:tabs>
          <w:tab w:val="num" w:pos="120"/>
        </w:tabs>
        <w:rPr>
          <w:b/>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Doziranje</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je namijenjen pacijentima čiji se krvni pritisak ne može adekvatno kontrolisati samo telmisartanom. Preporučuje se titracija individualnih doza sa svakom od dvije komponente prije prelaska na fiksnu kombinaciju. Kada je to klinički opravdano, može se razmotriti prelazak sa monoterapije na fiksnu kombinaciju.</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numPr>
          <w:ilvl w:val="0"/>
          <w:numId w:val="35"/>
        </w:numPr>
        <w:tabs>
          <w:tab w:val="left" w:pos="567"/>
        </w:tabs>
        <w:ind w:left="567" w:hanging="207"/>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40 mg + 12,5 mg se primjenjuje jedanput dnevno kod pacijenata čiji krvni pritisak nije adekvatno kontrolisan telmisartanom od 40 mg</w:t>
      </w:r>
    </w:p>
    <w:p w:rsidR="00F56C88" w:rsidRPr="005D1C94" w:rsidRDefault="00F56C88" w:rsidP="00F56C88">
      <w:pPr>
        <w:widowControl w:val="0"/>
        <w:numPr>
          <w:ilvl w:val="0"/>
          <w:numId w:val="35"/>
        </w:numPr>
        <w:tabs>
          <w:tab w:val="left" w:pos="567"/>
        </w:tabs>
        <w:ind w:left="567" w:hanging="207"/>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80 mg + 12,5 mg se primjenjuje jedanput dnevno kod pacijenata čiji krvni pritisak nije adekvatno kontrolisan telmisartanom od 80 mg</w:t>
      </w:r>
    </w:p>
    <w:p w:rsidR="00F56C88" w:rsidRPr="005D1C94" w:rsidRDefault="00F56C88" w:rsidP="00F56C88">
      <w:pPr>
        <w:widowControl w:val="0"/>
        <w:numPr>
          <w:ilvl w:val="0"/>
          <w:numId w:val="35"/>
        </w:numPr>
        <w:tabs>
          <w:tab w:val="left" w:pos="567"/>
        </w:tabs>
        <w:ind w:left="567" w:hanging="207"/>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80 mg + 25 mg se primjenjuje jedanput dnevno kod pacijenata čiji krvni pritisak nije adekvatno kontrolisan lijekomTolucombi</w:t>
      </w:r>
      <w:r w:rsidRPr="005D1C94">
        <w:rPr>
          <w:b/>
          <w:bCs/>
          <w:iCs/>
          <w:sz w:val="22"/>
          <w:szCs w:val="22"/>
          <w:vertAlign w:val="superscript"/>
        </w:rPr>
        <w:t>®</w:t>
      </w:r>
      <w:r w:rsidRPr="005D1C94">
        <w:rPr>
          <w:sz w:val="22"/>
          <w:szCs w:val="22"/>
        </w:rPr>
        <w:t xml:space="preserve"> 80 mg + 12,5 mg ili pacijenata koji su prethodno stabilizovani zasebnim terapijama telmisartanom i hidrohlortiazidom.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i/>
          <w:sz w:val="22"/>
          <w:szCs w:val="22"/>
        </w:rPr>
      </w:pPr>
      <w:r w:rsidRPr="005D1C94">
        <w:rPr>
          <w:i/>
          <w:sz w:val="22"/>
          <w:szCs w:val="22"/>
        </w:rPr>
        <w:t>Posebne populacije: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Pacijenti sa oštećenjem bubrežne funkcije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Preporučuje se periodično praćenje bubrežne funkcije (vidjeti odjeljak 4.4).</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Pacijenti sa oštećenjem jetrene funkcije</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Pr>
          <w:sz w:val="22"/>
          <w:szCs w:val="22"/>
        </w:rPr>
        <w:t>Kod pacijenta s blagim do umjerenim oštećenjem jetrene funkcije doza lijeka Tolucombi</w:t>
      </w:r>
      <w:r w:rsidRPr="005D1C94">
        <w:rPr>
          <w:b/>
          <w:bCs/>
          <w:iCs/>
          <w:sz w:val="22"/>
          <w:szCs w:val="22"/>
          <w:vertAlign w:val="superscript"/>
        </w:rPr>
        <w:t>®</w:t>
      </w:r>
      <w:r w:rsidRPr="005D1C94">
        <w:rPr>
          <w:sz w:val="22"/>
          <w:szCs w:val="22"/>
        </w:rPr>
        <w:t xml:space="preserve"> ne smije prelaziti 40 mg + 12,5 mg jedanput dnevno. Tolucombi</w:t>
      </w:r>
      <w:r w:rsidRPr="005D1C94">
        <w:rPr>
          <w:b/>
          <w:bCs/>
          <w:iCs/>
          <w:sz w:val="22"/>
          <w:szCs w:val="22"/>
          <w:vertAlign w:val="superscript"/>
        </w:rPr>
        <w:t>®</w:t>
      </w:r>
      <w:r w:rsidRPr="005D1C94">
        <w:rPr>
          <w:sz w:val="22"/>
          <w:szCs w:val="22"/>
        </w:rPr>
        <w:t xml:space="preserve"> nije indikovan kod pacijenata sa teškim oštećenjem jetre. Tiazidi se moraju primjenjivati s oprezom kod pacijenta sa oštećenom jetrenom funkcijom (vidjeti odjeljak 4.4).</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Pr>
          <w:sz w:val="22"/>
          <w:szCs w:val="22"/>
          <w:u w:val="single"/>
        </w:rPr>
        <w:t>Stariji bolesnici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Nije potrebno prilagođavanje doze.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Pedijatrijska populacija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Nijesu utvrđeni bezbjednost i efikasnost lijeka Tolucombi</w:t>
      </w:r>
      <w:r w:rsidRPr="005D1C94">
        <w:rPr>
          <w:b/>
          <w:bCs/>
          <w:iCs/>
          <w:sz w:val="22"/>
          <w:szCs w:val="22"/>
          <w:vertAlign w:val="superscript"/>
        </w:rPr>
        <w:t>®</w:t>
      </w:r>
      <w:r w:rsidRPr="005D1C94">
        <w:rPr>
          <w:sz w:val="22"/>
          <w:szCs w:val="22"/>
        </w:rPr>
        <w:t>kod djece i adolescenata do 18 godina starosti. Nema raspoloživih podataka.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lastRenderedPageBreak/>
        <w:t>Način primjene</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tablete namijenjene su jednokratnoj dnevnoj primjeni kroz usta, sa tečnošću, sa ili bez hrane.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sz w:val="22"/>
          <w:szCs w:val="22"/>
        </w:rPr>
      </w:pPr>
      <w:r w:rsidRPr="005D1C94">
        <w:rPr>
          <w:b/>
          <w:sz w:val="22"/>
          <w:szCs w:val="22"/>
        </w:rPr>
        <w:t>4.3</w:t>
      </w:r>
      <w:r w:rsidRPr="005D1C94">
        <w:rPr>
          <w:sz w:val="22"/>
          <w:szCs w:val="22"/>
        </w:rPr>
        <w:tab/>
      </w:r>
      <w:r w:rsidRPr="005D1C94">
        <w:rPr>
          <w:b/>
          <w:sz w:val="22"/>
          <w:szCs w:val="22"/>
        </w:rPr>
        <w:t>Kontraindikacije</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numPr>
          <w:ilvl w:val="0"/>
          <w:numId w:val="34"/>
        </w:numPr>
        <w:jc w:val="both"/>
        <w:rPr>
          <w:sz w:val="22"/>
          <w:szCs w:val="22"/>
        </w:rPr>
      </w:pPr>
      <w:r w:rsidRPr="005D1C94">
        <w:rPr>
          <w:sz w:val="22"/>
          <w:szCs w:val="22"/>
        </w:rPr>
        <w:t>Preosjetljivost na aktivnu supstancu  ili neku od pomoćnih supstanci navedenih u dijelu 6.1.</w:t>
      </w:r>
    </w:p>
    <w:p w:rsidR="00F56C88" w:rsidRPr="005D1C94" w:rsidRDefault="00F56C88" w:rsidP="00F56C88">
      <w:pPr>
        <w:widowControl w:val="0"/>
        <w:numPr>
          <w:ilvl w:val="0"/>
          <w:numId w:val="34"/>
        </w:numPr>
        <w:jc w:val="both"/>
        <w:rPr>
          <w:sz w:val="22"/>
          <w:szCs w:val="22"/>
        </w:rPr>
      </w:pPr>
      <w:r w:rsidRPr="005D1C94">
        <w:rPr>
          <w:sz w:val="22"/>
          <w:szCs w:val="22"/>
        </w:rPr>
        <w:t>Preosjetljivost na druge derivate sulfonamida (s obzirom da je hidrohlortiazid derivat sulfonamida)</w:t>
      </w:r>
    </w:p>
    <w:p w:rsidR="00F56C88" w:rsidRPr="005D1C94" w:rsidRDefault="00F56C88" w:rsidP="00F56C88">
      <w:pPr>
        <w:widowControl w:val="0"/>
        <w:numPr>
          <w:ilvl w:val="0"/>
          <w:numId w:val="34"/>
        </w:numPr>
        <w:jc w:val="both"/>
        <w:rPr>
          <w:sz w:val="22"/>
          <w:szCs w:val="22"/>
        </w:rPr>
      </w:pPr>
      <w:r w:rsidRPr="005D1C94">
        <w:rPr>
          <w:sz w:val="22"/>
          <w:szCs w:val="22"/>
        </w:rPr>
        <w:t>Drugi i treći trimestar trudnoće (vidjeti djelove 4.4 i 4.6).</w:t>
      </w:r>
    </w:p>
    <w:p w:rsidR="00F56C88" w:rsidRPr="005D1C94" w:rsidRDefault="00F56C88" w:rsidP="00F56C88">
      <w:pPr>
        <w:widowControl w:val="0"/>
        <w:numPr>
          <w:ilvl w:val="0"/>
          <w:numId w:val="34"/>
        </w:numPr>
        <w:jc w:val="both"/>
        <w:rPr>
          <w:sz w:val="22"/>
          <w:szCs w:val="22"/>
        </w:rPr>
      </w:pPr>
      <w:r w:rsidRPr="005D1C94">
        <w:rPr>
          <w:sz w:val="22"/>
          <w:szCs w:val="22"/>
        </w:rPr>
        <w:t>Holestaza i bilijarni opstruktivni poremećaji.</w:t>
      </w:r>
    </w:p>
    <w:p w:rsidR="00F56C88" w:rsidRPr="005D1C94" w:rsidRDefault="00F56C88" w:rsidP="00F56C88">
      <w:pPr>
        <w:widowControl w:val="0"/>
        <w:numPr>
          <w:ilvl w:val="0"/>
          <w:numId w:val="34"/>
        </w:numPr>
        <w:jc w:val="both"/>
        <w:rPr>
          <w:sz w:val="22"/>
          <w:szCs w:val="22"/>
        </w:rPr>
      </w:pPr>
      <w:r w:rsidRPr="005D1C94">
        <w:rPr>
          <w:sz w:val="22"/>
          <w:szCs w:val="22"/>
        </w:rPr>
        <w:t>Teško oštećenje jetrene funkcije.</w:t>
      </w:r>
    </w:p>
    <w:p w:rsidR="00F56C88" w:rsidRPr="005D1C94" w:rsidRDefault="00F56C88" w:rsidP="00F56C88">
      <w:pPr>
        <w:widowControl w:val="0"/>
        <w:numPr>
          <w:ilvl w:val="0"/>
          <w:numId w:val="34"/>
        </w:numPr>
        <w:jc w:val="both"/>
        <w:rPr>
          <w:sz w:val="22"/>
          <w:szCs w:val="22"/>
        </w:rPr>
      </w:pPr>
      <w:r w:rsidRPr="005D1C94">
        <w:rPr>
          <w:sz w:val="22"/>
          <w:szCs w:val="22"/>
        </w:rPr>
        <w:t>Teško oštećenje bubrežne funkcije (klirens kreatinina &lt;30 ml/min).</w:t>
      </w:r>
    </w:p>
    <w:p w:rsidR="00F56C88" w:rsidRPr="005D1C94" w:rsidRDefault="00F56C88" w:rsidP="00F56C88">
      <w:pPr>
        <w:widowControl w:val="0"/>
        <w:numPr>
          <w:ilvl w:val="0"/>
          <w:numId w:val="34"/>
        </w:numPr>
        <w:jc w:val="both"/>
        <w:rPr>
          <w:sz w:val="22"/>
          <w:szCs w:val="22"/>
        </w:rPr>
      </w:pPr>
      <w:r w:rsidRPr="005D1C94">
        <w:rPr>
          <w:sz w:val="22"/>
          <w:szCs w:val="22"/>
        </w:rPr>
        <w:t>Refraktarna hipokalijemija, hiperkalcijemija.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autoSpaceDE w:val="0"/>
        <w:autoSpaceDN w:val="0"/>
        <w:adjustRightInd w:val="0"/>
        <w:jc w:val="both"/>
        <w:rPr>
          <w:rFonts w:eastAsia="Calibri"/>
          <w:sz w:val="22"/>
          <w:szCs w:val="22"/>
          <w:lang w:eastAsia="hr-HR"/>
        </w:rPr>
      </w:pPr>
      <w:r w:rsidRPr="005D1C94">
        <w:rPr>
          <w:rFonts w:eastAsia="Calibri"/>
          <w:sz w:val="22"/>
          <w:szCs w:val="22"/>
          <w:lang w:eastAsia="hr-HR"/>
        </w:rPr>
        <w:t>Istovremena primjena lijeka Tolucombi sa ljekovima koji sadrže aliskiren kontraindikovana je kod pacijenata sa šećernom bolešću ili oštećenjem bubrega (GFR &lt; 60 ml/min/1,73 m2) (vidjeti djelove 4.5 i 5.1).</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sz w:val="22"/>
          <w:szCs w:val="22"/>
        </w:rPr>
      </w:pPr>
      <w:r w:rsidRPr="005D1C94">
        <w:rPr>
          <w:b/>
          <w:sz w:val="22"/>
          <w:szCs w:val="22"/>
        </w:rPr>
        <w:t>4.4</w:t>
      </w:r>
      <w:r w:rsidRPr="005D1C94">
        <w:rPr>
          <w:sz w:val="22"/>
          <w:szCs w:val="22"/>
        </w:rPr>
        <w:tab/>
      </w:r>
      <w:r w:rsidRPr="005D1C94">
        <w:rPr>
          <w:b/>
          <w:sz w:val="22"/>
          <w:szCs w:val="22"/>
        </w:rPr>
        <w:t>Posebna upozorenja i mjere opreza pri upotrebi lijeka</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Trudnoća</w:t>
      </w:r>
    </w:p>
    <w:p w:rsidR="00F56C88" w:rsidRPr="005D1C94" w:rsidRDefault="00F56C88" w:rsidP="00F56C88">
      <w:pPr>
        <w:widowControl w:val="0"/>
        <w:tabs>
          <w:tab w:val="num" w:pos="120"/>
        </w:tabs>
        <w:jc w:val="both"/>
        <w:rPr>
          <w:sz w:val="22"/>
          <w:szCs w:val="22"/>
        </w:rPr>
      </w:pPr>
      <w:r w:rsidRPr="005D1C94">
        <w:rPr>
          <w:sz w:val="22"/>
          <w:szCs w:val="22"/>
        </w:rPr>
        <w:t>Primjena antagonista receptora angiotenzina II ne smije se započinjati u trudnoći. Osim kada se nastavak terapije antagonistom receptora angiotenzina II ne smatra neophodnim, pacijentkinje koje planiraju trudnoću treba da nastave liječenje drugim antihipertenzivima sa utvrđenim bezbjednosnim profilom kod primjene u trudnoći. Kada se utvrdi trudnoća, liječenje antagonistima receptora angiotenzina II se mora trenutno prekinuti i, prema potrebi, započeti sa primjenom drugog lijeka (vidjeti odjeljke 4.3 i 4.6).</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Oštećenje jetrene funkcije</w:t>
      </w:r>
    </w:p>
    <w:p w:rsidR="00F56C88" w:rsidRPr="005D1C94" w:rsidRDefault="00F56C88" w:rsidP="00F56C88">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ne smije se davati pacijentima sa holestazom, bilijarnim opstruktivnim poremećajima ili teškom insuficijencijom jetre (vidjeti odjeljak 4.3), s obzirom na to da se telmisartan uglavnom eliminiše putem žuči. Kod takvih pacijenta očekuje se smanjeni jetreni klirens telmisartana.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Nadalje, Tolucombi</w:t>
      </w:r>
      <w:r w:rsidRPr="005D1C94">
        <w:rPr>
          <w:b/>
          <w:bCs/>
          <w:iCs/>
          <w:sz w:val="22"/>
          <w:szCs w:val="22"/>
          <w:vertAlign w:val="superscript"/>
        </w:rPr>
        <w:t>®</w:t>
      </w:r>
      <w:r w:rsidRPr="005D1C94">
        <w:rPr>
          <w:sz w:val="22"/>
          <w:szCs w:val="22"/>
        </w:rPr>
        <w:t xml:space="preserve"> se mora primjenjivati s oprezom kod pacijenata sa oštećenom jetrenom funkcijom ili progresivnom bolešću jetre, s obzirom na to da i male promjene u ravnoteži tečnosti  i elektrolita mogu dovesti do hepatičke kome. Nema kliničkog iskustva sa lijekom Tolucombi</w:t>
      </w:r>
      <w:r w:rsidRPr="005D1C94">
        <w:rPr>
          <w:b/>
          <w:bCs/>
          <w:iCs/>
          <w:sz w:val="22"/>
          <w:szCs w:val="22"/>
          <w:vertAlign w:val="superscript"/>
        </w:rPr>
        <w:t>®</w:t>
      </w:r>
      <w:r w:rsidRPr="005D1C94">
        <w:rPr>
          <w:sz w:val="22"/>
          <w:szCs w:val="22"/>
        </w:rPr>
        <w:t xml:space="preserve"> kod pacijenata sa oštećenjem jetrene funkcije.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Renovaskularna hipertenzija</w:t>
      </w:r>
    </w:p>
    <w:p w:rsidR="00F56C88" w:rsidRPr="005D1C94" w:rsidRDefault="00F56C88" w:rsidP="00F56C88">
      <w:pPr>
        <w:widowControl w:val="0"/>
        <w:tabs>
          <w:tab w:val="num" w:pos="120"/>
        </w:tabs>
        <w:jc w:val="both"/>
        <w:rPr>
          <w:sz w:val="22"/>
          <w:szCs w:val="22"/>
        </w:rPr>
      </w:pPr>
      <w:r w:rsidRPr="005D1C94">
        <w:rPr>
          <w:sz w:val="22"/>
          <w:szCs w:val="22"/>
        </w:rPr>
        <w:t>Postoji povećani rizik od teške hipotenzije i renalne insuficijencije kada se pacijenti sa bilateralnom stenozom bubrežne arterije ili stenozom arterije jedinog funkcionalnog bubrega liječe ljekovima koji utiču na sistem renin-angiotenzin-aldosteron.</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Pr>
          <w:sz w:val="22"/>
          <w:szCs w:val="22"/>
          <w:u w:val="single"/>
        </w:rPr>
        <w:t>Oštećenje bubrežne funkcije i transplantacija bubrega</w:t>
      </w:r>
    </w:p>
    <w:p w:rsidR="00F56C88" w:rsidRPr="005D1C94" w:rsidRDefault="00F56C88" w:rsidP="00F56C88">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se ne smije primjenjivati kod pacijenata sa teškim bubrežnim oštećenjem (klirens kreatinina &lt;30 ml/min) (vidjeti odjeljak 4.3). Ne postoji iskustvo  primjene lijeka Tolucombi</w:t>
      </w:r>
      <w:r w:rsidRPr="005D1C94">
        <w:rPr>
          <w:b/>
          <w:bCs/>
          <w:iCs/>
          <w:sz w:val="22"/>
          <w:szCs w:val="22"/>
          <w:vertAlign w:val="superscript"/>
        </w:rPr>
        <w:t>®</w:t>
      </w:r>
      <w:r w:rsidRPr="005D1C94">
        <w:rPr>
          <w:sz w:val="22"/>
          <w:szCs w:val="22"/>
        </w:rPr>
        <w:t xml:space="preserve"> kod pacijenta kojima je nedavno transplantiran bubreg. Iskustvo s lijekom Tolucombi</w:t>
      </w:r>
      <w:r w:rsidRPr="005D1C94">
        <w:rPr>
          <w:b/>
          <w:bCs/>
          <w:iCs/>
          <w:sz w:val="22"/>
          <w:szCs w:val="22"/>
          <w:vertAlign w:val="superscript"/>
        </w:rPr>
        <w:t>®</w:t>
      </w:r>
      <w:r w:rsidRPr="005D1C94">
        <w:rPr>
          <w:sz w:val="22"/>
          <w:szCs w:val="22"/>
        </w:rPr>
        <w:t xml:space="preserve"> je skromno i kod pacijenta sa blagim do </w:t>
      </w:r>
      <w:r w:rsidRPr="005D1C94">
        <w:rPr>
          <w:sz w:val="22"/>
          <w:szCs w:val="22"/>
        </w:rPr>
        <w:lastRenderedPageBreak/>
        <w:t xml:space="preserve">umjerenim oštećenjem bubrega, stoga se preporučuje periodično praćenje serumskih vrijednosti kalijuma, kreatinina i mokraćne kiseline. Kod pacijenta sa oštećenom bubrežnom funkcijom može doći do pojave azotemije povezane sa primjenom tiazidnih diuretika. </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Intravaskularna hipovolemija</w:t>
      </w:r>
    </w:p>
    <w:p w:rsidR="00F56C88" w:rsidRPr="005D1C94" w:rsidRDefault="00F56C88" w:rsidP="00F56C88">
      <w:pPr>
        <w:widowControl w:val="0"/>
        <w:tabs>
          <w:tab w:val="num" w:pos="120"/>
        </w:tabs>
        <w:jc w:val="both"/>
        <w:rPr>
          <w:sz w:val="22"/>
          <w:szCs w:val="22"/>
        </w:rPr>
      </w:pPr>
      <w:r w:rsidRPr="005D1C94">
        <w:rPr>
          <w:sz w:val="22"/>
          <w:szCs w:val="22"/>
        </w:rPr>
        <w:t>Može doći do pojave</w:t>
      </w:r>
      <w:r w:rsidRPr="005D1C94">
        <w:rPr>
          <w:sz w:val="22"/>
          <w:szCs w:val="22"/>
          <w:u w:val="single"/>
        </w:rPr>
        <w:t xml:space="preserve"> </w:t>
      </w:r>
      <w:r w:rsidRPr="005D1C94">
        <w:rPr>
          <w:sz w:val="22"/>
          <w:szCs w:val="22"/>
        </w:rPr>
        <w:t>simptomatske hipotenzije, posebno nakon prve doze, kod pacijenta koji imaju smanjen volumen i/ili nivo natrijuma zbog intenzivne diuretske terapije, restrikcije unosa soli, dijareje ili povraćanja. Takva stanja moraju se korigirati prije primjene lijeka Tolucombi</w:t>
      </w:r>
      <w:r w:rsidRPr="005D1C94">
        <w:rPr>
          <w:b/>
          <w:bCs/>
          <w:iCs/>
          <w:sz w:val="22"/>
          <w:szCs w:val="22"/>
          <w:vertAlign w:val="superscript"/>
        </w:rPr>
        <w:t>®</w:t>
      </w:r>
      <w:r w:rsidRPr="005D1C94">
        <w:rPr>
          <w:sz w:val="22"/>
          <w:szCs w:val="22"/>
        </w:rPr>
        <w: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autoSpaceDE w:val="0"/>
        <w:autoSpaceDN w:val="0"/>
        <w:adjustRightInd w:val="0"/>
        <w:jc w:val="both"/>
        <w:rPr>
          <w:sz w:val="22"/>
          <w:szCs w:val="22"/>
          <w:u w:val="single"/>
        </w:rPr>
      </w:pPr>
      <w:r w:rsidRPr="005D1C94">
        <w:rPr>
          <w:sz w:val="22"/>
          <w:szCs w:val="22"/>
          <w:u w:val="single"/>
        </w:rPr>
        <w:t>Dvostruka blokada sistema renin-angiotenzin-aldosteron</w:t>
      </w:r>
    </w:p>
    <w:p w:rsidR="00F56C88" w:rsidRPr="005D1C94" w:rsidRDefault="00F56C88" w:rsidP="00F56C88">
      <w:pPr>
        <w:tabs>
          <w:tab w:val="center" w:pos="4320"/>
          <w:tab w:val="right" w:pos="8640"/>
        </w:tabs>
        <w:jc w:val="both"/>
        <w:rPr>
          <w:sz w:val="22"/>
          <w:szCs w:val="22"/>
        </w:rPr>
      </w:pPr>
      <w:r w:rsidRPr="005D1C94">
        <w:rPr>
          <w:sz w:val="22"/>
          <w:szCs w:val="22"/>
        </w:rPr>
        <w:t xml:space="preserve">Postoje dokazi da istovremena primjena ACE inhibitora, blokatora angiotenzin II receptora ili aliskirena povećava rizik od hipotenzije, hiperkalijemije i smanjene bubrežne funkcije (uključujući akutnu insuficijenciju bubrega). Dvostruka blokada RAAS-a kombinovanom primjenom ACE inhibitora, blokatora angiotenzin II receptora ili aliskirena stoga se ne preporučuje (vidjeti djelove 4.5 i 5.1). </w:t>
      </w:r>
    </w:p>
    <w:p w:rsidR="00F56C88" w:rsidRPr="005D1C94" w:rsidRDefault="00F56C88" w:rsidP="00F56C88">
      <w:pPr>
        <w:tabs>
          <w:tab w:val="center" w:pos="4320"/>
          <w:tab w:val="right" w:pos="8640"/>
        </w:tabs>
        <w:jc w:val="both"/>
        <w:rPr>
          <w:sz w:val="22"/>
          <w:szCs w:val="22"/>
        </w:rPr>
      </w:pPr>
      <w:r w:rsidRPr="005D1C94">
        <w:rPr>
          <w:sz w:val="22"/>
          <w:szCs w:val="22"/>
        </w:rPr>
        <w:t>Ako se terapija dvostrukom blokadom smatra apsolutno neophodnom, smije se sprovoditi samo pod nadzorom specijalista i uz pažljivo praćenje bubrežne funkcije, elektrolita i krvnog pritiska.</w:t>
      </w:r>
    </w:p>
    <w:p w:rsidR="00F56C88" w:rsidRPr="005D1C94" w:rsidRDefault="00F56C88" w:rsidP="00F56C88">
      <w:pPr>
        <w:tabs>
          <w:tab w:val="center" w:pos="4320"/>
          <w:tab w:val="right" w:pos="8640"/>
        </w:tabs>
        <w:jc w:val="both"/>
        <w:rPr>
          <w:sz w:val="22"/>
          <w:szCs w:val="22"/>
        </w:rPr>
      </w:pPr>
      <w:r w:rsidRPr="005D1C94">
        <w:rPr>
          <w:sz w:val="22"/>
          <w:szCs w:val="22"/>
        </w:rPr>
        <w:t>ACE inhibitori i blokatori angiotenzin II receptora ne smiju se primjenjivati istovremeno kod pacijenata  sa dijabetičkom nefropatijom.</w:t>
      </w:r>
    </w:p>
    <w:p w:rsidR="00F56C88" w:rsidRPr="005D1C94" w:rsidRDefault="00F56C88" w:rsidP="00F56C88">
      <w:pPr>
        <w:widowControl w:val="0"/>
        <w:tabs>
          <w:tab w:val="num" w:pos="120"/>
        </w:tabs>
        <w:autoSpaceDE w:val="0"/>
        <w:autoSpaceDN w:val="0"/>
        <w:adjustRightInd w:val="0"/>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Ostala stanja sa stimulacijom sastava renin-angiotenzin-aldosteron</w:t>
      </w:r>
    </w:p>
    <w:p w:rsidR="00F56C88" w:rsidRPr="005D1C94" w:rsidRDefault="00F56C88" w:rsidP="00F56C88">
      <w:pPr>
        <w:widowControl w:val="0"/>
        <w:tabs>
          <w:tab w:val="num" w:pos="120"/>
        </w:tabs>
        <w:jc w:val="both"/>
        <w:rPr>
          <w:sz w:val="22"/>
          <w:szCs w:val="22"/>
        </w:rPr>
      </w:pPr>
      <w:r w:rsidRPr="005D1C94">
        <w:rPr>
          <w:sz w:val="22"/>
          <w:szCs w:val="22"/>
        </w:rPr>
        <w:t>Kod pacijenata čiji vaskularni tonus i bubrežna funkcija zavise uglavnom od aktivnosti sistema renin-angiotenzin-aldosteron (npr. bolesnici sa teškim kongestivnom insuficijencijom srca ili oni sa postojećom bubrežnom bolešću, uključujući stenozu bubrežne arterije), liječenje ljekovima koji utiču na ovaj sistem povezano je sa pojavom akutne hipotenzije, hiperazotemije, oligurije ili rijetko akutne bubrežne insuficijencije (vidjeti odjeljak 4.8).</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Primarni aldosteronizam</w:t>
      </w:r>
    </w:p>
    <w:p w:rsidR="00F56C88" w:rsidRPr="005D1C94" w:rsidRDefault="00F56C88" w:rsidP="00F56C88">
      <w:pPr>
        <w:widowControl w:val="0"/>
        <w:tabs>
          <w:tab w:val="num" w:pos="120"/>
        </w:tabs>
        <w:jc w:val="both"/>
        <w:rPr>
          <w:sz w:val="22"/>
          <w:szCs w:val="22"/>
        </w:rPr>
      </w:pPr>
      <w:r w:rsidRPr="005D1C94">
        <w:rPr>
          <w:sz w:val="22"/>
          <w:szCs w:val="22"/>
        </w:rPr>
        <w:t>Pacijenti sa primarnim aldosteronizmom po pravilu neće reagovati na antihipertenzive koji djeluju putem inhibicije sistema renin-angiotenzin. Stoga se ne preporučuje primjena lijeka Tolucombi</w:t>
      </w:r>
      <w:r w:rsidRPr="005D1C94">
        <w:rPr>
          <w:b/>
          <w:bCs/>
          <w:iCs/>
          <w:sz w:val="22"/>
          <w:szCs w:val="22"/>
          <w:vertAlign w:val="superscript"/>
        </w:rPr>
        <w:t>®</w:t>
      </w:r>
      <w:r w:rsidRPr="005D1C94">
        <w:rPr>
          <w:sz w:val="22"/>
          <w:szCs w:val="22"/>
        </w:rPr>
        <w: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Stenoza aortnog i mitralnog zaliska, opstruktivna hipertrofična kardiomiopatija</w:t>
      </w:r>
    </w:p>
    <w:p w:rsidR="00F56C88" w:rsidRPr="005D1C94" w:rsidRDefault="00F56C88" w:rsidP="00F56C88">
      <w:pPr>
        <w:widowControl w:val="0"/>
        <w:tabs>
          <w:tab w:val="num" w:pos="120"/>
        </w:tabs>
        <w:jc w:val="both"/>
        <w:rPr>
          <w:sz w:val="22"/>
          <w:szCs w:val="22"/>
        </w:rPr>
      </w:pPr>
      <w:r w:rsidRPr="005D1C94">
        <w:rPr>
          <w:sz w:val="22"/>
          <w:szCs w:val="22"/>
        </w:rPr>
        <w:t>Kao i sa ostalim vazodilatatorima, potreban je poseban oprez kod pacijenata koji pate od aortne i mitralne stenoze ili opstruktivne hipertrofične kardiomiopatije.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Metabolički i endokrini efekti</w:t>
      </w:r>
    </w:p>
    <w:p w:rsidR="00F56C88" w:rsidRPr="005D1C94" w:rsidRDefault="00F56C88" w:rsidP="00F56C88">
      <w:pPr>
        <w:widowControl w:val="0"/>
        <w:tabs>
          <w:tab w:val="num" w:pos="120"/>
        </w:tabs>
        <w:jc w:val="both"/>
        <w:rPr>
          <w:sz w:val="22"/>
          <w:szCs w:val="22"/>
        </w:rPr>
      </w:pPr>
      <w:r w:rsidRPr="005D1C94">
        <w:rPr>
          <w:sz w:val="22"/>
          <w:szCs w:val="22"/>
        </w:rPr>
        <w:t>Terapija tiazidima može narušiti toleranciju glukoze, dok se hipoglikemija može pojaviti kod  dijabetičara koji se liječe insulinom ili antidijabeticima, prilikom primjene telmisartana. Stoga se kod ovih pacijenta mora razmotriti praćenje glukoze u krvi. Može biti potrebno prilagođavanje doze insulina ili antidijabetika, kada postoji indikacija. Latentni dijabetes melitus može se manifestovati tokom terapije tiazidima.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Povećanje vrijednosti holesterola i triglicerida povezano je sa terapijom tiazidnim diureticima, međutim pri dozi od 12,5 mg koja je sadržana u lijeku Tolucombi</w:t>
      </w:r>
      <w:r w:rsidRPr="005D1C94">
        <w:rPr>
          <w:b/>
          <w:bCs/>
          <w:iCs/>
          <w:sz w:val="22"/>
          <w:szCs w:val="22"/>
          <w:vertAlign w:val="superscript"/>
        </w:rPr>
        <w:t>®</w:t>
      </w:r>
      <w:r w:rsidRPr="005D1C94">
        <w:rPr>
          <w:sz w:val="22"/>
          <w:szCs w:val="22"/>
        </w:rPr>
        <w:t>, zabilježen je minimalan ili nikakav efekta. Može doći do pojave hiperuricemije ili manifestacije gihta kod pojedinih pacijenata liječenih tiazidima.</w:t>
      </w:r>
    </w:p>
    <w:p w:rsidR="004D5E54" w:rsidRPr="005D1C94" w:rsidRDefault="004D5E54"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sidDel="004E2A57">
        <w:rPr>
          <w:sz w:val="22"/>
          <w:szCs w:val="22"/>
          <w:u w:val="single"/>
        </w:rPr>
        <w:lastRenderedPageBreak/>
        <w:t xml:space="preserve"> </w:t>
      </w:r>
      <w:r w:rsidRPr="005D1C94">
        <w:rPr>
          <w:sz w:val="22"/>
          <w:szCs w:val="22"/>
          <w:u w:val="single"/>
        </w:rPr>
        <w:t>Neravnoteža elektrolita</w:t>
      </w:r>
    </w:p>
    <w:p w:rsidR="00F56C88" w:rsidRPr="005D1C94" w:rsidRDefault="00F56C88" w:rsidP="00F56C88">
      <w:pPr>
        <w:widowControl w:val="0"/>
        <w:tabs>
          <w:tab w:val="num" w:pos="120"/>
        </w:tabs>
        <w:jc w:val="both"/>
        <w:rPr>
          <w:sz w:val="22"/>
          <w:szCs w:val="22"/>
        </w:rPr>
      </w:pPr>
      <w:r w:rsidRPr="005D1C94">
        <w:rPr>
          <w:sz w:val="22"/>
          <w:szCs w:val="22"/>
        </w:rPr>
        <w:t>Kao kod svih pacijenata liječenih diureticima, serumski elektroliti se moraju periodično određivati u odgovarajućim intervalima.</w:t>
      </w:r>
    </w:p>
    <w:p w:rsidR="00F56C88" w:rsidRPr="005D1C94" w:rsidRDefault="00F56C88" w:rsidP="00F56C88">
      <w:pPr>
        <w:widowControl w:val="0"/>
        <w:tabs>
          <w:tab w:val="num" w:pos="120"/>
        </w:tabs>
        <w:jc w:val="both"/>
        <w:rPr>
          <w:sz w:val="22"/>
          <w:szCs w:val="22"/>
        </w:rPr>
      </w:pPr>
      <w:r w:rsidRPr="005D1C94">
        <w:rPr>
          <w:sz w:val="22"/>
          <w:szCs w:val="22"/>
        </w:rPr>
        <w:t>Tiazidi, uključujući hidrohlortiazid, mogu uzrokovati neravnotežu tečnosti ili elektrolita (uključujući hipokalijemiju, hiponatrijemiju i hipohloremijsku alkalozu). Znakovi koji upozoravaju na disbalans tečnosti ili elektrolita su: suvoću usta, žeđ, astenija, letargija, pospanost, nemir, bolovi ili grčevi u mišićima, zamor mišića, hipotenzija, oligurija, tahikardija i gastrointestinalni poremećaji kao što su mučnina ili povraćanje (vidjeti odjeljak 4.8).</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numPr>
          <w:ilvl w:val="0"/>
          <w:numId w:val="34"/>
        </w:numPr>
        <w:tabs>
          <w:tab w:val="left" w:pos="567"/>
        </w:tabs>
        <w:ind w:left="567" w:hanging="567"/>
        <w:jc w:val="both"/>
        <w:rPr>
          <w:sz w:val="22"/>
          <w:szCs w:val="22"/>
        </w:rPr>
      </w:pPr>
      <w:r w:rsidRPr="005D1C94">
        <w:rPr>
          <w:sz w:val="22"/>
          <w:szCs w:val="22"/>
        </w:rPr>
        <w:t>Hipokalijemija</w:t>
      </w:r>
    </w:p>
    <w:p w:rsidR="00F56C88" w:rsidRPr="005D1C94" w:rsidRDefault="00F56C88" w:rsidP="00F56C88">
      <w:pPr>
        <w:widowControl w:val="0"/>
        <w:tabs>
          <w:tab w:val="num" w:pos="120"/>
        </w:tabs>
        <w:jc w:val="both"/>
        <w:rPr>
          <w:sz w:val="22"/>
          <w:szCs w:val="22"/>
        </w:rPr>
      </w:pPr>
      <w:r w:rsidRPr="005D1C94">
        <w:rPr>
          <w:sz w:val="22"/>
          <w:szCs w:val="22"/>
          <w:lang w:eastAsia="sr-Latn-ME"/>
        </w:rPr>
        <w:t>Iako prilikom primjene tiazidnih diuretika može doći do razvoja hipokalijemije,</w:t>
      </w:r>
      <w:r w:rsidRPr="005D1C94">
        <w:rPr>
          <w:sz w:val="22"/>
          <w:szCs w:val="22"/>
        </w:rPr>
        <w:t xml:space="preserve"> istovremena  terapija telmisartanom može redukovati hipokalijemiju izazvanu diureticima. Rizik od hipokalijemije veći je kod pacijenata sa cirozom jetre, kod pacijenta koji su imali snažnu diurezu kod pacijenata koji nemaju adekvatan oralni unos elektrolita i kod pacijenta koji su na istovremenom liječenju kortikosteroidima ili adrenokortikotropnim hormonom (ACTH) (vidjeti odjeljak 4.5).</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numPr>
          <w:ilvl w:val="0"/>
          <w:numId w:val="34"/>
        </w:numPr>
        <w:tabs>
          <w:tab w:val="left" w:pos="567"/>
        </w:tabs>
        <w:ind w:left="567" w:hanging="567"/>
        <w:jc w:val="both"/>
        <w:rPr>
          <w:sz w:val="22"/>
          <w:szCs w:val="22"/>
        </w:rPr>
      </w:pPr>
      <w:r w:rsidRPr="005D1C94">
        <w:rPr>
          <w:sz w:val="22"/>
          <w:szCs w:val="22"/>
        </w:rPr>
        <w:t>Hiperkalijemija</w:t>
      </w:r>
    </w:p>
    <w:p w:rsidR="00F56C88" w:rsidRPr="005D1C94" w:rsidRDefault="00F56C88" w:rsidP="00F56C88">
      <w:pPr>
        <w:autoSpaceDE w:val="0"/>
        <w:autoSpaceDN w:val="0"/>
        <w:adjustRightInd w:val="0"/>
        <w:jc w:val="both"/>
        <w:rPr>
          <w:sz w:val="22"/>
          <w:szCs w:val="22"/>
        </w:rPr>
      </w:pPr>
      <w:r w:rsidRPr="005D1C94">
        <w:rPr>
          <w:sz w:val="22"/>
          <w:szCs w:val="22"/>
        </w:rPr>
        <w:t>Nasuprot tome, zahvaljujući antagonizmu receptora angiotenzina II (AT</w:t>
      </w:r>
      <w:r w:rsidRPr="005D1C94">
        <w:rPr>
          <w:sz w:val="22"/>
          <w:szCs w:val="22"/>
          <w:vertAlign w:val="subscript"/>
        </w:rPr>
        <w:t>1</w:t>
      </w:r>
      <w:r w:rsidRPr="005D1C94">
        <w:rPr>
          <w:sz w:val="22"/>
          <w:szCs w:val="22"/>
        </w:rPr>
        <w:t>) putem telmisartanske komponente lijeka Tolucombi</w:t>
      </w:r>
      <w:r w:rsidRPr="005D1C94">
        <w:rPr>
          <w:b/>
          <w:bCs/>
          <w:iCs/>
          <w:sz w:val="22"/>
          <w:szCs w:val="22"/>
          <w:vertAlign w:val="superscript"/>
        </w:rPr>
        <w:t>®</w:t>
      </w:r>
      <w:r w:rsidRPr="005D1C94">
        <w:rPr>
          <w:sz w:val="22"/>
          <w:szCs w:val="22"/>
        </w:rPr>
        <w:t>, može doći do pojave hiperkalijemije. Iako klinički značajna hiperkalijemija nije zabilježena pri primjeni lijeka Tolucombi</w:t>
      </w:r>
      <w:r w:rsidRPr="005D1C94">
        <w:rPr>
          <w:b/>
          <w:bCs/>
          <w:iCs/>
          <w:sz w:val="22"/>
          <w:szCs w:val="22"/>
          <w:vertAlign w:val="superscript"/>
        </w:rPr>
        <w:t>®</w:t>
      </w:r>
      <w:r w:rsidRPr="005D1C94">
        <w:rPr>
          <w:sz w:val="22"/>
          <w:szCs w:val="22"/>
        </w:rPr>
        <w:t xml:space="preserve">, </w:t>
      </w:r>
      <w:r w:rsidRPr="005D1C94">
        <w:rPr>
          <w:sz w:val="22"/>
          <w:szCs w:val="22"/>
          <w:lang w:eastAsia="sr-Latn-ME"/>
        </w:rPr>
        <w:t>faktori rizika</w:t>
      </w:r>
      <w:r w:rsidRPr="005D1C94" w:rsidDel="004E2A57">
        <w:rPr>
          <w:sz w:val="22"/>
          <w:szCs w:val="22"/>
        </w:rPr>
        <w:t xml:space="preserve"> </w:t>
      </w:r>
      <w:r w:rsidRPr="005D1C94">
        <w:rPr>
          <w:sz w:val="22"/>
          <w:szCs w:val="22"/>
        </w:rPr>
        <w:t>za razvoj hiperkalijemije uključuju renalnu insuficijenciju i/ili insuficijenciju srca, kao i dijabetes melitus. Ako se uz Tolucombi</w:t>
      </w:r>
      <w:r w:rsidRPr="005D1C94">
        <w:rPr>
          <w:b/>
          <w:bCs/>
          <w:iCs/>
          <w:sz w:val="22"/>
          <w:szCs w:val="22"/>
          <w:vertAlign w:val="superscript"/>
        </w:rPr>
        <w:t>®</w:t>
      </w:r>
      <w:r w:rsidRPr="005D1C94">
        <w:rPr>
          <w:sz w:val="22"/>
          <w:szCs w:val="22"/>
        </w:rPr>
        <w:t xml:space="preserve"> istovremeno primjenjuju diuretici koji štede kalijum, </w:t>
      </w:r>
      <w:r w:rsidRPr="005D1C94">
        <w:rPr>
          <w:sz w:val="22"/>
          <w:szCs w:val="22"/>
          <w:lang w:eastAsia="sr-Latn-ME"/>
        </w:rPr>
        <w:t>dodaci ishrani sa kalijumom</w:t>
      </w:r>
      <w:r w:rsidRPr="005D1C94" w:rsidDel="004E2A57">
        <w:rPr>
          <w:sz w:val="22"/>
          <w:szCs w:val="22"/>
        </w:rPr>
        <w:t xml:space="preserve"> </w:t>
      </w:r>
      <w:r w:rsidRPr="005D1C94">
        <w:rPr>
          <w:sz w:val="22"/>
          <w:szCs w:val="22"/>
        </w:rPr>
        <w:t>ili zamjene za so koje sadrže kalijum, potreban je oprez (vidjeti odjeljak 4.5).</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numPr>
          <w:ilvl w:val="0"/>
          <w:numId w:val="34"/>
        </w:numPr>
        <w:tabs>
          <w:tab w:val="left" w:pos="567"/>
        </w:tabs>
        <w:ind w:left="567" w:hanging="567"/>
        <w:jc w:val="both"/>
        <w:rPr>
          <w:sz w:val="22"/>
          <w:szCs w:val="22"/>
        </w:rPr>
      </w:pPr>
      <w:r w:rsidRPr="005D1C94">
        <w:rPr>
          <w:sz w:val="22"/>
          <w:szCs w:val="22"/>
        </w:rPr>
        <w:t>Hiponatrijemija i hipohloremična alkaloza</w:t>
      </w:r>
    </w:p>
    <w:p w:rsidR="00F56C88" w:rsidRPr="005D1C94" w:rsidRDefault="00F56C88" w:rsidP="00F56C88">
      <w:pPr>
        <w:widowControl w:val="0"/>
        <w:tabs>
          <w:tab w:val="num" w:pos="120"/>
        </w:tabs>
        <w:jc w:val="both"/>
        <w:rPr>
          <w:sz w:val="22"/>
          <w:szCs w:val="22"/>
        </w:rPr>
      </w:pPr>
      <w:r w:rsidRPr="005D1C94">
        <w:rPr>
          <w:sz w:val="22"/>
          <w:szCs w:val="22"/>
        </w:rPr>
        <w:t>Ne postoje dokazi da Tolucombi</w:t>
      </w:r>
      <w:r w:rsidRPr="005D1C94">
        <w:rPr>
          <w:b/>
          <w:bCs/>
          <w:iCs/>
          <w:sz w:val="22"/>
          <w:szCs w:val="22"/>
          <w:vertAlign w:val="superscript"/>
        </w:rPr>
        <w:t>®</w:t>
      </w:r>
      <w:r w:rsidRPr="005D1C94">
        <w:rPr>
          <w:sz w:val="22"/>
          <w:szCs w:val="22"/>
        </w:rPr>
        <w:t xml:space="preserve"> smanjuje ili sprečava hiponatrijemiju indukovanu diureticima. Deficit hlorida je obično blag i po pravilu ne zahtijeva liječenje.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numPr>
          <w:ilvl w:val="0"/>
          <w:numId w:val="34"/>
        </w:numPr>
        <w:ind w:left="567" w:hanging="578"/>
        <w:jc w:val="both"/>
        <w:rPr>
          <w:sz w:val="22"/>
          <w:szCs w:val="22"/>
        </w:rPr>
      </w:pPr>
      <w:r w:rsidRPr="005D1C94">
        <w:rPr>
          <w:sz w:val="22"/>
          <w:szCs w:val="22"/>
        </w:rPr>
        <w:t>Hiperkalcijemija</w:t>
      </w:r>
    </w:p>
    <w:p w:rsidR="00F56C88" w:rsidRPr="005D1C94" w:rsidRDefault="00F56C88" w:rsidP="00F56C88">
      <w:pPr>
        <w:widowControl w:val="0"/>
        <w:tabs>
          <w:tab w:val="num" w:pos="120"/>
        </w:tabs>
        <w:jc w:val="both"/>
        <w:rPr>
          <w:sz w:val="22"/>
          <w:szCs w:val="22"/>
        </w:rPr>
      </w:pPr>
      <w:r w:rsidRPr="005D1C94">
        <w:rPr>
          <w:sz w:val="22"/>
          <w:szCs w:val="22"/>
        </w:rPr>
        <w:t>Tiazidi mogu smanjiti ekskreciju kalcijuma urinom te izazvati povremeno i blago povišenje serumskog kalcijuma bez prisustva poznatih poremećaja u metabolizmu kalcijuma. Izražena hiperkalcijemija može biti dokaz skrivenog hiperparatireoidizma. Mora se prekinuti terapija tiazidima prije ispitivanja funkcije paratireoidne žlijezde.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numPr>
          <w:ilvl w:val="0"/>
          <w:numId w:val="34"/>
        </w:numPr>
        <w:ind w:left="567" w:hanging="501"/>
        <w:jc w:val="both"/>
        <w:rPr>
          <w:sz w:val="22"/>
          <w:szCs w:val="22"/>
        </w:rPr>
      </w:pPr>
      <w:r w:rsidRPr="005D1C94">
        <w:rPr>
          <w:sz w:val="22"/>
          <w:szCs w:val="22"/>
        </w:rPr>
        <w:t>Hipomagnezemija</w:t>
      </w:r>
    </w:p>
    <w:p w:rsidR="00F56C88" w:rsidRPr="005D1C94" w:rsidRDefault="00F56C88" w:rsidP="00F56C88">
      <w:pPr>
        <w:widowControl w:val="0"/>
        <w:tabs>
          <w:tab w:val="num" w:pos="120"/>
        </w:tabs>
        <w:jc w:val="both"/>
        <w:rPr>
          <w:sz w:val="22"/>
          <w:szCs w:val="22"/>
        </w:rPr>
      </w:pPr>
      <w:r w:rsidRPr="005D1C94">
        <w:rPr>
          <w:sz w:val="22"/>
          <w:szCs w:val="22"/>
        </w:rPr>
        <w:t>Pokazalo se da tiazidi povećavaju ekskreciju magnezijuma urinom, što može rezultirati hipomagnezemijom (vidjeti odjeljak 4.5).</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Sorbitol i laktoza hidrat</w:t>
      </w:r>
    </w:p>
    <w:p w:rsidR="00F56C88" w:rsidRPr="005D1C94" w:rsidRDefault="00F56C88" w:rsidP="00F56C88">
      <w:pPr>
        <w:widowControl w:val="0"/>
        <w:tabs>
          <w:tab w:val="num" w:pos="120"/>
        </w:tabs>
        <w:jc w:val="both"/>
        <w:rPr>
          <w:sz w:val="22"/>
          <w:szCs w:val="22"/>
        </w:rPr>
      </w:pPr>
      <w:r w:rsidRPr="005D1C94">
        <w:rPr>
          <w:sz w:val="22"/>
          <w:szCs w:val="22"/>
        </w:rPr>
        <w:t xml:space="preserve">Ovaj lijek sadrži laktozu monohidrat i sorbitol. Pacijenti sa rijetkim nasljednim </w:t>
      </w:r>
      <w:r w:rsidRPr="005D1C94">
        <w:rPr>
          <w:color w:val="1D1B11"/>
          <w:sz w:val="22"/>
          <w:szCs w:val="22"/>
          <w:lang w:eastAsia="sr-Latn-ME"/>
        </w:rPr>
        <w:t>oboljenjem intolerancije</w:t>
      </w:r>
      <w:r w:rsidRPr="005D1C94" w:rsidDel="004E2A57">
        <w:rPr>
          <w:sz w:val="22"/>
          <w:szCs w:val="22"/>
        </w:rPr>
        <w:t xml:space="preserve"> </w:t>
      </w:r>
      <w:r w:rsidRPr="005D1C94">
        <w:rPr>
          <w:sz w:val="22"/>
          <w:szCs w:val="22"/>
        </w:rPr>
        <w:t>fruktoze i/ili rijetkim nasljednim poremećajima nepodnošenja galaktoze, nedostatkom Lapp laktaze, ili malapsorpcijom glukoza-galaktoze, ne smiju uzimati ovaj lijek.</w:t>
      </w:r>
    </w:p>
    <w:p w:rsidR="004D5E54" w:rsidRPr="005D1C94" w:rsidRDefault="004D5E54"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Etničke razlike</w:t>
      </w:r>
    </w:p>
    <w:p w:rsidR="00F56C88" w:rsidRPr="005D1C94" w:rsidRDefault="00F56C88" w:rsidP="00F56C88">
      <w:pPr>
        <w:widowControl w:val="0"/>
        <w:tabs>
          <w:tab w:val="num" w:pos="120"/>
        </w:tabs>
        <w:jc w:val="both"/>
        <w:rPr>
          <w:sz w:val="22"/>
          <w:szCs w:val="22"/>
        </w:rPr>
      </w:pPr>
      <w:r w:rsidRPr="005D1C94">
        <w:rPr>
          <w:sz w:val="22"/>
          <w:szCs w:val="22"/>
        </w:rPr>
        <w:t xml:space="preserve">Kao i kod svih drugih antagonista receptora angiotenzina II, telmisartan je očigledno manje efikasan u </w:t>
      </w:r>
      <w:r w:rsidRPr="005D1C94">
        <w:rPr>
          <w:sz w:val="22"/>
          <w:szCs w:val="22"/>
        </w:rPr>
        <w:lastRenderedPageBreak/>
        <w:t>snižavanju krvnog pritisaka kod ljudi crne rase nego kod ljudi koji nijesu crne rase, vjerojatno zbog veće prevalencije niskih nivoa renina kod populacije crne rase sa hipertenzijom.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Ostalo</w:t>
      </w:r>
    </w:p>
    <w:p w:rsidR="00F56C88" w:rsidRPr="005D1C94" w:rsidRDefault="00F56C88" w:rsidP="00F56C88">
      <w:pPr>
        <w:widowControl w:val="0"/>
        <w:tabs>
          <w:tab w:val="num" w:pos="120"/>
        </w:tabs>
        <w:jc w:val="both"/>
        <w:rPr>
          <w:sz w:val="22"/>
          <w:szCs w:val="22"/>
        </w:rPr>
      </w:pPr>
      <w:r w:rsidRPr="005D1C94">
        <w:rPr>
          <w:sz w:val="22"/>
          <w:szCs w:val="22"/>
        </w:rPr>
        <w:t>Kao i kod drugih antihipertenzivnih ljekova, prekomjerno sniženje krvnog pritisaka kod pacijenta sa ishemijskom kardiomiopatijom ili ishemijskom kardiovaskularnom bolešću može rezultirati infarktom miokarda ili moždanim udarom.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Opšte napomene</w:t>
      </w:r>
      <w:r w:rsidRPr="005D1C94" w:rsidDel="008861C8">
        <w:rPr>
          <w:sz w:val="22"/>
          <w:szCs w:val="22"/>
          <w:u w:val="single"/>
        </w:rPr>
        <w:t xml:space="preserve"> </w:t>
      </w:r>
    </w:p>
    <w:p w:rsidR="00F56C88" w:rsidRPr="005D1C94" w:rsidRDefault="00F56C88" w:rsidP="00F56C88">
      <w:pPr>
        <w:widowControl w:val="0"/>
        <w:tabs>
          <w:tab w:val="num" w:pos="120"/>
        </w:tabs>
        <w:jc w:val="both"/>
        <w:rPr>
          <w:sz w:val="22"/>
          <w:szCs w:val="22"/>
        </w:rPr>
      </w:pPr>
      <w:r w:rsidRPr="005D1C94">
        <w:rPr>
          <w:sz w:val="22"/>
          <w:szCs w:val="22"/>
        </w:rPr>
        <w:t xml:space="preserve">Reakcije preosjetljivosti na hidrohlortiazid  mogu se pojaviti kod pacijenata koji u anamnezi imaju alergiju ili bronhalnu astmu, </w:t>
      </w:r>
      <w:r w:rsidRPr="005D1C94">
        <w:rPr>
          <w:sz w:val="22"/>
          <w:szCs w:val="22"/>
          <w:lang w:eastAsia="sr-Latn-ME"/>
        </w:rPr>
        <w:t>kao i kod onih kod kojih to nije slučaj, ali su vjerovatnije u prvoj grupi.</w:t>
      </w:r>
    </w:p>
    <w:p w:rsidR="00F56C88" w:rsidRPr="005D1C94" w:rsidRDefault="00F56C88" w:rsidP="00F56C88">
      <w:pPr>
        <w:widowControl w:val="0"/>
        <w:tabs>
          <w:tab w:val="num" w:pos="120"/>
        </w:tabs>
        <w:jc w:val="both"/>
        <w:rPr>
          <w:sz w:val="22"/>
          <w:szCs w:val="22"/>
        </w:rPr>
      </w:pPr>
      <w:r w:rsidRPr="005D1C94">
        <w:rPr>
          <w:sz w:val="22"/>
          <w:szCs w:val="22"/>
        </w:rPr>
        <w:t>Egzacerbacija ili aktiviranje sistemskog lupus eritematozusa zabilježeno je pri liječenju tiazidnim diureticima, uključujući hidrohlortiazid.</w:t>
      </w:r>
    </w:p>
    <w:p w:rsidR="00F56C88" w:rsidRPr="005D1C94" w:rsidRDefault="00F56C88" w:rsidP="00F56C88">
      <w:pPr>
        <w:widowControl w:val="0"/>
        <w:tabs>
          <w:tab w:val="num" w:pos="120"/>
        </w:tabs>
        <w:jc w:val="both"/>
        <w:rPr>
          <w:sz w:val="22"/>
          <w:szCs w:val="22"/>
        </w:rPr>
      </w:pPr>
      <w:r w:rsidRPr="005D1C94">
        <w:rPr>
          <w:sz w:val="22"/>
          <w:szCs w:val="22"/>
        </w:rPr>
        <w:t>Prijavljeni su slučajevi reakcija fotoosjetljivosti pri primjeni tiazidnih diuretika (vidjeti odjeljak 4.8). Ako dođe do pojave reakcije fotoosjetljivosti tokom liječenja, preporučuje se prekid liječenja. Ako se ponovna primjena diuretika smatra potrebnom, preporučuje se zaštita djelova izloženih suncu ili vještačkom UVA zračenju.</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jc w:val="both"/>
        <w:rPr>
          <w:sz w:val="22"/>
          <w:szCs w:val="22"/>
          <w:u w:val="single"/>
        </w:rPr>
      </w:pPr>
      <w:r w:rsidRPr="005D1C94">
        <w:rPr>
          <w:sz w:val="22"/>
          <w:szCs w:val="22"/>
          <w:u w:val="single"/>
        </w:rPr>
        <w:t>Akutna miopija i glaukom zatvorenog ugla</w:t>
      </w:r>
    </w:p>
    <w:p w:rsidR="00F56C88" w:rsidRPr="005D1C94" w:rsidRDefault="00F56C88" w:rsidP="00F56C88">
      <w:pPr>
        <w:widowControl w:val="0"/>
        <w:jc w:val="both"/>
        <w:rPr>
          <w:sz w:val="22"/>
          <w:szCs w:val="22"/>
        </w:rPr>
      </w:pPr>
      <w:r w:rsidRPr="005D1C94">
        <w:rPr>
          <w:sz w:val="22"/>
          <w:szCs w:val="22"/>
        </w:rPr>
        <w:t>Hidrohlortiazid, koji je sulfonamid, može uzrokovati idiosinkraznu reakciju uzrokujući akutnu prolaznu miopiju i akutni glaukom zatvorenog ugla. Simptomi uključuju akutni nastup smanjene oštrine vida ili bol u očima te se obično pojavljuju unutar nekoliko sati do sedmica od početka primjene lijeka. Neliječeni akutni glaukom zatvorenog ugla može dovesti do trajnog gubitka vida. Primarno liječenje je što brži prekid primjene hidrohlortiazida. Ako intraokularni pritisak ostane nekontrolisan, možda će biti potrebno razmotriti hitno medicinsko ili hirurško liječenje. Faktori rizika za razvoj akutnog glaukoma zatvorenog ugla mogu uključivati alergiju na sulfonamid ili penicilin u anamnezi.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sz w:val="22"/>
          <w:szCs w:val="22"/>
        </w:rPr>
      </w:pPr>
      <w:r w:rsidRPr="005D1C94">
        <w:rPr>
          <w:b/>
          <w:sz w:val="22"/>
          <w:szCs w:val="22"/>
        </w:rPr>
        <w:t>4.5</w:t>
      </w:r>
      <w:r w:rsidRPr="005D1C94">
        <w:rPr>
          <w:b/>
          <w:sz w:val="22"/>
          <w:szCs w:val="22"/>
        </w:rPr>
        <w:tab/>
        <w:t>Interakcije sa drugim ljekovima i drugi oblici interakcija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Litijum</w:t>
      </w:r>
    </w:p>
    <w:p w:rsidR="00F56C88" w:rsidRPr="005D1C94" w:rsidRDefault="00F56C88" w:rsidP="00F56C88">
      <w:pPr>
        <w:autoSpaceDE w:val="0"/>
        <w:autoSpaceDN w:val="0"/>
        <w:adjustRightInd w:val="0"/>
        <w:jc w:val="both"/>
        <w:rPr>
          <w:sz w:val="22"/>
          <w:szCs w:val="22"/>
        </w:rPr>
      </w:pPr>
      <w:r w:rsidRPr="005D1C94">
        <w:rPr>
          <w:sz w:val="22"/>
          <w:szCs w:val="22"/>
          <w:lang w:eastAsia="sr-Latn-ME"/>
        </w:rPr>
        <w:t>Reverzibilni porast koncentracije litijuma u serumu i toksičnost.</w:t>
      </w:r>
      <w:r w:rsidRPr="005D1C94">
        <w:rPr>
          <w:sz w:val="22"/>
          <w:szCs w:val="22"/>
        </w:rPr>
        <w:t xml:space="preserve"> </w:t>
      </w:r>
      <w:r w:rsidRPr="005D1C94">
        <w:rPr>
          <w:sz w:val="22"/>
          <w:szCs w:val="22"/>
          <w:lang w:eastAsia="sr-Latn-ME"/>
        </w:rPr>
        <w:t>Rijetko su prijavljeni takvi slučajevi i sa antagonistima</w:t>
      </w:r>
      <w:r w:rsidRPr="005D1C94" w:rsidDel="008861C8">
        <w:rPr>
          <w:sz w:val="22"/>
          <w:szCs w:val="22"/>
        </w:rPr>
        <w:t xml:space="preserve"> </w:t>
      </w:r>
      <w:r w:rsidRPr="005D1C94">
        <w:rPr>
          <w:sz w:val="22"/>
          <w:szCs w:val="22"/>
        </w:rPr>
        <w:t>receptora angiotenzina II (uključujući Tolucombi</w:t>
      </w:r>
      <w:r w:rsidRPr="005D1C94">
        <w:rPr>
          <w:b/>
          <w:bCs/>
          <w:iCs/>
          <w:sz w:val="22"/>
          <w:szCs w:val="22"/>
          <w:vertAlign w:val="superscript"/>
        </w:rPr>
        <w:t>®</w:t>
      </w:r>
      <w:r w:rsidRPr="005D1C94">
        <w:rPr>
          <w:sz w:val="22"/>
          <w:szCs w:val="22"/>
        </w:rPr>
        <w:t>). Istovremena primjena litijuma i lijeka Tolucombi</w:t>
      </w:r>
      <w:r w:rsidRPr="005D1C94">
        <w:rPr>
          <w:b/>
          <w:bCs/>
          <w:iCs/>
          <w:sz w:val="22"/>
          <w:szCs w:val="22"/>
          <w:vertAlign w:val="superscript"/>
        </w:rPr>
        <w:t>®</w:t>
      </w:r>
      <w:r w:rsidRPr="005D1C94">
        <w:rPr>
          <w:sz w:val="22"/>
          <w:szCs w:val="22"/>
        </w:rPr>
        <w:t xml:space="preserve"> se ne preporučuje (vidjeti odjeljak 4.4). Ako se ova kombinacija pokaže neophodnom, preporučuje se pažljivo praćenje serumskih vrijednosti litijuma tokom istovremene primjene.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Ljekovi povezani sa gubitkom kalijuma i hipokalijemijom</w:t>
      </w:r>
      <w:r w:rsidRPr="005D1C94">
        <w:rPr>
          <w:sz w:val="22"/>
          <w:szCs w:val="22"/>
        </w:rPr>
        <w:t xml:space="preserve"> (npr. drugi </w:t>
      </w:r>
      <w:r w:rsidRPr="005D1C94">
        <w:rPr>
          <w:sz w:val="22"/>
          <w:szCs w:val="22"/>
          <w:lang w:eastAsia="sr-Latn-ME"/>
        </w:rPr>
        <w:t>diuretici koji ne štede kalijum</w:t>
      </w:r>
      <w:r w:rsidRPr="005D1C94">
        <w:rPr>
          <w:sz w:val="22"/>
          <w:szCs w:val="22"/>
        </w:rPr>
        <w:t xml:space="preserve">, laksativi, kortikosteroidi, ACTH, amfotericin, karbenoksolon, penicilin G natrijum, salicilna kiselina i derivati). Istovremeno sa kombinacijom hidrohlortiazid/telmisartan, savjetuje se praćenje vrijednosti kalijuma u plazmi. Ovi ljekovi mogu potencirati dejstvo hidrohlortiazida na nivo kalijuma u serumu (vidjeti odjeljak 4.4). </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Ljekovi koji mogu povećati vrijednosti kalijuma ili indukovati hiperkalijemiju</w:t>
      </w:r>
      <w:r w:rsidRPr="005D1C94">
        <w:rPr>
          <w:sz w:val="22"/>
          <w:szCs w:val="22"/>
        </w:rPr>
        <w:t xml:space="preserve"> (npr. ACE inhibitori, diuretici koji štede kalijum, </w:t>
      </w:r>
      <w:r w:rsidRPr="005D1C94">
        <w:rPr>
          <w:sz w:val="22"/>
          <w:szCs w:val="22"/>
          <w:lang w:eastAsia="sr-Latn-ME"/>
        </w:rPr>
        <w:t>dodaci ishrani sa</w:t>
      </w:r>
      <w:r w:rsidRPr="005D1C94">
        <w:rPr>
          <w:sz w:val="22"/>
          <w:szCs w:val="22"/>
        </w:rPr>
        <w:t xml:space="preserve"> kalijumom, </w:t>
      </w:r>
      <w:r w:rsidRPr="005D1C94">
        <w:rPr>
          <w:sz w:val="22"/>
          <w:szCs w:val="22"/>
          <w:lang w:eastAsia="sr-Latn-ME"/>
        </w:rPr>
        <w:t>zamjene za so sa kalijumom</w:t>
      </w:r>
      <w:r w:rsidRPr="005D1C94">
        <w:rPr>
          <w:sz w:val="22"/>
          <w:szCs w:val="22"/>
        </w:rPr>
        <w:t>, ciklosporin ili drugi ljekovi kao što je heparin natrijum)</w:t>
      </w:r>
    </w:p>
    <w:p w:rsidR="00F56C88" w:rsidRPr="005D1C94" w:rsidRDefault="00F56C88" w:rsidP="00F56C88">
      <w:pPr>
        <w:widowControl w:val="0"/>
        <w:tabs>
          <w:tab w:val="num" w:pos="120"/>
        </w:tabs>
        <w:jc w:val="both"/>
        <w:rPr>
          <w:sz w:val="22"/>
          <w:szCs w:val="22"/>
        </w:rPr>
      </w:pPr>
      <w:r w:rsidRPr="005D1C94">
        <w:rPr>
          <w:sz w:val="22"/>
          <w:szCs w:val="22"/>
        </w:rPr>
        <w:t xml:space="preserve">Ako se moraju propisati ovi ljekovi </w:t>
      </w:r>
      <w:r w:rsidRPr="005D1C94">
        <w:rPr>
          <w:sz w:val="22"/>
          <w:szCs w:val="22"/>
          <w:lang w:eastAsia="sr-Latn-ME"/>
        </w:rPr>
        <w:t>istovremeno sa</w:t>
      </w:r>
      <w:r w:rsidRPr="005D1C94" w:rsidDel="008861C8">
        <w:rPr>
          <w:sz w:val="22"/>
          <w:szCs w:val="22"/>
        </w:rPr>
        <w:t xml:space="preserve"> </w:t>
      </w:r>
      <w:r w:rsidRPr="005D1C94">
        <w:rPr>
          <w:sz w:val="22"/>
          <w:szCs w:val="22"/>
        </w:rPr>
        <w:t xml:space="preserve">kombinacijom hidrohlortiazid/telmisartan, savjetuje se </w:t>
      </w:r>
      <w:r w:rsidRPr="005D1C94">
        <w:rPr>
          <w:sz w:val="22"/>
          <w:szCs w:val="22"/>
        </w:rPr>
        <w:lastRenderedPageBreak/>
        <w:t>praćenje vrijednosti kalijuma u plazmi. Na osnovu iskustva sa primjenom drugih ljekova koji djeluju na sistem renin-angiotenzin, istovremena primjena gore spomenutih ljekova može dovesti do povećanja kalijuma u serumu, pa se stoga ne preporučuje (vidjeti odjeljak 4.4).</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Ljekovi na koje utiču poremećaji kalijuma u serumu</w:t>
      </w:r>
    </w:p>
    <w:p w:rsidR="00F56C88" w:rsidRPr="005D1C94" w:rsidRDefault="00F56C88" w:rsidP="00F56C88">
      <w:pPr>
        <w:autoSpaceDE w:val="0"/>
        <w:autoSpaceDN w:val="0"/>
        <w:adjustRightInd w:val="0"/>
        <w:jc w:val="both"/>
        <w:rPr>
          <w:i/>
          <w:sz w:val="22"/>
          <w:szCs w:val="22"/>
        </w:rPr>
      </w:pPr>
      <w:r w:rsidRPr="005D1C94">
        <w:rPr>
          <w:sz w:val="22"/>
          <w:szCs w:val="22"/>
        </w:rPr>
        <w:t>Preporučuje se periodično praćenje kalijuma u serumu i EKG-a kada se Tolucombi</w:t>
      </w:r>
      <w:r w:rsidRPr="005D1C94">
        <w:rPr>
          <w:b/>
          <w:bCs/>
          <w:iCs/>
          <w:sz w:val="22"/>
          <w:szCs w:val="22"/>
          <w:vertAlign w:val="superscript"/>
        </w:rPr>
        <w:t>®</w:t>
      </w:r>
      <w:r w:rsidRPr="005D1C94">
        <w:rPr>
          <w:sz w:val="22"/>
          <w:szCs w:val="22"/>
        </w:rPr>
        <w:t xml:space="preserve"> uzima sa ljekovima na koje utiču poremećaji kalijuma u serumu (npr. glikozidi digitalisa, antiaritmici) i sljedećim ljekovima koji mogu da izazovu </w:t>
      </w:r>
      <w:r w:rsidRPr="005D1C94">
        <w:rPr>
          <w:i/>
          <w:sz w:val="22"/>
          <w:szCs w:val="22"/>
        </w:rPr>
        <w:t>torsades de pointes</w:t>
      </w:r>
      <w:r w:rsidRPr="005D1C94">
        <w:rPr>
          <w:sz w:val="22"/>
          <w:szCs w:val="22"/>
        </w:rPr>
        <w:t xml:space="preserve"> (uključujući pojedine antiaritmike), </w:t>
      </w:r>
      <w:r w:rsidRPr="005D1C94">
        <w:rPr>
          <w:sz w:val="22"/>
          <w:szCs w:val="22"/>
          <w:lang w:eastAsia="sr-Latn-ME"/>
        </w:rPr>
        <w:t>jer je hipokalijemija predisponirajući faktor za</w:t>
      </w:r>
      <w:r w:rsidRPr="005D1C94">
        <w:rPr>
          <w:sz w:val="22"/>
          <w:szCs w:val="22"/>
        </w:rPr>
        <w:t xml:space="preserve"> za </w:t>
      </w:r>
      <w:r w:rsidRPr="005D1C94">
        <w:rPr>
          <w:i/>
          <w:sz w:val="22"/>
          <w:szCs w:val="22"/>
        </w:rPr>
        <w:t>torsades de pointes.</w:t>
      </w:r>
    </w:p>
    <w:p w:rsidR="00F56C88" w:rsidRPr="005D1C94" w:rsidRDefault="00F56C88" w:rsidP="00F56C88">
      <w:pPr>
        <w:widowControl w:val="0"/>
        <w:numPr>
          <w:ilvl w:val="0"/>
          <w:numId w:val="36"/>
        </w:numPr>
        <w:tabs>
          <w:tab w:val="left" w:pos="567"/>
        </w:tabs>
        <w:jc w:val="both"/>
        <w:rPr>
          <w:sz w:val="22"/>
          <w:szCs w:val="22"/>
        </w:rPr>
      </w:pPr>
      <w:r w:rsidRPr="005D1C94">
        <w:rPr>
          <w:sz w:val="22"/>
          <w:szCs w:val="22"/>
        </w:rPr>
        <w:t>antiaritmici</w:t>
      </w:r>
      <w:r w:rsidRPr="005D1C94" w:rsidDel="006F258B">
        <w:rPr>
          <w:sz w:val="22"/>
          <w:szCs w:val="22"/>
        </w:rPr>
        <w:t xml:space="preserve"> </w:t>
      </w:r>
      <w:r w:rsidRPr="005D1C94">
        <w:rPr>
          <w:sz w:val="22"/>
          <w:szCs w:val="22"/>
        </w:rPr>
        <w:t>klase Ia (npr. hinidin, hidrokinidin, dizopiramid)</w:t>
      </w:r>
    </w:p>
    <w:p w:rsidR="00F56C88" w:rsidRPr="005D1C94" w:rsidRDefault="00F56C88" w:rsidP="00F56C88">
      <w:pPr>
        <w:widowControl w:val="0"/>
        <w:numPr>
          <w:ilvl w:val="0"/>
          <w:numId w:val="36"/>
        </w:numPr>
        <w:tabs>
          <w:tab w:val="left" w:pos="567"/>
        </w:tabs>
        <w:jc w:val="both"/>
        <w:rPr>
          <w:sz w:val="22"/>
          <w:szCs w:val="22"/>
        </w:rPr>
      </w:pPr>
      <w:r w:rsidRPr="005D1C94">
        <w:rPr>
          <w:sz w:val="22"/>
          <w:szCs w:val="22"/>
        </w:rPr>
        <w:t>antiaritmici</w:t>
      </w:r>
      <w:r w:rsidRPr="005D1C94" w:rsidDel="006F258B">
        <w:rPr>
          <w:sz w:val="22"/>
          <w:szCs w:val="22"/>
        </w:rPr>
        <w:t xml:space="preserve"> </w:t>
      </w:r>
      <w:r w:rsidRPr="005D1C94">
        <w:rPr>
          <w:sz w:val="22"/>
          <w:szCs w:val="22"/>
        </w:rPr>
        <w:t>klase III (npr. amjodaron, sotalol, dofetilid, ibutilid)</w:t>
      </w:r>
    </w:p>
    <w:p w:rsidR="00F56C88" w:rsidRPr="005D1C94" w:rsidRDefault="00F56C88" w:rsidP="00F56C88">
      <w:pPr>
        <w:widowControl w:val="0"/>
        <w:numPr>
          <w:ilvl w:val="0"/>
          <w:numId w:val="36"/>
        </w:numPr>
        <w:tabs>
          <w:tab w:val="left" w:pos="567"/>
        </w:tabs>
        <w:jc w:val="both"/>
        <w:rPr>
          <w:sz w:val="22"/>
          <w:szCs w:val="22"/>
        </w:rPr>
      </w:pPr>
      <w:r w:rsidRPr="005D1C94">
        <w:rPr>
          <w:sz w:val="22"/>
          <w:szCs w:val="22"/>
        </w:rPr>
        <w:t>neki antipsihotici (npr. tioridazin, hlorpromazin, levomepromazin, trifluoperazin, ciamemazin, sulpirid, sultoprid, amisulprid, tijaprid, pimozid, haloperidol, droperidol)</w:t>
      </w:r>
    </w:p>
    <w:p w:rsidR="00F56C88" w:rsidRPr="005D1C94" w:rsidRDefault="00F56C88" w:rsidP="00F56C88">
      <w:pPr>
        <w:widowControl w:val="0"/>
        <w:numPr>
          <w:ilvl w:val="0"/>
          <w:numId w:val="37"/>
        </w:numPr>
        <w:tabs>
          <w:tab w:val="left" w:pos="567"/>
        </w:tabs>
        <w:jc w:val="both"/>
        <w:rPr>
          <w:sz w:val="22"/>
          <w:szCs w:val="22"/>
        </w:rPr>
      </w:pPr>
      <w:r w:rsidRPr="005D1C94">
        <w:rPr>
          <w:sz w:val="22"/>
          <w:szCs w:val="22"/>
        </w:rPr>
        <w:t>ostali (npr. bepridil, cisaprid, difemanil, eritromicin i.v., halofantrin, mizolastin, pentamidin, sparfloksacin, terfenadin, vinkamin i.v.)</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Glikozidi digitalisa</w:t>
      </w:r>
    </w:p>
    <w:p w:rsidR="00F56C88" w:rsidRPr="005D1C94" w:rsidRDefault="00F56C88" w:rsidP="00F56C88">
      <w:pPr>
        <w:widowControl w:val="0"/>
        <w:tabs>
          <w:tab w:val="num" w:pos="120"/>
        </w:tabs>
        <w:jc w:val="both"/>
        <w:rPr>
          <w:sz w:val="22"/>
          <w:szCs w:val="22"/>
        </w:rPr>
      </w:pPr>
      <w:r w:rsidRPr="005D1C94">
        <w:rPr>
          <w:sz w:val="22"/>
          <w:szCs w:val="22"/>
        </w:rPr>
        <w:t xml:space="preserve">Hipokalijemija ili hipomagnezijemija indukovane tiazidima </w:t>
      </w:r>
      <w:r w:rsidRPr="005D1C94">
        <w:rPr>
          <w:sz w:val="22"/>
          <w:szCs w:val="22"/>
          <w:lang w:eastAsia="sr-Latn-ME"/>
        </w:rPr>
        <w:t xml:space="preserve">favorizuju nastanak aritmija indukovanih </w:t>
      </w:r>
      <w:r w:rsidRPr="005D1C94">
        <w:rPr>
          <w:sz w:val="22"/>
          <w:szCs w:val="22"/>
        </w:rPr>
        <w:t>digitalisom (vidjeti odjeljak 4.4).</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autoSpaceDE w:val="0"/>
        <w:autoSpaceDN w:val="0"/>
        <w:adjustRightInd w:val="0"/>
        <w:jc w:val="both"/>
        <w:rPr>
          <w:rFonts w:eastAsia="Calibri"/>
          <w:sz w:val="22"/>
          <w:szCs w:val="22"/>
          <w:u w:val="single"/>
          <w:lang w:eastAsia="hr-HR"/>
        </w:rPr>
      </w:pPr>
      <w:r w:rsidRPr="005D1C94">
        <w:rPr>
          <w:rFonts w:eastAsia="Calibri"/>
          <w:sz w:val="22"/>
          <w:szCs w:val="22"/>
          <w:u w:val="single"/>
          <w:lang w:eastAsia="hr-HR"/>
        </w:rPr>
        <w:t>Digoksin</w:t>
      </w:r>
    </w:p>
    <w:p w:rsidR="00F56C88" w:rsidRPr="005D1C94" w:rsidRDefault="00F56C88" w:rsidP="00F56C88">
      <w:pPr>
        <w:autoSpaceDE w:val="0"/>
        <w:autoSpaceDN w:val="0"/>
        <w:adjustRightInd w:val="0"/>
        <w:jc w:val="both"/>
        <w:rPr>
          <w:sz w:val="22"/>
          <w:szCs w:val="22"/>
          <w:lang w:eastAsia="sr-Latn-ME"/>
        </w:rPr>
      </w:pPr>
      <w:r w:rsidRPr="005D1C94">
        <w:rPr>
          <w:sz w:val="22"/>
          <w:szCs w:val="22"/>
          <w:lang w:eastAsia="sr-Latn-ME"/>
        </w:rPr>
        <w:t>Kada se telmisartan istovremeno primjenjivao sa digoksinom, uočen je porast medijana kod maksimalne koncentracije digoksina u plazmi</w:t>
      </w:r>
      <w:r w:rsidRPr="005D1C94">
        <w:rPr>
          <w:bCs/>
          <w:sz w:val="22"/>
          <w:szCs w:val="22"/>
        </w:rPr>
        <w:t xml:space="preserve"> (49%) </w:t>
      </w:r>
      <w:r w:rsidRPr="005D1C94">
        <w:rPr>
          <w:sz w:val="22"/>
          <w:szCs w:val="22"/>
          <w:lang w:eastAsia="sr-Latn-ME"/>
        </w:rPr>
        <w:t>i kod najniža koncentracija</w:t>
      </w:r>
      <w:r w:rsidRPr="005D1C94" w:rsidDel="00881E45">
        <w:rPr>
          <w:bCs/>
          <w:sz w:val="22"/>
          <w:szCs w:val="22"/>
        </w:rPr>
        <w:t xml:space="preserve"> </w:t>
      </w:r>
      <w:r w:rsidRPr="005D1C94">
        <w:rPr>
          <w:bCs/>
          <w:sz w:val="22"/>
          <w:szCs w:val="22"/>
        </w:rPr>
        <w:t xml:space="preserve">(20%). </w:t>
      </w:r>
      <w:r w:rsidRPr="005D1C94">
        <w:rPr>
          <w:sz w:val="22"/>
          <w:szCs w:val="22"/>
          <w:lang w:eastAsia="sr-Latn-ME"/>
        </w:rPr>
        <w:t>Kada se terapija telmisartanom započinje, podešava ili obustavlja, treba pratiti koncentraciju digoksina sa ciljem održanja u terapijskom opsegu.</w:t>
      </w:r>
    </w:p>
    <w:p w:rsidR="00F56C88" w:rsidRPr="005D1C94" w:rsidRDefault="00F56C88" w:rsidP="00F56C88">
      <w:pPr>
        <w:autoSpaceDE w:val="0"/>
        <w:autoSpaceDN w:val="0"/>
        <w:adjustRightInd w:val="0"/>
        <w:jc w:val="both"/>
        <w:rPr>
          <w:sz w:val="22"/>
          <w:szCs w:val="22"/>
          <w:lang w:eastAsia="sr-Latn-ME"/>
        </w:rPr>
      </w:pPr>
    </w:p>
    <w:p w:rsidR="00F56C88" w:rsidRPr="005D1C94" w:rsidRDefault="00F56C88" w:rsidP="00F56C88">
      <w:pPr>
        <w:autoSpaceDE w:val="0"/>
        <w:autoSpaceDN w:val="0"/>
        <w:adjustRightInd w:val="0"/>
        <w:jc w:val="both"/>
        <w:rPr>
          <w:sz w:val="22"/>
          <w:szCs w:val="22"/>
          <w:u w:val="single"/>
        </w:rPr>
      </w:pPr>
      <w:r w:rsidRPr="005D1C94">
        <w:rPr>
          <w:sz w:val="22"/>
          <w:szCs w:val="22"/>
          <w:u w:val="single"/>
        </w:rPr>
        <w:t>Ostali antihipertenzivni ljekovi</w:t>
      </w:r>
    </w:p>
    <w:p w:rsidR="00F56C88" w:rsidRPr="005D1C94" w:rsidRDefault="00F56C88" w:rsidP="00F56C88">
      <w:pPr>
        <w:widowControl w:val="0"/>
        <w:tabs>
          <w:tab w:val="num" w:pos="120"/>
        </w:tabs>
        <w:jc w:val="both"/>
        <w:rPr>
          <w:sz w:val="22"/>
          <w:szCs w:val="22"/>
        </w:rPr>
      </w:pPr>
      <w:r w:rsidRPr="005D1C94">
        <w:rPr>
          <w:sz w:val="22"/>
          <w:szCs w:val="22"/>
        </w:rPr>
        <w:t>Telmisartan može povećati hipotenzivno dejstvo ostalih antihipertenzivnih ljekova.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autoSpaceDE w:val="0"/>
        <w:autoSpaceDN w:val="0"/>
        <w:adjustRightInd w:val="0"/>
        <w:jc w:val="both"/>
        <w:rPr>
          <w:sz w:val="22"/>
          <w:szCs w:val="22"/>
          <w:lang w:eastAsia="de-DE"/>
        </w:rPr>
      </w:pPr>
      <w:r w:rsidRPr="005D1C94">
        <w:rPr>
          <w:sz w:val="22"/>
          <w:szCs w:val="22"/>
          <w:lang w:eastAsia="it-IT"/>
        </w:rPr>
        <w:t xml:space="preserve">Podaci iz kliničkih ispitivanja pokazali su da je dvostruka blokada renin-angiotenzin-aldosteronskog sistema (RAAS) kombinovanom  primjenom ACE inhibitora, blokatora angiotenzin II receptora ili aliskirena povezana sa većom učestalošću neželjenih događaja kao što su hipotenzija, hiperkalijemija i smanjena bubrežna funkcija </w:t>
      </w:r>
      <w:r w:rsidRPr="005D1C94">
        <w:rPr>
          <w:sz w:val="22"/>
          <w:szCs w:val="22"/>
          <w:lang w:eastAsia="de-DE"/>
        </w:rPr>
        <w:t>(uključujući akutnu insuficijenciju bubrega) u poređenju sa primjenom samo jednog lijeka koji djeluje na RAAS (vidjeti odjeljak 4.3, 4.4 i 5.1).</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Antidijabetički ljekovi (ljekovi za oralnu primjenu i insulin)</w:t>
      </w:r>
    </w:p>
    <w:p w:rsidR="00F56C88" w:rsidRPr="005D1C94" w:rsidRDefault="00F56C88" w:rsidP="00F56C88">
      <w:pPr>
        <w:widowControl w:val="0"/>
        <w:tabs>
          <w:tab w:val="num" w:pos="120"/>
        </w:tabs>
        <w:jc w:val="both"/>
        <w:rPr>
          <w:sz w:val="22"/>
          <w:szCs w:val="22"/>
        </w:rPr>
      </w:pPr>
      <w:r w:rsidRPr="005D1C94">
        <w:rPr>
          <w:sz w:val="22"/>
          <w:szCs w:val="22"/>
        </w:rPr>
        <w:t>Može biti potrebno prilagođavanje doze antidijabetičkih ljekova (vidjeti odjeljak 4.4).</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Metformin</w:t>
      </w:r>
    </w:p>
    <w:p w:rsidR="00F56C88" w:rsidRPr="005D1C94" w:rsidRDefault="00F56C88" w:rsidP="00F56C88">
      <w:pPr>
        <w:widowControl w:val="0"/>
        <w:tabs>
          <w:tab w:val="num" w:pos="120"/>
        </w:tabs>
        <w:jc w:val="both"/>
        <w:rPr>
          <w:sz w:val="22"/>
          <w:szCs w:val="22"/>
        </w:rPr>
      </w:pPr>
      <w:r w:rsidRPr="005D1C94">
        <w:rPr>
          <w:sz w:val="22"/>
          <w:szCs w:val="22"/>
        </w:rPr>
        <w:t xml:space="preserve">Metformin se mora primjenjivati sa oprezom: postoji rizik od </w:t>
      </w:r>
      <w:r w:rsidRPr="005D1C94">
        <w:rPr>
          <w:sz w:val="22"/>
          <w:szCs w:val="22"/>
          <w:lang w:eastAsia="sr-Latn-ME"/>
        </w:rPr>
        <w:t xml:space="preserve">razvoja laktatne </w:t>
      </w:r>
      <w:r w:rsidRPr="005D1C94">
        <w:rPr>
          <w:sz w:val="22"/>
          <w:szCs w:val="22"/>
        </w:rPr>
        <w:t xml:space="preserve">acidoze indukovane  </w:t>
      </w:r>
      <w:r w:rsidRPr="005D1C94">
        <w:rPr>
          <w:sz w:val="22"/>
          <w:szCs w:val="22"/>
          <w:lang w:eastAsia="sr-Latn-ME"/>
        </w:rPr>
        <w:t xml:space="preserve">funkcionalnom bubrežnom insuficijencijom kada se daje istovremeno sa </w:t>
      </w:r>
      <w:r w:rsidRPr="005D1C94">
        <w:rPr>
          <w:sz w:val="22"/>
          <w:szCs w:val="22"/>
        </w:rPr>
        <w:t>hidrohlortiazidom.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 xml:space="preserve">Holestiramin i smole holestipola </w:t>
      </w:r>
    </w:p>
    <w:p w:rsidR="00F56C88" w:rsidRPr="005D1C94" w:rsidRDefault="00F56C88" w:rsidP="00F56C88">
      <w:pPr>
        <w:widowControl w:val="0"/>
        <w:tabs>
          <w:tab w:val="num" w:pos="120"/>
        </w:tabs>
        <w:jc w:val="both"/>
        <w:rPr>
          <w:sz w:val="22"/>
          <w:szCs w:val="22"/>
        </w:rPr>
      </w:pPr>
      <w:r w:rsidRPr="005D1C94">
        <w:rPr>
          <w:sz w:val="22"/>
          <w:szCs w:val="22"/>
        </w:rPr>
        <w:t xml:space="preserve">Resorpcija hidrohlortiazida </w:t>
      </w:r>
      <w:r w:rsidRPr="005D1C94">
        <w:rPr>
          <w:sz w:val="22"/>
          <w:szCs w:val="22"/>
          <w:lang w:eastAsia="sr-Latn-ME"/>
        </w:rPr>
        <w:t>smanjena u prisustvu smola za anjonsku izmjenu.</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lastRenderedPageBreak/>
        <w:t>Nesteroidni antiinflamatorni ljekovi</w:t>
      </w:r>
    </w:p>
    <w:p w:rsidR="00F56C88" w:rsidRPr="005D1C94" w:rsidRDefault="00F56C88" w:rsidP="00F56C88">
      <w:pPr>
        <w:widowControl w:val="0"/>
        <w:tabs>
          <w:tab w:val="num" w:pos="120"/>
        </w:tabs>
        <w:jc w:val="both"/>
        <w:rPr>
          <w:sz w:val="22"/>
          <w:szCs w:val="22"/>
        </w:rPr>
      </w:pPr>
      <w:r w:rsidRPr="005D1C94">
        <w:rPr>
          <w:sz w:val="22"/>
          <w:szCs w:val="22"/>
        </w:rPr>
        <w:t>NSAIL (tj. acetilsalicilna kiselina u antiinflamatornim režimima doziranja, COX-2 inhibitori i neselektivni NSAIL) mogu smanjiti diuretski, natrijumuretski i antihipertenzivni efekat tiazidskih diuretika i antihipertenzivni efekat antagonista receptora angiotenzina II.</w:t>
      </w:r>
    </w:p>
    <w:p w:rsidR="00F56C88" w:rsidRPr="005D1C94" w:rsidRDefault="00F56C88" w:rsidP="00F56C88">
      <w:pPr>
        <w:autoSpaceDE w:val="0"/>
        <w:autoSpaceDN w:val="0"/>
        <w:adjustRightInd w:val="0"/>
        <w:jc w:val="both"/>
        <w:rPr>
          <w:sz w:val="22"/>
          <w:szCs w:val="22"/>
        </w:rPr>
      </w:pPr>
      <w:r w:rsidRPr="005D1C94">
        <w:rPr>
          <w:sz w:val="22"/>
          <w:szCs w:val="22"/>
        </w:rPr>
        <w:t xml:space="preserve">Kod pojedinih pacijenta sa narušenom bubrežnom funkcijom (npr. dehidrirani bolesnici ili starije osobe sa kompromitovanom bubrežnom funkcijom) istovremena primjena antagonista receptora angiotenzina II i ljekova koji inhibiraju ciklooksigenazu može rezultirati daljim pogoršanjem bubrežne funkcije, uključujući moguću akutnu </w:t>
      </w:r>
      <w:r w:rsidRPr="005D1C94">
        <w:rPr>
          <w:sz w:val="22"/>
          <w:szCs w:val="22"/>
          <w:lang w:eastAsia="sr-Latn-ME"/>
        </w:rPr>
        <w:t>bubrežnu insuficijenciju</w:t>
      </w:r>
      <w:r w:rsidRPr="005D1C94">
        <w:rPr>
          <w:sz w:val="22"/>
          <w:szCs w:val="22"/>
        </w:rPr>
        <w:t xml:space="preserve">, koja je obično reverzibilna. Stoga se ova kombinacija mora primjenjivati sa oprezom, naročito kod starijih osoba. Pacijenti se moraju odgovarajuće hidrirati i treba </w:t>
      </w:r>
      <w:r w:rsidRPr="005D1C94">
        <w:rPr>
          <w:sz w:val="22"/>
          <w:szCs w:val="22"/>
          <w:lang w:eastAsia="sr-Latn-ME"/>
        </w:rPr>
        <w:t xml:space="preserve">razmotriti potrebu za praćenjem </w:t>
      </w:r>
      <w:r w:rsidRPr="005D1C94">
        <w:rPr>
          <w:sz w:val="22"/>
          <w:szCs w:val="22"/>
        </w:rPr>
        <w:t>bubrežne funkcije nakon početka istovremene terapije, kao i periodično nakon toga.</w:t>
      </w:r>
    </w:p>
    <w:p w:rsidR="00F56C88" w:rsidRPr="005D1C94" w:rsidRDefault="00F56C88" w:rsidP="00F56C88">
      <w:pPr>
        <w:widowControl w:val="0"/>
        <w:tabs>
          <w:tab w:val="num" w:pos="120"/>
        </w:tabs>
        <w:jc w:val="both"/>
        <w:rPr>
          <w:sz w:val="22"/>
          <w:szCs w:val="22"/>
        </w:rPr>
      </w:pPr>
    </w:p>
    <w:p w:rsidR="00F56C88" w:rsidRPr="005D1C94" w:rsidRDefault="00F56C88" w:rsidP="00F56C88">
      <w:pPr>
        <w:autoSpaceDE w:val="0"/>
        <w:autoSpaceDN w:val="0"/>
        <w:adjustRightInd w:val="0"/>
        <w:jc w:val="both"/>
        <w:rPr>
          <w:sz w:val="22"/>
          <w:szCs w:val="22"/>
        </w:rPr>
      </w:pPr>
      <w:r w:rsidRPr="005D1C94">
        <w:rPr>
          <w:sz w:val="22"/>
          <w:szCs w:val="22"/>
          <w:lang w:eastAsia="sr-Latn-ME"/>
        </w:rPr>
        <w:t xml:space="preserve">U jednom ispitivanju u kojem je istovremeno primjenjen telmisartan i ramiprila zabilježeno je povećanje PIK </w:t>
      </w:r>
      <w:r w:rsidRPr="005D1C94">
        <w:rPr>
          <w:sz w:val="22"/>
          <w:szCs w:val="22"/>
          <w:vertAlign w:val="subscript"/>
          <w:lang w:eastAsia="sr-Latn-ME"/>
        </w:rPr>
        <w:t>0-24</w:t>
      </w:r>
      <w:r w:rsidRPr="005D1C94">
        <w:rPr>
          <w:sz w:val="22"/>
          <w:szCs w:val="22"/>
          <w:lang w:eastAsia="sr-Latn-ME"/>
        </w:rPr>
        <w:t xml:space="preserve"> i C</w:t>
      </w:r>
      <w:r w:rsidRPr="005D1C94">
        <w:rPr>
          <w:sz w:val="22"/>
          <w:szCs w:val="22"/>
          <w:vertAlign w:val="subscript"/>
          <w:lang w:eastAsia="sr-Latn-ME"/>
        </w:rPr>
        <w:t>max</w:t>
      </w:r>
      <w:r w:rsidRPr="005D1C94">
        <w:rPr>
          <w:sz w:val="22"/>
          <w:szCs w:val="22"/>
          <w:lang w:eastAsia="sr-Latn-ME"/>
        </w:rPr>
        <w:t xml:space="preserve"> ramiprila i ramiprilata do 2,5 puta.</w:t>
      </w:r>
      <w:r w:rsidRPr="005D1C94">
        <w:rPr>
          <w:sz w:val="22"/>
          <w:szCs w:val="22"/>
        </w:rPr>
        <w:t xml:space="preserve"> Klinički značaj spomenutog opažanja nije poznat.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Presorni amini (npr. noradrenalin)</w:t>
      </w:r>
    </w:p>
    <w:p w:rsidR="00F56C88" w:rsidRPr="005D1C94" w:rsidRDefault="00F56C88" w:rsidP="00F56C88">
      <w:pPr>
        <w:widowControl w:val="0"/>
        <w:tabs>
          <w:tab w:val="num" w:pos="120"/>
        </w:tabs>
        <w:jc w:val="both"/>
        <w:rPr>
          <w:sz w:val="22"/>
          <w:szCs w:val="22"/>
        </w:rPr>
      </w:pPr>
      <w:r w:rsidRPr="005D1C94">
        <w:rPr>
          <w:sz w:val="22"/>
          <w:szCs w:val="22"/>
        </w:rPr>
        <w:t>Efekat presornih amina može biti smanjen.</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sidDel="00A711B5">
        <w:rPr>
          <w:sz w:val="22"/>
          <w:szCs w:val="22"/>
          <w:u w:val="single"/>
        </w:rPr>
        <w:t xml:space="preserve">Nedepolarizirajući </w:t>
      </w:r>
      <w:r w:rsidRPr="005D1C94">
        <w:rPr>
          <w:sz w:val="22"/>
          <w:szCs w:val="22"/>
          <w:u w:val="single"/>
        </w:rPr>
        <w:t>relaksansi skeletnih mišića (npr. tubokurarin)</w:t>
      </w:r>
    </w:p>
    <w:p w:rsidR="00F56C88" w:rsidRPr="005D1C94" w:rsidRDefault="00F56C88" w:rsidP="00F56C88">
      <w:pPr>
        <w:widowControl w:val="0"/>
        <w:tabs>
          <w:tab w:val="num" w:pos="120"/>
        </w:tabs>
        <w:jc w:val="both"/>
        <w:rPr>
          <w:sz w:val="22"/>
          <w:szCs w:val="22"/>
        </w:rPr>
      </w:pPr>
      <w:r w:rsidRPr="005D1C94">
        <w:rPr>
          <w:sz w:val="22"/>
          <w:szCs w:val="22"/>
          <w:lang w:eastAsia="sr-Latn-ME"/>
        </w:rPr>
        <w:t>Hidrohlortiazid može da pojača dejstvo nedepolarizujućih relaksanasa skeletnih mišića.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Ljekovi koji se primjenjuju u liječenju gihta (npr. probenecid, sulfinpirazon i alopurinol)</w:t>
      </w:r>
    </w:p>
    <w:p w:rsidR="00F56C88" w:rsidRPr="005D1C94" w:rsidRDefault="00F56C88" w:rsidP="00F56C88">
      <w:pPr>
        <w:widowControl w:val="0"/>
        <w:tabs>
          <w:tab w:val="num" w:pos="120"/>
        </w:tabs>
        <w:jc w:val="both"/>
        <w:rPr>
          <w:sz w:val="22"/>
          <w:szCs w:val="22"/>
        </w:rPr>
      </w:pPr>
      <w:r w:rsidRPr="005D1C94">
        <w:rPr>
          <w:sz w:val="22"/>
          <w:szCs w:val="22"/>
        </w:rPr>
        <w:t>Može biti potrebno prilagođavanje doze urikozuričnih ljekova, s obzirom na to da hidrohlortiazid može povećati nivo mokraćne kiseline u serumu. Povećanje doze probenecida ili sulfinpirazona može biti neophodno. Istovremena primjena tiazida može povećati incidencu reakcija preosjetljivosti na alopurinol.</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Kalcijumove soli</w:t>
      </w:r>
    </w:p>
    <w:p w:rsidR="00F56C88" w:rsidRPr="005D1C94" w:rsidRDefault="00F56C88" w:rsidP="00F56C88">
      <w:pPr>
        <w:widowControl w:val="0"/>
        <w:tabs>
          <w:tab w:val="num" w:pos="120"/>
        </w:tabs>
        <w:jc w:val="both"/>
        <w:rPr>
          <w:sz w:val="22"/>
          <w:szCs w:val="22"/>
        </w:rPr>
      </w:pPr>
      <w:r w:rsidRPr="005D1C94">
        <w:rPr>
          <w:sz w:val="22"/>
          <w:szCs w:val="22"/>
        </w:rPr>
        <w:t>Tiazidski diuretici mogu povećati vrijednost serumskog kalcijuma zahvaljujući smanjenoj ekskreciji. Ako se moraju propisati suplementi kalcijuma, moraju se pratiti serumske vrijednosti kalcijuma i u skladu s tim prilagođavati dozu kalcijuma.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Beta-blokatori i diazoksid</w:t>
      </w:r>
    </w:p>
    <w:p w:rsidR="00F56C88" w:rsidRPr="005D1C94" w:rsidRDefault="00F56C88" w:rsidP="00F56C88">
      <w:pPr>
        <w:widowControl w:val="0"/>
        <w:tabs>
          <w:tab w:val="num" w:pos="120"/>
        </w:tabs>
        <w:jc w:val="both"/>
        <w:rPr>
          <w:sz w:val="22"/>
          <w:szCs w:val="22"/>
        </w:rPr>
      </w:pPr>
      <w:r w:rsidRPr="005D1C94">
        <w:rPr>
          <w:sz w:val="22"/>
          <w:szCs w:val="22"/>
        </w:rPr>
        <w:t>Hiperglikemijski efekat beta-blokatora i diazoksida može biti pojačan tiazidima.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Antiholinergički ljekovi</w:t>
      </w:r>
      <w:r w:rsidRPr="005D1C94">
        <w:rPr>
          <w:sz w:val="22"/>
          <w:szCs w:val="22"/>
        </w:rPr>
        <w:t xml:space="preserve"> (npr. atropin, biperiden) mogu povećati bioraspoloživost diuretika tiazidnog tipa putem smanjenja gastrointestinalnog motiliteta i brzine pražnjenja želuca.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Amantadin</w:t>
      </w:r>
    </w:p>
    <w:p w:rsidR="00F56C88" w:rsidRPr="005D1C94" w:rsidRDefault="00F56C88" w:rsidP="00F56C88">
      <w:pPr>
        <w:widowControl w:val="0"/>
        <w:tabs>
          <w:tab w:val="num" w:pos="120"/>
        </w:tabs>
        <w:jc w:val="both"/>
        <w:rPr>
          <w:sz w:val="22"/>
          <w:szCs w:val="22"/>
        </w:rPr>
      </w:pPr>
      <w:r w:rsidRPr="005D1C94">
        <w:rPr>
          <w:sz w:val="22"/>
          <w:szCs w:val="22"/>
        </w:rPr>
        <w:t>Tiazidi mogu povećati rizik od neželjenih dejstava koje uzrokuje amantadin.</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Citotoksični ljekovi</w:t>
      </w:r>
      <w:r w:rsidRPr="005D1C94">
        <w:rPr>
          <w:sz w:val="22"/>
          <w:szCs w:val="22"/>
        </w:rPr>
        <w:t xml:space="preserve"> (npr. ciklofosfamid, metotreksat)</w:t>
      </w:r>
    </w:p>
    <w:p w:rsidR="00F56C88" w:rsidRPr="005D1C94" w:rsidRDefault="00F56C88" w:rsidP="00F56C88">
      <w:pPr>
        <w:widowControl w:val="0"/>
        <w:tabs>
          <w:tab w:val="num" w:pos="120"/>
        </w:tabs>
        <w:jc w:val="both"/>
        <w:rPr>
          <w:sz w:val="22"/>
          <w:szCs w:val="22"/>
        </w:rPr>
      </w:pPr>
      <w:r w:rsidRPr="005D1C94">
        <w:rPr>
          <w:sz w:val="22"/>
          <w:szCs w:val="22"/>
        </w:rPr>
        <w:t>Tiazidi mogu redukovati renalnu ekskreciju citotoksičnih ljekova i potencirati njihove mijelosupresivne efekte.</w:t>
      </w:r>
    </w:p>
    <w:p w:rsidR="00F56C88" w:rsidRPr="005D1C94" w:rsidRDefault="00F56C88" w:rsidP="00F56C88">
      <w:pPr>
        <w:widowControl w:val="0"/>
        <w:tabs>
          <w:tab w:val="num" w:pos="120"/>
        </w:tabs>
        <w:jc w:val="both"/>
        <w:rPr>
          <w:sz w:val="22"/>
          <w:szCs w:val="22"/>
        </w:rPr>
      </w:pPr>
    </w:p>
    <w:p w:rsidR="004D5E54" w:rsidRPr="005D1C94" w:rsidRDefault="004D5E54" w:rsidP="00F56C88">
      <w:pPr>
        <w:widowControl w:val="0"/>
        <w:tabs>
          <w:tab w:val="num" w:pos="120"/>
        </w:tabs>
        <w:jc w:val="both"/>
        <w:rPr>
          <w:sz w:val="22"/>
          <w:szCs w:val="22"/>
        </w:rPr>
      </w:pPr>
    </w:p>
    <w:p w:rsidR="00F56C88" w:rsidRPr="005D1C94" w:rsidRDefault="00F56C88" w:rsidP="00F56C88">
      <w:pPr>
        <w:widowControl w:val="0"/>
        <w:jc w:val="both"/>
        <w:rPr>
          <w:sz w:val="22"/>
          <w:szCs w:val="22"/>
        </w:rPr>
      </w:pPr>
      <w:r w:rsidRPr="005D1C94">
        <w:rPr>
          <w:sz w:val="22"/>
          <w:szCs w:val="22"/>
        </w:rPr>
        <w:lastRenderedPageBreak/>
        <w:t>Na osnovu njihovih farmakoloških svojstava očekuje se moguće potenciranje hipotenzivnih efekata svih antihipertenzivnih ljekova, uključujući telmisartan, sa sljedećim ljekovima: baklofen, amifostin.</w:t>
      </w:r>
    </w:p>
    <w:p w:rsidR="00F56C88" w:rsidRPr="005D1C94" w:rsidRDefault="00F56C88" w:rsidP="00F56C88">
      <w:pPr>
        <w:widowControl w:val="0"/>
        <w:jc w:val="both"/>
        <w:rPr>
          <w:spacing w:val="-3"/>
          <w:sz w:val="22"/>
          <w:szCs w:val="22"/>
        </w:rPr>
      </w:pPr>
      <w:r w:rsidRPr="005D1C94">
        <w:rPr>
          <w:sz w:val="22"/>
          <w:szCs w:val="22"/>
        </w:rPr>
        <w:t>Osim toga, ortostatska hipotenzija može se pogoršati uzimanjem alkohola, barbituratima, narkoticima ili antidepresivima</w:t>
      </w:r>
      <w:r w:rsidRPr="005D1C94">
        <w:rPr>
          <w:spacing w:val="-3"/>
          <w:sz w:val="22"/>
          <w:szCs w:val="22"/>
        </w:rPr>
        <w:t>.</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567"/>
        </w:tabs>
        <w:jc w:val="both"/>
        <w:rPr>
          <w:sz w:val="22"/>
          <w:szCs w:val="22"/>
        </w:rPr>
      </w:pPr>
      <w:r w:rsidRPr="005D1C94">
        <w:rPr>
          <w:b/>
          <w:sz w:val="22"/>
          <w:szCs w:val="22"/>
        </w:rPr>
        <w:t>4.6</w:t>
      </w:r>
      <w:r w:rsidRPr="005D1C94">
        <w:rPr>
          <w:sz w:val="22"/>
          <w:szCs w:val="22"/>
        </w:rPr>
        <w:tab/>
      </w:r>
      <w:r w:rsidRPr="005D1C94">
        <w:rPr>
          <w:b/>
          <w:sz w:val="22"/>
          <w:szCs w:val="22"/>
        </w:rPr>
        <w:t>Primjena u periodu trudnoće i dojenja</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Trudnoća</w:t>
      </w:r>
    </w:p>
    <w:p w:rsidR="00F56C88" w:rsidRPr="005D1C94" w:rsidRDefault="00F56C88" w:rsidP="00F56C88">
      <w:pPr>
        <w:widowControl w:val="0"/>
        <w:tabs>
          <w:tab w:val="num" w:pos="120"/>
        </w:tabs>
        <w:jc w:val="both"/>
        <w:rPr>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56C88" w:rsidRPr="005D1C94" w:rsidTr="00092E0C">
        <w:tc>
          <w:tcPr>
            <w:tcW w:w="9072" w:type="dxa"/>
            <w:tcBorders>
              <w:top w:val="single" w:sz="4" w:space="0" w:color="auto"/>
              <w:left w:val="single" w:sz="4" w:space="0" w:color="auto"/>
              <w:bottom w:val="single" w:sz="4" w:space="0" w:color="auto"/>
              <w:right w:val="single" w:sz="4" w:space="0" w:color="auto"/>
            </w:tcBorders>
            <w:hideMark/>
          </w:tcPr>
          <w:p w:rsidR="00F56C88" w:rsidRPr="005D1C94" w:rsidRDefault="00F56C88" w:rsidP="00092E0C">
            <w:pPr>
              <w:widowControl w:val="0"/>
              <w:tabs>
                <w:tab w:val="num" w:pos="120"/>
              </w:tabs>
              <w:jc w:val="both"/>
              <w:rPr>
                <w:sz w:val="22"/>
                <w:szCs w:val="22"/>
              </w:rPr>
            </w:pPr>
            <w:r w:rsidRPr="005D1C94">
              <w:rPr>
                <w:sz w:val="22"/>
                <w:szCs w:val="22"/>
              </w:rPr>
              <w:t>Primjena antagonista receptora angiotenzina II se ne preporučuje tokom prvog trimestra trudnoće (vidjeti odjeljak 4.4). Primjena antagonista receptora angiotenzina II je kontraindikovana tokom drugog i trećeg trimestra trudnoće (vidjeti odjeljak 4.3 i 4.4).</w:t>
            </w:r>
          </w:p>
        </w:tc>
      </w:tr>
    </w:tbl>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Pr>
          <w:sz w:val="22"/>
          <w:szCs w:val="22"/>
        </w:rPr>
        <w:t>Ne postoje adekvatni podaci o primjeni lijeka Tolucombi</w:t>
      </w:r>
      <w:r w:rsidRPr="005D1C94">
        <w:rPr>
          <w:b/>
          <w:bCs/>
          <w:iCs/>
          <w:sz w:val="22"/>
          <w:szCs w:val="22"/>
          <w:vertAlign w:val="superscript"/>
        </w:rPr>
        <w:t>®</w:t>
      </w:r>
      <w:r w:rsidRPr="005D1C94">
        <w:rPr>
          <w:sz w:val="22"/>
          <w:szCs w:val="22"/>
        </w:rPr>
        <w:t xml:space="preserve"> kod trudnica. Studije na životinjama pokazale su reproduktivnu toksičnost (vidjeti odjeljak 5.3).</w:t>
      </w:r>
    </w:p>
    <w:p w:rsidR="00F56C88" w:rsidRPr="005D1C94" w:rsidRDefault="00F56C88" w:rsidP="00F56C88">
      <w:pPr>
        <w:widowControl w:val="0"/>
        <w:tabs>
          <w:tab w:val="num" w:pos="120"/>
        </w:tabs>
        <w:jc w:val="both"/>
        <w:rPr>
          <w:sz w:val="22"/>
          <w:szCs w:val="22"/>
        </w:rPr>
      </w:pPr>
    </w:p>
    <w:p w:rsidR="00F56C88" w:rsidRPr="005D1C94" w:rsidRDefault="00F56C88" w:rsidP="00F56C88">
      <w:pPr>
        <w:autoSpaceDE w:val="0"/>
        <w:autoSpaceDN w:val="0"/>
        <w:adjustRightInd w:val="0"/>
        <w:jc w:val="both"/>
        <w:rPr>
          <w:color w:val="000000"/>
          <w:sz w:val="22"/>
          <w:szCs w:val="22"/>
          <w:lang w:eastAsia="sr-Latn-ME"/>
        </w:rPr>
      </w:pPr>
      <w:r w:rsidRPr="005D1C94">
        <w:rPr>
          <w:sz w:val="22"/>
          <w:szCs w:val="22"/>
        </w:rPr>
        <w:t xml:space="preserve">Epidemiološki podaci </w:t>
      </w:r>
      <w:r w:rsidRPr="005D1C94">
        <w:rPr>
          <w:sz w:val="22"/>
          <w:szCs w:val="22"/>
          <w:lang w:eastAsia="sr-Latn-ME"/>
        </w:rPr>
        <w:t xml:space="preserve">koji se odnose na </w:t>
      </w:r>
      <w:r w:rsidRPr="005D1C94">
        <w:rPr>
          <w:sz w:val="22"/>
          <w:szCs w:val="22"/>
        </w:rPr>
        <w:t xml:space="preserve">rizik od teratogenosti nakon izloženosti ACE inhbitorima tokom prvog trimestra trudnoće, nijesu definitivni. Ipak, ne može se isključiti blago povećanje rizika. </w:t>
      </w:r>
      <w:r w:rsidRPr="005D1C94">
        <w:rPr>
          <w:sz w:val="22"/>
          <w:szCs w:val="22"/>
          <w:lang w:eastAsia="sr-Latn-ME"/>
        </w:rPr>
        <w:t xml:space="preserve">Iako nema podataka iz kontrolisanih epidemioloških ispitivanja o riziku vezanom za primjenu antagonista angiotenzin II receptora, sličan rizik postoji i za </w:t>
      </w:r>
      <w:r w:rsidRPr="005D1C94">
        <w:rPr>
          <w:sz w:val="22"/>
          <w:szCs w:val="22"/>
        </w:rPr>
        <w:t xml:space="preserve">ovu grupu ljekova. </w:t>
      </w:r>
      <w:r w:rsidRPr="005D1C94">
        <w:rPr>
          <w:color w:val="1D1B11"/>
          <w:sz w:val="22"/>
          <w:szCs w:val="22"/>
          <w:lang w:eastAsia="sr-Latn-ME"/>
        </w:rPr>
        <w:t xml:space="preserve">Pacijentkinjama koje planiraju trudnoću, a liječe se antagonistima angiotenzin II receptora, </w:t>
      </w:r>
      <w:r w:rsidRPr="005D1C94">
        <w:rPr>
          <w:color w:val="000000"/>
          <w:sz w:val="22"/>
          <w:szCs w:val="22"/>
          <w:lang w:eastAsia="sr-Latn-ME"/>
        </w:rPr>
        <w:t xml:space="preserve">terapija se mora </w:t>
      </w:r>
      <w:r w:rsidRPr="005D1C94">
        <w:rPr>
          <w:sz w:val="22"/>
          <w:szCs w:val="22"/>
          <w:lang w:eastAsia="sr-Latn-ME"/>
        </w:rPr>
        <w:t xml:space="preserve">zamijeniti drugim antihipertenzivnim lijekom sa potvrđenim bezbjednosnim profilom za primjenu u trudnoći, </w:t>
      </w:r>
      <w:r w:rsidRPr="005D1C94">
        <w:rPr>
          <w:color w:val="000000"/>
          <w:sz w:val="22"/>
          <w:szCs w:val="22"/>
          <w:lang w:eastAsia="sr-Latn-ME"/>
        </w:rPr>
        <w:t xml:space="preserve">osim ako se nastavak terapije </w:t>
      </w:r>
      <w:r w:rsidRPr="005D1C94">
        <w:rPr>
          <w:color w:val="1D1B11"/>
          <w:sz w:val="22"/>
          <w:szCs w:val="22"/>
          <w:lang w:eastAsia="sr-Latn-ME"/>
        </w:rPr>
        <w:t xml:space="preserve">antagonistima angiotenzin II receptora </w:t>
      </w:r>
      <w:r w:rsidRPr="005D1C94">
        <w:rPr>
          <w:color w:val="000000"/>
          <w:sz w:val="22"/>
          <w:szCs w:val="22"/>
          <w:lang w:eastAsia="sr-Latn-ME"/>
        </w:rPr>
        <w:t xml:space="preserve">smatra neophodnim. </w:t>
      </w:r>
      <w:r w:rsidRPr="005D1C94">
        <w:rPr>
          <w:color w:val="1D1B11"/>
          <w:sz w:val="22"/>
          <w:szCs w:val="22"/>
          <w:lang w:eastAsia="sr-Latn-ME"/>
        </w:rPr>
        <w:t>Kada se trudnoća utvrdi, terapija antagonistima angiotenzin II receptora treba odmah da se prekine, i ako je potrebno, treba započeti sa alternativnom terapijom.</w:t>
      </w:r>
    </w:p>
    <w:p w:rsidR="00F56C88" w:rsidRPr="005D1C94" w:rsidRDefault="00F56C88" w:rsidP="00F56C88">
      <w:pPr>
        <w:autoSpaceDE w:val="0"/>
        <w:autoSpaceDN w:val="0"/>
        <w:adjustRightInd w:val="0"/>
        <w:jc w:val="both"/>
        <w:rPr>
          <w:color w:val="000000"/>
          <w:sz w:val="22"/>
          <w:szCs w:val="22"/>
          <w:lang w:eastAsia="sr-Latn-ME"/>
        </w:rPr>
      </w:pPr>
    </w:p>
    <w:p w:rsidR="00F56C88" w:rsidRPr="005D1C94" w:rsidRDefault="00F56C88" w:rsidP="00F56C88">
      <w:pPr>
        <w:widowControl w:val="0"/>
        <w:tabs>
          <w:tab w:val="num" w:pos="120"/>
        </w:tabs>
        <w:jc w:val="both"/>
        <w:rPr>
          <w:sz w:val="22"/>
          <w:szCs w:val="22"/>
        </w:rPr>
      </w:pPr>
      <w:r w:rsidRPr="005D1C94">
        <w:rPr>
          <w:sz w:val="22"/>
          <w:szCs w:val="22"/>
        </w:rPr>
        <w:t>Poznato je da izloženost terapiji antagonistom receptora angiotenzina II tokom drugog i trećeg trimestra indukuje fetotoksičnost u ljudi (smanjena bubrežna funkcija, oligohidramnion, usporena osifikacija lobanje) kao i neonatalnu toskičnost (insuficijencija bubrega, hipotenzija, hiperkalijemija) (vidjeti odjeljak 5.3). Ako dođe do izloženosti antagonistima receptora angiotenzina II od drugog trimestra trudnoće nadalje, preporučuje se ultrazvučni pregled bubrežne funkcije i lobanje.</w:t>
      </w:r>
    </w:p>
    <w:p w:rsidR="00F56C88" w:rsidRPr="005D1C94" w:rsidRDefault="00F56C88" w:rsidP="00F56C88">
      <w:pPr>
        <w:widowControl w:val="0"/>
        <w:tabs>
          <w:tab w:val="num" w:pos="120"/>
        </w:tabs>
        <w:jc w:val="both"/>
        <w:rPr>
          <w:sz w:val="22"/>
          <w:szCs w:val="22"/>
        </w:rPr>
      </w:pPr>
      <w:r w:rsidRPr="005D1C94">
        <w:rPr>
          <w:sz w:val="22"/>
          <w:szCs w:val="22"/>
        </w:rPr>
        <w:t>Odojčad čije su majke uzimale antagoniste receptora angiotenzina II moraju se pažljivo pratiti zbog mogućnosti pojave hipotenzije (vidjeti odjeljak 4.3 i 4.4).</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jc w:val="both"/>
        <w:rPr>
          <w:rFonts w:eastAsia="Calibri"/>
          <w:sz w:val="22"/>
          <w:szCs w:val="22"/>
        </w:rPr>
      </w:pPr>
      <w:r w:rsidRPr="005D1C94">
        <w:rPr>
          <w:rFonts w:eastAsia="Calibri"/>
          <w:sz w:val="22"/>
          <w:szCs w:val="22"/>
        </w:rPr>
        <w:t xml:space="preserve">Postoji ograničeno iskustvo o hidrohlortiazidu tokom trudnoće, posebno tokom prvog trimestra. </w:t>
      </w:r>
      <w:r w:rsidRPr="005D1C94">
        <w:rPr>
          <w:sz w:val="22"/>
          <w:szCs w:val="22"/>
          <w:lang w:eastAsia="sr-Latn-ME"/>
        </w:rPr>
        <w:t>Ispitivanja sprovedena na životinjama nijesu pružila dovoljno podataka</w:t>
      </w:r>
      <w:r w:rsidRPr="005D1C94">
        <w:rPr>
          <w:rFonts w:eastAsia="Calibri"/>
          <w:sz w:val="22"/>
          <w:szCs w:val="22"/>
        </w:rPr>
        <w:t>. Hidrohlortiazid prolazi kroz placentu. Na osnovu farmakološkog mehanizma djelovanja hidrohlortiazida, njegova primjena tokom drugog i trećeg trimestra može kompromitovati feto-placentalnu perfuziju i može izazvati fetalne i neonatalne efekte poput ikterusa, poremećaja ravnoteže elektrolita i trombocitopenije.</w:t>
      </w:r>
    </w:p>
    <w:p w:rsidR="00F56C88" w:rsidRPr="005D1C94" w:rsidRDefault="00F56C88" w:rsidP="00F56C88">
      <w:pPr>
        <w:widowControl w:val="0"/>
        <w:jc w:val="both"/>
        <w:rPr>
          <w:rFonts w:eastAsia="Calibri"/>
          <w:sz w:val="22"/>
          <w:szCs w:val="22"/>
        </w:rPr>
      </w:pPr>
      <w:r w:rsidRPr="005D1C94">
        <w:rPr>
          <w:rFonts w:eastAsia="Calibri"/>
          <w:sz w:val="22"/>
          <w:szCs w:val="22"/>
        </w:rPr>
        <w:t>Hidrohlortiazid se ne smije primjenjivati kod gestacijskog edema, gestacijske hipertenzije ili preeklampsiji zbog rizika od smanjenog volumena plazme i hipoperfuzije placente, bez korisnog efekta na tok bolesti.</w:t>
      </w:r>
    </w:p>
    <w:p w:rsidR="00F56C88" w:rsidRPr="005D1C94" w:rsidRDefault="00F56C88" w:rsidP="00F56C88">
      <w:pPr>
        <w:widowControl w:val="0"/>
        <w:jc w:val="both"/>
        <w:rPr>
          <w:rFonts w:eastAsia="Calibri"/>
          <w:sz w:val="22"/>
          <w:szCs w:val="22"/>
        </w:rPr>
      </w:pPr>
    </w:p>
    <w:p w:rsidR="00F56C88" w:rsidRPr="005D1C94" w:rsidRDefault="00F56C88" w:rsidP="00F56C88">
      <w:pPr>
        <w:widowControl w:val="0"/>
        <w:jc w:val="both"/>
        <w:rPr>
          <w:rFonts w:eastAsia="Calibri"/>
          <w:sz w:val="22"/>
          <w:szCs w:val="22"/>
        </w:rPr>
      </w:pPr>
      <w:r w:rsidRPr="005D1C94">
        <w:rPr>
          <w:rFonts w:eastAsia="Calibri"/>
          <w:sz w:val="22"/>
          <w:szCs w:val="22"/>
        </w:rPr>
        <w:t>Hidrohlortiazid se ne smije primjenjivati u terapiji esencijalne hipertenzije kod trudnica, osim u rijetkim slučajevima u kojima se ne može primijeniti druga terapija.</w:t>
      </w:r>
    </w:p>
    <w:p w:rsidR="00F56C88" w:rsidRPr="005D1C94" w:rsidRDefault="00F56C88" w:rsidP="00F56C88">
      <w:pPr>
        <w:widowControl w:val="0"/>
        <w:tabs>
          <w:tab w:val="num" w:pos="120"/>
        </w:tabs>
        <w:jc w:val="both"/>
        <w:rPr>
          <w:sz w:val="22"/>
          <w:szCs w:val="22"/>
          <w:u w:val="single"/>
        </w:rPr>
      </w:pPr>
    </w:p>
    <w:p w:rsidR="004D5E54" w:rsidRPr="005D1C94" w:rsidRDefault="004D5E54"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u w:val="single"/>
        </w:rPr>
      </w:pPr>
      <w:r w:rsidRPr="005D1C94">
        <w:rPr>
          <w:sz w:val="22"/>
          <w:szCs w:val="22"/>
          <w:u w:val="single"/>
        </w:rPr>
        <w:lastRenderedPageBreak/>
        <w:t>Dojenje</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autoSpaceDE w:val="0"/>
        <w:autoSpaceDN w:val="0"/>
        <w:adjustRightInd w:val="0"/>
        <w:jc w:val="both"/>
        <w:rPr>
          <w:sz w:val="22"/>
          <w:szCs w:val="22"/>
        </w:rPr>
      </w:pPr>
      <w:r w:rsidRPr="005D1C94">
        <w:rPr>
          <w:sz w:val="22"/>
          <w:szCs w:val="22"/>
        </w:rPr>
        <w:t>S obzirom na to da ne postoje raspoloživi podaci o primjeni lijeka Tolucombi</w:t>
      </w:r>
      <w:r w:rsidRPr="005D1C94">
        <w:rPr>
          <w:b/>
          <w:bCs/>
          <w:iCs/>
          <w:sz w:val="22"/>
          <w:szCs w:val="22"/>
          <w:vertAlign w:val="superscript"/>
        </w:rPr>
        <w:t>®</w:t>
      </w:r>
      <w:r w:rsidRPr="005D1C94">
        <w:rPr>
          <w:sz w:val="22"/>
          <w:szCs w:val="22"/>
        </w:rPr>
        <w:t xml:space="preserve"> tokom dojenja, Tolucombi</w:t>
      </w:r>
      <w:r w:rsidRPr="005D1C94">
        <w:rPr>
          <w:b/>
          <w:bCs/>
          <w:iCs/>
          <w:sz w:val="22"/>
          <w:szCs w:val="22"/>
          <w:vertAlign w:val="superscript"/>
        </w:rPr>
        <w:t>®</w:t>
      </w:r>
      <w:r w:rsidRPr="005D1C94">
        <w:rPr>
          <w:sz w:val="22"/>
          <w:szCs w:val="22"/>
        </w:rPr>
        <w:t xml:space="preserve"> se ne preporučuje i </w:t>
      </w:r>
      <w:r w:rsidRPr="005D1C94">
        <w:rPr>
          <w:sz w:val="22"/>
          <w:szCs w:val="22"/>
          <w:lang w:eastAsia="sr-Latn-ME"/>
        </w:rPr>
        <w:t>prednost se daje drugim ljekovima poznatog bezbjednosnog profila</w:t>
      </w:r>
      <w:r w:rsidRPr="005D1C94">
        <w:rPr>
          <w:sz w:val="22"/>
          <w:szCs w:val="22"/>
        </w:rPr>
        <w:t xml:space="preserve">, </w:t>
      </w:r>
      <w:r w:rsidRPr="005D1C94">
        <w:rPr>
          <w:sz w:val="22"/>
          <w:szCs w:val="22"/>
          <w:lang w:eastAsia="sr-Latn-ME"/>
        </w:rPr>
        <w:t xml:space="preserve">posebno kada se doji </w:t>
      </w:r>
      <w:r w:rsidRPr="005D1C94">
        <w:rPr>
          <w:sz w:val="22"/>
          <w:szCs w:val="22"/>
        </w:rPr>
        <w:t>novorođenče ili prijevremeno rođeno dijete.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jc w:val="both"/>
        <w:rPr>
          <w:rFonts w:eastAsia="Calibri"/>
          <w:sz w:val="22"/>
          <w:szCs w:val="22"/>
        </w:rPr>
      </w:pPr>
      <w:r w:rsidRPr="005D1C94">
        <w:rPr>
          <w:rFonts w:eastAsia="Calibri"/>
          <w:sz w:val="22"/>
          <w:szCs w:val="22"/>
        </w:rPr>
        <w:t>Hidrohlortiazid se izlučuje u majčino mlijeko u malim količinama. Visoke doze tiazida koji izazivaju intenzivnu diurezu mogu inhibirati stvaranje mlijeka. Primjena lijeka Tolucombi</w:t>
      </w:r>
      <w:r w:rsidRPr="005D1C94">
        <w:rPr>
          <w:b/>
          <w:bCs/>
          <w:iCs/>
          <w:sz w:val="22"/>
          <w:szCs w:val="22"/>
          <w:vertAlign w:val="superscript"/>
        </w:rPr>
        <w:t>®</w:t>
      </w:r>
      <w:r w:rsidRPr="005D1C94">
        <w:rPr>
          <w:rFonts w:eastAsia="Calibri"/>
          <w:sz w:val="22"/>
          <w:szCs w:val="22"/>
        </w:rPr>
        <w:t xml:space="preserve"> tokom dojenja se ne preporučuje. Ako se Tolucombi</w:t>
      </w:r>
      <w:r w:rsidRPr="005D1C94">
        <w:rPr>
          <w:b/>
          <w:bCs/>
          <w:iCs/>
          <w:sz w:val="22"/>
          <w:szCs w:val="22"/>
          <w:vertAlign w:val="superscript"/>
        </w:rPr>
        <w:t>®</w:t>
      </w:r>
      <w:r w:rsidRPr="005D1C94">
        <w:rPr>
          <w:rFonts w:eastAsia="Calibri"/>
          <w:sz w:val="22"/>
          <w:szCs w:val="22"/>
        </w:rPr>
        <w:t xml:space="preserve"> primjenjuje tokom dojenja, mora se primjeniti najniža moguća doza.</w:t>
      </w:r>
    </w:p>
    <w:p w:rsidR="00F56C88" w:rsidRPr="005D1C94" w:rsidRDefault="00F56C88" w:rsidP="00F56C88">
      <w:pPr>
        <w:widowControl w:val="0"/>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Plodnost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U pretkliničkim ispitivanjima nijesu primijećeni efekti telmisartana i hidrohlortiazida na mušku i žensku plodnost.</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567"/>
        </w:tabs>
        <w:jc w:val="both"/>
        <w:rPr>
          <w:sz w:val="22"/>
          <w:szCs w:val="22"/>
        </w:rPr>
      </w:pPr>
      <w:r w:rsidRPr="005D1C94">
        <w:rPr>
          <w:b/>
          <w:sz w:val="22"/>
          <w:szCs w:val="22"/>
        </w:rPr>
        <w:t>4.7</w:t>
      </w:r>
      <w:r w:rsidRPr="005D1C94">
        <w:rPr>
          <w:b/>
          <w:sz w:val="22"/>
          <w:szCs w:val="22"/>
        </w:rPr>
        <w:tab/>
        <w:t>Uticaj na psihofizičke sposobnosti  upravljanja motornim vozilima i rukovanja sa mašinama</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rPr>
      </w:pPr>
      <w:r w:rsidRPr="005D1C94" w:rsidDel="00524E10">
        <w:rPr>
          <w:sz w:val="22"/>
          <w:szCs w:val="22"/>
        </w:rPr>
        <w:t>Kada se</w:t>
      </w:r>
      <w:r w:rsidRPr="005D1C94">
        <w:rPr>
          <w:sz w:val="22"/>
          <w:szCs w:val="22"/>
        </w:rPr>
        <w:t xml:space="preserve"> upravlja vozilima ili mašinama mora se imati na umu da se tokom antihipertenzivnog liječenja, npr. lijekom Tolucombi</w:t>
      </w:r>
      <w:r w:rsidRPr="005D1C94">
        <w:rPr>
          <w:b/>
          <w:bCs/>
          <w:iCs/>
          <w:sz w:val="22"/>
          <w:szCs w:val="22"/>
          <w:vertAlign w:val="superscript"/>
        </w:rPr>
        <w:t xml:space="preserve"> ®</w:t>
      </w:r>
      <w:r w:rsidRPr="005D1C94">
        <w:rPr>
          <w:sz w:val="22"/>
          <w:szCs w:val="22"/>
        </w:rPr>
        <w:t>, mogu povremeno pojaviti vrtoglavica ili pospanost.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b/>
          <w:sz w:val="22"/>
          <w:szCs w:val="22"/>
        </w:rPr>
      </w:pPr>
      <w:r w:rsidRPr="005D1C94">
        <w:rPr>
          <w:b/>
          <w:sz w:val="22"/>
          <w:szCs w:val="22"/>
        </w:rPr>
        <w:t>4.8</w:t>
      </w:r>
      <w:r w:rsidRPr="005D1C94">
        <w:rPr>
          <w:sz w:val="22"/>
          <w:szCs w:val="22"/>
        </w:rPr>
        <w:tab/>
      </w:r>
      <w:r w:rsidRPr="005D1C94">
        <w:rPr>
          <w:b/>
          <w:sz w:val="22"/>
          <w:szCs w:val="22"/>
        </w:rPr>
        <w:t>Neželjena dejstva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Sažetak bezbjednosnog profila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Najčešće prijavljeno  neželjeno dejstvo  je vrtoglavica. Ozbiljni angioedem se može rijetko ispoljiti (≥1/10 000 do &lt;1/1000).</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lang w:eastAsia="sr-Latn-ME"/>
        </w:rPr>
      </w:pPr>
      <w:r w:rsidRPr="005D1C94">
        <w:rPr>
          <w:sz w:val="22"/>
          <w:szCs w:val="22"/>
          <w:lang w:eastAsia="sr-Latn-ME"/>
        </w:rPr>
        <w:t>Na osnovu rezultata u randomizovanim kontrolisanim kliničkim ispitivanjima u kojima je bilo uključeno 1471 pacijenata koji su bili randomizovani da primaju bilo telmisartan plus hidrohlortiazid (835) ili samo telmisartan (636), zabilježeno je da je ukupna incidenca neželjenih dejstava nakon  primjene kombinacije telmisartan/hidrohlortiazid  uporediva sa incidencom neželjenih dejstava nakon primjene telmisartana. Nije utvrđena dozna zavisnost neželjenih reakcija, i nije utvrđena njihova korelacija sa polom, godinama ili rasom pacijenata.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Tabelarni prikaz neželjenih dejstava</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autoSpaceDE w:val="0"/>
        <w:autoSpaceDN w:val="0"/>
        <w:adjustRightInd w:val="0"/>
        <w:jc w:val="both"/>
        <w:rPr>
          <w:sz w:val="22"/>
          <w:szCs w:val="22"/>
        </w:rPr>
      </w:pPr>
      <w:r w:rsidRPr="005D1C94">
        <w:rPr>
          <w:sz w:val="22"/>
          <w:szCs w:val="22"/>
          <w:lang w:eastAsia="sr-Latn-ME"/>
        </w:rPr>
        <w:t>Neželjene reakcije prijavljene u kliničkim studijama, koje su se pojavljivale češće u grupi pacijenata koji su dobijali telmisartan i hidrohlortiazid, u odnosu na placebo (p ≤ 0,05) su prikazane u daljem tekstu, prema klasama sistema organa. Neželjene reakcije za koja se zna da se ispoljavlaju pri primjeni svake komponente pojedinačno, a koje se nisu ispoljile u kliničkim ispitivanjima, mogu se ispoljiti tokom terapije  lijekom</w:t>
      </w:r>
      <w:r w:rsidRPr="005D1C94">
        <w:rPr>
          <w:sz w:val="22"/>
          <w:szCs w:val="22"/>
        </w:rPr>
        <w:t>Tolucombi</w:t>
      </w:r>
      <w:r w:rsidRPr="005D1C94">
        <w:rPr>
          <w:b/>
          <w:bCs/>
          <w:iCs/>
          <w:sz w:val="22"/>
          <w:szCs w:val="22"/>
          <w:vertAlign w:val="superscript"/>
        </w:rPr>
        <w:t>®</w:t>
      </w:r>
      <w:r w:rsidRPr="005D1C94">
        <w:rPr>
          <w:sz w:val="22"/>
          <w:szCs w:val="22"/>
        </w:rPr>
        <w: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Neželjena dejstva su klasifikovana prema učestalosti ispoljavanja, korišćenjem sljedeće konvencije: veoma često (≥ 1/10), često (≥ 1/100 i &lt; 1/10), povremeno (≥ 1/1000 i &lt;1/100), rijetko (≥ 1/10 000 i &lt; 1/1000), veoma rijetko (&lt; 1/10 000), nepoznato (učestalost se ne može  procijeniti iz dostupnih podataka).</w:t>
      </w:r>
    </w:p>
    <w:p w:rsidR="00F56C88" w:rsidRPr="005D1C94" w:rsidRDefault="00F56C88" w:rsidP="00F56C88">
      <w:pPr>
        <w:widowControl w:val="0"/>
        <w:tabs>
          <w:tab w:val="num" w:pos="120"/>
        </w:tabs>
        <w:jc w:val="both"/>
        <w:rPr>
          <w:sz w:val="22"/>
          <w:szCs w:val="22"/>
        </w:rPr>
      </w:pPr>
      <w:r w:rsidRPr="005D1C94">
        <w:rPr>
          <w:sz w:val="22"/>
          <w:szCs w:val="22"/>
        </w:rPr>
        <w:lastRenderedPageBreak/>
        <w:t>Unutar svake grupe učestalosti, neželjena dejstva su prikazana prema opadajućoj ozbiljnosti.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Infekcije i infestacije</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bronhitis, faringitis i sinusitis</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i/>
          <w:sz w:val="22"/>
          <w:szCs w:val="22"/>
        </w:rPr>
      </w:pPr>
      <w:r w:rsidRPr="005D1C94" w:rsidDel="00EB48C6">
        <w:rPr>
          <w:i/>
          <w:sz w:val="22"/>
          <w:szCs w:val="22"/>
        </w:rPr>
        <w:t xml:space="preserve"> </w:t>
      </w:r>
      <w:r w:rsidRPr="005D1C94">
        <w:rPr>
          <w:sz w:val="22"/>
          <w:szCs w:val="22"/>
        </w:rPr>
        <w:t>Imunološki poremećaji</w:t>
      </w:r>
    </w:p>
    <w:p w:rsidR="00F56C88" w:rsidRPr="005D1C94" w:rsidRDefault="00F56C88" w:rsidP="00F56C88">
      <w:pPr>
        <w:widowControl w:val="0"/>
        <w:tabs>
          <w:tab w:val="num" w:pos="2127"/>
        </w:tabs>
        <w:ind w:left="851"/>
        <w:jc w:val="both"/>
        <w:rPr>
          <w:sz w:val="22"/>
          <w:szCs w:val="22"/>
          <w:vertAlign w:val="superscript"/>
        </w:rPr>
      </w:pPr>
      <w:r w:rsidRPr="005D1C94">
        <w:rPr>
          <w:sz w:val="22"/>
          <w:szCs w:val="22"/>
        </w:rPr>
        <w:t>Rijetko:</w:t>
      </w:r>
      <w:r w:rsidRPr="005D1C94">
        <w:rPr>
          <w:sz w:val="22"/>
          <w:szCs w:val="22"/>
        </w:rPr>
        <w:tab/>
        <w:t>egzarcebacija ili aktivacija sistemskog lupus eritematozusa</w:t>
      </w:r>
      <w:r w:rsidRPr="005D1C94">
        <w:rPr>
          <w:sz w:val="22"/>
          <w:szCs w:val="22"/>
          <w:vertAlign w:val="superscript"/>
        </w:rPr>
        <w:t>1</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Poremećaji metabolizma i ishrane</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hipokalijemija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hiperurikemija, hiponatrijemija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Psihijatrijski poremećaji</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anksioznost</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depresija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 xml:space="preserve">Poremećaji nervnog sistema </w:t>
      </w:r>
    </w:p>
    <w:p w:rsidR="00F56C88" w:rsidRPr="005D1C94" w:rsidRDefault="00F56C88" w:rsidP="00F56C88">
      <w:pPr>
        <w:widowControl w:val="0"/>
        <w:tabs>
          <w:tab w:val="num" w:pos="2127"/>
        </w:tabs>
        <w:ind w:left="851"/>
        <w:jc w:val="both"/>
        <w:rPr>
          <w:sz w:val="22"/>
          <w:szCs w:val="22"/>
        </w:rPr>
      </w:pPr>
      <w:r w:rsidRPr="005D1C94">
        <w:rPr>
          <w:sz w:val="22"/>
          <w:szCs w:val="22"/>
        </w:rPr>
        <w:t>Često:</w:t>
      </w:r>
      <w:r w:rsidRPr="005D1C94">
        <w:rPr>
          <w:sz w:val="22"/>
          <w:szCs w:val="22"/>
        </w:rPr>
        <w:tab/>
        <w:t>vrtoglavica</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sinkopa, parestezije</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nesanica, poremećaji sna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Poremećaji oka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poremećaj vida, zamućen vid</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Poremećaji na nivou uha i labirinta</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vertigo</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i/>
          <w:sz w:val="22"/>
          <w:szCs w:val="22"/>
        </w:rPr>
      </w:pPr>
      <w:r w:rsidRPr="005D1C94" w:rsidDel="00EB48C6">
        <w:rPr>
          <w:i/>
          <w:sz w:val="22"/>
          <w:szCs w:val="22"/>
        </w:rPr>
        <w:t xml:space="preserve"> </w:t>
      </w:r>
      <w:r w:rsidRPr="005D1C94">
        <w:rPr>
          <w:sz w:val="22"/>
          <w:szCs w:val="22"/>
        </w:rPr>
        <w:t>Kardiološki poremećaji</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tahikardija, aritmije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Vaskularni poremećaji</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hipotenzija, ortostatska hipotenzija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2127"/>
        </w:tabs>
        <w:jc w:val="both"/>
        <w:rPr>
          <w:sz w:val="22"/>
          <w:szCs w:val="22"/>
        </w:rPr>
      </w:pPr>
      <w:r w:rsidRPr="005D1C94">
        <w:rPr>
          <w:sz w:val="22"/>
          <w:szCs w:val="22"/>
        </w:rPr>
        <w:t>Respiratorni, torakalni i medijastinalni poremećaji</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dispneja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respiratorni distres (uključujući pneumonitis i plućni edem)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2127"/>
        </w:tabs>
        <w:jc w:val="both"/>
        <w:rPr>
          <w:bCs/>
          <w:iCs/>
          <w:sz w:val="22"/>
          <w:szCs w:val="22"/>
        </w:rPr>
      </w:pPr>
      <w:r w:rsidRPr="005D1C94">
        <w:rPr>
          <w:bCs/>
          <w:iCs/>
          <w:sz w:val="22"/>
          <w:szCs w:val="22"/>
        </w:rPr>
        <w:t>Gastrointestinalni poremećaji</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dijareja, suva usta, flatulencija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bol u abdomenu, konstipacija, dispepsija, povraćanje, gastritis</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2127"/>
        </w:tabs>
        <w:jc w:val="both"/>
        <w:rPr>
          <w:bCs/>
          <w:iCs/>
          <w:sz w:val="22"/>
          <w:szCs w:val="22"/>
        </w:rPr>
      </w:pPr>
      <w:r w:rsidRPr="005D1C94">
        <w:rPr>
          <w:bCs/>
          <w:iCs/>
          <w:sz w:val="22"/>
          <w:szCs w:val="22"/>
        </w:rPr>
        <w:t>Hepatobilijarni poremećaji</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abnormalna jetrena funkcija/poremećaj jetre</w:t>
      </w:r>
      <w:r w:rsidRPr="005D1C94">
        <w:rPr>
          <w:sz w:val="22"/>
          <w:szCs w:val="22"/>
          <w:vertAlign w:val="superscript"/>
        </w:rPr>
        <w:t>2</w:t>
      </w:r>
    </w:p>
    <w:p w:rsidR="00F56C88" w:rsidRPr="005D1C94" w:rsidRDefault="00F56C88" w:rsidP="00F56C88">
      <w:pPr>
        <w:widowControl w:val="0"/>
        <w:tabs>
          <w:tab w:val="num" w:pos="120"/>
        </w:tabs>
        <w:jc w:val="both"/>
        <w:rPr>
          <w:sz w:val="22"/>
          <w:szCs w:val="22"/>
        </w:rPr>
      </w:pPr>
    </w:p>
    <w:p w:rsidR="005D3AB4" w:rsidRPr="005D1C94" w:rsidRDefault="005D3AB4"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lastRenderedPageBreak/>
        <w:t>Poremećaji kože i potkožnog tkiva</w:t>
      </w:r>
    </w:p>
    <w:p w:rsidR="00F56C88" w:rsidRPr="005D1C94" w:rsidRDefault="00F56C88" w:rsidP="00F56C88">
      <w:pPr>
        <w:widowControl w:val="0"/>
        <w:tabs>
          <w:tab w:val="num" w:pos="2127"/>
        </w:tabs>
        <w:ind w:left="2127" w:hanging="1276"/>
        <w:jc w:val="both"/>
        <w:rPr>
          <w:sz w:val="22"/>
          <w:szCs w:val="22"/>
        </w:rPr>
      </w:pPr>
      <w:r w:rsidRPr="005D1C94">
        <w:rPr>
          <w:sz w:val="22"/>
          <w:szCs w:val="22"/>
        </w:rPr>
        <w:t>Rijetko:</w:t>
      </w:r>
      <w:r w:rsidRPr="005D1C94">
        <w:rPr>
          <w:sz w:val="22"/>
          <w:szCs w:val="22"/>
        </w:rPr>
        <w:tab/>
        <w:t>angioedem (sa mogućim fatalnim ishodom), eritem, pruritus, osip, hiperhidroza, urtikarija</w:t>
      </w:r>
    </w:p>
    <w:p w:rsidR="00F56C88" w:rsidRPr="005D1C94" w:rsidRDefault="00F56C88" w:rsidP="00F56C88">
      <w:pPr>
        <w:widowControl w:val="0"/>
        <w:tabs>
          <w:tab w:val="num" w:pos="1418"/>
        </w:tabs>
        <w:ind w:left="1418" w:hanging="1418"/>
        <w:jc w:val="both"/>
        <w:rPr>
          <w:sz w:val="22"/>
          <w:szCs w:val="22"/>
        </w:rPr>
      </w:pPr>
    </w:p>
    <w:p w:rsidR="00F56C88" w:rsidRPr="005D1C94" w:rsidRDefault="00F56C88" w:rsidP="00F56C88">
      <w:pPr>
        <w:widowControl w:val="0"/>
        <w:tabs>
          <w:tab w:val="num" w:pos="1418"/>
        </w:tabs>
        <w:ind w:left="1418" w:hanging="1418"/>
        <w:jc w:val="both"/>
        <w:rPr>
          <w:sz w:val="22"/>
          <w:szCs w:val="22"/>
        </w:rPr>
      </w:pPr>
      <w:r w:rsidRPr="005D1C94">
        <w:rPr>
          <w:sz w:val="22"/>
          <w:szCs w:val="22"/>
        </w:rPr>
        <w:t>Poremećaji mišićno-skeletnog sistema, vezivnog tkiva i kostiju</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bol u leđima, spazmi mišića, mialgija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artralgija, grčevi mišića, bol u ekstremitetima</w:t>
      </w:r>
    </w:p>
    <w:p w:rsidR="00F56C88" w:rsidRPr="005D1C94" w:rsidRDefault="00F56C88" w:rsidP="00F56C88">
      <w:pPr>
        <w:widowControl w:val="0"/>
        <w:tabs>
          <w:tab w:val="num" w:pos="1418"/>
        </w:tabs>
        <w:ind w:left="1418" w:hanging="1418"/>
        <w:jc w:val="both"/>
        <w:rPr>
          <w:sz w:val="22"/>
          <w:szCs w:val="22"/>
        </w:rPr>
      </w:pPr>
    </w:p>
    <w:p w:rsidR="00F56C88" w:rsidRPr="005D1C94" w:rsidRDefault="00F56C88" w:rsidP="00F56C88">
      <w:pPr>
        <w:widowControl w:val="0"/>
        <w:tabs>
          <w:tab w:val="num" w:pos="1418"/>
        </w:tabs>
        <w:ind w:left="1418" w:hanging="1418"/>
        <w:jc w:val="both"/>
        <w:rPr>
          <w:sz w:val="22"/>
          <w:szCs w:val="22"/>
        </w:rPr>
      </w:pPr>
      <w:r w:rsidRPr="005D1C94">
        <w:rPr>
          <w:sz w:val="22"/>
          <w:szCs w:val="22"/>
        </w:rPr>
        <w:t>Poremećaji reproduktivnog sistema i na nivou dojki</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erektilna disfunkcija</w:t>
      </w:r>
    </w:p>
    <w:p w:rsidR="00F56C88" w:rsidRPr="005D1C94" w:rsidRDefault="00F56C88" w:rsidP="00F56C88">
      <w:pPr>
        <w:widowControl w:val="0"/>
        <w:tabs>
          <w:tab w:val="num" w:pos="1418"/>
        </w:tabs>
        <w:ind w:left="1418" w:hanging="1418"/>
        <w:jc w:val="both"/>
        <w:rPr>
          <w:sz w:val="22"/>
          <w:szCs w:val="22"/>
        </w:rPr>
      </w:pPr>
    </w:p>
    <w:p w:rsidR="00F56C88" w:rsidRPr="005D1C94" w:rsidRDefault="00F56C88" w:rsidP="00F56C88">
      <w:pPr>
        <w:widowControl w:val="0"/>
        <w:tabs>
          <w:tab w:val="num" w:pos="1418"/>
        </w:tabs>
        <w:ind w:left="1418" w:hanging="1418"/>
        <w:jc w:val="both"/>
        <w:rPr>
          <w:sz w:val="22"/>
          <w:szCs w:val="22"/>
        </w:rPr>
      </w:pPr>
      <w:r w:rsidRPr="005D1C94">
        <w:rPr>
          <w:sz w:val="22"/>
          <w:szCs w:val="22"/>
        </w:rPr>
        <w:t>Opšti poremećaji i reakcije na mjestu primjene</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bol u grudima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r>
      <w:r w:rsidRPr="005D1C94">
        <w:rPr>
          <w:sz w:val="22"/>
          <w:szCs w:val="22"/>
          <w:lang w:eastAsia="sr-Latn-ME"/>
        </w:rPr>
        <w:t>simptomi nalik gripu</w:t>
      </w:r>
      <w:r w:rsidRPr="005D1C94">
        <w:rPr>
          <w:sz w:val="22"/>
          <w:szCs w:val="22"/>
        </w:rPr>
        <w:t>, bol</w:t>
      </w:r>
    </w:p>
    <w:p w:rsidR="00F56C88" w:rsidRPr="005D1C94" w:rsidRDefault="00F56C88" w:rsidP="00F56C88">
      <w:pPr>
        <w:widowControl w:val="0"/>
        <w:tabs>
          <w:tab w:val="num" w:pos="1418"/>
        </w:tabs>
        <w:ind w:left="1418" w:hanging="1418"/>
        <w:jc w:val="both"/>
        <w:rPr>
          <w:sz w:val="22"/>
          <w:szCs w:val="22"/>
        </w:rPr>
      </w:pPr>
    </w:p>
    <w:p w:rsidR="00F56C88" w:rsidRPr="005D1C94" w:rsidRDefault="00F56C88" w:rsidP="00F56C88">
      <w:pPr>
        <w:widowControl w:val="0"/>
        <w:tabs>
          <w:tab w:val="num" w:pos="1418"/>
        </w:tabs>
        <w:ind w:left="1418" w:hanging="1418"/>
        <w:jc w:val="both"/>
        <w:rPr>
          <w:sz w:val="22"/>
          <w:szCs w:val="22"/>
        </w:rPr>
      </w:pPr>
      <w:r w:rsidRPr="005D1C94">
        <w:rPr>
          <w:sz w:val="22"/>
          <w:szCs w:val="22"/>
        </w:rPr>
        <w:t>Ispitivanja</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povišene vrijednosti mokraćne kiseline u krvi</w:t>
      </w:r>
    </w:p>
    <w:p w:rsidR="00F56C88" w:rsidRPr="005D1C94" w:rsidRDefault="00F56C88" w:rsidP="00F56C88">
      <w:pPr>
        <w:widowControl w:val="0"/>
        <w:tabs>
          <w:tab w:val="num" w:pos="2127"/>
        </w:tabs>
        <w:ind w:left="2127" w:hanging="1276"/>
        <w:jc w:val="both"/>
        <w:rPr>
          <w:sz w:val="22"/>
          <w:szCs w:val="22"/>
        </w:rPr>
      </w:pPr>
      <w:r w:rsidRPr="005D1C94">
        <w:rPr>
          <w:sz w:val="22"/>
          <w:szCs w:val="22"/>
        </w:rPr>
        <w:t>Rijetko:</w:t>
      </w:r>
      <w:r w:rsidRPr="005D1C94">
        <w:rPr>
          <w:sz w:val="22"/>
          <w:szCs w:val="22"/>
        </w:rPr>
        <w:tab/>
        <w:t>povišene vrijednosti kreatinina u krvi, povišene vrijednosti kreatin fosfokinaze, povišene vrijednosti jetrenih enzima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lang w:eastAsia="sr-Latn-ME"/>
        </w:rPr>
      </w:pPr>
      <w:r w:rsidRPr="005D1C94">
        <w:rPr>
          <w:sz w:val="22"/>
          <w:szCs w:val="22"/>
          <w:vertAlign w:val="superscript"/>
        </w:rPr>
        <w:t>1</w:t>
      </w:r>
      <w:r w:rsidRPr="005D1C94">
        <w:rPr>
          <w:sz w:val="22"/>
          <w:szCs w:val="22"/>
        </w:rPr>
        <w:t xml:space="preserve"> Na osnovu  </w:t>
      </w:r>
      <w:r w:rsidRPr="005D1C94">
        <w:rPr>
          <w:sz w:val="22"/>
          <w:szCs w:val="22"/>
          <w:lang w:eastAsia="sr-Latn-ME"/>
        </w:rPr>
        <w:t>postmarketinškog iskustva</w:t>
      </w:r>
    </w:p>
    <w:p w:rsidR="00F56C88" w:rsidRPr="005D1C94" w:rsidRDefault="00F56C88" w:rsidP="00F56C88">
      <w:pPr>
        <w:widowControl w:val="0"/>
        <w:tabs>
          <w:tab w:val="num" w:pos="120"/>
        </w:tabs>
        <w:jc w:val="both"/>
        <w:rPr>
          <w:i/>
          <w:sz w:val="22"/>
          <w:szCs w:val="22"/>
        </w:rPr>
      </w:pPr>
      <w:r w:rsidRPr="005D1C94">
        <w:rPr>
          <w:sz w:val="22"/>
          <w:szCs w:val="22"/>
          <w:vertAlign w:val="superscript"/>
        </w:rPr>
        <w:t xml:space="preserve">2 </w:t>
      </w:r>
      <w:r w:rsidRPr="005D1C94">
        <w:rPr>
          <w:sz w:val="22"/>
          <w:szCs w:val="22"/>
        </w:rPr>
        <w:t xml:space="preserve">Za dodatne </w:t>
      </w:r>
      <w:r w:rsidRPr="005D1C94">
        <w:rPr>
          <w:sz w:val="22"/>
          <w:szCs w:val="22"/>
          <w:lang w:eastAsia="sr-Latn-ME"/>
        </w:rPr>
        <w:t>informacije</w:t>
      </w:r>
      <w:r w:rsidRPr="005D1C94">
        <w:rPr>
          <w:sz w:val="22"/>
          <w:szCs w:val="22"/>
        </w:rPr>
        <w:t>, pogledajte dio „</w:t>
      </w:r>
      <w:r w:rsidRPr="005D1C94">
        <w:rPr>
          <w:i/>
          <w:sz w:val="22"/>
          <w:szCs w:val="22"/>
        </w:rPr>
        <w:t>Opis izabranih neželjenih dejstava“</w:t>
      </w:r>
    </w:p>
    <w:p w:rsidR="00F56C88" w:rsidRPr="005D1C94" w:rsidRDefault="00F56C88" w:rsidP="00F56C88">
      <w:pPr>
        <w:widowControl w:val="0"/>
        <w:tabs>
          <w:tab w:val="num" w:pos="120"/>
          <w:tab w:val="left" w:pos="8640"/>
        </w:tabs>
        <w:jc w:val="both"/>
        <w:rPr>
          <w:i/>
          <w:sz w:val="22"/>
          <w:szCs w:val="22"/>
        </w:rPr>
      </w:pPr>
    </w:p>
    <w:p w:rsidR="00F56C88" w:rsidRPr="005D1C94" w:rsidRDefault="00F56C88" w:rsidP="00F56C88">
      <w:pPr>
        <w:widowControl w:val="0"/>
        <w:tabs>
          <w:tab w:val="num" w:pos="120"/>
          <w:tab w:val="left" w:pos="8640"/>
        </w:tabs>
        <w:jc w:val="both"/>
        <w:rPr>
          <w:i/>
          <w:sz w:val="22"/>
          <w:szCs w:val="22"/>
        </w:rPr>
      </w:pPr>
      <w:r w:rsidRPr="005D1C94">
        <w:rPr>
          <w:i/>
          <w:sz w:val="22"/>
          <w:szCs w:val="22"/>
        </w:rPr>
        <w:t>Dodatne informacije o pojedinačnim komponentama</w:t>
      </w:r>
    </w:p>
    <w:p w:rsidR="00F56C88" w:rsidRPr="005D1C94" w:rsidRDefault="00F56C88" w:rsidP="00F56C88">
      <w:pPr>
        <w:autoSpaceDE w:val="0"/>
        <w:autoSpaceDN w:val="0"/>
        <w:adjustRightInd w:val="0"/>
        <w:jc w:val="both"/>
        <w:rPr>
          <w:sz w:val="22"/>
          <w:szCs w:val="22"/>
          <w:lang w:eastAsia="sr-Latn-ME"/>
        </w:rPr>
      </w:pPr>
      <w:r w:rsidRPr="005D1C94">
        <w:rPr>
          <w:sz w:val="22"/>
          <w:szCs w:val="22"/>
          <w:lang w:eastAsia="sr-Latn-ME"/>
        </w:rPr>
        <w:t xml:space="preserve">Neželjene rakcije ranije prijavljene tokom primjene terapije  jednom od komponenti pojedinačno, mogu takođe da budu potencijalne neželjene reakcije lijeka </w:t>
      </w:r>
      <w:r w:rsidRPr="005D1C94">
        <w:rPr>
          <w:sz w:val="22"/>
          <w:szCs w:val="22"/>
        </w:rPr>
        <w:t>Tolucombi</w:t>
      </w:r>
      <w:r w:rsidRPr="005D1C94">
        <w:rPr>
          <w:b/>
          <w:bCs/>
          <w:iCs/>
          <w:sz w:val="22"/>
          <w:szCs w:val="22"/>
          <w:vertAlign w:val="superscript"/>
        </w:rPr>
        <w:t xml:space="preserve"> ®</w:t>
      </w:r>
      <w:r w:rsidRPr="005D1C94">
        <w:rPr>
          <w:sz w:val="22"/>
          <w:szCs w:val="22"/>
          <w:lang w:eastAsia="sr-Latn-ME"/>
        </w:rPr>
        <w:t>, čak i ukoliko nisu zapažene tokom kliničkih studija sa lijekom koji sadrži fiksnu kombinaciju telmisartan/hidrohlortiazid.</w:t>
      </w:r>
    </w:p>
    <w:p w:rsidR="00F56C88" w:rsidRPr="005D1C94" w:rsidRDefault="00F56C88" w:rsidP="00F56C88">
      <w:pPr>
        <w:widowControl w:val="0"/>
        <w:tabs>
          <w:tab w:val="num" w:pos="120"/>
          <w:tab w:val="left" w:pos="8640"/>
        </w:tabs>
        <w:jc w:val="both"/>
        <w:rPr>
          <w:sz w:val="22"/>
          <w:szCs w:val="22"/>
        </w:rPr>
      </w:pPr>
    </w:p>
    <w:p w:rsidR="00F56C88" w:rsidRPr="005D1C94" w:rsidRDefault="00F56C88" w:rsidP="00F56C88">
      <w:pPr>
        <w:widowControl w:val="0"/>
        <w:tabs>
          <w:tab w:val="num" w:pos="120"/>
          <w:tab w:val="left" w:pos="8640"/>
        </w:tabs>
        <w:jc w:val="both"/>
        <w:rPr>
          <w:sz w:val="22"/>
          <w:szCs w:val="22"/>
          <w:u w:val="single"/>
        </w:rPr>
      </w:pPr>
      <w:r w:rsidRPr="005D1C94">
        <w:rPr>
          <w:sz w:val="22"/>
          <w:szCs w:val="22"/>
          <w:u w:val="single"/>
        </w:rPr>
        <w:t>Telmisartan:</w:t>
      </w:r>
    </w:p>
    <w:p w:rsidR="00F56C88" w:rsidRPr="005D1C94" w:rsidRDefault="00F56C88" w:rsidP="00F56C88">
      <w:pPr>
        <w:widowControl w:val="0"/>
        <w:tabs>
          <w:tab w:val="num" w:pos="120"/>
          <w:tab w:val="left" w:pos="7920"/>
        </w:tabs>
        <w:jc w:val="both"/>
        <w:rPr>
          <w:sz w:val="22"/>
          <w:szCs w:val="22"/>
        </w:rPr>
      </w:pPr>
      <w:r w:rsidRPr="005D1C94">
        <w:rPr>
          <w:sz w:val="22"/>
          <w:szCs w:val="22"/>
        </w:rPr>
        <w:t xml:space="preserve">Neželjena dejstva su se javljala sa sličnom učestalošću kod </w:t>
      </w:r>
      <w:r w:rsidRPr="005D1C94">
        <w:rPr>
          <w:sz w:val="22"/>
          <w:szCs w:val="22"/>
          <w:lang w:eastAsia="sr-Latn-ME"/>
        </w:rPr>
        <w:t>pacijenata koji su primali placebo i telmisartan</w:t>
      </w:r>
      <w:r w:rsidRPr="005D1C94">
        <w:rPr>
          <w:sz w:val="22"/>
          <w:szCs w:val="22"/>
        </w:rPr>
        <w:t>.</w:t>
      </w:r>
    </w:p>
    <w:p w:rsidR="00F56C88" w:rsidRPr="005D1C94" w:rsidRDefault="00F56C88" w:rsidP="00F56C88">
      <w:pPr>
        <w:autoSpaceDE w:val="0"/>
        <w:autoSpaceDN w:val="0"/>
        <w:adjustRightInd w:val="0"/>
        <w:jc w:val="both"/>
        <w:rPr>
          <w:sz w:val="22"/>
          <w:szCs w:val="22"/>
        </w:rPr>
      </w:pPr>
      <w:r w:rsidRPr="005D1C94">
        <w:rPr>
          <w:sz w:val="22"/>
          <w:szCs w:val="22"/>
        </w:rPr>
        <w:t xml:space="preserve">Ukupna incidenca neželjenih dejstava prijavljenih </w:t>
      </w:r>
      <w:r w:rsidRPr="005D1C94">
        <w:rPr>
          <w:sz w:val="22"/>
          <w:szCs w:val="22"/>
          <w:lang w:eastAsia="sr-Latn-ME"/>
        </w:rPr>
        <w:t>tokom korišćenja</w:t>
      </w:r>
      <w:r w:rsidRPr="005D1C94">
        <w:rPr>
          <w:sz w:val="22"/>
          <w:szCs w:val="22"/>
        </w:rPr>
        <w:t xml:space="preserve"> telmisartana (41,4%) obično je bila uporediva sa placebom (43,9%), u placebom kontrolisanim ispitivanjima. Sljedeća neželjena dejstva lijeka navedena u nastavku prikupljena su iz svih kliničkih ispitivanja kod pacijenata liječenih telmisartanom zbog hipertenzije ili </w:t>
      </w:r>
      <w:r w:rsidRPr="005D1C94">
        <w:rPr>
          <w:sz w:val="22"/>
          <w:szCs w:val="22"/>
          <w:lang w:eastAsia="sr-Latn-ME"/>
        </w:rPr>
        <w:t xml:space="preserve">pacijenata starijih od 50 godina </w:t>
      </w:r>
      <w:r w:rsidRPr="005D1C94">
        <w:rPr>
          <w:sz w:val="22"/>
          <w:szCs w:val="22"/>
        </w:rPr>
        <w:t>sa visokim rizikom od kardiovaskularnih događaja.</w:t>
      </w:r>
    </w:p>
    <w:p w:rsidR="00F56C88" w:rsidRPr="005D1C94" w:rsidRDefault="00F56C88" w:rsidP="00F56C88">
      <w:pPr>
        <w:widowControl w:val="0"/>
        <w:tabs>
          <w:tab w:val="num" w:pos="120"/>
          <w:tab w:val="left" w:pos="8640"/>
        </w:tabs>
        <w:jc w:val="both"/>
        <w:rPr>
          <w:sz w:val="22"/>
          <w:szCs w:val="22"/>
        </w:rPr>
      </w:pPr>
    </w:p>
    <w:p w:rsidR="00F56C88" w:rsidRPr="005D1C94" w:rsidRDefault="00F56C88" w:rsidP="00F56C88">
      <w:pPr>
        <w:widowControl w:val="0"/>
        <w:tabs>
          <w:tab w:val="num" w:pos="3368"/>
        </w:tabs>
        <w:ind w:left="108" w:hanging="108"/>
        <w:jc w:val="both"/>
        <w:rPr>
          <w:sz w:val="22"/>
          <w:szCs w:val="22"/>
        </w:rPr>
      </w:pPr>
      <w:r w:rsidRPr="005D1C94">
        <w:rPr>
          <w:sz w:val="22"/>
          <w:szCs w:val="22"/>
        </w:rPr>
        <w:t>Infekcije i infestacije</w:t>
      </w:r>
    </w:p>
    <w:p w:rsidR="00F56C88" w:rsidRPr="005D1C94" w:rsidRDefault="00F56C88" w:rsidP="00F56C88">
      <w:pPr>
        <w:widowControl w:val="0"/>
        <w:tabs>
          <w:tab w:val="num" w:pos="2127"/>
        </w:tabs>
        <w:ind w:left="2127" w:hanging="1276"/>
        <w:jc w:val="both"/>
        <w:rPr>
          <w:sz w:val="22"/>
          <w:szCs w:val="22"/>
        </w:rPr>
      </w:pPr>
      <w:r w:rsidRPr="005D1C94">
        <w:rPr>
          <w:sz w:val="22"/>
          <w:szCs w:val="22"/>
        </w:rPr>
        <w:t>Povremeno:</w:t>
      </w:r>
      <w:r w:rsidRPr="005D1C94">
        <w:rPr>
          <w:sz w:val="22"/>
          <w:szCs w:val="22"/>
        </w:rPr>
        <w:tab/>
        <w:t xml:space="preserve">infekcije gornjeg </w:t>
      </w:r>
      <w:r w:rsidRPr="005D1C94">
        <w:rPr>
          <w:sz w:val="22"/>
          <w:szCs w:val="22"/>
          <w:lang w:eastAsia="sr-Latn-ME"/>
        </w:rPr>
        <w:t>respiratornog trakta,</w:t>
      </w:r>
      <w:r w:rsidRPr="005D1C94">
        <w:rPr>
          <w:sz w:val="22"/>
          <w:szCs w:val="22"/>
        </w:rPr>
        <w:t xml:space="preserve"> infekcije urinarnog trakta uključujući cistitis</w:t>
      </w:r>
    </w:p>
    <w:p w:rsidR="00F56C88" w:rsidRPr="005D1C94" w:rsidRDefault="00F56C88" w:rsidP="00F56C88">
      <w:pPr>
        <w:widowControl w:val="0"/>
        <w:tabs>
          <w:tab w:val="num" w:pos="2127"/>
        </w:tabs>
        <w:ind w:left="851"/>
        <w:jc w:val="both"/>
        <w:rPr>
          <w:sz w:val="22"/>
          <w:szCs w:val="22"/>
          <w:vertAlign w:val="superscript"/>
        </w:rPr>
      </w:pPr>
      <w:r w:rsidRPr="005D1C94">
        <w:rPr>
          <w:sz w:val="22"/>
          <w:szCs w:val="22"/>
        </w:rPr>
        <w:t>Rijetko:</w:t>
      </w:r>
      <w:r w:rsidRPr="005D1C94">
        <w:rPr>
          <w:sz w:val="22"/>
          <w:szCs w:val="22"/>
        </w:rPr>
        <w:tab/>
        <w:t>sepsa, uključujući fatalan ishod</w:t>
      </w:r>
      <w:r w:rsidRPr="005D1C94">
        <w:rPr>
          <w:sz w:val="22"/>
          <w:szCs w:val="22"/>
          <w:vertAlign w:val="superscript"/>
        </w:rPr>
        <w:t>3</w:t>
      </w:r>
    </w:p>
    <w:p w:rsidR="00F56C88" w:rsidRPr="005D1C94" w:rsidRDefault="00F56C88" w:rsidP="00F56C88">
      <w:pPr>
        <w:widowControl w:val="0"/>
        <w:tabs>
          <w:tab w:val="num" w:pos="120"/>
        </w:tabs>
        <w:jc w:val="both"/>
        <w:rPr>
          <w:i/>
          <w:sz w:val="22"/>
          <w:szCs w:val="22"/>
        </w:rPr>
      </w:pPr>
    </w:p>
    <w:p w:rsidR="00F56C88" w:rsidRPr="005D1C94" w:rsidRDefault="00F56C88" w:rsidP="00F56C88">
      <w:pPr>
        <w:widowControl w:val="0"/>
        <w:tabs>
          <w:tab w:val="num" w:pos="3368"/>
        </w:tabs>
        <w:ind w:left="108" w:hanging="108"/>
        <w:jc w:val="both"/>
        <w:rPr>
          <w:sz w:val="22"/>
          <w:szCs w:val="22"/>
        </w:rPr>
      </w:pPr>
      <w:r w:rsidRPr="005D1C94">
        <w:rPr>
          <w:sz w:val="22"/>
          <w:szCs w:val="22"/>
        </w:rPr>
        <w:t>Poremećaji krvi i limfnog sistema</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anemija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eozinofilija, trombocitopenija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Imunološki poremećaji</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preosjetljivost, anafilaktičke reakcije</w:t>
      </w:r>
    </w:p>
    <w:p w:rsidR="00F56C88" w:rsidRPr="005D1C94" w:rsidRDefault="00F56C88" w:rsidP="00F56C88">
      <w:pPr>
        <w:widowControl w:val="0"/>
        <w:ind w:left="108" w:hanging="108"/>
        <w:jc w:val="both"/>
        <w:rPr>
          <w:sz w:val="22"/>
          <w:szCs w:val="22"/>
        </w:rPr>
      </w:pPr>
      <w:r w:rsidRPr="005D1C94">
        <w:rPr>
          <w:sz w:val="22"/>
          <w:szCs w:val="22"/>
        </w:rPr>
        <w:lastRenderedPageBreak/>
        <w:t>Poremećaji metabolizma i ishrane</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hiperkalijemija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hipoglikemija (kod pacijenata s dijabetesom)</w:t>
      </w:r>
    </w:p>
    <w:p w:rsidR="00F56C88" w:rsidRPr="005D1C94" w:rsidRDefault="00F56C88" w:rsidP="00F56C88">
      <w:pPr>
        <w:widowControl w:val="0"/>
        <w:tabs>
          <w:tab w:val="num" w:pos="120"/>
        </w:tabs>
        <w:jc w:val="both"/>
        <w:rPr>
          <w:i/>
          <w:sz w:val="22"/>
          <w:szCs w:val="22"/>
        </w:rPr>
      </w:pPr>
    </w:p>
    <w:p w:rsidR="00F56C88" w:rsidRPr="005D1C94" w:rsidRDefault="00F56C88" w:rsidP="00F56C88">
      <w:pPr>
        <w:widowControl w:val="0"/>
        <w:tabs>
          <w:tab w:val="num" w:pos="120"/>
        </w:tabs>
        <w:jc w:val="both"/>
        <w:rPr>
          <w:sz w:val="22"/>
          <w:szCs w:val="22"/>
        </w:rPr>
      </w:pPr>
      <w:r w:rsidRPr="005D1C94">
        <w:rPr>
          <w:sz w:val="22"/>
          <w:szCs w:val="22"/>
        </w:rPr>
        <w:t>Kardiološki poremećaji</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bradikardija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3368"/>
        </w:tabs>
        <w:ind w:left="108" w:hanging="108"/>
        <w:jc w:val="both"/>
        <w:rPr>
          <w:sz w:val="22"/>
          <w:szCs w:val="22"/>
        </w:rPr>
      </w:pPr>
      <w:r w:rsidRPr="005D1C94">
        <w:rPr>
          <w:sz w:val="22"/>
          <w:szCs w:val="22"/>
        </w:rPr>
        <w:t xml:space="preserve">Poremećaji nervnog sistema </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somnolencija</w:t>
      </w:r>
    </w:p>
    <w:p w:rsidR="00F56C88" w:rsidRPr="005D1C94" w:rsidRDefault="00F56C88" w:rsidP="00F56C88">
      <w:pPr>
        <w:widowControl w:val="0"/>
        <w:tabs>
          <w:tab w:val="num" w:pos="2127"/>
        </w:tabs>
        <w:ind w:left="851"/>
        <w:jc w:val="both"/>
        <w:rPr>
          <w:sz w:val="22"/>
          <w:szCs w:val="22"/>
        </w:rPr>
      </w:pPr>
    </w:p>
    <w:p w:rsidR="00F56C88" w:rsidRPr="005D1C94" w:rsidRDefault="00F56C88" w:rsidP="00F56C88">
      <w:pPr>
        <w:widowControl w:val="0"/>
        <w:tabs>
          <w:tab w:val="num" w:pos="2127"/>
        </w:tabs>
        <w:jc w:val="both"/>
        <w:rPr>
          <w:sz w:val="22"/>
          <w:szCs w:val="22"/>
        </w:rPr>
      </w:pPr>
      <w:r w:rsidRPr="005D1C94">
        <w:rPr>
          <w:sz w:val="22"/>
          <w:szCs w:val="22"/>
        </w:rPr>
        <w:t>Respiratorni, torakalni i medijastinalni poremećaji</w:t>
      </w:r>
    </w:p>
    <w:p w:rsidR="00F56C88" w:rsidRPr="005D1C94" w:rsidRDefault="00F56C88" w:rsidP="00F56C88">
      <w:pPr>
        <w:widowControl w:val="0"/>
        <w:tabs>
          <w:tab w:val="num" w:pos="2127"/>
        </w:tabs>
        <w:ind w:firstLine="851"/>
        <w:jc w:val="both"/>
        <w:rPr>
          <w:sz w:val="22"/>
          <w:szCs w:val="22"/>
        </w:rPr>
      </w:pPr>
      <w:r w:rsidRPr="005D1C94">
        <w:rPr>
          <w:sz w:val="22"/>
          <w:szCs w:val="22"/>
        </w:rPr>
        <w:t>Povremeno:</w:t>
      </w:r>
      <w:r w:rsidRPr="005D1C94">
        <w:rPr>
          <w:sz w:val="22"/>
          <w:szCs w:val="22"/>
        </w:rPr>
        <w:tab/>
        <w:t xml:space="preserve"> kašalj</w:t>
      </w:r>
    </w:p>
    <w:p w:rsidR="00F56C88" w:rsidRPr="005D1C94" w:rsidRDefault="00F56C88" w:rsidP="00F56C88">
      <w:pPr>
        <w:widowControl w:val="0"/>
        <w:tabs>
          <w:tab w:val="num" w:pos="2127"/>
        </w:tabs>
        <w:ind w:left="851"/>
        <w:jc w:val="both"/>
        <w:rPr>
          <w:sz w:val="22"/>
          <w:szCs w:val="22"/>
          <w:vertAlign w:val="superscript"/>
        </w:rPr>
      </w:pPr>
      <w:r w:rsidRPr="005D1C94">
        <w:rPr>
          <w:sz w:val="22"/>
          <w:szCs w:val="22"/>
        </w:rPr>
        <w:t>Veoma rijetko  intersticijalna bolest pluća</w:t>
      </w:r>
      <w:r w:rsidRPr="005D1C94">
        <w:rPr>
          <w:sz w:val="22"/>
          <w:szCs w:val="22"/>
          <w:vertAlign w:val="superscript"/>
        </w:rPr>
        <w:t>3</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2127"/>
        </w:tabs>
        <w:jc w:val="both"/>
        <w:rPr>
          <w:bCs/>
          <w:iCs/>
          <w:sz w:val="22"/>
          <w:szCs w:val="22"/>
        </w:rPr>
      </w:pPr>
      <w:r w:rsidRPr="005D1C94">
        <w:rPr>
          <w:bCs/>
          <w:iCs/>
          <w:sz w:val="22"/>
          <w:szCs w:val="22"/>
        </w:rPr>
        <w:t>Gastrointestinalni poremećaji</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nelagoda u želucu</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108" w:hanging="108"/>
        <w:jc w:val="both"/>
        <w:rPr>
          <w:sz w:val="22"/>
          <w:szCs w:val="22"/>
        </w:rPr>
      </w:pPr>
      <w:r w:rsidRPr="005D1C94">
        <w:rPr>
          <w:sz w:val="22"/>
          <w:szCs w:val="22"/>
        </w:rPr>
        <w:t>Poremećaji kože i potkožnog tkiva</w:t>
      </w:r>
    </w:p>
    <w:p w:rsidR="00F56C88" w:rsidRPr="005D1C94" w:rsidRDefault="00F56C88" w:rsidP="00F56C88">
      <w:pPr>
        <w:widowControl w:val="0"/>
        <w:tabs>
          <w:tab w:val="num" w:pos="2127"/>
        </w:tabs>
        <w:ind w:left="2127" w:hanging="1276"/>
        <w:jc w:val="both"/>
        <w:rPr>
          <w:sz w:val="22"/>
          <w:szCs w:val="22"/>
        </w:rPr>
      </w:pPr>
      <w:r w:rsidRPr="005D1C94">
        <w:rPr>
          <w:sz w:val="22"/>
          <w:szCs w:val="22"/>
        </w:rPr>
        <w:t>Rijetko:</w:t>
      </w:r>
      <w:r w:rsidRPr="005D1C94">
        <w:rPr>
          <w:sz w:val="22"/>
          <w:szCs w:val="22"/>
        </w:rPr>
        <w:tab/>
        <w:t xml:space="preserve">ekcem, izbijanje kožnih promjena, izbijanje toksičnih kožnih promjena  </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418"/>
        </w:tabs>
        <w:ind w:left="1418" w:hanging="1418"/>
        <w:jc w:val="both"/>
        <w:rPr>
          <w:sz w:val="22"/>
          <w:szCs w:val="22"/>
        </w:rPr>
      </w:pPr>
      <w:r w:rsidRPr="005D1C94">
        <w:rPr>
          <w:sz w:val="22"/>
          <w:szCs w:val="22"/>
        </w:rPr>
        <w:t>Poremećaji mišićno-skeletnog sistema, vezivnog tkiva i kostiju</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artroza, bol u tetivama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108" w:hanging="108"/>
        <w:jc w:val="both"/>
        <w:rPr>
          <w:sz w:val="22"/>
          <w:szCs w:val="22"/>
        </w:rPr>
      </w:pPr>
      <w:r w:rsidRPr="005D1C94">
        <w:rPr>
          <w:sz w:val="22"/>
          <w:szCs w:val="22"/>
        </w:rPr>
        <w:t>Poremećaji bubrega i urinarnog sistema</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oštećenje bubrežne fukcije (uključujući akutnu insuficijenciju bubrega)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108" w:hanging="108"/>
        <w:jc w:val="both"/>
        <w:rPr>
          <w:sz w:val="22"/>
          <w:szCs w:val="22"/>
        </w:rPr>
      </w:pPr>
      <w:r w:rsidRPr="005D1C94">
        <w:rPr>
          <w:sz w:val="22"/>
          <w:szCs w:val="22"/>
        </w:rPr>
        <w:t>Opšti poremećaji i reakcije na mjestu primjene</w:t>
      </w:r>
    </w:p>
    <w:p w:rsidR="00F56C88" w:rsidRPr="005D1C94" w:rsidRDefault="00F56C88" w:rsidP="00F56C88">
      <w:pPr>
        <w:widowControl w:val="0"/>
        <w:tabs>
          <w:tab w:val="num" w:pos="2127"/>
        </w:tabs>
        <w:ind w:left="851"/>
        <w:jc w:val="both"/>
        <w:rPr>
          <w:sz w:val="22"/>
          <w:szCs w:val="22"/>
        </w:rPr>
      </w:pPr>
      <w:r w:rsidRPr="005D1C94">
        <w:rPr>
          <w:sz w:val="22"/>
          <w:szCs w:val="22"/>
        </w:rPr>
        <w:t>Povremeno:</w:t>
      </w:r>
      <w:r w:rsidRPr="005D1C94">
        <w:rPr>
          <w:sz w:val="22"/>
          <w:szCs w:val="22"/>
        </w:rPr>
        <w:tab/>
        <w:t>astenija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418"/>
        </w:tabs>
        <w:ind w:left="1418" w:hanging="1418"/>
        <w:jc w:val="both"/>
        <w:rPr>
          <w:sz w:val="22"/>
          <w:szCs w:val="22"/>
        </w:rPr>
      </w:pPr>
      <w:r w:rsidRPr="005D1C94">
        <w:rPr>
          <w:sz w:val="22"/>
          <w:szCs w:val="22"/>
        </w:rPr>
        <w:t>Ispitivanja</w:t>
      </w:r>
    </w:p>
    <w:p w:rsidR="00F56C88" w:rsidRPr="005D1C94" w:rsidRDefault="00F56C88" w:rsidP="00F56C88">
      <w:pPr>
        <w:widowControl w:val="0"/>
        <w:tabs>
          <w:tab w:val="num" w:pos="2127"/>
        </w:tabs>
        <w:ind w:left="851"/>
        <w:jc w:val="both"/>
        <w:rPr>
          <w:sz w:val="22"/>
          <w:szCs w:val="22"/>
        </w:rPr>
      </w:pPr>
      <w:r w:rsidRPr="005D1C94">
        <w:rPr>
          <w:sz w:val="22"/>
          <w:szCs w:val="22"/>
        </w:rPr>
        <w:t>Rijetko:</w:t>
      </w:r>
      <w:r w:rsidRPr="005D1C94">
        <w:rPr>
          <w:sz w:val="22"/>
          <w:szCs w:val="22"/>
        </w:rPr>
        <w:tab/>
        <w:t>snižen hemoglobin</w:t>
      </w:r>
    </w:p>
    <w:p w:rsidR="00F56C88" w:rsidRPr="005D1C94" w:rsidRDefault="00F56C88" w:rsidP="00F56C88">
      <w:pPr>
        <w:widowControl w:val="0"/>
        <w:tabs>
          <w:tab w:val="num" w:pos="2127"/>
        </w:tabs>
        <w:ind w:left="851"/>
        <w:jc w:val="both"/>
        <w:rPr>
          <w:sz w:val="22"/>
          <w:szCs w:val="22"/>
        </w:rPr>
      </w:pPr>
    </w:p>
    <w:p w:rsidR="00F56C88" w:rsidRPr="005D1C94" w:rsidRDefault="00F56C88" w:rsidP="00F56C88">
      <w:pPr>
        <w:widowControl w:val="0"/>
        <w:tabs>
          <w:tab w:val="num" w:pos="120"/>
          <w:tab w:val="left" w:pos="8640"/>
        </w:tabs>
        <w:jc w:val="both"/>
        <w:rPr>
          <w:i/>
          <w:sz w:val="22"/>
          <w:szCs w:val="22"/>
        </w:rPr>
      </w:pPr>
      <w:r w:rsidRPr="005D1C94">
        <w:rPr>
          <w:sz w:val="22"/>
          <w:szCs w:val="22"/>
          <w:vertAlign w:val="superscript"/>
        </w:rPr>
        <w:t xml:space="preserve">3 </w:t>
      </w:r>
      <w:r w:rsidRPr="005D1C94">
        <w:rPr>
          <w:sz w:val="22"/>
          <w:szCs w:val="22"/>
        </w:rPr>
        <w:t xml:space="preserve">Za dodatne </w:t>
      </w:r>
      <w:r w:rsidRPr="005D1C94">
        <w:rPr>
          <w:sz w:val="22"/>
          <w:szCs w:val="22"/>
          <w:lang w:eastAsia="sr-Latn-ME"/>
        </w:rPr>
        <w:t>informacije</w:t>
      </w:r>
      <w:r w:rsidRPr="005D1C94">
        <w:rPr>
          <w:sz w:val="22"/>
          <w:szCs w:val="22"/>
        </w:rPr>
        <w:t>, pogledajte dio „</w:t>
      </w:r>
      <w:r w:rsidRPr="005D1C94">
        <w:rPr>
          <w:i/>
          <w:sz w:val="22"/>
          <w:szCs w:val="22"/>
        </w:rPr>
        <w:t>Opis izabranih neželjenih dejstava“</w:t>
      </w:r>
    </w:p>
    <w:p w:rsidR="00F56C88" w:rsidRPr="005D1C94" w:rsidRDefault="00F56C88" w:rsidP="00F56C88">
      <w:pPr>
        <w:widowControl w:val="0"/>
        <w:tabs>
          <w:tab w:val="num" w:pos="120"/>
          <w:tab w:val="left" w:pos="8640"/>
        </w:tabs>
        <w:jc w:val="both"/>
        <w:rPr>
          <w:i/>
          <w:sz w:val="22"/>
          <w:szCs w:val="22"/>
        </w:rPr>
      </w:pPr>
    </w:p>
    <w:p w:rsidR="00F56C88" w:rsidRPr="005D1C94" w:rsidRDefault="00F56C88" w:rsidP="00F56C88">
      <w:pPr>
        <w:widowControl w:val="0"/>
        <w:tabs>
          <w:tab w:val="num" w:pos="120"/>
          <w:tab w:val="left" w:pos="8640"/>
        </w:tabs>
        <w:jc w:val="both"/>
        <w:rPr>
          <w:sz w:val="22"/>
          <w:szCs w:val="22"/>
          <w:u w:val="single"/>
        </w:rPr>
      </w:pPr>
      <w:r w:rsidRPr="005D1C94">
        <w:rPr>
          <w:sz w:val="22"/>
          <w:szCs w:val="22"/>
          <w:u w:val="single"/>
        </w:rPr>
        <w:t>Hidrohlortiazid:</w:t>
      </w:r>
    </w:p>
    <w:p w:rsidR="00F56C88" w:rsidRPr="005D1C94" w:rsidRDefault="00F56C88" w:rsidP="00F56C88">
      <w:pPr>
        <w:widowControl w:val="0"/>
        <w:tabs>
          <w:tab w:val="num" w:pos="120"/>
          <w:tab w:val="left" w:pos="7740"/>
          <w:tab w:val="left" w:pos="7920"/>
        </w:tabs>
        <w:jc w:val="both"/>
        <w:rPr>
          <w:sz w:val="22"/>
          <w:szCs w:val="22"/>
        </w:rPr>
      </w:pPr>
      <w:r w:rsidRPr="005D1C94">
        <w:rPr>
          <w:sz w:val="22"/>
          <w:szCs w:val="22"/>
        </w:rPr>
        <w:t>Hidrohlortiazid može uzrokovati ili pogoršati hipovolemiju, što može dovesti do elektrolitnog disbalansa (vidjeti odjeljak 4.4).</w:t>
      </w:r>
    </w:p>
    <w:p w:rsidR="00F56C88" w:rsidRPr="005D1C94" w:rsidRDefault="00F56C88" w:rsidP="00F56C88">
      <w:pPr>
        <w:widowControl w:val="0"/>
        <w:tabs>
          <w:tab w:val="num" w:pos="120"/>
          <w:tab w:val="left" w:pos="8640"/>
        </w:tabs>
        <w:jc w:val="both"/>
        <w:rPr>
          <w:sz w:val="22"/>
          <w:szCs w:val="22"/>
        </w:rPr>
      </w:pPr>
    </w:p>
    <w:p w:rsidR="00F56C88" w:rsidRPr="005D1C94" w:rsidRDefault="00F56C88" w:rsidP="00F56C88">
      <w:pPr>
        <w:widowControl w:val="0"/>
        <w:tabs>
          <w:tab w:val="num" w:pos="120"/>
          <w:tab w:val="left" w:pos="8640"/>
        </w:tabs>
        <w:jc w:val="both"/>
        <w:rPr>
          <w:sz w:val="22"/>
          <w:szCs w:val="22"/>
        </w:rPr>
      </w:pPr>
      <w:r w:rsidRPr="005D1C94">
        <w:rPr>
          <w:sz w:val="22"/>
          <w:szCs w:val="22"/>
        </w:rPr>
        <w:t>Neželjena dejstva nepoznate učestalosti prijavljena tokom primjene hidrohlortiazida pojedinačno, uključuju:</w:t>
      </w:r>
    </w:p>
    <w:p w:rsidR="00F56C88" w:rsidRPr="005D1C94" w:rsidRDefault="00F56C88" w:rsidP="00F56C88">
      <w:pPr>
        <w:widowControl w:val="0"/>
        <w:tabs>
          <w:tab w:val="num" w:pos="120"/>
          <w:tab w:val="left" w:pos="8640"/>
        </w:tabs>
        <w:jc w:val="both"/>
        <w:rPr>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Infekcije i infestacije</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sijaloadenitis</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Poremećaji krvi i limfnog sistema</w:t>
      </w:r>
    </w:p>
    <w:p w:rsidR="00F56C88" w:rsidRPr="005D1C94" w:rsidRDefault="00F56C88" w:rsidP="00AB5CE0">
      <w:pPr>
        <w:widowControl w:val="0"/>
        <w:tabs>
          <w:tab w:val="num" w:pos="2127"/>
        </w:tabs>
        <w:ind w:left="2127" w:right="-8" w:hanging="1276"/>
        <w:jc w:val="both"/>
        <w:rPr>
          <w:sz w:val="22"/>
          <w:szCs w:val="22"/>
        </w:rPr>
      </w:pPr>
      <w:r w:rsidRPr="005D1C94">
        <w:rPr>
          <w:sz w:val="22"/>
          <w:szCs w:val="22"/>
        </w:rPr>
        <w:t>Nepoznato:</w:t>
      </w:r>
      <w:r w:rsidRPr="005D1C94">
        <w:rPr>
          <w:sz w:val="22"/>
          <w:szCs w:val="22"/>
        </w:rPr>
        <w:tab/>
        <w:t xml:space="preserve">aplastična anemija, hemolitička anemija, depresija kostne srži, leukopenija, </w:t>
      </w:r>
      <w:r w:rsidRPr="005D1C94">
        <w:rPr>
          <w:sz w:val="22"/>
          <w:szCs w:val="22"/>
        </w:rPr>
        <w:lastRenderedPageBreak/>
        <w:t>neutropenija, agranulocitoza, trombocitopenija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Imunološki poremećaji</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anafilaktičke reakcije, reakcije preosjetljivosti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Endokrinološki poremećaji</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neodgovarajuća kontrola dijabetes melitusa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Poremećaji metabolizma i ishrane</w:t>
      </w:r>
    </w:p>
    <w:p w:rsidR="00F56C88" w:rsidRPr="005D1C94" w:rsidRDefault="00F56C88" w:rsidP="00F56C88">
      <w:pPr>
        <w:widowControl w:val="0"/>
        <w:tabs>
          <w:tab w:val="num" w:pos="2127"/>
        </w:tabs>
        <w:ind w:left="2127" w:hanging="1276"/>
        <w:jc w:val="both"/>
        <w:rPr>
          <w:sz w:val="22"/>
          <w:szCs w:val="22"/>
        </w:rPr>
      </w:pPr>
      <w:r w:rsidRPr="005D1C94">
        <w:rPr>
          <w:sz w:val="22"/>
          <w:szCs w:val="22"/>
        </w:rPr>
        <w:t>Nepoznato:</w:t>
      </w:r>
      <w:r w:rsidRPr="005D1C94">
        <w:rPr>
          <w:sz w:val="22"/>
          <w:szCs w:val="22"/>
        </w:rPr>
        <w:tab/>
        <w:t>anoreksija, smanjenje  apetita, disbalans elektrolita, hiperholesterolemija, hiperglikemija, hipovolemija</w:t>
      </w:r>
    </w:p>
    <w:p w:rsidR="00F56C88" w:rsidRPr="005D1C94" w:rsidRDefault="00F56C88" w:rsidP="00F56C88">
      <w:pPr>
        <w:widowControl w:val="0"/>
        <w:tabs>
          <w:tab w:val="num" w:pos="120"/>
        </w:tabs>
        <w:jc w:val="both"/>
        <w:rPr>
          <w:i/>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Psihijatrijski poremećaji</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nemir</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Poremećaji nervnog sistema</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ošamućenost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Poremećaji oka</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ksantopsija, akutna miopija, akutni glaukom zatvorenog ugla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Vaskularni poremećaji</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nekrotizirajući vaskulitis</w:t>
      </w:r>
    </w:p>
    <w:p w:rsidR="00F56C88" w:rsidRPr="005D1C94" w:rsidRDefault="00F56C88" w:rsidP="00F56C88">
      <w:pPr>
        <w:widowControl w:val="0"/>
        <w:tabs>
          <w:tab w:val="num" w:pos="120"/>
        </w:tabs>
        <w:jc w:val="both"/>
        <w:rPr>
          <w:sz w:val="22"/>
          <w:szCs w:val="22"/>
        </w:rPr>
      </w:pPr>
    </w:p>
    <w:p w:rsidR="00F56C88" w:rsidRPr="00B371D6" w:rsidRDefault="00F56C88" w:rsidP="00F56C88">
      <w:pPr>
        <w:widowControl w:val="0"/>
        <w:tabs>
          <w:tab w:val="num" w:pos="3510"/>
        </w:tabs>
        <w:ind w:left="108" w:hanging="108"/>
        <w:jc w:val="both"/>
        <w:rPr>
          <w:sz w:val="22"/>
          <w:szCs w:val="22"/>
        </w:rPr>
      </w:pPr>
      <w:r w:rsidRPr="00B371D6">
        <w:rPr>
          <w:sz w:val="22"/>
          <w:szCs w:val="22"/>
        </w:rPr>
        <w:t>Gastrointestinalni poremećaji</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pankreatitis, nelagodnost u želucu</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2127"/>
        </w:tabs>
        <w:jc w:val="both"/>
        <w:rPr>
          <w:bCs/>
          <w:iCs/>
          <w:sz w:val="22"/>
          <w:szCs w:val="22"/>
        </w:rPr>
      </w:pPr>
      <w:r w:rsidRPr="005D1C94">
        <w:rPr>
          <w:bCs/>
          <w:iCs/>
          <w:sz w:val="22"/>
          <w:szCs w:val="22"/>
        </w:rPr>
        <w:t>Hepatobilijarni poremećaji</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hepatocelularna žutica, holestatska žutica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108" w:hanging="108"/>
        <w:jc w:val="both"/>
        <w:rPr>
          <w:sz w:val="22"/>
          <w:szCs w:val="22"/>
        </w:rPr>
      </w:pPr>
      <w:r w:rsidRPr="005D1C94">
        <w:rPr>
          <w:sz w:val="22"/>
          <w:szCs w:val="22"/>
        </w:rPr>
        <w:t>Poremećaji kože i potkožnog tkiva</w:t>
      </w:r>
    </w:p>
    <w:p w:rsidR="00F56C88" w:rsidRPr="005D1C94" w:rsidRDefault="00F56C88" w:rsidP="00F56C88">
      <w:pPr>
        <w:widowControl w:val="0"/>
        <w:tabs>
          <w:tab w:val="num" w:pos="2127"/>
        </w:tabs>
        <w:ind w:left="2127" w:hanging="1276"/>
        <w:jc w:val="both"/>
        <w:rPr>
          <w:sz w:val="22"/>
          <w:szCs w:val="22"/>
        </w:rPr>
      </w:pPr>
      <w:r w:rsidRPr="005D1C94">
        <w:rPr>
          <w:sz w:val="22"/>
          <w:szCs w:val="22"/>
        </w:rPr>
        <w:t>Nepoznato:</w:t>
      </w:r>
      <w:r w:rsidRPr="005D1C94">
        <w:rPr>
          <w:sz w:val="22"/>
          <w:szCs w:val="22"/>
        </w:rPr>
        <w:tab/>
        <w:t xml:space="preserve">sindrom sličan lupusu, </w:t>
      </w:r>
      <w:r w:rsidRPr="005D1C94">
        <w:rPr>
          <w:sz w:val="22"/>
          <w:szCs w:val="22"/>
          <w:lang w:eastAsia="sr-Latn-ME"/>
        </w:rPr>
        <w:t>fotosenzitivne reakcije,</w:t>
      </w:r>
      <w:r w:rsidRPr="005D1C94">
        <w:rPr>
          <w:sz w:val="22"/>
          <w:szCs w:val="22"/>
        </w:rPr>
        <w:t xml:space="preserve"> vaskulitis kože, toksična epidermalna nekroliza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108" w:hanging="108"/>
        <w:jc w:val="both"/>
        <w:rPr>
          <w:sz w:val="22"/>
          <w:szCs w:val="22"/>
        </w:rPr>
      </w:pPr>
      <w:r w:rsidRPr="005D1C94">
        <w:rPr>
          <w:sz w:val="22"/>
          <w:szCs w:val="22"/>
        </w:rPr>
        <w:t>Poremećaji mišićno-skeletnog sistema, vezivnog tkiva i kostiju</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slabost</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108" w:hanging="108"/>
        <w:jc w:val="both"/>
        <w:rPr>
          <w:sz w:val="22"/>
          <w:szCs w:val="22"/>
        </w:rPr>
      </w:pPr>
      <w:r w:rsidRPr="005D1C94">
        <w:rPr>
          <w:sz w:val="22"/>
          <w:szCs w:val="22"/>
        </w:rPr>
        <w:t>Poremećaji bubrega i urinarnog sistema</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intersticijalni nefritis, disfunkcija bubrega, glikozurija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108" w:hanging="108"/>
        <w:jc w:val="both"/>
        <w:rPr>
          <w:sz w:val="22"/>
          <w:szCs w:val="22"/>
        </w:rPr>
      </w:pPr>
      <w:r w:rsidRPr="005D1C94">
        <w:rPr>
          <w:sz w:val="22"/>
          <w:szCs w:val="22"/>
        </w:rPr>
        <w:t>Opšti poremećaji i reakcije na mjestu primjene</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pireksija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3510"/>
        </w:tabs>
        <w:ind w:left="108" w:hanging="108"/>
        <w:jc w:val="both"/>
        <w:rPr>
          <w:sz w:val="22"/>
          <w:szCs w:val="22"/>
        </w:rPr>
      </w:pPr>
      <w:r w:rsidRPr="005D1C94">
        <w:rPr>
          <w:sz w:val="22"/>
          <w:szCs w:val="22"/>
        </w:rPr>
        <w:t>Ispitivanja</w:t>
      </w:r>
    </w:p>
    <w:p w:rsidR="00F56C88" w:rsidRPr="005D1C94" w:rsidRDefault="00F56C88" w:rsidP="00F56C88">
      <w:pPr>
        <w:widowControl w:val="0"/>
        <w:tabs>
          <w:tab w:val="num" w:pos="2127"/>
        </w:tabs>
        <w:ind w:left="851"/>
        <w:jc w:val="both"/>
        <w:rPr>
          <w:sz w:val="22"/>
          <w:szCs w:val="22"/>
        </w:rPr>
      </w:pPr>
      <w:r w:rsidRPr="005D1C94">
        <w:rPr>
          <w:sz w:val="22"/>
          <w:szCs w:val="22"/>
        </w:rPr>
        <w:t>Nepoznato:</w:t>
      </w:r>
      <w:r w:rsidRPr="005D1C94">
        <w:rPr>
          <w:sz w:val="22"/>
          <w:szCs w:val="22"/>
        </w:rPr>
        <w:tab/>
        <w:t>povišene vrijednosti triglicerida</w:t>
      </w:r>
    </w:p>
    <w:p w:rsidR="00F56C88" w:rsidRPr="005D1C94" w:rsidRDefault="00F56C88" w:rsidP="00F56C88">
      <w:pPr>
        <w:widowControl w:val="0"/>
        <w:autoSpaceDE w:val="0"/>
        <w:autoSpaceDN w:val="0"/>
        <w:adjustRightInd w:val="0"/>
        <w:ind w:right="1374"/>
        <w:jc w:val="both"/>
        <w:rPr>
          <w:sz w:val="22"/>
          <w:szCs w:val="22"/>
          <w:u w:val="single"/>
        </w:rPr>
      </w:pPr>
      <w:r w:rsidRPr="005D1C94">
        <w:rPr>
          <w:sz w:val="22"/>
          <w:szCs w:val="22"/>
          <w:u w:val="single"/>
        </w:rPr>
        <w:lastRenderedPageBreak/>
        <w:t>Opis izabranih neželjenih dejstava</w:t>
      </w:r>
    </w:p>
    <w:p w:rsidR="00F56C88" w:rsidRPr="005D1C94" w:rsidRDefault="00F56C88" w:rsidP="00F56C88">
      <w:pPr>
        <w:widowControl w:val="0"/>
        <w:autoSpaceDE w:val="0"/>
        <w:autoSpaceDN w:val="0"/>
        <w:adjustRightInd w:val="0"/>
        <w:ind w:right="1374"/>
        <w:jc w:val="both"/>
        <w:rPr>
          <w:sz w:val="22"/>
          <w:szCs w:val="22"/>
        </w:rPr>
      </w:pPr>
    </w:p>
    <w:p w:rsidR="00F56C88" w:rsidRPr="005D1C94" w:rsidRDefault="00F56C88" w:rsidP="00F56C88">
      <w:pPr>
        <w:widowControl w:val="0"/>
        <w:ind w:right="1332"/>
        <w:jc w:val="both"/>
        <w:rPr>
          <w:sz w:val="22"/>
          <w:szCs w:val="22"/>
          <w:u w:val="single"/>
        </w:rPr>
      </w:pPr>
      <w:r w:rsidRPr="005D1C94">
        <w:rPr>
          <w:sz w:val="22"/>
          <w:szCs w:val="22"/>
          <w:u w:val="single"/>
        </w:rPr>
        <w:t>Abnormalna jetrena funkcija/poremećaj jetre</w:t>
      </w:r>
    </w:p>
    <w:p w:rsidR="00F56C88" w:rsidRPr="005D1C94" w:rsidRDefault="00F56C88" w:rsidP="00F56C88">
      <w:pPr>
        <w:widowControl w:val="0"/>
        <w:ind w:right="-2"/>
        <w:jc w:val="both"/>
        <w:rPr>
          <w:sz w:val="22"/>
          <w:szCs w:val="22"/>
        </w:rPr>
      </w:pPr>
      <w:r w:rsidRPr="005D1C94">
        <w:rPr>
          <w:sz w:val="22"/>
          <w:szCs w:val="22"/>
        </w:rPr>
        <w:t xml:space="preserve">Većina slučajeva abnormalne jetrene funkcije/poremećaja jetre iz </w:t>
      </w:r>
      <w:r w:rsidRPr="005D1C94">
        <w:rPr>
          <w:sz w:val="22"/>
          <w:szCs w:val="22"/>
          <w:lang w:eastAsia="sr-Latn-ME"/>
        </w:rPr>
        <w:t>postmarketinškog ispitivanja  sa telmisartanom je prijavljena kod pacijenata iz Japana</w:t>
      </w:r>
      <w:r w:rsidRPr="005D1C94">
        <w:rPr>
          <w:sz w:val="22"/>
          <w:szCs w:val="22"/>
        </w:rPr>
        <w:t>. Japanska populacija ima veće izglede za razvoj ovih neželjenih dejstava.</w:t>
      </w:r>
    </w:p>
    <w:p w:rsidR="00F56C88" w:rsidRPr="005D1C94" w:rsidRDefault="00F56C88" w:rsidP="00F56C88">
      <w:pPr>
        <w:widowControl w:val="0"/>
        <w:ind w:right="1332"/>
        <w:jc w:val="both"/>
        <w:rPr>
          <w:sz w:val="22"/>
          <w:szCs w:val="22"/>
        </w:rPr>
      </w:pPr>
    </w:p>
    <w:p w:rsidR="00F56C88" w:rsidRPr="005D1C94" w:rsidRDefault="00F56C88" w:rsidP="00F56C88">
      <w:pPr>
        <w:widowControl w:val="0"/>
        <w:autoSpaceDE w:val="0"/>
        <w:autoSpaceDN w:val="0"/>
        <w:adjustRightInd w:val="0"/>
        <w:ind w:right="1374"/>
        <w:jc w:val="both"/>
        <w:rPr>
          <w:sz w:val="22"/>
          <w:szCs w:val="22"/>
          <w:u w:val="single"/>
        </w:rPr>
      </w:pPr>
      <w:r w:rsidRPr="005D1C94">
        <w:rPr>
          <w:sz w:val="22"/>
          <w:szCs w:val="22"/>
          <w:u w:val="single"/>
        </w:rPr>
        <w:t>Sepsa</w:t>
      </w:r>
    </w:p>
    <w:p w:rsidR="00F56C88" w:rsidRPr="005D1C94" w:rsidRDefault="00F56C88" w:rsidP="00F56C88">
      <w:pPr>
        <w:widowControl w:val="0"/>
        <w:autoSpaceDE w:val="0"/>
        <w:autoSpaceDN w:val="0"/>
        <w:adjustRightInd w:val="0"/>
        <w:ind w:right="-2"/>
        <w:jc w:val="both"/>
        <w:rPr>
          <w:sz w:val="22"/>
          <w:szCs w:val="22"/>
        </w:rPr>
      </w:pPr>
      <w:r w:rsidRPr="005D1C94">
        <w:rPr>
          <w:sz w:val="22"/>
          <w:szCs w:val="22"/>
        </w:rPr>
        <w:t>U PRoFESS studiji, veća učestalost sepse je primijećena nakon primjene telmisartana u poređenju sa placebom. Događaj može biti otkriven slučajno ili povezan sa mehanizmom koji nije trenutno poznat ( vidjeti odjeljak 5.1).</w:t>
      </w:r>
    </w:p>
    <w:p w:rsidR="00F56C88" w:rsidRPr="005D1C94" w:rsidRDefault="00F56C88" w:rsidP="00F56C88">
      <w:pPr>
        <w:widowControl w:val="0"/>
        <w:autoSpaceDE w:val="0"/>
        <w:autoSpaceDN w:val="0"/>
        <w:adjustRightInd w:val="0"/>
        <w:ind w:right="1374"/>
        <w:jc w:val="both"/>
        <w:rPr>
          <w:sz w:val="22"/>
          <w:szCs w:val="22"/>
        </w:rPr>
      </w:pPr>
    </w:p>
    <w:p w:rsidR="00F56C88" w:rsidRPr="005D1C94" w:rsidRDefault="00F56C88" w:rsidP="00F56C88">
      <w:pPr>
        <w:widowControl w:val="0"/>
        <w:ind w:right="1332"/>
        <w:jc w:val="both"/>
        <w:rPr>
          <w:sz w:val="22"/>
          <w:szCs w:val="22"/>
          <w:u w:val="single"/>
        </w:rPr>
      </w:pPr>
      <w:r w:rsidRPr="005D1C94">
        <w:rPr>
          <w:sz w:val="22"/>
          <w:szCs w:val="22"/>
          <w:u w:val="single"/>
        </w:rPr>
        <w:t>Intersticijalna bolest pluća</w:t>
      </w:r>
    </w:p>
    <w:p w:rsidR="00F56C88" w:rsidRPr="005D1C94" w:rsidRDefault="00F56C88" w:rsidP="00F56C88">
      <w:pPr>
        <w:autoSpaceDE w:val="0"/>
        <w:autoSpaceDN w:val="0"/>
        <w:adjustRightInd w:val="0"/>
        <w:jc w:val="both"/>
        <w:rPr>
          <w:sz w:val="22"/>
          <w:szCs w:val="22"/>
          <w:lang w:eastAsia="sr-Latn-ME"/>
        </w:rPr>
      </w:pPr>
      <w:r w:rsidRPr="005D1C94">
        <w:rPr>
          <w:sz w:val="22"/>
          <w:szCs w:val="22"/>
          <w:lang w:eastAsia="sr-Latn-ME"/>
        </w:rPr>
        <w:t>U postmarketinškom periodu prijavljeni su slučajevi intersticijalne bolesti pluća koji su bili u vremenskoj povezanosti sa primjenom telmisartana, međutim, uzročna povezanost se nije dokazala.</w:t>
      </w:r>
    </w:p>
    <w:p w:rsidR="00F56C88" w:rsidRPr="005D1C94" w:rsidRDefault="00F56C88" w:rsidP="00F56C88">
      <w:pPr>
        <w:widowControl w:val="0"/>
        <w:ind w:right="1332"/>
        <w:jc w:val="both"/>
        <w:rPr>
          <w:sz w:val="22"/>
          <w:szCs w:val="22"/>
          <w:u w:val="single"/>
          <w:lang w:eastAsia="de-DE"/>
        </w:rPr>
      </w:pPr>
    </w:p>
    <w:p w:rsidR="00F56C88" w:rsidRPr="005D1C94" w:rsidRDefault="00F56C88" w:rsidP="00F56C88">
      <w:pPr>
        <w:spacing w:after="200" w:line="276" w:lineRule="auto"/>
        <w:jc w:val="both"/>
        <w:rPr>
          <w:rFonts w:eastAsia="Calibri"/>
          <w:sz w:val="22"/>
          <w:szCs w:val="22"/>
          <w:u w:val="single"/>
        </w:rPr>
      </w:pPr>
      <w:r w:rsidRPr="005D1C94">
        <w:rPr>
          <w:rFonts w:eastAsia="Calibri"/>
          <w:sz w:val="22"/>
          <w:szCs w:val="22"/>
          <w:u w:val="single"/>
        </w:rPr>
        <w:t>Prijavljivanje sumnji na neželjena dejstva</w:t>
      </w:r>
    </w:p>
    <w:p w:rsidR="00F56C88" w:rsidRPr="005D1C94" w:rsidRDefault="00F56C88" w:rsidP="00F56C88">
      <w:pPr>
        <w:spacing w:after="200"/>
        <w:jc w:val="both"/>
        <w:rPr>
          <w:rFonts w:eastAsia="Calibri"/>
          <w:sz w:val="22"/>
          <w:szCs w:val="22"/>
        </w:rPr>
      </w:pPr>
      <w:r w:rsidRPr="005D1C94">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F56C88" w:rsidRPr="005D1C94" w:rsidRDefault="00F56C88" w:rsidP="00F56C88">
      <w:pPr>
        <w:jc w:val="both"/>
        <w:rPr>
          <w:rFonts w:eastAsia="Calibri"/>
          <w:sz w:val="22"/>
          <w:szCs w:val="22"/>
        </w:rPr>
      </w:pPr>
      <w:r w:rsidRPr="005D1C94">
        <w:rPr>
          <w:rFonts w:eastAsia="Calibri"/>
          <w:sz w:val="22"/>
          <w:szCs w:val="22"/>
        </w:rPr>
        <w:t>Agencija za ljekove i medicinska sredstva Crne Gore</w:t>
      </w:r>
    </w:p>
    <w:p w:rsidR="00F56C88" w:rsidRPr="005D1C94" w:rsidRDefault="00F56C88" w:rsidP="00F56C88">
      <w:pPr>
        <w:jc w:val="both"/>
        <w:rPr>
          <w:rFonts w:eastAsia="Calibri"/>
          <w:sz w:val="22"/>
          <w:szCs w:val="22"/>
        </w:rPr>
      </w:pPr>
      <w:r w:rsidRPr="005D1C94">
        <w:rPr>
          <w:rFonts w:eastAsia="Calibri"/>
          <w:sz w:val="22"/>
          <w:szCs w:val="22"/>
        </w:rPr>
        <w:t>Odjeljenje za farmakovigilancu</w:t>
      </w:r>
    </w:p>
    <w:p w:rsidR="00F56C88" w:rsidRPr="005D1C94" w:rsidRDefault="00F56C88" w:rsidP="00F56C88">
      <w:pPr>
        <w:jc w:val="both"/>
        <w:rPr>
          <w:rFonts w:eastAsia="Calibri"/>
          <w:sz w:val="22"/>
          <w:szCs w:val="22"/>
        </w:rPr>
      </w:pPr>
      <w:r w:rsidRPr="005D1C94">
        <w:rPr>
          <w:rFonts w:eastAsia="Calibri"/>
          <w:sz w:val="22"/>
          <w:szCs w:val="22"/>
        </w:rPr>
        <w:t>Bulevar Ivana Crnojevića 64a, 81000 Podgorica</w:t>
      </w:r>
    </w:p>
    <w:p w:rsidR="00F56C88" w:rsidRPr="005D1C94" w:rsidRDefault="00F56C88" w:rsidP="00F56C88">
      <w:pPr>
        <w:jc w:val="both"/>
        <w:rPr>
          <w:rFonts w:eastAsia="Calibri"/>
          <w:sz w:val="22"/>
          <w:szCs w:val="22"/>
        </w:rPr>
      </w:pPr>
    </w:p>
    <w:p w:rsidR="00F56C88" w:rsidRPr="005D1C94" w:rsidRDefault="00F56C88" w:rsidP="00F56C88">
      <w:pPr>
        <w:jc w:val="both"/>
        <w:rPr>
          <w:rFonts w:eastAsia="Calibri"/>
          <w:sz w:val="22"/>
          <w:szCs w:val="22"/>
        </w:rPr>
      </w:pPr>
      <w:r w:rsidRPr="005D1C94">
        <w:rPr>
          <w:rFonts w:eastAsia="Calibri"/>
          <w:sz w:val="22"/>
          <w:szCs w:val="22"/>
        </w:rPr>
        <w:t>tel: +382 (0) 20 310 280</w:t>
      </w:r>
    </w:p>
    <w:p w:rsidR="00F56C88" w:rsidRPr="005D1C94" w:rsidRDefault="00F56C88" w:rsidP="00F56C88">
      <w:pPr>
        <w:jc w:val="both"/>
        <w:rPr>
          <w:rFonts w:eastAsia="Calibri"/>
          <w:sz w:val="22"/>
          <w:szCs w:val="22"/>
        </w:rPr>
      </w:pPr>
      <w:r w:rsidRPr="005D1C94">
        <w:rPr>
          <w:rFonts w:eastAsia="Calibri"/>
          <w:sz w:val="22"/>
          <w:szCs w:val="22"/>
        </w:rPr>
        <w:t>fax: +382 (0) 20 310 581</w:t>
      </w:r>
    </w:p>
    <w:p w:rsidR="00F56C88" w:rsidRPr="005D1C94" w:rsidRDefault="00F64BC9" w:rsidP="00F56C88">
      <w:pPr>
        <w:jc w:val="both"/>
        <w:rPr>
          <w:rFonts w:eastAsia="Calibri"/>
          <w:sz w:val="22"/>
          <w:szCs w:val="22"/>
        </w:rPr>
      </w:pPr>
      <w:hyperlink r:id="rId7" w:history="1">
        <w:r w:rsidR="00F56C88" w:rsidRPr="005D1C94">
          <w:rPr>
            <w:rFonts w:eastAsia="Calibri"/>
            <w:color w:val="0000FF"/>
            <w:sz w:val="22"/>
            <w:szCs w:val="22"/>
            <w:u w:val="single"/>
          </w:rPr>
          <w:t>www.calims.me</w:t>
        </w:r>
      </w:hyperlink>
    </w:p>
    <w:p w:rsidR="00F56C88" w:rsidRPr="005D1C94" w:rsidRDefault="00F64BC9" w:rsidP="00F56C88">
      <w:pPr>
        <w:jc w:val="both"/>
        <w:rPr>
          <w:rFonts w:eastAsia="Calibri"/>
          <w:color w:val="0000FF"/>
          <w:sz w:val="22"/>
          <w:szCs w:val="22"/>
          <w:u w:val="single"/>
        </w:rPr>
      </w:pPr>
      <w:hyperlink r:id="rId8" w:history="1">
        <w:r w:rsidR="00F56C88" w:rsidRPr="005D1C94">
          <w:rPr>
            <w:rFonts w:eastAsia="Calibri"/>
            <w:color w:val="0000FF"/>
            <w:sz w:val="22"/>
            <w:szCs w:val="22"/>
            <w:u w:val="single"/>
          </w:rPr>
          <w:t>nezeljenadejstva@calims.me</w:t>
        </w:r>
      </w:hyperlink>
    </w:p>
    <w:p w:rsidR="00F56C88" w:rsidRPr="005D1C94" w:rsidRDefault="00F56C88" w:rsidP="00F56C88">
      <w:pPr>
        <w:jc w:val="both"/>
        <w:rPr>
          <w:rFonts w:eastAsia="Calibri"/>
          <w:sz w:val="22"/>
          <w:szCs w:val="22"/>
        </w:rPr>
      </w:pPr>
      <w:r w:rsidRPr="005D1C94">
        <w:rPr>
          <w:rFonts w:eastAsia="Calibri"/>
          <w:sz w:val="22"/>
          <w:szCs w:val="22"/>
        </w:rPr>
        <w:t>putem IS zdravstvene zaštite</w:t>
      </w:r>
    </w:p>
    <w:p w:rsidR="00F56C88" w:rsidRPr="005D1C94" w:rsidRDefault="00F56C88" w:rsidP="00F56C88">
      <w:pPr>
        <w:widowControl w:val="0"/>
        <w:ind w:right="1332"/>
        <w:jc w:val="both"/>
        <w:rPr>
          <w:sz w:val="22"/>
          <w:szCs w:val="22"/>
          <w:u w:val="single"/>
        </w:rPr>
      </w:pPr>
    </w:p>
    <w:p w:rsidR="00F56C88" w:rsidRPr="005D1C94" w:rsidRDefault="00F56C88" w:rsidP="00F56C88">
      <w:pPr>
        <w:widowControl w:val="0"/>
        <w:tabs>
          <w:tab w:val="num" w:pos="567"/>
        </w:tabs>
        <w:jc w:val="both"/>
        <w:rPr>
          <w:b/>
          <w:sz w:val="22"/>
          <w:szCs w:val="22"/>
        </w:rPr>
      </w:pPr>
      <w:r w:rsidRPr="005D1C94">
        <w:rPr>
          <w:b/>
          <w:sz w:val="22"/>
          <w:szCs w:val="22"/>
        </w:rPr>
        <w:t>4.9</w:t>
      </w:r>
      <w:r w:rsidRPr="005D1C94">
        <w:rPr>
          <w:b/>
          <w:sz w:val="22"/>
          <w:szCs w:val="22"/>
        </w:rPr>
        <w:tab/>
        <w:t>Predoziranje i mjere koje je potrebno preduzeti</w:t>
      </w:r>
    </w:p>
    <w:p w:rsidR="00F56C88" w:rsidRPr="005D1C94" w:rsidRDefault="00F56C88" w:rsidP="00F56C88">
      <w:pPr>
        <w:widowControl w:val="0"/>
        <w:tabs>
          <w:tab w:val="num" w:pos="120"/>
          <w:tab w:val="left" w:pos="8640"/>
        </w:tabs>
        <w:jc w:val="both"/>
        <w:rPr>
          <w:b/>
          <w:sz w:val="22"/>
          <w:szCs w:val="22"/>
        </w:rPr>
      </w:pPr>
    </w:p>
    <w:p w:rsidR="00F56C88" w:rsidRPr="005D1C94" w:rsidRDefault="00F56C88" w:rsidP="00F56C88">
      <w:pPr>
        <w:widowControl w:val="0"/>
        <w:tabs>
          <w:tab w:val="num" w:pos="120"/>
        </w:tabs>
        <w:jc w:val="both"/>
        <w:rPr>
          <w:sz w:val="22"/>
          <w:szCs w:val="22"/>
        </w:rPr>
      </w:pPr>
      <w:r w:rsidRPr="005D1C94">
        <w:rPr>
          <w:sz w:val="22"/>
          <w:szCs w:val="22"/>
        </w:rPr>
        <w:t>Postoje ograničeni dostupni podaci u vezi sa predoziranjem telmisartanom kod ljudi. Stepen do kojeg se hidrohlortiazid uklanja hemodijalizom nije utvrđen.</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Simptomi</w:t>
      </w:r>
    </w:p>
    <w:p w:rsidR="00F56C88" w:rsidRDefault="00F56C88" w:rsidP="00F56C88">
      <w:pPr>
        <w:widowControl w:val="0"/>
        <w:tabs>
          <w:tab w:val="num" w:pos="120"/>
        </w:tabs>
        <w:jc w:val="both"/>
        <w:rPr>
          <w:sz w:val="22"/>
          <w:szCs w:val="22"/>
        </w:rPr>
      </w:pPr>
      <w:r w:rsidRPr="005D1C94">
        <w:rPr>
          <w:sz w:val="22"/>
          <w:szCs w:val="22"/>
        </w:rPr>
        <w:t>Najizraženije manifestacije predoziranja telmisartanom su hipotenzija i tahikardija. Takođe su prijavljeni bradikardija, omaglica, povraćanje, povišeni nivoi serumskog kreatinina i akutna insuficijencija bubrega. Predoziranje hidrohlortiazidom je povezano sa elektrolitnim disbalansom (hipokalijemija, hipohloremija) i hipovolemijom koja je rezultat prekomjerne diureze. Najčešći znakovi i simptomi predoziranja su mučnina i somnolencija. Hipokalijemija može rezultirati grčevima mišića i/ili izraženom aritmijom povezanom sa istovremenom primjenom glikozida digitalisa ili određenih antiaritmika.</w:t>
      </w:r>
    </w:p>
    <w:p w:rsidR="00862666" w:rsidRPr="005D1C94" w:rsidRDefault="00862666"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rPr>
      </w:pPr>
      <w:r w:rsidRPr="005D1C94">
        <w:rPr>
          <w:sz w:val="22"/>
          <w:szCs w:val="22"/>
          <w:u w:val="single"/>
        </w:rPr>
        <w:lastRenderedPageBreak/>
        <w:t>Liječenje</w:t>
      </w:r>
    </w:p>
    <w:p w:rsidR="00F56C88" w:rsidRPr="005D1C94" w:rsidRDefault="00F56C88" w:rsidP="00F56C88">
      <w:pPr>
        <w:widowControl w:val="0"/>
        <w:tabs>
          <w:tab w:val="num" w:pos="120"/>
        </w:tabs>
        <w:jc w:val="both"/>
        <w:rPr>
          <w:sz w:val="22"/>
          <w:szCs w:val="22"/>
        </w:rPr>
      </w:pPr>
      <w:r w:rsidRPr="005D1C94">
        <w:rPr>
          <w:sz w:val="22"/>
          <w:szCs w:val="22"/>
        </w:rPr>
        <w:t>Telmisartan se ne uklanja hemodijalizom. Pacijent se mora pomno pratiti, a liječenje mora biti simptomatsko i suportivno. Zbrinjavanje zavisi od vremena proteklog od unosa lijeka i težine simptoma. Predložene mjere uključuju izazivanje povraćanja i/ili ispiranje želuca. Aktivni ugalj može biti koristan u liječenju predoziranja. Serumski elektroliti i kreatinin moraju se učestalo pratiti. Ako dođe do pojave hipotenzije, pacijent se mora staviti u ležeći položaj, a nadoknada soli i volumena mora biti brza.</w:t>
      </w:r>
    </w:p>
    <w:p w:rsidR="00F56C88" w:rsidRPr="005D1C94" w:rsidRDefault="00F56C88" w:rsidP="00F56C88">
      <w:pPr>
        <w:widowControl w:val="0"/>
        <w:tabs>
          <w:tab w:val="num" w:pos="120"/>
          <w:tab w:val="left" w:pos="7740"/>
        </w:tabs>
        <w:jc w:val="both"/>
        <w:rPr>
          <w:sz w:val="22"/>
          <w:szCs w:val="22"/>
        </w:rPr>
      </w:pPr>
    </w:p>
    <w:p w:rsidR="00F56C88" w:rsidRPr="005D1C94" w:rsidRDefault="00F56C88" w:rsidP="00F56C88">
      <w:pPr>
        <w:widowControl w:val="0"/>
        <w:tabs>
          <w:tab w:val="num" w:pos="120"/>
          <w:tab w:val="left" w:pos="7740"/>
        </w:tabs>
        <w:jc w:val="both"/>
        <w:rPr>
          <w:sz w:val="22"/>
          <w:szCs w:val="22"/>
        </w:rPr>
      </w:pPr>
    </w:p>
    <w:p w:rsidR="00F56C88" w:rsidRPr="005D1C94" w:rsidRDefault="00F56C88" w:rsidP="00F56C88">
      <w:pPr>
        <w:widowControl w:val="0"/>
        <w:tabs>
          <w:tab w:val="left" w:pos="567"/>
        </w:tabs>
        <w:jc w:val="both"/>
        <w:rPr>
          <w:b/>
          <w:sz w:val="22"/>
          <w:szCs w:val="22"/>
        </w:rPr>
      </w:pPr>
      <w:r w:rsidRPr="005D1C94">
        <w:rPr>
          <w:b/>
          <w:sz w:val="22"/>
          <w:szCs w:val="22"/>
        </w:rPr>
        <w:t>5.</w:t>
      </w:r>
      <w:r w:rsidRPr="005D1C94">
        <w:rPr>
          <w:b/>
          <w:sz w:val="22"/>
          <w:szCs w:val="22"/>
        </w:rPr>
        <w:tab/>
        <w:t>FARMAKOLOŠKA SVOJSTVA</w:t>
      </w:r>
    </w:p>
    <w:p w:rsidR="00F56C88" w:rsidRPr="005D1C94" w:rsidRDefault="00F56C88" w:rsidP="00F56C88">
      <w:pPr>
        <w:widowControl w:val="0"/>
        <w:tabs>
          <w:tab w:val="num" w:pos="120"/>
          <w:tab w:val="left" w:pos="7740"/>
        </w:tabs>
        <w:jc w:val="both"/>
        <w:rPr>
          <w:b/>
          <w:sz w:val="22"/>
          <w:szCs w:val="22"/>
        </w:rPr>
      </w:pPr>
    </w:p>
    <w:p w:rsidR="00F56C88" w:rsidRPr="005D1C94" w:rsidRDefault="00F56C88" w:rsidP="00F56C88">
      <w:pPr>
        <w:widowControl w:val="0"/>
        <w:tabs>
          <w:tab w:val="num" w:pos="567"/>
        </w:tabs>
        <w:jc w:val="both"/>
        <w:rPr>
          <w:b/>
          <w:sz w:val="22"/>
          <w:szCs w:val="22"/>
        </w:rPr>
      </w:pPr>
      <w:r w:rsidRPr="005D1C94">
        <w:rPr>
          <w:b/>
          <w:sz w:val="22"/>
          <w:szCs w:val="22"/>
        </w:rPr>
        <w:t>5.1</w:t>
      </w:r>
      <w:r w:rsidRPr="005D1C94">
        <w:rPr>
          <w:b/>
          <w:sz w:val="22"/>
          <w:szCs w:val="22"/>
        </w:rPr>
        <w:tab/>
        <w:t>Farmakodinamička svojstva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b/>
          <w:sz w:val="22"/>
          <w:szCs w:val="22"/>
        </w:rPr>
        <w:t>Farmakoterapijska grupa:</w:t>
      </w:r>
      <w:r w:rsidRPr="005D1C94">
        <w:rPr>
          <w:sz w:val="22"/>
          <w:szCs w:val="22"/>
        </w:rPr>
        <w:t xml:space="preserve"> antagonisti angiotenzina II i diuretici </w:t>
      </w:r>
    </w:p>
    <w:p w:rsidR="00F56C88" w:rsidRPr="005D1C94" w:rsidRDefault="00F56C88" w:rsidP="00F56C88">
      <w:pPr>
        <w:widowControl w:val="0"/>
        <w:tabs>
          <w:tab w:val="num" w:pos="120"/>
        </w:tabs>
        <w:jc w:val="both"/>
        <w:rPr>
          <w:sz w:val="22"/>
          <w:szCs w:val="22"/>
        </w:rPr>
      </w:pPr>
      <w:r w:rsidRPr="005D1C94">
        <w:rPr>
          <w:b/>
          <w:sz w:val="22"/>
          <w:szCs w:val="22"/>
        </w:rPr>
        <w:t>ATC kod:</w:t>
      </w:r>
      <w:r w:rsidRPr="005D1C94">
        <w:rPr>
          <w:sz w:val="22"/>
          <w:szCs w:val="22"/>
        </w:rPr>
        <w:t xml:space="preserve"> C09DA07</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Tolucombi</w:t>
      </w:r>
      <w:r w:rsidRPr="005D1C94">
        <w:rPr>
          <w:b/>
          <w:bCs/>
          <w:iCs/>
          <w:sz w:val="22"/>
          <w:szCs w:val="22"/>
          <w:vertAlign w:val="superscript"/>
        </w:rPr>
        <w:t>®</w:t>
      </w:r>
      <w:r w:rsidRPr="005D1C94">
        <w:rPr>
          <w:sz w:val="22"/>
          <w:szCs w:val="22"/>
        </w:rPr>
        <w:t xml:space="preserve"> je kombinacija antagoniste receptora angiotenzina II, telmisartana i tiazidskog diuretika, hidrohlortiazida. Kombinacija ovih sastojaka ima aditivni antihipertenzivni efekat koji snižava krvni pritisak u većoj mjeri nego što to čini svaka od komponenti zasebno. Tolucombi</w:t>
      </w:r>
      <w:r w:rsidRPr="005D1C94">
        <w:rPr>
          <w:b/>
          <w:bCs/>
          <w:iCs/>
          <w:sz w:val="22"/>
          <w:szCs w:val="22"/>
          <w:vertAlign w:val="superscript"/>
        </w:rPr>
        <w:t>®</w:t>
      </w:r>
      <w:r w:rsidRPr="005D1C94">
        <w:rPr>
          <w:sz w:val="22"/>
          <w:szCs w:val="22"/>
        </w:rPr>
        <w:t xml:space="preserve"> jedanput dnevno dovodi do efikasnog i kontinuiranog sniženja krvnog pritisaka u preporučenom rasponu terapijskih doza.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Telmisartan je oralno efikasan i specifičan antagonist podtip 1 receptora angiotenzina II (AT</w:t>
      </w:r>
      <w:r w:rsidRPr="005D1C94">
        <w:rPr>
          <w:sz w:val="22"/>
          <w:szCs w:val="22"/>
          <w:vertAlign w:val="subscript"/>
        </w:rPr>
        <w:t>1</w:t>
      </w:r>
      <w:r w:rsidRPr="005D1C94">
        <w:rPr>
          <w:sz w:val="22"/>
          <w:szCs w:val="22"/>
        </w:rPr>
        <w:t>). Telmisartan istiskuje angiotenzin II sa vrlo visokim afinitetom s njegovog mjesta vezivanja na AT</w:t>
      </w:r>
      <w:r w:rsidRPr="005D1C94">
        <w:rPr>
          <w:sz w:val="22"/>
          <w:szCs w:val="22"/>
          <w:vertAlign w:val="subscript"/>
        </w:rPr>
        <w:t xml:space="preserve">1 </w:t>
      </w:r>
      <w:r w:rsidRPr="005D1C94">
        <w:rPr>
          <w:sz w:val="22"/>
          <w:szCs w:val="22"/>
        </w:rPr>
        <w:t>podtipu receptora, koji je odgovoran za poznata djelovanja angiotenzina II. Telmisartan ne pokazuje nikakvu djelimičnu agonističku aktivnost na AT</w:t>
      </w:r>
      <w:r w:rsidRPr="005D1C94">
        <w:rPr>
          <w:sz w:val="22"/>
          <w:szCs w:val="22"/>
          <w:vertAlign w:val="subscript"/>
        </w:rPr>
        <w:t>1</w:t>
      </w:r>
      <w:r w:rsidRPr="005D1C94">
        <w:rPr>
          <w:sz w:val="22"/>
          <w:szCs w:val="22"/>
        </w:rPr>
        <w:t xml:space="preserve"> receptoru. Telmisartan se selektivno veže za AT</w:t>
      </w:r>
      <w:r w:rsidRPr="005D1C94">
        <w:rPr>
          <w:sz w:val="22"/>
          <w:szCs w:val="22"/>
          <w:vertAlign w:val="subscript"/>
        </w:rPr>
        <w:t>1</w:t>
      </w:r>
      <w:r w:rsidRPr="005D1C94">
        <w:rPr>
          <w:sz w:val="22"/>
          <w:szCs w:val="22"/>
        </w:rPr>
        <w:t xml:space="preserve"> receptor. Vezivanje je dugotrajno. Telmisartan ne pokazuje afinitet za druge receptore, uključujući AT</w:t>
      </w:r>
      <w:r w:rsidRPr="005D1C94">
        <w:rPr>
          <w:sz w:val="22"/>
          <w:szCs w:val="22"/>
          <w:vertAlign w:val="subscript"/>
        </w:rPr>
        <w:t>2</w:t>
      </w:r>
      <w:r w:rsidRPr="005D1C94">
        <w:rPr>
          <w:sz w:val="22"/>
          <w:szCs w:val="22"/>
        </w:rPr>
        <w:t xml:space="preserve"> i druge manje karakteristične AT receptore. Funkcionalna uloga ovih receptora nije poznata, niti efekat njihove moguće prekomjerne stimulacije putem angiotenzina II, čije vrijednosti se povećavaju telmisartanom. Vrijednosti aldosterona u plazmi se smanjuju tokom primjene telmisartana. Telmisartan ne inhibira renin u ljudskoj plazmi niti blokira jonske kanale. Telmisartan ne inhibira enzim koji pretvara angiotenzin (kininaza II), enzim koji takođe razgrađuje bradikinin. Stoga se ne očekuje potenciranje neželjenih dejstava posredovanih bradikininom.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Doza od 80 mg telmisartana primijenjena kod zdravih dobrovoljaca gotovo u potpunosti inhibira povišenje krvnog pritisaka uzrokovano angiotenzinom II. Inhibitorno dejstvo se održava tokom 24 sata i može se izmjeriti i do 48 sati.</w:t>
      </w:r>
    </w:p>
    <w:p w:rsidR="00F56C88" w:rsidRPr="005D1C94" w:rsidRDefault="00F56C88" w:rsidP="00F56C88">
      <w:pPr>
        <w:widowControl w:val="0"/>
        <w:tabs>
          <w:tab w:val="num" w:pos="120"/>
        </w:tabs>
        <w:jc w:val="both"/>
        <w:rPr>
          <w:sz w:val="22"/>
          <w:szCs w:val="22"/>
        </w:rPr>
      </w:pPr>
    </w:p>
    <w:p w:rsidR="00F56C88" w:rsidRDefault="00F56C88" w:rsidP="00F56C88">
      <w:pPr>
        <w:widowControl w:val="0"/>
        <w:tabs>
          <w:tab w:val="num" w:pos="120"/>
        </w:tabs>
        <w:jc w:val="both"/>
        <w:rPr>
          <w:sz w:val="22"/>
          <w:szCs w:val="22"/>
        </w:rPr>
      </w:pPr>
      <w:r w:rsidRPr="005D1C94">
        <w:rPr>
          <w:sz w:val="22"/>
          <w:szCs w:val="22"/>
        </w:rPr>
        <w:t xml:space="preserve">Nakon prve doze telmisartana antihipertenzivna aktivnost postepeno postaje vidljiva unutar 3 sata. Maksimalno smanjenje krvnog pritisaka se obično postiže 4-8 nedjelja nakon početka liječenja i održava se tokom dugotrajnog liječenja. Antihipertenzivni efekat održava se neprekidno tokom 24 sata nakon doziranja i uključuje posljednja 4 sata prije sljedeće doze, što je pokazano ambulantnim mjerenjima krvnog pritisaka. Ovo je potvrđeno mjerenjima napravljenima pri maksimalnom dejstvu i neposredno prije sljedeće doze (odnos između </w:t>
      </w:r>
      <w:r w:rsidRPr="005D1C94">
        <w:rPr>
          <w:sz w:val="22"/>
          <w:szCs w:val="22"/>
          <w:lang w:eastAsia="sr-Latn-ME"/>
        </w:rPr>
        <w:t xml:space="preserve">minimalne i maksimalne </w:t>
      </w:r>
      <w:r w:rsidRPr="005D1C94">
        <w:rPr>
          <w:sz w:val="22"/>
          <w:szCs w:val="22"/>
        </w:rPr>
        <w:t>vrijednosti uvijek je bio preko 80% nakon doza od 40 i 80 mg telmisartana u placebom kontrolisanim kliničkim studijama).</w:t>
      </w:r>
    </w:p>
    <w:p w:rsidR="00862666" w:rsidRPr="005D1C94" w:rsidRDefault="00862666"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lastRenderedPageBreak/>
        <w:t>Kod pacijenta sa hipertenzijom telmisartan snižava i sistolni i dijastolni krvni pritisak bez uticaja na puls. Antihipertenzivna efikasnost telmisartana uporediva je sa efikasnošću drugih ljekova koji spadaju u druge grupe antihipertenzivnih ljekova (pokazano u kliničkim studijama koje su upoređivale telmisartan sa amlodipinom, atenololom, enalaprilom, hidrohlortiazidom i lizinoprilom).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 xml:space="preserve">Nakon naglog prekida liječenja telmisartanom krvni pritisak se postepeno vraća na vrijednosti prije liječenja tokom perioda od nekoliko dana, bez dokaza o </w:t>
      </w:r>
      <w:r w:rsidRPr="005D1C94">
        <w:rPr>
          <w:i/>
          <w:sz w:val="22"/>
          <w:szCs w:val="22"/>
        </w:rPr>
        <w:t xml:space="preserve">rebound </w:t>
      </w:r>
      <w:r w:rsidRPr="005D1C94">
        <w:rPr>
          <w:sz w:val="22"/>
          <w:szCs w:val="22"/>
        </w:rPr>
        <w:t>hipertenziji.</w:t>
      </w:r>
    </w:p>
    <w:p w:rsidR="00F56C88" w:rsidRPr="005D1C94" w:rsidRDefault="00F56C88" w:rsidP="00F56C88">
      <w:pPr>
        <w:widowControl w:val="0"/>
        <w:tabs>
          <w:tab w:val="num" w:pos="120"/>
        </w:tabs>
        <w:jc w:val="both"/>
        <w:rPr>
          <w:sz w:val="22"/>
          <w:szCs w:val="22"/>
        </w:rPr>
      </w:pPr>
      <w:r w:rsidRPr="005D1C94">
        <w:rPr>
          <w:sz w:val="22"/>
          <w:szCs w:val="22"/>
          <w:lang w:eastAsia="sr-Latn-ME"/>
        </w:rPr>
        <w:t>U kliničkim ispitivanjima u kojima su direktno poređene dvije vrste antihipertenzivne terapije (telmisartan i ACE inhibitori), zaključeno je da je incidenca suvog kašlja bila je značajno niža kod pacijenata liječenih telmisartanom u odnosu na incidencu kod pacijenati koji su liječeni ACE-inhibitorima.</w:t>
      </w:r>
    </w:p>
    <w:p w:rsidR="00F56C88" w:rsidRPr="005D1C94" w:rsidRDefault="00F56C88" w:rsidP="00F56C88">
      <w:pPr>
        <w:widowControl w:val="0"/>
        <w:autoSpaceDE w:val="0"/>
        <w:autoSpaceDN w:val="0"/>
        <w:adjustRightInd w:val="0"/>
        <w:jc w:val="both"/>
        <w:rPr>
          <w:sz w:val="22"/>
          <w:szCs w:val="22"/>
          <w:u w:val="single"/>
        </w:rPr>
      </w:pPr>
    </w:p>
    <w:p w:rsidR="00F56C88" w:rsidRPr="005D1C94" w:rsidRDefault="00F56C88" w:rsidP="00F56C88">
      <w:pPr>
        <w:widowControl w:val="0"/>
        <w:autoSpaceDE w:val="0"/>
        <w:autoSpaceDN w:val="0"/>
        <w:adjustRightInd w:val="0"/>
        <w:jc w:val="both"/>
        <w:rPr>
          <w:sz w:val="22"/>
          <w:szCs w:val="22"/>
          <w:u w:val="single"/>
        </w:rPr>
      </w:pPr>
      <w:r w:rsidRPr="005D1C94">
        <w:rPr>
          <w:sz w:val="22"/>
          <w:szCs w:val="22"/>
          <w:u w:val="single"/>
        </w:rPr>
        <w:t>Kardiovaskularna prevencija</w:t>
      </w:r>
    </w:p>
    <w:p w:rsidR="00F56C88" w:rsidRPr="005D1C94" w:rsidRDefault="00F56C88" w:rsidP="00F56C88">
      <w:pPr>
        <w:widowControl w:val="0"/>
        <w:autoSpaceDE w:val="0"/>
        <w:autoSpaceDN w:val="0"/>
        <w:adjustRightInd w:val="0"/>
        <w:jc w:val="both"/>
        <w:rPr>
          <w:sz w:val="22"/>
          <w:szCs w:val="22"/>
        </w:rPr>
      </w:pPr>
      <w:r w:rsidRPr="005D1C94">
        <w:rPr>
          <w:bCs/>
          <w:sz w:val="22"/>
          <w:szCs w:val="22"/>
        </w:rPr>
        <w:t xml:space="preserve">ONTARGET ispitivanje </w:t>
      </w:r>
      <w:r w:rsidRPr="005D1C94">
        <w:rPr>
          <w:sz w:val="22"/>
          <w:szCs w:val="22"/>
        </w:rPr>
        <w:t xml:space="preserve">(eng. </w:t>
      </w:r>
      <w:r w:rsidRPr="005D1C94">
        <w:rPr>
          <w:b/>
          <w:bCs/>
          <w:sz w:val="22"/>
          <w:szCs w:val="22"/>
        </w:rPr>
        <w:t>ON</w:t>
      </w:r>
      <w:r w:rsidRPr="005D1C94">
        <w:rPr>
          <w:sz w:val="22"/>
          <w:szCs w:val="22"/>
        </w:rPr>
        <w:t xml:space="preserve">going </w:t>
      </w:r>
      <w:r w:rsidRPr="005D1C94">
        <w:rPr>
          <w:b/>
          <w:bCs/>
          <w:sz w:val="22"/>
          <w:szCs w:val="22"/>
        </w:rPr>
        <w:t>T</w:t>
      </w:r>
      <w:r w:rsidRPr="005D1C94">
        <w:rPr>
          <w:sz w:val="22"/>
          <w:szCs w:val="22"/>
        </w:rPr>
        <w:t xml:space="preserve">elmisartan </w:t>
      </w:r>
      <w:r w:rsidRPr="005D1C94">
        <w:rPr>
          <w:b/>
          <w:bCs/>
          <w:sz w:val="22"/>
          <w:szCs w:val="22"/>
        </w:rPr>
        <w:t>A</w:t>
      </w:r>
      <w:r w:rsidRPr="005D1C94">
        <w:rPr>
          <w:sz w:val="22"/>
          <w:szCs w:val="22"/>
        </w:rPr>
        <w:t xml:space="preserve">lone and in Combination with </w:t>
      </w:r>
      <w:r w:rsidRPr="005D1C94">
        <w:rPr>
          <w:b/>
          <w:bCs/>
          <w:sz w:val="22"/>
          <w:szCs w:val="22"/>
        </w:rPr>
        <w:t>R</w:t>
      </w:r>
      <w:r w:rsidRPr="005D1C94">
        <w:rPr>
          <w:sz w:val="22"/>
          <w:szCs w:val="22"/>
        </w:rPr>
        <w:t xml:space="preserve">amipril </w:t>
      </w:r>
      <w:r w:rsidRPr="005D1C94">
        <w:rPr>
          <w:b/>
          <w:bCs/>
          <w:sz w:val="22"/>
          <w:szCs w:val="22"/>
        </w:rPr>
        <w:t>G</w:t>
      </w:r>
      <w:r w:rsidRPr="005D1C94">
        <w:rPr>
          <w:sz w:val="22"/>
          <w:szCs w:val="22"/>
        </w:rPr>
        <w:t xml:space="preserve">lobal </w:t>
      </w:r>
      <w:r w:rsidRPr="005D1C94">
        <w:rPr>
          <w:b/>
          <w:bCs/>
          <w:sz w:val="22"/>
          <w:szCs w:val="22"/>
        </w:rPr>
        <w:t>E</w:t>
      </w:r>
      <w:r w:rsidRPr="005D1C94">
        <w:rPr>
          <w:sz w:val="22"/>
          <w:szCs w:val="22"/>
        </w:rPr>
        <w:t xml:space="preserve">ndpoint </w:t>
      </w:r>
      <w:r w:rsidRPr="005D1C94">
        <w:rPr>
          <w:b/>
          <w:bCs/>
          <w:sz w:val="22"/>
          <w:szCs w:val="22"/>
        </w:rPr>
        <w:t>T</w:t>
      </w:r>
      <w:r w:rsidRPr="005D1C94">
        <w:rPr>
          <w:sz w:val="22"/>
          <w:szCs w:val="22"/>
        </w:rPr>
        <w:t>rial) upoređivalo je dejstvo telmisartana, ramiprila i kombinacije telmisartana i ramiprila na kardiovaskularne ishode kod 25620 pacijenata  starosti od 55 godina ili starijim, sa anamnezom koronarne arterijske bolesti, moždanog udara, TIA-e, periferne arterijske bolesti ili dijabetes melitusom tipa 2 sa dokazanim oštećenjima ciljnih organa (npr. retinopatija, hipertrofija lijeve komore, makro- ili mikroalbuminurija), što predstavlja populaciju sa rizikom od pojave kardiovaskularnih događaja.</w:t>
      </w:r>
    </w:p>
    <w:p w:rsidR="00F56C88" w:rsidRPr="005D1C94" w:rsidRDefault="00F56C88" w:rsidP="00F56C88">
      <w:pPr>
        <w:widowControl w:val="0"/>
        <w:autoSpaceDE w:val="0"/>
        <w:autoSpaceDN w:val="0"/>
        <w:adjustRightInd w:val="0"/>
        <w:jc w:val="both"/>
        <w:rPr>
          <w:sz w:val="22"/>
          <w:szCs w:val="22"/>
        </w:rPr>
      </w:pPr>
    </w:p>
    <w:p w:rsidR="00F56C88" w:rsidRPr="005D1C94" w:rsidRDefault="00F56C88" w:rsidP="00F56C88">
      <w:pPr>
        <w:widowControl w:val="0"/>
        <w:autoSpaceDE w:val="0"/>
        <w:autoSpaceDN w:val="0"/>
        <w:adjustRightInd w:val="0"/>
        <w:jc w:val="both"/>
        <w:rPr>
          <w:sz w:val="22"/>
          <w:szCs w:val="22"/>
        </w:rPr>
      </w:pPr>
      <w:r w:rsidRPr="005D1C94">
        <w:rPr>
          <w:sz w:val="22"/>
          <w:szCs w:val="22"/>
        </w:rPr>
        <w:t>Pacijenti su randomizovani u jednu od tri sljedeće grupe liječenja: telmisartan 80 mg (n = 8542), ramipril 10 mg (n = 8576) ili kombinacija telmisartana 80 mg i ramiprila 10 mg (n = 8502) uz prosječno trajanje praćenja od 4,5 godina.</w:t>
      </w:r>
    </w:p>
    <w:p w:rsidR="00F56C88" w:rsidRPr="005D1C94" w:rsidRDefault="00F56C88" w:rsidP="00F56C88">
      <w:pPr>
        <w:widowControl w:val="0"/>
        <w:autoSpaceDE w:val="0"/>
        <w:autoSpaceDN w:val="0"/>
        <w:adjustRightInd w:val="0"/>
        <w:jc w:val="both"/>
        <w:rPr>
          <w:sz w:val="22"/>
          <w:szCs w:val="22"/>
        </w:rPr>
      </w:pPr>
    </w:p>
    <w:p w:rsidR="00F56C88" w:rsidRPr="005D1C94" w:rsidRDefault="00F56C88" w:rsidP="00F56C88">
      <w:pPr>
        <w:widowControl w:val="0"/>
        <w:autoSpaceDE w:val="0"/>
        <w:autoSpaceDN w:val="0"/>
        <w:adjustRightInd w:val="0"/>
        <w:jc w:val="both"/>
        <w:rPr>
          <w:sz w:val="22"/>
          <w:szCs w:val="22"/>
        </w:rPr>
      </w:pPr>
      <w:r w:rsidRPr="005D1C94">
        <w:rPr>
          <w:sz w:val="22"/>
          <w:szCs w:val="22"/>
        </w:rPr>
        <w:t>Telmisartan je pokazao sličan efekat ramiprilu u smanjenju primarnog kompozitnog ishoda kojeg čine kardiovaskularna smrt, nefatalni infarkt miokarda, nefatalni moždani udar ili hospitalizacija zbog kongestivne srčane insuficijencije. Učestalost primarnog ishoda bila je slična u grupama na telmisartanu (16,7 %) i ramiprilu (16,5 %). Odnos rizika za telmisartan u odnosu na ramipril bio je 1,01 (97,5 % CI 0,93 – 1,10, p (neinferiornost) = 0,0019 na granici od 1,13). Opšta stopa mortaliteta iznosila je 11,6 % kod pacijenata liječenih telmisartanom, odnosno 11,8 % kod pacijenata  liječenih ramiprilom.</w:t>
      </w:r>
    </w:p>
    <w:p w:rsidR="00F56C88" w:rsidRPr="005D1C94" w:rsidRDefault="00F56C88" w:rsidP="00F56C88">
      <w:pPr>
        <w:widowControl w:val="0"/>
        <w:autoSpaceDE w:val="0"/>
        <w:autoSpaceDN w:val="0"/>
        <w:adjustRightInd w:val="0"/>
        <w:jc w:val="both"/>
        <w:rPr>
          <w:sz w:val="22"/>
          <w:szCs w:val="22"/>
        </w:rPr>
      </w:pPr>
    </w:p>
    <w:p w:rsidR="00F56C88" w:rsidRPr="005D1C94" w:rsidRDefault="00F56C88" w:rsidP="00F56C88">
      <w:pPr>
        <w:widowControl w:val="0"/>
        <w:autoSpaceDE w:val="0"/>
        <w:autoSpaceDN w:val="0"/>
        <w:adjustRightInd w:val="0"/>
        <w:jc w:val="both"/>
        <w:rPr>
          <w:sz w:val="22"/>
          <w:szCs w:val="22"/>
        </w:rPr>
      </w:pPr>
      <w:r w:rsidRPr="005D1C94">
        <w:rPr>
          <w:sz w:val="22"/>
          <w:szCs w:val="22"/>
        </w:rPr>
        <w:t xml:space="preserve">Pokazalo se da je telmisartan slično efikasan kao i ramipril u prethodno određenom sekundarnom ishodu uključujući kardiovaskularnu smrt, nefatalni infarkt miokarda i nefatalni moždani udar [0,99 (97,5 % CI 0,90 – 1,08), p (neinferiornost) = 0,0004], u primarnom ishodu referentnog ispitivanja HOPE (The </w:t>
      </w:r>
      <w:r w:rsidRPr="005D1C94">
        <w:rPr>
          <w:b/>
          <w:bCs/>
          <w:sz w:val="22"/>
          <w:szCs w:val="22"/>
        </w:rPr>
        <w:t>H</w:t>
      </w:r>
      <w:r w:rsidRPr="005D1C94">
        <w:rPr>
          <w:sz w:val="22"/>
          <w:szCs w:val="22"/>
        </w:rPr>
        <w:t xml:space="preserve">eart </w:t>
      </w:r>
      <w:r w:rsidRPr="005D1C94">
        <w:rPr>
          <w:b/>
          <w:bCs/>
          <w:sz w:val="22"/>
          <w:szCs w:val="22"/>
        </w:rPr>
        <w:t>O</w:t>
      </w:r>
      <w:r w:rsidRPr="005D1C94">
        <w:rPr>
          <w:sz w:val="22"/>
          <w:szCs w:val="22"/>
        </w:rPr>
        <w:t xml:space="preserve">utcomes </w:t>
      </w:r>
      <w:r w:rsidRPr="005D1C94">
        <w:rPr>
          <w:b/>
          <w:bCs/>
          <w:sz w:val="22"/>
          <w:szCs w:val="22"/>
        </w:rPr>
        <w:t>P</w:t>
      </w:r>
      <w:r w:rsidRPr="005D1C94">
        <w:rPr>
          <w:sz w:val="22"/>
          <w:szCs w:val="22"/>
        </w:rPr>
        <w:t xml:space="preserve">revention </w:t>
      </w:r>
      <w:r w:rsidRPr="005D1C94">
        <w:rPr>
          <w:b/>
          <w:bCs/>
          <w:sz w:val="22"/>
          <w:szCs w:val="22"/>
        </w:rPr>
        <w:t>E</w:t>
      </w:r>
      <w:r w:rsidRPr="005D1C94">
        <w:rPr>
          <w:sz w:val="22"/>
          <w:szCs w:val="22"/>
        </w:rPr>
        <w:t>valuation Study) koje je ispitivalo efekat  ramiprila u odnosu na placebo.</w:t>
      </w:r>
    </w:p>
    <w:p w:rsidR="00F56C88" w:rsidRPr="005D1C94" w:rsidRDefault="00F56C88" w:rsidP="00F56C88">
      <w:pPr>
        <w:widowControl w:val="0"/>
        <w:autoSpaceDE w:val="0"/>
        <w:autoSpaceDN w:val="0"/>
        <w:adjustRightInd w:val="0"/>
        <w:jc w:val="both"/>
        <w:rPr>
          <w:sz w:val="22"/>
          <w:szCs w:val="22"/>
        </w:rPr>
      </w:pPr>
    </w:p>
    <w:p w:rsidR="00F56C88" w:rsidRPr="005D1C94" w:rsidRDefault="00F56C88" w:rsidP="00F56C88">
      <w:pPr>
        <w:widowControl w:val="0"/>
        <w:autoSpaceDE w:val="0"/>
        <w:autoSpaceDN w:val="0"/>
        <w:adjustRightInd w:val="0"/>
        <w:jc w:val="both"/>
        <w:rPr>
          <w:sz w:val="22"/>
          <w:szCs w:val="22"/>
        </w:rPr>
      </w:pPr>
      <w:r w:rsidRPr="005D1C94">
        <w:rPr>
          <w:sz w:val="22"/>
          <w:szCs w:val="22"/>
        </w:rPr>
        <w:t>Pacijenti sa netolerancijom na ACE-I randomizovani u TRANSCEND ispitivanju, sa inače sličnim kriterijima uključivanja kao u ONTARGET ispitivanju, randomizovani su na telmisartan 80 mg (n=2954) ili placebo (n=2972), oba davana pored standardnog liječenja. Prosječno trajanje praćenja iznosilo je 4 godine i 8 mjeseci. Nije pronađena statistički značajna razlika u učestalosti primarnog složenog ishoda (kardiovaskularna smrt, nefatalni infarkt miokarda, nefatalni moždani udar ili hospitalizacija zbog kongestivne srčane insuficijencije) [15,7 % u grupi na telmisartanu i 17,0 % u grupi na placebu sa odnosom rizika od 0,92 (95 % CI 0,81 – 1,05, p = 0,22)]. Dokazana je korist liječenja telmisartanom u poređenju sa placebom u prethodno određenom sekundarnom složenom ishodu od kardiovaskularne smrti, nefatalnog infarkta miokarda i nefatalnog moždanog udara [0,87 (95 % CI 0,76 – 1,00, p = 0,048)]. Nije dokazana koristi u odnosu na kardiovaskularni mortalitet (odnos  rizika 1,03, 95 % CI 0,85 – 1,24).</w:t>
      </w:r>
    </w:p>
    <w:p w:rsidR="00F56C88" w:rsidRPr="005D1C94" w:rsidRDefault="00F56C88" w:rsidP="00F56C88">
      <w:pPr>
        <w:widowControl w:val="0"/>
        <w:autoSpaceDE w:val="0"/>
        <w:autoSpaceDN w:val="0"/>
        <w:adjustRightInd w:val="0"/>
        <w:jc w:val="both"/>
        <w:rPr>
          <w:sz w:val="22"/>
          <w:szCs w:val="22"/>
        </w:rPr>
      </w:pPr>
      <w:r w:rsidRPr="005D1C94">
        <w:rPr>
          <w:sz w:val="22"/>
          <w:szCs w:val="22"/>
        </w:rPr>
        <w:lastRenderedPageBreak/>
        <w:t>Kašalj i angioedem rjeđe su zabilježeni kod pacijenata liječenih telmisartanom nego kod pacijenata liječenih ramiprilom, dok je hipotenzija češće zabilježena sa telmisartanom.</w:t>
      </w:r>
    </w:p>
    <w:p w:rsidR="00F56C88" w:rsidRPr="005D1C94" w:rsidRDefault="00F56C88" w:rsidP="00F56C88">
      <w:pPr>
        <w:widowControl w:val="0"/>
        <w:autoSpaceDE w:val="0"/>
        <w:autoSpaceDN w:val="0"/>
        <w:adjustRightInd w:val="0"/>
        <w:jc w:val="both"/>
        <w:rPr>
          <w:sz w:val="22"/>
          <w:szCs w:val="22"/>
        </w:rPr>
      </w:pPr>
    </w:p>
    <w:p w:rsidR="00F56C88" w:rsidRPr="005D1C94" w:rsidRDefault="00F56C88" w:rsidP="00F56C88">
      <w:pPr>
        <w:widowControl w:val="0"/>
        <w:autoSpaceDE w:val="0"/>
        <w:autoSpaceDN w:val="0"/>
        <w:adjustRightInd w:val="0"/>
        <w:jc w:val="both"/>
        <w:rPr>
          <w:sz w:val="22"/>
          <w:szCs w:val="22"/>
        </w:rPr>
      </w:pPr>
      <w:r w:rsidRPr="005D1C94">
        <w:rPr>
          <w:sz w:val="22"/>
          <w:szCs w:val="22"/>
        </w:rPr>
        <w:t>Kombin</w:t>
      </w:r>
      <w:r w:rsidR="00A978F6">
        <w:rPr>
          <w:sz w:val="22"/>
          <w:szCs w:val="22"/>
        </w:rPr>
        <w:t>ova</w:t>
      </w:r>
      <w:r w:rsidRPr="005D1C94">
        <w:rPr>
          <w:sz w:val="22"/>
          <w:szCs w:val="22"/>
        </w:rPr>
        <w:t>nje telmisartana sa ramiprilom nije imalo dodatnu korist u odnosu na sam ramipril ili telmisartan. CV (kardiovaskularni) mortalitet i opšti  mortalitet u ovoj su kombinaciji bili brojčano veći. Pored toga, u grupi koja je primala kombinaciju postojala je znatno veća učestalost pojave hiperkalijemije, insuficijencije bubrega, hipotenzije i sinkope. Stoga se primjena kombinacije telmisartana i ramiprila ne preporučuje u ovoj populaciji.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autoSpaceDE w:val="0"/>
        <w:autoSpaceDN w:val="0"/>
        <w:adjustRightInd w:val="0"/>
        <w:jc w:val="both"/>
        <w:rPr>
          <w:sz w:val="22"/>
          <w:szCs w:val="22"/>
        </w:rPr>
      </w:pPr>
      <w:r w:rsidRPr="005D1C94">
        <w:rPr>
          <w:sz w:val="22"/>
          <w:szCs w:val="22"/>
        </w:rPr>
        <w:t xml:space="preserve">U ispitivanju </w:t>
      </w:r>
      <w:r w:rsidRPr="005D1C94">
        <w:rPr>
          <w:i/>
          <w:sz w:val="22"/>
          <w:szCs w:val="22"/>
        </w:rPr>
        <w:t xml:space="preserve">„Prevention Regimen For Effectively avoiding Second Strokes” </w:t>
      </w:r>
      <w:r w:rsidRPr="005D1C94">
        <w:rPr>
          <w:sz w:val="22"/>
          <w:szCs w:val="22"/>
        </w:rPr>
        <w:t>(PRoFESS) sprovedenom kod pacijenata starijih od 50 godina, koji su nedavno imali moždani udar, zabilježena je povećana incidencija sepse u grupi koja je dobijala telmisartan u poređenju s placebom, 0,70 % u odnosu na 0,49 % [RR 1,43 (95 % interval pouzdanosti 1,00 – 2,06)]; incidenca slučajeva fatalne sepse je bila veća kod pacijenata koji su dobijali telmisartan (0,33 %) u odnosu na pacijente koji su dobijali placebo (0,16 %) [RR 2,07 (95 % interval pouzdanosti 1,14 – 3,76)]. Primijećena povećana učestalost sepse povezane s primjenom telmisartana može biti slučajno otkriće ili posljedica mehanizma koji do sada nije poznat.</w:t>
      </w:r>
    </w:p>
    <w:p w:rsidR="00F56C88" w:rsidRPr="005D1C94" w:rsidRDefault="00F56C88" w:rsidP="00F56C88">
      <w:pPr>
        <w:widowControl w:val="0"/>
        <w:tabs>
          <w:tab w:val="num" w:pos="120"/>
        </w:tabs>
        <w:jc w:val="both"/>
        <w:rPr>
          <w:sz w:val="22"/>
          <w:szCs w:val="22"/>
        </w:rPr>
      </w:pPr>
    </w:p>
    <w:p w:rsidR="00F56C88" w:rsidRPr="005D1C94" w:rsidRDefault="00F56C88" w:rsidP="00F56C88">
      <w:pPr>
        <w:autoSpaceDE w:val="0"/>
        <w:autoSpaceDN w:val="0"/>
        <w:adjustRightInd w:val="0"/>
        <w:jc w:val="both"/>
        <w:rPr>
          <w:sz w:val="22"/>
          <w:szCs w:val="22"/>
        </w:rPr>
      </w:pPr>
      <w:r w:rsidRPr="005D1C94">
        <w:rPr>
          <w:rFonts w:eastAsia="TimesNewRoman"/>
          <w:sz w:val="22"/>
          <w:szCs w:val="22"/>
          <w:lang w:eastAsia="zh-TW"/>
        </w:rPr>
        <w:t>Dva velika randomizirana, kontrolisana ispitivanja (ONTARGET (eng. ONgoing Telmisartan Alone and in combination with Ramipril Global Endpoint Trial) i VA NEPHRON-D (</w:t>
      </w:r>
      <w:r w:rsidRPr="005D1C94">
        <w:rPr>
          <w:rFonts w:eastAsia="TimesNewRoman"/>
          <w:i/>
          <w:sz w:val="22"/>
          <w:szCs w:val="22"/>
          <w:lang w:eastAsia="zh-TW"/>
        </w:rPr>
        <w:t>eng. The Veterans Affairs Nephropathy in Diabetes</w:t>
      </w:r>
      <w:r w:rsidRPr="005D1C94">
        <w:rPr>
          <w:rFonts w:eastAsia="TimesNewRoman"/>
          <w:sz w:val="22"/>
          <w:szCs w:val="22"/>
          <w:lang w:eastAsia="zh-TW"/>
        </w:rPr>
        <w:t>)) ispitivala su primjenu kombinacije ACE inhibitora sa blokatorom angiotenzin II receptora.</w:t>
      </w:r>
      <w:r w:rsidRPr="005D1C94">
        <w:rPr>
          <w:sz w:val="22"/>
          <w:szCs w:val="22"/>
        </w:rPr>
        <w:t xml:space="preserve"> </w:t>
      </w:r>
    </w:p>
    <w:p w:rsidR="00F56C88" w:rsidRPr="005D1C94" w:rsidRDefault="00F56C88" w:rsidP="00F56C88">
      <w:pPr>
        <w:autoSpaceDE w:val="0"/>
        <w:autoSpaceDN w:val="0"/>
        <w:adjustRightInd w:val="0"/>
        <w:jc w:val="both"/>
        <w:rPr>
          <w:sz w:val="22"/>
          <w:szCs w:val="22"/>
        </w:rPr>
      </w:pPr>
    </w:p>
    <w:p w:rsidR="00F56C88" w:rsidRPr="005D1C94" w:rsidRDefault="00F56C88" w:rsidP="00F56C88">
      <w:pPr>
        <w:autoSpaceDE w:val="0"/>
        <w:autoSpaceDN w:val="0"/>
        <w:adjustRightInd w:val="0"/>
        <w:jc w:val="both"/>
        <w:rPr>
          <w:sz w:val="22"/>
          <w:szCs w:val="22"/>
        </w:rPr>
      </w:pPr>
      <w:r w:rsidRPr="005D1C94">
        <w:rPr>
          <w:rFonts w:eastAsia="TimesNewRoman"/>
          <w:sz w:val="22"/>
          <w:szCs w:val="22"/>
          <w:lang w:eastAsia="zh-TW"/>
        </w:rPr>
        <w:t>ONTARGET je bilo ispitivanje izvedeno kod pacijenata sa kardiovaskularnom ili cerebrovaskularnom bolešću u anamnezi, ili sa šećernom bolešću tipa 2, uz dokaze oštećenja ciljanih organa. VA NEPHRON-D je bilo ispitivanje kod pacijenata sa šećernom bolešću tipa 2 i dijabetičkom nefropatijom.</w:t>
      </w:r>
      <w:r w:rsidRPr="005D1C94">
        <w:rPr>
          <w:sz w:val="22"/>
          <w:szCs w:val="22"/>
        </w:rPr>
        <w:t xml:space="preserve"> </w:t>
      </w:r>
    </w:p>
    <w:p w:rsidR="00F56C88" w:rsidRPr="005D1C94" w:rsidRDefault="00F56C88" w:rsidP="00F56C88">
      <w:pPr>
        <w:autoSpaceDE w:val="0"/>
        <w:autoSpaceDN w:val="0"/>
        <w:adjustRightInd w:val="0"/>
        <w:jc w:val="both"/>
        <w:rPr>
          <w:sz w:val="22"/>
          <w:szCs w:val="22"/>
        </w:rPr>
      </w:pPr>
    </w:p>
    <w:p w:rsidR="00F56C88" w:rsidRPr="005D1C94" w:rsidRDefault="00F56C88" w:rsidP="00F56C88">
      <w:pPr>
        <w:autoSpaceDE w:val="0"/>
        <w:autoSpaceDN w:val="0"/>
        <w:adjustRightInd w:val="0"/>
        <w:jc w:val="both"/>
        <w:rPr>
          <w:rFonts w:eastAsia="TimesNewRoman"/>
          <w:sz w:val="22"/>
          <w:szCs w:val="22"/>
          <w:lang w:eastAsia="zh-TW"/>
        </w:rPr>
      </w:pPr>
      <w:r w:rsidRPr="005D1C94">
        <w:rPr>
          <w:rFonts w:eastAsia="TimesNewRoman"/>
          <w:sz w:val="22"/>
          <w:szCs w:val="22"/>
          <w:lang w:eastAsia="zh-TW"/>
        </w:rPr>
        <w:t xml:space="preserve">Ta ispitivanja nijesu pokazala nikakav značajan povoljan efekat na bubrežne i/ili kardiovaskularne ishode i smrtnost, a bio je uočen povećani rizik od hiperkalijemije, akutne ozljede bubrega i/ili hipotenzije u poređenju  sa monoterapijom. S obzirom na njihova slična farmakodinamička svojstva, ti rezultati su relevantni i za druge ACE inhibitore i blokatore angiotenzin II receptora. </w:t>
      </w:r>
    </w:p>
    <w:p w:rsidR="00F56C88" w:rsidRPr="005D1C94" w:rsidRDefault="00F56C88" w:rsidP="00F56C88">
      <w:pPr>
        <w:autoSpaceDE w:val="0"/>
        <w:autoSpaceDN w:val="0"/>
        <w:adjustRightInd w:val="0"/>
        <w:jc w:val="both"/>
        <w:rPr>
          <w:rFonts w:eastAsia="TimesNewRoman"/>
          <w:sz w:val="22"/>
          <w:szCs w:val="22"/>
          <w:lang w:eastAsia="zh-TW"/>
        </w:rPr>
      </w:pPr>
    </w:p>
    <w:p w:rsidR="00F56C88" w:rsidRPr="005D1C94" w:rsidRDefault="00F56C88" w:rsidP="00F56C88">
      <w:pPr>
        <w:autoSpaceDE w:val="0"/>
        <w:autoSpaceDN w:val="0"/>
        <w:adjustRightInd w:val="0"/>
        <w:jc w:val="both"/>
        <w:rPr>
          <w:rFonts w:eastAsia="TimesNewRoman"/>
          <w:sz w:val="22"/>
          <w:szCs w:val="22"/>
          <w:lang w:eastAsia="zh-TW"/>
        </w:rPr>
      </w:pPr>
      <w:r w:rsidRPr="005D1C94">
        <w:rPr>
          <w:rFonts w:eastAsia="TimesNewRoman"/>
          <w:sz w:val="22"/>
          <w:szCs w:val="22"/>
          <w:lang w:eastAsia="zh-TW"/>
        </w:rPr>
        <w:t xml:space="preserve">ACE inhibitori i blokatori angiotenzin II receptora se stoga ne smiju istovremeno primjenjivati kod pacijenata sa dijabetičkom nefropatijom. </w:t>
      </w:r>
    </w:p>
    <w:p w:rsidR="00F56C88" w:rsidRPr="005D1C94" w:rsidRDefault="00F56C88" w:rsidP="00F56C88">
      <w:pPr>
        <w:autoSpaceDE w:val="0"/>
        <w:autoSpaceDN w:val="0"/>
        <w:adjustRightInd w:val="0"/>
        <w:jc w:val="both"/>
        <w:rPr>
          <w:rFonts w:eastAsia="TimesNewRoman"/>
          <w:sz w:val="22"/>
          <w:szCs w:val="22"/>
          <w:lang w:eastAsia="zh-TW"/>
        </w:rPr>
      </w:pPr>
    </w:p>
    <w:p w:rsidR="00F56C88" w:rsidRPr="005D1C94" w:rsidRDefault="00F56C88" w:rsidP="00F56C88">
      <w:pPr>
        <w:autoSpaceDE w:val="0"/>
        <w:autoSpaceDN w:val="0"/>
        <w:adjustRightInd w:val="0"/>
        <w:jc w:val="both"/>
        <w:rPr>
          <w:rFonts w:eastAsia="TimesNewRoman"/>
          <w:sz w:val="22"/>
          <w:szCs w:val="22"/>
          <w:lang w:eastAsia="zh-TW"/>
        </w:rPr>
      </w:pPr>
      <w:r w:rsidRPr="005D1C94">
        <w:rPr>
          <w:rFonts w:eastAsia="TimesNewRoman"/>
          <w:sz w:val="22"/>
          <w:szCs w:val="22"/>
          <w:lang w:eastAsia="zh-TW"/>
        </w:rPr>
        <w:t>ALTITUDE (eng. Aliskiren Trial in Type 2 Diabetes Using Cardiovascular and Renal Disease Endpoints) je bilo ispitivanje osmišljeno za testiranje koristi dodavanja aliskirena standardnoj terapiji sa ACE inhibitorom ili blokatorom angiotenzin II receptora kod pacijenata sa šećernom bolešću tipa 2 i hroničnom bolešću bubrega, kardiovaskularnom bolešću ili oboje. Ispitivanje je bilo prijevremeno prekinuto zbog povećanog rizika od štetnih ishoda. I kardiovaskularna smrt i moždani udar su numerički bili učestaliji u grupi koja je primala aliskiren nego u onoj koja je primala placebo, a štetni događaji i ozbiljni štetni događaji od značaja (hiperkalijemija, hipotenzija i bubrežna disfunkcija) bili su učestalije zabilježeni u grupi koja je primala aliskiren nego u onoj koja je primala placebo.</w:t>
      </w:r>
    </w:p>
    <w:p w:rsidR="00470BE5" w:rsidRPr="005D1C94" w:rsidRDefault="00470BE5" w:rsidP="00F56C88">
      <w:pPr>
        <w:autoSpaceDE w:val="0"/>
        <w:autoSpaceDN w:val="0"/>
        <w:adjustRightInd w:val="0"/>
        <w:jc w:val="both"/>
        <w:rPr>
          <w:rFonts w:eastAsia="TimesNewRoman"/>
          <w:color w:val="FF0000"/>
          <w:sz w:val="22"/>
          <w:szCs w:val="22"/>
          <w:lang w:eastAsia="zh-TW"/>
        </w:rPr>
      </w:pPr>
    </w:p>
    <w:p w:rsidR="00470BE5" w:rsidRDefault="00F56C88" w:rsidP="00F56C88">
      <w:pPr>
        <w:widowControl w:val="0"/>
        <w:tabs>
          <w:tab w:val="num" w:pos="120"/>
        </w:tabs>
        <w:jc w:val="both"/>
        <w:rPr>
          <w:sz w:val="22"/>
          <w:szCs w:val="22"/>
        </w:rPr>
      </w:pPr>
      <w:r w:rsidRPr="005D1C94">
        <w:rPr>
          <w:sz w:val="22"/>
          <w:szCs w:val="22"/>
        </w:rPr>
        <w:t xml:space="preserve">Hidrohlortiazid je tiazidski diuretik. Mehanizam antihipertenzivnog dejstva tiazidnih diuretika nije u potpunosti poznat. </w:t>
      </w:r>
    </w:p>
    <w:p w:rsidR="00F56C88" w:rsidRPr="005D1C94" w:rsidRDefault="00F56C88" w:rsidP="00F56C88">
      <w:pPr>
        <w:widowControl w:val="0"/>
        <w:tabs>
          <w:tab w:val="num" w:pos="120"/>
        </w:tabs>
        <w:jc w:val="both"/>
        <w:rPr>
          <w:sz w:val="22"/>
          <w:szCs w:val="22"/>
        </w:rPr>
      </w:pPr>
      <w:r w:rsidRPr="005D1C94">
        <w:rPr>
          <w:sz w:val="22"/>
          <w:szCs w:val="22"/>
        </w:rPr>
        <w:lastRenderedPageBreak/>
        <w:t>Tiazidi djeluju na renalne tubularne mehanizme reapsorpcije elektrolita, direktno povećavajući ekskreciju natrijuma i hlorida u približno jednakim količinama. Diuretsko djelovanje hidrohlortiazida redukuje volumen plazme, povećava aktivnost renina u plazmi, povećava sekreciju aldosterona s posljedičnim povećanjem gubitka kalijuma i bikarbonata urinom i smanjenjem kalijuma u serumu. Pretpostavlja se da putem blokade sistema renin-angiotenzin-aldosteron istovremena primjena telmisartana ima tendenciju poništavanja gubitka kalijuma povezanog sa ovim diureticima. Primjenom hidrohlortiazida početak diureze javlja se za 2 sata, a maksimalni efekat pojavljuje se nakon otprilike 4 sata, dok se djelovanje zadržava oko 6-12 sati.</w:t>
      </w:r>
    </w:p>
    <w:p w:rsidR="00F56C88" w:rsidRPr="005D1C94" w:rsidRDefault="00F56C88" w:rsidP="00F56C88">
      <w:pPr>
        <w:widowControl w:val="0"/>
        <w:tabs>
          <w:tab w:val="num" w:pos="120"/>
        </w:tabs>
        <w:jc w:val="both"/>
        <w:rPr>
          <w:sz w:val="22"/>
          <w:szCs w:val="22"/>
        </w:rPr>
      </w:pPr>
      <w:r w:rsidRPr="005D1C94">
        <w:rPr>
          <w:sz w:val="22"/>
          <w:szCs w:val="22"/>
        </w:rPr>
        <w:t>Epidemiološke studije pokazale su da dugotrajno liječenje hidrohlortiazidom redukuje rizik od kardiovaskularnog mortaliteta i morbiditeta.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Efekti kombinacije fiksne doze telmisartana/hidrohlortiazid na mortalitet i kardiovaskularni morbiditet su trenutno nepoznati.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left" w:pos="567"/>
        </w:tabs>
        <w:jc w:val="both"/>
        <w:rPr>
          <w:b/>
          <w:sz w:val="22"/>
          <w:szCs w:val="22"/>
        </w:rPr>
      </w:pPr>
      <w:r w:rsidRPr="005D1C94">
        <w:rPr>
          <w:b/>
          <w:sz w:val="22"/>
          <w:szCs w:val="22"/>
        </w:rPr>
        <w:t>5.2</w:t>
      </w:r>
      <w:r w:rsidRPr="005D1C94">
        <w:rPr>
          <w:b/>
          <w:sz w:val="22"/>
          <w:szCs w:val="22"/>
        </w:rPr>
        <w:tab/>
        <w:t>Farmakokinetička svojstva</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lang w:eastAsia="sr-Latn-ME"/>
        </w:rPr>
      </w:pPr>
      <w:r w:rsidRPr="005D1C94">
        <w:rPr>
          <w:sz w:val="22"/>
          <w:szCs w:val="22"/>
          <w:lang w:eastAsia="sr-Latn-ME"/>
        </w:rPr>
        <w:t>Istovremena primjena hidrohlortiazida i telmisartana nema uticaja na farmakokinetiku bilo koje od ove dvije komponente lijeka kod zdravih ispitanika.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Resorpcija</w:t>
      </w:r>
    </w:p>
    <w:p w:rsidR="00F56C88" w:rsidRPr="005D1C94" w:rsidRDefault="00F56C88" w:rsidP="00F56C88">
      <w:pPr>
        <w:widowControl w:val="0"/>
        <w:tabs>
          <w:tab w:val="num" w:pos="120"/>
        </w:tabs>
        <w:jc w:val="both"/>
        <w:rPr>
          <w:sz w:val="22"/>
          <w:szCs w:val="22"/>
        </w:rPr>
      </w:pPr>
      <w:r w:rsidRPr="005D1C94">
        <w:rPr>
          <w:sz w:val="22"/>
          <w:szCs w:val="22"/>
        </w:rPr>
        <w:t xml:space="preserve">Telmisartan: nakon peroralne primjene maksimalna koncentracija telmisartana dostiže se 0,5-1,5 h nakon uzimanja lijeka. Apsolutna bioraspoloživost telmisartana u dozama od 40 mg i 160 mg bila je 42%, odnosno 58%. Hrana u vrlo maloj mjeri redukuje bioraspoloživost telmisartana, sa redukcijom površine ispod krive </w:t>
      </w:r>
      <w:r w:rsidRPr="005D1C94">
        <w:rPr>
          <w:sz w:val="22"/>
          <w:szCs w:val="22"/>
          <w:lang w:eastAsia="sr-Latn-ME"/>
        </w:rPr>
        <w:t xml:space="preserve">koja pokazuje zavisnost koncentracije lijeka u plazmi tokom vremena (PIK) </w:t>
      </w:r>
      <w:r w:rsidRPr="005D1C94">
        <w:rPr>
          <w:sz w:val="22"/>
          <w:szCs w:val="22"/>
        </w:rPr>
        <w:t>od oko 6% nakon doze od 40mg i oko 19% nakon doze od 160 mg. Tri sata nakon primjene koncentracije u plazmi su slične bez obzira da li je telmisartan uzet sa hranom ili bez nje. Ne očekuje se da malo smanjenje PIK uzrokuje smanjenje terapijske efikasnosti lijeka. Farmakokinetika peroralno primijenjenog telmisartana nije linearna u rasponu doza od 20-160 mg, jer je povećanje koncentracija u plazmi (C</w:t>
      </w:r>
      <w:r w:rsidRPr="005D1C94">
        <w:rPr>
          <w:sz w:val="22"/>
          <w:szCs w:val="22"/>
          <w:vertAlign w:val="subscript"/>
        </w:rPr>
        <w:t>max</w:t>
      </w:r>
      <w:r w:rsidRPr="005D1C94">
        <w:rPr>
          <w:sz w:val="22"/>
          <w:szCs w:val="22"/>
        </w:rPr>
        <w:t xml:space="preserve"> i PIK) </w:t>
      </w:r>
      <w:r w:rsidRPr="005D1C94">
        <w:rPr>
          <w:sz w:val="22"/>
          <w:szCs w:val="22"/>
          <w:lang w:eastAsia="sr-Latn-ME"/>
        </w:rPr>
        <w:t>sa povećanjem doze, veće od proporcionalnog</w:t>
      </w:r>
      <w:r w:rsidRPr="005D1C94">
        <w:rPr>
          <w:sz w:val="22"/>
          <w:szCs w:val="22"/>
        </w:rPr>
        <w:t>. Telmisartan se značajno ne akumulira u plazmi pri ponavljanoj primjeni.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Hidrohlortiazid: nakon peroralne primjene lijeka Tolucombi</w:t>
      </w:r>
      <w:r w:rsidRPr="005D1C94">
        <w:rPr>
          <w:b/>
          <w:bCs/>
          <w:iCs/>
          <w:sz w:val="22"/>
          <w:szCs w:val="22"/>
          <w:vertAlign w:val="superscript"/>
        </w:rPr>
        <w:t>®</w:t>
      </w:r>
      <w:r w:rsidRPr="005D1C94">
        <w:rPr>
          <w:sz w:val="22"/>
          <w:szCs w:val="22"/>
        </w:rPr>
        <w:t>, maksimalne koncentracije hidrohlortiazida postižu se za oko 1,0-3,0 sati nakon uzimanja lijeka. Na osnovu kumulativne renalne ekskrecije hidrohlortiazida, apsolutna bioraspoloživost iznosi oko 60%.</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Distribucija</w:t>
      </w:r>
    </w:p>
    <w:p w:rsidR="00F56C88" w:rsidRPr="005D1C94" w:rsidRDefault="00F56C88" w:rsidP="00F56C88">
      <w:pPr>
        <w:widowControl w:val="0"/>
        <w:tabs>
          <w:tab w:val="num" w:pos="120"/>
        </w:tabs>
        <w:jc w:val="both"/>
        <w:rPr>
          <w:sz w:val="22"/>
          <w:szCs w:val="22"/>
        </w:rPr>
      </w:pPr>
      <w:r w:rsidRPr="005D1C94">
        <w:rPr>
          <w:sz w:val="22"/>
          <w:szCs w:val="22"/>
        </w:rPr>
        <w:t>Telmisartan se u velikoj mjeri veže na proteine plazme (&gt;99,5%), uglavnom albumin i alfa 1 kiseli glikoprotein. Prividni volumen distribucije telmisartana je oko 500 litara, upućujući na dodatno vezanje u tkivima. Hidrohlortiazid se vezuje za proteine u plazmi 68%, a njegov prividni volumen distribucije je 0,83 – 1,14 l/kg.</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Biotransformacija</w:t>
      </w:r>
    </w:p>
    <w:p w:rsidR="00F56C88" w:rsidRPr="005D1C94" w:rsidRDefault="00F56C88" w:rsidP="00F56C88">
      <w:pPr>
        <w:autoSpaceDE w:val="0"/>
        <w:autoSpaceDN w:val="0"/>
        <w:adjustRightInd w:val="0"/>
        <w:jc w:val="both"/>
        <w:rPr>
          <w:sz w:val="22"/>
          <w:szCs w:val="22"/>
        </w:rPr>
      </w:pPr>
      <w:r w:rsidRPr="005D1C94">
        <w:rPr>
          <w:sz w:val="22"/>
          <w:szCs w:val="22"/>
        </w:rPr>
        <w:t xml:space="preserve">Telmisartan: telmisartan se metaboliše konjugacijom u farmakološki neaktivni acilglukuronid. Glukuronid </w:t>
      </w:r>
      <w:r w:rsidRPr="005D1C94">
        <w:rPr>
          <w:sz w:val="22"/>
          <w:szCs w:val="22"/>
          <w:lang w:eastAsia="sr-Latn-ME"/>
        </w:rPr>
        <w:t xml:space="preserve">osnovnog jedinjenja </w:t>
      </w:r>
      <w:r w:rsidRPr="005D1C94">
        <w:rPr>
          <w:sz w:val="22"/>
          <w:szCs w:val="22"/>
        </w:rPr>
        <w:t xml:space="preserve">je jedini metabolit koji je otkriven kod ljudi. Nakon jedne doze </w:t>
      </w:r>
      <w:r w:rsidRPr="005D1C94">
        <w:rPr>
          <w:sz w:val="22"/>
          <w:szCs w:val="22"/>
          <w:vertAlign w:val="superscript"/>
        </w:rPr>
        <w:t>14</w:t>
      </w:r>
      <w:r w:rsidRPr="005D1C94">
        <w:rPr>
          <w:sz w:val="22"/>
          <w:szCs w:val="22"/>
        </w:rPr>
        <w:t>C-označenog telmisartana, glukuronid predstavlja oko 11% izmjerene radioaktivnosti u plazmi. Izoenzimi citohroma P450 nijesu uključeni u metabolizam telmisartana. Hidrohlortiazid se ne metaboliše kod ljudi.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lastRenderedPageBreak/>
        <w:t>Eliminacija</w:t>
      </w:r>
    </w:p>
    <w:p w:rsidR="00F56C88" w:rsidRPr="005D1C94" w:rsidRDefault="00F56C88" w:rsidP="00F56C88">
      <w:pPr>
        <w:widowControl w:val="0"/>
        <w:jc w:val="both"/>
        <w:rPr>
          <w:sz w:val="22"/>
          <w:szCs w:val="22"/>
        </w:rPr>
      </w:pPr>
      <w:r w:rsidRPr="005D1C94">
        <w:rPr>
          <w:sz w:val="22"/>
          <w:szCs w:val="22"/>
        </w:rPr>
        <w:t xml:space="preserve">Telmisartan: nakon i intravenske ili peroralne primjene </w:t>
      </w:r>
      <w:r w:rsidRPr="005D1C94">
        <w:rPr>
          <w:sz w:val="22"/>
          <w:szCs w:val="22"/>
          <w:vertAlign w:val="superscript"/>
        </w:rPr>
        <w:t>14</w:t>
      </w:r>
      <w:r w:rsidRPr="005D1C94">
        <w:rPr>
          <w:sz w:val="22"/>
          <w:szCs w:val="22"/>
        </w:rPr>
        <w:t>C obilježenog telmisartana većina primijenjene doze (&gt;97 %) eliminiše se fecesom putem bilijarne ekskrecije. Samo su neznatne količine pronađene u urinu. Ukupni plazmatski klirens telmisartana nakon peroralne primjene je &gt;1500 ml/min. Poluvrijeme eliminacije iznosi &gt;20 sati.</w:t>
      </w:r>
    </w:p>
    <w:p w:rsidR="00F56C88" w:rsidRPr="005D1C94" w:rsidRDefault="00F56C88" w:rsidP="00F56C88">
      <w:pPr>
        <w:widowControl w:val="0"/>
        <w:tabs>
          <w:tab w:val="num" w:pos="120"/>
        </w:tabs>
        <w:jc w:val="both"/>
        <w:rPr>
          <w:sz w:val="22"/>
          <w:szCs w:val="22"/>
        </w:rPr>
      </w:pPr>
      <w:r w:rsidRPr="005D1C94">
        <w:rPr>
          <w:sz w:val="22"/>
          <w:szCs w:val="22"/>
        </w:rPr>
        <w:t>Hidrohlortiazid se izlučuje gotovo u potpunosti u nepromijenjenom obliku putem urina. Oko 60% oralne doze se eliminiše unutar 48 sati. Renalni klirens je oko 250-300 ml/min. Poluvrijeme eliminacije hidrohlortiazida je 10-15 sati.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i/>
          <w:sz w:val="22"/>
          <w:szCs w:val="22"/>
        </w:rPr>
      </w:pPr>
      <w:r w:rsidRPr="005D1C94">
        <w:rPr>
          <w:i/>
          <w:sz w:val="22"/>
          <w:szCs w:val="22"/>
        </w:rPr>
        <w:t>Posebne populacije</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Starije osobe</w:t>
      </w:r>
    </w:p>
    <w:p w:rsidR="00F56C88" w:rsidRPr="005D1C94" w:rsidRDefault="00F56C88" w:rsidP="00F56C88">
      <w:pPr>
        <w:widowControl w:val="0"/>
        <w:tabs>
          <w:tab w:val="num" w:pos="120"/>
        </w:tabs>
        <w:jc w:val="both"/>
        <w:rPr>
          <w:sz w:val="22"/>
          <w:szCs w:val="22"/>
        </w:rPr>
      </w:pPr>
      <w:r w:rsidRPr="005D1C94">
        <w:rPr>
          <w:sz w:val="22"/>
          <w:szCs w:val="22"/>
        </w:rPr>
        <w:t>Farmakokinetika telmisartana ne razlikuje se između starijih osoba i osoba mlađih od 65 godina.</w:t>
      </w:r>
    </w:p>
    <w:p w:rsidR="00F56C88" w:rsidRPr="005D1C94" w:rsidRDefault="00F56C88" w:rsidP="00F56C88">
      <w:pPr>
        <w:widowControl w:val="0"/>
        <w:tabs>
          <w:tab w:val="num" w:pos="120"/>
        </w:tabs>
        <w:jc w:val="both"/>
        <w:rPr>
          <w:sz w:val="22"/>
          <w:szCs w:val="22"/>
          <w:u w:val="single"/>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Pol</w:t>
      </w:r>
    </w:p>
    <w:p w:rsidR="00F56C88" w:rsidRPr="005D1C94" w:rsidRDefault="00F56C88" w:rsidP="00F56C88">
      <w:pPr>
        <w:widowControl w:val="0"/>
        <w:tabs>
          <w:tab w:val="num" w:pos="120"/>
        </w:tabs>
        <w:jc w:val="both"/>
        <w:rPr>
          <w:sz w:val="22"/>
          <w:szCs w:val="22"/>
        </w:rPr>
      </w:pPr>
      <w:r w:rsidRPr="005D1C94">
        <w:rPr>
          <w:sz w:val="22"/>
          <w:szCs w:val="22"/>
        </w:rPr>
        <w:t>Koncentracije telmisartana u plazmi su generalno 2-3 puta veće kod žena nego kod muškaraca. Međutim, u kliničkim ispitivanjima nijesu pronađena značajna povećanja u odgovoru krvnog pritisaka ili incidenciji ortostatske hipotenzije kod žena. Nije potrebno prilagođavanje doze. Postojao je trend prema većim koncetracijama hidrohlortiazida u plazmi kod žena nego kod muškaraca. To se ne smatra klinički značajnim.</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u w:val="single"/>
        </w:rPr>
      </w:pPr>
      <w:r w:rsidRPr="005D1C94">
        <w:rPr>
          <w:sz w:val="22"/>
          <w:szCs w:val="22"/>
          <w:u w:val="single"/>
        </w:rPr>
        <w:t>Oštećenje bubrežne funkcije</w:t>
      </w:r>
    </w:p>
    <w:p w:rsidR="00F56C88" w:rsidRPr="005D1C94" w:rsidRDefault="00F56C88" w:rsidP="00F56C88">
      <w:pPr>
        <w:widowControl w:val="0"/>
        <w:tabs>
          <w:tab w:val="num" w:pos="120"/>
        </w:tabs>
        <w:jc w:val="both"/>
        <w:rPr>
          <w:sz w:val="22"/>
          <w:szCs w:val="22"/>
        </w:rPr>
      </w:pPr>
      <w:r w:rsidRPr="005D1C94">
        <w:rPr>
          <w:sz w:val="22"/>
          <w:szCs w:val="22"/>
        </w:rPr>
        <w:t>Renalna ekskrecija ne učestvuje u klirensu telmisartana. Na osnovi skromnog iskustva kod pacijenta sa blagim do umjerenim oštećenjem bubrežne funkcije (klirens kreatinina od 30-60 ml/min, srednja vrijednost oko 50 ml/min), nije potrebno prilagođavanje doze kod pacijenta sa smanjenom bubrežnom funkcijom. Telmisartan se ne uklanja iz krvi hemodijalizom. Kod pacijenta sa oštećenom bubrežnom funkcijom brzina eliminacije hidrohlortiazida je smanjena. U tipičnoj studiji kod pacijenata sa prosječnim klirensom kreatinina od 90 ml/min poluvrijeme eliminacije hidrohlortiazida se povećalo. U pacijenta s nefunkcionalnim bubrezima poluvrijeme eliminacije je oko 34 sata.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u w:val="single"/>
        </w:rPr>
        <w:t>Oštećenje jetrene funkcije</w:t>
      </w:r>
    </w:p>
    <w:p w:rsidR="00F56C88" w:rsidRPr="005D1C94" w:rsidRDefault="00F56C88" w:rsidP="00F56C88">
      <w:pPr>
        <w:widowControl w:val="0"/>
        <w:tabs>
          <w:tab w:val="num" w:pos="120"/>
        </w:tabs>
        <w:jc w:val="both"/>
        <w:rPr>
          <w:sz w:val="22"/>
          <w:szCs w:val="22"/>
        </w:rPr>
      </w:pPr>
      <w:r w:rsidRPr="005D1C94">
        <w:rPr>
          <w:sz w:val="22"/>
          <w:szCs w:val="22"/>
        </w:rPr>
        <w:t>Farmakokinetičke studije na pacijentima sa oštećenjem jetrene funkcije pokazale su povećanje u apsolutnoj bioraspoloživosti do gotovo 100%. Poluvrijeme eliminacije je nepromijenjeno kod pacijenta sa oštećenjem jetre.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b/>
          <w:sz w:val="22"/>
          <w:szCs w:val="22"/>
        </w:rPr>
      </w:pPr>
      <w:r w:rsidRPr="005D1C94">
        <w:rPr>
          <w:b/>
          <w:sz w:val="22"/>
          <w:szCs w:val="22"/>
        </w:rPr>
        <w:t>5.3</w:t>
      </w:r>
      <w:r w:rsidRPr="005D1C94">
        <w:rPr>
          <w:b/>
          <w:sz w:val="22"/>
          <w:szCs w:val="22"/>
        </w:rPr>
        <w:tab/>
        <w:t>Pretklinički podaci o bezbjednosti</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rPr>
      </w:pPr>
      <w:r w:rsidRPr="005D1C94">
        <w:rPr>
          <w:sz w:val="22"/>
          <w:szCs w:val="22"/>
        </w:rPr>
        <w:t>U pretkliničkim studijama bezbjednosti, izvedenim pri istovremenoj primjeni telmisartana i hidrohlortiazida kod normotenzivnih glodara i pasa, pri izlaganju dozama uporedivim sa teraijskim, nijesu dale dodatna otkrića koja već ranije nijesu bila primijećena prilikom primjene svake supstance pojedinačno. Zabilježeni toksikološki nalazi nijesu se pokazali relevantnim za terapijsku primjenu kod ljudi.</w:t>
      </w:r>
    </w:p>
    <w:p w:rsidR="00470BE5" w:rsidRDefault="00F56C88" w:rsidP="00F56C88">
      <w:pPr>
        <w:widowControl w:val="0"/>
        <w:tabs>
          <w:tab w:val="num" w:pos="120"/>
        </w:tabs>
        <w:jc w:val="both"/>
        <w:rPr>
          <w:sz w:val="22"/>
          <w:szCs w:val="22"/>
        </w:rPr>
      </w:pPr>
      <w:r w:rsidRPr="005D1C94">
        <w:rPr>
          <w:sz w:val="22"/>
          <w:szCs w:val="22"/>
        </w:rPr>
        <w:t xml:space="preserve">Toksikološki nalazi, takođe dobro poznati iz pretkliničkih studija sa inhibitorima enzima koji pretvara angiotenzin i sa antagonistima receptora angiotenzina II, bili su: smanjenje vrijednosti eritrocitnih parametara (eritrociti, hemoglobin, hematokrit), promjene u bubrežnoj hemodinamici (povišeni azot iz uree u krvi (BUN) i kreatinin), povećana aktivnost renina u plazmi, hipertrofija/hiperplazija jukstaglomerularnih ćelija i oštećenje želudačne sluznice. </w:t>
      </w:r>
    </w:p>
    <w:p w:rsidR="00F56C88" w:rsidRPr="005D1C94" w:rsidRDefault="00F56C88" w:rsidP="00F56C88">
      <w:pPr>
        <w:widowControl w:val="0"/>
        <w:tabs>
          <w:tab w:val="num" w:pos="120"/>
        </w:tabs>
        <w:jc w:val="both"/>
        <w:rPr>
          <w:sz w:val="22"/>
          <w:szCs w:val="22"/>
        </w:rPr>
      </w:pPr>
      <w:r w:rsidRPr="005D1C94">
        <w:rPr>
          <w:sz w:val="22"/>
          <w:szCs w:val="22"/>
        </w:rPr>
        <w:lastRenderedPageBreak/>
        <w:t>Gastrične lezije mogu se spriječiti/ublažiti oralnim davanjem fiziolokog rastvora  i grupnim smještanjem životinja. Kod pasa su primijećeni renalna tubularna dilatacija i atrofija. Ova otkrića smatraju se posljedicom farmakološke aktivnosti telmisartana.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Nije uočen jasan dokaz teratogenog dejstva. Međutim, pri toksičnim dozama telmisartana, primijećeno je dejstvo na postnatalni razvoj mladunaca, kao što su smanjena tjelesna masa i odloženo otvaranje očiju.</w:t>
      </w:r>
    </w:p>
    <w:p w:rsidR="00F56C88" w:rsidRPr="005D1C94" w:rsidRDefault="00F56C88" w:rsidP="00F56C88">
      <w:pPr>
        <w:widowControl w:val="0"/>
        <w:tabs>
          <w:tab w:val="num" w:pos="120"/>
        </w:tabs>
        <w:jc w:val="both"/>
        <w:rPr>
          <w:sz w:val="22"/>
          <w:szCs w:val="22"/>
        </w:rPr>
      </w:pPr>
      <w:r w:rsidRPr="005D1C94">
        <w:rPr>
          <w:sz w:val="22"/>
          <w:szCs w:val="22"/>
        </w:rPr>
        <w:t xml:space="preserve">Telmisartan nije pokazao dokaze mutagenosti i relevantne klastogene aktivnosti u </w:t>
      </w:r>
      <w:r w:rsidRPr="005D1C94">
        <w:rPr>
          <w:i/>
          <w:sz w:val="22"/>
          <w:szCs w:val="22"/>
        </w:rPr>
        <w:t xml:space="preserve">in vitro </w:t>
      </w:r>
      <w:r w:rsidRPr="005D1C94">
        <w:rPr>
          <w:sz w:val="22"/>
          <w:szCs w:val="22"/>
        </w:rPr>
        <w:t>studijama, niti dokaze kancerogenosti kod pacova i miševa. Studije sa hidrohlortiazidom pokazale su nepouzdan dokaz genotoksičnog ili kancerogenog dejstva kod pojedinih eksperimentalnih modela. Međutim, opsežno iskustvo primjene hidrohlortiazida kod ljudi nije pokazalo vezu između njegove primjene i povećane pojave neoplazmi.</w:t>
      </w:r>
    </w:p>
    <w:p w:rsidR="00F56C88" w:rsidRPr="005D1C94" w:rsidRDefault="00F56C88" w:rsidP="00F56C88">
      <w:pPr>
        <w:widowControl w:val="0"/>
        <w:tabs>
          <w:tab w:val="num" w:pos="120"/>
        </w:tabs>
        <w:jc w:val="both"/>
        <w:rPr>
          <w:sz w:val="22"/>
          <w:szCs w:val="22"/>
        </w:rPr>
      </w:pPr>
      <w:r w:rsidRPr="005D1C94">
        <w:rPr>
          <w:sz w:val="22"/>
          <w:szCs w:val="22"/>
        </w:rPr>
        <w:t>U vezi s toksičnim potencijalom za fetus kombinacije telmisartan/hidrohlortiazid, vidjeti odjeljak 4.6.</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b/>
          <w:sz w:val="22"/>
          <w:szCs w:val="22"/>
        </w:rPr>
      </w:pPr>
      <w:r w:rsidRPr="005D1C94">
        <w:rPr>
          <w:b/>
          <w:sz w:val="22"/>
          <w:szCs w:val="22"/>
        </w:rPr>
        <w:t>6.</w:t>
      </w:r>
      <w:r w:rsidRPr="005D1C94">
        <w:rPr>
          <w:b/>
          <w:sz w:val="22"/>
          <w:szCs w:val="22"/>
        </w:rPr>
        <w:tab/>
        <w:t>FARMACEUTSKI PODACI</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rPr>
      </w:pPr>
      <w:r w:rsidRPr="005D1C94">
        <w:rPr>
          <w:b/>
          <w:sz w:val="22"/>
          <w:szCs w:val="22"/>
        </w:rPr>
        <w:t>6.1</w:t>
      </w:r>
      <w:r w:rsidRPr="005D1C94">
        <w:rPr>
          <w:b/>
          <w:sz w:val="22"/>
          <w:szCs w:val="22"/>
        </w:rPr>
        <w:tab/>
      </w:r>
      <w:r w:rsidR="00CD55B5">
        <w:rPr>
          <w:b/>
          <w:sz w:val="22"/>
          <w:szCs w:val="22"/>
        </w:rPr>
        <w:t>Lista</w:t>
      </w:r>
      <w:r w:rsidRPr="005D1C94">
        <w:rPr>
          <w:b/>
          <w:sz w:val="22"/>
          <w:szCs w:val="22"/>
        </w:rPr>
        <w:t xml:space="preserve"> pomoćnih supstanci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i/>
          <w:sz w:val="22"/>
          <w:szCs w:val="22"/>
          <w:u w:val="single"/>
        </w:rPr>
      </w:pPr>
      <w:r w:rsidRPr="005D1C94">
        <w:rPr>
          <w:i/>
          <w:sz w:val="22"/>
          <w:szCs w:val="22"/>
          <w:u w:val="single"/>
        </w:rPr>
        <w:t>Tablete 40 mg</w:t>
      </w:r>
      <w:r w:rsidRPr="005D1C94">
        <w:rPr>
          <w:sz w:val="22"/>
          <w:szCs w:val="22"/>
          <w:u w:val="single"/>
        </w:rPr>
        <w:t xml:space="preserve"> + </w:t>
      </w:r>
      <w:r w:rsidRPr="005D1C94">
        <w:rPr>
          <w:i/>
          <w:sz w:val="22"/>
          <w:szCs w:val="22"/>
          <w:u w:val="single"/>
        </w:rPr>
        <w:t>12,5 mg i 80 mg</w:t>
      </w:r>
      <w:r w:rsidRPr="005D1C94">
        <w:rPr>
          <w:sz w:val="22"/>
          <w:szCs w:val="22"/>
          <w:u w:val="single"/>
        </w:rPr>
        <w:t xml:space="preserve"> + </w:t>
      </w:r>
      <w:r w:rsidRPr="005D1C94">
        <w:rPr>
          <w:i/>
          <w:sz w:val="22"/>
          <w:szCs w:val="22"/>
          <w:u w:val="single"/>
        </w:rPr>
        <w:t>12,5 mg</w:t>
      </w:r>
    </w:p>
    <w:p w:rsidR="00F56C88" w:rsidRPr="005D1C94" w:rsidRDefault="00F56C88" w:rsidP="00F56C88">
      <w:pPr>
        <w:widowControl w:val="0"/>
        <w:tabs>
          <w:tab w:val="num" w:pos="120"/>
        </w:tabs>
        <w:jc w:val="both"/>
        <w:rPr>
          <w:sz w:val="22"/>
          <w:szCs w:val="22"/>
        </w:rPr>
      </w:pPr>
      <w:r w:rsidRPr="005D1C94">
        <w:rPr>
          <w:sz w:val="22"/>
          <w:szCs w:val="22"/>
        </w:rPr>
        <w:t>hidroksipropilceluloza</w:t>
      </w:r>
    </w:p>
    <w:p w:rsidR="00F56C88" w:rsidRPr="005D1C94" w:rsidRDefault="00F56C88" w:rsidP="00F56C88">
      <w:pPr>
        <w:widowControl w:val="0"/>
        <w:tabs>
          <w:tab w:val="num" w:pos="120"/>
        </w:tabs>
        <w:jc w:val="both"/>
        <w:rPr>
          <w:sz w:val="22"/>
          <w:szCs w:val="22"/>
        </w:rPr>
      </w:pPr>
      <w:r w:rsidRPr="005D1C94">
        <w:rPr>
          <w:sz w:val="22"/>
          <w:szCs w:val="22"/>
        </w:rPr>
        <w:t>laktoza monohidrat</w:t>
      </w:r>
    </w:p>
    <w:p w:rsidR="00F56C88" w:rsidRPr="005D1C94" w:rsidRDefault="00F56C88" w:rsidP="00F56C88">
      <w:pPr>
        <w:widowControl w:val="0"/>
        <w:tabs>
          <w:tab w:val="num" w:pos="120"/>
        </w:tabs>
        <w:jc w:val="both"/>
        <w:rPr>
          <w:sz w:val="22"/>
          <w:szCs w:val="22"/>
        </w:rPr>
      </w:pPr>
      <w:r w:rsidRPr="005D1C94">
        <w:rPr>
          <w:sz w:val="22"/>
          <w:szCs w:val="22"/>
        </w:rPr>
        <w:t>magnezijum stearat</w:t>
      </w:r>
    </w:p>
    <w:p w:rsidR="00F56C88" w:rsidRPr="005D1C94" w:rsidRDefault="00F56C88" w:rsidP="00F56C88">
      <w:pPr>
        <w:widowControl w:val="0"/>
        <w:tabs>
          <w:tab w:val="num" w:pos="120"/>
        </w:tabs>
        <w:jc w:val="both"/>
        <w:rPr>
          <w:sz w:val="22"/>
          <w:szCs w:val="22"/>
        </w:rPr>
      </w:pPr>
      <w:r w:rsidRPr="005D1C94">
        <w:rPr>
          <w:sz w:val="22"/>
          <w:szCs w:val="22"/>
        </w:rPr>
        <w:t>manitol</w:t>
      </w:r>
    </w:p>
    <w:p w:rsidR="00F56C88" w:rsidRPr="005D1C94" w:rsidRDefault="00F56C88" w:rsidP="00F56C88">
      <w:pPr>
        <w:widowControl w:val="0"/>
        <w:tabs>
          <w:tab w:val="num" w:pos="120"/>
        </w:tabs>
        <w:jc w:val="both"/>
        <w:rPr>
          <w:sz w:val="22"/>
          <w:szCs w:val="22"/>
        </w:rPr>
      </w:pPr>
      <w:r w:rsidRPr="005D1C94">
        <w:rPr>
          <w:sz w:val="22"/>
          <w:szCs w:val="22"/>
        </w:rPr>
        <w:t>meglumin</w:t>
      </w:r>
    </w:p>
    <w:p w:rsidR="00F56C88" w:rsidRPr="005D1C94" w:rsidRDefault="00F56C88" w:rsidP="00F56C88">
      <w:pPr>
        <w:widowControl w:val="0"/>
        <w:tabs>
          <w:tab w:val="num" w:pos="120"/>
        </w:tabs>
        <w:jc w:val="both"/>
        <w:rPr>
          <w:iCs/>
          <w:noProof/>
          <w:sz w:val="22"/>
          <w:szCs w:val="22"/>
        </w:rPr>
      </w:pPr>
      <w:r w:rsidRPr="005D1C94">
        <w:rPr>
          <w:sz w:val="22"/>
          <w:szCs w:val="22"/>
        </w:rPr>
        <w:t xml:space="preserve">povidon </w:t>
      </w:r>
      <w:r w:rsidRPr="005D1C94">
        <w:rPr>
          <w:iCs/>
          <w:noProof/>
          <w:sz w:val="22"/>
          <w:szCs w:val="22"/>
        </w:rPr>
        <w:t>(K30)</w:t>
      </w:r>
    </w:p>
    <w:p w:rsidR="00F56C88" w:rsidRPr="005D1C94" w:rsidRDefault="00F56C88" w:rsidP="00F56C88">
      <w:pPr>
        <w:widowControl w:val="0"/>
        <w:tabs>
          <w:tab w:val="num" w:pos="120"/>
        </w:tabs>
        <w:jc w:val="both"/>
        <w:rPr>
          <w:sz w:val="22"/>
          <w:szCs w:val="22"/>
        </w:rPr>
      </w:pPr>
      <w:r w:rsidRPr="005D1C94">
        <w:rPr>
          <w:sz w:val="22"/>
          <w:szCs w:val="22"/>
        </w:rPr>
        <w:t>gvožđe oksid, crveni (E172)</w:t>
      </w:r>
    </w:p>
    <w:p w:rsidR="00F56C88" w:rsidRPr="005D1C94" w:rsidRDefault="00F56C88" w:rsidP="00F56C88">
      <w:pPr>
        <w:widowControl w:val="0"/>
        <w:tabs>
          <w:tab w:val="num" w:pos="120"/>
        </w:tabs>
        <w:jc w:val="both"/>
        <w:rPr>
          <w:sz w:val="22"/>
          <w:szCs w:val="22"/>
        </w:rPr>
      </w:pPr>
      <w:r w:rsidRPr="005D1C94">
        <w:rPr>
          <w:sz w:val="22"/>
          <w:szCs w:val="22"/>
        </w:rPr>
        <w:t>silicijum dioksid, koloidni, bezvodni</w:t>
      </w:r>
    </w:p>
    <w:p w:rsidR="00F56C88" w:rsidRPr="005D1C94" w:rsidRDefault="00F56C88" w:rsidP="00F56C88">
      <w:pPr>
        <w:widowControl w:val="0"/>
        <w:tabs>
          <w:tab w:val="num" w:pos="120"/>
        </w:tabs>
        <w:jc w:val="both"/>
        <w:rPr>
          <w:sz w:val="22"/>
          <w:szCs w:val="22"/>
        </w:rPr>
      </w:pPr>
      <w:r w:rsidRPr="005D1C94">
        <w:rPr>
          <w:sz w:val="22"/>
          <w:szCs w:val="22"/>
        </w:rPr>
        <w:t xml:space="preserve">natrijum hidroksid </w:t>
      </w:r>
      <w:r w:rsidRPr="005D1C94">
        <w:rPr>
          <w:iCs/>
          <w:noProof/>
          <w:sz w:val="22"/>
          <w:szCs w:val="22"/>
        </w:rPr>
        <w:t>(E524)</w:t>
      </w:r>
    </w:p>
    <w:p w:rsidR="00F56C88" w:rsidRPr="005D1C94" w:rsidRDefault="00F56C88" w:rsidP="00F56C88">
      <w:pPr>
        <w:widowControl w:val="0"/>
        <w:tabs>
          <w:tab w:val="num" w:pos="120"/>
        </w:tabs>
        <w:jc w:val="both"/>
        <w:rPr>
          <w:sz w:val="22"/>
          <w:szCs w:val="22"/>
        </w:rPr>
      </w:pPr>
      <w:r w:rsidRPr="005D1C94">
        <w:rPr>
          <w:sz w:val="22"/>
          <w:szCs w:val="22"/>
        </w:rPr>
        <w:t>natrijum stearilfumarat</w:t>
      </w:r>
    </w:p>
    <w:p w:rsidR="00F56C88" w:rsidRPr="005D1C94" w:rsidRDefault="00F56C88" w:rsidP="00F56C88">
      <w:pPr>
        <w:widowControl w:val="0"/>
        <w:tabs>
          <w:tab w:val="num" w:pos="120"/>
        </w:tabs>
        <w:jc w:val="both"/>
        <w:rPr>
          <w:sz w:val="22"/>
          <w:szCs w:val="22"/>
        </w:rPr>
      </w:pPr>
      <w:r w:rsidRPr="005D1C94">
        <w:rPr>
          <w:sz w:val="22"/>
          <w:szCs w:val="22"/>
        </w:rPr>
        <w:t>sorbitol (E420)</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b/>
          <w:sz w:val="22"/>
          <w:szCs w:val="22"/>
          <w:u w:val="single"/>
        </w:rPr>
      </w:pPr>
      <w:r w:rsidRPr="005D1C94">
        <w:rPr>
          <w:i/>
          <w:sz w:val="22"/>
          <w:szCs w:val="22"/>
          <w:u w:val="single"/>
        </w:rPr>
        <w:t>Tablete 80 mg</w:t>
      </w:r>
      <w:r w:rsidRPr="005D1C94">
        <w:rPr>
          <w:sz w:val="22"/>
          <w:szCs w:val="22"/>
          <w:u w:val="single"/>
        </w:rPr>
        <w:t xml:space="preserve"> + </w:t>
      </w:r>
      <w:r w:rsidRPr="005D1C94">
        <w:rPr>
          <w:i/>
          <w:sz w:val="22"/>
          <w:szCs w:val="22"/>
          <w:u w:val="single"/>
        </w:rPr>
        <w:t xml:space="preserve">25 mg </w:t>
      </w:r>
    </w:p>
    <w:p w:rsidR="00F56C88" w:rsidRPr="005D1C94" w:rsidRDefault="00F56C88" w:rsidP="00F56C88">
      <w:pPr>
        <w:widowControl w:val="0"/>
        <w:tabs>
          <w:tab w:val="num" w:pos="120"/>
        </w:tabs>
        <w:jc w:val="both"/>
        <w:rPr>
          <w:sz w:val="22"/>
          <w:szCs w:val="22"/>
        </w:rPr>
      </w:pPr>
      <w:r w:rsidRPr="005D1C94">
        <w:rPr>
          <w:sz w:val="22"/>
          <w:szCs w:val="22"/>
        </w:rPr>
        <w:t>hidroksipropilceluloza</w:t>
      </w:r>
    </w:p>
    <w:p w:rsidR="00F56C88" w:rsidRPr="005D1C94" w:rsidRDefault="00F56C88" w:rsidP="00F56C88">
      <w:pPr>
        <w:widowControl w:val="0"/>
        <w:tabs>
          <w:tab w:val="num" w:pos="120"/>
        </w:tabs>
        <w:jc w:val="both"/>
        <w:rPr>
          <w:sz w:val="22"/>
          <w:szCs w:val="22"/>
        </w:rPr>
      </w:pPr>
      <w:r w:rsidRPr="005D1C94">
        <w:rPr>
          <w:sz w:val="22"/>
          <w:szCs w:val="22"/>
        </w:rPr>
        <w:t>laktoza monohidrat</w:t>
      </w:r>
    </w:p>
    <w:p w:rsidR="00F56C88" w:rsidRPr="005D1C94" w:rsidRDefault="00F56C88" w:rsidP="00F56C88">
      <w:pPr>
        <w:widowControl w:val="0"/>
        <w:tabs>
          <w:tab w:val="num" w:pos="120"/>
        </w:tabs>
        <w:jc w:val="both"/>
        <w:rPr>
          <w:sz w:val="22"/>
          <w:szCs w:val="22"/>
        </w:rPr>
      </w:pPr>
      <w:r w:rsidRPr="005D1C94">
        <w:rPr>
          <w:sz w:val="22"/>
          <w:szCs w:val="22"/>
        </w:rPr>
        <w:t>magnezijum stearat</w:t>
      </w:r>
    </w:p>
    <w:p w:rsidR="00F56C88" w:rsidRPr="005D1C94" w:rsidRDefault="00F56C88" w:rsidP="00F56C88">
      <w:pPr>
        <w:widowControl w:val="0"/>
        <w:tabs>
          <w:tab w:val="num" w:pos="120"/>
        </w:tabs>
        <w:jc w:val="both"/>
        <w:rPr>
          <w:sz w:val="22"/>
          <w:szCs w:val="22"/>
        </w:rPr>
      </w:pPr>
      <w:r w:rsidRPr="005D1C94">
        <w:rPr>
          <w:sz w:val="22"/>
          <w:szCs w:val="22"/>
        </w:rPr>
        <w:t>manitol</w:t>
      </w:r>
    </w:p>
    <w:p w:rsidR="00F56C88" w:rsidRPr="005D1C94" w:rsidRDefault="00F56C88" w:rsidP="00F56C88">
      <w:pPr>
        <w:widowControl w:val="0"/>
        <w:tabs>
          <w:tab w:val="num" w:pos="120"/>
        </w:tabs>
        <w:jc w:val="both"/>
        <w:rPr>
          <w:sz w:val="22"/>
          <w:szCs w:val="22"/>
        </w:rPr>
      </w:pPr>
      <w:r w:rsidRPr="005D1C94">
        <w:rPr>
          <w:sz w:val="22"/>
          <w:szCs w:val="22"/>
        </w:rPr>
        <w:t>meglumin</w:t>
      </w:r>
    </w:p>
    <w:p w:rsidR="00F56C88" w:rsidRPr="005D1C94" w:rsidRDefault="00F56C88" w:rsidP="00F56C88">
      <w:pPr>
        <w:widowControl w:val="0"/>
        <w:tabs>
          <w:tab w:val="num" w:pos="120"/>
        </w:tabs>
        <w:jc w:val="both"/>
        <w:rPr>
          <w:sz w:val="22"/>
          <w:szCs w:val="22"/>
        </w:rPr>
      </w:pPr>
      <w:r w:rsidRPr="005D1C94">
        <w:rPr>
          <w:sz w:val="22"/>
          <w:szCs w:val="22"/>
        </w:rPr>
        <w:t>povidon (K30)</w:t>
      </w:r>
    </w:p>
    <w:p w:rsidR="00F56C88" w:rsidRPr="005D1C94" w:rsidRDefault="00F56C88" w:rsidP="00F56C88">
      <w:pPr>
        <w:widowControl w:val="0"/>
        <w:tabs>
          <w:tab w:val="num" w:pos="120"/>
        </w:tabs>
        <w:jc w:val="both"/>
        <w:rPr>
          <w:sz w:val="22"/>
          <w:szCs w:val="22"/>
        </w:rPr>
      </w:pPr>
      <w:r w:rsidRPr="005D1C94">
        <w:rPr>
          <w:sz w:val="22"/>
          <w:szCs w:val="22"/>
        </w:rPr>
        <w:t>gvožđe oksid, žuti (E172)</w:t>
      </w:r>
    </w:p>
    <w:p w:rsidR="00F56C88" w:rsidRPr="005D1C94" w:rsidRDefault="00F56C88" w:rsidP="00F56C88">
      <w:pPr>
        <w:widowControl w:val="0"/>
        <w:tabs>
          <w:tab w:val="num" w:pos="120"/>
        </w:tabs>
        <w:jc w:val="both"/>
        <w:rPr>
          <w:sz w:val="22"/>
          <w:szCs w:val="22"/>
        </w:rPr>
      </w:pPr>
      <w:r w:rsidRPr="005D1C94">
        <w:rPr>
          <w:sz w:val="22"/>
          <w:szCs w:val="22"/>
        </w:rPr>
        <w:t>silicijum dioksid, koloidni, bezvodni</w:t>
      </w:r>
    </w:p>
    <w:p w:rsidR="00F56C88" w:rsidRPr="005D1C94" w:rsidRDefault="00F56C88" w:rsidP="00F56C88">
      <w:pPr>
        <w:widowControl w:val="0"/>
        <w:tabs>
          <w:tab w:val="num" w:pos="120"/>
        </w:tabs>
        <w:jc w:val="both"/>
        <w:rPr>
          <w:sz w:val="22"/>
          <w:szCs w:val="22"/>
        </w:rPr>
      </w:pPr>
      <w:r w:rsidRPr="005D1C94">
        <w:rPr>
          <w:sz w:val="22"/>
          <w:szCs w:val="22"/>
        </w:rPr>
        <w:t xml:space="preserve">natrijum hidroksid </w:t>
      </w:r>
      <w:r w:rsidRPr="005D1C94">
        <w:rPr>
          <w:iCs/>
          <w:noProof/>
          <w:sz w:val="22"/>
          <w:szCs w:val="22"/>
        </w:rPr>
        <w:t>(E524)</w:t>
      </w:r>
    </w:p>
    <w:p w:rsidR="00F56C88" w:rsidRPr="005D1C94" w:rsidRDefault="00F56C88" w:rsidP="00F56C88">
      <w:pPr>
        <w:widowControl w:val="0"/>
        <w:tabs>
          <w:tab w:val="num" w:pos="120"/>
        </w:tabs>
        <w:jc w:val="both"/>
        <w:rPr>
          <w:sz w:val="22"/>
          <w:szCs w:val="22"/>
        </w:rPr>
      </w:pPr>
      <w:r w:rsidRPr="005D1C94">
        <w:rPr>
          <w:sz w:val="22"/>
          <w:szCs w:val="22"/>
        </w:rPr>
        <w:t>natrijum stearilfumarat</w:t>
      </w:r>
    </w:p>
    <w:p w:rsidR="00F56C88" w:rsidRPr="005D1C94" w:rsidRDefault="00F56C88" w:rsidP="00F56C88">
      <w:pPr>
        <w:widowControl w:val="0"/>
        <w:tabs>
          <w:tab w:val="num" w:pos="120"/>
        </w:tabs>
        <w:jc w:val="both"/>
        <w:rPr>
          <w:sz w:val="22"/>
          <w:szCs w:val="22"/>
        </w:rPr>
      </w:pPr>
      <w:r w:rsidRPr="005D1C94">
        <w:rPr>
          <w:sz w:val="22"/>
          <w:szCs w:val="22"/>
        </w:rPr>
        <w:t>sorbitol (E420)</w:t>
      </w:r>
    </w:p>
    <w:p w:rsidR="00F56C88" w:rsidRDefault="00F56C88" w:rsidP="00F56C88">
      <w:pPr>
        <w:widowControl w:val="0"/>
        <w:tabs>
          <w:tab w:val="num" w:pos="120"/>
        </w:tabs>
        <w:jc w:val="both"/>
        <w:rPr>
          <w:sz w:val="22"/>
          <w:szCs w:val="22"/>
        </w:rPr>
      </w:pPr>
    </w:p>
    <w:p w:rsidR="00470BE5" w:rsidRPr="005D1C94" w:rsidRDefault="00470BE5" w:rsidP="00F56C88">
      <w:pPr>
        <w:widowControl w:val="0"/>
        <w:tabs>
          <w:tab w:val="num" w:pos="120"/>
        </w:tabs>
        <w:jc w:val="both"/>
        <w:rPr>
          <w:sz w:val="22"/>
          <w:szCs w:val="22"/>
        </w:rPr>
      </w:pPr>
    </w:p>
    <w:p w:rsidR="00F56C88" w:rsidRPr="005D1C94" w:rsidRDefault="00F56C88" w:rsidP="00F56C88">
      <w:pPr>
        <w:widowControl w:val="0"/>
        <w:tabs>
          <w:tab w:val="num" w:pos="567"/>
        </w:tabs>
        <w:jc w:val="both"/>
        <w:rPr>
          <w:sz w:val="22"/>
          <w:szCs w:val="22"/>
        </w:rPr>
      </w:pPr>
      <w:r w:rsidRPr="005D1C94">
        <w:rPr>
          <w:b/>
          <w:sz w:val="22"/>
          <w:szCs w:val="22"/>
        </w:rPr>
        <w:lastRenderedPageBreak/>
        <w:t>6.2</w:t>
      </w:r>
      <w:r w:rsidRPr="005D1C94">
        <w:rPr>
          <w:sz w:val="22"/>
          <w:szCs w:val="22"/>
        </w:rPr>
        <w:tab/>
      </w:r>
      <w:r w:rsidRPr="005D1C94">
        <w:rPr>
          <w:b/>
          <w:sz w:val="22"/>
          <w:szCs w:val="22"/>
        </w:rPr>
        <w:t>Inkompatibilnosti</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rPr>
      </w:pPr>
      <w:r w:rsidRPr="005D1C94">
        <w:rPr>
          <w:sz w:val="22"/>
          <w:szCs w:val="22"/>
        </w:rPr>
        <w:t>Nije primjenjivo.</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left" w:pos="567"/>
        </w:tabs>
        <w:jc w:val="both"/>
        <w:rPr>
          <w:sz w:val="22"/>
          <w:szCs w:val="22"/>
        </w:rPr>
      </w:pPr>
      <w:r w:rsidRPr="005D1C94">
        <w:rPr>
          <w:b/>
          <w:sz w:val="22"/>
          <w:szCs w:val="22"/>
        </w:rPr>
        <w:t>6.3</w:t>
      </w:r>
      <w:r w:rsidRPr="005D1C94">
        <w:rPr>
          <w:b/>
          <w:sz w:val="22"/>
          <w:szCs w:val="22"/>
        </w:rPr>
        <w:tab/>
        <w:t>Rok upotrebe</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jc w:val="both"/>
        <w:rPr>
          <w:sz w:val="22"/>
          <w:szCs w:val="22"/>
        </w:rPr>
      </w:pPr>
      <w:r w:rsidRPr="005D1C94">
        <w:rPr>
          <w:sz w:val="22"/>
          <w:szCs w:val="22"/>
        </w:rPr>
        <w:t>3 godine</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b/>
          <w:sz w:val="22"/>
          <w:szCs w:val="22"/>
        </w:rPr>
      </w:pPr>
      <w:r w:rsidRPr="005D1C94">
        <w:rPr>
          <w:b/>
          <w:sz w:val="22"/>
          <w:szCs w:val="22"/>
        </w:rPr>
        <w:t>6.4</w:t>
      </w:r>
      <w:r w:rsidRPr="005D1C94">
        <w:rPr>
          <w:b/>
          <w:sz w:val="22"/>
          <w:szCs w:val="22"/>
        </w:rPr>
        <w:tab/>
        <w:t>Posebne mjere upozorenja pri čuvanju lijeka</w:t>
      </w:r>
    </w:p>
    <w:p w:rsidR="00F56C88" w:rsidRPr="005D1C94" w:rsidRDefault="00F56C88" w:rsidP="00F56C88">
      <w:pPr>
        <w:widowControl w:val="0"/>
        <w:tabs>
          <w:tab w:val="num" w:pos="120"/>
        </w:tabs>
        <w:jc w:val="both"/>
        <w:rPr>
          <w:b/>
          <w:sz w:val="22"/>
          <w:szCs w:val="22"/>
        </w:rPr>
      </w:pPr>
    </w:p>
    <w:p w:rsidR="00F56C88" w:rsidRPr="005D1C94" w:rsidRDefault="00F56C88" w:rsidP="00F56C88">
      <w:pPr>
        <w:widowControl w:val="0"/>
        <w:tabs>
          <w:tab w:val="num" w:pos="120"/>
        </w:tabs>
        <w:jc w:val="both"/>
        <w:rPr>
          <w:sz w:val="22"/>
          <w:szCs w:val="22"/>
        </w:rPr>
      </w:pPr>
      <w:r w:rsidRPr="005D1C94">
        <w:rPr>
          <w:sz w:val="22"/>
          <w:szCs w:val="22"/>
          <w:lang w:val="hr-HR"/>
        </w:rPr>
        <w:t xml:space="preserve">Lijek ne zahtijeva posebne temperaturne uslove čuvanja. </w:t>
      </w:r>
      <w:r w:rsidRPr="005D1C94">
        <w:rPr>
          <w:sz w:val="22"/>
          <w:szCs w:val="22"/>
        </w:rPr>
        <w:t>Čuvati u originalnom pakovanju radi zaštite od svjetlosti.</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567"/>
        </w:tabs>
        <w:jc w:val="both"/>
        <w:rPr>
          <w:sz w:val="22"/>
          <w:szCs w:val="22"/>
        </w:rPr>
      </w:pPr>
      <w:r w:rsidRPr="005D1C94">
        <w:rPr>
          <w:b/>
          <w:sz w:val="22"/>
          <w:szCs w:val="22"/>
        </w:rPr>
        <w:t>6.5</w:t>
      </w:r>
      <w:r w:rsidRPr="005D1C94">
        <w:rPr>
          <w:sz w:val="22"/>
          <w:szCs w:val="22"/>
        </w:rPr>
        <w:tab/>
      </w:r>
      <w:r w:rsidRPr="005D1C94">
        <w:rPr>
          <w:b/>
          <w:sz w:val="22"/>
          <w:szCs w:val="22"/>
        </w:rPr>
        <w:t>Vrsta i sadržaj pakovanja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tabs>
          <w:tab w:val="num" w:pos="120"/>
        </w:tabs>
        <w:jc w:val="both"/>
        <w:rPr>
          <w:sz w:val="22"/>
          <w:szCs w:val="22"/>
        </w:rPr>
      </w:pPr>
      <w:r w:rsidRPr="005D1C94">
        <w:rPr>
          <w:sz w:val="22"/>
          <w:szCs w:val="22"/>
        </w:rPr>
        <w:t>Blisteri (OPA/Al/PVC folija//Al folija): 28 i 30 tableta u kutiji.</w:t>
      </w:r>
    </w:p>
    <w:p w:rsidR="00F56C88" w:rsidRPr="005D1C94" w:rsidRDefault="00F56C88" w:rsidP="00F56C88">
      <w:pPr>
        <w:widowControl w:val="0"/>
        <w:jc w:val="both"/>
        <w:rPr>
          <w:sz w:val="22"/>
          <w:szCs w:val="22"/>
        </w:rPr>
      </w:pPr>
    </w:p>
    <w:p w:rsidR="00F56C88" w:rsidRPr="005D1C94" w:rsidRDefault="00F56C88" w:rsidP="00F56C88">
      <w:pPr>
        <w:widowControl w:val="0"/>
        <w:tabs>
          <w:tab w:val="num" w:pos="567"/>
        </w:tabs>
        <w:jc w:val="both"/>
        <w:rPr>
          <w:b/>
          <w:sz w:val="22"/>
          <w:szCs w:val="22"/>
        </w:rPr>
      </w:pPr>
      <w:r w:rsidRPr="005D1C94">
        <w:rPr>
          <w:b/>
          <w:sz w:val="22"/>
          <w:szCs w:val="22"/>
        </w:rPr>
        <w:t>6.6</w:t>
      </w:r>
      <w:r w:rsidRPr="005D1C94">
        <w:rPr>
          <w:b/>
          <w:sz w:val="22"/>
          <w:szCs w:val="22"/>
        </w:rPr>
        <w:tab/>
        <w:t>Posebne mjere opreza pri odlaganju materijala koji treba odbaciti nakon primjene lijeka</w:t>
      </w:r>
    </w:p>
    <w:p w:rsidR="00F56C88" w:rsidRPr="005D1C94" w:rsidRDefault="00F56C88" w:rsidP="00F56C88">
      <w:pPr>
        <w:widowControl w:val="0"/>
        <w:jc w:val="both"/>
        <w:rPr>
          <w:sz w:val="22"/>
          <w:szCs w:val="22"/>
        </w:rPr>
      </w:pPr>
    </w:p>
    <w:p w:rsidR="00F56C88" w:rsidRPr="005D1C94" w:rsidRDefault="00F56C88" w:rsidP="00F56C88">
      <w:pPr>
        <w:jc w:val="both"/>
        <w:rPr>
          <w:sz w:val="22"/>
          <w:szCs w:val="22"/>
        </w:rPr>
      </w:pPr>
      <w:r w:rsidRPr="005D1C94">
        <w:rPr>
          <w:sz w:val="22"/>
          <w:szCs w:val="22"/>
        </w:rPr>
        <w:t>Neupotrijebljeni lijek se uništava u skladu sa važećim propisima.</w:t>
      </w:r>
    </w:p>
    <w:p w:rsidR="00F56C88" w:rsidRPr="005D1C94" w:rsidRDefault="00F56C88" w:rsidP="00F56C88">
      <w:pPr>
        <w:widowControl w:val="0"/>
        <w:tabs>
          <w:tab w:val="num" w:pos="120"/>
        </w:tabs>
        <w:jc w:val="both"/>
        <w:rPr>
          <w:sz w:val="22"/>
          <w:szCs w:val="22"/>
        </w:rPr>
      </w:pPr>
    </w:p>
    <w:p w:rsidR="00F56C88" w:rsidRPr="005D1C94" w:rsidRDefault="00F56C88" w:rsidP="00F56C88">
      <w:pPr>
        <w:widowControl w:val="0"/>
        <w:ind w:left="567" w:hanging="567"/>
        <w:jc w:val="both"/>
        <w:rPr>
          <w:b/>
          <w:sz w:val="22"/>
          <w:szCs w:val="22"/>
        </w:rPr>
      </w:pPr>
      <w:r w:rsidRPr="005D1C94">
        <w:rPr>
          <w:b/>
          <w:sz w:val="22"/>
          <w:szCs w:val="22"/>
        </w:rPr>
        <w:t>6.7</w:t>
      </w:r>
      <w:r w:rsidRPr="005D1C94">
        <w:rPr>
          <w:b/>
          <w:sz w:val="22"/>
          <w:szCs w:val="22"/>
        </w:rPr>
        <w:tab/>
        <w:t>Režim izdavanja lijeka</w:t>
      </w:r>
    </w:p>
    <w:p w:rsidR="00F56C88" w:rsidRPr="005D1C94" w:rsidRDefault="00F56C88" w:rsidP="00F56C88">
      <w:pPr>
        <w:widowControl w:val="0"/>
        <w:ind w:left="567" w:hanging="567"/>
        <w:jc w:val="both"/>
        <w:rPr>
          <w:b/>
          <w:sz w:val="22"/>
          <w:szCs w:val="22"/>
        </w:rPr>
      </w:pPr>
    </w:p>
    <w:p w:rsidR="00F56C88" w:rsidRPr="005D1C94" w:rsidRDefault="00F56C88" w:rsidP="00F56C88">
      <w:pPr>
        <w:jc w:val="both"/>
        <w:rPr>
          <w:sz w:val="22"/>
          <w:szCs w:val="22"/>
        </w:rPr>
      </w:pPr>
      <w:r w:rsidRPr="005D1C94">
        <w:rPr>
          <w:sz w:val="22"/>
          <w:szCs w:val="22"/>
        </w:rPr>
        <w:t>Obnovljiv (višekratni) recept</w:t>
      </w:r>
    </w:p>
    <w:p w:rsidR="00F56C88" w:rsidRPr="005D1C94" w:rsidRDefault="00F56C88" w:rsidP="00F56C88">
      <w:pPr>
        <w:widowControl w:val="0"/>
        <w:ind w:left="567" w:hanging="567"/>
        <w:jc w:val="both"/>
        <w:rPr>
          <w:b/>
          <w:sz w:val="22"/>
          <w:szCs w:val="22"/>
        </w:rPr>
      </w:pPr>
    </w:p>
    <w:p w:rsidR="00F56C88" w:rsidRPr="005D1C94" w:rsidRDefault="00F56C88" w:rsidP="00F56C88">
      <w:pPr>
        <w:widowControl w:val="0"/>
        <w:ind w:left="567" w:hanging="567"/>
        <w:jc w:val="both"/>
        <w:rPr>
          <w:b/>
          <w:sz w:val="22"/>
          <w:szCs w:val="22"/>
        </w:rPr>
      </w:pPr>
    </w:p>
    <w:p w:rsidR="00F56C88" w:rsidRPr="005D1C94" w:rsidRDefault="00F56C88" w:rsidP="00F56C88">
      <w:pPr>
        <w:widowControl w:val="0"/>
        <w:tabs>
          <w:tab w:val="left" w:pos="567"/>
        </w:tabs>
        <w:jc w:val="both"/>
        <w:rPr>
          <w:b/>
          <w:caps/>
          <w:sz w:val="22"/>
          <w:szCs w:val="22"/>
        </w:rPr>
      </w:pPr>
      <w:r w:rsidRPr="005D1C94">
        <w:rPr>
          <w:b/>
          <w:caps/>
          <w:sz w:val="22"/>
          <w:szCs w:val="22"/>
        </w:rPr>
        <w:t>7.</w:t>
      </w:r>
      <w:r w:rsidRPr="005D1C94">
        <w:rPr>
          <w:b/>
          <w:caps/>
          <w:sz w:val="22"/>
          <w:szCs w:val="22"/>
        </w:rPr>
        <w:tab/>
        <w:t>nosiLAC DOZVOLE</w:t>
      </w:r>
    </w:p>
    <w:p w:rsidR="00F56C88" w:rsidRPr="005D1C94" w:rsidRDefault="00F56C88" w:rsidP="00F56C88">
      <w:pPr>
        <w:widowControl w:val="0"/>
        <w:jc w:val="both"/>
        <w:rPr>
          <w:b/>
          <w:caps/>
          <w:sz w:val="22"/>
          <w:szCs w:val="22"/>
        </w:rPr>
      </w:pPr>
    </w:p>
    <w:p w:rsidR="00470BE5" w:rsidRPr="00470BE5" w:rsidRDefault="00470BE5" w:rsidP="00470BE5">
      <w:pPr>
        <w:widowControl w:val="0"/>
        <w:jc w:val="both"/>
        <w:rPr>
          <w:sz w:val="22"/>
          <w:szCs w:val="22"/>
        </w:rPr>
      </w:pPr>
      <w:r w:rsidRPr="00470BE5">
        <w:rPr>
          <w:sz w:val="22"/>
          <w:szCs w:val="22"/>
        </w:rPr>
        <w:t>D</w:t>
      </w:r>
      <w:r w:rsidR="00621732">
        <w:rPr>
          <w:sz w:val="22"/>
          <w:szCs w:val="22"/>
        </w:rPr>
        <w:t>.</w:t>
      </w:r>
      <w:r w:rsidRPr="00470BE5">
        <w:rPr>
          <w:sz w:val="22"/>
          <w:szCs w:val="22"/>
        </w:rPr>
        <w:t>S</w:t>
      </w:r>
      <w:r w:rsidR="00621732">
        <w:rPr>
          <w:sz w:val="22"/>
          <w:szCs w:val="22"/>
        </w:rPr>
        <w:t>.</w:t>
      </w:r>
      <w:r w:rsidRPr="00470BE5">
        <w:rPr>
          <w:sz w:val="22"/>
          <w:szCs w:val="22"/>
        </w:rPr>
        <w:t>D</w:t>
      </w:r>
      <w:r w:rsidR="00621732">
        <w:rPr>
          <w:sz w:val="22"/>
          <w:szCs w:val="22"/>
        </w:rPr>
        <w:t>.</w:t>
      </w:r>
      <w:r w:rsidRPr="00470BE5">
        <w:rPr>
          <w:sz w:val="22"/>
          <w:szCs w:val="22"/>
        </w:rPr>
        <w:t xml:space="preserve"> „KRKA, d.d., Novo mesto“ </w:t>
      </w:r>
      <w:r w:rsidR="00621732">
        <w:rPr>
          <w:sz w:val="22"/>
          <w:szCs w:val="22"/>
        </w:rPr>
        <w:t xml:space="preserve">Slovenija </w:t>
      </w:r>
      <w:r w:rsidRPr="00470BE5">
        <w:rPr>
          <w:sz w:val="22"/>
          <w:szCs w:val="22"/>
        </w:rPr>
        <w:t>– predstavništvo Podgorica</w:t>
      </w:r>
    </w:p>
    <w:p w:rsidR="00F56C88" w:rsidRPr="005D1C94" w:rsidRDefault="00621732" w:rsidP="00470BE5">
      <w:pPr>
        <w:widowControl w:val="0"/>
        <w:jc w:val="both"/>
        <w:rPr>
          <w:sz w:val="22"/>
          <w:szCs w:val="22"/>
        </w:rPr>
      </w:pPr>
      <w:r>
        <w:rPr>
          <w:sz w:val="22"/>
          <w:szCs w:val="22"/>
        </w:rPr>
        <w:t xml:space="preserve">Svetlane </w:t>
      </w:r>
      <w:r w:rsidR="00470BE5">
        <w:rPr>
          <w:sz w:val="22"/>
          <w:szCs w:val="22"/>
        </w:rPr>
        <w:t xml:space="preserve">Kane Radević br. 3, </w:t>
      </w:r>
      <w:r w:rsidR="00470BE5" w:rsidRPr="00470BE5">
        <w:rPr>
          <w:sz w:val="22"/>
          <w:szCs w:val="22"/>
        </w:rPr>
        <w:t>81000 Podgorica, Crna Gora</w:t>
      </w:r>
    </w:p>
    <w:p w:rsidR="00F56C88" w:rsidRDefault="00F56C88" w:rsidP="00F56C88">
      <w:pPr>
        <w:widowControl w:val="0"/>
        <w:jc w:val="both"/>
        <w:rPr>
          <w:sz w:val="22"/>
          <w:szCs w:val="22"/>
        </w:rPr>
      </w:pPr>
    </w:p>
    <w:p w:rsidR="00470BE5" w:rsidRPr="005D1C94" w:rsidRDefault="00470BE5" w:rsidP="00F56C88">
      <w:pPr>
        <w:widowControl w:val="0"/>
        <w:jc w:val="both"/>
        <w:rPr>
          <w:sz w:val="22"/>
          <w:szCs w:val="22"/>
        </w:rPr>
      </w:pPr>
    </w:p>
    <w:p w:rsidR="00F56C88" w:rsidRPr="005D1C94" w:rsidRDefault="00862666" w:rsidP="00F56C88">
      <w:pPr>
        <w:widowControl w:val="0"/>
        <w:tabs>
          <w:tab w:val="left" w:pos="567"/>
        </w:tabs>
        <w:jc w:val="both"/>
        <w:rPr>
          <w:b/>
          <w:caps/>
          <w:sz w:val="22"/>
          <w:szCs w:val="22"/>
        </w:rPr>
      </w:pPr>
      <w:r>
        <w:rPr>
          <w:b/>
          <w:caps/>
          <w:sz w:val="22"/>
          <w:szCs w:val="22"/>
        </w:rPr>
        <w:t>8.</w:t>
      </w:r>
      <w:r>
        <w:rPr>
          <w:b/>
          <w:caps/>
          <w:sz w:val="22"/>
          <w:szCs w:val="22"/>
        </w:rPr>
        <w:tab/>
        <w:t>BROJ PRVE DOZVOLE/</w:t>
      </w:r>
      <w:r w:rsidRPr="00862666">
        <w:rPr>
          <w:b/>
          <w:caps/>
          <w:sz w:val="22"/>
          <w:szCs w:val="22"/>
        </w:rPr>
        <w:t>OBNOVE DOZVOLE</w:t>
      </w:r>
    </w:p>
    <w:p w:rsidR="004634A2" w:rsidRPr="005D1C94" w:rsidRDefault="004634A2" w:rsidP="00F56C88">
      <w:pPr>
        <w:widowControl w:val="0"/>
        <w:tabs>
          <w:tab w:val="left" w:pos="567"/>
        </w:tabs>
        <w:jc w:val="both"/>
        <w:rPr>
          <w:b/>
          <w:sz w:val="22"/>
          <w:szCs w:val="22"/>
        </w:rPr>
      </w:pPr>
    </w:p>
    <w:p w:rsidR="004634A2" w:rsidRPr="005D1C94" w:rsidRDefault="004634A2" w:rsidP="004634A2">
      <w:pPr>
        <w:rPr>
          <w:sz w:val="22"/>
          <w:szCs w:val="22"/>
        </w:rPr>
      </w:pPr>
      <w:r w:rsidRPr="005D1C94">
        <w:rPr>
          <w:sz w:val="22"/>
          <w:szCs w:val="22"/>
        </w:rPr>
        <w:t xml:space="preserve">Tolucombi®, tableta, 40 mg + 12.5 mg, blister, 4x7 tableta: 2030/15/483 – 5639 </w:t>
      </w:r>
    </w:p>
    <w:p w:rsidR="004634A2" w:rsidRPr="005D1C94" w:rsidRDefault="004634A2" w:rsidP="004634A2">
      <w:pPr>
        <w:rPr>
          <w:sz w:val="22"/>
          <w:szCs w:val="22"/>
        </w:rPr>
      </w:pPr>
      <w:r w:rsidRPr="005D1C94">
        <w:rPr>
          <w:sz w:val="22"/>
          <w:szCs w:val="22"/>
        </w:rPr>
        <w:t xml:space="preserve">Tolucombi®, tableta, 40 mg + 12.5 mg, blister, 3x10 tableta: 2030/15/484 - 5640 </w:t>
      </w:r>
    </w:p>
    <w:p w:rsidR="004634A2" w:rsidRPr="005D1C94" w:rsidRDefault="004634A2" w:rsidP="004634A2">
      <w:pPr>
        <w:rPr>
          <w:sz w:val="22"/>
          <w:szCs w:val="22"/>
        </w:rPr>
      </w:pPr>
      <w:r w:rsidRPr="005D1C94">
        <w:rPr>
          <w:sz w:val="22"/>
          <w:szCs w:val="22"/>
        </w:rPr>
        <w:t xml:space="preserve">Tolucombi®, tableta, 80 mg + 12.5 mg, blister, 4x7 tableta: 2030/15/485 - 5641 </w:t>
      </w:r>
    </w:p>
    <w:p w:rsidR="004634A2" w:rsidRPr="005D1C94" w:rsidRDefault="004634A2" w:rsidP="004634A2">
      <w:pPr>
        <w:rPr>
          <w:sz w:val="22"/>
          <w:szCs w:val="22"/>
        </w:rPr>
      </w:pPr>
      <w:r w:rsidRPr="005D1C94">
        <w:rPr>
          <w:sz w:val="22"/>
          <w:szCs w:val="22"/>
        </w:rPr>
        <w:t xml:space="preserve">Tolucombi®, tableta, 80 mg + 12.5 mg, blister, 3x10 tableta: 2030/15/487 - 5642 </w:t>
      </w:r>
    </w:p>
    <w:p w:rsidR="004634A2" w:rsidRPr="005D1C94" w:rsidRDefault="004634A2" w:rsidP="004634A2">
      <w:pPr>
        <w:rPr>
          <w:sz w:val="22"/>
          <w:szCs w:val="22"/>
        </w:rPr>
      </w:pPr>
      <w:r w:rsidRPr="005D1C94">
        <w:rPr>
          <w:sz w:val="22"/>
          <w:szCs w:val="22"/>
        </w:rPr>
        <w:t xml:space="preserve">Tolucombi®, tableta, 80 mg + 25 mg, blister, 4x7 tableta: 2030/15/489 - 5643 </w:t>
      </w:r>
    </w:p>
    <w:p w:rsidR="004634A2" w:rsidRPr="005D1C94" w:rsidRDefault="004634A2" w:rsidP="004634A2">
      <w:pPr>
        <w:rPr>
          <w:sz w:val="22"/>
          <w:szCs w:val="22"/>
        </w:rPr>
      </w:pPr>
      <w:r w:rsidRPr="005D1C94">
        <w:rPr>
          <w:sz w:val="22"/>
          <w:szCs w:val="22"/>
        </w:rPr>
        <w:t xml:space="preserve">Tolucombi®, tableta, 80 mg + 25 mg, blister, 3x10 tableta: 2030/15/490 - 5644 </w:t>
      </w:r>
    </w:p>
    <w:p w:rsidR="00F56C88" w:rsidRDefault="00F56C88" w:rsidP="00F56C88">
      <w:pPr>
        <w:widowControl w:val="0"/>
        <w:jc w:val="both"/>
        <w:rPr>
          <w:sz w:val="22"/>
          <w:szCs w:val="22"/>
        </w:rPr>
      </w:pPr>
      <w:bookmarkStart w:id="0" w:name="_GoBack"/>
      <w:bookmarkEnd w:id="0"/>
    </w:p>
    <w:p w:rsidR="00470BE5" w:rsidRDefault="00470BE5" w:rsidP="00F56C88">
      <w:pPr>
        <w:widowControl w:val="0"/>
        <w:jc w:val="both"/>
        <w:rPr>
          <w:sz w:val="22"/>
          <w:szCs w:val="22"/>
        </w:rPr>
      </w:pPr>
    </w:p>
    <w:p w:rsidR="00470BE5" w:rsidRPr="005D1C94" w:rsidRDefault="00470BE5" w:rsidP="00F56C88">
      <w:pPr>
        <w:widowControl w:val="0"/>
        <w:jc w:val="both"/>
        <w:rPr>
          <w:sz w:val="22"/>
          <w:szCs w:val="22"/>
        </w:rPr>
      </w:pPr>
    </w:p>
    <w:p w:rsidR="00F56C88" w:rsidRPr="005D1C94" w:rsidRDefault="00F56C88" w:rsidP="00F56C88">
      <w:pPr>
        <w:widowControl w:val="0"/>
        <w:tabs>
          <w:tab w:val="left" w:pos="567"/>
        </w:tabs>
        <w:jc w:val="both"/>
        <w:rPr>
          <w:b/>
          <w:caps/>
          <w:sz w:val="22"/>
          <w:szCs w:val="22"/>
        </w:rPr>
      </w:pPr>
      <w:r w:rsidRPr="005D1C94">
        <w:rPr>
          <w:b/>
          <w:caps/>
          <w:sz w:val="22"/>
          <w:szCs w:val="22"/>
        </w:rPr>
        <w:t>9.</w:t>
      </w:r>
      <w:r w:rsidRPr="005D1C94">
        <w:rPr>
          <w:b/>
          <w:caps/>
          <w:sz w:val="22"/>
          <w:szCs w:val="22"/>
        </w:rPr>
        <w:tab/>
        <w:t>Datum prv</w:t>
      </w:r>
      <w:r w:rsidR="00862666">
        <w:rPr>
          <w:b/>
          <w:caps/>
          <w:sz w:val="22"/>
          <w:szCs w:val="22"/>
        </w:rPr>
        <w:t>e</w:t>
      </w:r>
      <w:r w:rsidRPr="005D1C94">
        <w:rPr>
          <w:b/>
          <w:caps/>
          <w:sz w:val="22"/>
          <w:szCs w:val="22"/>
        </w:rPr>
        <w:t xml:space="preserve"> DOZVOLE/datum obnove DOZVOLE</w:t>
      </w:r>
    </w:p>
    <w:p w:rsidR="00F56C88" w:rsidRPr="005D1C94" w:rsidRDefault="00F56C88" w:rsidP="00F56C88">
      <w:pPr>
        <w:widowControl w:val="0"/>
        <w:jc w:val="both"/>
        <w:rPr>
          <w:b/>
          <w:caps/>
          <w:sz w:val="22"/>
          <w:szCs w:val="22"/>
        </w:rPr>
      </w:pPr>
    </w:p>
    <w:p w:rsidR="004634A2" w:rsidRPr="005D1C94" w:rsidRDefault="004634A2" w:rsidP="004634A2">
      <w:pPr>
        <w:rPr>
          <w:sz w:val="22"/>
          <w:szCs w:val="22"/>
        </w:rPr>
      </w:pPr>
      <w:r w:rsidRPr="005D1C94">
        <w:rPr>
          <w:sz w:val="22"/>
          <w:szCs w:val="22"/>
        </w:rPr>
        <w:lastRenderedPageBreak/>
        <w:t>Tolucombi®, tableta, 40 mg + 12.5 mg, blister, 4x7 tableta: 03.12.2015. godine</w:t>
      </w:r>
    </w:p>
    <w:p w:rsidR="004634A2" w:rsidRPr="005D1C94" w:rsidRDefault="004634A2" w:rsidP="004634A2">
      <w:pPr>
        <w:rPr>
          <w:sz w:val="22"/>
          <w:szCs w:val="22"/>
        </w:rPr>
      </w:pPr>
      <w:r w:rsidRPr="005D1C94">
        <w:rPr>
          <w:sz w:val="22"/>
          <w:szCs w:val="22"/>
        </w:rPr>
        <w:t>Tolucombi®, tableta, 40 mg + 12.5 mg, blister, 3x10 tableta: 03.12.2015. godine</w:t>
      </w:r>
    </w:p>
    <w:p w:rsidR="004634A2" w:rsidRPr="005D1C94" w:rsidRDefault="004634A2" w:rsidP="004634A2">
      <w:pPr>
        <w:rPr>
          <w:sz w:val="22"/>
          <w:szCs w:val="22"/>
        </w:rPr>
      </w:pPr>
      <w:r w:rsidRPr="005D1C94">
        <w:rPr>
          <w:sz w:val="22"/>
          <w:szCs w:val="22"/>
        </w:rPr>
        <w:t xml:space="preserve">Tolucombi®, tableta, 80 mg + 12.5 mg, blister, 4x7 tableta: </w:t>
      </w:r>
      <w:r w:rsidRPr="005D1C94">
        <w:rPr>
          <w:bCs/>
          <w:sz w:val="22"/>
          <w:szCs w:val="22"/>
          <w:lang w:eastAsia="hr-HR"/>
        </w:rPr>
        <w:t>03.12.2015. godine</w:t>
      </w:r>
    </w:p>
    <w:p w:rsidR="004634A2" w:rsidRPr="005D1C94" w:rsidRDefault="004634A2" w:rsidP="004634A2">
      <w:pPr>
        <w:rPr>
          <w:sz w:val="22"/>
          <w:szCs w:val="22"/>
        </w:rPr>
      </w:pPr>
      <w:r w:rsidRPr="005D1C94">
        <w:rPr>
          <w:sz w:val="22"/>
          <w:szCs w:val="22"/>
        </w:rPr>
        <w:t xml:space="preserve">Tolucombi®, tableta, 80 mg + 12.5 mg, blister, 3x10 tableta: </w:t>
      </w:r>
      <w:r w:rsidRPr="005D1C94">
        <w:rPr>
          <w:bCs/>
          <w:sz w:val="22"/>
          <w:szCs w:val="22"/>
          <w:lang w:eastAsia="hr-HR"/>
        </w:rPr>
        <w:t>03.12.2015. godine</w:t>
      </w:r>
    </w:p>
    <w:p w:rsidR="004634A2" w:rsidRPr="005D1C94" w:rsidRDefault="004634A2" w:rsidP="004634A2">
      <w:pPr>
        <w:rPr>
          <w:sz w:val="22"/>
          <w:szCs w:val="22"/>
        </w:rPr>
      </w:pPr>
      <w:r w:rsidRPr="005D1C94">
        <w:rPr>
          <w:sz w:val="22"/>
          <w:szCs w:val="22"/>
        </w:rPr>
        <w:t xml:space="preserve">Tolucombi®, tableta, 80 mg + 25 mg, blister, 4x7 tableta: </w:t>
      </w:r>
      <w:r w:rsidRPr="005D1C94">
        <w:rPr>
          <w:bCs/>
          <w:sz w:val="22"/>
          <w:szCs w:val="22"/>
          <w:lang w:eastAsia="hr-HR"/>
        </w:rPr>
        <w:t>03.12.2015. godine</w:t>
      </w:r>
    </w:p>
    <w:p w:rsidR="004634A2" w:rsidRPr="005D1C94" w:rsidRDefault="004634A2" w:rsidP="004634A2">
      <w:pPr>
        <w:rPr>
          <w:sz w:val="22"/>
          <w:szCs w:val="22"/>
        </w:rPr>
      </w:pPr>
      <w:r w:rsidRPr="005D1C94">
        <w:rPr>
          <w:sz w:val="22"/>
          <w:szCs w:val="22"/>
        </w:rPr>
        <w:t xml:space="preserve">Tolucombi®, tableta, 80 mg + 25 mg, blister, 3x10 tableta: </w:t>
      </w:r>
      <w:r w:rsidRPr="005D1C94">
        <w:rPr>
          <w:bCs/>
          <w:sz w:val="22"/>
          <w:szCs w:val="22"/>
          <w:lang w:eastAsia="hr-HR"/>
        </w:rPr>
        <w:t>03.12.2015. godine</w:t>
      </w:r>
    </w:p>
    <w:p w:rsidR="00F56C88" w:rsidRPr="005D1C94" w:rsidRDefault="00F56C88" w:rsidP="00F56C88">
      <w:pPr>
        <w:widowControl w:val="0"/>
        <w:jc w:val="both"/>
        <w:rPr>
          <w:sz w:val="22"/>
          <w:szCs w:val="22"/>
        </w:rPr>
      </w:pPr>
    </w:p>
    <w:p w:rsidR="00F56C88" w:rsidRPr="005D1C94" w:rsidRDefault="00F56C88" w:rsidP="00F56C88">
      <w:pPr>
        <w:widowControl w:val="0"/>
        <w:jc w:val="both"/>
        <w:rPr>
          <w:sz w:val="22"/>
          <w:szCs w:val="22"/>
        </w:rPr>
      </w:pPr>
    </w:p>
    <w:p w:rsidR="00F56C88" w:rsidRPr="005D1C94" w:rsidRDefault="00F56C88" w:rsidP="00F56C88">
      <w:pPr>
        <w:widowControl w:val="0"/>
        <w:ind w:left="567" w:hanging="567"/>
        <w:jc w:val="both"/>
        <w:rPr>
          <w:b/>
          <w:sz w:val="22"/>
          <w:szCs w:val="22"/>
        </w:rPr>
      </w:pPr>
      <w:r w:rsidRPr="005D1C94">
        <w:rPr>
          <w:b/>
          <w:sz w:val="22"/>
          <w:szCs w:val="22"/>
        </w:rPr>
        <w:t>10.</w:t>
      </w:r>
      <w:r w:rsidRPr="005D1C94">
        <w:rPr>
          <w:b/>
          <w:sz w:val="22"/>
          <w:szCs w:val="22"/>
        </w:rPr>
        <w:tab/>
        <w:t xml:space="preserve">DATUM </w:t>
      </w:r>
      <w:r w:rsidR="00862666" w:rsidRPr="00862666">
        <w:rPr>
          <w:b/>
          <w:sz w:val="22"/>
          <w:szCs w:val="22"/>
        </w:rPr>
        <w:t xml:space="preserve">POSLEDNJE </w:t>
      </w:r>
      <w:r w:rsidRPr="005D1C94">
        <w:rPr>
          <w:b/>
          <w:sz w:val="22"/>
          <w:szCs w:val="22"/>
        </w:rPr>
        <w:t xml:space="preserve">REVIZIJE TEKSTA </w:t>
      </w:r>
      <w:r w:rsidRPr="005D1C94">
        <w:rPr>
          <w:b/>
          <w:bCs/>
          <w:sz w:val="22"/>
          <w:szCs w:val="22"/>
        </w:rPr>
        <w:t>SAŽETKA OSNOVNIH KARAKTERISTIKA LIJEKA</w:t>
      </w:r>
    </w:p>
    <w:p w:rsidR="00F56C88" w:rsidRPr="005D1C94" w:rsidRDefault="00F56C88" w:rsidP="004273F1">
      <w:pPr>
        <w:rPr>
          <w:sz w:val="22"/>
          <w:szCs w:val="22"/>
        </w:rPr>
      </w:pPr>
    </w:p>
    <w:p w:rsidR="004634A2" w:rsidRPr="005D1C94" w:rsidRDefault="004634A2" w:rsidP="004634A2">
      <w:pPr>
        <w:jc w:val="both"/>
        <w:rPr>
          <w:bCs/>
          <w:sz w:val="22"/>
          <w:szCs w:val="22"/>
          <w:lang w:eastAsia="hr-HR"/>
        </w:rPr>
      </w:pPr>
      <w:r w:rsidRPr="005D1C94">
        <w:rPr>
          <w:bCs/>
          <w:sz w:val="22"/>
          <w:szCs w:val="22"/>
          <w:lang w:eastAsia="hr-HR"/>
        </w:rPr>
        <w:t>Decembar, 2015. godine</w:t>
      </w:r>
    </w:p>
    <w:p w:rsidR="004634A2" w:rsidRPr="005D1C94" w:rsidRDefault="004634A2" w:rsidP="004273F1">
      <w:pPr>
        <w:rPr>
          <w:sz w:val="22"/>
          <w:szCs w:val="22"/>
        </w:rPr>
      </w:pPr>
    </w:p>
    <w:sectPr w:rsidR="004634A2" w:rsidRPr="005D1C94"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C9" w:rsidRDefault="00F64BC9">
      <w:r>
        <w:separator/>
      </w:r>
    </w:p>
  </w:endnote>
  <w:endnote w:type="continuationSeparator" w:id="0">
    <w:p w:rsidR="00F64BC9" w:rsidRDefault="00F6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Condensed">
    <w:charset w:val="EE"/>
    <w:family w:val="swiss"/>
    <w:pitch w:val="variable"/>
    <w:sig w:usb0="00000007" w:usb1="00000000" w:usb2="00000000" w:usb3="00000000" w:csb0="00000093"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p w:rsidR="00D5403B" w:rsidRDefault="00D540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621732">
      <w:rPr>
        <w:rStyle w:val="PageNumber"/>
        <w:noProof/>
      </w:rPr>
      <w:t>24</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621732">
      <w:rPr>
        <w:rStyle w:val="PageNumber"/>
        <w:noProof/>
      </w:rPr>
      <w:t>24</w:t>
    </w:r>
    <w:r w:rsidRPr="001F3C63">
      <w:rPr>
        <w:rStyle w:val="PageNumber"/>
      </w:rPr>
      <w:fldChar w:fldCharType="end"/>
    </w:r>
  </w:p>
  <w:p w:rsidR="00D5403B" w:rsidRDefault="00D540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C9" w:rsidRDefault="00F64BC9">
      <w:r>
        <w:separator/>
      </w:r>
    </w:p>
  </w:footnote>
  <w:footnote w:type="continuationSeparator" w:id="0">
    <w:p w:rsidR="00F64BC9" w:rsidRDefault="00F64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p w:rsidR="00D5403B" w:rsidRDefault="00D540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8CB1628"/>
    <w:multiLevelType w:val="hybridMultilevel"/>
    <w:tmpl w:val="6E9024BE"/>
    <w:lvl w:ilvl="0" w:tplc="13CE4632">
      <w:numFmt w:val="bullet"/>
      <w:lvlText w:val="-"/>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10"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1"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1"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5"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6"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1A0645"/>
    <w:multiLevelType w:val="hybridMultilevel"/>
    <w:tmpl w:val="847AD754"/>
    <w:lvl w:ilvl="0" w:tplc="FF1457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1"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3" w15:restartNumberingAfterBreak="0">
    <w:nsid w:val="681C5A3C"/>
    <w:multiLevelType w:val="hybridMultilevel"/>
    <w:tmpl w:val="D6C6FF1E"/>
    <w:lvl w:ilvl="0" w:tplc="71B0FED2">
      <w:start w:val="1"/>
      <w:numFmt w:val="bullet"/>
      <w:lvlText w:val="-"/>
      <w:lvlJc w:val="left"/>
      <w:pPr>
        <w:ind w:left="720" w:hanging="360"/>
      </w:pPr>
      <w:rPr>
        <w:rFonts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5"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6"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854D5"/>
    <w:multiLevelType w:val="hybridMultilevel"/>
    <w:tmpl w:val="4908119C"/>
    <w:lvl w:ilvl="0" w:tplc="FF1457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1"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7"/>
    <w:lvlOverride w:ilvl="0">
      <w:startOverride w:val="1"/>
    </w:lvlOverride>
  </w:num>
  <w:num w:numId="4">
    <w:abstractNumId w:val="23"/>
  </w:num>
  <w:num w:numId="5">
    <w:abstractNumId w:val="31"/>
  </w:num>
  <w:num w:numId="6">
    <w:abstractNumId w:val="22"/>
  </w:num>
  <w:num w:numId="7">
    <w:abstractNumId w:val="16"/>
  </w:num>
  <w:num w:numId="8">
    <w:abstractNumId w:val="42"/>
  </w:num>
  <w:num w:numId="9">
    <w:abstractNumId w:val="39"/>
  </w:num>
  <w:num w:numId="10">
    <w:abstractNumId w:val="14"/>
  </w:num>
  <w:num w:numId="11">
    <w:abstractNumId w:val="11"/>
  </w:num>
  <w:num w:numId="12">
    <w:abstractNumId w:val="29"/>
  </w:num>
  <w:num w:numId="13">
    <w:abstractNumId w:val="26"/>
  </w:num>
  <w:num w:numId="14">
    <w:abstractNumId w:val="21"/>
  </w:num>
  <w:num w:numId="15">
    <w:abstractNumId w:val="19"/>
  </w:num>
  <w:num w:numId="16">
    <w:abstractNumId w:val="32"/>
  </w:num>
  <w:num w:numId="17">
    <w:abstractNumId w:val="15"/>
  </w:num>
  <w:num w:numId="18">
    <w:abstractNumId w:val="24"/>
  </w:num>
  <w:num w:numId="19">
    <w:abstractNumId w:val="6"/>
  </w:num>
  <w:num w:numId="20">
    <w:abstractNumId w:val="9"/>
  </w:num>
  <w:num w:numId="21">
    <w:abstractNumId w:val="12"/>
  </w:num>
  <w:num w:numId="22">
    <w:abstractNumId w:val="40"/>
  </w:num>
  <w:num w:numId="23">
    <w:abstractNumId w:val="25"/>
  </w:num>
  <w:num w:numId="24">
    <w:abstractNumId w:val="34"/>
  </w:num>
  <w:num w:numId="25">
    <w:abstractNumId w:val="30"/>
  </w:num>
  <w:num w:numId="26">
    <w:abstractNumId w:val="20"/>
  </w:num>
  <w:num w:numId="27">
    <w:abstractNumId w:val="18"/>
  </w:num>
  <w:num w:numId="28">
    <w:abstractNumId w:val="35"/>
  </w:num>
  <w:num w:numId="29">
    <w:abstractNumId w:val="41"/>
  </w:num>
  <w:num w:numId="30">
    <w:abstractNumId w:val="36"/>
  </w:num>
  <w:num w:numId="31">
    <w:abstractNumId w:val="10"/>
  </w:num>
  <w:num w:numId="32">
    <w:abstractNumId w:val="38"/>
  </w:num>
  <w:num w:numId="33">
    <w:abstractNumId w:val="28"/>
  </w:num>
  <w:num w:numId="34">
    <w:abstractNumId w:val="8"/>
  </w:num>
  <w:num w:numId="35">
    <w:abstractNumId w:val="33"/>
  </w:num>
  <w:num w:numId="36">
    <w:abstractNumId w:val="27"/>
  </w:num>
  <w:num w:numId="3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1789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5639F"/>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06DF9"/>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4A2"/>
    <w:rsid w:val="00463C95"/>
    <w:rsid w:val="00465608"/>
    <w:rsid w:val="00465C8B"/>
    <w:rsid w:val="00466E46"/>
    <w:rsid w:val="00470BE5"/>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5E54"/>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D1C94"/>
    <w:rsid w:val="005D3AB4"/>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1732"/>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B66C4"/>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2666"/>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072"/>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4C38"/>
    <w:rsid w:val="009F7CBF"/>
    <w:rsid w:val="00A03AC8"/>
    <w:rsid w:val="00A04630"/>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103B"/>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978F6"/>
    <w:rsid w:val="00AA169E"/>
    <w:rsid w:val="00AA42E5"/>
    <w:rsid w:val="00AA4A58"/>
    <w:rsid w:val="00AA52C2"/>
    <w:rsid w:val="00AB00BF"/>
    <w:rsid w:val="00AB4731"/>
    <w:rsid w:val="00AB488A"/>
    <w:rsid w:val="00AB5137"/>
    <w:rsid w:val="00AB5291"/>
    <w:rsid w:val="00AB5584"/>
    <w:rsid w:val="00AB5CE0"/>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340EB"/>
    <w:rsid w:val="00B371D6"/>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D55B5"/>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03B"/>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6C88"/>
    <w:rsid w:val="00F570AD"/>
    <w:rsid w:val="00F57CDA"/>
    <w:rsid w:val="00F6158D"/>
    <w:rsid w:val="00F64BC9"/>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FB8FE6-47D9-48C2-85B9-8012DE83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24</Pages>
  <Words>8192</Words>
  <Characters>46695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54778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38</cp:revision>
  <cp:lastPrinted>2012-05-18T12:57:00Z</cp:lastPrinted>
  <dcterms:created xsi:type="dcterms:W3CDTF">2015-07-08T14:53:00Z</dcterms:created>
  <dcterms:modified xsi:type="dcterms:W3CDTF">2017-05-29T07:48:00Z</dcterms:modified>
</cp:coreProperties>
</file>