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Look w:val="0000" w:firstRow="0" w:lastRow="0" w:firstColumn="0" w:lastColumn="0" w:noHBand="0" w:noVBand="0"/>
      </w:tblPr>
      <w:tblGrid>
        <w:gridCol w:w="2835"/>
        <w:gridCol w:w="6525"/>
      </w:tblGrid>
      <w:tr w:rsidR="00311EDD" w:rsidRPr="00311EDD" w:rsidTr="0095074E">
        <w:trPr>
          <w:trHeight w:val="530"/>
          <w:jc w:val="center"/>
        </w:trPr>
        <w:tc>
          <w:tcPr>
            <w:tcW w:w="9360" w:type="dxa"/>
            <w:gridSpan w:val="2"/>
            <w:vAlign w:val="center"/>
          </w:tcPr>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B5967" w:rsidRDefault="003B5967" w:rsidP="003B5967">
            <w:pPr>
              <w:tabs>
                <w:tab w:val="left" w:pos="284"/>
              </w:tabs>
              <w:spacing w:after="0" w:line="240" w:lineRule="auto"/>
              <w:jc w:val="center"/>
              <w:rPr>
                <w:rFonts w:ascii="Times New Roman" w:eastAsia="Times New Roman" w:hAnsi="Times New Roman" w:cs="Times New Roman"/>
                <w:b/>
                <w:bCs/>
                <w:i/>
                <w:iCs/>
                <w:u w:val="single"/>
                <w:lang w:val="sr-Latn-ME"/>
              </w:rPr>
            </w:pPr>
          </w:p>
          <w:p w:rsidR="00311EDD" w:rsidRPr="00311EDD" w:rsidRDefault="00311EDD" w:rsidP="003B5967">
            <w:pPr>
              <w:tabs>
                <w:tab w:val="left" w:pos="284"/>
              </w:tabs>
              <w:spacing w:after="0" w:line="240" w:lineRule="auto"/>
              <w:jc w:val="center"/>
              <w:rPr>
                <w:rFonts w:ascii="Times New Roman" w:eastAsia="Times New Roman" w:hAnsi="Times New Roman" w:cs="Times New Roman"/>
                <w:b/>
                <w:bCs/>
                <w:iCs/>
                <w:u w:val="single"/>
                <w:lang w:val="sr-Latn-ME"/>
              </w:rPr>
            </w:pPr>
            <w:r w:rsidRPr="00311EDD">
              <w:rPr>
                <w:rFonts w:ascii="Times New Roman" w:eastAsia="Times New Roman" w:hAnsi="Times New Roman" w:cs="Times New Roman"/>
                <w:b/>
                <w:bCs/>
                <w:iCs/>
                <w:u w:val="single"/>
                <w:lang w:val="sr-Latn-ME"/>
              </w:rPr>
              <w:t>UPUTSTVO ZA PACIJENTA</w:t>
            </w:r>
          </w:p>
        </w:tc>
      </w:tr>
      <w:tr w:rsidR="00311EDD" w:rsidRPr="00311EDD" w:rsidTr="0095074E">
        <w:trPr>
          <w:trHeight w:val="1969"/>
          <w:jc w:val="center"/>
        </w:trPr>
        <w:tc>
          <w:tcPr>
            <w:tcW w:w="9360" w:type="dxa"/>
            <w:gridSpan w:val="2"/>
            <w:vAlign w:val="bottom"/>
          </w:tcPr>
          <w:p w:rsidR="00EC7367" w:rsidRDefault="00EC7367" w:rsidP="003B5967">
            <w:pPr>
              <w:tabs>
                <w:tab w:val="left" w:pos="284"/>
              </w:tabs>
              <w:spacing w:after="40" w:line="240" w:lineRule="auto"/>
              <w:jc w:val="center"/>
              <w:rPr>
                <w:rFonts w:ascii="Times New Roman" w:eastAsia="Times New Roman" w:hAnsi="Times New Roman" w:cs="Times New Roman"/>
                <w:b/>
                <w:bCs/>
                <w:lang w:val="sr-Latn-ME"/>
              </w:rPr>
            </w:pPr>
          </w:p>
          <w:p w:rsidR="00EC7367" w:rsidRDefault="00EC7367" w:rsidP="003B5967">
            <w:pPr>
              <w:tabs>
                <w:tab w:val="left" w:pos="284"/>
              </w:tabs>
              <w:spacing w:after="40" w:line="240" w:lineRule="auto"/>
              <w:jc w:val="center"/>
              <w:rPr>
                <w:rFonts w:ascii="Times New Roman" w:eastAsia="Times New Roman" w:hAnsi="Times New Roman" w:cs="Times New Roman"/>
                <w:b/>
                <w:bCs/>
                <w:lang w:val="sr-Latn-ME"/>
              </w:rPr>
            </w:pPr>
          </w:p>
          <w:p w:rsidR="00EC7367" w:rsidRDefault="00EC7367" w:rsidP="003B5967">
            <w:pPr>
              <w:tabs>
                <w:tab w:val="left" w:pos="284"/>
              </w:tabs>
              <w:spacing w:after="40" w:line="240" w:lineRule="auto"/>
              <w:jc w:val="center"/>
              <w:rPr>
                <w:rFonts w:ascii="Times New Roman" w:eastAsia="Times New Roman" w:hAnsi="Times New Roman" w:cs="Times New Roman"/>
                <w:b/>
                <w:bCs/>
                <w:lang w:val="sr-Latn-ME"/>
              </w:rPr>
            </w:pPr>
          </w:p>
          <w:p w:rsidR="00311EDD" w:rsidRPr="00311EDD" w:rsidRDefault="00311EDD" w:rsidP="003B5967">
            <w:pPr>
              <w:tabs>
                <w:tab w:val="left" w:pos="284"/>
              </w:tabs>
              <w:spacing w:after="40" w:line="240" w:lineRule="auto"/>
              <w:jc w:val="center"/>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b/>
                <w:bCs/>
                <w:lang w:val="sr-Latn-ME"/>
              </w:rPr>
              <w:t xml:space="preserve">, film tableta, 450 mg, </w:t>
            </w:r>
          </w:p>
          <w:p w:rsidR="00311EDD" w:rsidRPr="00311EDD" w:rsidRDefault="00311EDD" w:rsidP="003B5967">
            <w:pPr>
              <w:tabs>
                <w:tab w:val="left" w:pos="284"/>
              </w:tabs>
              <w:spacing w:after="40" w:line="240" w:lineRule="auto"/>
              <w:jc w:val="center"/>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 xml:space="preserve">bočica, 60 film tableta </w:t>
            </w:r>
          </w:p>
          <w:p w:rsidR="00311EDD" w:rsidRPr="00311EDD" w:rsidRDefault="00311EDD" w:rsidP="003B5967">
            <w:pPr>
              <w:tabs>
                <w:tab w:val="left" w:pos="284"/>
              </w:tabs>
              <w:spacing w:after="40" w:line="240" w:lineRule="auto"/>
              <w:jc w:val="center"/>
              <w:rPr>
                <w:rFonts w:ascii="Times New Roman" w:eastAsia="Times New Roman" w:hAnsi="Times New Roman" w:cs="Times New Roman"/>
                <w:b/>
                <w:bCs/>
                <w:u w:val="single"/>
                <w:lang w:val="sr-Latn-ME"/>
              </w:rPr>
            </w:pPr>
          </w:p>
          <w:p w:rsidR="00311EDD" w:rsidRPr="00311EDD" w:rsidRDefault="00311EDD" w:rsidP="003B5967">
            <w:pPr>
              <w:tabs>
                <w:tab w:val="left" w:pos="284"/>
              </w:tabs>
              <w:spacing w:after="40" w:line="240" w:lineRule="auto"/>
              <w:jc w:val="center"/>
              <w:rPr>
                <w:rFonts w:ascii="Times New Roman" w:eastAsia="Times New Roman" w:hAnsi="Times New Roman" w:cs="Times New Roman"/>
                <w:b/>
                <w:bCs/>
                <w:u w:val="single"/>
                <w:lang w:val="sr-Latn-ME"/>
              </w:rPr>
            </w:pPr>
          </w:p>
          <w:p w:rsidR="00311EDD" w:rsidRPr="00311EDD" w:rsidRDefault="00311EDD" w:rsidP="003B5967">
            <w:pPr>
              <w:tabs>
                <w:tab w:val="left" w:pos="284"/>
              </w:tabs>
              <w:spacing w:after="0" w:line="240" w:lineRule="auto"/>
              <w:jc w:val="center"/>
              <w:rPr>
                <w:rFonts w:ascii="Times New Roman" w:eastAsia="Times New Roman" w:hAnsi="Times New Roman" w:cs="Times New Roman"/>
                <w:b/>
                <w:bCs/>
                <w:u w:val="single"/>
                <w:lang w:val="sr-Latn-ME"/>
              </w:rPr>
            </w:pPr>
          </w:p>
        </w:tc>
      </w:tr>
      <w:tr w:rsidR="00311EDD" w:rsidRPr="00311EDD" w:rsidTr="0095074E">
        <w:trPr>
          <w:trHeight w:val="1225"/>
          <w:jc w:val="center"/>
        </w:trPr>
        <w:tc>
          <w:tcPr>
            <w:tcW w:w="9360" w:type="dxa"/>
            <w:gridSpan w:val="2"/>
          </w:tcPr>
          <w:p w:rsidR="00311EDD" w:rsidRPr="00311EDD" w:rsidRDefault="00311EDD" w:rsidP="003B5967">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311EDD" w:rsidRPr="00311EDD" w:rsidTr="003B5967">
        <w:trPr>
          <w:trHeight w:val="435"/>
          <w:jc w:val="center"/>
        </w:trPr>
        <w:tc>
          <w:tcPr>
            <w:tcW w:w="2835" w:type="dxa"/>
            <w:vAlign w:val="center"/>
          </w:tcPr>
          <w:p w:rsidR="00311EDD" w:rsidRPr="00311EDD" w:rsidRDefault="00311EDD" w:rsidP="003B5967">
            <w:pPr>
              <w:tabs>
                <w:tab w:val="left" w:pos="284"/>
              </w:tabs>
              <w:spacing w:before="120" w:after="120" w:line="240" w:lineRule="auto"/>
              <w:jc w:val="right"/>
              <w:rPr>
                <w:rFonts w:ascii="Times New Roman" w:eastAsia="Times New Roman" w:hAnsi="Times New Roman" w:cs="Times New Roman"/>
                <w:lang w:val="sr-Latn-ME"/>
              </w:rPr>
            </w:pPr>
            <w:r w:rsidRPr="00311EDD">
              <w:rPr>
                <w:rFonts w:ascii="Times New Roman" w:eastAsia="Times New Roman" w:hAnsi="Times New Roman" w:cs="Times New Roman"/>
                <w:lang w:val="sr-Latn-ME"/>
              </w:rPr>
              <w:t>Proizvođač:</w:t>
            </w:r>
          </w:p>
        </w:tc>
        <w:tc>
          <w:tcPr>
            <w:tcW w:w="6525" w:type="dxa"/>
            <w:vAlign w:val="center"/>
          </w:tcPr>
          <w:p w:rsidR="00311EDD" w:rsidRPr="00311EDD" w:rsidRDefault="00311EDD" w:rsidP="003B5967">
            <w:pPr>
              <w:tabs>
                <w:tab w:val="left" w:pos="284"/>
              </w:tabs>
              <w:spacing w:before="120" w:after="120" w:line="240" w:lineRule="auto"/>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F.Hoffmann-La Roche Ltd</w:t>
            </w:r>
          </w:p>
        </w:tc>
      </w:tr>
      <w:tr w:rsidR="00311EDD" w:rsidRPr="00311EDD" w:rsidTr="003B5967">
        <w:trPr>
          <w:trHeight w:val="360"/>
          <w:jc w:val="center"/>
        </w:trPr>
        <w:tc>
          <w:tcPr>
            <w:tcW w:w="2835" w:type="dxa"/>
            <w:vAlign w:val="center"/>
          </w:tcPr>
          <w:p w:rsidR="00311EDD" w:rsidRPr="00311EDD" w:rsidRDefault="00311EDD" w:rsidP="003B5967">
            <w:pPr>
              <w:tabs>
                <w:tab w:val="left" w:pos="284"/>
              </w:tabs>
              <w:spacing w:before="120" w:after="120" w:line="240" w:lineRule="auto"/>
              <w:jc w:val="right"/>
              <w:rPr>
                <w:rFonts w:ascii="Times New Roman" w:eastAsia="Times New Roman" w:hAnsi="Times New Roman" w:cs="Times New Roman"/>
                <w:lang w:val="sr-Latn-ME"/>
              </w:rPr>
            </w:pPr>
            <w:r w:rsidRPr="00311EDD">
              <w:rPr>
                <w:rFonts w:ascii="Times New Roman" w:eastAsia="Times New Roman" w:hAnsi="Times New Roman" w:cs="Times New Roman"/>
                <w:lang w:val="sr-Latn-ME"/>
              </w:rPr>
              <w:t>Adresa:</w:t>
            </w:r>
          </w:p>
        </w:tc>
        <w:tc>
          <w:tcPr>
            <w:tcW w:w="6525" w:type="dxa"/>
            <w:vAlign w:val="center"/>
          </w:tcPr>
          <w:p w:rsidR="00311EDD" w:rsidRPr="00311EDD" w:rsidRDefault="00311EDD" w:rsidP="003B5967">
            <w:pPr>
              <w:tabs>
                <w:tab w:val="left" w:pos="284"/>
              </w:tabs>
              <w:spacing w:before="120" w:after="120" w:line="240" w:lineRule="auto"/>
              <w:rPr>
                <w:rFonts w:ascii="Times New Roman" w:eastAsia="Times New Roman" w:hAnsi="Times New Roman" w:cs="Times New Roman"/>
                <w:b/>
                <w:lang w:val="sr-Latn-ME"/>
              </w:rPr>
            </w:pPr>
            <w:r w:rsidRPr="00311EDD">
              <w:rPr>
                <w:rFonts w:ascii="Times New Roman" w:eastAsia="Times New Roman" w:hAnsi="Times New Roman" w:cs="Times New Roman"/>
                <w:b/>
                <w:bCs/>
                <w:lang w:val="sr-Latn-ME"/>
              </w:rPr>
              <w:t>Wurmisweg, 4303 Kaiseraugst, Švajcarska</w:t>
            </w:r>
          </w:p>
        </w:tc>
      </w:tr>
      <w:tr w:rsidR="00311EDD" w:rsidRPr="00311EDD" w:rsidTr="003B5967">
        <w:trPr>
          <w:trHeight w:val="356"/>
          <w:jc w:val="center"/>
        </w:trPr>
        <w:tc>
          <w:tcPr>
            <w:tcW w:w="2835" w:type="dxa"/>
            <w:vAlign w:val="center"/>
          </w:tcPr>
          <w:p w:rsidR="00311EDD" w:rsidRPr="00311EDD" w:rsidRDefault="00311EDD" w:rsidP="003B5967">
            <w:pPr>
              <w:tabs>
                <w:tab w:val="left" w:pos="284"/>
              </w:tabs>
              <w:spacing w:before="120" w:after="120" w:line="240" w:lineRule="auto"/>
              <w:jc w:val="right"/>
              <w:rPr>
                <w:rFonts w:ascii="Times New Roman" w:eastAsia="Times New Roman" w:hAnsi="Times New Roman" w:cs="Times New Roman"/>
                <w:lang w:val="sr-Latn-ME"/>
              </w:rPr>
            </w:pPr>
            <w:r w:rsidRPr="00311EDD">
              <w:rPr>
                <w:rFonts w:ascii="Times New Roman" w:eastAsia="Times New Roman" w:hAnsi="Times New Roman" w:cs="Times New Roman"/>
                <w:lang w:val="sr-Latn-ME"/>
              </w:rPr>
              <w:t>Podnosilac zahtjeva:</w:t>
            </w:r>
          </w:p>
        </w:tc>
        <w:tc>
          <w:tcPr>
            <w:tcW w:w="6525" w:type="dxa"/>
            <w:vAlign w:val="center"/>
          </w:tcPr>
          <w:p w:rsidR="00311EDD" w:rsidRPr="00311EDD" w:rsidRDefault="00311EDD" w:rsidP="003B5967">
            <w:pPr>
              <w:spacing w:before="120" w:after="120" w:line="240" w:lineRule="auto"/>
              <w:ind w:left="72" w:hanging="72"/>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“Hoffmann-La Roche Ltd” dio stranog društva Podgorica</w:t>
            </w:r>
          </w:p>
        </w:tc>
      </w:tr>
      <w:tr w:rsidR="00311EDD" w:rsidRPr="00311EDD" w:rsidTr="003B5967">
        <w:trPr>
          <w:trHeight w:val="353"/>
          <w:jc w:val="center"/>
        </w:trPr>
        <w:tc>
          <w:tcPr>
            <w:tcW w:w="2835" w:type="dxa"/>
            <w:vAlign w:val="center"/>
          </w:tcPr>
          <w:p w:rsidR="00311EDD" w:rsidRPr="00311EDD" w:rsidRDefault="00311EDD" w:rsidP="003B5967">
            <w:pPr>
              <w:tabs>
                <w:tab w:val="left" w:pos="284"/>
              </w:tabs>
              <w:spacing w:before="120" w:after="120" w:line="240" w:lineRule="auto"/>
              <w:jc w:val="right"/>
              <w:rPr>
                <w:rFonts w:ascii="Times New Roman" w:eastAsia="Times New Roman" w:hAnsi="Times New Roman" w:cs="Times New Roman"/>
                <w:lang w:val="sr-Latn-ME"/>
              </w:rPr>
            </w:pPr>
            <w:r w:rsidRPr="00311EDD">
              <w:rPr>
                <w:rFonts w:ascii="Times New Roman" w:eastAsia="Times New Roman" w:hAnsi="Times New Roman" w:cs="Times New Roman"/>
                <w:lang w:val="sr-Latn-ME"/>
              </w:rPr>
              <w:t>Adresa:</w:t>
            </w:r>
          </w:p>
        </w:tc>
        <w:tc>
          <w:tcPr>
            <w:tcW w:w="6525" w:type="dxa"/>
            <w:vAlign w:val="center"/>
          </w:tcPr>
          <w:p w:rsidR="00311EDD" w:rsidRPr="00311EDD" w:rsidRDefault="00311EDD" w:rsidP="003B5967">
            <w:pPr>
              <w:spacing w:before="120" w:after="12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Svetlane Kane Radević br.3, 81000 Podgorica, Crna Gora</w:t>
            </w:r>
          </w:p>
        </w:tc>
      </w:tr>
    </w:tbl>
    <w:p w:rsidR="009318B4" w:rsidRPr="003B5967" w:rsidRDefault="009318B4"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Pr="003B5967" w:rsidRDefault="00311EDD" w:rsidP="003B5967">
      <w:pPr>
        <w:spacing w:after="0" w:line="240" w:lineRule="auto"/>
        <w:rPr>
          <w:rFonts w:ascii="Times New Roman" w:hAnsi="Times New Roman" w:cs="Times New Roman"/>
          <w:lang w:val="sr-Latn-ME"/>
        </w:rPr>
      </w:pPr>
    </w:p>
    <w:p w:rsidR="00311EDD" w:rsidRDefault="00311EDD" w:rsidP="003B5967">
      <w:pPr>
        <w:spacing w:after="0" w:line="240" w:lineRule="auto"/>
        <w:rPr>
          <w:rFonts w:ascii="Times New Roman" w:hAnsi="Times New Roman" w:cs="Times New Roman"/>
          <w:lang w:val="sr-Latn-ME"/>
        </w:rPr>
      </w:pPr>
    </w:p>
    <w:p w:rsidR="003B5967" w:rsidRDefault="003B5967" w:rsidP="003B5967">
      <w:pPr>
        <w:spacing w:after="0" w:line="240" w:lineRule="auto"/>
        <w:rPr>
          <w:rFonts w:ascii="Times New Roman" w:hAnsi="Times New Roman" w:cs="Times New Roman"/>
          <w:lang w:val="sr-Latn-ME"/>
        </w:rPr>
      </w:pPr>
    </w:p>
    <w:p w:rsidR="003B5967" w:rsidRPr="003B5967" w:rsidRDefault="003B5967" w:rsidP="003B5967">
      <w:pPr>
        <w:spacing w:after="0" w:line="240" w:lineRule="auto"/>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581"/>
        <w:gridCol w:w="8779"/>
      </w:tblGrid>
      <w:tr w:rsidR="00311EDD" w:rsidRPr="00311EDD" w:rsidTr="0095074E">
        <w:trPr>
          <w:trHeight w:val="530"/>
          <w:jc w:val="center"/>
        </w:trPr>
        <w:tc>
          <w:tcPr>
            <w:tcW w:w="9360" w:type="dxa"/>
            <w:gridSpan w:val="2"/>
            <w:vAlign w:val="center"/>
          </w:tcPr>
          <w:p w:rsidR="00311EDD" w:rsidRPr="00311EDD" w:rsidRDefault="00311EDD" w:rsidP="003B5967">
            <w:pPr>
              <w:widowControl w:val="0"/>
              <w:autoSpaceDE w:val="0"/>
              <w:autoSpaceDN w:val="0"/>
              <w:spacing w:after="0" w:line="240" w:lineRule="auto"/>
              <w:ind w:left="34"/>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lastRenderedPageBreak/>
              <w:t>Zaštićeno ime, jačina, farmaceutski oblik</w:t>
            </w:r>
          </w:p>
          <w:p w:rsidR="00311EDD" w:rsidRPr="00311EDD" w:rsidRDefault="00311EDD" w:rsidP="003B5967">
            <w:pPr>
              <w:widowControl w:val="0"/>
              <w:autoSpaceDE w:val="0"/>
              <w:autoSpaceDN w:val="0"/>
              <w:spacing w:after="0" w:line="240" w:lineRule="auto"/>
              <w:ind w:left="34"/>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Valcyte</w:t>
            </w:r>
            <w:r w:rsidR="00E90C8F">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bCs/>
                <w:lang w:val="sr-Latn-ME"/>
              </w:rPr>
              <w:t>, 450 mg, film tablete</w:t>
            </w:r>
          </w:p>
          <w:p w:rsidR="00311EDD" w:rsidRPr="00311EDD" w:rsidRDefault="00311EDD" w:rsidP="003B5967">
            <w:pPr>
              <w:widowControl w:val="0"/>
              <w:autoSpaceDE w:val="0"/>
              <w:autoSpaceDN w:val="0"/>
              <w:spacing w:after="0" w:line="240" w:lineRule="auto"/>
              <w:ind w:left="34"/>
              <w:rPr>
                <w:rFonts w:ascii="Times New Roman" w:eastAsia="Times New Roman" w:hAnsi="Times New Roman" w:cs="Times New Roman"/>
                <w:b/>
                <w:lang w:val="sr-Latn-ME"/>
              </w:rPr>
            </w:pPr>
          </w:p>
          <w:p w:rsidR="00311EDD" w:rsidRPr="00311EDD" w:rsidRDefault="00311EDD" w:rsidP="003B5967">
            <w:pPr>
              <w:widowControl w:val="0"/>
              <w:autoSpaceDE w:val="0"/>
              <w:autoSpaceDN w:val="0"/>
              <w:spacing w:after="0" w:line="240" w:lineRule="auto"/>
              <w:ind w:left="34"/>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INN</w:t>
            </w:r>
          </w:p>
          <w:p w:rsidR="00311EDD" w:rsidRPr="00311EDD" w:rsidRDefault="00311EDD" w:rsidP="003B5967">
            <w:pPr>
              <w:widowControl w:val="0"/>
              <w:autoSpaceDE w:val="0"/>
              <w:autoSpaceDN w:val="0"/>
              <w:spacing w:after="0" w:line="240" w:lineRule="auto"/>
              <w:ind w:left="34"/>
              <w:rPr>
                <w:rFonts w:ascii="Times New Roman" w:eastAsia="Times New Roman" w:hAnsi="Times New Roman" w:cs="Times New Roman"/>
                <w:lang w:val="sr-Latn-ME"/>
              </w:rPr>
            </w:pPr>
            <w:r w:rsidRPr="00311EDD">
              <w:rPr>
                <w:rFonts w:ascii="Times New Roman" w:eastAsia="Times New Roman" w:hAnsi="Times New Roman" w:cs="Times New Roman"/>
                <w:lang w:val="sr-Latn-ME"/>
              </w:rPr>
              <w:t>valganciklovir</w:t>
            </w:r>
          </w:p>
          <w:p w:rsidR="00311EDD" w:rsidRPr="00311EDD" w:rsidRDefault="00311EDD" w:rsidP="003B5967">
            <w:pPr>
              <w:tabs>
                <w:tab w:val="left" w:pos="284"/>
              </w:tabs>
              <w:spacing w:after="0" w:line="240" w:lineRule="auto"/>
              <w:jc w:val="center"/>
              <w:rPr>
                <w:rFonts w:ascii="Times New Roman" w:eastAsia="Times New Roman" w:hAnsi="Times New Roman" w:cs="Times New Roman"/>
                <w:b/>
                <w:bCs/>
                <w:i/>
                <w:iCs/>
                <w:u w:val="single"/>
                <w:lang w:val="sr-Latn-ME"/>
              </w:rPr>
            </w:pPr>
          </w:p>
        </w:tc>
      </w:tr>
      <w:tr w:rsidR="00311EDD" w:rsidRPr="00311EDD" w:rsidTr="0095074E">
        <w:trPr>
          <w:trHeight w:val="451"/>
          <w:jc w:val="center"/>
        </w:trPr>
        <w:tc>
          <w:tcPr>
            <w:tcW w:w="581" w:type="dxa"/>
            <w:vAlign w:val="center"/>
          </w:tcPr>
          <w:p w:rsidR="00311EDD" w:rsidRPr="00311EDD" w:rsidRDefault="00311EDD" w:rsidP="003B5967">
            <w:pPr>
              <w:tabs>
                <w:tab w:val="left" w:pos="284"/>
              </w:tabs>
              <w:spacing w:after="0" w:line="240" w:lineRule="auto"/>
              <w:rPr>
                <w:rFonts w:ascii="Times New Roman" w:eastAsia="Times New Roman" w:hAnsi="Times New Roman" w:cs="Times New Roman"/>
                <w:b/>
                <w:bCs/>
                <w:u w:val="single"/>
                <w:lang w:val="sr-Latn-ME"/>
              </w:rPr>
            </w:pPr>
          </w:p>
        </w:tc>
        <w:tc>
          <w:tcPr>
            <w:tcW w:w="8779" w:type="dxa"/>
            <w:vAlign w:val="center"/>
          </w:tcPr>
          <w:p w:rsidR="00311EDD" w:rsidRPr="00311EDD" w:rsidRDefault="00311EDD" w:rsidP="003B5967">
            <w:pPr>
              <w:tabs>
                <w:tab w:val="left" w:pos="284"/>
              </w:tabs>
              <w:spacing w:after="0" w:line="240" w:lineRule="auto"/>
              <w:rPr>
                <w:rFonts w:ascii="Times New Roman" w:eastAsia="Times New Roman" w:hAnsi="Times New Roman" w:cs="Times New Roman"/>
                <w:lang w:val="sr-Latn-ME"/>
              </w:rPr>
            </w:pPr>
          </w:p>
        </w:tc>
      </w:tr>
      <w:tr w:rsidR="00311EDD" w:rsidRPr="00311EDD" w:rsidTr="0095074E">
        <w:trPr>
          <w:trHeight w:val="1969"/>
          <w:jc w:val="center"/>
        </w:trPr>
        <w:tc>
          <w:tcPr>
            <w:tcW w:w="581" w:type="dxa"/>
            <w:vAlign w:val="center"/>
          </w:tcPr>
          <w:p w:rsidR="00311EDD" w:rsidRPr="00311EDD" w:rsidRDefault="00311EDD" w:rsidP="003B5967">
            <w:pPr>
              <w:tabs>
                <w:tab w:val="left" w:pos="284"/>
              </w:tabs>
              <w:spacing w:after="0" w:line="240" w:lineRule="auto"/>
              <w:rPr>
                <w:rFonts w:ascii="Times New Roman" w:eastAsia="Times New Roman" w:hAnsi="Times New Roman" w:cs="Times New Roman"/>
                <w:b/>
                <w:bCs/>
                <w:i/>
                <w:iCs/>
                <w:u w:val="single"/>
                <w:lang w:val="sr-Latn-ME"/>
              </w:rPr>
            </w:pPr>
          </w:p>
        </w:tc>
        <w:tc>
          <w:tcPr>
            <w:tcW w:w="8779" w:type="dxa"/>
            <w:vAlign w:val="center"/>
          </w:tcPr>
          <w:p w:rsidR="00311EDD" w:rsidRDefault="00311EDD" w:rsidP="003B5967">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Pažljivo pročitajte ovo uputstvo, prije nego što počnete da koristite ovaj lijek.</w:t>
            </w:r>
          </w:p>
          <w:p w:rsidR="003B5967" w:rsidRPr="00311EDD" w:rsidRDefault="003B5967" w:rsidP="003B5967">
            <w:pPr>
              <w:widowControl w:val="0"/>
              <w:tabs>
                <w:tab w:val="left" w:pos="284"/>
              </w:tabs>
              <w:autoSpaceDE w:val="0"/>
              <w:autoSpaceDN w:val="0"/>
              <w:spacing w:after="0" w:line="240" w:lineRule="auto"/>
              <w:rPr>
                <w:rFonts w:ascii="Times New Roman" w:eastAsia="Times New Roman" w:hAnsi="Times New Roman" w:cs="Times New Roman"/>
                <w:b/>
                <w:bCs/>
                <w:lang w:val="sr-Latn-ME"/>
              </w:rPr>
            </w:pPr>
          </w:p>
          <w:p w:rsidR="00311EDD" w:rsidRPr="003B5967" w:rsidRDefault="00311EDD" w:rsidP="003B5967">
            <w:pPr>
              <w:pStyle w:val="ListParagraph"/>
              <w:widowControl w:val="0"/>
              <w:numPr>
                <w:ilvl w:val="0"/>
                <w:numId w:val="11"/>
              </w:numPr>
              <w:tabs>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Uputstvo sačuvajte. Može biti potrebno da ga ponovo pročitate.</w:t>
            </w:r>
          </w:p>
          <w:p w:rsidR="00311EDD" w:rsidRPr="003B5967" w:rsidRDefault="00311EDD" w:rsidP="003B5967">
            <w:pPr>
              <w:pStyle w:val="ListParagraph"/>
              <w:widowControl w:val="0"/>
              <w:numPr>
                <w:ilvl w:val="0"/>
                <w:numId w:val="11"/>
              </w:numPr>
              <w:tabs>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Ako imate dodatnih pitanja, obratite se svom ljekaru ili farmaceutu.</w:t>
            </w:r>
          </w:p>
          <w:p w:rsidR="00311EDD" w:rsidRPr="003B5967" w:rsidRDefault="00311EDD" w:rsidP="003B5967">
            <w:pPr>
              <w:pStyle w:val="ListParagraph"/>
              <w:widowControl w:val="0"/>
              <w:numPr>
                <w:ilvl w:val="0"/>
                <w:numId w:val="11"/>
              </w:numPr>
              <w:tabs>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Ovaj lijek propisan je Vama i ne smijete ga davati drugima. Može da im škodi, čak i kada imaju iste znake bolesti kao i Vi.</w:t>
            </w:r>
          </w:p>
          <w:p w:rsidR="00311EDD" w:rsidRPr="003B5967" w:rsidRDefault="00311EDD" w:rsidP="003B5967">
            <w:pPr>
              <w:pStyle w:val="ListParagraph"/>
              <w:numPr>
                <w:ilvl w:val="0"/>
                <w:numId w:val="11"/>
              </w:numPr>
              <w:tabs>
                <w:tab w:val="left" w:pos="284"/>
              </w:tabs>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 xml:space="preserve">Ako Vam se javi bilo koje neželjeno dejstvo recite to svom ljekaru, farmaceutu ili medicinskoj sestri. Ovo uključuje i bilo koja neželjena dejstva koja nijesu navedena u ovom uputstvu. </w:t>
            </w:r>
          </w:p>
        </w:tc>
      </w:tr>
      <w:tr w:rsidR="00311EDD" w:rsidRPr="00311EDD" w:rsidTr="0095074E">
        <w:trPr>
          <w:trHeight w:val="189"/>
          <w:jc w:val="center"/>
        </w:trPr>
        <w:tc>
          <w:tcPr>
            <w:tcW w:w="581" w:type="dxa"/>
            <w:vAlign w:val="center"/>
          </w:tcPr>
          <w:p w:rsidR="00311EDD" w:rsidRPr="00311EDD" w:rsidRDefault="00311EDD" w:rsidP="003B5967">
            <w:pPr>
              <w:keepNext/>
              <w:tabs>
                <w:tab w:val="left" w:pos="284"/>
              </w:tabs>
              <w:spacing w:after="0" w:line="240" w:lineRule="auto"/>
              <w:outlineLvl w:val="1"/>
              <w:rPr>
                <w:rFonts w:ascii="Times New Roman" w:eastAsia="Times New Roman" w:hAnsi="Times New Roman" w:cs="Times New Roman"/>
                <w:i/>
                <w:iCs/>
                <w:color w:val="808080"/>
                <w:lang w:val="sr-Latn-ME"/>
              </w:rPr>
            </w:pPr>
          </w:p>
        </w:tc>
        <w:tc>
          <w:tcPr>
            <w:tcW w:w="8779" w:type="dxa"/>
            <w:vAlign w:val="center"/>
          </w:tcPr>
          <w:p w:rsidR="00311EDD" w:rsidRPr="00311EDD" w:rsidRDefault="00311EDD" w:rsidP="003B5967">
            <w:pPr>
              <w:tabs>
                <w:tab w:val="left" w:pos="284"/>
              </w:tabs>
              <w:spacing w:after="0" w:line="240" w:lineRule="auto"/>
              <w:rPr>
                <w:rFonts w:ascii="Times New Roman" w:eastAsia="Times New Roman" w:hAnsi="Times New Roman" w:cs="Times New Roman"/>
                <w:i/>
                <w:lang w:val="sr-Latn-ME"/>
              </w:rPr>
            </w:pPr>
          </w:p>
        </w:tc>
      </w:tr>
      <w:tr w:rsidR="00311EDD" w:rsidRPr="00311EDD" w:rsidTr="0095074E">
        <w:trPr>
          <w:trHeight w:val="1473"/>
          <w:jc w:val="center"/>
        </w:trPr>
        <w:tc>
          <w:tcPr>
            <w:tcW w:w="581" w:type="dxa"/>
            <w:vAlign w:val="center"/>
          </w:tcPr>
          <w:p w:rsidR="00311EDD" w:rsidRPr="00311EDD" w:rsidRDefault="00311EDD" w:rsidP="003B5967">
            <w:pPr>
              <w:keepNext/>
              <w:tabs>
                <w:tab w:val="left" w:pos="284"/>
              </w:tabs>
              <w:spacing w:after="0" w:line="240" w:lineRule="auto"/>
              <w:outlineLvl w:val="1"/>
              <w:rPr>
                <w:rFonts w:ascii="Times New Roman" w:eastAsia="Times New Roman" w:hAnsi="Times New Roman" w:cs="Times New Roman"/>
                <w:i/>
                <w:iCs/>
                <w:color w:val="808080"/>
                <w:lang w:val="sr-Latn-ME"/>
              </w:rPr>
            </w:pPr>
          </w:p>
        </w:tc>
        <w:tc>
          <w:tcPr>
            <w:tcW w:w="8779" w:type="dxa"/>
            <w:vAlign w:val="center"/>
          </w:tcPr>
          <w:p w:rsidR="00311EDD" w:rsidRPr="00311EDD" w:rsidRDefault="00311EDD" w:rsidP="003B596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U ovom uputstvu pročitaćete:</w:t>
            </w:r>
          </w:p>
          <w:p w:rsidR="00311EDD" w:rsidRPr="00311EDD" w:rsidRDefault="00311EDD" w:rsidP="003B5967">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Šta je lijek</w:t>
            </w:r>
            <w:r w:rsidRPr="003B5967">
              <w:rPr>
                <w:rFonts w:ascii="Times New Roman" w:eastAsia="Times New Roman" w:hAnsi="Times New Roman" w:cs="Times New Roman"/>
                <w:bCs/>
                <w:lang w:val="sr-Latn-ME"/>
              </w:rPr>
              <w:t xml:space="preserve"> Valcyte</w:t>
            </w:r>
            <w:r w:rsidR="003B5967" w:rsidRPr="003B5967">
              <w:rPr>
                <w:rFonts w:ascii="Times New Roman" w:eastAsia="Times New Roman" w:hAnsi="Times New Roman" w:cs="Times New Roman"/>
                <w:bCs/>
                <w:vertAlign w:val="superscript"/>
                <w:lang w:val="sr-Latn-ME"/>
              </w:rPr>
              <w:t>®</w:t>
            </w:r>
            <w:r w:rsidRPr="003B5967">
              <w:rPr>
                <w:rFonts w:ascii="Times New Roman" w:eastAsia="Times New Roman" w:hAnsi="Times New Roman" w:cs="Times New Roman"/>
                <w:lang w:val="sr-Latn-ME"/>
              </w:rPr>
              <w:t xml:space="preserve"> i čemu je namijenjen</w:t>
            </w: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 xml:space="preserve">Šta treba da znate prije nego što uzmete lijek </w:t>
            </w:r>
            <w:r w:rsidRPr="003B5967">
              <w:rPr>
                <w:rFonts w:ascii="Times New Roman" w:eastAsia="Times New Roman" w:hAnsi="Times New Roman" w:cs="Times New Roman"/>
                <w:bCs/>
                <w:lang w:val="sr-Latn-ME"/>
              </w:rPr>
              <w:t>Valcyte</w:t>
            </w:r>
            <w:r w:rsidRPr="003B5967">
              <w:rPr>
                <w:rFonts w:ascii="Times New Roman" w:eastAsia="Times New Roman" w:hAnsi="Times New Roman" w:cs="Times New Roman"/>
                <w:bCs/>
                <w:vertAlign w:val="superscript"/>
                <w:lang w:val="sr-Latn-ME"/>
              </w:rPr>
              <w:t xml:space="preserve">® </w:t>
            </w: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 xml:space="preserve">Kako se upotrebljava lijek </w:t>
            </w:r>
            <w:r w:rsidRPr="003B5967">
              <w:rPr>
                <w:rFonts w:ascii="Times New Roman" w:eastAsia="Times New Roman" w:hAnsi="Times New Roman" w:cs="Times New Roman"/>
                <w:bCs/>
                <w:lang w:val="sr-Latn-ME"/>
              </w:rPr>
              <w:t>Valcyte</w:t>
            </w:r>
            <w:r w:rsidRPr="003B5967">
              <w:rPr>
                <w:rFonts w:ascii="Times New Roman" w:eastAsia="Times New Roman" w:hAnsi="Times New Roman" w:cs="Times New Roman"/>
                <w:bCs/>
                <w:vertAlign w:val="superscript"/>
                <w:lang w:val="sr-Latn-ME"/>
              </w:rPr>
              <w:t>®</w:t>
            </w: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 xml:space="preserve">Moguća neželjena dejstva </w:t>
            </w: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3B5967">
              <w:rPr>
                <w:rFonts w:ascii="Times New Roman" w:eastAsia="Times New Roman" w:hAnsi="Times New Roman" w:cs="Times New Roman"/>
                <w:lang w:val="sr-Latn-ME"/>
              </w:rPr>
              <w:t xml:space="preserve">Kako čuvati lijek </w:t>
            </w:r>
            <w:r w:rsidRPr="003B5967">
              <w:rPr>
                <w:rFonts w:ascii="Times New Roman" w:eastAsia="Times New Roman" w:hAnsi="Times New Roman" w:cs="Times New Roman"/>
                <w:bCs/>
                <w:lang w:val="sr-Latn-ME"/>
              </w:rPr>
              <w:t>Valcyte</w:t>
            </w:r>
            <w:r w:rsidRPr="003B5967">
              <w:rPr>
                <w:rFonts w:ascii="Times New Roman" w:eastAsia="Times New Roman" w:hAnsi="Times New Roman" w:cs="Times New Roman"/>
                <w:bCs/>
                <w:vertAlign w:val="superscript"/>
                <w:lang w:val="sr-Latn-ME"/>
              </w:rPr>
              <w:t>®</w:t>
            </w:r>
          </w:p>
          <w:p w:rsidR="00311EDD" w:rsidRPr="003B5967" w:rsidRDefault="00311EDD" w:rsidP="003B5967">
            <w:pPr>
              <w:pStyle w:val="ListParagraph"/>
              <w:widowControl w:val="0"/>
              <w:numPr>
                <w:ilvl w:val="0"/>
                <w:numId w:val="12"/>
              </w:numPr>
              <w:tabs>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3B5967">
              <w:rPr>
                <w:rFonts w:ascii="Times New Roman" w:eastAsia="Times New Roman" w:hAnsi="Times New Roman" w:cs="Times New Roman"/>
                <w:lang w:val="sr-Latn-ME"/>
              </w:rPr>
              <w:t>Dodatne informacije</w:t>
            </w:r>
          </w:p>
          <w:p w:rsidR="00311EDD" w:rsidRPr="00311EDD" w:rsidRDefault="00311EDD" w:rsidP="003B596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bl>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p w:rsidR="00311EDD" w:rsidRDefault="00311ED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Default="00AD278D" w:rsidP="00AD278D">
      <w:pPr>
        <w:spacing w:after="0" w:line="240" w:lineRule="auto"/>
        <w:rPr>
          <w:rFonts w:ascii="Times New Roman" w:hAnsi="Times New Roman" w:cs="Times New Roman"/>
          <w:lang w:val="sr-Latn-ME"/>
        </w:rPr>
      </w:pPr>
    </w:p>
    <w:p w:rsidR="00AD278D" w:rsidRPr="003B5967" w:rsidRDefault="00AD278D" w:rsidP="00AD278D">
      <w:pPr>
        <w:spacing w:after="0" w:line="240" w:lineRule="auto"/>
        <w:rPr>
          <w:rFonts w:ascii="Times New Roman" w:hAnsi="Times New Roman" w:cs="Times New Roman"/>
          <w:lang w:val="sr-Latn-ME"/>
        </w:rPr>
      </w:pPr>
    </w:p>
    <w:p w:rsidR="00311EDD" w:rsidRPr="003B5967" w:rsidRDefault="00311EDD" w:rsidP="00AD278D">
      <w:pPr>
        <w:spacing w:after="0" w:line="240" w:lineRule="auto"/>
        <w:rPr>
          <w:rFonts w:ascii="Times New Roman" w:hAnsi="Times New Roman" w:cs="Times New Roman"/>
          <w:lang w:val="sr-Latn-ME"/>
        </w:rPr>
      </w:pPr>
    </w:p>
    <w:tbl>
      <w:tblPr>
        <w:tblW w:w="9639" w:type="dxa"/>
        <w:tblLayout w:type="fixed"/>
        <w:tblLook w:val="0000" w:firstRow="0" w:lastRow="0" w:firstColumn="0" w:lastColumn="0" w:noHBand="0" w:noVBand="0"/>
      </w:tblPr>
      <w:tblGrid>
        <w:gridCol w:w="9639"/>
      </w:tblGrid>
      <w:tr w:rsidR="00311EDD" w:rsidRPr="00311EDD" w:rsidTr="00AD278D">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lastRenderedPageBreak/>
              <w:t xml:space="preserve">1. </w:t>
            </w:r>
            <w:r w:rsidRPr="00311EDD">
              <w:rPr>
                <w:rFonts w:ascii="Times New Roman" w:eastAsia="Times New Roman" w:hAnsi="Times New Roman" w:cs="Times New Roman"/>
                <w:b/>
                <w:lang w:val="sr-Latn-ME"/>
              </w:rPr>
              <w:t>ŠTA JE LIJ</w:t>
            </w:r>
            <w:r w:rsidR="00AD278D">
              <w:rPr>
                <w:rFonts w:ascii="Times New Roman" w:eastAsia="Times New Roman" w:hAnsi="Times New Roman" w:cs="Times New Roman"/>
                <w:b/>
                <w:lang w:val="sr-Latn-ME"/>
              </w:rPr>
              <w:t>EK</w:t>
            </w:r>
            <w:r w:rsidRPr="00311EDD">
              <w:rPr>
                <w:rFonts w:ascii="Times New Roman" w:eastAsia="Times New Roman" w:hAnsi="Times New Roman" w:cs="Times New Roman"/>
                <w:b/>
                <w:lang w:val="sr-Latn-ME"/>
              </w:rPr>
              <w:t xml:space="preserve">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b/>
                <w:lang w:val="sr-Latn-ME"/>
              </w:rPr>
              <w:t xml:space="preserve"> I ČEMU JE NAMIJENJEN</w:t>
            </w:r>
          </w:p>
        </w:tc>
      </w:tr>
      <w:tr w:rsidR="00311EDD" w:rsidRPr="00311EDD" w:rsidTr="00AD278D">
        <w:trPr>
          <w:trHeight w:val="1145"/>
        </w:trPr>
        <w:tc>
          <w:tcPr>
            <w:tcW w:w="9639" w:type="dxa"/>
            <w:vAlign w:val="center"/>
          </w:tcPr>
          <w:p w:rsidR="00AD278D" w:rsidRDefault="00AD278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 xml:space="preserve">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b/>
                <w:spacing w:val="2"/>
                <w:lang w:val="sr-Latn-ME"/>
              </w:rPr>
              <w:t xml:space="preserve"> </w:t>
            </w:r>
            <w:r w:rsidRPr="00311EDD">
              <w:rPr>
                <w:rFonts w:ascii="Times New Roman" w:eastAsia="Times New Roman" w:hAnsi="Times New Roman" w:cs="Times New Roman"/>
                <w:spacing w:val="2"/>
                <w:lang w:val="sr-Latn-ME"/>
              </w:rPr>
              <w:t xml:space="preserve">pripada grupi ljekova, koji direkno sprečavaju rast virusa. U tijelu se aktivni sastojak tablete, valganciklovir, pretvara u ganciklovir. Ganciklovir sprečava razmnožavanje </w:t>
            </w:r>
            <w:r w:rsidR="00AD278D">
              <w:rPr>
                <w:rFonts w:ascii="Times New Roman" w:eastAsia="Times New Roman" w:hAnsi="Times New Roman" w:cs="Times New Roman"/>
                <w:spacing w:val="2"/>
                <w:lang w:val="sr-Latn-ME"/>
              </w:rPr>
              <w:t>virusa koji se zove</w:t>
            </w:r>
            <w:r w:rsidRPr="00311EDD">
              <w:rPr>
                <w:rFonts w:ascii="Times New Roman" w:eastAsia="Times New Roman" w:hAnsi="Times New Roman" w:cs="Times New Roman"/>
                <w:spacing w:val="2"/>
                <w:lang w:val="sr-Latn-ME"/>
              </w:rPr>
              <w:t xml:space="preserve"> Citomegalovirus (CMV) i njegovo prodiranje u zdrave ćelije. Kod pacijenta sa oslabljenim imunim sistemom, CMV može uzrokovati infekciju organa, što može životno ugroziti pacijenta.</w:t>
            </w:r>
          </w:p>
          <w:p w:rsidR="00AD278D" w:rsidRDefault="00AD278D" w:rsidP="00AD278D">
            <w:pPr>
              <w:tabs>
                <w:tab w:val="left" w:pos="284"/>
              </w:tabs>
              <w:spacing w:after="0" w:line="240" w:lineRule="auto"/>
              <w:rPr>
                <w:rFonts w:ascii="Times New Roman" w:eastAsia="Times New Roman" w:hAnsi="Times New Roman" w:cs="Times New Roman"/>
                <w:bCs/>
                <w:lang w:val="sr-Latn-ME"/>
              </w:rPr>
            </w:pPr>
          </w:p>
          <w:p w:rsidR="00AD278D" w:rsidRDefault="00311EDD" w:rsidP="00AD278D">
            <w:pPr>
              <w:tabs>
                <w:tab w:val="left" w:pos="284"/>
              </w:tabs>
              <w:spacing w:after="0" w:line="240" w:lineRule="auto"/>
              <w:rPr>
                <w:rFonts w:ascii="Times New Roman" w:eastAsia="Times New Roman" w:hAnsi="Times New Roman" w:cs="Times New Roman"/>
                <w:spacing w:val="2"/>
                <w:lang w:val="sr-Latn-ME"/>
              </w:rPr>
            </w:pP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2"/>
                <w:lang w:val="sr-Latn-ME"/>
              </w:rPr>
              <w:t xml:space="preserve"> se koristi za:</w:t>
            </w:r>
          </w:p>
          <w:p w:rsidR="00AD278D" w:rsidRPr="00AD278D" w:rsidRDefault="00311EDD" w:rsidP="00AD278D">
            <w:pPr>
              <w:pStyle w:val="ListParagraph"/>
              <w:numPr>
                <w:ilvl w:val="0"/>
                <w:numId w:val="13"/>
              </w:numPr>
              <w:tabs>
                <w:tab w:val="left" w:pos="284"/>
              </w:tabs>
              <w:spacing w:after="0" w:line="240" w:lineRule="auto"/>
              <w:jc w:val="both"/>
              <w:rPr>
                <w:rFonts w:ascii="Times New Roman" w:eastAsia="Times New Roman" w:hAnsi="Times New Roman" w:cs="Times New Roman"/>
                <w:spacing w:val="2"/>
                <w:lang w:val="sr-Latn-ME"/>
              </w:rPr>
            </w:pPr>
            <w:r w:rsidRPr="00AD278D">
              <w:rPr>
                <w:rFonts w:ascii="Times New Roman" w:eastAsia="Times New Roman" w:hAnsi="Times New Roman" w:cs="Times New Roman"/>
                <w:spacing w:val="2"/>
                <w:lang w:val="sr-Latn-ME"/>
              </w:rPr>
              <w:t>liječenje CMV infekcije mrežnjače oka kod odraslih pacijenta sa stečenim sindromom imunodeficijencije (AIDS-SIDA). CMV infekcija mrežnjače oka može uzrokovati probleme sa vidom i sljepilo.</w:t>
            </w:r>
          </w:p>
          <w:p w:rsidR="00311EDD" w:rsidRPr="00AD278D" w:rsidRDefault="00311EDD" w:rsidP="00AD278D">
            <w:pPr>
              <w:pStyle w:val="ListParagraph"/>
              <w:numPr>
                <w:ilvl w:val="0"/>
                <w:numId w:val="13"/>
              </w:numPr>
              <w:tabs>
                <w:tab w:val="left" w:pos="284"/>
              </w:tabs>
              <w:spacing w:after="0" w:line="240" w:lineRule="auto"/>
              <w:jc w:val="both"/>
              <w:rPr>
                <w:rFonts w:ascii="Times New Roman" w:eastAsia="Times New Roman" w:hAnsi="Times New Roman" w:cs="Times New Roman"/>
                <w:spacing w:val="2"/>
                <w:lang w:val="sr-Latn-ME"/>
              </w:rPr>
            </w:pPr>
            <w:r w:rsidRPr="00AD278D">
              <w:rPr>
                <w:rFonts w:ascii="Times New Roman" w:eastAsia="Times New Roman" w:hAnsi="Times New Roman" w:cs="Times New Roman"/>
                <w:spacing w:val="2"/>
                <w:lang w:val="sr-Latn-ME"/>
              </w:rPr>
              <w:t>prevenciju CMV infekcije kod odraslih i djece koji nisu inficirani CMV-om i kojima je transplantiran organ od osobe zaražene CMV-om.</w:t>
            </w:r>
          </w:p>
          <w:p w:rsidR="00311EDD" w:rsidRPr="00311EDD" w:rsidRDefault="00311EDD" w:rsidP="00AD278D">
            <w:pPr>
              <w:tabs>
                <w:tab w:val="left" w:pos="284"/>
                <w:tab w:val="center" w:pos="4536"/>
                <w:tab w:val="right" w:pos="9072"/>
              </w:tabs>
              <w:spacing w:after="0" w:line="240" w:lineRule="auto"/>
              <w:rPr>
                <w:rFonts w:ascii="Times New Roman" w:eastAsia="Times New Roman" w:hAnsi="Times New Roman" w:cs="Times New Roman"/>
                <w:lang w:val="sr-Latn-ME"/>
              </w:rPr>
            </w:pP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rPr>
          <w:trHeight w:val="170"/>
        </w:trPr>
        <w:tc>
          <w:tcPr>
            <w:tcW w:w="9639" w:type="dxa"/>
            <w:vAlign w:val="center"/>
          </w:tcPr>
          <w:p w:rsidR="00311EDD" w:rsidRPr="00311EDD" w:rsidRDefault="00311EDD" w:rsidP="00AD278D">
            <w:pPr>
              <w:widowControl w:val="0"/>
              <w:tabs>
                <w:tab w:val="left" w:pos="252"/>
              </w:tabs>
              <w:autoSpaceDE w:val="0"/>
              <w:autoSpaceDN w:val="0"/>
              <w:spacing w:after="0" w:line="240" w:lineRule="auto"/>
              <w:rPr>
                <w:rFonts w:ascii="Times New Roman" w:eastAsia="Times New Roman" w:hAnsi="Times New Roman" w:cs="Times New Roman"/>
                <w:lang w:val="sr-Latn-ME"/>
              </w:rPr>
            </w:pPr>
            <w:r w:rsidRPr="00311EDD">
              <w:rPr>
                <w:rFonts w:ascii="Times New Roman" w:eastAsia="Times New Roman" w:hAnsi="Times New Roman" w:cs="Times New Roman"/>
                <w:b/>
                <w:bCs/>
                <w:lang w:val="sr-Latn-ME"/>
              </w:rPr>
              <w:t>2.</w:t>
            </w:r>
            <w:r w:rsidRPr="00311EDD">
              <w:rPr>
                <w:rFonts w:ascii="Times New Roman" w:eastAsia="Times New Roman" w:hAnsi="Times New Roman" w:cs="Times New Roman"/>
                <w:bCs/>
                <w:lang w:val="sr-Latn-ME"/>
              </w:rPr>
              <w:t xml:space="preserve"> </w:t>
            </w:r>
            <w:r w:rsidRPr="00311EDD">
              <w:rPr>
                <w:rFonts w:ascii="Times New Roman" w:eastAsia="Times New Roman" w:hAnsi="Times New Roman" w:cs="Times New Roman"/>
                <w:b/>
                <w:caps/>
                <w:lang w:val="sr-Latn-ME"/>
              </w:rPr>
              <w:t xml:space="preserve">Šta treba da znate prIJe nego što uzmete lIJek </w:t>
            </w:r>
            <w:r w:rsidRPr="00311EDD">
              <w:rPr>
                <w:rFonts w:ascii="Times New Roman" w:eastAsia="Times New Roman" w:hAnsi="Times New Roman" w:cs="Times New Roman"/>
                <w:b/>
                <w:lang w:val="sr-Latn-ME"/>
              </w:rPr>
              <w:t>Valcyte</w:t>
            </w:r>
            <w:r w:rsidRPr="00311EDD">
              <w:rPr>
                <w:rFonts w:ascii="Times New Roman" w:eastAsia="Times New Roman" w:hAnsi="Times New Roman" w:cs="Times New Roman"/>
                <w:b/>
                <w:vertAlign w:val="superscript"/>
                <w:lang w:val="sr-Latn-ME"/>
              </w:rPr>
              <w:t>®</w:t>
            </w:r>
          </w:p>
        </w:tc>
      </w:tr>
      <w:tr w:rsidR="00311EDD" w:rsidRPr="00311EDD" w:rsidTr="00AD278D">
        <w:trPr>
          <w:trHeight w:val="1903"/>
        </w:trPr>
        <w:tc>
          <w:tcPr>
            <w:tcW w:w="9639" w:type="dxa"/>
            <w:vAlign w:val="center"/>
          </w:tcPr>
          <w:p w:rsidR="00AD278D" w:rsidRDefault="00AD278D" w:rsidP="00AD278D">
            <w:pPr>
              <w:tabs>
                <w:tab w:val="left" w:pos="284"/>
              </w:tabs>
              <w:spacing w:after="0" w:line="240" w:lineRule="auto"/>
              <w:ind w:right="432"/>
              <w:jc w:val="both"/>
              <w:rPr>
                <w:rFonts w:ascii="Times New Roman" w:eastAsia="Times New Roman" w:hAnsi="Times New Roman" w:cs="Times New Roman"/>
                <w:b/>
                <w:spacing w:val="4"/>
                <w:lang w:val="sr-Latn-ME"/>
              </w:rPr>
            </w:pPr>
          </w:p>
          <w:p w:rsidR="00AD278D" w:rsidRDefault="00311EDD" w:rsidP="00AD278D">
            <w:pPr>
              <w:tabs>
                <w:tab w:val="left" w:pos="284"/>
              </w:tabs>
              <w:spacing w:after="0" w:line="240" w:lineRule="auto"/>
              <w:ind w:right="432"/>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t>Lijek Valcyte</w:t>
            </w:r>
            <w:r w:rsidRPr="00311EDD">
              <w:rPr>
                <w:rFonts w:ascii="Times New Roman" w:eastAsia="Times New Roman" w:hAnsi="Times New Roman" w:cs="Times New Roman"/>
                <w:b/>
                <w:spacing w:val="4"/>
                <w:vertAlign w:val="superscript"/>
                <w:lang w:val="sr-Latn-ME"/>
              </w:rPr>
              <w:t xml:space="preserve">® </w:t>
            </w:r>
            <w:r w:rsidRPr="00311EDD">
              <w:rPr>
                <w:rFonts w:ascii="Times New Roman" w:eastAsia="Times New Roman" w:hAnsi="Times New Roman" w:cs="Times New Roman"/>
                <w:b/>
                <w:spacing w:val="4"/>
                <w:lang w:val="sr-Latn-ME"/>
              </w:rPr>
              <w:t>ne smijete koristiti:</w:t>
            </w:r>
          </w:p>
          <w:p w:rsidR="00AD278D" w:rsidRDefault="00AD278D" w:rsidP="00AD278D">
            <w:pPr>
              <w:tabs>
                <w:tab w:val="left" w:pos="284"/>
              </w:tabs>
              <w:spacing w:after="0" w:line="240" w:lineRule="auto"/>
              <w:ind w:right="432"/>
              <w:jc w:val="both"/>
              <w:rPr>
                <w:rFonts w:ascii="Times New Roman" w:eastAsia="Times New Roman" w:hAnsi="Times New Roman" w:cs="Times New Roman"/>
                <w:b/>
                <w:spacing w:val="4"/>
                <w:lang w:val="sr-Latn-ME"/>
              </w:rPr>
            </w:pPr>
          </w:p>
          <w:p w:rsidR="00AD278D" w:rsidRPr="00AD278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b/>
                <w:spacing w:val="4"/>
                <w:lang w:val="sr-Latn-ME"/>
              </w:rPr>
            </w:pPr>
            <w:r w:rsidRPr="00AD278D">
              <w:rPr>
                <w:rFonts w:ascii="Times New Roman" w:eastAsia="Times New Roman" w:hAnsi="Times New Roman" w:cs="Times New Roman"/>
                <w:spacing w:val="4"/>
                <w:lang w:val="sr-Latn-ME"/>
              </w:rPr>
              <w:t>ako ste alergični (preosjetljivi) na valgaciklovir ili bilo koji sastojak tableta Valcyte® (vidjeti odjeljak 6).</w:t>
            </w:r>
          </w:p>
          <w:p w:rsidR="00AD278D" w:rsidRPr="00AD278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b/>
                <w:spacing w:val="4"/>
                <w:lang w:val="sr-Latn-ME"/>
              </w:rPr>
            </w:pPr>
            <w:r w:rsidRPr="00AD278D">
              <w:rPr>
                <w:rFonts w:ascii="Times New Roman" w:eastAsia="Times New Roman" w:hAnsi="Times New Roman" w:cs="Times New Roman"/>
                <w:spacing w:val="4"/>
                <w:lang w:val="sr-Latn-ME"/>
              </w:rPr>
              <w:t>ako ste alergični na ganciklovir, aciklovir ili valaciklovir, ljekovi koji se koristi za liječenje drugih virusnih infekcija</w:t>
            </w:r>
          </w:p>
          <w:p w:rsidR="00311EDD" w:rsidRPr="00AD278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b/>
                <w:spacing w:val="4"/>
                <w:lang w:val="sr-Latn-ME"/>
              </w:rPr>
            </w:pPr>
            <w:r w:rsidRPr="00AD278D">
              <w:rPr>
                <w:rFonts w:ascii="Times New Roman" w:eastAsia="Times New Roman" w:hAnsi="Times New Roman" w:cs="Times New Roman"/>
                <w:spacing w:val="4"/>
                <w:lang w:val="sr-Latn-ME"/>
              </w:rPr>
              <w:t>ako dojite</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AD278D">
        <w:trPr>
          <w:trHeight w:val="160"/>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Kada uzimate lijek 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spacing w:val="2"/>
                <w:lang w:val="sr-Latn-ME"/>
              </w:rPr>
              <w:t xml:space="preserve"> </w:t>
            </w:r>
            <w:r w:rsidRPr="00311EDD">
              <w:rPr>
                <w:rFonts w:ascii="Times New Roman" w:eastAsia="Times New Roman" w:hAnsi="Times New Roman" w:cs="Times New Roman"/>
                <w:b/>
                <w:bCs/>
                <w:lang w:val="sr-Latn-ME"/>
              </w:rPr>
              <w:t>posebno vodite računa:</w:t>
            </w:r>
          </w:p>
        </w:tc>
      </w:tr>
      <w:tr w:rsidR="00311EDD" w:rsidRPr="00311EDD" w:rsidTr="00AD278D">
        <w:trPr>
          <w:trHeight w:val="1145"/>
        </w:trPr>
        <w:tc>
          <w:tcPr>
            <w:tcW w:w="9639" w:type="dxa"/>
            <w:vAlign w:val="center"/>
          </w:tcPr>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Ako imate nizak nivo bijelih krvnih zrnaca, crvenih krvnih zrnaca ili trombocita (krvnih pločica - male krvne ćelije uključene u zgrušavanje krvi) u krvi. Vaš ljekar će uraditi laboratorijske analize krvi prije nego što počnete da uzimate tablete Valcyte</w:t>
            </w:r>
            <w:r w:rsidRPr="00311EDD">
              <w:rPr>
                <w:rFonts w:ascii="Times New Roman" w:eastAsia="Times New Roman" w:hAnsi="Times New Roman" w:cs="Times New Roman"/>
                <w:spacing w:val="4"/>
                <w:vertAlign w:val="superscript"/>
                <w:lang w:val="sr-Latn-ME"/>
              </w:rPr>
              <w:t>®</w:t>
            </w:r>
            <w:r w:rsidRPr="00311EDD">
              <w:rPr>
                <w:rFonts w:ascii="Times New Roman" w:eastAsia="Times New Roman" w:hAnsi="Times New Roman" w:cs="Times New Roman"/>
                <w:spacing w:val="4"/>
                <w:lang w:val="sr-Latn-ME"/>
              </w:rPr>
              <w:t xml:space="preserve"> i još analiza dok uzimate tablete </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Ako ste na radioterapiji ili ste na hemodijalizi </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Ako imate problema sa bubrezima. Vaš ljekar će možda morati da Vam propiše smanjenu dozu lijeka i možda će morati da Vam često kontroliše krv tokom terapije.</w:t>
            </w:r>
          </w:p>
          <w:p w:rsidR="00311EDD" w:rsidRPr="00AD278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Ako trenutno uzimate kapsule ganciklovira i ljekar hoće da Vam propiše tablete lijeka Valcyte</w:t>
            </w:r>
            <w:r w:rsidRPr="00311EDD">
              <w:rPr>
                <w:rFonts w:ascii="Times New Roman" w:eastAsia="Times New Roman" w:hAnsi="Times New Roman" w:cs="Times New Roman"/>
                <w:spacing w:val="4"/>
                <w:vertAlign w:val="superscript"/>
                <w:lang w:val="sr-Latn-ME"/>
              </w:rPr>
              <w:t>®</w:t>
            </w:r>
            <w:r w:rsidRPr="00311EDD">
              <w:rPr>
                <w:rFonts w:ascii="Times New Roman" w:eastAsia="Times New Roman" w:hAnsi="Times New Roman" w:cs="Times New Roman"/>
                <w:spacing w:val="4"/>
                <w:lang w:val="sr-Latn-ME"/>
              </w:rPr>
              <w:t>.Važno je da ne uzimate više tableta nego što vam je propisao ljekar, jer može doći do predoziranja.</w:t>
            </w:r>
          </w:p>
          <w:p w:rsidR="00311EDD" w:rsidRPr="00311EDD" w:rsidRDefault="00311EDD" w:rsidP="00AD278D">
            <w:pPr>
              <w:tabs>
                <w:tab w:val="left" w:pos="284"/>
                <w:tab w:val="center" w:pos="4536"/>
                <w:tab w:val="right" w:pos="9072"/>
              </w:tabs>
              <w:spacing w:after="0" w:line="240" w:lineRule="auto"/>
              <w:rPr>
                <w:rFonts w:ascii="Times New Roman" w:eastAsia="Times New Roman" w:hAnsi="Times New Roman" w:cs="Times New Roman"/>
                <w:lang w:val="sr-Latn-ME"/>
              </w:rPr>
            </w:pPr>
          </w:p>
        </w:tc>
      </w:tr>
      <w:tr w:rsidR="00311EDD" w:rsidRPr="00311EDD" w:rsidTr="00AD278D">
        <w:trPr>
          <w:trHeight w:val="267"/>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Primjena drugih ljekova</w:t>
            </w:r>
          </w:p>
          <w:p w:rsidR="00AD278D" w:rsidRDefault="00AD278D" w:rsidP="00AD278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lang w:val="sr-Latn-ME"/>
              </w:rPr>
              <w:t>Recite svom ljekaru ili farmaceutu ukoliko uzimate ili ste nedavno uzimali ili biste mogli uzeti bilo koji drugi lijek, uključujući i ljekove koji se nabavljaju bez recepta.</w:t>
            </w:r>
          </w:p>
        </w:tc>
      </w:tr>
      <w:tr w:rsidR="00311EDD" w:rsidRPr="00311EDD" w:rsidTr="00AD278D">
        <w:trPr>
          <w:trHeight w:val="1145"/>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Ako uzimate druge ljekove u isto vrijeme uz</w:t>
            </w:r>
            <w:r w:rsidRPr="00311EDD">
              <w:rPr>
                <w:rFonts w:ascii="Times New Roman" w:eastAsia="Times New Roman" w:hAnsi="Times New Roman" w:cs="Times New Roman"/>
                <w:lang w:val="sr-Latn-ME"/>
              </w:rPr>
              <w:t xml:space="preserve"> 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2"/>
                <w:lang w:val="sr-Latn-ME"/>
              </w:rPr>
              <w:t xml:space="preserve">, kombinacija ljekova može uticati na količinu lijeka u vašem krvotoku </w:t>
            </w:r>
            <w:r w:rsidR="00AD278D">
              <w:rPr>
                <w:rFonts w:ascii="Times New Roman" w:eastAsia="Times New Roman" w:hAnsi="Times New Roman" w:cs="Times New Roman"/>
                <w:spacing w:val="2"/>
                <w:lang w:val="sr-Latn-ME"/>
              </w:rPr>
              <w:t>i</w:t>
            </w:r>
            <w:r w:rsidRPr="00311EDD">
              <w:rPr>
                <w:rFonts w:ascii="Times New Roman" w:eastAsia="Times New Roman" w:hAnsi="Times New Roman" w:cs="Times New Roman"/>
                <w:spacing w:val="2"/>
                <w:lang w:val="sr-Latn-ME"/>
              </w:rPr>
              <w:t xml:space="preserve"> može prouzrokovati štetne posljedice. Kažite svom ljekaru ako uzimate neke od sljedećih ljekova:</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Imipenem/cilastatin (antibiotik). Uzimanje ovog lijeka zajedno sa l</w:t>
            </w:r>
            <w:r w:rsidR="00AD278D">
              <w:rPr>
                <w:rFonts w:ascii="Times New Roman" w:eastAsia="Times New Roman" w:hAnsi="Times New Roman" w:cs="Times New Roman"/>
                <w:spacing w:val="4"/>
                <w:lang w:val="sr-Latn-ME"/>
              </w:rPr>
              <w:t>ijekom</w:t>
            </w:r>
            <w:r w:rsidRPr="00311EDD">
              <w:rPr>
                <w:rFonts w:ascii="Times New Roman" w:eastAsia="Times New Roman" w:hAnsi="Times New Roman" w:cs="Times New Roman"/>
                <w:spacing w:val="4"/>
                <w:lang w:val="sr-Latn-ME"/>
              </w:rPr>
              <w:t xml:space="preserve"> Valcyte</w:t>
            </w:r>
            <w:r w:rsidRPr="00311EDD">
              <w:rPr>
                <w:rFonts w:ascii="Times New Roman" w:eastAsia="Times New Roman" w:hAnsi="Times New Roman" w:cs="Times New Roman"/>
                <w:spacing w:val="4"/>
                <w:vertAlign w:val="superscript"/>
                <w:lang w:val="sr-Latn-ME"/>
              </w:rPr>
              <w:t>®</w:t>
            </w:r>
            <w:r w:rsidRPr="00311EDD">
              <w:rPr>
                <w:rFonts w:ascii="Times New Roman" w:eastAsia="Times New Roman" w:hAnsi="Times New Roman" w:cs="Times New Roman"/>
                <w:spacing w:val="4"/>
                <w:lang w:val="sr-Latn-ME"/>
              </w:rPr>
              <w:t xml:space="preserve"> može uzrokovati konvulzije (epileptični napadi).</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lastRenderedPageBreak/>
              <w:t>zidovudin, didanozin, lamivudin, tenofovir, abakavir, emtricitabin ili drugi slični ljekovi koji se koriste za liječenje AIDS-a</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ribavirin, pegilovani interferoni, adefovir i entekavir koji se koriste za liječenje hepatitisa B/C</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probenecid (lijek za terapiju gihta). Uzimanje ovog lijeka zajedno sa lijekom Valcyte može povećati koncentraciju ganciklovira u krvi</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mikofenolat mofetil (koristi se poslije transplantacije)</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vinkristin, vinblastin, adriamicin, hidroksiurea ili slični ljekovi za terapiju karcinoma</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cidofovir ili foscarnet koji se koriste za liječenje virusnih infekcija.</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trimetoprim, kombinacija trimetoprima i sulfonamida, i dapson (antibiotici)</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pentamidin (lijek za terapiju infekcija parazita ili infekcija pluća)</w:t>
            </w:r>
          </w:p>
          <w:p w:rsidR="00311EDD" w:rsidRPr="00311EDD" w:rsidRDefault="00311EDD" w:rsidP="00AD278D">
            <w:pPr>
              <w:pStyle w:val="ListParagraph"/>
              <w:numPr>
                <w:ilvl w:val="0"/>
                <w:numId w:val="14"/>
              </w:num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flucitozin ili amfotericin B (antigljivični ljekovi) </w:t>
            </w: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rPr>
          <w:trHeight w:val="291"/>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r w:rsidRPr="00311EDD">
              <w:rPr>
                <w:rFonts w:ascii="Times New Roman" w:eastAsia="Times New Roman" w:hAnsi="Times New Roman" w:cs="Times New Roman"/>
                <w:b/>
                <w:bCs/>
                <w:lang w:val="sr-Latn-ME"/>
              </w:rPr>
              <w:lastRenderedPageBreak/>
              <w:t>Uzimanje lijeka 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spacing w:val="2"/>
                <w:lang w:val="sr-Latn-ME"/>
              </w:rPr>
              <w:t xml:space="preserve"> </w:t>
            </w:r>
            <w:r w:rsidRPr="00311EDD">
              <w:rPr>
                <w:rFonts w:ascii="Times New Roman" w:eastAsia="Times New Roman" w:hAnsi="Times New Roman" w:cs="Times New Roman"/>
                <w:b/>
                <w:bCs/>
                <w:lang w:val="sr-Latn-ME"/>
              </w:rPr>
              <w:t>sa hranom ili pićima</w:t>
            </w:r>
          </w:p>
        </w:tc>
      </w:tr>
      <w:tr w:rsidR="00311EDD" w:rsidRPr="00311EDD" w:rsidTr="00AD278D">
        <w:trPr>
          <w:trHeight w:val="291"/>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Lijek 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lang w:val="sr-Latn-ME"/>
              </w:rPr>
              <w:t xml:space="preserve"> treba uzimati sa hranom. Ako iz bilo kog razloga ne možete da jedete, ipak  treba da uzimate svoju dozu lijeka Valcyte kao i obično.</w:t>
            </w:r>
          </w:p>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p>
        </w:tc>
      </w:tr>
      <w:tr w:rsidR="00311EDD" w:rsidRPr="00311EDD" w:rsidTr="00AD278D">
        <w:trPr>
          <w:trHeight w:val="176"/>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 xml:space="preserve">Primjena lijeka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 xml:space="preserve">® </w:t>
            </w:r>
            <w:r w:rsidRPr="00311EDD">
              <w:rPr>
                <w:rFonts w:ascii="Times New Roman" w:eastAsia="Times New Roman" w:hAnsi="Times New Roman" w:cs="Times New Roman"/>
                <w:b/>
                <w:bCs/>
                <w:lang w:val="sr-Latn-ME"/>
              </w:rPr>
              <w:t>u periodu</w:t>
            </w:r>
            <w:r w:rsidRPr="00311EDD">
              <w:rPr>
                <w:rFonts w:ascii="Times New Roman" w:eastAsia="Times New Roman" w:hAnsi="Times New Roman" w:cs="Times New Roman"/>
                <w:b/>
                <w:bCs/>
                <w:u w:val="single"/>
                <w:lang w:val="sr-Latn-ME"/>
              </w:rPr>
              <w:t xml:space="preserve"> </w:t>
            </w:r>
            <w:r w:rsidRPr="00311EDD">
              <w:rPr>
                <w:rFonts w:ascii="Times New Roman" w:eastAsia="Times New Roman" w:hAnsi="Times New Roman" w:cs="Times New Roman"/>
                <w:b/>
                <w:lang w:val="sr-Latn-ME"/>
              </w:rPr>
              <w:t xml:space="preserve">trudnoće i dojenja </w:t>
            </w:r>
          </w:p>
        </w:tc>
      </w:tr>
      <w:tr w:rsidR="00311EDD" w:rsidRPr="00311EDD" w:rsidTr="00AD278D">
        <w:trPr>
          <w:trHeight w:val="1145"/>
        </w:trPr>
        <w:tc>
          <w:tcPr>
            <w:tcW w:w="9639" w:type="dxa"/>
            <w:vAlign w:val="center"/>
          </w:tcPr>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
                <w:iCs/>
                <w:lang w:val="sr-Latn-ME"/>
              </w:rPr>
            </w:pPr>
          </w:p>
          <w:p w:rsidR="00311EDD" w:rsidRDefault="00311EDD" w:rsidP="00AD278D">
            <w:pPr>
              <w:tabs>
                <w:tab w:val="left" w:pos="284"/>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iCs/>
                <w:lang w:val="sr-Latn-ME"/>
              </w:rPr>
              <w:t xml:space="preserve">Ne bi trebalo da uzimate 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lang w:val="sr-Latn-ME"/>
              </w:rPr>
              <w:t xml:space="preserve"> </w:t>
            </w:r>
            <w:r w:rsidRPr="00311EDD">
              <w:rPr>
                <w:rFonts w:ascii="Times New Roman" w:eastAsia="Times New Roman" w:hAnsi="Times New Roman" w:cs="Times New Roman"/>
                <w:iCs/>
                <w:lang w:val="sr-Latn-ME"/>
              </w:rPr>
              <w:t>ako ste trudni, osim ako Vam  ljekar ne preporuči.</w:t>
            </w:r>
            <w:r w:rsidRPr="00311EDD">
              <w:rPr>
                <w:rFonts w:ascii="Times New Roman" w:eastAsia="Times New Roman" w:hAnsi="Times New Roman" w:cs="Times New Roman"/>
                <w:spacing w:val="4"/>
                <w:lang w:val="sr-Latn-ME"/>
              </w:rPr>
              <w:t xml:space="preserve"> Ako ste već trudni  ili planirate da zatrudnite, to morate reći svom ljekaru. Uzimanje lijeka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lang w:val="sr-Latn-ME"/>
              </w:rPr>
              <w:t xml:space="preserve"> za vrijeme trudnoće može da naškodi Vašoj nerođenoj bebi.</w:t>
            </w:r>
          </w:p>
          <w:p w:rsidR="00AD278D" w:rsidRPr="00311EDD" w:rsidRDefault="00AD278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Ako dojite ne smijete da uzimate lijek Valcyte</w:t>
            </w:r>
            <w:r w:rsidRPr="00311EDD">
              <w:rPr>
                <w:rFonts w:ascii="Times New Roman" w:eastAsia="Times New Roman" w:hAnsi="Times New Roman" w:cs="Times New Roman"/>
                <w:vertAlign w:val="superscript"/>
                <w:lang w:val="sr-Latn-ME"/>
              </w:rPr>
              <w:t>®</w:t>
            </w:r>
            <w:r w:rsidRPr="00311EDD">
              <w:rPr>
                <w:rFonts w:ascii="Times New Roman" w:eastAsia="Times New Roman" w:hAnsi="Times New Roman" w:cs="Times New Roman"/>
                <w:lang w:val="sr-Latn-ME"/>
              </w:rPr>
              <w:t xml:space="preserve">. Ako Vaš ljekar želi da započne liječenje lijekom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lang w:val="sr-Latn-ME"/>
              </w:rPr>
              <w:t>, morate prestati sa dojenjem prije nego što počnete da uzimate lijek.</w:t>
            </w:r>
          </w:p>
          <w:p w:rsidR="00AD278D" w:rsidRPr="00311EDD" w:rsidRDefault="00AD278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lang w:val="sr-Latn-ME"/>
              </w:rPr>
              <w:t xml:space="preserve">Žene u reproduktivnom periodu moraju da koriste efikasnu kontracepciju kada su na terapiji lijekom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bCs/>
                <w:lang w:val="sr-Latn-ME"/>
              </w:rPr>
              <w:t>.</w:t>
            </w:r>
          </w:p>
          <w:p w:rsidR="00AD278D" w:rsidRPr="00311EDD" w:rsidRDefault="00AD278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 xml:space="preserve">Muškarci čije partnerke mogu da ostanu trudne moraju koristiti kondom dok uzimaju 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2"/>
                <w:lang w:val="sr-Latn-ME"/>
              </w:rPr>
              <w:t xml:space="preserve"> i još 90 dana po okončanju terapije.</w:t>
            </w:r>
          </w:p>
          <w:p w:rsidR="00AD278D" w:rsidRPr="00311EDD" w:rsidRDefault="00AD278D" w:rsidP="00AD278D">
            <w:pPr>
              <w:tabs>
                <w:tab w:val="left" w:pos="284"/>
                <w:tab w:val="center" w:pos="4536"/>
                <w:tab w:val="right" w:pos="9072"/>
              </w:tabs>
              <w:spacing w:after="0" w:line="240" w:lineRule="auto"/>
              <w:jc w:val="both"/>
              <w:rPr>
                <w:rFonts w:ascii="Times New Roman" w:eastAsia="Times New Roman" w:hAnsi="Times New Roman" w:cs="Times New Roman"/>
                <w:spacing w:val="2"/>
                <w:lang w:val="sr-Latn-ME"/>
              </w:rPr>
            </w:pPr>
          </w:p>
        </w:tc>
      </w:tr>
      <w:tr w:rsidR="00311EDD" w:rsidRPr="00311EDD" w:rsidTr="00AD278D">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 xml:space="preserve">Uticaj lijeka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b/>
                <w:lang w:val="sr-Latn-ME"/>
              </w:rPr>
              <w:t>na upravljanje motornim vozilima i rukovanje mašinama</w:t>
            </w:r>
            <w:r w:rsidRPr="00311EDD">
              <w:rPr>
                <w:rFonts w:ascii="Times New Roman" w:eastAsia="Times New Roman" w:hAnsi="Times New Roman" w:cs="Times New Roman"/>
                <w:b/>
                <w:bCs/>
                <w:lang w:val="sr-Latn-ME"/>
              </w:rPr>
              <w:t xml:space="preserve"> </w:t>
            </w:r>
          </w:p>
        </w:tc>
      </w:tr>
      <w:tr w:rsidR="00311EDD" w:rsidRPr="00311EDD" w:rsidTr="00AD278D">
        <w:trPr>
          <w:trHeight w:val="543"/>
        </w:trPr>
        <w:tc>
          <w:tcPr>
            <w:tcW w:w="9639" w:type="dxa"/>
            <w:vAlign w:val="center"/>
          </w:tcPr>
          <w:p w:rsidR="00AD278D" w:rsidRDefault="00AD278D" w:rsidP="00AD278D">
            <w:pPr>
              <w:tabs>
                <w:tab w:val="left" w:pos="284"/>
                <w:tab w:val="center" w:pos="4536"/>
                <w:tab w:val="right" w:pos="9072"/>
              </w:tabs>
              <w:spacing w:after="0" w:line="240" w:lineRule="auto"/>
              <w:rPr>
                <w:rFonts w:ascii="Times New Roman" w:eastAsia="Times New Roman" w:hAnsi="Times New Roman" w:cs="Times New Roman"/>
                <w:spacing w:val="2"/>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Ako osjećate vrtoglavicu, umor, drhtavicu ili konfuziju kada uzimate ovaj lijek, nemojte voziti niti upravljati vozilima i mašinama.</w:t>
            </w: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Prije uzimanja bilo kog lijeka posavjetujte se sa svojim ljekarom ili farmaceutom.</w:t>
            </w:r>
          </w:p>
          <w:p w:rsidR="00AD278D" w:rsidRPr="00311EDD" w:rsidRDefault="00AD278D" w:rsidP="00AD278D">
            <w:pPr>
              <w:tabs>
                <w:tab w:val="left" w:pos="284"/>
                <w:tab w:val="center" w:pos="4536"/>
                <w:tab w:val="right" w:pos="9072"/>
              </w:tabs>
              <w:spacing w:after="0" w:line="240" w:lineRule="auto"/>
              <w:rPr>
                <w:rFonts w:ascii="Times New Roman" w:eastAsia="Times New Roman" w:hAnsi="Times New Roman" w:cs="Times New Roman"/>
                <w:lang w:val="sr-Latn-ME"/>
              </w:rPr>
            </w:pPr>
          </w:p>
        </w:tc>
      </w:tr>
      <w:tr w:rsidR="00311EDD" w:rsidRPr="00311EDD" w:rsidTr="00AD278D">
        <w:trPr>
          <w:trHeight w:val="290"/>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Važne informacije o nekim sastojcima leka Valcyte</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Pomoćne materije su: povidon K30, krospovidon, mikrokristalna celuloza, stearinska kiselina, hipromeloza, titan dioksid (E171), makrogol, crveni gvožđe oksid (E172) i polisorbat.</w:t>
            </w:r>
          </w:p>
          <w:p w:rsid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AD278D" w:rsidRDefault="00AD278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AD278D" w:rsidRDefault="00AD278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AD278D" w:rsidRPr="00311EDD" w:rsidRDefault="00AD278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r w:rsidR="00311EDD" w:rsidRPr="00311EDD" w:rsidTr="00AD278D">
        <w:tc>
          <w:tcPr>
            <w:tcW w:w="9639" w:type="dxa"/>
            <w:vAlign w:val="center"/>
          </w:tcPr>
          <w:p w:rsidR="00311EDD" w:rsidRPr="00311EDD" w:rsidRDefault="00311EDD" w:rsidP="00AD278D">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lastRenderedPageBreak/>
              <w:t xml:space="preserve">3. </w:t>
            </w:r>
            <w:r w:rsidRPr="00311EDD">
              <w:rPr>
                <w:rFonts w:ascii="Times New Roman" w:eastAsia="Times New Roman" w:hAnsi="Times New Roman" w:cs="Times New Roman"/>
                <w:b/>
                <w:bCs/>
                <w:lang w:val="sr-Latn-ME"/>
              </w:rPr>
              <w:t xml:space="preserve">KAKO </w:t>
            </w:r>
            <w:r w:rsidRPr="00311EDD">
              <w:rPr>
                <w:rFonts w:ascii="Times New Roman" w:eastAsia="Times New Roman" w:hAnsi="Times New Roman" w:cs="Times New Roman"/>
                <w:b/>
                <w:bCs/>
                <w:caps/>
                <w:lang w:val="sr-Latn-ME"/>
              </w:rPr>
              <w:t xml:space="preserve">se upotrebljava lIJek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p>
        </w:tc>
      </w:tr>
      <w:tr w:rsidR="00311EDD" w:rsidRPr="00311EDD" w:rsidTr="00AD278D">
        <w:trPr>
          <w:trHeight w:val="1145"/>
        </w:trPr>
        <w:tc>
          <w:tcPr>
            <w:tcW w:w="9639" w:type="dxa"/>
            <w:vAlign w:val="center"/>
          </w:tcPr>
          <w:p w:rsidR="00AD278D" w:rsidRDefault="00AD278D" w:rsidP="00AD278D">
            <w:pPr>
              <w:tabs>
                <w:tab w:val="left" w:pos="284"/>
              </w:tabs>
              <w:spacing w:after="0" w:line="240" w:lineRule="auto"/>
              <w:jc w:val="both"/>
              <w:rPr>
                <w:rFonts w:ascii="Times New Roman" w:eastAsia="Times New Roman" w:hAnsi="Times New Roman" w:cs="Times New Roman"/>
                <w:bCs/>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bCs/>
                <w:lang w:val="sr-Latn-ME"/>
              </w:rPr>
              <w:t>Uvijek uzimajte lijek 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onako kako vam je to rekao Vaš ljekar ili farmaceut. Ako niste sigurni,  provjerite sa svojim ljekarom ili farmaceutom. </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Tabletama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treba rukovati oprezno. Ne  smiju se lomiti, niti mrviti. </w:t>
            </w:r>
            <w:r w:rsidRPr="00311EDD">
              <w:rPr>
                <w:rFonts w:ascii="Times New Roman" w:eastAsia="Times New Roman" w:hAnsi="Times New Roman" w:cs="Times New Roman"/>
                <w:spacing w:val="2"/>
                <w:lang w:val="sr-Latn-ME"/>
              </w:rPr>
              <w:t>Table</w:t>
            </w:r>
            <w:r w:rsidR="00AD278D">
              <w:rPr>
                <w:rFonts w:ascii="Times New Roman" w:eastAsia="Times New Roman" w:hAnsi="Times New Roman" w:cs="Times New Roman"/>
                <w:spacing w:val="2"/>
                <w:lang w:val="sr-Latn-ME"/>
              </w:rPr>
              <w:t>te</w:t>
            </w:r>
            <w:r w:rsidRPr="00311EDD">
              <w:rPr>
                <w:rFonts w:ascii="Times New Roman" w:eastAsia="Times New Roman" w:hAnsi="Times New Roman" w:cs="Times New Roman"/>
                <w:spacing w:val="2"/>
                <w:lang w:val="sr-Latn-ME"/>
              </w:rPr>
              <w:t xml:space="preserve"> treba progutati cij</w:t>
            </w:r>
            <w:r w:rsidR="00AD278D">
              <w:rPr>
                <w:rFonts w:ascii="Times New Roman" w:eastAsia="Times New Roman" w:hAnsi="Times New Roman" w:cs="Times New Roman"/>
                <w:spacing w:val="2"/>
                <w:lang w:val="sr-Latn-ME"/>
              </w:rPr>
              <w:t>ele i</w:t>
            </w:r>
            <w:r w:rsidRPr="00311EDD">
              <w:rPr>
                <w:rFonts w:ascii="Times New Roman" w:eastAsia="Times New Roman" w:hAnsi="Times New Roman" w:cs="Times New Roman"/>
                <w:spacing w:val="2"/>
                <w:lang w:val="sr-Latn-ME"/>
              </w:rPr>
              <w:t xml:space="preserve"> kad god je to moguće sa hranom.</w:t>
            </w:r>
            <w:r w:rsidRPr="00311EDD">
              <w:rPr>
                <w:rFonts w:ascii="Times New Roman" w:eastAsia="Times New Roman" w:hAnsi="Times New Roman" w:cs="Times New Roman"/>
                <w:spacing w:val="4"/>
                <w:lang w:val="sr-Latn-ME"/>
              </w:rPr>
              <w:t xml:space="preserve"> Ako slučajno dodirnete oštećenu tabletu, temeljno operite ruke sapunom i vodom. Ako vam prah iz tablete dopre u oči, dobro ih isperite sterilnom vodom, ili običnom vodom ako nemate sterilnu.</w:t>
            </w:r>
          </w:p>
          <w:p w:rsidR="00AD278D" w:rsidRPr="00311EDD" w:rsidRDefault="00AD278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t>Morate se pridržavati broja tableta koje Vam je to propisao ljekar, kako biste izbjegli predoziranje.</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Kad god je to moguće, Valcyte tablete treba uzimati sa hranom – vidjeti dio 2.</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2"/>
                <w:u w:val="single"/>
                <w:lang w:val="sr-Latn-ME"/>
              </w:rPr>
            </w:pPr>
            <w:r w:rsidRPr="00311EDD">
              <w:rPr>
                <w:rFonts w:ascii="Times New Roman" w:eastAsia="Times New Roman" w:hAnsi="Times New Roman" w:cs="Times New Roman"/>
                <w:b/>
                <w:spacing w:val="2"/>
                <w:u w:val="single"/>
                <w:lang w:val="sr-Latn-ME"/>
              </w:rPr>
              <w:t>Odrasli:</w:t>
            </w: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2"/>
                <w:lang w:val="sr-Latn-ME"/>
              </w:rPr>
            </w:pPr>
            <w:r w:rsidRPr="00311EDD">
              <w:rPr>
                <w:rFonts w:ascii="Times New Roman" w:eastAsia="Times New Roman" w:hAnsi="Times New Roman" w:cs="Times New Roman"/>
                <w:b/>
                <w:spacing w:val="2"/>
                <w:lang w:val="sr-Latn-ME"/>
              </w:rPr>
              <w:t>Prevencija CMV bolesti kod pacijenata sa transplantacijom</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1"/>
                <w:lang w:val="sr-Latn-ME"/>
              </w:rPr>
              <w:t xml:space="preserve">Ovaj lijek treba da počnete da uzimate u roku od 10 dana od dana transplantacije. </w:t>
            </w:r>
            <w:r w:rsidRPr="00311EDD">
              <w:rPr>
                <w:rFonts w:ascii="Times New Roman" w:eastAsia="Times New Roman" w:hAnsi="Times New Roman" w:cs="Times New Roman"/>
                <w:spacing w:val="4"/>
                <w:lang w:val="sr-Latn-ME"/>
              </w:rPr>
              <w:t>Uobičajena doza je dvije tablete JEDNOM dnevno.</w:t>
            </w:r>
            <w:r w:rsidRPr="00311EDD">
              <w:rPr>
                <w:rFonts w:ascii="Times New Roman" w:eastAsia="Times New Roman" w:hAnsi="Times New Roman" w:cs="Times New Roman"/>
                <w:spacing w:val="1"/>
                <w:lang w:val="sr-Latn-ME"/>
              </w:rPr>
              <w:t xml:space="preserve"> </w:t>
            </w:r>
            <w:r w:rsidRPr="00311EDD">
              <w:rPr>
                <w:rFonts w:ascii="Times New Roman" w:eastAsia="Times New Roman" w:hAnsi="Times New Roman" w:cs="Times New Roman"/>
                <w:spacing w:val="4"/>
                <w:lang w:val="sr-Latn-ME"/>
              </w:rPr>
              <w:t>Treba da nastavite sa ovom dozom do 100 dana nakon transplantacije. Ako Vam je transplantiran bubreg , Vaš ljekar V</w:t>
            </w:r>
            <w:r w:rsidR="00C269AE">
              <w:rPr>
                <w:rFonts w:ascii="Times New Roman" w:eastAsia="Times New Roman" w:hAnsi="Times New Roman" w:cs="Times New Roman"/>
                <w:spacing w:val="4"/>
                <w:lang w:val="sr-Latn-ME"/>
              </w:rPr>
              <w:t>as</w:t>
            </w:r>
            <w:r w:rsidRPr="00311EDD">
              <w:rPr>
                <w:rFonts w:ascii="Times New Roman" w:eastAsia="Times New Roman" w:hAnsi="Times New Roman" w:cs="Times New Roman"/>
                <w:spacing w:val="4"/>
                <w:lang w:val="sr-Latn-ME"/>
              </w:rPr>
              <w:t xml:space="preserve"> može posavjetovati da uzimate tablete do 200 dana.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u w:val="single"/>
                <w:lang w:val="sr-Latn-ME"/>
              </w:rPr>
            </w:pPr>
            <w:r w:rsidRPr="00311EDD">
              <w:rPr>
                <w:rFonts w:ascii="Times New Roman" w:eastAsia="Times New Roman" w:hAnsi="Times New Roman" w:cs="Times New Roman"/>
                <w:b/>
                <w:spacing w:val="4"/>
                <w:lang w:val="sr-Latn-ME"/>
              </w:rPr>
              <w:t>Terapija aktivnog CMV retinitisa kod pacijenata sa AIDS-om (tzv. indukciona terapija)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1"/>
                <w:lang w:val="sr-Latn-ME"/>
              </w:rPr>
              <w:t>Uobičajena doza lijeka Valcyte je dvije tablete DVA PUTA dnevno tokom 21 dana (tri nedjelje)</w:t>
            </w:r>
            <w:r w:rsidRPr="00311EDD">
              <w:rPr>
                <w:rFonts w:ascii="Times New Roman" w:eastAsia="Times New Roman" w:hAnsi="Times New Roman" w:cs="Times New Roman"/>
                <w:spacing w:val="4"/>
                <w:lang w:val="sr-Latn-ME"/>
              </w:rPr>
              <w:t>. Nemojte uzimati ovu dozu duže od 21 dana osim ukoliko Vam to ne savjetuje ljekar, jer time možete da povećate rizik od pojave mogućih neželjenih efekata.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lang w:val="sr-Latn-ME"/>
              </w:rPr>
            </w:pPr>
            <w:r w:rsidRPr="00311EDD">
              <w:rPr>
                <w:rFonts w:ascii="Times New Roman" w:eastAsia="Times New Roman" w:hAnsi="Times New Roman" w:cs="Times New Roman"/>
                <w:b/>
                <w:spacing w:val="4"/>
                <w:lang w:val="sr-Latn-ME"/>
              </w:rPr>
              <w:t>Dugotrajna terapija prevencije povratka aktivnog zapaljenja kod pacijenata sa AIDS-om i CMV retinitisom (tzv. terapija održavanja)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Uobičajena doza </w:t>
            </w:r>
            <w:r w:rsidR="00C269AE">
              <w:rPr>
                <w:rFonts w:ascii="Times New Roman" w:eastAsia="Times New Roman" w:hAnsi="Times New Roman" w:cs="Times New Roman"/>
                <w:spacing w:val="4"/>
                <w:lang w:val="sr-Latn-ME"/>
              </w:rPr>
              <w:t>je</w:t>
            </w:r>
            <w:r w:rsidRPr="00311EDD">
              <w:rPr>
                <w:rFonts w:ascii="Times New Roman" w:eastAsia="Times New Roman" w:hAnsi="Times New Roman" w:cs="Times New Roman"/>
                <w:spacing w:val="4"/>
                <w:lang w:val="sr-Latn-ME"/>
              </w:rPr>
              <w:t xml:space="preserve"> dvije tablete JEDNOM dnevno. Trebalo bi da pokušate da tablete uzimate u isto vrijeme svakog dana. Ljekar će Vam savjetovati koliko dugo treba da nastavite da uzimate lijek Valcyte. Ako Vam se retinitis pogorša dok ste na terapiji ovom dozom, ljekar Vam može savjetovati da ponovite indukcionu terapiju (opisan gore) ili može odlučiti da Vam da drugi lijek za terapiju CMV infekcije.</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t>Stariji pacijenti</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Lijek 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nije ispitivan na starijim pacijentima.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t xml:space="preserve">Pacijenti sa oboljenjem bubrega </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lang w:val="sr-Latn-ME"/>
              </w:rPr>
              <w:t>Ako Vaši bubr</w:t>
            </w:r>
            <w:r w:rsidR="00C269AE">
              <w:rPr>
                <w:rFonts w:ascii="Times New Roman" w:eastAsia="Times New Roman" w:hAnsi="Times New Roman" w:cs="Times New Roman"/>
                <w:lang w:val="sr-Latn-ME"/>
              </w:rPr>
              <w:t xml:space="preserve">ezi ne funkcionišu kako treba, </w:t>
            </w:r>
            <w:r w:rsidRPr="00311EDD">
              <w:rPr>
                <w:rFonts w:ascii="Times New Roman" w:eastAsia="Times New Roman" w:hAnsi="Times New Roman" w:cs="Times New Roman"/>
                <w:lang w:val="sr-Latn-ME"/>
              </w:rPr>
              <w:t>ljekar Vam može savjetovati da  uzimate manje tableta dnevno,</w:t>
            </w:r>
            <w:r w:rsidR="00C269AE">
              <w:rPr>
                <w:rFonts w:ascii="Times New Roman" w:eastAsia="Times New Roman" w:hAnsi="Times New Roman" w:cs="Times New Roman"/>
                <w:lang w:val="sr-Latn-ME"/>
              </w:rPr>
              <w:t xml:space="preserve"> ili da </w:t>
            </w:r>
            <w:r w:rsidRPr="00311EDD">
              <w:rPr>
                <w:rFonts w:ascii="Times New Roman" w:eastAsia="Times New Roman" w:hAnsi="Times New Roman" w:cs="Times New Roman"/>
                <w:lang w:val="sr-Latn-ME"/>
              </w:rPr>
              <w:t xml:space="preserve">uzimate svoje tablete samo određenim danima u nedelji. </w:t>
            </w:r>
            <w:r w:rsidRPr="00311EDD">
              <w:rPr>
                <w:rFonts w:ascii="Times New Roman" w:eastAsia="Times New Roman" w:hAnsi="Times New Roman" w:cs="Times New Roman"/>
                <w:b/>
                <w:lang w:val="sr-Latn-ME"/>
              </w:rPr>
              <w:t>Veoma je važno</w:t>
            </w:r>
            <w:r w:rsidRPr="00311EDD">
              <w:rPr>
                <w:rFonts w:ascii="Times New Roman" w:eastAsia="Times New Roman" w:hAnsi="Times New Roman" w:cs="Times New Roman"/>
                <w:lang w:val="sr-Latn-ME"/>
              </w:rPr>
              <w:t xml:space="preserve"> da uzimate samo onoliko tableta koliko Vam je ljekar propisao.</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Pacijenti sa oboljenjem jetre</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Lijek 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nije ispitivan kod pacijenata sa oboljenjem jetre.</w:t>
            </w: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C269AE"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C269AE" w:rsidRPr="00311EDD"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AD278D">
        <w:trPr>
          <w:trHeight w:val="329"/>
        </w:trPr>
        <w:tc>
          <w:tcPr>
            <w:tcW w:w="9639" w:type="dxa"/>
            <w:vAlign w:val="center"/>
          </w:tcPr>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lastRenderedPageBreak/>
              <w:t>Primjena kod djece i adolescenata:</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i/>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i/>
                <w:lang w:val="sr-Latn-ME"/>
              </w:rPr>
            </w:pPr>
            <w:r w:rsidRPr="00311EDD">
              <w:rPr>
                <w:rFonts w:ascii="Times New Roman" w:eastAsia="Times New Roman" w:hAnsi="Times New Roman" w:cs="Times New Roman"/>
                <w:i/>
                <w:lang w:val="sr-Latn-ME"/>
              </w:rPr>
              <w:t>Prevencija CMV bolesti kod pacijenata sa transplantacijom</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Djeca bi trebalo da započnu uzimanje ovog lijeka u roku od 10 dana nakon transplantacije. Doza će se razlikovati u zavisnosti od veličine djeteta, a treba je primjeniti JEDNOM dnevno. Ljekar će odrediti najprikladniju dozu na osnovu visine, tjelesne mase i bubrežne funkcije Vašeg djeteta. Dijete treba da nastavi sa uzimanjem ove doze tokom najviše 100 dana. Ako je dijete primilo bubrežni transplant, ljekar će Vas možda savjetovati da primjenjujete dozu tokom 200 dana.</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Kod djece koja ne mogu da progutaju film tabletu lijeka Valcyte, može se primjeniti Valcyte prašak za oralni rastvor.</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 xml:space="preserve">Ako ste uzeli više lijeka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spacing w:val="2"/>
                <w:lang w:val="sr-Latn-ME"/>
              </w:rPr>
              <w:t xml:space="preserve"> </w:t>
            </w:r>
            <w:r w:rsidR="00C269AE">
              <w:rPr>
                <w:rFonts w:ascii="Times New Roman" w:eastAsia="Times New Roman" w:hAnsi="Times New Roman" w:cs="Times New Roman"/>
                <w:b/>
                <w:lang w:val="sr-Latn-ME"/>
              </w:rPr>
              <w:t>nego što je trebalo</w:t>
            </w:r>
          </w:p>
        </w:tc>
      </w:tr>
      <w:tr w:rsidR="00311EDD" w:rsidRPr="00311EDD" w:rsidTr="00C269AE">
        <w:trPr>
          <w:trHeight w:val="1127"/>
        </w:trPr>
        <w:tc>
          <w:tcPr>
            <w:tcW w:w="9639" w:type="dxa"/>
            <w:vAlign w:val="center"/>
          </w:tcPr>
          <w:p w:rsidR="00311EDD" w:rsidRP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Odmah se obratite svom ljekaru ili bolnici ako ste uzeli, ili mislite da ste možda uzeli, više tableta nego što bi trebalo. Uzimanje doze veće od preporučene može da dovede do pojave ozbiljnih neželjenih dejstava, posebno onih koja pogađaju vašu krv i bubrege. Kao rezultat ovoga, može vam biti potrebno bolničko liječenje.</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C269AE">
        <w:trPr>
          <w:trHeight w:val="60"/>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 xml:space="preserve">Ako ste zaboravili da uzmete lijek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p>
        </w:tc>
      </w:tr>
      <w:tr w:rsidR="00311EDD" w:rsidRPr="00311EDD" w:rsidTr="00C269AE">
        <w:trPr>
          <w:trHeight w:val="325"/>
        </w:trPr>
        <w:tc>
          <w:tcPr>
            <w:tcW w:w="9639" w:type="dxa"/>
            <w:vAlign w:val="center"/>
          </w:tcPr>
          <w:p w:rsidR="00C269AE"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Ako ste zaboravili da uzmete tabletu, uzmite propuštenu dozu čim se sjetite, a sljedeću dozu uzmite u uobičajeno vrijeme. Ne uzimajte duplu dozu da biste nadoknadili propuštenu tabletu.</w:t>
            </w:r>
          </w:p>
          <w:p w:rsidR="00C269AE" w:rsidRPr="00311EDD"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b/>
                <w:lang w:val="sr-Latn-ME"/>
              </w:rPr>
            </w:pPr>
          </w:p>
        </w:tc>
      </w:tr>
      <w:tr w:rsidR="00311EDD" w:rsidRPr="00311EDD" w:rsidTr="00C269AE">
        <w:trPr>
          <w:trHeight w:val="60"/>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 xml:space="preserve">Ako naglo prestanete da uzimate lijek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p>
        </w:tc>
      </w:tr>
      <w:tr w:rsidR="00311EDD" w:rsidRPr="00311EDD" w:rsidTr="00AD278D">
        <w:trPr>
          <w:trHeight w:val="734"/>
        </w:trPr>
        <w:tc>
          <w:tcPr>
            <w:tcW w:w="9639" w:type="dxa"/>
            <w:vAlign w:val="center"/>
          </w:tcPr>
          <w:p w:rsidR="00C269AE" w:rsidRDefault="00C269AE" w:rsidP="00AD278D">
            <w:pPr>
              <w:tabs>
                <w:tab w:val="left" w:pos="284"/>
              </w:tabs>
              <w:spacing w:after="0" w:line="240" w:lineRule="auto"/>
              <w:rPr>
                <w:rFonts w:ascii="Times New Roman" w:eastAsia="Times New Roman" w:hAnsi="Times New Roman" w:cs="Times New Roman"/>
                <w:lang w:val="sr-Latn-ME"/>
              </w:rPr>
            </w:pP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r w:rsidRPr="00311EDD">
              <w:rPr>
                <w:rFonts w:ascii="Times New Roman" w:eastAsia="Times New Roman" w:hAnsi="Times New Roman" w:cs="Times New Roman"/>
                <w:lang w:val="sr-Latn-ME"/>
              </w:rPr>
              <w:t>Ne smijete da prekidate uzimanje tablete, osim ukoliko Vam ljekar nije tako rekao.</w:t>
            </w: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Ako imate dodatna pitanja u vezi uzimanja ovog lijeka, pitajte Vašeg ljekara ili farmaceuta.</w:t>
            </w: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C269AE" w:rsidRPr="00311EDD"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AD278D">
        <w:tc>
          <w:tcPr>
            <w:tcW w:w="9639" w:type="dxa"/>
            <w:vAlign w:val="center"/>
          </w:tcPr>
          <w:p w:rsidR="00311EDD" w:rsidRPr="00311EDD" w:rsidRDefault="00311EDD" w:rsidP="00AD278D">
            <w:pPr>
              <w:widowControl w:val="0"/>
              <w:autoSpaceDE w:val="0"/>
              <w:autoSpaceDN w:val="0"/>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4. MOGUĆA NEŽELJENA DEJSTVA</w:t>
            </w:r>
          </w:p>
        </w:tc>
      </w:tr>
      <w:tr w:rsidR="00311EDD" w:rsidRPr="00311EDD" w:rsidTr="00AD278D">
        <w:trPr>
          <w:trHeight w:val="1145"/>
        </w:trPr>
        <w:tc>
          <w:tcPr>
            <w:tcW w:w="9639" w:type="dxa"/>
            <w:vAlign w:val="center"/>
          </w:tcPr>
          <w:p w:rsidR="00C269AE" w:rsidRDefault="00C269AE"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Kao i svi ljekovi, i 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može da ima neželjena dejstva, iako se ona ne moraju ispoljiti kod svih</w:t>
            </w:r>
            <w:r w:rsidR="00C269AE">
              <w:rPr>
                <w:rFonts w:ascii="Times New Roman" w:eastAsia="Times New Roman" w:hAnsi="Times New Roman" w:cs="Times New Roman"/>
                <w:spacing w:val="4"/>
                <w:lang w:val="sr-Latn-ME"/>
              </w:rPr>
              <w:t>.</w:t>
            </w:r>
          </w:p>
          <w:p w:rsidR="00C269AE" w:rsidRPr="00311EDD" w:rsidRDefault="00C269AE"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b/>
                <w:spacing w:val="4"/>
                <w:lang w:val="sr-Latn-ME"/>
              </w:rPr>
              <w:t>Alergijske reakcije</w:t>
            </w: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4"/>
                <w:lang w:val="sr-Latn-ME"/>
              </w:rPr>
            </w:pPr>
            <w:r w:rsidRPr="00311EDD">
              <w:rPr>
                <w:rFonts w:ascii="Times New Roman" w:eastAsia="Times New Roman" w:hAnsi="Times New Roman" w:cs="Times New Roman"/>
                <w:spacing w:val="4"/>
                <w:lang w:val="sr-Latn-ME"/>
              </w:rPr>
              <w:t xml:space="preserve">Kod najviše jedne od 100 osoba može se razviti iznenadna i teška alergijska reakcija na valganciklovir (anfilaktički šok). </w:t>
            </w:r>
            <w:r w:rsidRPr="00311EDD">
              <w:rPr>
                <w:rFonts w:ascii="Times New Roman" w:eastAsia="Times New Roman" w:hAnsi="Times New Roman" w:cs="Times New Roman"/>
                <w:b/>
                <w:spacing w:val="4"/>
                <w:lang w:val="sr-Latn-ME"/>
              </w:rPr>
              <w:t>PRESTANITE</w:t>
            </w:r>
            <w:r w:rsidRPr="00311EDD">
              <w:rPr>
                <w:rFonts w:ascii="Times New Roman" w:eastAsia="Times New Roman" w:hAnsi="Times New Roman" w:cs="Times New Roman"/>
                <w:spacing w:val="4"/>
                <w:lang w:val="sr-Latn-ME"/>
              </w:rPr>
              <w:t xml:space="preserve"> da uzimate lijek </w:t>
            </w: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spacing w:val="4"/>
                <w:lang w:val="sr-Latn-ME"/>
              </w:rPr>
              <w:t xml:space="preserve"> i obratite se hitnoj medicinskoj službi u najbližoj bolnici ukoliko iskusite neki od sljedećih simptoma:</w:t>
            </w:r>
          </w:p>
          <w:p w:rsidR="00311EDD" w:rsidRPr="00311EDD" w:rsidRDefault="00311EDD" w:rsidP="005E7AEC">
            <w:pPr>
              <w:pStyle w:val="ListParagraph"/>
              <w:numPr>
                <w:ilvl w:val="0"/>
                <w:numId w:val="14"/>
              </w:numPr>
              <w:tabs>
                <w:tab w:val="left" w:pos="284"/>
              </w:tabs>
              <w:spacing w:after="0" w:line="276"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svrab kože, osip (koprivnjača)</w:t>
            </w:r>
          </w:p>
          <w:p w:rsidR="00311EDD" w:rsidRPr="00311EDD" w:rsidRDefault="00311EDD" w:rsidP="005E7AEC">
            <w:pPr>
              <w:pStyle w:val="ListParagraph"/>
              <w:numPr>
                <w:ilvl w:val="0"/>
                <w:numId w:val="14"/>
              </w:numPr>
              <w:tabs>
                <w:tab w:val="left" w:pos="284"/>
              </w:tabs>
              <w:spacing w:after="0" w:line="276"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iznenadno oticanje grla, lica, usana ili usta koji mogu dovesti do otežanog gutanja ili disanja</w:t>
            </w:r>
          </w:p>
          <w:p w:rsidR="00311EDD" w:rsidRPr="00311EDD" w:rsidRDefault="00311EDD" w:rsidP="005E7AEC">
            <w:pPr>
              <w:pStyle w:val="ListParagraph"/>
              <w:numPr>
                <w:ilvl w:val="0"/>
                <w:numId w:val="14"/>
              </w:numPr>
              <w:tabs>
                <w:tab w:val="left" w:pos="284"/>
              </w:tabs>
              <w:spacing w:after="0" w:line="276"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iznenadno oticanje ruku, stopala ili zglobova.</w:t>
            </w:r>
          </w:p>
          <w:p w:rsidR="00C269AE" w:rsidRDefault="00C269AE"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Default="00311EDD" w:rsidP="00AD278D">
            <w:pPr>
              <w:tabs>
                <w:tab w:val="left" w:pos="284"/>
              </w:tabs>
              <w:spacing w:after="0" w:line="240"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 xml:space="preserve">Neželjena dejstva koja se mogu javiti tokom liječenja valganciklovirom ili ganciklovirom su navedena dolje: </w:t>
            </w:r>
          </w:p>
          <w:p w:rsidR="00C269AE" w:rsidRDefault="00C269AE" w:rsidP="00AD278D">
            <w:pPr>
              <w:tabs>
                <w:tab w:val="left" w:pos="284"/>
              </w:tabs>
              <w:spacing w:after="0" w:line="240" w:lineRule="auto"/>
              <w:jc w:val="both"/>
              <w:rPr>
                <w:rFonts w:ascii="Times New Roman" w:eastAsia="Times New Roman" w:hAnsi="Times New Roman" w:cs="Times New Roman"/>
                <w:spacing w:val="4"/>
                <w:lang w:val="sr-Latn-ME"/>
              </w:rPr>
            </w:pPr>
          </w:p>
          <w:p w:rsidR="00C269AE" w:rsidRPr="00311EDD" w:rsidRDefault="00C269AE" w:rsidP="00AD278D">
            <w:pPr>
              <w:tabs>
                <w:tab w:val="left" w:pos="284"/>
              </w:tabs>
              <w:spacing w:after="0" w:line="240" w:lineRule="auto"/>
              <w:jc w:val="both"/>
              <w:rPr>
                <w:rFonts w:ascii="Times New Roman" w:eastAsia="Times New Roman" w:hAnsi="Times New Roman" w:cs="Times New Roman"/>
                <w:spacing w:val="4"/>
                <w:lang w:val="sr-Latn-ME"/>
              </w:rPr>
            </w:pPr>
          </w:p>
          <w:p w:rsidR="00311EDD" w:rsidRPr="00311EDD" w:rsidRDefault="00311EDD" w:rsidP="005E7AEC">
            <w:pPr>
              <w:tabs>
                <w:tab w:val="left" w:pos="284"/>
              </w:tabs>
              <w:spacing w:after="0" w:line="276"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b/>
                <w:i/>
                <w:spacing w:val="4"/>
                <w:lang w:val="sr-Latn-ME"/>
              </w:rPr>
              <w:t>Veoma česta neželjena dejstva</w:t>
            </w:r>
            <w:r w:rsidRPr="00311EDD">
              <w:rPr>
                <w:rFonts w:ascii="Times New Roman" w:eastAsia="Times New Roman" w:hAnsi="Times New Roman" w:cs="Times New Roman"/>
                <w:spacing w:val="4"/>
                <w:lang w:val="sr-Latn-ME"/>
              </w:rPr>
              <w:t xml:space="preserve"> (mogu se javiti kod više od 1 od 10 pacijenata)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Efekti na krv: smanjenje broja bijelih krvnih zrnaca u krvi (neutropenija) – što Vas čini podložnijim infekcijama, smanjenje količine pigmenta koji u krvi transportuje kiseonik (anemija) – što može uzrokovati umor i nedostatak daha dok vježbate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Efekti na disanje: osjećaj kratkog daha ili otežano disanje (dispnea)</w:t>
            </w:r>
          </w:p>
          <w:p w:rsid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Efekti na želudac i digestivni sistem (proliv)</w:t>
            </w:r>
          </w:p>
          <w:p w:rsidR="00C269AE" w:rsidRPr="00C269AE" w:rsidRDefault="00C269AE" w:rsidP="00C269AE">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5E7AEC">
            <w:pPr>
              <w:tabs>
                <w:tab w:val="left" w:pos="284"/>
              </w:tabs>
              <w:spacing w:after="0" w:line="276" w:lineRule="auto"/>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b/>
                <w:i/>
                <w:spacing w:val="4"/>
                <w:lang w:val="sr-Latn-ME"/>
              </w:rPr>
              <w:t>Česta neželjena dejstva</w:t>
            </w:r>
            <w:r w:rsidRPr="00311EDD">
              <w:rPr>
                <w:rFonts w:ascii="Times New Roman" w:eastAsia="Times New Roman" w:hAnsi="Times New Roman" w:cs="Times New Roman"/>
                <w:spacing w:val="4"/>
                <w:lang w:val="sr-Latn-ME"/>
              </w:rPr>
              <w:t xml:space="preserve"> (mogu se javiti kod najviše 1 od 10 pacijenata) </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krvi: smanjenje broja leukocita (bijele krvne ćelije koja se bore protiv infekcija) u krvi (leukopenija), smanjenje broja trombocita (trombocitopenija), što može izazvati krvarenja i modrice, smanjenje broja nekoliko tipova krvnih ćelija istovremeno (pancitopenija)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nervnog sistema: glavobolja, problemi sa spavanjem (nesanica), izmjene čula ukusa (disguezija), smanjenje osjetljivosti na dodir (hipoestezija), žmarci, utrnulost ili slabost (parestezija), gubitak osjećaja u šakama ili stopalima (periferna neuropatija), pojava vrtoglavice i grčeva (konvulzije)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oka: bol u oku, otok unutar oka (edem), odvajanje unutrašnje ovojnice oka (odvajanje mrežnjače), i plutajući objekti u vidnom polju</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uha: bol u uhu</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disanja: kašalj</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želuca i varenja: mučnina, bol u stomaku, zatvor, gasovi, poremećaji varenja (dispepsija) i poremećaji gutanja (disfagija)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kože: zapaljenje kože (dermatitis), svrab i znojenje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mišića, zglobova i kostiju: bol u leđima, bol u mišićima (mijalgija), ili zglobovima (artralgija), ukočenost mišića (rigor) i grčevi u mišićima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Infekcije: gljivične infekcije u ustima (oralna kandidijaza), infekcije uzrokovane bakterijama ili virusima u krvi, zapaljenja tkiva (celulitis), zapaljenje ili infekcije bubrega ili bešike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jetre: povećanje vrijednosti nekih enzima jetre, što se može uočiti jedino prilikom laboratorijske analize krvi</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bubrega: promjene u normalnom radu bubrega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ishrane: gubitak apetita (anoreksija) i gubitak tjelesne težine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Opšti poremećaji: umor, groznica, bol, bol u grudima, gubitak energije (astenija), opšti osjećaj slabosti (malaksalost)</w:t>
            </w:r>
          </w:p>
          <w:p w:rsid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raspoloženja i ponašanja: depresija, osjećaj uznemirenosti, konfuzija, neuobičajene misli.</w:t>
            </w:r>
          </w:p>
          <w:p w:rsidR="00C269AE" w:rsidRPr="00C269AE" w:rsidRDefault="00C269AE" w:rsidP="00C269AE">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5E7AEC">
            <w:p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b/>
                <w:i/>
                <w:spacing w:val="2"/>
                <w:lang w:val="sr-Latn-ME"/>
              </w:rPr>
              <w:t>Povremena neželjena dejstva</w:t>
            </w:r>
            <w:r w:rsidRPr="00311EDD">
              <w:rPr>
                <w:rFonts w:ascii="Times New Roman" w:eastAsia="Times New Roman" w:hAnsi="Times New Roman" w:cs="Times New Roman"/>
                <w:spacing w:val="2"/>
                <w:lang w:val="sr-Latn-ME"/>
              </w:rPr>
              <w:t xml:space="preserve"> (mogu se javiti kod najviše 1 od 100 pacijenata)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srca: promjene u normalnom srčanom ritmu (aritmija)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cirkulacije: nizak krvni pritisak (hipotenzija),  koja može uzrokovati osjećaj nesvjestice i omaglice</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lastRenderedPageBreak/>
              <w:t>Poremećaji krvi: smanjena produkcija krvnih ćelija u koštanoj srži</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nerava: trešenje ili drhtavica (tremor)</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očiju: crvenilo, oštećene oči (konjuktivitis), poremećaji vida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uha: gluvoća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želuca i varenja: otečen stomak, rane u ustima, zapaljenje pankreasa (pankreatitis), što možete primijetiti kao oštar bol u stomaku i leđima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kože: gubitak kose (alopecija), osip sa svrabom ili otokom (urtikarija) i suva koža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bubrega: krv u urinu (hematurija), bubrežna insuficijencija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jetre: porast nivoa enzima jetre koji se zove alanin aminotransferaza (što se može uočiti jedino prilikom analize krvi)</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plodnosti: neplodnost kod muškarca</w:t>
            </w:r>
          </w:p>
          <w:p w:rsidR="00311EDD" w:rsidRPr="00311EDD" w:rsidRDefault="00311EDD" w:rsidP="005E7AEC">
            <w:pPr>
              <w:pStyle w:val="ListParagraph"/>
              <w:numPr>
                <w:ilvl w:val="0"/>
                <w:numId w:val="13"/>
              </w:numPr>
              <w:tabs>
                <w:tab w:val="left" w:pos="284"/>
              </w:tabs>
              <w:spacing w:after="0" w:line="276"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raspoloženja i ponašanja: neuobičajene promjene raspoloženja i ponašanja, gubitak kontakta sa realnošću u smislu da se čuju glasovi i</w:t>
            </w:r>
            <w:r w:rsidR="00C269AE">
              <w:rPr>
                <w:rFonts w:ascii="Times New Roman" w:eastAsia="Times New Roman" w:hAnsi="Times New Roman" w:cs="Times New Roman"/>
                <w:spacing w:val="2"/>
                <w:lang w:val="sr-Latn-ME"/>
              </w:rPr>
              <w:t>li vide stvari koje ne postoje,</w:t>
            </w:r>
            <w:r w:rsidRPr="00311EDD">
              <w:rPr>
                <w:rFonts w:ascii="Times New Roman" w:eastAsia="Times New Roman" w:hAnsi="Times New Roman" w:cs="Times New Roman"/>
                <w:spacing w:val="2"/>
                <w:lang w:val="sr-Latn-ME"/>
              </w:rPr>
              <w:t xml:space="preserve"> osjećaj uznemirenosti.</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b/>
                <w:i/>
                <w:spacing w:val="2"/>
                <w:lang w:val="sr-Latn-ME"/>
              </w:rPr>
              <w:t>Rijetka neželjena dejstva</w:t>
            </w:r>
            <w:r w:rsidRPr="00311EDD">
              <w:rPr>
                <w:rFonts w:ascii="Times New Roman" w:eastAsia="Times New Roman" w:hAnsi="Times New Roman" w:cs="Times New Roman"/>
                <w:spacing w:val="2"/>
                <w:lang w:val="sr-Latn-ME"/>
              </w:rPr>
              <w:t xml:space="preserve"> (mogu se javiti kod najviše 1 od 1000 pacijenata)</w:t>
            </w:r>
          </w:p>
          <w:p w:rsidR="00311EDD" w:rsidRPr="00311EDD" w:rsidRDefault="00311EDD" w:rsidP="00C269AE">
            <w:pPr>
              <w:pStyle w:val="ListParagraph"/>
              <w:numPr>
                <w:ilvl w:val="0"/>
                <w:numId w:val="13"/>
              </w:num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Poremećaji krvi: veoma slabo (nedovoljno) stvaranje svih vrsta krvnih ćelija (crvenih krvnih zrnaca, bijelih krvnih zrnaca, krvnih pločica-trombocita) u koštanoj srži.</w:t>
            </w:r>
          </w:p>
          <w:p w:rsidR="00311EDD" w:rsidRPr="00311EDD" w:rsidRDefault="00311EDD" w:rsidP="00C269AE">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Odvajanje unutrašnje ovojnice oka (odvajanje mrežnjače) dogodilo se samo kod pacijenta sa AIDS-om koji su primali lijek Valcyte za liječenje CMV infekcije.</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2"/>
                <w:lang w:val="sr-Latn-ME"/>
              </w:rPr>
            </w:pPr>
            <w:r w:rsidRPr="00311EDD">
              <w:rPr>
                <w:rFonts w:ascii="Times New Roman" w:eastAsia="Times New Roman" w:hAnsi="Times New Roman" w:cs="Times New Roman"/>
                <w:b/>
                <w:spacing w:val="2"/>
                <w:lang w:val="sr-Latn-ME"/>
              </w:rPr>
              <w:t>Dodatna neželjena dejstva kod djece i adolescenata</w:t>
            </w:r>
          </w:p>
          <w:p w:rsidR="005E7AEC" w:rsidRDefault="005E7AEC"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r w:rsidRPr="00311EDD">
              <w:rPr>
                <w:rFonts w:ascii="Times New Roman" w:eastAsia="Times New Roman" w:hAnsi="Times New Roman" w:cs="Times New Roman"/>
                <w:spacing w:val="2"/>
                <w:lang w:val="sr-Latn-ME"/>
              </w:rPr>
              <w:t>Neželjena dejstva prijavljena kod djece i adolescenata slična su neželjenim dejstvima prijavljenim kod odraslih pacijenata.</w:t>
            </w:r>
          </w:p>
          <w:p w:rsidR="00311EDD" w:rsidRPr="00311EDD" w:rsidRDefault="00311EDD" w:rsidP="00AD278D">
            <w:pPr>
              <w:tabs>
                <w:tab w:val="left" w:pos="284"/>
              </w:tabs>
              <w:spacing w:after="0" w:line="240" w:lineRule="auto"/>
              <w:jc w:val="both"/>
              <w:rPr>
                <w:rFonts w:ascii="Times New Roman" w:eastAsia="Times New Roman" w:hAnsi="Times New Roman" w:cs="Times New Roman"/>
                <w:b/>
                <w:spacing w:val="2"/>
                <w:lang w:val="sr-Latn-ME"/>
              </w:rPr>
            </w:pP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u w:val="single"/>
                <w:lang w:val="sr-Latn-ME"/>
              </w:rPr>
            </w:pPr>
            <w:r w:rsidRPr="00311EDD">
              <w:rPr>
                <w:rFonts w:ascii="Times New Roman" w:eastAsia="Times New Roman" w:hAnsi="Times New Roman" w:cs="Times New Roman"/>
                <w:spacing w:val="2"/>
                <w:u w:val="single"/>
                <w:lang w:val="sr-Latn-ME"/>
              </w:rPr>
              <w:t>Prijavljivanje sumnji na neželjena dejstva</w:t>
            </w:r>
          </w:p>
          <w:p w:rsidR="00311EDD" w:rsidRPr="00311EDD" w:rsidRDefault="00311EDD" w:rsidP="00AD278D">
            <w:pPr>
              <w:tabs>
                <w:tab w:val="left" w:pos="284"/>
              </w:tabs>
              <w:spacing w:after="0" w:line="240" w:lineRule="auto"/>
              <w:jc w:val="both"/>
              <w:rPr>
                <w:rFonts w:ascii="Times New Roman" w:eastAsia="Times New Roman" w:hAnsi="Times New Roman" w:cs="Times New Roman"/>
                <w:spacing w:val="2"/>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
                <w:lang w:val="sr-Latn-ME"/>
              </w:rPr>
            </w:pPr>
            <w:r w:rsidRPr="00311EDD">
              <w:rPr>
                <w:rFonts w:ascii="Times New Roman" w:eastAsia="Times New Roman" w:hAnsi="Times New Roman" w:cs="Times New Roman"/>
                <w:spacing w:val="2"/>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311EDD" w:rsidRDefault="00311EDD" w:rsidP="00AD278D">
            <w:pPr>
              <w:tabs>
                <w:tab w:val="left" w:pos="284"/>
              </w:tabs>
              <w:spacing w:after="0" w:line="240" w:lineRule="auto"/>
              <w:rPr>
                <w:rFonts w:ascii="Times New Roman" w:eastAsia="Times New Roman" w:hAnsi="Times New Roman" w:cs="Times New Roman"/>
                <w:lang w:val="sr-Latn-ME"/>
              </w:rPr>
            </w:pPr>
          </w:p>
          <w:p w:rsidR="00C269AE" w:rsidRPr="00311EDD" w:rsidRDefault="00C269AE"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c>
          <w:tcPr>
            <w:tcW w:w="9639" w:type="dxa"/>
            <w:vAlign w:val="center"/>
          </w:tcPr>
          <w:p w:rsidR="00311EDD" w:rsidRPr="00311EDD" w:rsidRDefault="00311EDD" w:rsidP="00AD278D">
            <w:pPr>
              <w:widowControl w:val="0"/>
              <w:autoSpaceDE w:val="0"/>
              <w:autoSpaceDN w:val="0"/>
              <w:spacing w:after="0" w:line="240" w:lineRule="auto"/>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lastRenderedPageBreak/>
              <w:t xml:space="preserve">5. KAKO ČUVATI LIJEK </w:t>
            </w:r>
            <w:r w:rsidRPr="00311EDD">
              <w:rPr>
                <w:rFonts w:ascii="Times New Roman" w:eastAsia="Times New Roman" w:hAnsi="Times New Roman" w:cs="Times New Roman"/>
                <w:b/>
                <w:bCs/>
                <w:lang w:val="sr-Latn-ME"/>
              </w:rPr>
              <w:t>Valcyte</w:t>
            </w:r>
            <w:r w:rsidRPr="00311EDD">
              <w:rPr>
                <w:rFonts w:ascii="Times New Roman" w:eastAsia="Times New Roman" w:hAnsi="Times New Roman" w:cs="Times New Roman"/>
                <w:b/>
                <w:bCs/>
                <w:vertAlign w:val="superscript"/>
                <w:lang w:val="sr-Latn-ME"/>
              </w:rPr>
              <w:t>®</w:t>
            </w:r>
          </w:p>
        </w:tc>
      </w:tr>
      <w:tr w:rsidR="00311EDD" w:rsidRPr="00311EDD" w:rsidTr="00AD278D">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p>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Rok upotrebe</w:t>
            </w:r>
          </w:p>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p>
        </w:tc>
      </w:tr>
      <w:tr w:rsidR="00311EDD" w:rsidRPr="00311EDD" w:rsidTr="00AD278D">
        <w:trPr>
          <w:trHeight w:val="1145"/>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r w:rsidRPr="00311EDD">
              <w:rPr>
                <w:rFonts w:ascii="Times New Roman" w:eastAsia="Times New Roman" w:hAnsi="Times New Roman" w:cs="Times New Roman"/>
                <w:lang w:val="sr-Latn-ME"/>
              </w:rPr>
              <w:t>3 godine</w:t>
            </w:r>
          </w:p>
          <w:p w:rsidR="00C269AE"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Nemojte koristiti lijek Valcyte nakon isteka roka upotrebe navedenog na naljepnici i kutiji nakon EXP. Rok upotrebe se odnosi na poslednji dan navedenog mjeseca.</w:t>
            </w: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lastRenderedPageBreak/>
              <w:t>Čuvanje</w:t>
            </w:r>
          </w:p>
        </w:tc>
      </w:tr>
      <w:tr w:rsidR="00311EDD" w:rsidRPr="00311EDD" w:rsidTr="00AD278D">
        <w:trPr>
          <w:trHeight w:val="1145"/>
        </w:trPr>
        <w:tc>
          <w:tcPr>
            <w:tcW w:w="9639" w:type="dxa"/>
            <w:vAlign w:val="center"/>
          </w:tcPr>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Pr="00311EDD"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Čuvati</w:t>
            </w:r>
            <w:r w:rsidR="00311EDD" w:rsidRPr="00311EDD">
              <w:rPr>
                <w:rFonts w:ascii="Times New Roman" w:eastAsia="Times New Roman" w:hAnsi="Times New Roman" w:cs="Times New Roman"/>
                <w:lang w:val="sr-Latn-ME"/>
              </w:rPr>
              <w:t xml:space="preserve"> van domašaja i vidokruga djece.</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Ovaj lijek ne zahtijeva posebne uslove čuvanja.</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Ljekove ne treba odlagati u kanalizaciju ili kućni otpad. Pitajte svog farmaceuta kako da odložite ljekove koji Vam više nijesu potrebni. Ove mjere će pomoći da se zaštiti okolina.</w:t>
            </w:r>
          </w:p>
          <w:p w:rsid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C269AE" w:rsidRPr="00311EDD" w:rsidRDefault="00C269AE"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AD278D">
        <w:trPr>
          <w:trHeight w:val="243"/>
        </w:trPr>
        <w:tc>
          <w:tcPr>
            <w:tcW w:w="9639" w:type="dxa"/>
            <w:vAlign w:val="bottom"/>
          </w:tcPr>
          <w:p w:rsidR="00311EDD" w:rsidRPr="00311EDD" w:rsidRDefault="00311EDD" w:rsidP="00AD278D">
            <w:pPr>
              <w:widowControl w:val="0"/>
              <w:autoSpaceDE w:val="0"/>
              <w:autoSpaceDN w:val="0"/>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6. DODATNE INFORMACIJE</w:t>
            </w:r>
          </w:p>
        </w:tc>
      </w:tr>
      <w:tr w:rsidR="00311EDD" w:rsidRPr="00311EDD" w:rsidTr="00C269AE">
        <w:trPr>
          <w:trHeight w:val="63"/>
        </w:trPr>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c>
          <w:tcPr>
            <w:tcW w:w="9639" w:type="dxa"/>
            <w:vAlign w:val="center"/>
          </w:tcPr>
          <w:p w:rsidR="00311EDD" w:rsidRPr="00311EDD" w:rsidRDefault="00311EDD" w:rsidP="00AD278D">
            <w:pPr>
              <w:tabs>
                <w:tab w:val="left" w:pos="284"/>
              </w:tabs>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Šta sadrži lijek Valcyte</w:t>
            </w:r>
            <w:r w:rsidRPr="00311EDD">
              <w:rPr>
                <w:rFonts w:ascii="Times New Roman" w:eastAsia="Times New Roman" w:hAnsi="Times New Roman" w:cs="Times New Roman"/>
                <w:b/>
                <w:bCs/>
                <w:vertAlign w:val="superscript"/>
                <w:lang w:val="sr-Latn-ME"/>
              </w:rPr>
              <w:t>®</w:t>
            </w:r>
          </w:p>
        </w:tc>
      </w:tr>
      <w:tr w:rsidR="00311EDD" w:rsidRPr="00311EDD" w:rsidTr="00AD278D">
        <w:trPr>
          <w:trHeight w:val="1145"/>
        </w:trPr>
        <w:tc>
          <w:tcPr>
            <w:tcW w:w="9639" w:type="dxa"/>
            <w:vAlign w:val="center"/>
          </w:tcPr>
          <w:p w:rsidR="00311EDD" w:rsidRPr="00311EDD" w:rsidRDefault="00311EDD" w:rsidP="005E7AEC">
            <w:pPr>
              <w:pStyle w:val="ListParagraph"/>
              <w:numPr>
                <w:ilvl w:val="0"/>
                <w:numId w:val="14"/>
              </w:numPr>
              <w:tabs>
                <w:tab w:val="left" w:pos="284"/>
              </w:tabs>
              <w:spacing w:after="0" w:line="240" w:lineRule="auto"/>
              <w:ind w:left="176" w:hanging="176"/>
              <w:jc w:val="both"/>
              <w:rPr>
                <w:rFonts w:ascii="Times New Roman" w:eastAsia="Times New Roman" w:hAnsi="Times New Roman" w:cs="Times New Roman"/>
                <w:spacing w:val="4"/>
                <w:lang w:val="sr-Latn-ME"/>
              </w:rPr>
            </w:pPr>
            <w:r w:rsidRPr="00311EDD">
              <w:rPr>
                <w:rFonts w:ascii="Times New Roman" w:eastAsia="Times New Roman" w:hAnsi="Times New Roman" w:cs="Times New Roman"/>
                <w:spacing w:val="4"/>
                <w:lang w:val="sr-Latn-ME"/>
              </w:rPr>
              <w:t>Aktivna supstanca je 450</w:t>
            </w:r>
            <w:r w:rsidR="00C269AE">
              <w:rPr>
                <w:rFonts w:ascii="Times New Roman" w:eastAsia="Times New Roman" w:hAnsi="Times New Roman" w:cs="Times New Roman"/>
                <w:spacing w:val="4"/>
                <w:lang w:val="sr-Latn-ME"/>
              </w:rPr>
              <w:t xml:space="preserve"> </w:t>
            </w:r>
            <w:r w:rsidRPr="00311EDD">
              <w:rPr>
                <w:rFonts w:ascii="Times New Roman" w:eastAsia="Times New Roman" w:hAnsi="Times New Roman" w:cs="Times New Roman"/>
                <w:spacing w:val="4"/>
                <w:lang w:val="sr-Latn-ME"/>
              </w:rPr>
              <w:t>mg valganciklovira, u obliku 496.3 mg valgancoklovir hidrohlorida.</w:t>
            </w:r>
          </w:p>
          <w:p w:rsidR="00311EDD" w:rsidRPr="005E7AEC" w:rsidRDefault="00311EDD" w:rsidP="005E7AEC">
            <w:pPr>
              <w:pStyle w:val="ListParagraph"/>
              <w:numPr>
                <w:ilvl w:val="0"/>
                <w:numId w:val="14"/>
              </w:numPr>
              <w:tabs>
                <w:tab w:val="left" w:pos="284"/>
              </w:tabs>
              <w:spacing w:after="0" w:line="240" w:lineRule="auto"/>
              <w:ind w:left="176" w:hanging="176"/>
              <w:jc w:val="both"/>
              <w:rPr>
                <w:rFonts w:ascii="Times New Roman" w:eastAsia="Times New Roman" w:hAnsi="Times New Roman" w:cs="Times New Roman"/>
                <w:lang w:val="sr-Latn-ME"/>
              </w:rPr>
            </w:pPr>
            <w:r w:rsidRPr="00311EDD">
              <w:rPr>
                <w:rFonts w:ascii="Times New Roman" w:eastAsia="Times New Roman" w:hAnsi="Times New Roman" w:cs="Times New Roman"/>
                <w:spacing w:val="4"/>
                <w:lang w:val="sr-Latn-ME"/>
              </w:rPr>
              <w:t>Ostali sastojci u tableti su povidon K30, krospovidon, mikrokristalna celuloza i stearinska kiselina.</w:t>
            </w:r>
            <w:r w:rsidR="005E7AEC">
              <w:rPr>
                <w:rFonts w:ascii="Times New Roman" w:eastAsia="Times New Roman" w:hAnsi="Times New Roman" w:cs="Times New Roman"/>
                <w:spacing w:val="4"/>
                <w:lang w:val="sr-Latn-ME"/>
              </w:rPr>
              <w:t xml:space="preserve"> </w:t>
            </w:r>
            <w:r w:rsidRPr="005E7AEC">
              <w:rPr>
                <w:rFonts w:ascii="Times New Roman" w:eastAsia="Times New Roman" w:hAnsi="Times New Roman" w:cs="Times New Roman"/>
                <w:lang w:val="sr-Latn-ME"/>
              </w:rPr>
              <w:t>Sastoj</w:t>
            </w:r>
            <w:r w:rsidR="005E7AEC">
              <w:rPr>
                <w:rFonts w:ascii="Times New Roman" w:eastAsia="Times New Roman" w:hAnsi="Times New Roman" w:cs="Times New Roman"/>
                <w:lang w:val="sr-Latn-ME"/>
              </w:rPr>
              <w:t>aj</w:t>
            </w:r>
            <w:r w:rsidRPr="005E7AEC">
              <w:rPr>
                <w:rFonts w:ascii="Times New Roman" w:eastAsia="Times New Roman" w:hAnsi="Times New Roman" w:cs="Times New Roman"/>
                <w:lang w:val="sr-Latn-ME"/>
              </w:rPr>
              <w:t>ci u omotaču tablete je boja „Opadry pink 15B24005“ koja sadrži hipromelozu, titan dioksid (E171), polietilenglikol 400/ makrogol 8%, gvožđe(III) oksid, crveni (E172) i polisorbat 80.</w:t>
            </w:r>
          </w:p>
          <w:p w:rsidR="00311EDD" w:rsidRPr="00311EDD" w:rsidRDefault="00311EDD" w:rsidP="00AD278D">
            <w:pPr>
              <w:tabs>
                <w:tab w:val="left" w:pos="284"/>
              </w:tabs>
              <w:spacing w:after="0" w:line="240" w:lineRule="auto"/>
              <w:rPr>
                <w:rFonts w:ascii="Times New Roman" w:eastAsia="Times New Roman" w:hAnsi="Times New Roman" w:cs="Times New Roman"/>
                <w:lang w:val="sr-Latn-ME"/>
              </w:rPr>
            </w:pPr>
          </w:p>
        </w:tc>
      </w:tr>
      <w:tr w:rsidR="00311EDD" w:rsidRPr="00311EDD" w:rsidTr="00AD278D">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Kako izgleda lijek i</w:t>
            </w:r>
            <w:r w:rsidRPr="00311EDD">
              <w:rPr>
                <w:rFonts w:ascii="Times New Roman" w:eastAsia="Times New Roman" w:hAnsi="Times New Roman" w:cs="Times New Roman"/>
                <w:b/>
                <w:bCs/>
                <w:lang w:val="sr-Latn-ME"/>
              </w:rPr>
              <w:t xml:space="preserve"> Valcyte</w:t>
            </w:r>
            <w:r w:rsidRPr="00311EDD">
              <w:rPr>
                <w:rFonts w:ascii="Times New Roman" w:eastAsia="Times New Roman" w:hAnsi="Times New Roman" w:cs="Times New Roman"/>
                <w:b/>
                <w:bCs/>
                <w:vertAlign w:val="superscript"/>
                <w:lang w:val="sr-Latn-ME"/>
              </w:rPr>
              <w:t>®</w:t>
            </w:r>
            <w:r w:rsidRPr="00311EDD">
              <w:rPr>
                <w:rFonts w:ascii="Times New Roman" w:eastAsia="Times New Roman" w:hAnsi="Times New Roman" w:cs="Times New Roman"/>
                <w:b/>
                <w:lang w:val="sr-Latn-ME"/>
              </w:rPr>
              <w:t xml:space="preserve"> sadržaj pakovanja</w:t>
            </w:r>
          </w:p>
        </w:tc>
      </w:tr>
      <w:tr w:rsidR="00311EDD" w:rsidRPr="00311EDD" w:rsidTr="00AD278D">
        <w:trPr>
          <w:trHeight w:val="1145"/>
        </w:trPr>
        <w:tc>
          <w:tcPr>
            <w:tcW w:w="9639" w:type="dxa"/>
            <w:vAlign w:val="center"/>
          </w:tcPr>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Valcyte</w:t>
            </w:r>
            <w:r w:rsidRPr="00311EDD">
              <w:rPr>
                <w:rFonts w:ascii="Times New Roman" w:eastAsia="Times New Roman" w:hAnsi="Times New Roman" w:cs="Times New Roman"/>
                <w:bCs/>
                <w:vertAlign w:val="superscript"/>
                <w:lang w:val="sr-Latn-ME"/>
              </w:rPr>
              <w:t>®</w:t>
            </w:r>
            <w:r w:rsidRPr="00311EDD">
              <w:rPr>
                <w:rFonts w:ascii="Times New Roman" w:eastAsia="Times New Roman" w:hAnsi="Times New Roman" w:cs="Times New Roman"/>
                <w:bCs/>
                <w:lang w:val="sr-Latn-ME"/>
              </w:rPr>
              <w:t xml:space="preserve"> film tablete su ružičaste, konveksne, </w:t>
            </w:r>
            <w:r w:rsidRPr="00311EDD">
              <w:rPr>
                <w:rFonts w:ascii="Times New Roman" w:eastAsia="Times New Roman" w:hAnsi="Times New Roman" w:cs="Times New Roman"/>
                <w:spacing w:val="2"/>
                <w:lang w:val="sr-Latn-ME"/>
              </w:rPr>
              <w:t>duguljaste film tablete sa utisnutom oznakom</w:t>
            </w:r>
            <w:r w:rsidR="00AF24C4">
              <w:rPr>
                <w:rFonts w:ascii="Times New Roman" w:eastAsia="Times New Roman" w:hAnsi="Times New Roman" w:cs="Times New Roman"/>
                <w:spacing w:val="2"/>
                <w:lang w:val="sr-Latn-ME"/>
              </w:rPr>
              <w:t xml:space="preserve"> „VGC“</w:t>
            </w:r>
            <w:r w:rsidRPr="00311EDD">
              <w:rPr>
                <w:rFonts w:ascii="Times New Roman" w:eastAsia="Times New Roman" w:hAnsi="Times New Roman" w:cs="Times New Roman"/>
                <w:spacing w:val="2"/>
                <w:lang w:val="sr-Latn-ME"/>
              </w:rPr>
              <w:t xml:space="preserve"> na jednoj i </w:t>
            </w:r>
            <w:r w:rsidR="00AF24C4">
              <w:rPr>
                <w:rFonts w:ascii="Times New Roman" w:eastAsia="Times New Roman" w:hAnsi="Times New Roman" w:cs="Times New Roman"/>
                <w:spacing w:val="2"/>
                <w:lang w:val="sr-Latn-ME"/>
              </w:rPr>
              <w:t>„450“</w:t>
            </w:r>
            <w:r w:rsidRPr="00311EDD">
              <w:rPr>
                <w:rFonts w:ascii="Times New Roman" w:eastAsia="Times New Roman" w:hAnsi="Times New Roman" w:cs="Times New Roman"/>
                <w:spacing w:val="2"/>
                <w:lang w:val="sr-Latn-ME"/>
              </w:rPr>
              <w:t xml:space="preserve"> </w:t>
            </w:r>
            <w:r w:rsidR="00AF24C4">
              <w:rPr>
                <w:rFonts w:ascii="Times New Roman" w:eastAsia="Times New Roman" w:hAnsi="Times New Roman" w:cs="Times New Roman"/>
                <w:spacing w:val="2"/>
                <w:lang w:val="sr-Latn-ME"/>
              </w:rPr>
              <w:t>na</w:t>
            </w:r>
            <w:r w:rsidRPr="00311EDD">
              <w:rPr>
                <w:rFonts w:ascii="Times New Roman" w:eastAsia="Times New Roman" w:hAnsi="Times New Roman" w:cs="Times New Roman"/>
                <w:spacing w:val="2"/>
                <w:lang w:val="sr-Latn-ME"/>
              </w:rPr>
              <w:t xml:space="preserve"> drugoj strani</w:t>
            </w:r>
            <w:r w:rsidRPr="00311EDD">
              <w:rPr>
                <w:rFonts w:ascii="Times New Roman" w:eastAsia="Times New Roman" w:hAnsi="Times New Roman" w:cs="Times New Roman"/>
                <w:bCs/>
                <w:lang w:val="sr-Latn-ME"/>
              </w:rPr>
              <w:t xml:space="preserve">. </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Pakuju se u bočicama koje sadrže 60 film tableta.</w:t>
            </w:r>
          </w:p>
          <w:p w:rsidR="00311EDD" w:rsidRPr="00311EDD" w:rsidRDefault="00311EDD" w:rsidP="00AD278D">
            <w:pPr>
              <w:tabs>
                <w:tab w:val="left" w:pos="284"/>
                <w:tab w:val="center" w:pos="4536"/>
                <w:tab w:val="right" w:pos="9072"/>
              </w:tabs>
              <w:spacing w:after="0" w:line="240" w:lineRule="auto"/>
              <w:jc w:val="both"/>
              <w:rPr>
                <w:rFonts w:ascii="Times New Roman" w:eastAsia="Times New Roman" w:hAnsi="Times New Roman" w:cs="Times New Roman"/>
                <w:lang w:val="sr-Latn-ME"/>
              </w:rPr>
            </w:pPr>
          </w:p>
        </w:tc>
      </w:tr>
      <w:tr w:rsidR="00311EDD" w:rsidRPr="00311EDD" w:rsidTr="00AF24C4">
        <w:trPr>
          <w:trHeight w:val="70"/>
        </w:trPr>
        <w:tc>
          <w:tcPr>
            <w:tcW w:w="9639" w:type="dxa"/>
          </w:tcPr>
          <w:p w:rsidR="00311EDD" w:rsidRPr="00311EDD" w:rsidRDefault="00311EDD" w:rsidP="00AD278D">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lang w:val="sr-Latn-ME"/>
              </w:rPr>
              <w:t>Nosilac dozvole i Proizvođač</w:t>
            </w:r>
          </w:p>
        </w:tc>
      </w:tr>
      <w:tr w:rsidR="00311EDD" w:rsidRPr="00311EDD" w:rsidTr="00AD278D">
        <w:trPr>
          <w:trHeight w:val="1508"/>
        </w:trPr>
        <w:tc>
          <w:tcPr>
            <w:tcW w:w="9639" w:type="dxa"/>
            <w:vAlign w:val="center"/>
          </w:tcPr>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Nosilac dozvole:</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Hoffmann – La Roche Ltd</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Dio stranog društva Podgorica</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Svetlane Kane Radević br.3</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81000 Podgorica, Crna Gora</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Proizvođač:</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 xml:space="preserve">F.Hoffmann-La Roche </w:t>
            </w:r>
            <w:bookmarkStart w:id="0" w:name="_GoBack"/>
            <w:r w:rsidRPr="00311EDD">
              <w:rPr>
                <w:rFonts w:ascii="Times New Roman" w:eastAsia="Times New Roman" w:hAnsi="Times New Roman" w:cs="Times New Roman"/>
                <w:bCs/>
                <w:lang w:val="sr-Latn-ME"/>
              </w:rPr>
              <w:t>Ltd</w:t>
            </w:r>
            <w:bookmarkEnd w:id="0"/>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 xml:space="preserve">Wurmisweg, 4303 Kaiseraugst </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311EDD">
              <w:rPr>
                <w:rFonts w:ascii="Times New Roman" w:eastAsia="Times New Roman" w:hAnsi="Times New Roman" w:cs="Times New Roman"/>
                <w:bCs/>
                <w:lang w:val="sr-Latn-ME"/>
              </w:rPr>
              <w:t>Švajcarska</w:t>
            </w:r>
          </w:p>
          <w:p w:rsidR="00311EDD" w:rsidRP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311EDD" w:rsidRPr="00311EDD" w:rsidTr="00AF24C4">
        <w:trPr>
          <w:trHeight w:val="174"/>
        </w:trPr>
        <w:tc>
          <w:tcPr>
            <w:tcW w:w="9639" w:type="dxa"/>
          </w:tcPr>
          <w:p w:rsidR="00311EDD" w:rsidRPr="00311EDD" w:rsidRDefault="00311EDD" w:rsidP="00AD278D">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311EDD">
              <w:rPr>
                <w:rFonts w:ascii="Times New Roman" w:eastAsia="Times New Roman" w:hAnsi="Times New Roman" w:cs="Times New Roman"/>
                <w:b/>
                <w:bCs/>
                <w:lang w:val="sr-Latn-ME"/>
              </w:rPr>
              <w:t xml:space="preserve">Ovo uputstvo je poslednji put revidirano </w:t>
            </w:r>
          </w:p>
        </w:tc>
      </w:tr>
      <w:tr w:rsidR="00311EDD" w:rsidRPr="00311EDD" w:rsidTr="00AF24C4">
        <w:trPr>
          <w:trHeight w:val="64"/>
        </w:trPr>
        <w:tc>
          <w:tcPr>
            <w:tcW w:w="9639" w:type="dxa"/>
            <w:vAlign w:val="center"/>
          </w:tcPr>
          <w:p w:rsidR="008705A7" w:rsidRDefault="00D539BB"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D539BB">
              <w:rPr>
                <w:rFonts w:ascii="Times New Roman" w:eastAsia="Times New Roman" w:hAnsi="Times New Roman" w:cs="Times New Roman"/>
                <w:bCs/>
                <w:lang w:val="sr-Latn-ME"/>
              </w:rPr>
              <w:t>Maj, 2017.</w:t>
            </w:r>
          </w:p>
          <w:p w:rsidR="008705A7" w:rsidRPr="00311EDD" w:rsidRDefault="008705A7" w:rsidP="00AD278D">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311EDD" w:rsidRPr="00311EDD" w:rsidTr="00AD278D">
        <w:trPr>
          <w:trHeight w:val="213"/>
        </w:trPr>
        <w:tc>
          <w:tcPr>
            <w:tcW w:w="9639" w:type="dxa"/>
          </w:tcPr>
          <w:p w:rsidR="00311EDD" w:rsidRPr="00311EDD" w:rsidRDefault="00311EDD" w:rsidP="00AD278D">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311EDD">
              <w:rPr>
                <w:rFonts w:ascii="Times New Roman" w:eastAsia="Times New Roman" w:hAnsi="Times New Roman" w:cs="Times New Roman"/>
                <w:b/>
                <w:lang w:val="sr-Latn-ME"/>
              </w:rPr>
              <w:t>Režim izdavanja lijeka:</w:t>
            </w:r>
          </w:p>
        </w:tc>
      </w:tr>
      <w:tr w:rsidR="00311EDD" w:rsidRPr="00311EDD" w:rsidTr="008705A7">
        <w:trPr>
          <w:trHeight w:val="178"/>
        </w:trPr>
        <w:tc>
          <w:tcPr>
            <w:tcW w:w="9639" w:type="dxa"/>
            <w:vAlign w:val="center"/>
          </w:tcPr>
          <w:p w:rsidR="00311EDD" w:rsidRDefault="00311EDD" w:rsidP="00AD278D">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311EDD">
              <w:rPr>
                <w:rFonts w:ascii="Times New Roman" w:eastAsia="Times New Roman" w:hAnsi="Times New Roman" w:cs="Times New Roman"/>
                <w:lang w:val="sr-Latn-ME"/>
              </w:rPr>
              <w:t>Ograničen recept.</w:t>
            </w:r>
          </w:p>
          <w:p w:rsidR="008705A7" w:rsidRPr="00311EDD" w:rsidRDefault="008705A7" w:rsidP="00AD278D">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tc>
      </w:tr>
      <w:tr w:rsidR="00311EDD" w:rsidRPr="00311EDD" w:rsidTr="008705A7">
        <w:trPr>
          <w:trHeight w:val="416"/>
        </w:trPr>
        <w:tc>
          <w:tcPr>
            <w:tcW w:w="9639" w:type="dxa"/>
          </w:tcPr>
          <w:p w:rsidR="00311EDD" w:rsidRPr="00311EDD" w:rsidRDefault="008705A7" w:rsidP="00AD278D">
            <w:pPr>
              <w:widowControl w:val="0"/>
              <w:tabs>
                <w:tab w:val="left" w:pos="284"/>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lang w:val="sr-Latn-ME"/>
              </w:rPr>
              <w:t>Broj</w:t>
            </w:r>
            <w:r w:rsidR="00311EDD" w:rsidRPr="00311EDD">
              <w:rPr>
                <w:rFonts w:ascii="Times New Roman" w:eastAsia="Times New Roman" w:hAnsi="Times New Roman" w:cs="Times New Roman"/>
                <w:b/>
                <w:lang w:val="sr-Latn-ME"/>
              </w:rPr>
              <w:t xml:space="preserve"> i datum dozvole:</w:t>
            </w:r>
          </w:p>
          <w:p w:rsidR="00311EDD" w:rsidRPr="00311EDD" w:rsidRDefault="00AF4331" w:rsidP="00AD278D">
            <w:pPr>
              <w:widowControl w:val="0"/>
              <w:tabs>
                <w:tab w:val="left" w:pos="284"/>
              </w:tabs>
              <w:autoSpaceDE w:val="0"/>
              <w:autoSpaceDN w:val="0"/>
              <w:spacing w:after="0" w:line="240" w:lineRule="auto"/>
              <w:rPr>
                <w:rFonts w:ascii="Times New Roman" w:eastAsia="Times New Roman" w:hAnsi="Times New Roman" w:cs="Times New Roman"/>
                <w:lang w:val="sr-Latn-ME"/>
              </w:rPr>
            </w:pPr>
            <w:r w:rsidRPr="00AF4331">
              <w:rPr>
                <w:rFonts w:ascii="Times New Roman" w:eastAsia="Times New Roman" w:hAnsi="Times New Roman" w:cs="Times New Roman"/>
                <w:lang w:val="sr-Latn-ME"/>
              </w:rPr>
              <w:t>Valcyte</w:t>
            </w:r>
            <w:r w:rsidRPr="00AF4331">
              <w:rPr>
                <w:rFonts w:ascii="Times New Roman" w:eastAsia="Times New Roman" w:hAnsi="Times New Roman" w:cs="Times New Roman"/>
                <w:vertAlign w:val="superscript"/>
                <w:lang w:val="sr-Latn-ME"/>
              </w:rPr>
              <w:t>®</w:t>
            </w:r>
            <w:r w:rsidRPr="00AF4331">
              <w:rPr>
                <w:rFonts w:ascii="Times New Roman" w:eastAsia="Times New Roman" w:hAnsi="Times New Roman" w:cs="Times New Roman"/>
                <w:lang w:val="sr-Latn-ME"/>
              </w:rPr>
              <w:t>, film tableta, 450mg, bočica, 60 film tableta: 2030/17/218 - 1738</w:t>
            </w:r>
            <w:r>
              <w:rPr>
                <w:rFonts w:ascii="Times New Roman" w:eastAsia="Times New Roman" w:hAnsi="Times New Roman" w:cs="Times New Roman"/>
                <w:lang w:val="sr-Latn-ME"/>
              </w:rPr>
              <w:t xml:space="preserve"> od </w:t>
            </w:r>
            <w:r w:rsidRPr="00AF4331">
              <w:rPr>
                <w:rFonts w:ascii="Times New Roman" w:eastAsia="Times New Roman" w:hAnsi="Times New Roman" w:cs="Times New Roman"/>
                <w:lang w:val="sr-Latn-ME"/>
              </w:rPr>
              <w:t>15.05.2017. godine</w:t>
            </w:r>
          </w:p>
        </w:tc>
      </w:tr>
    </w:tbl>
    <w:p w:rsidR="009318B4" w:rsidRPr="003B5967" w:rsidRDefault="009318B4" w:rsidP="00FD48AE">
      <w:pPr>
        <w:tabs>
          <w:tab w:val="left" w:pos="6150"/>
        </w:tabs>
        <w:spacing w:after="0" w:line="240" w:lineRule="auto"/>
        <w:rPr>
          <w:rFonts w:ascii="Times New Roman" w:hAnsi="Times New Roman" w:cs="Times New Roman"/>
          <w:lang w:val="sr-Latn-ME"/>
        </w:rPr>
      </w:pPr>
    </w:p>
    <w:sectPr w:rsidR="009318B4" w:rsidRPr="003B5967"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766" w:rsidRDefault="00950766" w:rsidP="00FF2B5A">
      <w:pPr>
        <w:spacing w:after="0" w:line="240" w:lineRule="auto"/>
      </w:pPr>
      <w:r>
        <w:separator/>
      </w:r>
    </w:p>
  </w:endnote>
  <w:endnote w:type="continuationSeparator" w:id="0">
    <w:p w:rsidR="00950766" w:rsidRDefault="0095076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455B0">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455B0">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766" w:rsidRDefault="00950766" w:rsidP="00FF2B5A">
      <w:pPr>
        <w:spacing w:after="0" w:line="240" w:lineRule="auto"/>
      </w:pPr>
      <w:r>
        <w:separator/>
      </w:r>
    </w:p>
  </w:footnote>
  <w:footnote w:type="continuationSeparator" w:id="0">
    <w:p w:rsidR="00950766" w:rsidRDefault="0095076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029"/>
    <w:multiLevelType w:val="hybridMultilevel"/>
    <w:tmpl w:val="58E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2020305A"/>
    <w:multiLevelType w:val="hybridMultilevel"/>
    <w:tmpl w:val="5DC85E66"/>
    <w:lvl w:ilvl="0" w:tplc="FDB841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62C"/>
    <w:multiLevelType w:val="hybridMultilevel"/>
    <w:tmpl w:val="3DF68F22"/>
    <w:lvl w:ilvl="0" w:tplc="ED0EF2D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F5BBB"/>
    <w:multiLevelType w:val="hybridMultilevel"/>
    <w:tmpl w:val="E23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05F"/>
    <w:multiLevelType w:val="hybridMultilevel"/>
    <w:tmpl w:val="967C9238"/>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353C3"/>
    <w:multiLevelType w:val="hybridMultilevel"/>
    <w:tmpl w:val="4AA6124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B9345DB"/>
    <w:multiLevelType w:val="hybridMultilevel"/>
    <w:tmpl w:val="69FE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04737"/>
    <w:multiLevelType w:val="hybridMultilevel"/>
    <w:tmpl w:val="97DC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44465"/>
    <w:multiLevelType w:val="hybridMultilevel"/>
    <w:tmpl w:val="31CCB2D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D5260"/>
    <w:multiLevelType w:val="hybridMultilevel"/>
    <w:tmpl w:val="D6E83882"/>
    <w:lvl w:ilvl="0" w:tplc="ED0EF2DC">
      <w:start w:val="26"/>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6BED3337"/>
    <w:multiLevelType w:val="hybridMultilevel"/>
    <w:tmpl w:val="AE265538"/>
    <w:lvl w:ilvl="0" w:tplc="ED0EF2DC">
      <w:start w:val="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40A6E5B"/>
    <w:multiLevelType w:val="hybridMultilevel"/>
    <w:tmpl w:val="E158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9"/>
  </w:num>
  <w:num w:numId="3">
    <w:abstractNumId w:val="6"/>
  </w:num>
  <w:num w:numId="4">
    <w:abstractNumId w:val="12"/>
  </w:num>
  <w:num w:numId="5">
    <w:abstractNumId w:val="5"/>
  </w:num>
  <w:num w:numId="6">
    <w:abstractNumId w:val="11"/>
  </w:num>
  <w:num w:numId="7">
    <w:abstractNumId w:val="13"/>
  </w:num>
  <w:num w:numId="8">
    <w:abstractNumId w:val="0"/>
  </w:num>
  <w:num w:numId="9">
    <w:abstractNumId w:val="7"/>
  </w:num>
  <w:num w:numId="10">
    <w:abstractNumId w:val="8"/>
  </w:num>
  <w:num w:numId="11">
    <w:abstractNumId w:val="10"/>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11EDD"/>
    <w:rsid w:val="003B5967"/>
    <w:rsid w:val="00461135"/>
    <w:rsid w:val="005E7AEC"/>
    <w:rsid w:val="0062683F"/>
    <w:rsid w:val="00747C4B"/>
    <w:rsid w:val="008705A7"/>
    <w:rsid w:val="00883AF2"/>
    <w:rsid w:val="009318B4"/>
    <w:rsid w:val="00934541"/>
    <w:rsid w:val="00950766"/>
    <w:rsid w:val="00A06058"/>
    <w:rsid w:val="00AD278D"/>
    <w:rsid w:val="00AF24C4"/>
    <w:rsid w:val="00AF4331"/>
    <w:rsid w:val="00B234CE"/>
    <w:rsid w:val="00B34AF2"/>
    <w:rsid w:val="00B455B0"/>
    <w:rsid w:val="00C269AE"/>
    <w:rsid w:val="00C4240B"/>
    <w:rsid w:val="00D45AFE"/>
    <w:rsid w:val="00D539BB"/>
    <w:rsid w:val="00E02867"/>
    <w:rsid w:val="00E0627A"/>
    <w:rsid w:val="00E90C8F"/>
    <w:rsid w:val="00EB2A93"/>
    <w:rsid w:val="00EC7367"/>
    <w:rsid w:val="00EF1089"/>
    <w:rsid w:val="00F1527C"/>
    <w:rsid w:val="00FD48A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3B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07BFD-6466-43C6-9EF7-D12BA349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13</cp:revision>
  <dcterms:created xsi:type="dcterms:W3CDTF">2017-07-18T12:03:00Z</dcterms:created>
  <dcterms:modified xsi:type="dcterms:W3CDTF">2017-07-19T06:05:00Z</dcterms:modified>
</cp:coreProperties>
</file>