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43261" w14:textId="77777777" w:rsidR="00AB0A18" w:rsidRPr="00AB0A18" w:rsidRDefault="00AB0A18" w:rsidP="00AB0A18">
      <w:pPr>
        <w:spacing w:after="0" w:line="240" w:lineRule="auto"/>
        <w:jc w:val="both"/>
        <w:rPr>
          <w:rFonts w:ascii="Times New Roman" w:eastAsia="Times New Roman" w:hAnsi="Times New Roman" w:cs="Times New Roman"/>
          <w:b/>
        </w:rPr>
      </w:pPr>
    </w:p>
    <w:p w14:paraId="1A4D97CB" w14:textId="77777777" w:rsidR="00AB0A18" w:rsidRPr="00AB0A18" w:rsidRDefault="00AB0A18" w:rsidP="00AB0A18">
      <w:pPr>
        <w:spacing w:after="0" w:line="240" w:lineRule="auto"/>
        <w:jc w:val="both"/>
        <w:rPr>
          <w:rFonts w:ascii="Times New Roman" w:eastAsia="Times New Roman" w:hAnsi="Times New Roman" w:cs="Times New Roman"/>
          <w:b/>
        </w:rPr>
      </w:pPr>
    </w:p>
    <w:p w14:paraId="2DC51798" w14:textId="77777777" w:rsidR="00AB0A18" w:rsidRPr="00AB0A18" w:rsidRDefault="00AB0A18" w:rsidP="00AB0A18">
      <w:pPr>
        <w:spacing w:after="0" w:line="240" w:lineRule="auto"/>
        <w:jc w:val="both"/>
        <w:rPr>
          <w:rFonts w:ascii="Times New Roman" w:eastAsia="Times New Roman" w:hAnsi="Times New Roman" w:cs="Times New Roman"/>
          <w:b/>
        </w:rPr>
      </w:pPr>
    </w:p>
    <w:p w14:paraId="7D26FBAE" w14:textId="77777777" w:rsidR="00AB0A18" w:rsidRPr="00AB0A18" w:rsidRDefault="00AB0A18" w:rsidP="00AB0A18">
      <w:pPr>
        <w:spacing w:after="0" w:line="240" w:lineRule="auto"/>
        <w:rPr>
          <w:rFonts w:ascii="Times New Roman" w:eastAsia="Times New Roman" w:hAnsi="Times New Roman" w:cs="Times New Roman"/>
        </w:rPr>
      </w:pPr>
    </w:p>
    <w:p w14:paraId="5B923DC4" w14:textId="77777777" w:rsidR="00AB0A18" w:rsidRPr="00AB0A18" w:rsidRDefault="00AB0A18" w:rsidP="00AB0A18">
      <w:pPr>
        <w:spacing w:after="0" w:line="240" w:lineRule="auto"/>
        <w:rPr>
          <w:rFonts w:ascii="Times New Roman" w:eastAsia="Times New Roman" w:hAnsi="Times New Roman" w:cs="Times New Roman"/>
        </w:rPr>
      </w:pPr>
    </w:p>
    <w:p w14:paraId="14587647" w14:textId="77777777" w:rsidR="00AB0A18" w:rsidRPr="00AB0A18" w:rsidRDefault="00AB0A18" w:rsidP="00AB0A18">
      <w:pPr>
        <w:spacing w:after="0" w:line="240" w:lineRule="auto"/>
        <w:rPr>
          <w:rFonts w:ascii="Times New Roman" w:eastAsia="Times New Roman" w:hAnsi="Times New Roman" w:cs="Times New Roman"/>
        </w:rPr>
      </w:pPr>
    </w:p>
    <w:p w14:paraId="20BE2EC1" w14:textId="77777777" w:rsidR="00AB0A18" w:rsidRPr="00AB0A18" w:rsidRDefault="00AB0A18" w:rsidP="00AB0A18">
      <w:pPr>
        <w:spacing w:after="0" w:line="240" w:lineRule="auto"/>
        <w:rPr>
          <w:rFonts w:ascii="Times New Roman" w:eastAsia="Times New Roman" w:hAnsi="Times New Roman" w:cs="Times New Roman"/>
        </w:rPr>
      </w:pPr>
    </w:p>
    <w:p w14:paraId="3B1454FD" w14:textId="77777777" w:rsidR="00AB0A18" w:rsidRPr="00AB0A18" w:rsidRDefault="00AB0A18" w:rsidP="00AB0A18">
      <w:pPr>
        <w:spacing w:after="0" w:line="240" w:lineRule="auto"/>
        <w:rPr>
          <w:rFonts w:ascii="Times New Roman" w:eastAsia="Times New Roman" w:hAnsi="Times New Roman" w:cs="Times New Roman"/>
        </w:rPr>
      </w:pPr>
    </w:p>
    <w:p w14:paraId="160D5491" w14:textId="77777777" w:rsidR="00AB0A18" w:rsidRPr="00AB0A18" w:rsidRDefault="00AB0A18" w:rsidP="00AB0A18">
      <w:pPr>
        <w:spacing w:after="0" w:line="240" w:lineRule="auto"/>
        <w:rPr>
          <w:rFonts w:ascii="Times New Roman" w:eastAsia="Times New Roman" w:hAnsi="Times New Roman" w:cs="Times New Roman"/>
        </w:rPr>
      </w:pPr>
    </w:p>
    <w:p w14:paraId="1871EC4F" w14:textId="77777777" w:rsidR="00AB0A18" w:rsidRPr="00AB0A18" w:rsidRDefault="00AB0A18" w:rsidP="00AB0A18">
      <w:pPr>
        <w:spacing w:after="0" w:line="240" w:lineRule="auto"/>
        <w:rPr>
          <w:rFonts w:ascii="Times New Roman" w:eastAsia="Times New Roman" w:hAnsi="Times New Roman" w:cs="Times New Roman"/>
        </w:rPr>
      </w:pPr>
    </w:p>
    <w:p w14:paraId="65835DED" w14:textId="77777777" w:rsidR="00AB0A18" w:rsidRPr="00AB0A18" w:rsidRDefault="00AB0A18" w:rsidP="00AB0A18">
      <w:pPr>
        <w:spacing w:after="0" w:line="240" w:lineRule="auto"/>
        <w:rPr>
          <w:rFonts w:ascii="Times New Roman" w:eastAsia="Times New Roman" w:hAnsi="Times New Roman" w:cs="Times New Roman"/>
        </w:rPr>
      </w:pPr>
    </w:p>
    <w:tbl>
      <w:tblPr>
        <w:tblW w:w="9360" w:type="dxa"/>
        <w:jc w:val="center"/>
        <w:tblLayout w:type="fixed"/>
        <w:tblLook w:val="0000" w:firstRow="0" w:lastRow="0" w:firstColumn="0" w:lastColumn="0" w:noHBand="0" w:noVBand="0"/>
      </w:tblPr>
      <w:tblGrid>
        <w:gridCol w:w="2160"/>
        <w:gridCol w:w="7200"/>
      </w:tblGrid>
      <w:tr w:rsidR="00AB0A18" w:rsidRPr="00AB0A18" w14:paraId="3E79FE8C" w14:textId="77777777" w:rsidTr="00914D1F">
        <w:trPr>
          <w:trHeight w:val="530"/>
          <w:jc w:val="center"/>
        </w:trPr>
        <w:tc>
          <w:tcPr>
            <w:tcW w:w="9360" w:type="dxa"/>
            <w:gridSpan w:val="2"/>
            <w:vAlign w:val="center"/>
          </w:tcPr>
          <w:p w14:paraId="7BB73505" w14:textId="77777777" w:rsidR="00AB0A18" w:rsidRPr="00AB0A18" w:rsidRDefault="00AB0A18" w:rsidP="00AB0A18">
            <w:pPr>
              <w:spacing w:after="0" w:line="240" w:lineRule="auto"/>
              <w:jc w:val="center"/>
              <w:rPr>
                <w:rFonts w:ascii="Times New Roman" w:eastAsia="Times New Roman" w:hAnsi="Times New Roman" w:cs="Times New Roman"/>
                <w:b/>
                <w:bCs/>
                <w:iCs/>
                <w:u w:val="single"/>
              </w:rPr>
            </w:pPr>
            <w:r w:rsidRPr="00AB0A18">
              <w:rPr>
                <w:rFonts w:ascii="Times New Roman" w:eastAsia="Times New Roman" w:hAnsi="Times New Roman" w:cs="Times New Roman"/>
                <w:b/>
                <w:bCs/>
                <w:iCs/>
                <w:u w:val="single"/>
              </w:rPr>
              <w:t>UPUTSTVO ZA PACIJENTA</w:t>
            </w:r>
          </w:p>
        </w:tc>
      </w:tr>
      <w:tr w:rsidR="00AB0A18" w:rsidRPr="00AB0A18" w14:paraId="1B0D2427" w14:textId="77777777" w:rsidTr="00914D1F">
        <w:trPr>
          <w:trHeight w:val="1969"/>
          <w:jc w:val="center"/>
        </w:trPr>
        <w:tc>
          <w:tcPr>
            <w:tcW w:w="9360" w:type="dxa"/>
            <w:gridSpan w:val="2"/>
            <w:vAlign w:val="bottom"/>
          </w:tcPr>
          <w:p w14:paraId="692712E7" w14:textId="77777777" w:rsidR="00AB0A18" w:rsidRPr="00AB0A18" w:rsidRDefault="00AB0A18" w:rsidP="00AB0A18">
            <w:pPr>
              <w:spacing w:after="0" w:line="240" w:lineRule="auto"/>
              <w:jc w:val="center"/>
              <w:rPr>
                <w:rFonts w:ascii="Times New Roman" w:eastAsia="Times New Roman" w:hAnsi="Times New Roman" w:cs="Times New Roman"/>
                <w:b/>
                <w:bCs/>
                <w:u w:val="single"/>
              </w:rPr>
            </w:pPr>
          </w:p>
        </w:tc>
      </w:tr>
      <w:tr w:rsidR="00AB0A18" w:rsidRPr="00AB0A18" w14:paraId="38E9E39C" w14:textId="77777777" w:rsidTr="00914D1F">
        <w:trPr>
          <w:trHeight w:val="1225"/>
          <w:jc w:val="center"/>
        </w:trPr>
        <w:tc>
          <w:tcPr>
            <w:tcW w:w="9360" w:type="dxa"/>
            <w:gridSpan w:val="2"/>
          </w:tcPr>
          <w:p w14:paraId="6230A5C9" w14:textId="6D0EB0D3" w:rsidR="00AB0A18" w:rsidRPr="00AB0A18" w:rsidRDefault="00AB0A18" w:rsidP="00AB0A18">
            <w:pPr>
              <w:widowControl w:val="0"/>
              <w:autoSpaceDE w:val="0"/>
              <w:autoSpaceDN w:val="0"/>
              <w:spacing w:after="0" w:line="240" w:lineRule="auto"/>
              <w:jc w:val="center"/>
              <w:rPr>
                <w:rFonts w:ascii="Times New Roman" w:eastAsia="Times New Roman" w:hAnsi="Times New Roman" w:cs="Times New Roman"/>
                <w:b/>
                <w:bCs/>
                <w:lang w:val="sr-Latn-CS"/>
              </w:rPr>
            </w:pPr>
            <w:r w:rsidRPr="00AB0A18">
              <w:rPr>
                <w:rFonts w:ascii="Times New Roman" w:eastAsia="Times New Roman" w:hAnsi="Times New Roman" w:cs="Times New Roman"/>
                <w:b/>
                <w:bCs/>
                <w:lang w:val="sr-Latn-CS"/>
              </w:rPr>
              <w:t>Berlithion</w:t>
            </w:r>
            <w:r w:rsidRPr="00AB0A18">
              <w:rPr>
                <w:rFonts w:ascii="Times New Roman" w:eastAsia="Times New Roman" w:hAnsi="Times New Roman" w:cs="Times New Roman"/>
                <w:b/>
                <w:bCs/>
                <w:vertAlign w:val="superscript"/>
                <w:lang w:val="sr-Latn-CS"/>
              </w:rPr>
              <w:t>®</w:t>
            </w:r>
            <w:r w:rsidRPr="00AB0A18">
              <w:rPr>
                <w:rFonts w:ascii="Times New Roman" w:eastAsia="Times New Roman" w:hAnsi="Times New Roman" w:cs="Times New Roman"/>
                <w:b/>
                <w:bCs/>
                <w:lang w:val="sr-Latn-CS"/>
              </w:rPr>
              <w:t xml:space="preserve"> 600 ED, koncentrat za rastvor za infuziju, 600 mg/24</w:t>
            </w:r>
            <w:r w:rsidR="00675AFF">
              <w:rPr>
                <w:rFonts w:ascii="Times New Roman" w:eastAsia="Times New Roman" w:hAnsi="Times New Roman" w:cs="Times New Roman"/>
                <w:b/>
                <w:bCs/>
                <w:lang w:val="sr-Latn-CS"/>
              </w:rPr>
              <w:t xml:space="preserve"> </w:t>
            </w:r>
            <w:r w:rsidRPr="00AB0A18">
              <w:rPr>
                <w:rFonts w:ascii="Times New Roman" w:eastAsia="Times New Roman" w:hAnsi="Times New Roman" w:cs="Times New Roman"/>
                <w:b/>
                <w:bCs/>
                <w:lang w:val="sr-Latn-CS"/>
              </w:rPr>
              <w:t>ml</w:t>
            </w:r>
          </w:p>
          <w:p w14:paraId="7F550401" w14:textId="04E45C4A" w:rsidR="00AB0A18" w:rsidRPr="00AB0A18" w:rsidRDefault="00AB0A18" w:rsidP="00AB0A18">
            <w:pPr>
              <w:widowControl w:val="0"/>
              <w:autoSpaceDE w:val="0"/>
              <w:autoSpaceDN w:val="0"/>
              <w:spacing w:after="0" w:line="240" w:lineRule="auto"/>
              <w:jc w:val="center"/>
              <w:rPr>
                <w:rFonts w:ascii="Times New Roman" w:eastAsia="Times New Roman" w:hAnsi="Times New Roman" w:cs="Times New Roman"/>
                <w:b/>
                <w:bCs/>
                <w:lang w:val="sr-Latn-CS"/>
              </w:rPr>
            </w:pPr>
            <w:r w:rsidRPr="00AB0A18">
              <w:rPr>
                <w:rFonts w:ascii="Times New Roman" w:eastAsia="Times New Roman" w:hAnsi="Times New Roman" w:cs="Times New Roman"/>
                <w:b/>
                <w:bCs/>
                <w:lang w:val="sr-Latn-CS"/>
              </w:rPr>
              <w:t xml:space="preserve"> </w:t>
            </w:r>
            <w:r w:rsidR="00FF5A4E">
              <w:rPr>
                <w:rFonts w:ascii="Times New Roman" w:eastAsia="Times New Roman" w:hAnsi="Times New Roman" w:cs="Times New Roman"/>
                <w:b/>
                <w:bCs/>
                <w:lang w:val="sr-Latn-CS"/>
              </w:rPr>
              <w:t>a</w:t>
            </w:r>
            <w:r w:rsidRPr="00AB0A18">
              <w:rPr>
                <w:rFonts w:ascii="Times New Roman" w:eastAsia="Times New Roman" w:hAnsi="Times New Roman" w:cs="Times New Roman"/>
                <w:b/>
                <w:bCs/>
                <w:lang w:val="sr-Latn-CS"/>
              </w:rPr>
              <w:t>mpula, 5x24 m</w:t>
            </w:r>
            <w:r w:rsidR="005664CE">
              <w:rPr>
                <w:rFonts w:ascii="Times New Roman" w:eastAsia="Times New Roman" w:hAnsi="Times New Roman" w:cs="Times New Roman"/>
                <w:b/>
                <w:bCs/>
                <w:lang w:val="sr-Latn-CS"/>
              </w:rPr>
              <w:t>l</w:t>
            </w:r>
          </w:p>
          <w:p w14:paraId="7B87A175" w14:textId="77777777" w:rsidR="00AB0A18" w:rsidRPr="00AB0A18" w:rsidRDefault="00AB0A18" w:rsidP="00AB0A18">
            <w:pPr>
              <w:spacing w:after="0" w:line="240" w:lineRule="auto"/>
              <w:jc w:val="center"/>
              <w:rPr>
                <w:rFonts w:ascii="Times New Roman" w:eastAsia="Times New Roman" w:hAnsi="Times New Roman" w:cs="Times New Roman"/>
                <w:i/>
                <w:color w:val="808080"/>
                <w:lang w:val="sr-Latn-CS"/>
              </w:rPr>
            </w:pPr>
          </w:p>
          <w:p w14:paraId="1D49F287" w14:textId="77777777" w:rsidR="00AB0A18" w:rsidRPr="00AB0A18" w:rsidRDefault="00AB0A18" w:rsidP="00AB0A18">
            <w:pPr>
              <w:keepNext/>
              <w:spacing w:before="240" w:after="60" w:line="240" w:lineRule="auto"/>
              <w:outlineLvl w:val="1"/>
              <w:rPr>
                <w:rFonts w:ascii="Times New Roman" w:eastAsia="Times New Roman" w:hAnsi="Times New Roman" w:cs="Times New Roman"/>
                <w:b/>
                <w:bCs/>
                <w:i/>
                <w:iCs/>
                <w:color w:val="808080"/>
                <w:lang w:val="ru-RU"/>
              </w:rPr>
            </w:pPr>
          </w:p>
        </w:tc>
      </w:tr>
      <w:tr w:rsidR="00AB0A18" w:rsidRPr="00AB0A18" w14:paraId="4D7AF8C3" w14:textId="77777777" w:rsidTr="00914D1F">
        <w:trPr>
          <w:trHeight w:val="435"/>
          <w:jc w:val="center"/>
        </w:trPr>
        <w:tc>
          <w:tcPr>
            <w:tcW w:w="2160" w:type="dxa"/>
            <w:vAlign w:val="bottom"/>
          </w:tcPr>
          <w:p w14:paraId="7FCDA4D8" w14:textId="77777777" w:rsidR="00AB0A18" w:rsidRPr="00AB0A18" w:rsidRDefault="00AB0A18" w:rsidP="00AB0A18">
            <w:pPr>
              <w:spacing w:after="0" w:line="240" w:lineRule="auto"/>
              <w:jc w:val="right"/>
              <w:rPr>
                <w:rFonts w:ascii="Times New Roman" w:eastAsia="Times New Roman" w:hAnsi="Times New Roman" w:cs="Times New Roman"/>
              </w:rPr>
            </w:pPr>
            <w:r w:rsidRPr="00AB0A18">
              <w:rPr>
                <w:rFonts w:ascii="Times New Roman" w:eastAsia="Times New Roman" w:hAnsi="Times New Roman" w:cs="Times New Roman"/>
                <w:lang w:val="sr-Latn-CS"/>
              </w:rPr>
              <w:t>Proizvođač:</w:t>
            </w:r>
          </w:p>
        </w:tc>
        <w:tc>
          <w:tcPr>
            <w:tcW w:w="7200" w:type="dxa"/>
            <w:vAlign w:val="bottom"/>
          </w:tcPr>
          <w:p w14:paraId="0F39F61F"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bCs/>
                <w:lang w:val="de-DE"/>
              </w:rPr>
            </w:pPr>
            <w:r w:rsidRPr="00AB0A18">
              <w:rPr>
                <w:rFonts w:ascii="Times New Roman" w:eastAsia="Times New Roman" w:hAnsi="Times New Roman" w:cs="Times New Roman"/>
                <w:bCs/>
                <w:lang w:val="de-DE"/>
              </w:rPr>
              <w:t>1. Berlin-Chemie AG (Menarini Group)</w:t>
            </w:r>
          </w:p>
          <w:p w14:paraId="3DA3BC48" w14:textId="77777777" w:rsidR="00AB0A18" w:rsidRPr="00AB0A18" w:rsidRDefault="00AB0A18" w:rsidP="00AB0A18">
            <w:pPr>
              <w:spacing w:after="0" w:line="240" w:lineRule="auto"/>
              <w:ind w:left="72" w:hanging="72"/>
              <w:rPr>
                <w:rFonts w:ascii="Times New Roman" w:eastAsia="Times New Roman" w:hAnsi="Times New Roman" w:cs="Times New Roman"/>
                <w:b/>
                <w:bCs/>
              </w:rPr>
            </w:pPr>
            <w:r w:rsidRPr="00AB0A18">
              <w:rPr>
                <w:rFonts w:ascii="Times New Roman" w:eastAsia="Times New Roman" w:hAnsi="Times New Roman" w:cs="Times New Roman"/>
                <w:bCs/>
                <w:lang w:val="de-DE"/>
              </w:rPr>
              <w:t>2. hameln pharmaceuticals GmbH</w:t>
            </w:r>
          </w:p>
        </w:tc>
      </w:tr>
      <w:tr w:rsidR="00AB0A18" w:rsidRPr="00AB0A18" w14:paraId="47245085" w14:textId="77777777" w:rsidTr="00914D1F">
        <w:trPr>
          <w:trHeight w:val="360"/>
          <w:jc w:val="center"/>
        </w:trPr>
        <w:tc>
          <w:tcPr>
            <w:tcW w:w="2160" w:type="dxa"/>
            <w:vAlign w:val="bottom"/>
          </w:tcPr>
          <w:p w14:paraId="01A62C2E" w14:textId="77777777" w:rsidR="00AB0A18" w:rsidRPr="00AB0A18" w:rsidRDefault="00AB0A18" w:rsidP="00AB0A18">
            <w:pPr>
              <w:spacing w:after="0" w:line="240" w:lineRule="auto"/>
              <w:jc w:val="right"/>
              <w:rPr>
                <w:rFonts w:ascii="Times New Roman" w:eastAsia="Times New Roman" w:hAnsi="Times New Roman" w:cs="Times New Roman"/>
              </w:rPr>
            </w:pPr>
            <w:r w:rsidRPr="00AB0A18">
              <w:rPr>
                <w:rFonts w:ascii="Times New Roman" w:eastAsia="Times New Roman" w:hAnsi="Times New Roman" w:cs="Times New Roman"/>
                <w:lang w:val="sr-Latn-CS"/>
              </w:rPr>
              <w:t>Adresa:</w:t>
            </w:r>
          </w:p>
        </w:tc>
        <w:tc>
          <w:tcPr>
            <w:tcW w:w="7200" w:type="dxa"/>
            <w:vAlign w:val="bottom"/>
          </w:tcPr>
          <w:p w14:paraId="5EF9A44B" w14:textId="77777777" w:rsidR="00AB0A18" w:rsidRPr="00AB0A18" w:rsidRDefault="00AB0A18" w:rsidP="00AB0A18">
            <w:pPr>
              <w:spacing w:after="0" w:line="240" w:lineRule="auto"/>
              <w:ind w:left="72" w:hanging="72"/>
              <w:rPr>
                <w:rFonts w:ascii="Times New Roman" w:eastAsia="Times New Roman" w:hAnsi="Times New Roman" w:cs="Times New Roman"/>
                <w:bCs/>
              </w:rPr>
            </w:pPr>
            <w:r w:rsidRPr="00AB0A18">
              <w:rPr>
                <w:rFonts w:ascii="Times New Roman" w:eastAsia="Times New Roman" w:hAnsi="Times New Roman" w:cs="Times New Roman"/>
                <w:bCs/>
              </w:rPr>
              <w:t>1. Glienicker Weg 125, 12489 Berlin, Njema</w:t>
            </w:r>
            <w:r w:rsidRPr="00AB0A18">
              <w:rPr>
                <w:rFonts w:ascii="Times New Roman" w:eastAsia="Times New Roman" w:hAnsi="Times New Roman" w:cs="Times New Roman"/>
                <w:bCs/>
                <w:lang w:val="sr-Latn-CS"/>
              </w:rPr>
              <w:t>č</w:t>
            </w:r>
            <w:r w:rsidRPr="00AB0A18">
              <w:rPr>
                <w:rFonts w:ascii="Times New Roman" w:eastAsia="Times New Roman" w:hAnsi="Times New Roman" w:cs="Times New Roman"/>
                <w:bCs/>
              </w:rPr>
              <w:t>ka</w:t>
            </w:r>
          </w:p>
          <w:p w14:paraId="2A20CB4F" w14:textId="77777777" w:rsidR="00AB0A18" w:rsidRPr="00AB0A18" w:rsidRDefault="00AB0A18" w:rsidP="00AB0A18">
            <w:pPr>
              <w:spacing w:after="0" w:line="240" w:lineRule="auto"/>
              <w:ind w:left="72" w:hanging="72"/>
              <w:rPr>
                <w:rFonts w:ascii="Times New Roman" w:eastAsia="Times New Roman" w:hAnsi="Times New Roman" w:cs="Times New Roman"/>
                <w:b/>
                <w:bCs/>
              </w:rPr>
            </w:pPr>
            <w:r w:rsidRPr="00AB0A18">
              <w:rPr>
                <w:rFonts w:ascii="Times New Roman" w:eastAsia="Times New Roman" w:hAnsi="Times New Roman" w:cs="Times New Roman"/>
                <w:bCs/>
              </w:rPr>
              <w:t>2.</w:t>
            </w:r>
            <w:r w:rsidRPr="00AB0A18">
              <w:rPr>
                <w:rFonts w:ascii="Times New Roman" w:eastAsia="Times New Roman" w:hAnsi="Times New Roman" w:cs="Times New Roman"/>
                <w:bCs/>
                <w:lang w:val="de-DE"/>
              </w:rPr>
              <w:t xml:space="preserve"> Langes Feld 13, 31789 Hameln, Njemačka</w:t>
            </w:r>
          </w:p>
        </w:tc>
      </w:tr>
      <w:tr w:rsidR="00AB0A18" w:rsidRPr="00AB0A18" w14:paraId="425B855A" w14:textId="77777777" w:rsidTr="00914D1F">
        <w:trPr>
          <w:trHeight w:val="356"/>
          <w:jc w:val="center"/>
        </w:trPr>
        <w:tc>
          <w:tcPr>
            <w:tcW w:w="2160" w:type="dxa"/>
            <w:vAlign w:val="bottom"/>
          </w:tcPr>
          <w:p w14:paraId="5731C858" w14:textId="77777777" w:rsidR="00AB0A18" w:rsidRPr="00AB0A18" w:rsidRDefault="00AB0A18" w:rsidP="00AB0A18">
            <w:pPr>
              <w:spacing w:after="0" w:line="240" w:lineRule="auto"/>
              <w:jc w:val="right"/>
              <w:rPr>
                <w:rFonts w:ascii="Times New Roman" w:eastAsia="Times New Roman" w:hAnsi="Times New Roman" w:cs="Times New Roman"/>
              </w:rPr>
            </w:pPr>
            <w:r w:rsidRPr="00AB0A18">
              <w:rPr>
                <w:rFonts w:ascii="Times New Roman" w:eastAsia="Times New Roman" w:hAnsi="Times New Roman" w:cs="Times New Roman"/>
              </w:rPr>
              <w:t>Podnosilac zahtjeva:</w:t>
            </w:r>
          </w:p>
        </w:tc>
        <w:tc>
          <w:tcPr>
            <w:tcW w:w="7200" w:type="dxa"/>
            <w:vAlign w:val="bottom"/>
          </w:tcPr>
          <w:p w14:paraId="2BDFC37E" w14:textId="77777777" w:rsidR="00AB0A18" w:rsidRPr="00AB0A18" w:rsidRDefault="00AB0A18" w:rsidP="00AB0A18">
            <w:pPr>
              <w:spacing w:after="0" w:line="240" w:lineRule="auto"/>
              <w:ind w:left="72" w:hanging="72"/>
              <w:rPr>
                <w:rFonts w:ascii="Times New Roman" w:eastAsia="Times New Roman" w:hAnsi="Times New Roman" w:cs="Times New Roman"/>
                <w:b/>
                <w:bCs/>
              </w:rPr>
            </w:pPr>
            <w:r w:rsidRPr="00AB0A18">
              <w:rPr>
                <w:rFonts w:ascii="Times New Roman" w:eastAsia="Times New Roman" w:hAnsi="Times New Roman" w:cs="Times New Roman"/>
                <w:noProof/>
                <w:lang w:val="sr-Latn-ME"/>
              </w:rPr>
              <w:t>„BERLIN-CHEMIE/MENARINI MONTENEGRO“ D.O.O. - Podgorica</w:t>
            </w:r>
          </w:p>
        </w:tc>
      </w:tr>
      <w:tr w:rsidR="00AB0A18" w:rsidRPr="00AB0A18" w14:paraId="18254CC8" w14:textId="77777777" w:rsidTr="00914D1F">
        <w:trPr>
          <w:trHeight w:val="353"/>
          <w:jc w:val="center"/>
        </w:trPr>
        <w:tc>
          <w:tcPr>
            <w:tcW w:w="2160" w:type="dxa"/>
            <w:vAlign w:val="bottom"/>
          </w:tcPr>
          <w:p w14:paraId="4C179999" w14:textId="77777777" w:rsidR="00AB0A18" w:rsidRPr="00AB0A18" w:rsidRDefault="00AB0A18" w:rsidP="00AB0A18">
            <w:pPr>
              <w:spacing w:after="0" w:line="240" w:lineRule="auto"/>
              <w:jc w:val="right"/>
              <w:rPr>
                <w:rFonts w:ascii="Times New Roman" w:eastAsia="Times New Roman" w:hAnsi="Times New Roman" w:cs="Times New Roman"/>
              </w:rPr>
            </w:pPr>
            <w:r w:rsidRPr="00AB0A18">
              <w:rPr>
                <w:rFonts w:ascii="Times New Roman" w:eastAsia="Times New Roman" w:hAnsi="Times New Roman" w:cs="Times New Roman"/>
                <w:lang w:val="sr-Latn-CS"/>
              </w:rPr>
              <w:t>Adresa:</w:t>
            </w:r>
          </w:p>
        </w:tc>
        <w:tc>
          <w:tcPr>
            <w:tcW w:w="7200" w:type="dxa"/>
            <w:vAlign w:val="bottom"/>
          </w:tcPr>
          <w:p w14:paraId="406C5C7F" w14:textId="77777777" w:rsidR="00AB0A18" w:rsidRPr="00AB0A18" w:rsidRDefault="00AB0A18" w:rsidP="00AB0A18">
            <w:pPr>
              <w:spacing w:after="0" w:line="240" w:lineRule="auto"/>
              <w:ind w:left="72" w:hanging="72"/>
              <w:rPr>
                <w:rFonts w:ascii="Times New Roman" w:eastAsia="Times New Roman" w:hAnsi="Times New Roman" w:cs="Times New Roman"/>
                <w:b/>
                <w:bCs/>
              </w:rPr>
            </w:pPr>
            <w:r w:rsidRPr="00AB0A18">
              <w:rPr>
                <w:rFonts w:ascii="Times New Roman" w:eastAsia="Times New Roman" w:hAnsi="Times New Roman" w:cs="Times New Roman"/>
                <w:noProof/>
                <w:lang w:val="sr-Latn-ME"/>
              </w:rPr>
              <w:t>Oktobarske revolucije 120</w:t>
            </w:r>
            <w:r w:rsidRPr="00AB0A18">
              <w:rPr>
                <w:rFonts w:ascii="Times New Roman" w:eastAsia="Times New Roman" w:hAnsi="Times New Roman" w:cs="Times New Roman"/>
                <w:bCs/>
                <w:noProof/>
                <w:lang w:val="sr-Latn-ME"/>
              </w:rPr>
              <w:t>, 81000 Podgorica, Crna Gora</w:t>
            </w:r>
          </w:p>
        </w:tc>
      </w:tr>
    </w:tbl>
    <w:p w14:paraId="69FF438F" w14:textId="77777777" w:rsidR="00AB0A18" w:rsidRPr="00AB0A18" w:rsidRDefault="00AB0A18" w:rsidP="00AB0A18">
      <w:pPr>
        <w:spacing w:after="0" w:line="240" w:lineRule="auto"/>
        <w:rPr>
          <w:rFonts w:ascii="Times New Roman" w:eastAsia="Times New Roman" w:hAnsi="Times New Roman" w:cs="Times New Roman"/>
          <w:b/>
          <w:lang w:val="sr-Latn-CS"/>
        </w:rPr>
      </w:pPr>
    </w:p>
    <w:p w14:paraId="00CFB9EB" w14:textId="77777777" w:rsidR="00AB0A18" w:rsidRPr="00AB0A18" w:rsidRDefault="00AB0A18" w:rsidP="00AB0A18">
      <w:pPr>
        <w:spacing w:after="0" w:line="240" w:lineRule="auto"/>
        <w:rPr>
          <w:rFonts w:ascii="Times New Roman" w:eastAsia="Times New Roman" w:hAnsi="Times New Roman" w:cs="Times New Roman"/>
          <w:b/>
          <w:lang w:val="sr-Latn-CS"/>
        </w:rPr>
      </w:pPr>
    </w:p>
    <w:p w14:paraId="3C1C0E3D" w14:textId="77777777" w:rsidR="00AB0A18" w:rsidRPr="00AB0A18" w:rsidRDefault="00AB0A18" w:rsidP="00AB0A18">
      <w:pPr>
        <w:spacing w:after="0" w:line="240" w:lineRule="auto"/>
        <w:rPr>
          <w:rFonts w:ascii="Times New Roman" w:eastAsia="Times New Roman" w:hAnsi="Times New Roman" w:cs="Times New Roman"/>
          <w:i/>
          <w:color w:val="808080"/>
          <w:lang w:val="sr-Latn-CS"/>
        </w:rPr>
      </w:pPr>
    </w:p>
    <w:p w14:paraId="1B5B17E6" w14:textId="77777777" w:rsidR="00AB0A18" w:rsidRPr="00AB0A18" w:rsidRDefault="00AB0A18" w:rsidP="00AB0A18">
      <w:pPr>
        <w:spacing w:after="0" w:line="240" w:lineRule="auto"/>
        <w:rPr>
          <w:rFonts w:ascii="Times New Roman" w:eastAsia="Times New Roman" w:hAnsi="Times New Roman" w:cs="Times New Roman"/>
          <w:i/>
          <w:color w:val="808080"/>
          <w:lang w:val="sr-Latn-CS"/>
        </w:rPr>
      </w:pPr>
    </w:p>
    <w:p w14:paraId="10B09A6A" w14:textId="77777777" w:rsidR="00AB0A18" w:rsidRPr="00AB0A18" w:rsidRDefault="00AB0A18" w:rsidP="00AB0A18">
      <w:pPr>
        <w:spacing w:after="0" w:line="240" w:lineRule="auto"/>
        <w:rPr>
          <w:rFonts w:ascii="Times New Roman" w:eastAsia="Times New Roman" w:hAnsi="Times New Roman" w:cs="Times New Roman"/>
          <w:i/>
          <w:color w:val="808080"/>
          <w:lang w:val="sr-Latn-CS"/>
        </w:rPr>
      </w:pPr>
    </w:p>
    <w:p w14:paraId="62208F66" w14:textId="77777777" w:rsidR="00AB0A18" w:rsidRPr="00AB0A18" w:rsidRDefault="00AB0A18" w:rsidP="00AB0A18">
      <w:pPr>
        <w:spacing w:after="0" w:line="240" w:lineRule="auto"/>
        <w:rPr>
          <w:rFonts w:ascii="Times New Roman" w:eastAsia="Times New Roman" w:hAnsi="Times New Roman" w:cs="Times New Roman"/>
          <w:i/>
          <w:color w:val="808080"/>
          <w:lang w:val="sr-Latn-CS"/>
        </w:rPr>
      </w:pPr>
    </w:p>
    <w:p w14:paraId="162A336B" w14:textId="77777777" w:rsidR="00AB0A18" w:rsidRPr="00AB0A18" w:rsidRDefault="00AB0A18" w:rsidP="00AB0A18">
      <w:pPr>
        <w:spacing w:after="0" w:line="240" w:lineRule="auto"/>
        <w:rPr>
          <w:rFonts w:ascii="Times New Roman" w:eastAsia="Times New Roman" w:hAnsi="Times New Roman" w:cs="Times New Roman"/>
          <w:i/>
          <w:color w:val="808080"/>
          <w:lang w:val="sr-Latn-CS"/>
        </w:rPr>
      </w:pPr>
    </w:p>
    <w:p w14:paraId="6C0350E8" w14:textId="77777777" w:rsidR="00AB0A18" w:rsidRPr="00AB0A18" w:rsidRDefault="00AB0A18" w:rsidP="00AB0A18">
      <w:pPr>
        <w:spacing w:after="0" w:line="240" w:lineRule="auto"/>
        <w:rPr>
          <w:rFonts w:ascii="Times New Roman" w:eastAsia="Times New Roman" w:hAnsi="Times New Roman" w:cs="Times New Roman"/>
          <w:i/>
          <w:color w:val="808080"/>
          <w:lang w:val="sr-Latn-CS"/>
        </w:rPr>
      </w:pPr>
    </w:p>
    <w:p w14:paraId="5643C798" w14:textId="77777777" w:rsidR="00AB0A18" w:rsidRPr="00AB0A18" w:rsidRDefault="00AB0A18" w:rsidP="00AB0A18">
      <w:pPr>
        <w:spacing w:after="0" w:line="240" w:lineRule="auto"/>
        <w:rPr>
          <w:rFonts w:ascii="Times New Roman" w:eastAsia="Times New Roman" w:hAnsi="Times New Roman" w:cs="Times New Roman"/>
          <w:i/>
          <w:color w:val="808080"/>
          <w:lang w:val="sr-Latn-CS"/>
        </w:rPr>
      </w:pPr>
    </w:p>
    <w:p w14:paraId="014D010B" w14:textId="77777777" w:rsidR="00AB0A18" w:rsidRPr="00AB0A18" w:rsidRDefault="00AB0A18" w:rsidP="00AB0A18">
      <w:pPr>
        <w:spacing w:after="0" w:line="240" w:lineRule="auto"/>
        <w:rPr>
          <w:rFonts w:ascii="Times New Roman" w:eastAsia="Times New Roman" w:hAnsi="Times New Roman" w:cs="Times New Roman"/>
          <w:i/>
          <w:color w:val="808080"/>
          <w:lang w:val="sr-Latn-CS"/>
        </w:rPr>
      </w:pPr>
    </w:p>
    <w:p w14:paraId="022DA8EA" w14:textId="77777777" w:rsidR="00AB0A18" w:rsidRPr="00AB0A18" w:rsidRDefault="00AB0A18" w:rsidP="00AB0A18">
      <w:pPr>
        <w:spacing w:after="0" w:line="240" w:lineRule="auto"/>
        <w:rPr>
          <w:rFonts w:ascii="Times New Roman" w:eastAsia="Times New Roman" w:hAnsi="Times New Roman" w:cs="Times New Roman"/>
          <w:i/>
          <w:color w:val="808080"/>
          <w:lang w:val="sr-Latn-CS"/>
        </w:rPr>
      </w:pPr>
    </w:p>
    <w:p w14:paraId="2CB5C90A" w14:textId="77777777" w:rsidR="00AB0A18" w:rsidRPr="00AB0A18" w:rsidRDefault="00AB0A18" w:rsidP="00AB0A18">
      <w:pPr>
        <w:spacing w:after="0" w:line="240" w:lineRule="auto"/>
        <w:ind w:left="1800" w:hanging="1800"/>
        <w:rPr>
          <w:rFonts w:ascii="Times New Roman" w:eastAsia="Times New Roman" w:hAnsi="Times New Roman" w:cs="Times New Roman"/>
          <w:lang w:val="sr-Latn-CS"/>
        </w:rPr>
      </w:pPr>
    </w:p>
    <w:p w14:paraId="54EE542A" w14:textId="77777777" w:rsidR="00AB0A18" w:rsidRPr="00AB0A18" w:rsidRDefault="00AB0A18" w:rsidP="00AB0A18">
      <w:pPr>
        <w:spacing w:after="0" w:line="240" w:lineRule="auto"/>
        <w:ind w:left="1800" w:hanging="1800"/>
        <w:rPr>
          <w:rFonts w:ascii="Times New Roman" w:eastAsia="Times New Roman" w:hAnsi="Times New Roman" w:cs="Times New Roman"/>
          <w:lang w:val="sr-Latn-CS"/>
        </w:rPr>
      </w:pPr>
    </w:p>
    <w:p w14:paraId="561FC468" w14:textId="77777777" w:rsidR="00AB0A18" w:rsidRPr="00AB0A18" w:rsidRDefault="00AB0A18" w:rsidP="00AB0A18">
      <w:pPr>
        <w:tabs>
          <w:tab w:val="left" w:pos="284"/>
          <w:tab w:val="center" w:pos="4320"/>
          <w:tab w:val="right" w:pos="8640"/>
        </w:tabs>
        <w:spacing w:after="0" w:line="240" w:lineRule="auto"/>
        <w:rPr>
          <w:rFonts w:ascii="Times New Roman" w:eastAsia="Times New Roman" w:hAnsi="Times New Roman" w:cs="Times New Roman"/>
          <w:lang w:val="de-DE"/>
        </w:rPr>
      </w:pPr>
    </w:p>
    <w:p w14:paraId="1BBEB694" w14:textId="77777777" w:rsidR="00AB0A18" w:rsidRPr="00AB0A18" w:rsidRDefault="00AB0A18" w:rsidP="00AB0A18">
      <w:pPr>
        <w:tabs>
          <w:tab w:val="left" w:pos="284"/>
          <w:tab w:val="center" w:pos="4320"/>
          <w:tab w:val="right" w:pos="8640"/>
        </w:tabs>
        <w:spacing w:after="0" w:line="240" w:lineRule="auto"/>
        <w:rPr>
          <w:rFonts w:ascii="Times New Roman" w:eastAsia="Times New Roman" w:hAnsi="Times New Roman" w:cs="Times New Roman"/>
          <w:lang w:val="de-DE"/>
        </w:rPr>
      </w:pPr>
    </w:p>
    <w:p w14:paraId="7E6F1BB6" w14:textId="77777777" w:rsidR="00AB0A18" w:rsidRPr="00AB0A18" w:rsidRDefault="00AB0A18" w:rsidP="00AB0A18">
      <w:pPr>
        <w:widowControl w:val="0"/>
        <w:autoSpaceDE w:val="0"/>
        <w:autoSpaceDN w:val="0"/>
        <w:spacing w:after="0" w:line="240" w:lineRule="auto"/>
        <w:jc w:val="center"/>
        <w:rPr>
          <w:rFonts w:ascii="Times New Roman" w:eastAsia="Times New Roman" w:hAnsi="Times New Roman" w:cs="Times New Roman"/>
          <w:b/>
          <w:bCs/>
          <w:lang w:val="sr-Latn-CS"/>
        </w:rPr>
      </w:pPr>
      <w:r w:rsidRPr="00AB0A18">
        <w:rPr>
          <w:rFonts w:ascii="Times New Roman" w:eastAsia="Times New Roman" w:hAnsi="Times New Roman" w:cs="Times New Roman"/>
          <w:b/>
          <w:bCs/>
          <w:lang w:val="sr-Latn-CS"/>
        </w:rPr>
        <w:t>Berlithion</w:t>
      </w:r>
      <w:r w:rsidRPr="00AB0A18">
        <w:rPr>
          <w:rFonts w:ascii="Times New Roman" w:eastAsia="Times New Roman" w:hAnsi="Times New Roman" w:cs="Times New Roman"/>
          <w:b/>
          <w:bCs/>
          <w:vertAlign w:val="superscript"/>
          <w:lang w:val="sr-Latn-CS"/>
        </w:rPr>
        <w:t>®</w:t>
      </w:r>
      <w:r w:rsidRPr="00AB0A18">
        <w:rPr>
          <w:rFonts w:ascii="Times New Roman" w:eastAsia="Times New Roman" w:hAnsi="Times New Roman" w:cs="Times New Roman"/>
          <w:b/>
          <w:bCs/>
          <w:lang w:val="sr-Latn-CS"/>
        </w:rPr>
        <w:t xml:space="preserve"> 600 ED, 600 mg/24ml, koncentrat za rastvor za infuziju</w:t>
      </w:r>
    </w:p>
    <w:p w14:paraId="07870E0E" w14:textId="77777777" w:rsidR="00AB0A18" w:rsidRPr="00AB0A18" w:rsidRDefault="00AB0A18" w:rsidP="00AB0A18">
      <w:pPr>
        <w:tabs>
          <w:tab w:val="left" w:pos="284"/>
          <w:tab w:val="center" w:pos="4320"/>
          <w:tab w:val="right" w:pos="8640"/>
        </w:tabs>
        <w:spacing w:after="0" w:line="240" w:lineRule="auto"/>
        <w:jc w:val="center"/>
        <w:rPr>
          <w:rFonts w:ascii="Times New Roman" w:eastAsia="Times New Roman" w:hAnsi="Times New Roman" w:cs="Times New Roman"/>
          <w:bCs/>
          <w:lang w:val="sr-Latn-CS"/>
        </w:rPr>
      </w:pPr>
      <w:r w:rsidRPr="00AB0A18">
        <w:rPr>
          <w:rFonts w:ascii="Times New Roman" w:eastAsia="Times New Roman" w:hAnsi="Times New Roman" w:cs="Times New Roman"/>
          <w:bCs/>
          <w:lang w:val="sr-Latn-CS"/>
        </w:rPr>
        <w:t>tioktinska kiselina</w:t>
      </w:r>
    </w:p>
    <w:p w14:paraId="6332E927" w14:textId="77777777" w:rsidR="00AB0A18" w:rsidRPr="00AB0A18" w:rsidRDefault="00AB0A18" w:rsidP="00AB0A18">
      <w:pPr>
        <w:tabs>
          <w:tab w:val="left" w:pos="284"/>
          <w:tab w:val="center" w:pos="4320"/>
          <w:tab w:val="right" w:pos="8640"/>
        </w:tabs>
        <w:spacing w:after="0" w:line="240" w:lineRule="auto"/>
        <w:jc w:val="center"/>
        <w:rPr>
          <w:rFonts w:ascii="Times New Roman" w:eastAsia="Times New Roman" w:hAnsi="Times New Roman" w:cs="Times New Roman"/>
          <w:lang w:val="de-DE"/>
        </w:rPr>
      </w:pPr>
    </w:p>
    <w:p w14:paraId="3327749B" w14:textId="77777777" w:rsidR="00AB0A18" w:rsidRPr="00AB0A18" w:rsidRDefault="00AB0A18" w:rsidP="00AB0A18">
      <w:pPr>
        <w:widowControl w:val="0"/>
        <w:autoSpaceDE w:val="0"/>
        <w:autoSpaceDN w:val="0"/>
        <w:spacing w:after="0" w:line="240" w:lineRule="auto"/>
        <w:ind w:left="360" w:hanging="360"/>
        <w:rPr>
          <w:rFonts w:ascii="Times New Roman" w:eastAsia="Times New Roman" w:hAnsi="Times New Roman" w:cs="Times New Roman"/>
          <w:b/>
          <w:bCs/>
          <w:lang w:val="sr-Latn-CS"/>
        </w:rPr>
      </w:pPr>
    </w:p>
    <w:p w14:paraId="0BB12651" w14:textId="77777777" w:rsidR="00AB0A18" w:rsidRPr="00AB0A18" w:rsidRDefault="00AB0A18" w:rsidP="00AB0A18">
      <w:pPr>
        <w:widowControl w:val="0"/>
        <w:autoSpaceDE w:val="0"/>
        <w:autoSpaceDN w:val="0"/>
        <w:spacing w:after="0" w:line="240" w:lineRule="auto"/>
        <w:ind w:left="360" w:hanging="360"/>
        <w:rPr>
          <w:rFonts w:ascii="Times New Roman" w:eastAsia="Times New Roman" w:hAnsi="Times New Roman" w:cs="Times New Roman"/>
          <w:b/>
          <w:bCs/>
          <w:lang w:val="sr-Latn-CS"/>
        </w:rPr>
      </w:pPr>
    </w:p>
    <w:p w14:paraId="2617BA42" w14:textId="77777777" w:rsidR="00AB0A18" w:rsidRPr="00AB0A18" w:rsidRDefault="00AB0A18" w:rsidP="00AB0A18">
      <w:pPr>
        <w:widowControl w:val="0"/>
        <w:autoSpaceDE w:val="0"/>
        <w:autoSpaceDN w:val="0"/>
        <w:spacing w:after="0" w:line="240" w:lineRule="auto"/>
        <w:ind w:left="360" w:hanging="360"/>
        <w:rPr>
          <w:rFonts w:ascii="Times New Roman" w:eastAsia="Times New Roman" w:hAnsi="Times New Roman" w:cs="Times New Roman"/>
          <w:b/>
          <w:bCs/>
          <w:lang w:val="sr-Latn-CS"/>
        </w:rPr>
      </w:pPr>
      <w:r w:rsidRPr="00AB0A18">
        <w:rPr>
          <w:rFonts w:ascii="Times New Roman" w:eastAsia="Times New Roman" w:hAnsi="Times New Roman" w:cs="Times New Roman"/>
          <w:b/>
          <w:bCs/>
          <w:lang w:val="sr-Latn-CS"/>
        </w:rPr>
        <w:t>Pažljivo pročitajte ovo uputstvo, prije nego što počnete da  koristite ovaj lijek.</w:t>
      </w:r>
    </w:p>
    <w:p w14:paraId="77513EBB" w14:textId="77777777" w:rsidR="00AB0A18" w:rsidRPr="00AB0A18" w:rsidRDefault="00AB0A18" w:rsidP="00AB0A18">
      <w:pPr>
        <w:widowControl w:val="0"/>
        <w:numPr>
          <w:ilvl w:val="0"/>
          <w:numId w:val="18"/>
        </w:numPr>
        <w:tabs>
          <w:tab w:val="clear" w:pos="576"/>
          <w:tab w:val="num" w:pos="569"/>
          <w:tab w:val="num" w:pos="600"/>
        </w:tabs>
        <w:autoSpaceDE w:val="0"/>
        <w:autoSpaceDN w:val="0"/>
        <w:spacing w:after="0" w:line="240" w:lineRule="auto"/>
        <w:rPr>
          <w:rFonts w:ascii="Times New Roman" w:eastAsia="Times New Roman" w:hAnsi="Times New Roman" w:cs="Times New Roman"/>
          <w:lang w:val="sr-Latn-CS"/>
        </w:rPr>
      </w:pPr>
      <w:r w:rsidRPr="00AB0A18">
        <w:rPr>
          <w:rFonts w:ascii="Times New Roman" w:eastAsia="Times New Roman" w:hAnsi="Times New Roman" w:cs="Times New Roman"/>
          <w:lang w:val="sr-Latn-CS"/>
        </w:rPr>
        <w:t>Uputstvo sačuvajte. Može biti potrebno da ga ponovo pročitate.</w:t>
      </w:r>
    </w:p>
    <w:p w14:paraId="02E07417" w14:textId="77777777" w:rsidR="00AB0A18" w:rsidRPr="00AB0A18" w:rsidRDefault="00AB0A18" w:rsidP="00AB0A18">
      <w:pPr>
        <w:widowControl w:val="0"/>
        <w:numPr>
          <w:ilvl w:val="0"/>
          <w:numId w:val="18"/>
        </w:numPr>
        <w:tabs>
          <w:tab w:val="clear" w:pos="576"/>
          <w:tab w:val="num" w:pos="600"/>
        </w:tabs>
        <w:autoSpaceDE w:val="0"/>
        <w:autoSpaceDN w:val="0"/>
        <w:spacing w:after="0" w:line="240" w:lineRule="auto"/>
        <w:rPr>
          <w:rFonts w:ascii="Times New Roman" w:eastAsia="Times New Roman" w:hAnsi="Times New Roman" w:cs="Times New Roman"/>
          <w:lang w:val="sr-Latn-CS"/>
        </w:rPr>
      </w:pPr>
      <w:r w:rsidRPr="00AB0A18">
        <w:rPr>
          <w:rFonts w:ascii="Times New Roman" w:eastAsia="Times New Roman" w:hAnsi="Times New Roman" w:cs="Times New Roman"/>
          <w:lang w:val="sr-Latn-CS"/>
        </w:rPr>
        <w:t>Ako imate dodatnih pitanja, obratite se svom ljekaru ili farmaceutu.</w:t>
      </w:r>
    </w:p>
    <w:p w14:paraId="77D2360C" w14:textId="77777777" w:rsidR="00AB0A18" w:rsidRPr="00AB0A18" w:rsidRDefault="00AB0A18" w:rsidP="00AB0A18">
      <w:pPr>
        <w:widowControl w:val="0"/>
        <w:numPr>
          <w:ilvl w:val="0"/>
          <w:numId w:val="18"/>
        </w:numPr>
        <w:tabs>
          <w:tab w:val="clear" w:pos="576"/>
          <w:tab w:val="num" w:pos="600"/>
        </w:tabs>
        <w:autoSpaceDE w:val="0"/>
        <w:autoSpaceDN w:val="0"/>
        <w:spacing w:after="0" w:line="240" w:lineRule="auto"/>
        <w:ind w:left="600" w:hanging="600"/>
        <w:rPr>
          <w:rFonts w:ascii="Times New Roman" w:eastAsia="Times New Roman" w:hAnsi="Times New Roman" w:cs="Times New Roman"/>
          <w:lang w:val="pl-PL"/>
        </w:rPr>
      </w:pPr>
      <w:r w:rsidRPr="00AB0A18">
        <w:rPr>
          <w:rFonts w:ascii="Times New Roman" w:eastAsia="Times New Roman" w:hAnsi="Times New Roman" w:cs="Times New Roman"/>
          <w:lang w:val="sr-Latn-CS"/>
        </w:rPr>
        <w:t>Ovaj lijek propisan je Vama i ne smijete ga davati drugima. Može da im škodi, čak i kada imaju iste znake bolesti kao i Vi.</w:t>
      </w:r>
    </w:p>
    <w:p w14:paraId="56706432" w14:textId="77777777" w:rsidR="00AB0A18" w:rsidRPr="00AB0A18" w:rsidRDefault="00AB0A18" w:rsidP="00AB0A18">
      <w:pPr>
        <w:widowControl w:val="0"/>
        <w:numPr>
          <w:ilvl w:val="0"/>
          <w:numId w:val="18"/>
        </w:numPr>
        <w:tabs>
          <w:tab w:val="num" w:pos="0"/>
        </w:tabs>
        <w:autoSpaceDE w:val="0"/>
        <w:autoSpaceDN w:val="0"/>
        <w:spacing w:after="0" w:line="240" w:lineRule="auto"/>
        <w:ind w:left="600" w:hanging="600"/>
        <w:rPr>
          <w:rFonts w:ascii="Times New Roman" w:eastAsia="Times New Roman" w:hAnsi="Times New Roman" w:cs="Times New Roman"/>
          <w:lang w:val="pl-PL"/>
        </w:rPr>
      </w:pPr>
      <w:r w:rsidRPr="00AB0A18">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AB0A18">
        <w:rPr>
          <w:rFonts w:ascii="Times New Roman" w:eastAsia="Times New Roman" w:hAnsi="Times New Roman" w:cs="Times New Roman"/>
          <w:spacing w:val="-4"/>
          <w:lang w:val="sr-Latn-RS"/>
        </w:rPr>
        <w:t xml:space="preserve">. </w:t>
      </w:r>
    </w:p>
    <w:p w14:paraId="30C0AA0E" w14:textId="77777777" w:rsidR="00AB0A18" w:rsidRPr="00AB0A18" w:rsidRDefault="00AB0A18" w:rsidP="00AB0A18">
      <w:pPr>
        <w:widowControl w:val="0"/>
        <w:autoSpaceDE w:val="0"/>
        <w:autoSpaceDN w:val="0"/>
        <w:spacing w:after="0" w:line="240" w:lineRule="auto"/>
        <w:ind w:left="600"/>
        <w:rPr>
          <w:rFonts w:ascii="Times New Roman" w:eastAsia="Times New Roman" w:hAnsi="Times New Roman" w:cs="Times New Roman"/>
          <w:lang w:val="pl-PL"/>
        </w:rPr>
      </w:pPr>
    </w:p>
    <w:p w14:paraId="6A48B765" w14:textId="77777777" w:rsidR="00AB0A18" w:rsidRPr="00AB0A18" w:rsidRDefault="00AB0A18" w:rsidP="00AB0A18">
      <w:pPr>
        <w:widowControl w:val="0"/>
        <w:autoSpaceDE w:val="0"/>
        <w:autoSpaceDN w:val="0"/>
        <w:spacing w:after="0" w:line="240" w:lineRule="auto"/>
        <w:rPr>
          <w:rFonts w:ascii="Times New Roman" w:eastAsia="Times New Roman" w:hAnsi="Times New Roman" w:cs="Times New Roman"/>
          <w:i/>
          <w:iCs/>
          <w:lang w:val="sr-Latn-CS"/>
        </w:rPr>
      </w:pPr>
    </w:p>
    <w:p w14:paraId="02B09581" w14:textId="77777777" w:rsidR="00AB0A18" w:rsidRPr="00AB0A18" w:rsidRDefault="00AB0A18" w:rsidP="00AB0A18">
      <w:pPr>
        <w:widowControl w:val="0"/>
        <w:autoSpaceDE w:val="0"/>
        <w:autoSpaceDN w:val="0"/>
        <w:spacing w:after="0" w:line="240" w:lineRule="auto"/>
        <w:ind w:firstLine="360"/>
        <w:rPr>
          <w:rFonts w:ascii="Times New Roman" w:eastAsia="Times New Roman" w:hAnsi="Times New Roman" w:cs="Times New Roman"/>
          <w:bCs/>
          <w:lang w:val="sr-Latn-CS"/>
        </w:rPr>
      </w:pPr>
    </w:p>
    <w:p w14:paraId="4B643A59" w14:textId="77777777" w:rsidR="00AB0A18" w:rsidRPr="00AB0A18" w:rsidRDefault="00AB0A18" w:rsidP="00AB0A18">
      <w:pPr>
        <w:widowControl w:val="0"/>
        <w:autoSpaceDE w:val="0"/>
        <w:autoSpaceDN w:val="0"/>
        <w:spacing w:after="0" w:line="240" w:lineRule="auto"/>
        <w:ind w:firstLine="360"/>
        <w:rPr>
          <w:rFonts w:ascii="Times New Roman" w:eastAsia="Times New Roman" w:hAnsi="Times New Roman" w:cs="Times New Roman"/>
          <w:bCs/>
          <w:lang w:val="sr-Latn-CS"/>
        </w:rPr>
      </w:pPr>
    </w:p>
    <w:p w14:paraId="5F1F42EC" w14:textId="77777777" w:rsidR="00AB0A18" w:rsidRPr="00AB0A18" w:rsidRDefault="00AB0A18" w:rsidP="00AB0A18">
      <w:pPr>
        <w:widowControl w:val="0"/>
        <w:autoSpaceDE w:val="0"/>
        <w:autoSpaceDN w:val="0"/>
        <w:spacing w:after="0" w:line="240" w:lineRule="auto"/>
        <w:rPr>
          <w:rFonts w:ascii="Times New Roman" w:eastAsia="Times New Roman" w:hAnsi="Times New Roman" w:cs="Times New Roman"/>
          <w:b/>
          <w:bCs/>
          <w:lang w:val="sr-Latn-CS"/>
        </w:rPr>
      </w:pPr>
      <w:r w:rsidRPr="00AB0A18">
        <w:rPr>
          <w:rFonts w:ascii="Times New Roman" w:eastAsia="Times New Roman" w:hAnsi="Times New Roman" w:cs="Times New Roman"/>
          <w:b/>
          <w:bCs/>
          <w:lang w:val="sr-Latn-CS"/>
        </w:rPr>
        <w:t>U ovom uputstvu pročitaćete:</w:t>
      </w:r>
    </w:p>
    <w:p w14:paraId="4D57395E" w14:textId="77777777" w:rsidR="00AB0A18" w:rsidRPr="00AB0A18" w:rsidRDefault="00AB0A18" w:rsidP="00AB0A18">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AB0A18">
        <w:rPr>
          <w:rFonts w:ascii="Times New Roman" w:eastAsia="Times New Roman" w:hAnsi="Times New Roman" w:cs="Times New Roman"/>
          <w:lang w:val="sr-Latn-CS"/>
        </w:rPr>
        <w:t>Šta je lijek Berlithion</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600 ED</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 xml:space="preserve"> i čemu je namijenjen</w:t>
      </w:r>
    </w:p>
    <w:p w14:paraId="264098A0" w14:textId="77777777" w:rsidR="00AB0A18" w:rsidRPr="00AB0A18" w:rsidRDefault="00AB0A18" w:rsidP="00AB0A18">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AB0A18">
        <w:rPr>
          <w:rFonts w:ascii="Times New Roman" w:eastAsia="Times New Roman" w:hAnsi="Times New Roman" w:cs="Times New Roman"/>
          <w:lang w:val="sr-Latn-CS"/>
        </w:rPr>
        <w:t>Šta treba da znate prije nego što uzmete lijek Berlithion</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600 ED</w:t>
      </w:r>
    </w:p>
    <w:p w14:paraId="172C04EC" w14:textId="77777777" w:rsidR="00AB0A18" w:rsidRPr="00AB0A18" w:rsidRDefault="00AB0A18" w:rsidP="00AB0A18">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AB0A18">
        <w:rPr>
          <w:rFonts w:ascii="Times New Roman" w:eastAsia="Times New Roman" w:hAnsi="Times New Roman" w:cs="Times New Roman"/>
          <w:lang w:val="sr-Latn-CS"/>
        </w:rPr>
        <w:t>Kako se upotrebljava lijek Berlithion</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600 ED</w:t>
      </w:r>
    </w:p>
    <w:p w14:paraId="0EC5A090" w14:textId="77777777" w:rsidR="00AB0A18" w:rsidRPr="00AB0A18" w:rsidRDefault="00AB0A18" w:rsidP="00AB0A18">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AB0A18">
        <w:rPr>
          <w:rFonts w:ascii="Times New Roman" w:eastAsia="Times New Roman" w:hAnsi="Times New Roman" w:cs="Times New Roman"/>
          <w:lang w:val="sr-Latn-CS"/>
        </w:rPr>
        <w:t xml:space="preserve">Moguća neželjena dejstva </w:t>
      </w:r>
    </w:p>
    <w:p w14:paraId="4EAD6B16" w14:textId="77777777" w:rsidR="00AB0A18" w:rsidRPr="00AB0A18" w:rsidRDefault="00AB0A18" w:rsidP="00AB0A18">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AB0A18">
        <w:rPr>
          <w:rFonts w:ascii="Times New Roman" w:eastAsia="Times New Roman" w:hAnsi="Times New Roman" w:cs="Times New Roman"/>
          <w:lang w:val="sr-Latn-CS"/>
        </w:rPr>
        <w:t>Kako čuvati lijek Berlithion</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600 ED</w:t>
      </w:r>
    </w:p>
    <w:p w14:paraId="6DF1FC5D" w14:textId="77777777" w:rsidR="00AB0A18" w:rsidRPr="00AB0A18" w:rsidRDefault="00AB0A18" w:rsidP="00AB0A18">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CS"/>
        </w:rPr>
      </w:pPr>
      <w:r w:rsidRPr="00AB0A18">
        <w:rPr>
          <w:rFonts w:ascii="Times New Roman" w:eastAsia="Times New Roman" w:hAnsi="Times New Roman" w:cs="Times New Roman"/>
          <w:lang w:val="sr-Latn-CS"/>
        </w:rPr>
        <w:t>Dodatne informacije</w:t>
      </w:r>
    </w:p>
    <w:p w14:paraId="776B5FA9" w14:textId="77777777" w:rsidR="00AB0A18" w:rsidRPr="00AB0A18" w:rsidRDefault="00AB0A18" w:rsidP="00AB0A18">
      <w:pPr>
        <w:widowControl w:val="0"/>
        <w:autoSpaceDE w:val="0"/>
        <w:autoSpaceDN w:val="0"/>
        <w:spacing w:after="0" w:line="240" w:lineRule="auto"/>
        <w:rPr>
          <w:rFonts w:ascii="Times New Roman" w:eastAsia="Times New Roman" w:hAnsi="Times New Roman" w:cs="Times New Roman"/>
          <w:lang w:val="de-DE"/>
        </w:rPr>
      </w:pPr>
    </w:p>
    <w:p w14:paraId="6D41DB8A" w14:textId="77777777" w:rsidR="00AB0A18" w:rsidRPr="00AB0A18" w:rsidRDefault="00AB0A18" w:rsidP="00AB0A18">
      <w:pPr>
        <w:tabs>
          <w:tab w:val="left" w:pos="284"/>
          <w:tab w:val="center" w:pos="4320"/>
          <w:tab w:val="right" w:pos="8640"/>
        </w:tabs>
        <w:spacing w:after="0" w:line="240" w:lineRule="auto"/>
        <w:rPr>
          <w:rFonts w:ascii="Times New Roman" w:eastAsia="Times New Roman" w:hAnsi="Times New Roman" w:cs="Times New Roman"/>
        </w:rPr>
      </w:pPr>
    </w:p>
    <w:p w14:paraId="129034CC"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41462CBB"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3C2EEBBC"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6F16510D"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4630640C"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497AF1CE"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0C9B56B0"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3E59522A"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03B1DFE4"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59E6DE01"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08DFC4B4"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0B89D5EE"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41E0C934"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67939D24"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25005256"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18636212"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37B60230"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5C7EC760"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06B382D9"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2FAF718F" w14:textId="77777777" w:rsidR="00AB0A18" w:rsidRPr="00AB0A18" w:rsidRDefault="00AB0A18" w:rsidP="00AB0A18">
      <w:pPr>
        <w:spacing w:after="0" w:line="240" w:lineRule="auto"/>
        <w:rPr>
          <w:rFonts w:ascii="Times New Roman" w:eastAsia="Times New Roman" w:hAnsi="Times New Roman" w:cs="Times New Roman"/>
          <w:b/>
          <w:bCs/>
          <w:lang w:val="sr-Latn-CS"/>
        </w:rPr>
      </w:pPr>
    </w:p>
    <w:p w14:paraId="78A453A9" w14:textId="77777777" w:rsidR="00AB0A18" w:rsidRPr="00AB0A18" w:rsidRDefault="00AB0A18" w:rsidP="00AB0A18">
      <w:pPr>
        <w:tabs>
          <w:tab w:val="left" w:pos="540"/>
          <w:tab w:val="left" w:pos="569"/>
        </w:tabs>
        <w:spacing w:after="0" w:line="240" w:lineRule="auto"/>
        <w:rPr>
          <w:rFonts w:ascii="Times New Roman" w:eastAsia="Times New Roman" w:hAnsi="Times New Roman" w:cs="Times New Roman"/>
          <w:b/>
          <w:bCs/>
          <w:lang w:val="pl-PL"/>
        </w:rPr>
      </w:pPr>
      <w:r>
        <w:rPr>
          <w:rFonts w:ascii="Times New Roman" w:eastAsia="Times New Roman" w:hAnsi="Times New Roman" w:cs="Times New Roman"/>
          <w:b/>
          <w:bCs/>
          <w:lang w:val="pl-PL"/>
        </w:rPr>
        <w:lastRenderedPageBreak/>
        <w:t xml:space="preserve">1.       </w:t>
      </w:r>
      <w:r w:rsidRPr="00AB0A18">
        <w:rPr>
          <w:rFonts w:ascii="Times New Roman" w:eastAsia="Times New Roman" w:hAnsi="Times New Roman" w:cs="Times New Roman"/>
          <w:b/>
          <w:bCs/>
          <w:lang w:val="pl-PL"/>
        </w:rPr>
        <w:t xml:space="preserve">ŠTA JE LIJEK </w:t>
      </w:r>
      <w:r w:rsidRPr="00AB0A18">
        <w:rPr>
          <w:rFonts w:ascii="Times New Roman" w:eastAsia="Times New Roman" w:hAnsi="Times New Roman" w:cs="Times New Roman"/>
          <w:b/>
          <w:lang w:val="sr-Latn-CS"/>
        </w:rPr>
        <w:t>Berlithion</w:t>
      </w:r>
      <w:r w:rsidRPr="00AB0A18">
        <w:rPr>
          <w:rFonts w:ascii="Times New Roman" w:eastAsia="Times New Roman" w:hAnsi="Times New Roman" w:cs="Times New Roman"/>
          <w:b/>
          <w:vertAlign w:val="superscript"/>
          <w:lang w:val="sr-Latn-CS"/>
        </w:rPr>
        <w:t xml:space="preserve"> </w:t>
      </w:r>
      <w:r w:rsidRPr="00AB0A18">
        <w:rPr>
          <w:rFonts w:ascii="Times New Roman" w:eastAsia="Times New Roman" w:hAnsi="Times New Roman" w:cs="Times New Roman"/>
          <w:b/>
          <w:lang w:val="sr-Latn-CS"/>
        </w:rPr>
        <w:t xml:space="preserve">600 ED, </w:t>
      </w:r>
      <w:r w:rsidRPr="005664CE">
        <w:rPr>
          <w:rFonts w:ascii="Times New Roman" w:eastAsia="Times New Roman" w:hAnsi="Times New Roman" w:cs="Times New Roman"/>
          <w:b/>
          <w:bCs/>
          <w:lang w:val="sr-Latn-CS"/>
        </w:rPr>
        <w:t>koncentrat za rastvor za infuziju</w:t>
      </w:r>
      <w:r w:rsidRPr="00AB0A18">
        <w:rPr>
          <w:rFonts w:ascii="Times New Roman" w:eastAsia="Times New Roman" w:hAnsi="Times New Roman" w:cs="Times New Roman"/>
          <w:bCs/>
          <w:lang w:val="sr-Latn-CS"/>
        </w:rPr>
        <w:t>,</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 xml:space="preserve"> </w:t>
      </w:r>
      <w:r w:rsidRPr="00AB0A18">
        <w:rPr>
          <w:rFonts w:ascii="Times New Roman" w:eastAsia="Times New Roman" w:hAnsi="Times New Roman" w:cs="Times New Roman"/>
          <w:b/>
          <w:bCs/>
          <w:lang w:val="pl-PL"/>
        </w:rPr>
        <w:t>I ČEMU JE NAMIJENJEN</w:t>
      </w:r>
    </w:p>
    <w:p w14:paraId="532A7CFE" w14:textId="77777777" w:rsidR="00AB0A18" w:rsidRPr="00AB0A18" w:rsidRDefault="00AB0A18" w:rsidP="00AB0A18">
      <w:pPr>
        <w:tabs>
          <w:tab w:val="left" w:pos="540"/>
          <w:tab w:val="left" w:pos="569"/>
        </w:tabs>
        <w:spacing w:after="0" w:line="240" w:lineRule="auto"/>
        <w:ind w:left="900"/>
        <w:rPr>
          <w:rFonts w:ascii="Times New Roman" w:eastAsia="Times New Roman" w:hAnsi="Times New Roman" w:cs="Times New Roman"/>
          <w:b/>
          <w:bCs/>
          <w:lang w:val="pl-PL"/>
        </w:rPr>
      </w:pPr>
    </w:p>
    <w:p w14:paraId="200A0D31"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 xml:space="preserve">Tioktinska kiselina, aktivna supstanca lijeka Berlithion 600 ED, </w:t>
      </w:r>
      <w:r w:rsidRPr="00AB0A18">
        <w:rPr>
          <w:rFonts w:ascii="Times New Roman" w:eastAsia="Times New Roman" w:hAnsi="Times New Roman" w:cs="Times New Roman"/>
          <w:bCs/>
          <w:lang w:val="sr-Latn-CS"/>
        </w:rPr>
        <w:t>koncentrat za rastvor za infuziju,</w:t>
      </w:r>
      <w:r w:rsidRPr="00AB0A18">
        <w:rPr>
          <w:rFonts w:ascii="Times New Roman" w:eastAsia="Times New Roman" w:hAnsi="Times New Roman" w:cs="Times New Roman"/>
          <w:lang w:val="sr-Latn-CS"/>
        </w:rPr>
        <w:t xml:space="preserve"> je supstanca koja nastaje metabolizmom u organizmu viših životinjskih vrsta i koja utiče na određene metaboličke procese u tijelu. Pored toga, tioktinska kiselina ima svojstvo da štiti nervne ćelije od dejstva reaktivnih razgradnih proizvoda (antioksidativno svojstvo). </w:t>
      </w:r>
    </w:p>
    <w:p w14:paraId="3CA8E060" w14:textId="77777777" w:rsidR="00AB0A18" w:rsidRPr="00AB0A18" w:rsidRDefault="00AB0A18" w:rsidP="00AB0A18">
      <w:pPr>
        <w:tabs>
          <w:tab w:val="left" w:pos="284"/>
        </w:tabs>
        <w:spacing w:before="200" w:after="200" w:line="240" w:lineRule="auto"/>
        <w:jc w:val="both"/>
        <w:rPr>
          <w:rFonts w:ascii="Times New Roman" w:eastAsia="Times New Roman" w:hAnsi="Times New Roman" w:cs="Times New Roman"/>
          <w:bCs/>
          <w:lang w:val="sr-Latn-CS"/>
        </w:rPr>
      </w:pPr>
      <w:r w:rsidRPr="00AB0A18">
        <w:rPr>
          <w:rFonts w:ascii="Times New Roman" w:eastAsia="Times New Roman" w:hAnsi="Times New Roman" w:cs="Times New Roman"/>
          <w:bCs/>
          <w:lang w:val="sr-Latn-CS"/>
        </w:rPr>
        <w:t>Lijek Berlithion</w:t>
      </w:r>
      <w:r w:rsidRPr="00AB0A18">
        <w:rPr>
          <w:rFonts w:ascii="Times New Roman" w:eastAsia="Times New Roman" w:hAnsi="Times New Roman" w:cs="Times New Roman"/>
          <w:bCs/>
          <w:vertAlign w:val="superscript"/>
          <w:lang w:val="sr-Latn-CS"/>
        </w:rPr>
        <w:t xml:space="preserve"> </w:t>
      </w:r>
      <w:r w:rsidRPr="00AB0A18">
        <w:rPr>
          <w:rFonts w:ascii="Times New Roman" w:eastAsia="Times New Roman" w:hAnsi="Times New Roman" w:cs="Times New Roman"/>
          <w:bCs/>
          <w:lang w:val="sr-Latn-CS"/>
        </w:rPr>
        <w:t>600 ED koristi se za simptomatsko liječenje parestezija kod oštećenja nerava zbog dijabetesa (polineuropatije).</w:t>
      </w:r>
    </w:p>
    <w:p w14:paraId="35B498F8" w14:textId="77777777" w:rsidR="00AB0A18" w:rsidRPr="00AB0A18" w:rsidRDefault="00AB0A18" w:rsidP="00AB0A18">
      <w:pPr>
        <w:spacing w:after="0" w:line="240" w:lineRule="auto"/>
        <w:rPr>
          <w:rFonts w:ascii="Times New Roman" w:eastAsia="Times New Roman" w:hAnsi="Times New Roman" w:cs="Times New Roman"/>
          <w:lang w:val="pl-PL"/>
        </w:rPr>
      </w:pPr>
    </w:p>
    <w:p w14:paraId="6C5D309E" w14:textId="77777777" w:rsidR="00AB0A18" w:rsidRPr="00AB0A18" w:rsidRDefault="00AB0A18" w:rsidP="00AB0A18">
      <w:pPr>
        <w:tabs>
          <w:tab w:val="left" w:pos="540"/>
          <w:tab w:val="left" w:pos="569"/>
        </w:tabs>
        <w:spacing w:after="0" w:line="240" w:lineRule="auto"/>
        <w:rPr>
          <w:rFonts w:ascii="Times New Roman" w:eastAsia="Times New Roman" w:hAnsi="Times New Roman" w:cs="Times New Roman"/>
          <w:b/>
          <w:caps/>
          <w:lang w:val="sr-Latn-CS"/>
        </w:rPr>
      </w:pPr>
      <w:r w:rsidRPr="00AB0A18">
        <w:rPr>
          <w:rFonts w:ascii="Times New Roman" w:eastAsia="Times New Roman" w:hAnsi="Times New Roman" w:cs="Times New Roman"/>
          <w:b/>
          <w:bCs/>
          <w:lang w:val="ru-RU"/>
        </w:rPr>
        <w:t xml:space="preserve">2. </w:t>
      </w:r>
      <w:r w:rsidRPr="00AB0A18">
        <w:rPr>
          <w:rFonts w:ascii="Times New Roman" w:eastAsia="Times New Roman" w:hAnsi="Times New Roman" w:cs="Times New Roman"/>
          <w:b/>
          <w:bCs/>
          <w:lang w:val="sr-Latn-CS"/>
        </w:rPr>
        <w:tab/>
      </w:r>
      <w:r w:rsidRPr="00AB0A18">
        <w:rPr>
          <w:rFonts w:ascii="Times New Roman" w:eastAsia="Times New Roman" w:hAnsi="Times New Roman" w:cs="Times New Roman"/>
          <w:b/>
          <w:caps/>
          <w:lang w:val="sr-Latn-CS"/>
        </w:rPr>
        <w:t xml:space="preserve">Šta treba da znate prIJe nego što uzmete lIJek </w:t>
      </w:r>
      <w:r w:rsidRPr="00AB0A18">
        <w:rPr>
          <w:rFonts w:ascii="Times New Roman" w:eastAsia="Times New Roman" w:hAnsi="Times New Roman" w:cs="Times New Roman"/>
          <w:b/>
          <w:lang w:val="sr-Latn-CS"/>
        </w:rPr>
        <w:t>Berlithion</w:t>
      </w:r>
      <w:r w:rsidRPr="00AB0A18">
        <w:rPr>
          <w:rFonts w:ascii="Times New Roman" w:eastAsia="Times New Roman" w:hAnsi="Times New Roman" w:cs="Times New Roman"/>
          <w:b/>
          <w:vertAlign w:val="superscript"/>
          <w:lang w:val="sr-Latn-CS"/>
        </w:rPr>
        <w:t xml:space="preserve"> </w:t>
      </w:r>
      <w:r w:rsidRPr="00AB0A18">
        <w:rPr>
          <w:rFonts w:ascii="Times New Roman" w:eastAsia="Times New Roman" w:hAnsi="Times New Roman" w:cs="Times New Roman"/>
          <w:b/>
          <w:lang w:val="sr-Latn-CS"/>
        </w:rPr>
        <w:t>600 ED</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 xml:space="preserve"> </w:t>
      </w:r>
    </w:p>
    <w:p w14:paraId="4E1F0506" w14:textId="77777777" w:rsidR="00AB0A18" w:rsidRPr="00AB0A18" w:rsidRDefault="00AB0A18" w:rsidP="00AB0A18">
      <w:pPr>
        <w:widowControl w:val="0"/>
        <w:autoSpaceDE w:val="0"/>
        <w:autoSpaceDN w:val="0"/>
        <w:spacing w:after="0" w:line="240" w:lineRule="auto"/>
        <w:rPr>
          <w:rFonts w:ascii="Times New Roman" w:eastAsia="Times New Roman" w:hAnsi="Times New Roman" w:cs="Times New Roman"/>
          <w:caps/>
          <w:lang w:val="sr-Latn-CS"/>
        </w:rPr>
      </w:pPr>
    </w:p>
    <w:p w14:paraId="1710991D" w14:textId="77777777" w:rsidR="00AB0A18" w:rsidRPr="00AB0A18" w:rsidRDefault="00AB0A18" w:rsidP="00AB0A18">
      <w:pPr>
        <w:spacing w:after="0" w:line="240" w:lineRule="auto"/>
        <w:jc w:val="both"/>
        <w:rPr>
          <w:rFonts w:ascii="Times New Roman" w:eastAsia="Times New Roman" w:hAnsi="Times New Roman" w:cs="Times New Roman"/>
          <w:b/>
          <w:lang w:val="sr-Latn-CS"/>
        </w:rPr>
      </w:pPr>
      <w:r w:rsidRPr="00AB0A18">
        <w:rPr>
          <w:rFonts w:ascii="Times New Roman" w:eastAsia="Times New Roman" w:hAnsi="Times New Roman" w:cs="Times New Roman"/>
          <w:b/>
          <w:lang w:val="ru-RU"/>
        </w:rPr>
        <w:t>L</w:t>
      </w:r>
      <w:r w:rsidRPr="00AB0A18">
        <w:rPr>
          <w:rFonts w:ascii="Times New Roman" w:eastAsia="Times New Roman" w:hAnsi="Times New Roman" w:cs="Times New Roman"/>
          <w:b/>
          <w:lang w:val="sr-Latn-CS"/>
        </w:rPr>
        <w:t>ij</w:t>
      </w:r>
      <w:r w:rsidRPr="00AB0A18">
        <w:rPr>
          <w:rFonts w:ascii="Times New Roman" w:eastAsia="Times New Roman" w:hAnsi="Times New Roman" w:cs="Times New Roman"/>
          <w:b/>
          <w:lang w:val="ru-RU"/>
        </w:rPr>
        <w:t xml:space="preserve">ek </w:t>
      </w:r>
      <w:r w:rsidRPr="00AB0A18">
        <w:rPr>
          <w:rFonts w:ascii="Times New Roman" w:eastAsia="Times New Roman" w:hAnsi="Times New Roman" w:cs="Times New Roman"/>
          <w:b/>
          <w:lang w:val="sr-Latn-CS"/>
        </w:rPr>
        <w:t>Berlithion</w:t>
      </w:r>
      <w:r w:rsidRPr="00AB0A18">
        <w:rPr>
          <w:rFonts w:ascii="Times New Roman" w:eastAsia="Times New Roman" w:hAnsi="Times New Roman" w:cs="Times New Roman"/>
          <w:b/>
          <w:vertAlign w:val="superscript"/>
          <w:lang w:val="sr-Latn-CS"/>
        </w:rPr>
        <w:t xml:space="preserve"> </w:t>
      </w:r>
      <w:r w:rsidRPr="00AB0A18">
        <w:rPr>
          <w:rFonts w:ascii="Times New Roman" w:eastAsia="Times New Roman" w:hAnsi="Times New Roman" w:cs="Times New Roman"/>
          <w:b/>
          <w:lang w:val="sr-Latn-CS"/>
        </w:rPr>
        <w:t xml:space="preserve">600 ED, </w:t>
      </w:r>
      <w:r w:rsidRPr="00AB0A18">
        <w:rPr>
          <w:rFonts w:ascii="Times New Roman" w:eastAsia="Times New Roman" w:hAnsi="Times New Roman" w:cs="Times New Roman"/>
          <w:bCs/>
          <w:lang w:val="sr-Latn-CS"/>
        </w:rPr>
        <w:t>koncentrat za rastvor za infuziju,</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 xml:space="preserve"> </w:t>
      </w:r>
      <w:r w:rsidRPr="00AB0A18">
        <w:rPr>
          <w:rFonts w:ascii="Times New Roman" w:eastAsia="Times New Roman" w:hAnsi="Times New Roman" w:cs="Times New Roman"/>
          <w:b/>
          <w:lang w:val="ru-RU"/>
        </w:rPr>
        <w:t>ne sm</w:t>
      </w:r>
      <w:r w:rsidRPr="00AB0A18">
        <w:rPr>
          <w:rFonts w:ascii="Times New Roman" w:eastAsia="Times New Roman" w:hAnsi="Times New Roman" w:cs="Times New Roman"/>
          <w:b/>
          <w:lang w:val="sr-Latn-CS"/>
        </w:rPr>
        <w:t>ij</w:t>
      </w:r>
      <w:r w:rsidRPr="00AB0A18">
        <w:rPr>
          <w:rFonts w:ascii="Times New Roman" w:eastAsia="Times New Roman" w:hAnsi="Times New Roman" w:cs="Times New Roman"/>
          <w:b/>
          <w:lang w:val="ru-RU"/>
        </w:rPr>
        <w:t>ete koristiti:</w:t>
      </w:r>
    </w:p>
    <w:p w14:paraId="72CEB085"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 ako ste alergični (preosjetljivi) na tioktinsku kiselinu ili na bilo koju od pomoćnih supstanci koje ulaze u sastav ovog lijeka (a koje su navedene u odjeljku 6).</w:t>
      </w:r>
    </w:p>
    <w:p w14:paraId="7E56C6FD" w14:textId="77777777" w:rsidR="00AB0A18" w:rsidRPr="00AB0A18" w:rsidRDefault="00AB0A18" w:rsidP="00AB0A18">
      <w:pPr>
        <w:spacing w:after="0" w:line="240" w:lineRule="auto"/>
        <w:rPr>
          <w:rFonts w:ascii="Times New Roman" w:eastAsia="Times New Roman" w:hAnsi="Times New Roman" w:cs="Times New Roman"/>
          <w:lang w:val="sr-Latn-CS"/>
        </w:rPr>
      </w:pPr>
    </w:p>
    <w:tbl>
      <w:tblPr>
        <w:tblW w:w="10185" w:type="dxa"/>
        <w:tblLayout w:type="fixed"/>
        <w:tblLook w:val="04A0" w:firstRow="1" w:lastRow="0" w:firstColumn="1" w:lastColumn="0" w:noHBand="0" w:noVBand="1"/>
      </w:tblPr>
      <w:tblGrid>
        <w:gridCol w:w="10185"/>
      </w:tblGrid>
      <w:tr w:rsidR="00AB0A18" w:rsidRPr="00AB0A18" w14:paraId="3205664B" w14:textId="77777777" w:rsidTr="00914D1F">
        <w:trPr>
          <w:trHeight w:val="844"/>
        </w:trPr>
        <w:tc>
          <w:tcPr>
            <w:tcW w:w="10185" w:type="dxa"/>
            <w:vAlign w:val="center"/>
          </w:tcPr>
          <w:p w14:paraId="621CCEAB"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b/>
                <w:bCs/>
                <w:lang w:val="sr-Latn-CS"/>
              </w:rPr>
            </w:pPr>
            <w:r w:rsidRPr="00AB0A18">
              <w:rPr>
                <w:rFonts w:ascii="Times New Roman" w:eastAsia="Times New Roman" w:hAnsi="Times New Roman" w:cs="Times New Roman"/>
                <w:b/>
                <w:bCs/>
                <w:lang w:val="sr-Latn-CS"/>
              </w:rPr>
              <w:t xml:space="preserve">Kada uzimate lijek </w:t>
            </w:r>
            <w:r w:rsidRPr="00AB0A18">
              <w:rPr>
                <w:rFonts w:ascii="Times New Roman" w:eastAsia="Times New Roman" w:hAnsi="Times New Roman" w:cs="Times New Roman"/>
                <w:b/>
                <w:lang w:val="sr-Latn-CS"/>
              </w:rPr>
              <w:t>Berlithion</w:t>
            </w:r>
            <w:r w:rsidRPr="00AB0A18">
              <w:rPr>
                <w:rFonts w:ascii="Times New Roman" w:eastAsia="Times New Roman" w:hAnsi="Times New Roman" w:cs="Times New Roman"/>
                <w:b/>
                <w:vertAlign w:val="superscript"/>
                <w:lang w:val="sr-Latn-CS"/>
              </w:rPr>
              <w:t xml:space="preserve"> </w:t>
            </w:r>
            <w:r w:rsidRPr="00AB0A18">
              <w:rPr>
                <w:rFonts w:ascii="Times New Roman" w:eastAsia="Times New Roman" w:hAnsi="Times New Roman" w:cs="Times New Roman"/>
                <w:b/>
                <w:lang w:val="sr-Latn-CS"/>
              </w:rPr>
              <w:t>600 ED</w:t>
            </w:r>
            <w:r w:rsidRPr="00AB0A18">
              <w:rPr>
                <w:rFonts w:ascii="Times New Roman" w:eastAsia="Times New Roman" w:hAnsi="Times New Roman" w:cs="Times New Roman"/>
                <w:b/>
                <w:bCs/>
                <w:lang w:val="sr-Latn-CS"/>
              </w:rPr>
              <w:t xml:space="preserve">, </w:t>
            </w:r>
            <w:r w:rsidRPr="00AB0A18">
              <w:rPr>
                <w:rFonts w:ascii="Times New Roman" w:eastAsia="Times New Roman" w:hAnsi="Times New Roman" w:cs="Times New Roman"/>
                <w:bCs/>
                <w:lang w:val="sr-Latn-CS"/>
              </w:rPr>
              <w:t>koncentrat za rastvor za infuziju,</w:t>
            </w:r>
            <w:r w:rsidRPr="00AB0A18">
              <w:rPr>
                <w:rFonts w:ascii="Times New Roman" w:eastAsia="Times New Roman" w:hAnsi="Times New Roman" w:cs="Times New Roman"/>
                <w:b/>
                <w:bCs/>
                <w:lang w:val="sr-Latn-CS"/>
              </w:rPr>
              <w:t xml:space="preserve"> posebno vodite računa:</w:t>
            </w:r>
          </w:p>
          <w:p w14:paraId="06317295"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lang w:val="it-IT"/>
              </w:rPr>
            </w:pPr>
            <w:r w:rsidRPr="00AB0A18">
              <w:rPr>
                <w:rFonts w:ascii="Times New Roman" w:eastAsia="Times New Roman" w:hAnsi="Times New Roman" w:cs="Times New Roman"/>
                <w:lang w:val="it-IT"/>
              </w:rPr>
              <w:t>Prije upotrebe lijeka Berlithion 600 ED obratite se svom lijekaru ili farmaceutu.</w:t>
            </w:r>
          </w:p>
        </w:tc>
      </w:tr>
      <w:tr w:rsidR="00AB0A18" w:rsidRPr="00AB0A18" w14:paraId="5F16B915" w14:textId="77777777" w:rsidTr="00914D1F">
        <w:trPr>
          <w:trHeight w:val="227"/>
        </w:trPr>
        <w:tc>
          <w:tcPr>
            <w:tcW w:w="10185" w:type="dxa"/>
            <w:vAlign w:val="center"/>
          </w:tcPr>
          <w:p w14:paraId="14320C83" w14:textId="77777777" w:rsidR="00AB0A18" w:rsidRPr="00AB0A18" w:rsidRDefault="00AB0A18" w:rsidP="00AB0A18">
            <w:pPr>
              <w:tabs>
                <w:tab w:val="left" w:pos="284"/>
                <w:tab w:val="center" w:pos="4536"/>
                <w:tab w:val="right" w:pos="9072"/>
              </w:tabs>
              <w:spacing w:after="0" w:line="240" w:lineRule="auto"/>
              <w:rPr>
                <w:rFonts w:ascii="Times New Roman" w:eastAsia="Times New Roman" w:hAnsi="Times New Roman" w:cs="Times New Roman"/>
                <w:b/>
                <w:bCs/>
                <w:lang w:val="ru-RU"/>
              </w:rPr>
            </w:pPr>
          </w:p>
        </w:tc>
      </w:tr>
      <w:tr w:rsidR="00AB0A18" w:rsidRPr="00AB0A18" w14:paraId="09DC7EA2" w14:textId="77777777" w:rsidTr="00914D1F">
        <w:trPr>
          <w:trHeight w:val="1145"/>
        </w:trPr>
        <w:tc>
          <w:tcPr>
            <w:tcW w:w="10185" w:type="dxa"/>
            <w:vAlign w:val="center"/>
            <w:hideMark/>
          </w:tcPr>
          <w:p w14:paraId="05C73D03"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Alergijske reakcije (reakcije preosjetljivosti do šoka koji ugrožava život [nagli prekid cirkulacije]) su primijećene prilikom upotrebe lijeka Berlithion 600 ED kao rastvora za infuziju (vidjeti odjeljak 4.).</w:t>
            </w:r>
          </w:p>
          <w:p w14:paraId="477C6286" w14:textId="77777777" w:rsidR="00AB0A18" w:rsidRPr="00AB0A18" w:rsidRDefault="00AB0A18" w:rsidP="00AB0A18">
            <w:pPr>
              <w:tabs>
                <w:tab w:val="left" w:pos="284"/>
                <w:tab w:val="center" w:pos="4536"/>
                <w:tab w:val="right" w:pos="9072"/>
              </w:tabs>
              <w:spacing w:before="40" w:after="4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 xml:space="preserve">Tako da Vaš ljekar treba da obrati pažnju na pojavu ranih simptoma (na primjer svrab, muka, osjećaj neprijatnosti itd.) tokom upotrebe lijeka Berlithion 600 ED, </w:t>
            </w:r>
            <w:r w:rsidRPr="00AB0A18">
              <w:rPr>
                <w:rFonts w:ascii="Times New Roman" w:eastAsia="Times New Roman" w:hAnsi="Times New Roman" w:cs="Times New Roman"/>
                <w:bCs/>
                <w:lang w:val="sr-Latn-CS"/>
              </w:rPr>
              <w:t>koncentrat za rastvor za infuziju</w:t>
            </w:r>
            <w:r w:rsidRPr="00AB0A18">
              <w:rPr>
                <w:rFonts w:ascii="Times New Roman" w:eastAsia="Times New Roman" w:hAnsi="Times New Roman" w:cs="Times New Roman"/>
                <w:lang w:val="sr-Latn-CS"/>
              </w:rPr>
              <w:t xml:space="preserve">. Ako nastanu, terapiju treba odmah prekinuti; dalje terapijske mjere mogu biti potrebne.  </w:t>
            </w:r>
          </w:p>
        </w:tc>
      </w:tr>
    </w:tbl>
    <w:p w14:paraId="6AF2B90F"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p>
    <w:p w14:paraId="7CB254BB"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Pacijenti nosioci posebnog humanog leukocitarnog antigen genotipa (koji se češća javlja kod pacijenata iz Japana i Koreje, ali se takodje javlja i kod bijelaca) podložniji su razvoju insulin autoimunog sindroma (poremećaj hormona koji regulišu nivo glukoze u krvi, sa naglašenim smanjenjem ovog nivoa) prilikom primjene tioktinske kiseline.</w:t>
      </w:r>
    </w:p>
    <w:p w14:paraId="60697382" w14:textId="77777777" w:rsidR="00AB0A18" w:rsidRPr="00AB0A18" w:rsidRDefault="00AB0A18" w:rsidP="00AB0A18">
      <w:pPr>
        <w:spacing w:after="0" w:line="240" w:lineRule="auto"/>
        <w:jc w:val="both"/>
        <w:rPr>
          <w:rFonts w:ascii="Times New Roman" w:eastAsia="Times New Roman" w:hAnsi="Times New Roman" w:cs="Times New Roman"/>
          <w:bCs/>
          <w:lang w:val="sr-Latn-CS"/>
        </w:rPr>
      </w:pPr>
    </w:p>
    <w:p w14:paraId="48811985" w14:textId="77777777" w:rsidR="00AB0A18" w:rsidRPr="00AB0A18" w:rsidRDefault="00AB0A18" w:rsidP="00AB0A18">
      <w:pPr>
        <w:spacing w:after="0" w:line="240" w:lineRule="auto"/>
        <w:jc w:val="both"/>
        <w:rPr>
          <w:rFonts w:ascii="Times New Roman" w:eastAsia="Times New Roman" w:hAnsi="Times New Roman" w:cs="Times New Roman"/>
          <w:b/>
          <w:lang w:val="sr-Latn-CS"/>
        </w:rPr>
      </w:pPr>
      <w:r w:rsidRPr="00AB0A18">
        <w:rPr>
          <w:rFonts w:ascii="Times New Roman" w:eastAsia="Times New Roman" w:hAnsi="Times New Roman" w:cs="Times New Roman"/>
          <w:b/>
          <w:lang w:val="sr-Latn-CS"/>
        </w:rPr>
        <w:t>Primjena drugih ljekova</w:t>
      </w:r>
    </w:p>
    <w:p w14:paraId="1BBCCE3F"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i/>
        </w:rPr>
        <w:t>Recite svom lijekaru ili farmaceutu ako uzimate, ili ste do nedavno uzimali neki drugi lijek, uključujući i lijek koji se nabavlja bez lijekarskog recepta.</w:t>
      </w:r>
    </w:p>
    <w:p w14:paraId="354112F1"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p>
    <w:p w14:paraId="1C80690A"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Imajte u vidu da se ovo odnosi i na ljekove koje ste nedavno uzimali.</w:t>
      </w:r>
    </w:p>
    <w:p w14:paraId="054A7509"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p>
    <w:p w14:paraId="147889ED"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 xml:space="preserve">Ne može se isključiti mogućnost da istovremena primjena lijeka </w:t>
      </w:r>
      <w:r w:rsidRPr="00AB0A18">
        <w:rPr>
          <w:rFonts w:ascii="Times New Roman" w:eastAsia="Times New Roman" w:hAnsi="Times New Roman" w:cs="Times New Roman"/>
          <w:bCs/>
          <w:lang w:val="sr-Latn-CS"/>
        </w:rPr>
        <w:t>Berlithion 600 ED</w:t>
      </w:r>
      <w:r w:rsidRPr="00AB0A18">
        <w:rPr>
          <w:rFonts w:ascii="Times New Roman" w:eastAsia="Times New Roman" w:hAnsi="Times New Roman" w:cs="Times New Roman"/>
          <w:lang w:val="sr-Latn-CS"/>
        </w:rPr>
        <w:t xml:space="preserve"> može dovesti do izostanka dejstva cisplatina (lijek protiv kancera). </w:t>
      </w:r>
    </w:p>
    <w:p w14:paraId="6F5010A7"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p>
    <w:p w14:paraId="6D9BC26A"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 xml:space="preserve">Dejstvo ljekova za dijabetes (insulina ili oralnih antidijabetika) na snižavanje šećera može biti pojačano. Iz tog razloga je potreban pažljivo pratiti nivoe šećera u krvi, posebno u početnoj fazi terapije lijekom Berlithion 600 ED, </w:t>
      </w:r>
      <w:r w:rsidRPr="00AB0A18">
        <w:rPr>
          <w:rFonts w:ascii="Times New Roman" w:eastAsia="Times New Roman" w:hAnsi="Times New Roman" w:cs="Times New Roman"/>
          <w:bCs/>
          <w:lang w:val="sr-Latn-CS"/>
        </w:rPr>
        <w:t>koncentrat za rastvor za infuziju</w:t>
      </w:r>
      <w:r w:rsidRPr="00AB0A18">
        <w:rPr>
          <w:rFonts w:ascii="Times New Roman" w:eastAsia="Times New Roman" w:hAnsi="Times New Roman" w:cs="Times New Roman"/>
          <w:lang w:val="sr-Latn-CS"/>
        </w:rPr>
        <w:t xml:space="preserve">. Da bi se izbjegli simptomi niskog nivoa šećera u krvi, može biti potrebno </w:t>
      </w:r>
      <w:r w:rsidRPr="00AB0A18">
        <w:rPr>
          <w:rFonts w:ascii="Times New Roman" w:eastAsia="Times New Roman" w:hAnsi="Times New Roman" w:cs="Times New Roman"/>
          <w:lang w:val="sr-Latn-CS"/>
        </w:rPr>
        <w:lastRenderedPageBreak/>
        <w:t>u izolovanim slučajevima, redukovati dozu insulina ili oralnog antidijabetika u skladu sa preporukama Vašeg ljekara.</w:t>
      </w:r>
    </w:p>
    <w:p w14:paraId="0B7E3E25" w14:textId="77777777" w:rsidR="00AB0A18" w:rsidRPr="00AB0A18" w:rsidRDefault="00AB0A18" w:rsidP="00AB0A18">
      <w:pPr>
        <w:spacing w:after="0" w:line="240" w:lineRule="auto"/>
        <w:jc w:val="both"/>
        <w:rPr>
          <w:rFonts w:ascii="Times New Roman" w:eastAsia="Times New Roman" w:hAnsi="Times New Roman" w:cs="Times New Roman"/>
          <w:lang w:val="sr-Latn-CS"/>
        </w:rPr>
      </w:pPr>
    </w:p>
    <w:p w14:paraId="0522B8A2" w14:textId="77777777" w:rsidR="00AB0A18" w:rsidRPr="00AB0A18" w:rsidRDefault="00AB0A18" w:rsidP="00AB0A18">
      <w:pPr>
        <w:spacing w:after="0" w:line="240" w:lineRule="auto"/>
        <w:jc w:val="both"/>
        <w:rPr>
          <w:rFonts w:ascii="Times New Roman" w:eastAsia="Times New Roman" w:hAnsi="Times New Roman" w:cs="Times New Roman"/>
          <w:b/>
          <w:lang w:val="sr-Latn-CS"/>
        </w:rPr>
      </w:pPr>
      <w:r w:rsidRPr="00AB0A18">
        <w:rPr>
          <w:rFonts w:ascii="Times New Roman" w:eastAsia="Times New Roman" w:hAnsi="Times New Roman" w:cs="Times New Roman"/>
          <w:b/>
          <w:lang w:val="sr-Latn-CS"/>
        </w:rPr>
        <w:t>Djeca i adolescenti</w:t>
      </w:r>
    </w:p>
    <w:p w14:paraId="2011D241" w14:textId="77777777" w:rsidR="00AB0A18" w:rsidRPr="00AB0A18" w:rsidRDefault="00AB0A18" w:rsidP="00AB0A18">
      <w:pPr>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Djecu i adolescente ne treba liječiti sa lijekom Berlithion 600 ED jer nema dovoljno iskustva sa ovom populacijom.</w:t>
      </w:r>
    </w:p>
    <w:p w14:paraId="66BBD251" w14:textId="77777777" w:rsidR="00AB0A18" w:rsidRPr="00AB0A18" w:rsidRDefault="00AB0A18" w:rsidP="00AB0A18">
      <w:pPr>
        <w:spacing w:after="0" w:line="240" w:lineRule="auto"/>
        <w:jc w:val="both"/>
        <w:rPr>
          <w:rFonts w:ascii="Times New Roman" w:eastAsia="Times New Roman" w:hAnsi="Times New Roman" w:cs="Times New Roman"/>
          <w:lang w:val="sr-Latn-CS"/>
        </w:rPr>
      </w:pPr>
    </w:p>
    <w:p w14:paraId="4E804AF0" w14:textId="77777777" w:rsidR="00AB0A18" w:rsidRPr="00AB0A18" w:rsidRDefault="00AB0A18" w:rsidP="00AB0A18">
      <w:pPr>
        <w:spacing w:after="0" w:line="240" w:lineRule="auto"/>
        <w:jc w:val="both"/>
        <w:rPr>
          <w:rFonts w:ascii="Times New Roman" w:eastAsia="Times New Roman" w:hAnsi="Times New Roman" w:cs="Times New Roman"/>
          <w:b/>
          <w:bCs/>
          <w:lang w:val="sr-Latn-CS"/>
        </w:rPr>
      </w:pPr>
      <w:r w:rsidRPr="00AB0A18">
        <w:rPr>
          <w:rFonts w:ascii="Times New Roman" w:eastAsia="Times New Roman" w:hAnsi="Times New Roman" w:cs="Times New Roman"/>
          <w:b/>
          <w:bCs/>
          <w:lang w:val="sr-Latn-CS"/>
        </w:rPr>
        <w:t xml:space="preserve">Uzimanje lijeka </w:t>
      </w:r>
      <w:r w:rsidRPr="00AB0A18">
        <w:rPr>
          <w:rFonts w:ascii="Times New Roman" w:eastAsia="Times New Roman" w:hAnsi="Times New Roman" w:cs="Times New Roman"/>
          <w:b/>
          <w:lang w:val="sr-Latn-CS"/>
        </w:rPr>
        <w:t>Berlithion</w:t>
      </w:r>
      <w:r w:rsidRPr="00AB0A18">
        <w:rPr>
          <w:rFonts w:ascii="Times New Roman" w:eastAsia="Times New Roman" w:hAnsi="Times New Roman" w:cs="Times New Roman"/>
          <w:b/>
          <w:vertAlign w:val="superscript"/>
          <w:lang w:val="sr-Latn-CS"/>
        </w:rPr>
        <w:t xml:space="preserve"> </w:t>
      </w:r>
      <w:r w:rsidRPr="00AB0A18">
        <w:rPr>
          <w:rFonts w:ascii="Times New Roman" w:eastAsia="Times New Roman" w:hAnsi="Times New Roman" w:cs="Times New Roman"/>
          <w:b/>
          <w:lang w:val="sr-Latn-CS"/>
        </w:rPr>
        <w:t xml:space="preserve">600 ED, </w:t>
      </w:r>
      <w:r w:rsidRPr="00AB0A18">
        <w:rPr>
          <w:rFonts w:ascii="Times New Roman" w:eastAsia="Times New Roman" w:hAnsi="Times New Roman" w:cs="Times New Roman"/>
          <w:b/>
          <w:bCs/>
          <w:lang w:val="sr-Latn-CS"/>
        </w:rPr>
        <w:t>koncentrat za rastvor za infuziju,</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 xml:space="preserve"> </w:t>
      </w:r>
      <w:r w:rsidRPr="00AB0A18">
        <w:rPr>
          <w:rFonts w:ascii="Times New Roman" w:eastAsia="Times New Roman" w:hAnsi="Times New Roman" w:cs="Times New Roman"/>
          <w:b/>
          <w:bCs/>
          <w:lang w:val="sr-Latn-CS"/>
        </w:rPr>
        <w:t>sa hranom, pićima i alkoholom</w:t>
      </w:r>
    </w:p>
    <w:p w14:paraId="2AC7A70A"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b/>
          <w:bCs/>
          <w:lang w:val="sr-Latn-CS"/>
        </w:rPr>
      </w:pPr>
      <w:r w:rsidRPr="00AB0A18">
        <w:rPr>
          <w:rFonts w:ascii="Times New Roman" w:eastAsia="Times New Roman" w:hAnsi="Times New Roman" w:cs="Times New Roman"/>
          <w:lang w:val="hr-HR"/>
        </w:rPr>
        <w:t xml:space="preserve">Redovno unošenje alkohola predstavlja značajan faktor rizika za ispoljavanje i progresiju bolesti koje su praćene oštećenjem nerava i zato može </w:t>
      </w:r>
      <w:r w:rsidRPr="00AB0A18">
        <w:rPr>
          <w:rFonts w:ascii="Times New Roman" w:eastAsia="Times New Roman" w:hAnsi="Times New Roman" w:cs="Times New Roman"/>
          <w:lang w:val="sr-Latn-CS"/>
        </w:rPr>
        <w:t xml:space="preserve">umanjiti </w:t>
      </w:r>
      <w:r w:rsidRPr="00AB0A18">
        <w:rPr>
          <w:rFonts w:ascii="Times New Roman" w:eastAsia="Times New Roman" w:hAnsi="Times New Roman" w:cs="Times New Roman"/>
          <w:lang w:val="hr-HR"/>
        </w:rPr>
        <w:t>uspjeh terapije lijekom Berlithion 6</w:t>
      </w:r>
      <w:r w:rsidRPr="00AB0A18">
        <w:rPr>
          <w:rFonts w:ascii="Times New Roman" w:eastAsia="Times New Roman" w:hAnsi="Times New Roman" w:cs="Times New Roman"/>
          <w:lang w:val="sr-Latn-CS"/>
        </w:rPr>
        <w:t>00 ED.</w:t>
      </w:r>
      <w:r w:rsidRPr="00AB0A18">
        <w:rPr>
          <w:rFonts w:ascii="Times New Roman" w:eastAsia="Times New Roman" w:hAnsi="Times New Roman" w:cs="Times New Roman"/>
          <w:lang w:val="hr-HR"/>
        </w:rPr>
        <w:t xml:space="preserve"> Stoga se pacijentima sa dijabetesnim oštećenjem nerava (polineuropatija) uvijek savjetuje prekid uzimanja alkohola, ukoliko je moguće. To se odnosi i na periode u kojima se ovaj lijek ne</w:t>
      </w:r>
      <w:r w:rsidRPr="00AB0A18">
        <w:rPr>
          <w:rFonts w:ascii="Times New Roman" w:eastAsia="Times New Roman" w:hAnsi="Times New Roman" w:cs="Times New Roman"/>
          <w:lang w:val="sr-Latn-CS"/>
        </w:rPr>
        <w:t xml:space="preserve"> </w:t>
      </w:r>
      <w:r w:rsidRPr="00AB0A18">
        <w:rPr>
          <w:rFonts w:ascii="Times New Roman" w:eastAsia="Times New Roman" w:hAnsi="Times New Roman" w:cs="Times New Roman"/>
          <w:lang w:val="hr-HR"/>
        </w:rPr>
        <w:t>koristi.</w:t>
      </w:r>
    </w:p>
    <w:p w14:paraId="485FF9E8" w14:textId="77777777" w:rsidR="00AB0A18" w:rsidRPr="00AB0A18" w:rsidRDefault="00AB0A18" w:rsidP="00AB0A18">
      <w:pPr>
        <w:spacing w:after="0" w:line="240" w:lineRule="auto"/>
        <w:jc w:val="both"/>
        <w:rPr>
          <w:rFonts w:ascii="Times New Roman" w:eastAsia="Times New Roman" w:hAnsi="Times New Roman" w:cs="Times New Roman"/>
          <w:bCs/>
          <w:lang w:val="sr-Latn-CS"/>
        </w:rPr>
      </w:pPr>
    </w:p>
    <w:p w14:paraId="250319DE" w14:textId="77777777" w:rsidR="00AB0A18" w:rsidRPr="00AB0A18" w:rsidRDefault="00AB0A18" w:rsidP="00AB0A18">
      <w:pPr>
        <w:spacing w:after="0" w:line="240" w:lineRule="auto"/>
        <w:rPr>
          <w:rFonts w:ascii="Times New Roman" w:eastAsia="Times New Roman" w:hAnsi="Times New Roman" w:cs="Times New Roman"/>
          <w:b/>
          <w:lang w:val="sr-Latn-CS"/>
        </w:rPr>
      </w:pPr>
      <w:r w:rsidRPr="00AB0A18">
        <w:rPr>
          <w:rFonts w:ascii="Times New Roman" w:eastAsia="Times New Roman" w:hAnsi="Times New Roman" w:cs="Times New Roman"/>
          <w:b/>
          <w:lang w:val="sr-Latn-CS"/>
        </w:rPr>
        <w:t xml:space="preserve"> Trudnoća, dojenje i plodnost</w:t>
      </w:r>
    </w:p>
    <w:p w14:paraId="0304124C" w14:textId="77777777" w:rsidR="00AB0A18" w:rsidRPr="00AB0A18" w:rsidRDefault="00AB0A18" w:rsidP="00AB0A18">
      <w:pPr>
        <w:tabs>
          <w:tab w:val="left" w:pos="284"/>
          <w:tab w:val="center" w:pos="4536"/>
          <w:tab w:val="right" w:pos="9072"/>
        </w:tabs>
        <w:spacing w:before="40" w:after="40" w:line="240" w:lineRule="auto"/>
        <w:jc w:val="both"/>
        <w:rPr>
          <w:rFonts w:ascii="Times New Roman" w:eastAsia="Times New Roman" w:hAnsi="Times New Roman" w:cs="Times New Roman"/>
          <w:i/>
          <w:lang w:val="pl-PL"/>
        </w:rPr>
      </w:pPr>
      <w:r w:rsidRPr="00AB0A18">
        <w:rPr>
          <w:rFonts w:ascii="Times New Roman" w:eastAsia="Times New Roman" w:hAnsi="Times New Roman" w:cs="Times New Roman"/>
          <w:lang w:val="pl-PL"/>
        </w:rPr>
        <w:t>Ako ste trudni ili dojite, mislite da biste mogli biti trudni ili planirate trudnoću, posavjetujte se sa svojim ljekarom ili farmaceutom prije nego što počnete da uzimate ovaj lijek</w:t>
      </w:r>
      <w:r w:rsidRPr="00AB0A18">
        <w:rPr>
          <w:rFonts w:ascii="Times New Roman" w:eastAsia="Times New Roman" w:hAnsi="Times New Roman" w:cs="Times New Roman"/>
          <w:i/>
          <w:lang w:val="pl-PL"/>
        </w:rPr>
        <w:t>.</w:t>
      </w:r>
    </w:p>
    <w:p w14:paraId="4E3EAD5F" w14:textId="77777777" w:rsidR="00AB0A18" w:rsidRPr="00AB0A18" w:rsidRDefault="00AB0A18" w:rsidP="00AB0A18">
      <w:pPr>
        <w:tabs>
          <w:tab w:val="left" w:pos="284"/>
          <w:tab w:val="center" w:pos="4536"/>
          <w:tab w:val="right" w:pos="9072"/>
        </w:tabs>
        <w:spacing w:before="40" w:after="40" w:line="240" w:lineRule="auto"/>
        <w:jc w:val="both"/>
        <w:rPr>
          <w:rFonts w:ascii="Times New Roman" w:eastAsia="Times New Roman" w:hAnsi="Times New Roman" w:cs="Times New Roman"/>
          <w:u w:val="single"/>
          <w:lang w:val="sr-Latn-CS"/>
        </w:rPr>
      </w:pPr>
    </w:p>
    <w:p w14:paraId="558E0575" w14:textId="77777777" w:rsidR="00AB0A18" w:rsidRPr="00AB0A18" w:rsidRDefault="00AB0A18" w:rsidP="00AB0A18">
      <w:pPr>
        <w:tabs>
          <w:tab w:val="left" w:pos="284"/>
          <w:tab w:val="center" w:pos="4536"/>
          <w:tab w:val="right" w:pos="9072"/>
        </w:tabs>
        <w:spacing w:before="40" w:after="40" w:line="240" w:lineRule="auto"/>
        <w:jc w:val="both"/>
        <w:rPr>
          <w:rFonts w:ascii="Times New Roman" w:eastAsia="Times New Roman" w:hAnsi="Times New Roman" w:cs="Times New Roman"/>
          <w:u w:val="single"/>
          <w:lang w:val="sr-Latn-CS"/>
        </w:rPr>
      </w:pPr>
      <w:r w:rsidRPr="00AB0A18">
        <w:rPr>
          <w:rFonts w:ascii="Times New Roman" w:eastAsia="Times New Roman" w:hAnsi="Times New Roman" w:cs="Times New Roman"/>
          <w:u w:val="single"/>
          <w:lang w:val="sr-Latn-CS"/>
        </w:rPr>
        <w:t>Trudnoća</w:t>
      </w:r>
    </w:p>
    <w:p w14:paraId="44743238"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hr-HR"/>
        </w:rPr>
        <w:t>Opšti principi farmakoterapije nalažu da se lijek koristi tokom trudnoće i perioda dojenja samo poslije pažljive procjene odnosa koristi i rizika.</w:t>
      </w:r>
      <w:r w:rsidRPr="00AB0A18">
        <w:rPr>
          <w:rFonts w:ascii="Times New Roman" w:eastAsia="Times New Roman" w:hAnsi="Times New Roman" w:cs="Times New Roman"/>
          <w:lang w:val="sr-Latn-CS"/>
        </w:rPr>
        <w:t xml:space="preserve"> </w:t>
      </w:r>
    </w:p>
    <w:p w14:paraId="38B76A95" w14:textId="77777777" w:rsidR="00AB0A18" w:rsidRPr="00AB0A18" w:rsidRDefault="00AB0A18" w:rsidP="00AB0A18">
      <w:pPr>
        <w:tabs>
          <w:tab w:val="left" w:pos="284"/>
          <w:tab w:val="center" w:pos="4536"/>
          <w:tab w:val="right" w:pos="9072"/>
        </w:tabs>
        <w:spacing w:before="40" w:after="40" w:line="240" w:lineRule="auto"/>
        <w:jc w:val="both"/>
        <w:rPr>
          <w:rFonts w:ascii="Times New Roman" w:eastAsia="Times New Roman" w:hAnsi="Times New Roman" w:cs="Times New Roman"/>
          <w:lang w:val="sr-Latn-CS"/>
        </w:rPr>
      </w:pPr>
    </w:p>
    <w:p w14:paraId="6F80A09B" w14:textId="77777777" w:rsidR="00AB0A18" w:rsidRPr="00AB0A18" w:rsidRDefault="00AB0A18" w:rsidP="00AB0A18">
      <w:pPr>
        <w:tabs>
          <w:tab w:val="left" w:pos="284"/>
          <w:tab w:val="center" w:pos="4536"/>
          <w:tab w:val="right" w:pos="9072"/>
        </w:tabs>
        <w:spacing w:before="40" w:after="4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 xml:space="preserve">Kod trudnica i dojilja terapija tioktinskom kiselinom se može primijeniti samo poslije pažljivog razmatranja i pod nadzorom ljekara, s obzirom da do danas nema iskustva u liječenju ove grupe pacijenata. </w:t>
      </w:r>
    </w:p>
    <w:p w14:paraId="349E4947" w14:textId="77777777" w:rsidR="00AB0A18" w:rsidRPr="00AB0A18" w:rsidRDefault="00AB0A18" w:rsidP="00AB0A18">
      <w:pPr>
        <w:tabs>
          <w:tab w:val="left" w:pos="284"/>
          <w:tab w:val="center" w:pos="4536"/>
          <w:tab w:val="right" w:pos="9072"/>
        </w:tabs>
        <w:spacing w:before="40" w:after="40" w:line="240" w:lineRule="auto"/>
        <w:jc w:val="both"/>
        <w:rPr>
          <w:rFonts w:ascii="Times New Roman" w:eastAsia="Times New Roman" w:hAnsi="Times New Roman" w:cs="Times New Roman"/>
          <w:u w:val="single"/>
          <w:lang w:val="sr-Latn-CS"/>
        </w:rPr>
      </w:pPr>
    </w:p>
    <w:p w14:paraId="376E0315" w14:textId="77777777" w:rsidR="00AB0A18" w:rsidRPr="00AB0A18" w:rsidRDefault="00AB0A18" w:rsidP="00AB0A18">
      <w:pPr>
        <w:tabs>
          <w:tab w:val="left" w:pos="284"/>
          <w:tab w:val="center" w:pos="4536"/>
          <w:tab w:val="right" w:pos="9072"/>
        </w:tabs>
        <w:spacing w:before="40" w:after="40" w:line="240" w:lineRule="auto"/>
        <w:jc w:val="both"/>
        <w:rPr>
          <w:rFonts w:ascii="Times New Roman" w:eastAsia="Times New Roman" w:hAnsi="Times New Roman" w:cs="Times New Roman"/>
          <w:u w:val="single"/>
          <w:lang w:val="sr-Latn-CS"/>
        </w:rPr>
      </w:pPr>
      <w:r w:rsidRPr="00AB0A18">
        <w:rPr>
          <w:rFonts w:ascii="Times New Roman" w:eastAsia="Times New Roman" w:hAnsi="Times New Roman" w:cs="Times New Roman"/>
          <w:u w:val="single"/>
          <w:lang w:val="sr-Latn-CS"/>
        </w:rPr>
        <w:t>Dojenje</w:t>
      </w:r>
    </w:p>
    <w:p w14:paraId="127911C0" w14:textId="77777777" w:rsidR="00AB0A18" w:rsidRPr="00AB0A18" w:rsidRDefault="00AB0A18" w:rsidP="00AB0A18">
      <w:pPr>
        <w:tabs>
          <w:tab w:val="left" w:pos="284"/>
          <w:tab w:val="center" w:pos="4536"/>
          <w:tab w:val="right" w:pos="9072"/>
        </w:tabs>
        <w:spacing w:before="40" w:after="4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Nema podataka o tome da li se tioktinska kiselina izlučuje u mlijeko dojilja.</w:t>
      </w:r>
    </w:p>
    <w:p w14:paraId="49AAB36A" w14:textId="77777777" w:rsidR="00AB0A18" w:rsidRPr="00AB0A18" w:rsidRDefault="00AB0A18" w:rsidP="00AB0A18">
      <w:pPr>
        <w:tabs>
          <w:tab w:val="left" w:pos="284"/>
          <w:tab w:val="center" w:pos="4536"/>
          <w:tab w:val="right" w:pos="9072"/>
        </w:tabs>
        <w:spacing w:before="40" w:after="40" w:line="240" w:lineRule="auto"/>
        <w:jc w:val="both"/>
        <w:rPr>
          <w:rFonts w:ascii="Times New Roman" w:eastAsia="Times New Roman" w:hAnsi="Times New Roman" w:cs="Times New Roman"/>
          <w:lang w:val="sr-Latn-CS"/>
        </w:rPr>
      </w:pPr>
    </w:p>
    <w:p w14:paraId="34B1B9FB" w14:textId="77777777" w:rsidR="00AB0A18" w:rsidRPr="00AB0A18" w:rsidRDefault="00AB0A18" w:rsidP="00AB0A18">
      <w:pPr>
        <w:tabs>
          <w:tab w:val="left" w:pos="284"/>
          <w:tab w:val="center" w:pos="4536"/>
          <w:tab w:val="right" w:pos="9072"/>
        </w:tabs>
        <w:spacing w:before="40" w:after="40" w:line="240" w:lineRule="auto"/>
        <w:jc w:val="both"/>
        <w:rPr>
          <w:rFonts w:ascii="Times New Roman" w:eastAsia="Times New Roman" w:hAnsi="Times New Roman" w:cs="Times New Roman"/>
          <w:u w:val="single"/>
          <w:lang w:val="sr-Latn-CS"/>
        </w:rPr>
      </w:pPr>
      <w:r w:rsidRPr="00AB0A18">
        <w:rPr>
          <w:rFonts w:ascii="Times New Roman" w:eastAsia="Times New Roman" w:hAnsi="Times New Roman" w:cs="Times New Roman"/>
          <w:u w:val="single"/>
          <w:lang w:val="sr-Latn-CS"/>
        </w:rPr>
        <w:t>Plodnost</w:t>
      </w:r>
    </w:p>
    <w:p w14:paraId="2138AF2C" w14:textId="77777777" w:rsidR="00AB0A18" w:rsidRPr="00AB0A18" w:rsidRDefault="00AB0A18" w:rsidP="00AB0A18">
      <w:pPr>
        <w:tabs>
          <w:tab w:val="left" w:pos="284"/>
          <w:tab w:val="center" w:pos="4536"/>
          <w:tab w:val="right" w:pos="9072"/>
        </w:tabs>
        <w:spacing w:before="40" w:after="4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rPr>
        <w:t>Nema podataka ili su podaci o efektu tioktinske kiseline na plodnost ograničeni.</w:t>
      </w:r>
      <w:r w:rsidRPr="00AB0A18">
        <w:rPr>
          <w:rFonts w:ascii="Times New Roman" w:eastAsia="Times New Roman" w:hAnsi="Times New Roman" w:cs="Times New Roman"/>
          <w:lang w:val="sr-Latn-CS"/>
        </w:rPr>
        <w:t xml:space="preserve"> Posebna ispitivanja na životinjama nijesu dala nikakve dokaze o štetnom uticaju na plodnost ili o štetnom dejstvu na plod. </w:t>
      </w:r>
    </w:p>
    <w:p w14:paraId="16A4EE6C" w14:textId="77777777" w:rsidR="00AB0A18" w:rsidRPr="00AB0A18" w:rsidRDefault="00AB0A18" w:rsidP="00AB0A18">
      <w:pPr>
        <w:tabs>
          <w:tab w:val="left" w:pos="284"/>
          <w:tab w:val="center" w:pos="4536"/>
          <w:tab w:val="right" w:pos="9072"/>
        </w:tabs>
        <w:spacing w:before="40" w:after="40" w:line="240" w:lineRule="auto"/>
        <w:jc w:val="both"/>
        <w:rPr>
          <w:rFonts w:ascii="Times New Roman" w:eastAsia="Times New Roman" w:hAnsi="Times New Roman" w:cs="Times New Roman"/>
          <w:lang w:val="sr-Latn-CS"/>
        </w:rPr>
      </w:pPr>
    </w:p>
    <w:p w14:paraId="505B6AFE" w14:textId="77777777" w:rsidR="00AB0A18" w:rsidRPr="00AB0A18" w:rsidRDefault="00AB0A18" w:rsidP="00AB0A18">
      <w:pPr>
        <w:spacing w:after="0" w:line="240" w:lineRule="auto"/>
        <w:jc w:val="both"/>
        <w:rPr>
          <w:rFonts w:ascii="Times New Roman" w:eastAsia="Times New Roman" w:hAnsi="Times New Roman" w:cs="Times New Roman"/>
          <w:b/>
          <w:bCs/>
          <w:lang w:val="sr-Latn-CS"/>
        </w:rPr>
      </w:pPr>
      <w:r w:rsidRPr="00AB0A18">
        <w:rPr>
          <w:rFonts w:ascii="Times New Roman" w:eastAsia="Times New Roman" w:hAnsi="Times New Roman" w:cs="Times New Roman"/>
          <w:b/>
          <w:lang w:val="sr-Latn-CS"/>
        </w:rPr>
        <w:t>Uticaj lijeka Berlithion</w:t>
      </w:r>
      <w:r w:rsidRPr="00AB0A18">
        <w:rPr>
          <w:rFonts w:ascii="Times New Roman" w:eastAsia="Times New Roman" w:hAnsi="Times New Roman" w:cs="Times New Roman"/>
          <w:b/>
          <w:vertAlign w:val="superscript"/>
          <w:lang w:val="sr-Latn-CS"/>
        </w:rPr>
        <w:t xml:space="preserve"> </w:t>
      </w:r>
      <w:r w:rsidRPr="00AB0A18">
        <w:rPr>
          <w:rFonts w:ascii="Times New Roman" w:eastAsia="Times New Roman" w:hAnsi="Times New Roman" w:cs="Times New Roman"/>
          <w:b/>
          <w:lang w:val="sr-Latn-CS"/>
        </w:rPr>
        <w:t xml:space="preserve">600 ED, </w:t>
      </w:r>
      <w:r w:rsidRPr="00AB0A18">
        <w:rPr>
          <w:rFonts w:ascii="Times New Roman" w:eastAsia="Times New Roman" w:hAnsi="Times New Roman" w:cs="Times New Roman"/>
          <w:b/>
          <w:bCs/>
          <w:lang w:val="sr-Latn-CS"/>
        </w:rPr>
        <w:t>koncentrat za rastvor za infuziju,</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 xml:space="preserve"> </w:t>
      </w:r>
      <w:r w:rsidRPr="00AB0A18">
        <w:rPr>
          <w:rFonts w:ascii="Times New Roman" w:eastAsia="Times New Roman" w:hAnsi="Times New Roman" w:cs="Times New Roman"/>
          <w:b/>
          <w:lang w:val="sr-Latn-CS"/>
        </w:rPr>
        <w:t>na upravljanje motornim vozilima i rukovanje mašinama</w:t>
      </w:r>
      <w:r w:rsidRPr="00AB0A18">
        <w:rPr>
          <w:rFonts w:ascii="Times New Roman" w:eastAsia="Times New Roman" w:hAnsi="Times New Roman" w:cs="Times New Roman"/>
          <w:b/>
          <w:bCs/>
          <w:lang w:val="sr-Latn-CS"/>
        </w:rPr>
        <w:t xml:space="preserve"> </w:t>
      </w:r>
    </w:p>
    <w:p w14:paraId="5E24703B" w14:textId="77777777" w:rsidR="00AB0A18" w:rsidRPr="00AB0A18" w:rsidRDefault="00AB0A18" w:rsidP="00AB0A18">
      <w:pPr>
        <w:spacing w:after="0" w:line="240" w:lineRule="auto"/>
        <w:jc w:val="both"/>
        <w:rPr>
          <w:rFonts w:ascii="Times New Roman" w:eastAsia="Times New Roman" w:hAnsi="Times New Roman" w:cs="Times New Roman"/>
          <w:bCs/>
          <w:lang w:val="sr-Latn-CS"/>
        </w:rPr>
      </w:pPr>
      <w:r w:rsidRPr="00AB0A18">
        <w:rPr>
          <w:rFonts w:ascii="Times New Roman" w:eastAsia="Times New Roman" w:hAnsi="Times New Roman" w:cs="Times New Roman"/>
        </w:rPr>
        <w:t>Nijesu potrebne mjere opreza.</w:t>
      </w:r>
    </w:p>
    <w:p w14:paraId="36F27F18" w14:textId="77777777" w:rsidR="00AB0A18" w:rsidRDefault="00AB0A18" w:rsidP="00AB0A18">
      <w:pPr>
        <w:spacing w:after="0" w:line="240" w:lineRule="auto"/>
        <w:jc w:val="both"/>
        <w:rPr>
          <w:rFonts w:ascii="Times New Roman" w:eastAsia="Times New Roman" w:hAnsi="Times New Roman" w:cs="Times New Roman"/>
          <w:lang w:val="sr-Latn-CS"/>
        </w:rPr>
      </w:pPr>
    </w:p>
    <w:p w14:paraId="100298A2" w14:textId="77777777" w:rsidR="00AB0A18" w:rsidRPr="00AB0A18" w:rsidRDefault="00AB0A18" w:rsidP="00AB0A18">
      <w:pPr>
        <w:spacing w:after="0" w:line="240" w:lineRule="auto"/>
        <w:jc w:val="both"/>
        <w:rPr>
          <w:rFonts w:ascii="Times New Roman" w:eastAsia="Times New Roman" w:hAnsi="Times New Roman" w:cs="Times New Roman"/>
          <w:lang w:val="sr-Latn-CS"/>
        </w:rPr>
      </w:pPr>
    </w:p>
    <w:p w14:paraId="4EA63B51" w14:textId="77777777" w:rsidR="00AB0A18" w:rsidRPr="00AB0A18" w:rsidRDefault="00AB0A18" w:rsidP="00AB0A18">
      <w:pPr>
        <w:tabs>
          <w:tab w:val="left" w:pos="540"/>
          <w:tab w:val="left" w:pos="569"/>
        </w:tabs>
        <w:spacing w:after="0" w:line="240" w:lineRule="auto"/>
        <w:jc w:val="both"/>
        <w:rPr>
          <w:rFonts w:ascii="Times New Roman" w:eastAsia="Times New Roman" w:hAnsi="Times New Roman" w:cs="Times New Roman"/>
          <w:b/>
          <w:bCs/>
          <w:lang w:val="ru-RU"/>
        </w:rPr>
      </w:pPr>
      <w:r w:rsidRPr="00AB0A18">
        <w:rPr>
          <w:rFonts w:ascii="Times New Roman" w:eastAsia="Times New Roman" w:hAnsi="Times New Roman" w:cs="Times New Roman"/>
          <w:b/>
          <w:bCs/>
          <w:lang w:val="ru-RU"/>
        </w:rPr>
        <w:t xml:space="preserve">3. </w:t>
      </w:r>
      <w:r w:rsidRPr="00AB0A18">
        <w:rPr>
          <w:rFonts w:ascii="Times New Roman" w:eastAsia="Times New Roman" w:hAnsi="Times New Roman" w:cs="Times New Roman"/>
          <w:b/>
          <w:bCs/>
          <w:lang w:val="sr-Latn-CS"/>
        </w:rPr>
        <w:tab/>
      </w:r>
      <w:r w:rsidRPr="00AB0A18">
        <w:rPr>
          <w:rFonts w:ascii="Times New Roman" w:eastAsia="Times New Roman" w:hAnsi="Times New Roman" w:cs="Times New Roman"/>
          <w:b/>
          <w:bCs/>
          <w:lang w:val="ru-RU"/>
        </w:rPr>
        <w:t xml:space="preserve">KAKO SE UPOTREBLJAVA LIJEK </w:t>
      </w:r>
      <w:r w:rsidRPr="00AB0A18">
        <w:rPr>
          <w:rFonts w:ascii="Times New Roman" w:eastAsia="Times New Roman" w:hAnsi="Times New Roman" w:cs="Times New Roman"/>
          <w:b/>
          <w:lang w:val="sr-Latn-CS"/>
        </w:rPr>
        <w:t>Berlithion</w:t>
      </w:r>
      <w:r w:rsidRPr="00AB0A18">
        <w:rPr>
          <w:rFonts w:ascii="Times New Roman" w:eastAsia="Times New Roman" w:hAnsi="Times New Roman" w:cs="Times New Roman"/>
          <w:b/>
          <w:vertAlign w:val="superscript"/>
          <w:lang w:val="sr-Latn-CS"/>
        </w:rPr>
        <w:t xml:space="preserve"> </w:t>
      </w:r>
      <w:r w:rsidRPr="00AB0A18">
        <w:rPr>
          <w:rFonts w:ascii="Times New Roman" w:eastAsia="Times New Roman" w:hAnsi="Times New Roman" w:cs="Times New Roman"/>
          <w:b/>
          <w:lang w:val="sr-Latn-CS"/>
        </w:rPr>
        <w:t>600 ED</w:t>
      </w:r>
      <w:r w:rsidRPr="00AB0A18">
        <w:rPr>
          <w:rFonts w:ascii="Times New Roman" w:eastAsia="Times New Roman" w:hAnsi="Times New Roman" w:cs="Times New Roman"/>
          <w:b/>
          <w:vertAlign w:val="superscript"/>
          <w:lang w:val="sr-Latn-CS"/>
        </w:rPr>
        <w:t xml:space="preserve">, </w:t>
      </w:r>
      <w:r w:rsidRPr="00AB0A18">
        <w:rPr>
          <w:rFonts w:ascii="Times New Roman" w:eastAsia="Times New Roman" w:hAnsi="Times New Roman" w:cs="Times New Roman"/>
          <w:b/>
          <w:bCs/>
          <w:lang w:val="sr-Latn-CS"/>
        </w:rPr>
        <w:t>koncentrat za rastvor za infuziju</w:t>
      </w:r>
      <w:r w:rsidRPr="00AB0A18">
        <w:rPr>
          <w:rFonts w:ascii="Times New Roman" w:eastAsia="Times New Roman" w:hAnsi="Times New Roman" w:cs="Times New Roman"/>
          <w:lang w:val="sr-Latn-CS"/>
        </w:rPr>
        <w:t xml:space="preserve"> </w:t>
      </w:r>
    </w:p>
    <w:p w14:paraId="5A3E82AB"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bCs/>
          <w:u w:val="single"/>
          <w:lang w:val="sr-Latn-CS"/>
        </w:rPr>
      </w:pPr>
    </w:p>
    <w:p w14:paraId="2B27B7B5"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bCs/>
          <w:u w:val="single"/>
          <w:lang w:val="sr-Latn-CS"/>
        </w:rPr>
      </w:pPr>
      <w:r w:rsidRPr="00AB0A18">
        <w:rPr>
          <w:rFonts w:ascii="Times New Roman" w:eastAsia="Times New Roman" w:hAnsi="Times New Roman" w:cs="Times New Roman"/>
          <w:bCs/>
          <w:u w:val="single"/>
          <w:lang w:val="sr-Latn-CS"/>
        </w:rPr>
        <w:t>Doza</w:t>
      </w:r>
    </w:p>
    <w:p w14:paraId="2DBF6F93"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bCs/>
          <w:lang w:val="sr-Latn-CS"/>
        </w:rPr>
      </w:pPr>
      <w:r w:rsidRPr="00AB0A18">
        <w:rPr>
          <w:rFonts w:ascii="Times New Roman" w:eastAsia="Times New Roman" w:hAnsi="Times New Roman" w:cs="Times New Roman"/>
          <w:bCs/>
          <w:lang w:val="sr-Latn-CS"/>
        </w:rPr>
        <w:t>Preporučena doza:</w:t>
      </w:r>
    </w:p>
    <w:p w14:paraId="2428258F"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bCs/>
          <w:lang w:val="sr-Latn-CS"/>
        </w:rPr>
        <w:t xml:space="preserve">kod jako izraženih parestezija kod dijabetesne polineuropatije je jedna ampula lijeka Berlithion 600 ED dnevno (što odgovara 600 mg tioktinske kiseline dnevno). </w:t>
      </w:r>
    </w:p>
    <w:p w14:paraId="3335998B"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lang w:val="sr-Latn-CS"/>
        </w:rPr>
      </w:pPr>
    </w:p>
    <w:p w14:paraId="2A5044FC"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bCs/>
          <w:u w:val="single"/>
          <w:lang w:val="sr-Latn-CS"/>
        </w:rPr>
      </w:pPr>
      <w:r w:rsidRPr="00AB0A18">
        <w:rPr>
          <w:rFonts w:ascii="Times New Roman" w:eastAsia="Times New Roman" w:hAnsi="Times New Roman" w:cs="Times New Roman"/>
          <w:u w:val="single"/>
          <w:lang w:val="sr-Latn-CS"/>
        </w:rPr>
        <w:t>Način primjene</w:t>
      </w:r>
    </w:p>
    <w:p w14:paraId="64734911"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lang w:val="sr-Latn-CS"/>
        </w:rPr>
      </w:pPr>
    </w:p>
    <w:p w14:paraId="35C702FE"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bCs/>
          <w:lang w:val="sr-Latn-CS"/>
        </w:rPr>
      </w:pPr>
      <w:r w:rsidRPr="00AB0A18">
        <w:rPr>
          <w:rFonts w:ascii="Times New Roman" w:eastAsia="Times New Roman" w:hAnsi="Times New Roman" w:cs="Times New Roman"/>
          <w:bCs/>
          <w:lang w:val="sr-Latn-CS"/>
        </w:rPr>
        <w:t xml:space="preserve">Lijek Berlithion 600 ED, koncentrat za rastvor za infuziju, se primjenjuje u obliku infuzije u venu. </w:t>
      </w:r>
    </w:p>
    <w:p w14:paraId="2ECAA0BE"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bCs/>
          <w:i/>
          <w:lang w:val="sr-Latn-CS"/>
        </w:rPr>
      </w:pPr>
      <w:r w:rsidRPr="00AB0A18">
        <w:rPr>
          <w:rFonts w:ascii="Times New Roman" w:eastAsia="Times New Roman" w:hAnsi="Times New Roman" w:cs="Times New Roman"/>
          <w:bCs/>
          <w:i/>
          <w:lang w:val="sr-Latn-CS"/>
        </w:rPr>
        <w:t>Kako i kada se koristi lijek Berlithion 600 ED, koncentrat za rastvor za infuziju?</w:t>
      </w:r>
    </w:p>
    <w:p w14:paraId="2E856407"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bCs/>
          <w:i/>
          <w:lang w:val="sr-Latn-CS"/>
        </w:rPr>
      </w:pPr>
    </w:p>
    <w:p w14:paraId="4E5B3390"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bCs/>
          <w:lang w:val="sr-Latn-CS"/>
        </w:rPr>
      </w:pPr>
      <w:r w:rsidRPr="00AB0A18">
        <w:rPr>
          <w:rFonts w:ascii="Times New Roman" w:eastAsia="Times New Roman" w:hAnsi="Times New Roman" w:cs="Times New Roman"/>
          <w:bCs/>
          <w:lang w:val="sr-Latn-CS"/>
        </w:rPr>
        <w:t xml:space="preserve">Lijek Berlithion 600 ED, koncentrat za rastvor za infuziju se miješa sa 250ml fiziološkog rastvora natrijum hlorida (0,9%), a primjenjuje se kao kratka intravenska infuzija (u trajanju od najmanje 30 minuta). </w:t>
      </w:r>
    </w:p>
    <w:p w14:paraId="1BD5FF0B"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bCs/>
          <w:lang w:val="sr-Latn-CS"/>
        </w:rPr>
      </w:pPr>
    </w:p>
    <w:p w14:paraId="7BA619C4"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bCs/>
          <w:lang w:val="sr-Latn-CS"/>
        </w:rPr>
      </w:pPr>
      <w:r w:rsidRPr="00AB0A18">
        <w:rPr>
          <w:rFonts w:ascii="Times New Roman" w:eastAsia="Times New Roman" w:hAnsi="Times New Roman" w:cs="Times New Roman"/>
          <w:bCs/>
          <w:lang w:val="sr-Latn-CS"/>
        </w:rPr>
        <w:t>Zbog osjetljivosti aktivne supstance na svjetlost, intravenska infuzija se priprema neposredno pred upotrebu. Rastvor za infuziju je potrebno zaštiti od svjetlosti pomoću aluminijumske folije. Rastvor za infuziju, ukoliko je zaštićen od svjetlosti, stabilan je oko 6 sati.</w:t>
      </w:r>
    </w:p>
    <w:p w14:paraId="2E376D10"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bCs/>
          <w:lang w:val="sr-Latn-CS"/>
        </w:rPr>
      </w:pPr>
    </w:p>
    <w:p w14:paraId="1F5FD834"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u w:val="single"/>
          <w:lang w:val="sr-Latn-CS"/>
        </w:rPr>
      </w:pPr>
      <w:r w:rsidRPr="00AB0A18">
        <w:rPr>
          <w:rFonts w:ascii="Times New Roman" w:eastAsia="Times New Roman" w:hAnsi="Times New Roman" w:cs="Times New Roman"/>
          <w:u w:val="single"/>
          <w:lang w:val="sr-Latn-CS"/>
        </w:rPr>
        <w:t>Trajanje liječenja</w:t>
      </w:r>
    </w:p>
    <w:p w14:paraId="3AF6111E"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 xml:space="preserve">U inicijalnoj fazi liječenja, lijek </w:t>
      </w:r>
      <w:r w:rsidRPr="00AB0A18">
        <w:rPr>
          <w:rFonts w:ascii="Times New Roman" w:eastAsia="Times New Roman" w:hAnsi="Times New Roman" w:cs="Times New Roman"/>
          <w:bCs/>
          <w:lang w:val="sr-Latn-CS"/>
        </w:rPr>
        <w:t>Berlithion 600 ED, koncentrat za rastvor za infuziju se koristi tokom 2 - 4 nedjelje, intravenskom primjenom nakon razblaživanja (sporom intravenskom infuzijom nakon razblaživanja).</w:t>
      </w:r>
    </w:p>
    <w:p w14:paraId="0CFB77A8"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Za nastavak terapije, preporučuju  se kapsule od 600 mg tioktinske kiseline dnevno.</w:t>
      </w:r>
    </w:p>
    <w:p w14:paraId="262A0DA6"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p>
    <w:p w14:paraId="365A53D3"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Osnov za liječenje dijabetesne polineuropatije je optimalna kontrola dijabetesa.</w:t>
      </w:r>
    </w:p>
    <w:p w14:paraId="424E9A2C" w14:textId="77777777" w:rsidR="00AB0A18" w:rsidRPr="00AB0A18" w:rsidRDefault="00AB0A18" w:rsidP="00AB0A18">
      <w:pPr>
        <w:spacing w:after="0" w:line="240" w:lineRule="auto"/>
        <w:jc w:val="both"/>
        <w:rPr>
          <w:rFonts w:ascii="Times New Roman" w:eastAsia="Times New Roman" w:hAnsi="Times New Roman" w:cs="Times New Roman"/>
          <w:bCs/>
          <w:caps/>
          <w:lang w:val="sr-Latn-CS"/>
        </w:rPr>
      </w:pPr>
    </w:p>
    <w:p w14:paraId="5C7D5FA0" w14:textId="77777777" w:rsidR="00AB0A18" w:rsidRPr="00AB0A18" w:rsidRDefault="00AB0A18" w:rsidP="00AB0A18">
      <w:pPr>
        <w:spacing w:after="0" w:line="240" w:lineRule="auto"/>
        <w:jc w:val="both"/>
        <w:rPr>
          <w:rFonts w:ascii="Times New Roman" w:eastAsia="Times New Roman" w:hAnsi="Times New Roman" w:cs="Times New Roman"/>
          <w:b/>
          <w:lang w:val="sr-Latn-CS"/>
        </w:rPr>
      </w:pPr>
      <w:r w:rsidRPr="00AB0A18">
        <w:rPr>
          <w:rFonts w:ascii="Times New Roman" w:eastAsia="Times New Roman" w:hAnsi="Times New Roman" w:cs="Times New Roman"/>
          <w:b/>
          <w:lang w:val="sr-Latn-CS"/>
        </w:rPr>
        <w:t>Primjena kod djece</w:t>
      </w:r>
    </w:p>
    <w:p w14:paraId="50CA6E91"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P</w:t>
      </w:r>
      <w:r w:rsidRPr="00AB0A18">
        <w:rPr>
          <w:rFonts w:ascii="Times New Roman" w:eastAsia="Times New Roman" w:hAnsi="Times New Roman" w:cs="Times New Roman"/>
          <w:lang w:val="hr-HR"/>
        </w:rPr>
        <w:t>ošto ne postoje odgovarajuća klinička iskustva u pedijatriji, ovaj lijek se ne smije  koristiti kod djece i adolescenata</w:t>
      </w:r>
      <w:r w:rsidRPr="00AB0A18">
        <w:rPr>
          <w:rFonts w:ascii="Times New Roman" w:eastAsia="Times New Roman" w:hAnsi="Times New Roman" w:cs="Times New Roman"/>
          <w:color w:val="000000"/>
          <w:lang w:val="it-IT"/>
        </w:rPr>
        <w:t>.</w:t>
      </w:r>
    </w:p>
    <w:p w14:paraId="01008AAB" w14:textId="77777777" w:rsidR="00AB0A18" w:rsidRPr="00AB0A18" w:rsidRDefault="00AB0A18" w:rsidP="00AB0A18">
      <w:pPr>
        <w:spacing w:after="0" w:line="240" w:lineRule="auto"/>
        <w:jc w:val="both"/>
        <w:rPr>
          <w:rFonts w:ascii="Times New Roman" w:eastAsia="Times New Roman" w:hAnsi="Times New Roman" w:cs="Times New Roman"/>
          <w:lang w:val="sr-Latn-CS"/>
        </w:rPr>
      </w:pPr>
    </w:p>
    <w:p w14:paraId="0CD47B5F" w14:textId="77777777" w:rsidR="00AB0A18" w:rsidRPr="00AB0A18" w:rsidRDefault="00AB0A18" w:rsidP="00AB0A18">
      <w:pPr>
        <w:spacing w:after="0" w:line="240" w:lineRule="auto"/>
        <w:jc w:val="both"/>
        <w:rPr>
          <w:rFonts w:ascii="Times New Roman" w:eastAsia="Times New Roman" w:hAnsi="Times New Roman" w:cs="Times New Roman"/>
          <w:b/>
          <w:lang w:val="sr-Latn-CS"/>
        </w:rPr>
      </w:pPr>
      <w:r w:rsidRPr="00AB0A18">
        <w:rPr>
          <w:rFonts w:ascii="Times New Roman" w:eastAsia="Times New Roman" w:hAnsi="Times New Roman" w:cs="Times New Roman"/>
          <w:b/>
          <w:lang w:val="sr-Latn-CS"/>
        </w:rPr>
        <w:t>Ako ste uzeli više lijeka Berlithion</w:t>
      </w:r>
      <w:r w:rsidRPr="00AB0A18">
        <w:rPr>
          <w:rFonts w:ascii="Times New Roman" w:eastAsia="Times New Roman" w:hAnsi="Times New Roman" w:cs="Times New Roman"/>
          <w:b/>
          <w:vertAlign w:val="superscript"/>
          <w:lang w:val="sr-Latn-CS"/>
        </w:rPr>
        <w:t xml:space="preserve"> </w:t>
      </w:r>
      <w:r w:rsidRPr="00AB0A18">
        <w:rPr>
          <w:rFonts w:ascii="Times New Roman" w:eastAsia="Times New Roman" w:hAnsi="Times New Roman" w:cs="Times New Roman"/>
          <w:b/>
          <w:lang w:val="sr-Latn-CS"/>
        </w:rPr>
        <w:t>600 ED, koncentrat za rastvor za infuziju,</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 xml:space="preserve"> </w:t>
      </w:r>
      <w:r w:rsidRPr="00AB0A18">
        <w:rPr>
          <w:rFonts w:ascii="Times New Roman" w:eastAsia="Times New Roman" w:hAnsi="Times New Roman" w:cs="Times New Roman"/>
          <w:b/>
          <w:lang w:val="sr-Latn-CS"/>
        </w:rPr>
        <w:t>nego što je trebalo</w:t>
      </w:r>
    </w:p>
    <w:p w14:paraId="4E8D964C"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lang w:val="it-IT"/>
        </w:rPr>
      </w:pPr>
      <w:r w:rsidRPr="00AB0A18">
        <w:rPr>
          <w:rFonts w:ascii="Times New Roman" w:eastAsia="Times New Roman" w:hAnsi="Times New Roman" w:cs="Times New Roman"/>
          <w:lang w:val="sr-Latn-CS"/>
        </w:rPr>
        <w:t>Usljed predoziranja</w:t>
      </w:r>
      <w:r w:rsidRPr="00AB0A18">
        <w:rPr>
          <w:rFonts w:ascii="Times New Roman" w:eastAsia="Times New Roman" w:hAnsi="Times New Roman" w:cs="Times New Roman"/>
          <w:lang w:val="it-IT"/>
        </w:rPr>
        <w:t xml:space="preserve"> mogu nastati mučnina, povraćanje i glavobolja. </w:t>
      </w:r>
    </w:p>
    <w:p w14:paraId="28CBBC16"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lang w:val="ru-RU"/>
        </w:rPr>
      </w:pPr>
      <w:r w:rsidRPr="00AB0A18">
        <w:rPr>
          <w:rFonts w:ascii="Times New Roman" w:eastAsia="Times New Roman" w:hAnsi="Times New Roman" w:cs="Times New Roman"/>
          <w:lang w:val="it-IT"/>
        </w:rPr>
        <w:t xml:space="preserve">Ozbiljni slučajevi predoziranja, u nekim slučajevima sa letalnim ishodom, zabilježeni su nakon slučajnih ili namjernih unošenja oralnih doza od 10 do 40 g tioktinske kiseline, u kombinaciji sa alkoholom. Klinička slika intoksikacije u početku može biti predstavljena psihomotornim nemirom i zamućenjem svijesti i uglavnom je praćena daljom progresijom generalizovanih konvulzija i stvaranjem laktatne acidoze. Dalje, hipoglikemija, šok, rabdomioliza, hemoliza, diseminovana intravaskularna koagulacija (DIC), depresija kosne srži i oštećenja više unutrašnjih organa opisani su kao posljedica intoksikacije velikom dozom tioktinske kiseline. Iz tog razloga, u slučaju sumnje na slučajno ili namjerno predoziranje lijekom Berlithion 600 ED, koncentrat za rastvor za infuziju, pacijenta treba odmah odvesti u bolnicu i započeti primjenu opštih mjera u skladu sa opštim principima za liječenje trovanja.  </w:t>
      </w:r>
    </w:p>
    <w:p w14:paraId="2AFB6B50" w14:textId="77777777" w:rsidR="00AB0A18" w:rsidRPr="00AB0A18" w:rsidRDefault="00AB0A18" w:rsidP="00AB0A18">
      <w:pPr>
        <w:spacing w:after="0" w:line="240" w:lineRule="auto"/>
        <w:jc w:val="both"/>
        <w:rPr>
          <w:rFonts w:ascii="Times New Roman" w:eastAsia="Times New Roman" w:hAnsi="Times New Roman" w:cs="Times New Roman"/>
          <w:lang w:val="sr-Latn-CS"/>
        </w:rPr>
      </w:pPr>
    </w:p>
    <w:p w14:paraId="0A50B54E" w14:textId="77777777" w:rsidR="00AB0A18" w:rsidRPr="00AB0A18" w:rsidRDefault="00AB0A18" w:rsidP="00AB0A18">
      <w:pPr>
        <w:spacing w:after="0" w:line="240" w:lineRule="auto"/>
        <w:jc w:val="both"/>
        <w:rPr>
          <w:rFonts w:ascii="Times New Roman" w:eastAsia="Times New Roman" w:hAnsi="Times New Roman" w:cs="Times New Roman"/>
          <w:b/>
          <w:lang w:val="sr-Latn-CS"/>
        </w:rPr>
      </w:pPr>
      <w:r w:rsidRPr="00AB0A18">
        <w:rPr>
          <w:rFonts w:ascii="Times New Roman" w:eastAsia="Times New Roman" w:hAnsi="Times New Roman" w:cs="Times New Roman"/>
          <w:b/>
          <w:lang w:val="sr-Latn-CS"/>
        </w:rPr>
        <w:t>Ako ste zaboravili da uzmete lijek Berlithion</w:t>
      </w:r>
      <w:r w:rsidRPr="00AB0A18">
        <w:rPr>
          <w:rFonts w:ascii="Times New Roman" w:eastAsia="Times New Roman" w:hAnsi="Times New Roman" w:cs="Times New Roman"/>
          <w:b/>
          <w:vertAlign w:val="superscript"/>
          <w:lang w:val="sr-Latn-CS"/>
        </w:rPr>
        <w:t xml:space="preserve"> </w:t>
      </w:r>
      <w:r w:rsidRPr="00AB0A18">
        <w:rPr>
          <w:rFonts w:ascii="Times New Roman" w:eastAsia="Times New Roman" w:hAnsi="Times New Roman" w:cs="Times New Roman"/>
          <w:b/>
          <w:lang w:val="sr-Latn-CS"/>
        </w:rPr>
        <w:t>600 ED</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 xml:space="preserve"> </w:t>
      </w:r>
    </w:p>
    <w:p w14:paraId="554831A0"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lang w:val="sr-Latn-RS"/>
        </w:rPr>
      </w:pPr>
      <w:r w:rsidRPr="00AB0A18">
        <w:rPr>
          <w:rFonts w:ascii="Times New Roman" w:eastAsia="Times New Roman" w:hAnsi="Times New Roman" w:cs="Times New Roman"/>
          <w:lang w:val="sr-Latn-RS"/>
        </w:rPr>
        <w:t>Ne uzimajte duplu dozu da nadoknadite propuštenu.</w:t>
      </w:r>
    </w:p>
    <w:p w14:paraId="4DA49B1E"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lang w:val="sr-Latn-RS"/>
        </w:rPr>
      </w:pPr>
      <w:r w:rsidRPr="00AB0A18">
        <w:rPr>
          <w:rFonts w:ascii="Times New Roman" w:eastAsia="Times New Roman" w:hAnsi="Times New Roman" w:cs="Times New Roman"/>
          <w:lang w:val="sr-Latn-RS"/>
        </w:rPr>
        <w:t>Ukoliko imate dodatnih pitanja u vezi primjene lijeka, konsultujte se sa svojim ljekarom ili farmaceutom.</w:t>
      </w:r>
    </w:p>
    <w:p w14:paraId="3EDFBF7D" w14:textId="77777777" w:rsidR="00AB0A18" w:rsidRDefault="00AB0A18" w:rsidP="00AB0A18">
      <w:pPr>
        <w:tabs>
          <w:tab w:val="left" w:pos="284"/>
        </w:tabs>
        <w:spacing w:after="0" w:line="240" w:lineRule="auto"/>
        <w:jc w:val="both"/>
        <w:rPr>
          <w:rFonts w:ascii="Times New Roman" w:eastAsia="Times New Roman" w:hAnsi="Times New Roman" w:cs="Times New Roman"/>
        </w:rPr>
      </w:pPr>
    </w:p>
    <w:p w14:paraId="28C20656"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p>
    <w:p w14:paraId="3679E89C" w14:textId="77777777" w:rsidR="00AB0A18" w:rsidRPr="00AB0A18" w:rsidRDefault="00AB0A18" w:rsidP="00AB0A18">
      <w:pPr>
        <w:tabs>
          <w:tab w:val="left" w:pos="540"/>
          <w:tab w:val="left" w:pos="569"/>
        </w:tabs>
        <w:spacing w:after="0" w:line="240" w:lineRule="auto"/>
        <w:rPr>
          <w:rFonts w:ascii="Times New Roman" w:eastAsia="Times New Roman" w:hAnsi="Times New Roman" w:cs="Times New Roman"/>
          <w:b/>
          <w:bCs/>
          <w:lang w:val="ru-RU"/>
        </w:rPr>
      </w:pPr>
      <w:r w:rsidRPr="00AB0A18">
        <w:rPr>
          <w:rFonts w:ascii="Times New Roman" w:eastAsia="Times New Roman" w:hAnsi="Times New Roman" w:cs="Times New Roman"/>
          <w:b/>
          <w:bCs/>
          <w:lang w:val="ru-RU"/>
        </w:rPr>
        <w:t xml:space="preserve">4. </w:t>
      </w:r>
      <w:r w:rsidRPr="00AB0A18">
        <w:rPr>
          <w:rFonts w:ascii="Times New Roman" w:eastAsia="Times New Roman" w:hAnsi="Times New Roman" w:cs="Times New Roman"/>
          <w:b/>
          <w:bCs/>
          <w:lang w:val="sr-Latn-CS"/>
        </w:rPr>
        <w:tab/>
      </w:r>
      <w:r w:rsidRPr="00AB0A18">
        <w:rPr>
          <w:rFonts w:ascii="Times New Roman" w:eastAsia="Times New Roman" w:hAnsi="Times New Roman" w:cs="Times New Roman"/>
          <w:b/>
          <w:bCs/>
          <w:lang w:val="ru-RU"/>
        </w:rPr>
        <w:t>MOGUĆA NEŽELJENA DEJSTVA</w:t>
      </w:r>
    </w:p>
    <w:p w14:paraId="7DDD7A91" w14:textId="77777777" w:rsidR="00AB0A18" w:rsidRPr="00AB0A18" w:rsidRDefault="00AB0A18" w:rsidP="00AB0A18">
      <w:pPr>
        <w:tabs>
          <w:tab w:val="left" w:pos="284"/>
        </w:tabs>
        <w:spacing w:before="200" w:after="200" w:line="240" w:lineRule="auto"/>
        <w:jc w:val="both"/>
        <w:rPr>
          <w:rFonts w:ascii="Times New Roman" w:eastAsia="Times New Roman" w:hAnsi="Times New Roman" w:cs="Times New Roman"/>
          <w:bCs/>
          <w:lang w:val="sr-Latn-RS"/>
        </w:rPr>
      </w:pPr>
      <w:r w:rsidRPr="00AB0A18">
        <w:rPr>
          <w:rFonts w:ascii="Times New Roman" w:eastAsia="Times New Roman" w:hAnsi="Times New Roman" w:cs="Times New Roman"/>
          <w:bCs/>
          <w:lang w:val="sr-Latn-RS"/>
        </w:rPr>
        <w:t>Kao i svi ljekovi, ovaj lijek može da ima neželjena dejstva, iako ona ne moraju da se jave kod svih pacijenata koji ga uzimaju.</w:t>
      </w:r>
    </w:p>
    <w:p w14:paraId="34B3FAF9"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Kod prikaza učestalosti neželjenih dejstava koriste se sljedeće kategorije:</w:t>
      </w:r>
    </w:p>
    <w:p w14:paraId="77AFE451"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p>
    <w:p w14:paraId="31D6EAAB"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Veoma česta neželjena dejstva (mogu da se jave kod više od 1 na 10 pacijenata koji uzimaju lijek)</w:t>
      </w:r>
    </w:p>
    <w:p w14:paraId="1CF563B0"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lastRenderedPageBreak/>
        <w:t>Česta neželjena dejstva (mogu da se jave kod najviše 1 na 10 pacijenata koji uzimaju lijek)</w:t>
      </w:r>
    </w:p>
    <w:p w14:paraId="0CFE07F2"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Povremena neželjena dejstva (mogu da se jave kod najviše 1 na 100 pacijenata koji uzimaju lijek)</w:t>
      </w:r>
    </w:p>
    <w:p w14:paraId="08837A73"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Rijetka neželjena dejstva (mogu da se jave kod najviše 1 na 1000 pacijenata koji uzimaju lijek)</w:t>
      </w:r>
    </w:p>
    <w:p w14:paraId="36FD55B6"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Veoma rijetka neželjena dejstva (mogu da se jave kod najviše 1 na 10000 pacijenata koji uzimaju lijek)</w:t>
      </w:r>
    </w:p>
    <w:p w14:paraId="2FCDE8FB"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Nepoznata učestalost (ne može se procijeniti na osnovu dostupnih podataka).</w:t>
      </w:r>
    </w:p>
    <w:p w14:paraId="096FB210"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p>
    <w:p w14:paraId="1D0ED13A"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b/>
        </w:rPr>
        <w:t>Česta neželjena dejstva</w:t>
      </w:r>
      <w:r w:rsidRPr="00AB0A18">
        <w:rPr>
          <w:rFonts w:ascii="Times New Roman" w:eastAsia="Times New Roman" w:hAnsi="Times New Roman" w:cs="Times New Roman"/>
        </w:rPr>
        <w:t xml:space="preserve"> (mogu da se jave kod najviše 1 na 10 pacijenata koji uzimaju lijek):</w:t>
      </w:r>
    </w:p>
    <w:p w14:paraId="5C7D6780"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i/>
          <w:iCs/>
        </w:rPr>
        <w:t>-</w:t>
      </w:r>
      <w:r w:rsidRPr="00AB0A18">
        <w:rPr>
          <w:rFonts w:ascii="Times New Roman" w:eastAsia="Times New Roman" w:hAnsi="Times New Roman" w:cs="Times New Roman"/>
          <w:lang w:val="sr-Latn-CS"/>
        </w:rPr>
        <w:t xml:space="preserve"> Nakon brze intravenske infuzije, osjećaj pritiska u glavi i otežano disanje, koji su se spontano povlačili. </w:t>
      </w:r>
    </w:p>
    <w:p w14:paraId="51F873A3"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p>
    <w:p w14:paraId="437921C3"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i/>
          <w:lang w:val="hr-HR"/>
        </w:rPr>
      </w:pPr>
      <w:r w:rsidRPr="00AB0A18">
        <w:rPr>
          <w:rFonts w:ascii="Times New Roman" w:eastAsia="Times New Roman" w:hAnsi="Times New Roman" w:cs="Times New Roman"/>
          <w:b/>
        </w:rPr>
        <w:t>Veoma rijetka neželjena dejstva</w:t>
      </w:r>
      <w:r w:rsidRPr="00AB0A18">
        <w:rPr>
          <w:rFonts w:ascii="Times New Roman" w:eastAsia="Times New Roman" w:hAnsi="Times New Roman" w:cs="Times New Roman"/>
        </w:rPr>
        <w:t xml:space="preserve"> (mogu da se jave kod najviše 1 na 10000 pacijenata koji uzimaju lijek):</w:t>
      </w:r>
    </w:p>
    <w:p w14:paraId="1910FEBF"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hr-HR"/>
        </w:rPr>
      </w:pPr>
      <w:r w:rsidRPr="00AB0A18">
        <w:rPr>
          <w:rFonts w:ascii="Times New Roman" w:eastAsia="Times New Roman" w:hAnsi="Times New Roman" w:cs="Times New Roman"/>
          <w:lang w:val="hr-HR"/>
        </w:rPr>
        <w:t>- Tačkasto krvarenje na koži (purpura), poremećaj u funkciji trombocita i u zgrušavanju krvi (trombopatija)</w:t>
      </w:r>
    </w:p>
    <w:p w14:paraId="3C09B51C"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es-ES_tradnl"/>
        </w:rPr>
      </w:pPr>
      <w:r w:rsidRPr="00AB0A18">
        <w:rPr>
          <w:rFonts w:ascii="Times New Roman" w:eastAsia="Times New Roman" w:hAnsi="Times New Roman" w:cs="Times New Roman"/>
          <w:lang w:val="sr-Latn-CS"/>
        </w:rPr>
        <w:t xml:space="preserve">- Mogu se javiti promjene ili poremećaj čula ukusa, </w:t>
      </w:r>
      <w:r w:rsidRPr="00AB0A18">
        <w:rPr>
          <w:rFonts w:ascii="Times New Roman" w:eastAsia="Times New Roman" w:hAnsi="Times New Roman" w:cs="Times New Roman"/>
          <w:lang w:val="es-ES_tradnl"/>
        </w:rPr>
        <w:t>konvulzije i viđenje duple slike</w:t>
      </w:r>
    </w:p>
    <w:p w14:paraId="5B75D733"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es-ES_tradnl"/>
        </w:rPr>
      </w:pPr>
      <w:r w:rsidRPr="00AB0A18">
        <w:rPr>
          <w:rFonts w:ascii="Times New Roman" w:eastAsia="Times New Roman" w:hAnsi="Times New Roman" w:cs="Times New Roman"/>
          <w:lang w:val="es-ES_tradnl"/>
        </w:rPr>
        <w:t>- Probavne tegobe, kao što su mučnina, povraćanje, bolovi u želucu i stomaku i proliv</w:t>
      </w:r>
    </w:p>
    <w:p w14:paraId="52CDAC2C"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es-ES_tradnl"/>
        </w:rPr>
        <w:t>- Reakcije na mjestu primjene lijeka</w:t>
      </w:r>
    </w:p>
    <w:p w14:paraId="3752FC5C" w14:textId="77777777" w:rsidR="00AB0A18" w:rsidRPr="00AB0A18" w:rsidRDefault="00AB0A18" w:rsidP="00AB0A18">
      <w:pPr>
        <w:tabs>
          <w:tab w:val="left" w:pos="284"/>
          <w:tab w:val="center" w:pos="4536"/>
          <w:tab w:val="right" w:pos="9072"/>
        </w:tabs>
        <w:spacing w:after="0" w:line="240" w:lineRule="auto"/>
        <w:rPr>
          <w:rFonts w:ascii="Times New Roman" w:eastAsia="Times New Roman" w:hAnsi="Times New Roman" w:cs="Times New Roman"/>
          <w:lang w:val="sr-Latn-CS"/>
        </w:rPr>
      </w:pPr>
      <w:r w:rsidRPr="00AB0A18">
        <w:rPr>
          <w:rFonts w:ascii="Times New Roman" w:eastAsia="Times New Roman" w:hAnsi="Times New Roman" w:cs="Times New Roman"/>
          <w:lang w:val="sr-Latn-CS"/>
        </w:rPr>
        <w:t>- Usled</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pobolj</w:t>
      </w:r>
      <w:r w:rsidRPr="00AB0A18">
        <w:rPr>
          <w:rFonts w:ascii="Times New Roman" w:eastAsia="Times New Roman" w:hAnsi="Times New Roman" w:cs="Times New Roman"/>
          <w:lang w:val="hr-HR"/>
        </w:rPr>
        <w:t>š</w:t>
      </w:r>
      <w:r w:rsidRPr="00AB0A18">
        <w:rPr>
          <w:rFonts w:ascii="Times New Roman" w:eastAsia="Times New Roman" w:hAnsi="Times New Roman" w:cs="Times New Roman"/>
          <w:lang w:val="sr-Latn-CS"/>
        </w:rPr>
        <w:t>anog</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iskori</w:t>
      </w:r>
      <w:r w:rsidRPr="00AB0A18">
        <w:rPr>
          <w:rFonts w:ascii="Times New Roman" w:eastAsia="Times New Roman" w:hAnsi="Times New Roman" w:cs="Times New Roman"/>
          <w:lang w:val="hr-HR"/>
        </w:rPr>
        <w:t>šć</w:t>
      </w:r>
      <w:r w:rsidRPr="00AB0A18">
        <w:rPr>
          <w:rFonts w:ascii="Times New Roman" w:eastAsia="Times New Roman" w:hAnsi="Times New Roman" w:cs="Times New Roman"/>
          <w:lang w:val="sr-Latn-CS"/>
        </w:rPr>
        <w:t>avanja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glukoze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mo</w:t>
      </w:r>
      <w:r w:rsidRPr="00AB0A18">
        <w:rPr>
          <w:rFonts w:ascii="Times New Roman" w:eastAsia="Times New Roman" w:hAnsi="Times New Roman" w:cs="Times New Roman"/>
          <w:lang w:val="hr-HR"/>
        </w:rPr>
        <w:t>ž</w:t>
      </w:r>
      <w:r w:rsidRPr="00AB0A18">
        <w:rPr>
          <w:rFonts w:ascii="Times New Roman" w:eastAsia="Times New Roman" w:hAnsi="Times New Roman" w:cs="Times New Roman"/>
          <w:lang w:val="sr-Latn-CS"/>
        </w:rPr>
        <w:t>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do</w:t>
      </w:r>
      <w:r w:rsidRPr="00AB0A18">
        <w:rPr>
          <w:rFonts w:ascii="Times New Roman" w:eastAsia="Times New Roman" w:hAnsi="Times New Roman" w:cs="Times New Roman"/>
          <w:lang w:val="hr-HR"/>
        </w:rPr>
        <w:t>ć</w:t>
      </w:r>
      <w:r w:rsidRPr="00AB0A18">
        <w:rPr>
          <w:rFonts w:ascii="Times New Roman" w:eastAsia="Times New Roman" w:hAnsi="Times New Roman" w:cs="Times New Roman"/>
          <w:lang w:val="sr-Latn-CS"/>
        </w:rPr>
        <w:t>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do</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smanjenja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nivoa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glukoze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krvi</w:t>
      </w:r>
      <w:r w:rsidRPr="00AB0A18">
        <w:rPr>
          <w:rFonts w:ascii="Times New Roman" w:eastAsia="Times New Roman" w:hAnsi="Times New Roman" w:cs="Times New Roman"/>
          <w:lang w:val="hr-HR"/>
        </w:rPr>
        <w:t xml:space="preserve">. Simptomi slični </w:t>
      </w:r>
      <w:r w:rsidRPr="00AB0A18">
        <w:rPr>
          <w:rFonts w:ascii="Times New Roman" w:eastAsia="Times New Roman" w:hAnsi="Times New Roman" w:cs="Times New Roman"/>
          <w:lang w:val="sr-Latn-CS"/>
        </w:rPr>
        <w:t>hipoglikemiji, koji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uklju</w:t>
      </w:r>
      <w:r w:rsidRPr="00AB0A18">
        <w:rPr>
          <w:rFonts w:ascii="Times New Roman" w:eastAsia="Times New Roman" w:hAnsi="Times New Roman" w:cs="Times New Roman"/>
          <w:lang w:val="hr-HR"/>
        </w:rPr>
        <w:t>č</w:t>
      </w:r>
      <w:r w:rsidRPr="00AB0A18">
        <w:rPr>
          <w:rFonts w:ascii="Times New Roman" w:eastAsia="Times New Roman" w:hAnsi="Times New Roman" w:cs="Times New Roman"/>
          <w:lang w:val="sr-Latn-CS"/>
        </w:rPr>
        <w:t>uju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vrtoglavicu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znojenje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glavobolju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poreme</w:t>
      </w:r>
      <w:r w:rsidRPr="00AB0A18">
        <w:rPr>
          <w:rFonts w:ascii="Times New Roman" w:eastAsia="Times New Roman" w:hAnsi="Times New Roman" w:cs="Times New Roman"/>
          <w:lang w:val="hr-HR"/>
        </w:rPr>
        <w:t>ć</w:t>
      </w:r>
      <w:r w:rsidRPr="00AB0A18">
        <w:rPr>
          <w:rFonts w:ascii="Times New Roman" w:eastAsia="Times New Roman" w:hAnsi="Times New Roman" w:cs="Times New Roman"/>
          <w:lang w:val="sr-Latn-CS"/>
        </w:rPr>
        <w:t>aje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vida su prijavljeni.</w:t>
      </w:r>
    </w:p>
    <w:p w14:paraId="05A8303D" w14:textId="77777777" w:rsidR="00AB0A18" w:rsidRPr="00AB0A18" w:rsidRDefault="00AB0A18" w:rsidP="00AB0A18">
      <w:pPr>
        <w:tabs>
          <w:tab w:val="left" w:pos="284"/>
          <w:tab w:val="center" w:pos="4536"/>
          <w:tab w:val="right" w:pos="9072"/>
        </w:tabs>
        <w:spacing w:after="0" w:line="240" w:lineRule="auto"/>
        <w:rPr>
          <w:rFonts w:ascii="Times New Roman" w:eastAsia="Times New Roman" w:hAnsi="Times New Roman" w:cs="Times New Roman"/>
          <w:lang w:val="sr-Latn-CS"/>
        </w:rPr>
      </w:pPr>
    </w:p>
    <w:p w14:paraId="204F4D55"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b/>
        </w:rPr>
        <w:t>Nepoznata učestalost</w:t>
      </w:r>
      <w:r w:rsidRPr="00AB0A18">
        <w:rPr>
          <w:rFonts w:ascii="Times New Roman" w:eastAsia="Times New Roman" w:hAnsi="Times New Roman" w:cs="Times New Roman"/>
        </w:rPr>
        <w:t xml:space="preserve"> (ne može se procijeniti na osnovu dostupnih podataka):</w:t>
      </w:r>
    </w:p>
    <w:p w14:paraId="1D56800F" w14:textId="77777777" w:rsidR="00AB0A18" w:rsidRPr="00AB0A18" w:rsidRDefault="00AB0A18" w:rsidP="00AB0A18">
      <w:pPr>
        <w:numPr>
          <w:ilvl w:val="0"/>
          <w:numId w:val="18"/>
        </w:numPr>
        <w:tabs>
          <w:tab w:val="left" w:pos="284"/>
        </w:tabs>
        <w:spacing w:after="0" w:line="240" w:lineRule="auto"/>
        <w:jc w:val="both"/>
        <w:rPr>
          <w:rFonts w:ascii="Times New Roman" w:eastAsia="Times New Roman" w:hAnsi="Times New Roman" w:cs="Times New Roman"/>
          <w:i/>
          <w:lang w:val="sr-Latn-CS"/>
        </w:rPr>
      </w:pPr>
      <w:r w:rsidRPr="00AB0A18">
        <w:rPr>
          <w:rFonts w:ascii="Times New Roman" w:eastAsia="Times New Roman" w:hAnsi="Times New Roman" w:cs="Times New Roman"/>
          <w:lang w:val="sr-Latn-CS"/>
        </w:rPr>
        <w:t xml:space="preserve">Mogu se javiti alergijske reakcije, kao što su osip na koži, koprivnjača (urtikarija) i svrab, kao i reakcije preosjetljivosti cijelog tijela, uključujući i šok. </w:t>
      </w:r>
      <w:r w:rsidRPr="00AB0A18">
        <w:rPr>
          <w:rFonts w:ascii="Times New Roman" w:eastAsia="Times New Roman" w:hAnsi="Times New Roman" w:cs="Times New Roman"/>
          <w:b/>
          <w:bCs/>
          <w:lang w:val="sr-Latn-CS"/>
        </w:rPr>
        <w:t>Kod ispoljavanja prvih znakova reakcije preosjetljivosti, odmah prekinite sa upotrebom lijeka i obavijestite ljekara.</w:t>
      </w:r>
    </w:p>
    <w:p w14:paraId="1A7B928C" w14:textId="77777777" w:rsidR="00AB0A18" w:rsidRPr="00AB0A18" w:rsidRDefault="00AB0A18" w:rsidP="00AB0A18">
      <w:pPr>
        <w:numPr>
          <w:ilvl w:val="0"/>
          <w:numId w:val="18"/>
        </w:num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Insulin autoimuni sindrom (vidjeti dio 2).</w:t>
      </w:r>
    </w:p>
    <w:p w14:paraId="11B1C932" w14:textId="77777777" w:rsidR="00AB0A18" w:rsidRPr="00AB0A18" w:rsidRDefault="00AB0A18" w:rsidP="00AB0A18">
      <w:pPr>
        <w:tabs>
          <w:tab w:val="left" w:pos="284"/>
          <w:tab w:val="center" w:pos="4536"/>
          <w:tab w:val="right" w:pos="9072"/>
        </w:tabs>
        <w:spacing w:after="0" w:line="240" w:lineRule="auto"/>
        <w:rPr>
          <w:rFonts w:ascii="Times New Roman" w:eastAsia="Times New Roman" w:hAnsi="Times New Roman" w:cs="Times New Roman"/>
          <w:lang w:val="sr-Latn-CS"/>
        </w:rPr>
      </w:pPr>
    </w:p>
    <w:p w14:paraId="6C804FD0"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Kontra mjere:</w:t>
      </w:r>
    </w:p>
    <w:p w14:paraId="1182D7CD" w14:textId="77777777" w:rsidR="00AB0A18" w:rsidRPr="00AB0A18" w:rsidRDefault="00AB0A18" w:rsidP="00AB0A18">
      <w:pPr>
        <w:tabs>
          <w:tab w:val="left" w:pos="284"/>
          <w:tab w:val="center" w:pos="4536"/>
          <w:tab w:val="right" w:pos="9072"/>
        </w:tabs>
        <w:spacing w:after="0" w:line="240" w:lineRule="auto"/>
        <w:jc w:val="both"/>
        <w:rPr>
          <w:rFonts w:ascii="Times New Roman" w:eastAsia="Times New Roman" w:hAnsi="Times New Roman" w:cs="Times New Roman"/>
          <w:bCs/>
          <w:lang w:val="sr-Latn-CS"/>
        </w:rPr>
      </w:pPr>
      <w:r w:rsidRPr="00AB0A18">
        <w:rPr>
          <w:rFonts w:ascii="Times New Roman" w:eastAsia="Times New Roman" w:hAnsi="Times New Roman" w:cs="Times New Roman"/>
          <w:lang w:val="sr-Latn-CS"/>
        </w:rPr>
        <w:t xml:space="preserve">Ukoliko primijetite da se kod Vas ispoljavaju navedena neželjena dejstva,  nemojte ponovo koristiti lijek </w:t>
      </w:r>
      <w:r w:rsidRPr="00AB0A18">
        <w:rPr>
          <w:rFonts w:ascii="Times New Roman" w:eastAsia="Times New Roman" w:hAnsi="Times New Roman" w:cs="Times New Roman"/>
          <w:bCs/>
          <w:lang w:val="sr-Latn-CS"/>
        </w:rPr>
        <w:t>Berlithion 600 ED. Obavijestite svog ljekara, kako bi odlučio o preduzimanju daljih neophodnih mjera, zavisno od težine slučaja.</w:t>
      </w:r>
    </w:p>
    <w:p w14:paraId="639D830D" w14:textId="77777777" w:rsidR="00AB0A18" w:rsidRPr="00AB0A18" w:rsidRDefault="00AB0A18" w:rsidP="00AB0A18">
      <w:pPr>
        <w:tabs>
          <w:tab w:val="left" w:pos="284"/>
          <w:tab w:val="center" w:pos="4536"/>
          <w:tab w:val="right" w:pos="9072"/>
        </w:tabs>
        <w:spacing w:after="0" w:line="240" w:lineRule="auto"/>
        <w:rPr>
          <w:rFonts w:ascii="Times New Roman" w:eastAsia="Times New Roman" w:hAnsi="Times New Roman" w:cs="Times New Roman"/>
          <w:bCs/>
          <w:lang w:val="sr-Latn-CS"/>
        </w:rPr>
      </w:pPr>
    </w:p>
    <w:p w14:paraId="2CB970AD" w14:textId="77777777" w:rsidR="00AB0A18" w:rsidRPr="00AB0A18" w:rsidRDefault="00AB0A18" w:rsidP="00AB0A18">
      <w:pPr>
        <w:spacing w:after="0" w:line="240" w:lineRule="auto"/>
        <w:rPr>
          <w:rFonts w:ascii="Times New Roman" w:eastAsia="Calibri" w:hAnsi="Times New Roman" w:cs="Times New Roman"/>
          <w:spacing w:val="-5"/>
          <w:u w:val="single"/>
          <w:lang w:val="sr-Latn-RS"/>
        </w:rPr>
      </w:pPr>
      <w:r w:rsidRPr="00AB0A18">
        <w:rPr>
          <w:rFonts w:ascii="Times New Roman" w:eastAsia="Calibri" w:hAnsi="Times New Roman" w:cs="Times New Roman"/>
          <w:spacing w:val="-5"/>
          <w:u w:val="single"/>
          <w:lang w:val="sr-Latn-RS"/>
        </w:rPr>
        <w:t>Prijavljivanje sumnji na neželjena dejstva</w:t>
      </w:r>
    </w:p>
    <w:p w14:paraId="6124665A" w14:textId="77777777" w:rsidR="00AB0A18" w:rsidRPr="00AB0A18" w:rsidRDefault="00AB0A18" w:rsidP="00AB0A18">
      <w:pPr>
        <w:spacing w:after="0" w:line="240" w:lineRule="auto"/>
        <w:rPr>
          <w:rFonts w:ascii="Times New Roman" w:eastAsia="Calibri" w:hAnsi="Times New Roman" w:cs="Times New Roman"/>
          <w:spacing w:val="-5"/>
          <w:u w:val="single"/>
          <w:lang w:val="sr-Latn-RS"/>
        </w:rPr>
      </w:pPr>
    </w:p>
    <w:p w14:paraId="4C776BCD" w14:textId="77777777" w:rsidR="00AB0A18" w:rsidRPr="00AB0A18" w:rsidRDefault="00AB0A18" w:rsidP="00AB0A18">
      <w:pPr>
        <w:spacing w:after="0" w:line="240" w:lineRule="auto"/>
        <w:rPr>
          <w:rFonts w:ascii="Times New Roman" w:eastAsia="Calibri" w:hAnsi="Times New Roman" w:cs="Times New Roman"/>
          <w:spacing w:val="-5"/>
          <w:u w:val="single"/>
          <w:lang w:val="sr-Latn-RS"/>
        </w:rPr>
      </w:pPr>
      <w:r w:rsidRPr="00AB0A18">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AB0A18">
        <w:rPr>
          <w:rFonts w:ascii="Times New Roman" w:eastAsia="Calibri" w:hAnsi="Times New Roman" w:cs="Times New Roman"/>
          <w:spacing w:val="-4"/>
          <w:lang w:val="sr-Latn-RS"/>
        </w:rPr>
        <w:t xml:space="preserve">. </w:t>
      </w:r>
      <w:r w:rsidRPr="00AB0A18">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14:paraId="1C6F80E6" w14:textId="77777777" w:rsidR="00AB0A18" w:rsidRDefault="00AB0A18" w:rsidP="00AB0A18">
      <w:pPr>
        <w:spacing w:after="0" w:line="240" w:lineRule="auto"/>
        <w:rPr>
          <w:rFonts w:ascii="Times New Roman" w:eastAsia="Times New Roman" w:hAnsi="Times New Roman" w:cs="Times New Roman"/>
          <w:lang w:val="pt-PT"/>
        </w:rPr>
      </w:pPr>
    </w:p>
    <w:p w14:paraId="7CB0C0D5" w14:textId="77777777" w:rsidR="00AB0A18" w:rsidRPr="00AB0A18" w:rsidRDefault="00AB0A18" w:rsidP="00AB0A18">
      <w:pPr>
        <w:spacing w:after="0" w:line="240" w:lineRule="auto"/>
        <w:rPr>
          <w:rFonts w:ascii="Times New Roman" w:eastAsia="Times New Roman" w:hAnsi="Times New Roman" w:cs="Times New Roman"/>
          <w:lang w:val="pt-PT"/>
        </w:rPr>
      </w:pPr>
    </w:p>
    <w:p w14:paraId="23E29DF2" w14:textId="77777777" w:rsidR="00AB0A18" w:rsidRPr="00AB0A18" w:rsidRDefault="00AB0A18" w:rsidP="00AB0A18">
      <w:pPr>
        <w:tabs>
          <w:tab w:val="left" w:pos="540"/>
          <w:tab w:val="left" w:pos="569"/>
        </w:tabs>
        <w:spacing w:after="0" w:line="240" w:lineRule="auto"/>
        <w:rPr>
          <w:rFonts w:ascii="Times New Roman" w:eastAsia="Times New Roman" w:hAnsi="Times New Roman" w:cs="Times New Roman"/>
          <w:b/>
          <w:bCs/>
          <w:lang w:val="ru-RU"/>
        </w:rPr>
      </w:pPr>
      <w:r w:rsidRPr="00AB0A18">
        <w:rPr>
          <w:rFonts w:ascii="Times New Roman" w:eastAsia="Times New Roman" w:hAnsi="Times New Roman" w:cs="Times New Roman"/>
          <w:b/>
          <w:bCs/>
          <w:lang w:val="ru-RU"/>
        </w:rPr>
        <w:t xml:space="preserve">5. </w:t>
      </w:r>
      <w:r w:rsidRPr="00AB0A18">
        <w:rPr>
          <w:rFonts w:ascii="Times New Roman" w:eastAsia="Times New Roman" w:hAnsi="Times New Roman" w:cs="Times New Roman"/>
          <w:b/>
          <w:bCs/>
          <w:lang w:val="sr-Latn-CS"/>
        </w:rPr>
        <w:tab/>
      </w:r>
      <w:r w:rsidRPr="00AB0A18">
        <w:rPr>
          <w:rFonts w:ascii="Times New Roman" w:eastAsia="Times New Roman" w:hAnsi="Times New Roman" w:cs="Times New Roman"/>
          <w:b/>
          <w:bCs/>
          <w:lang w:val="ru-RU"/>
        </w:rPr>
        <w:t xml:space="preserve">KAKO ČUVATI LIJEK </w:t>
      </w:r>
      <w:r w:rsidRPr="00AB0A18">
        <w:rPr>
          <w:rFonts w:ascii="Times New Roman" w:eastAsia="Times New Roman" w:hAnsi="Times New Roman" w:cs="Times New Roman"/>
          <w:b/>
          <w:lang w:val="sr-Latn-CS"/>
        </w:rPr>
        <w:t>Berlithion</w:t>
      </w:r>
      <w:r w:rsidRPr="00AB0A18">
        <w:rPr>
          <w:rFonts w:ascii="Times New Roman" w:eastAsia="Times New Roman" w:hAnsi="Times New Roman" w:cs="Times New Roman"/>
          <w:b/>
          <w:vertAlign w:val="superscript"/>
          <w:lang w:val="sr-Latn-CS"/>
        </w:rPr>
        <w:t xml:space="preserve"> </w:t>
      </w:r>
      <w:r w:rsidRPr="00AB0A18">
        <w:rPr>
          <w:rFonts w:ascii="Times New Roman" w:eastAsia="Times New Roman" w:hAnsi="Times New Roman" w:cs="Times New Roman"/>
          <w:b/>
          <w:lang w:val="sr-Latn-CS"/>
        </w:rPr>
        <w:t>600 ED</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 xml:space="preserve"> </w:t>
      </w:r>
    </w:p>
    <w:p w14:paraId="47D21C6A" w14:textId="77777777" w:rsidR="00AB0A18" w:rsidRPr="00AB0A18" w:rsidRDefault="00AB0A18" w:rsidP="00AB0A18">
      <w:pPr>
        <w:spacing w:after="0" w:line="240" w:lineRule="auto"/>
        <w:rPr>
          <w:rFonts w:ascii="Times New Roman" w:eastAsia="Times New Roman" w:hAnsi="Times New Roman" w:cs="Times New Roman"/>
          <w:b/>
          <w:bCs/>
          <w:lang w:val="pt-PT"/>
        </w:rPr>
      </w:pPr>
    </w:p>
    <w:p w14:paraId="6298DDA1" w14:textId="77777777" w:rsidR="00AB0A18" w:rsidRPr="00AB0A18" w:rsidRDefault="00AB0A18" w:rsidP="00AB0A18">
      <w:pPr>
        <w:spacing w:after="0" w:line="240" w:lineRule="auto"/>
        <w:rPr>
          <w:rFonts w:ascii="Times New Roman" w:eastAsia="Times New Roman" w:hAnsi="Times New Roman" w:cs="Times New Roman"/>
          <w:b/>
          <w:bCs/>
          <w:lang w:val="pt-PT"/>
        </w:rPr>
      </w:pPr>
      <w:r w:rsidRPr="00AB0A18">
        <w:rPr>
          <w:rFonts w:ascii="Times New Roman" w:eastAsia="Times New Roman" w:hAnsi="Times New Roman" w:cs="Times New Roman"/>
          <w:b/>
          <w:bCs/>
          <w:lang w:val="pt-PT"/>
        </w:rPr>
        <w:t>Rok upotrebe</w:t>
      </w:r>
    </w:p>
    <w:p w14:paraId="1D7B6280"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bCs/>
          <w:lang w:val="de-DE"/>
        </w:rPr>
      </w:pPr>
      <w:r w:rsidRPr="00AB0A18">
        <w:rPr>
          <w:rFonts w:ascii="Times New Roman" w:eastAsia="Times New Roman" w:hAnsi="Times New Roman" w:cs="Times New Roman"/>
          <w:bCs/>
          <w:lang w:val="de-DE"/>
        </w:rPr>
        <w:t>3 godine</w:t>
      </w:r>
    </w:p>
    <w:p w14:paraId="217E8964"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p>
    <w:p w14:paraId="0E698059"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 xml:space="preserve">Rok upotrebe nakon razblaženja sa rastvorom natrijum-hlorida je oko 6 sati, zaštitićen od svjetlosti. </w:t>
      </w:r>
    </w:p>
    <w:p w14:paraId="006D8099"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bCs/>
          <w:lang w:val="sr-Latn-CS"/>
        </w:rPr>
      </w:pPr>
    </w:p>
    <w:p w14:paraId="03EB0BC8"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bCs/>
          <w:lang w:val="sr-Latn-CS"/>
        </w:rPr>
        <w:t>Berlithion</w:t>
      </w:r>
      <w:r w:rsidRPr="00AB0A18">
        <w:rPr>
          <w:rFonts w:ascii="Times New Roman" w:eastAsia="Times New Roman" w:hAnsi="Times New Roman" w:cs="Times New Roman"/>
          <w:bCs/>
          <w:vertAlign w:val="superscript"/>
          <w:lang w:val="sr-Latn-CS"/>
        </w:rPr>
        <w:t>®</w:t>
      </w:r>
      <w:r w:rsidRPr="00AB0A18">
        <w:rPr>
          <w:rFonts w:ascii="Times New Roman" w:eastAsia="Times New Roman" w:hAnsi="Times New Roman" w:cs="Times New Roman"/>
          <w:bCs/>
          <w:lang w:val="sr-Latn-CS"/>
        </w:rPr>
        <w:t xml:space="preserve"> 600 ED</w:t>
      </w:r>
      <w:r w:rsidRPr="00AB0A18">
        <w:rPr>
          <w:rFonts w:ascii="Times New Roman" w:eastAsia="Times New Roman" w:hAnsi="Times New Roman" w:cs="Times New Roman"/>
          <w:lang w:val="sr-Latn-CS"/>
        </w:rPr>
        <w:t xml:space="preserve"> ne treba koristiti nakon isteka roka upotrebe koji je označen na spoljašnjem pakovanju i na samoj ampuli. Taj datum se odnosi na poslednji dan u mesecu.</w:t>
      </w:r>
    </w:p>
    <w:p w14:paraId="6B2FB2D9"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p>
    <w:p w14:paraId="1FED2734" w14:textId="77777777" w:rsidR="00AB0A18" w:rsidRPr="00AB0A18" w:rsidRDefault="00AB0A18" w:rsidP="00AB0A18">
      <w:pPr>
        <w:spacing w:after="0" w:line="240" w:lineRule="auto"/>
        <w:rPr>
          <w:rFonts w:ascii="Times New Roman" w:eastAsia="Times New Roman" w:hAnsi="Times New Roman" w:cs="Times New Roman"/>
          <w:b/>
          <w:bCs/>
          <w:lang w:val="pt-PT"/>
        </w:rPr>
      </w:pPr>
    </w:p>
    <w:p w14:paraId="6805AD8F" w14:textId="77777777" w:rsidR="00AB0A18" w:rsidRPr="00AB0A18" w:rsidRDefault="00AB0A18" w:rsidP="00AB0A18">
      <w:pPr>
        <w:tabs>
          <w:tab w:val="left" w:pos="284"/>
          <w:tab w:val="center" w:pos="4320"/>
          <w:tab w:val="right" w:pos="8640"/>
        </w:tabs>
        <w:spacing w:after="0" w:line="240" w:lineRule="auto"/>
        <w:rPr>
          <w:rFonts w:ascii="Times New Roman" w:eastAsia="Times New Roman" w:hAnsi="Times New Roman" w:cs="Times New Roman"/>
          <w:b/>
          <w:bCs/>
          <w:lang w:val="pt-PT"/>
        </w:rPr>
      </w:pPr>
      <w:r w:rsidRPr="00AB0A18">
        <w:rPr>
          <w:rFonts w:ascii="Times New Roman" w:eastAsia="Times New Roman" w:hAnsi="Times New Roman" w:cs="Times New Roman"/>
          <w:b/>
          <w:bCs/>
          <w:lang w:val="pt-PT"/>
        </w:rPr>
        <w:lastRenderedPageBreak/>
        <w:t>Čuvanje</w:t>
      </w:r>
    </w:p>
    <w:p w14:paraId="3CE04594"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Čuvati ampule u spoljnjem pakovanju radi zaštite od svjetlosti.</w:t>
      </w:r>
    </w:p>
    <w:p w14:paraId="02DA178F"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Čuvati na temperaturi do 30</w:t>
      </w:r>
      <w:r w:rsidRPr="00AB0A18">
        <w:rPr>
          <w:rFonts w:ascii="Times New Roman" w:eastAsia="Times New Roman" w:hAnsi="Times New Roman" w:cs="Times New Roman"/>
          <w:lang w:val="sr-Latn-CS"/>
        </w:rPr>
        <w:sym w:font="Symbol" w:char="F0B0"/>
      </w:r>
      <w:r w:rsidRPr="00AB0A18">
        <w:rPr>
          <w:rFonts w:ascii="Times New Roman" w:eastAsia="Times New Roman" w:hAnsi="Times New Roman" w:cs="Times New Roman"/>
          <w:lang w:val="sr-Latn-CS"/>
        </w:rPr>
        <w:t>C.</w:t>
      </w:r>
    </w:p>
    <w:p w14:paraId="03C685CC"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Čuvati lijek van vidokruga i domašaja dece.</w:t>
      </w:r>
    </w:p>
    <w:p w14:paraId="7207831A" w14:textId="77777777" w:rsidR="00AB0A18" w:rsidRPr="00AB0A18" w:rsidRDefault="00AB0A18" w:rsidP="00AB0A18">
      <w:pPr>
        <w:tabs>
          <w:tab w:val="left" w:pos="284"/>
          <w:tab w:val="center" w:pos="4320"/>
          <w:tab w:val="right" w:pos="8640"/>
        </w:tabs>
        <w:spacing w:after="0" w:line="240" w:lineRule="auto"/>
        <w:rPr>
          <w:rFonts w:ascii="Times New Roman" w:eastAsia="Times New Roman" w:hAnsi="Times New Roman" w:cs="Times New Roman"/>
          <w:bCs/>
          <w:lang w:val="pt-PT"/>
        </w:rPr>
      </w:pPr>
    </w:p>
    <w:p w14:paraId="253D82C9" w14:textId="77777777" w:rsidR="00AB0A18" w:rsidRPr="00AB0A18" w:rsidRDefault="00AB0A18" w:rsidP="00AB0A18">
      <w:pPr>
        <w:spacing w:after="0" w:line="240" w:lineRule="auto"/>
        <w:rPr>
          <w:rFonts w:ascii="Times New Roman" w:eastAsia="Times New Roman" w:hAnsi="Times New Roman" w:cs="Times New Roman"/>
          <w:bCs/>
          <w:lang w:val="sr-Latn-CS"/>
        </w:rPr>
      </w:pPr>
    </w:p>
    <w:p w14:paraId="43CF176F" w14:textId="77777777" w:rsidR="00AB0A18" w:rsidRPr="00AB0A18" w:rsidRDefault="00AB0A18" w:rsidP="00AB0A18">
      <w:pPr>
        <w:tabs>
          <w:tab w:val="left" w:pos="540"/>
          <w:tab w:val="left" w:pos="569"/>
        </w:tabs>
        <w:spacing w:after="0" w:line="240" w:lineRule="auto"/>
        <w:rPr>
          <w:rFonts w:ascii="Times New Roman" w:eastAsia="Times New Roman" w:hAnsi="Times New Roman" w:cs="Times New Roman"/>
          <w:b/>
          <w:bCs/>
          <w:lang w:val="ru-RU"/>
        </w:rPr>
      </w:pPr>
      <w:r w:rsidRPr="00AB0A18">
        <w:rPr>
          <w:rFonts w:ascii="Times New Roman" w:eastAsia="Times New Roman" w:hAnsi="Times New Roman" w:cs="Times New Roman"/>
          <w:b/>
          <w:bCs/>
          <w:lang w:val="ru-RU"/>
        </w:rPr>
        <w:t xml:space="preserve">6. </w:t>
      </w:r>
      <w:r w:rsidRPr="00AB0A18">
        <w:rPr>
          <w:rFonts w:ascii="Times New Roman" w:eastAsia="Times New Roman" w:hAnsi="Times New Roman" w:cs="Times New Roman"/>
          <w:b/>
          <w:bCs/>
          <w:lang w:val="sr-Latn-CS"/>
        </w:rPr>
        <w:tab/>
      </w:r>
      <w:r w:rsidRPr="00AB0A18">
        <w:rPr>
          <w:rFonts w:ascii="Times New Roman" w:eastAsia="Times New Roman" w:hAnsi="Times New Roman" w:cs="Times New Roman"/>
          <w:b/>
          <w:bCs/>
          <w:lang w:val="ru-RU"/>
        </w:rPr>
        <w:t>DODATNE INFORMACIJE</w:t>
      </w:r>
    </w:p>
    <w:p w14:paraId="7AC2E2EC" w14:textId="77777777" w:rsidR="00AB0A18" w:rsidRPr="00AB0A18" w:rsidRDefault="00AB0A18" w:rsidP="00AB0A18">
      <w:pPr>
        <w:spacing w:after="0" w:line="240" w:lineRule="auto"/>
        <w:rPr>
          <w:rFonts w:ascii="Times New Roman" w:eastAsia="Times New Roman" w:hAnsi="Times New Roman" w:cs="Times New Roman"/>
          <w:lang w:val="pl-PL"/>
        </w:rPr>
      </w:pPr>
    </w:p>
    <w:p w14:paraId="218883A1" w14:textId="77777777" w:rsidR="00AB0A18" w:rsidRPr="00AB0A18" w:rsidRDefault="00AB0A18" w:rsidP="00AB0A18">
      <w:pPr>
        <w:spacing w:after="0" w:line="240" w:lineRule="auto"/>
        <w:rPr>
          <w:rFonts w:ascii="Times New Roman" w:eastAsia="Times New Roman" w:hAnsi="Times New Roman" w:cs="Times New Roman"/>
          <w:b/>
          <w:lang w:val="pl-PL"/>
        </w:rPr>
      </w:pPr>
      <w:r w:rsidRPr="00AB0A18">
        <w:rPr>
          <w:rFonts w:ascii="Times New Roman" w:eastAsia="Times New Roman" w:hAnsi="Times New Roman" w:cs="Times New Roman"/>
          <w:b/>
          <w:bCs/>
          <w:lang w:val="sr-Latn-CS"/>
        </w:rPr>
        <w:t xml:space="preserve">Šta sadrži lijek </w:t>
      </w:r>
      <w:r w:rsidRPr="00AB0A18">
        <w:rPr>
          <w:rFonts w:ascii="Times New Roman" w:eastAsia="Times New Roman" w:hAnsi="Times New Roman" w:cs="Times New Roman"/>
          <w:b/>
          <w:lang w:val="sr-Latn-CS"/>
        </w:rPr>
        <w:t>Berlithion</w:t>
      </w:r>
      <w:r w:rsidRPr="00AB0A18">
        <w:rPr>
          <w:rFonts w:ascii="Times New Roman" w:eastAsia="Times New Roman" w:hAnsi="Times New Roman" w:cs="Times New Roman"/>
          <w:b/>
          <w:vertAlign w:val="superscript"/>
          <w:lang w:val="sr-Latn-CS"/>
        </w:rPr>
        <w:t xml:space="preserve"> </w:t>
      </w:r>
      <w:r w:rsidRPr="00AB0A18">
        <w:rPr>
          <w:rFonts w:ascii="Times New Roman" w:eastAsia="Times New Roman" w:hAnsi="Times New Roman" w:cs="Times New Roman"/>
          <w:b/>
          <w:lang w:val="sr-Latn-CS"/>
        </w:rPr>
        <w:t>600 ED</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 xml:space="preserve"> </w:t>
      </w:r>
    </w:p>
    <w:p w14:paraId="0D2E6FC3" w14:textId="77777777" w:rsidR="00AB0A18" w:rsidRPr="00AB0A18" w:rsidRDefault="00AB0A18" w:rsidP="00AB0A18">
      <w:pPr>
        <w:tabs>
          <w:tab w:val="left" w:pos="708"/>
        </w:tabs>
        <w:spacing w:after="0" w:line="240" w:lineRule="auto"/>
        <w:ind w:left="72" w:hanging="72"/>
        <w:rPr>
          <w:rFonts w:ascii="Times New Roman" w:eastAsia="Times New Roman" w:hAnsi="Times New Roman" w:cs="Times New Roman"/>
          <w:bCs/>
          <w:lang w:val="it-IT"/>
        </w:rPr>
      </w:pPr>
      <w:r w:rsidRPr="00AB0A18">
        <w:rPr>
          <w:rFonts w:ascii="Times New Roman" w:eastAsia="Times New Roman" w:hAnsi="Times New Roman" w:cs="Times New Roman"/>
          <w:lang w:val="it-IT"/>
        </w:rPr>
        <w:t xml:space="preserve">Aktivna supstanca je: </w:t>
      </w:r>
      <w:r w:rsidRPr="00AB0A18">
        <w:rPr>
          <w:rFonts w:ascii="Times New Roman" w:eastAsia="Times New Roman" w:hAnsi="Times New Roman" w:cs="Times New Roman"/>
          <w:bCs/>
          <w:lang w:val="it-IT"/>
        </w:rPr>
        <w:t>Tioktinska kiselina</w:t>
      </w:r>
    </w:p>
    <w:p w14:paraId="49824F20" w14:textId="77777777" w:rsidR="00AB0A18" w:rsidRPr="00AB0A18" w:rsidRDefault="00AB0A18" w:rsidP="00AB0A18">
      <w:pPr>
        <w:spacing w:after="0" w:line="240" w:lineRule="auto"/>
        <w:rPr>
          <w:rFonts w:ascii="Times New Roman" w:eastAsia="Times New Roman" w:hAnsi="Times New Roman" w:cs="Times New Roman"/>
          <w:bCs/>
          <w:lang w:val="it-IT"/>
        </w:rPr>
      </w:pPr>
    </w:p>
    <w:p w14:paraId="27225CD0" w14:textId="77777777" w:rsidR="00AB0A18" w:rsidRPr="00AB0A18" w:rsidRDefault="00AB0A18" w:rsidP="00AB0A18">
      <w:pPr>
        <w:spacing w:after="0" w:line="240" w:lineRule="auto"/>
        <w:rPr>
          <w:rFonts w:ascii="Times New Roman" w:eastAsia="Times New Roman" w:hAnsi="Times New Roman" w:cs="Times New Roman"/>
          <w:lang w:val="sr-Latn-CS"/>
        </w:rPr>
      </w:pPr>
      <w:r w:rsidRPr="00AB0A18">
        <w:rPr>
          <w:rFonts w:ascii="Times New Roman" w:eastAsia="Times New Roman" w:hAnsi="Times New Roman" w:cs="Times New Roman"/>
          <w:lang w:val="sr-Latn-CS"/>
        </w:rPr>
        <w:t>Jedna ampula od 24 ml koncentrata za rastvor za infuziju sadrži 600 mg tioktinske kiseline, u obliku etilendiamino soli.</w:t>
      </w:r>
    </w:p>
    <w:p w14:paraId="6C4F5766" w14:textId="77777777" w:rsidR="00AB0A18" w:rsidRPr="00AB0A18" w:rsidRDefault="00AB0A18" w:rsidP="00AB0A18">
      <w:pPr>
        <w:spacing w:after="0" w:line="240" w:lineRule="auto"/>
        <w:rPr>
          <w:rFonts w:ascii="Times New Roman" w:eastAsia="Times New Roman" w:hAnsi="Times New Roman" w:cs="Times New Roman"/>
          <w:bCs/>
          <w:lang w:val="it-IT"/>
        </w:rPr>
      </w:pPr>
    </w:p>
    <w:p w14:paraId="3AD8DAF7" w14:textId="77777777" w:rsidR="00AB0A18" w:rsidRPr="00AB0A18" w:rsidRDefault="00AB0A18" w:rsidP="00AB0A18">
      <w:pPr>
        <w:spacing w:after="0" w:line="240" w:lineRule="auto"/>
        <w:rPr>
          <w:rFonts w:ascii="Times New Roman" w:eastAsia="Times New Roman" w:hAnsi="Times New Roman" w:cs="Times New Roman"/>
          <w:lang w:val="it-IT"/>
        </w:rPr>
      </w:pPr>
      <w:r w:rsidRPr="00AB0A18">
        <w:rPr>
          <w:rFonts w:ascii="Times New Roman" w:eastAsia="Times New Roman" w:hAnsi="Times New Roman" w:cs="Times New Roman"/>
          <w:lang w:val="it-IT"/>
        </w:rPr>
        <w:t xml:space="preserve">Ostali sastojci su: </w:t>
      </w:r>
    </w:p>
    <w:p w14:paraId="2C5519C3" w14:textId="77777777" w:rsidR="00AB0A18" w:rsidRPr="00AB0A18" w:rsidRDefault="00AB0A18" w:rsidP="00AB0A18">
      <w:pPr>
        <w:spacing w:after="0" w:line="240" w:lineRule="auto"/>
        <w:rPr>
          <w:rFonts w:ascii="Times New Roman" w:eastAsia="Times New Roman" w:hAnsi="Times New Roman" w:cs="Times New Roman"/>
        </w:rPr>
      </w:pPr>
      <w:r w:rsidRPr="00AB0A18">
        <w:rPr>
          <w:rFonts w:ascii="Times New Roman" w:eastAsia="Times New Roman" w:hAnsi="Times New Roman" w:cs="Times New Roman"/>
          <w:bCs/>
          <w:lang w:val="it-IT"/>
        </w:rPr>
        <w:t>Voda za injekcije, azot, argon</w:t>
      </w:r>
    </w:p>
    <w:p w14:paraId="57CA141F" w14:textId="77777777" w:rsidR="00AB0A18" w:rsidRPr="00AB0A18" w:rsidRDefault="00AB0A18" w:rsidP="00AB0A18">
      <w:pPr>
        <w:spacing w:after="0" w:line="240" w:lineRule="auto"/>
        <w:rPr>
          <w:rFonts w:ascii="Times New Roman" w:eastAsia="Times New Roman" w:hAnsi="Times New Roman" w:cs="Times New Roman"/>
          <w:lang w:val="sr-Latn-CS"/>
        </w:rPr>
      </w:pPr>
    </w:p>
    <w:p w14:paraId="7E72D1A2" w14:textId="77777777" w:rsidR="00AB0A18" w:rsidRPr="00AB0A18" w:rsidRDefault="00AB0A18" w:rsidP="00AB0A18">
      <w:pPr>
        <w:spacing w:after="0" w:line="240" w:lineRule="auto"/>
        <w:rPr>
          <w:rFonts w:ascii="Times New Roman" w:eastAsia="Times New Roman" w:hAnsi="Times New Roman" w:cs="Times New Roman"/>
          <w:b/>
          <w:lang w:val="pl-PL"/>
        </w:rPr>
      </w:pPr>
      <w:r w:rsidRPr="00AB0A18">
        <w:rPr>
          <w:rFonts w:ascii="Times New Roman" w:eastAsia="Times New Roman" w:hAnsi="Times New Roman" w:cs="Times New Roman"/>
          <w:b/>
          <w:lang w:val="sr-Latn-CS"/>
        </w:rPr>
        <w:t>Kako izgleda lijek Berlithion</w:t>
      </w:r>
      <w:r w:rsidRPr="00AB0A18">
        <w:rPr>
          <w:rFonts w:ascii="Times New Roman" w:eastAsia="Times New Roman" w:hAnsi="Times New Roman" w:cs="Times New Roman"/>
          <w:b/>
          <w:vertAlign w:val="superscript"/>
          <w:lang w:val="sr-Latn-CS"/>
        </w:rPr>
        <w:t xml:space="preserve"> </w:t>
      </w:r>
      <w:r w:rsidRPr="00AB0A18">
        <w:rPr>
          <w:rFonts w:ascii="Times New Roman" w:eastAsia="Times New Roman" w:hAnsi="Times New Roman" w:cs="Times New Roman"/>
          <w:b/>
          <w:lang w:val="sr-Latn-CS"/>
        </w:rPr>
        <w:t>600 ED</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 xml:space="preserve"> </w:t>
      </w:r>
      <w:r w:rsidRPr="00AB0A18">
        <w:rPr>
          <w:rFonts w:ascii="Times New Roman" w:eastAsia="Times New Roman" w:hAnsi="Times New Roman" w:cs="Times New Roman"/>
          <w:b/>
          <w:lang w:val="sr-Latn-CS"/>
        </w:rPr>
        <w:t>i sadržaj pakovanja</w:t>
      </w:r>
    </w:p>
    <w:p w14:paraId="15E13508" w14:textId="77777777" w:rsidR="00AB0A18" w:rsidRPr="00AB0A18" w:rsidRDefault="00AB0A18" w:rsidP="00AB0A18">
      <w:pPr>
        <w:spacing w:after="0" w:line="240" w:lineRule="auto"/>
        <w:rPr>
          <w:rFonts w:ascii="Times New Roman" w:eastAsia="Times New Roman" w:hAnsi="Times New Roman" w:cs="Times New Roman"/>
          <w:lang w:val="sr-Latn-CS"/>
        </w:rPr>
      </w:pPr>
      <w:r w:rsidRPr="00AB0A18">
        <w:rPr>
          <w:rFonts w:ascii="Times New Roman" w:eastAsia="Times New Roman" w:hAnsi="Times New Roman" w:cs="Times New Roman"/>
          <w:lang w:val="sr-Latn-CS"/>
        </w:rPr>
        <w:t>Izgled: Bistar rastvor žutozelene boje.</w:t>
      </w:r>
    </w:p>
    <w:p w14:paraId="7BBC2D13" w14:textId="77777777" w:rsidR="00AB0A18" w:rsidRPr="00AB0A18" w:rsidRDefault="00AB0A18" w:rsidP="00AB0A18">
      <w:pPr>
        <w:spacing w:after="0" w:line="240" w:lineRule="auto"/>
        <w:rPr>
          <w:rFonts w:ascii="Times New Roman" w:eastAsia="Times New Roman" w:hAnsi="Times New Roman" w:cs="Times New Roman"/>
          <w:lang w:val="sr-Latn-CS"/>
        </w:rPr>
      </w:pPr>
      <w:r w:rsidRPr="00AB0A18">
        <w:rPr>
          <w:rFonts w:ascii="Times New Roman" w:eastAsia="Times New Roman" w:hAnsi="Times New Roman" w:cs="Times New Roman"/>
          <w:lang w:val="sr-Latn-CS"/>
        </w:rPr>
        <w:t>Kutija sa 5 ampula sa po 24 ml koncentrata za rastvor za infuziju u svakoj ampuli.</w:t>
      </w:r>
    </w:p>
    <w:p w14:paraId="7D1A2271" w14:textId="77777777" w:rsidR="00AB0A18" w:rsidRPr="00AB0A18" w:rsidRDefault="00AB0A18" w:rsidP="00AB0A18">
      <w:pPr>
        <w:spacing w:after="0" w:line="240" w:lineRule="auto"/>
        <w:rPr>
          <w:rFonts w:ascii="Times New Roman" w:eastAsia="Times New Roman" w:hAnsi="Times New Roman" w:cs="Times New Roman"/>
        </w:rPr>
      </w:pPr>
    </w:p>
    <w:p w14:paraId="6EA842A8" w14:textId="77777777" w:rsidR="00AB0A18" w:rsidRPr="00AB0A18" w:rsidRDefault="00AB0A18" w:rsidP="00AB0A18">
      <w:pPr>
        <w:spacing w:after="0" w:line="240" w:lineRule="auto"/>
        <w:rPr>
          <w:rFonts w:ascii="Times New Roman" w:eastAsia="Times New Roman" w:hAnsi="Times New Roman" w:cs="Times New Roman"/>
          <w:b/>
          <w:lang w:val="sr-Latn-CS"/>
        </w:rPr>
      </w:pPr>
      <w:r w:rsidRPr="00AB0A18">
        <w:rPr>
          <w:rFonts w:ascii="Times New Roman" w:eastAsia="Times New Roman" w:hAnsi="Times New Roman" w:cs="Times New Roman"/>
          <w:b/>
          <w:lang w:val="sr-Latn-CS"/>
        </w:rPr>
        <w:t>Nosilac dozvole i proizvođač</w:t>
      </w:r>
    </w:p>
    <w:p w14:paraId="48121FBE"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Nosilac dozvole za lijek:</w:t>
      </w:r>
    </w:p>
    <w:p w14:paraId="671C4EBE" w14:textId="77777777" w:rsidR="00F745BE" w:rsidRDefault="00F745BE" w:rsidP="00AB0A18">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noProof/>
          <w:lang w:val="sr-Latn-ME"/>
        </w:rPr>
        <w:t>„BERLIN-CHEMIE/MENARINI MONTENEGRO“ D.O.O. - Podgorica</w:t>
      </w:r>
      <w:r w:rsidRPr="00AB0A18">
        <w:rPr>
          <w:rFonts w:ascii="Times New Roman" w:eastAsia="Times New Roman" w:hAnsi="Times New Roman" w:cs="Times New Roman"/>
          <w:lang w:val="sr-Latn-CS"/>
        </w:rPr>
        <w:t xml:space="preserve"> </w:t>
      </w:r>
    </w:p>
    <w:p w14:paraId="315229CA" w14:textId="4405C962"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bCs/>
        </w:rPr>
      </w:pPr>
      <w:r w:rsidRPr="00AB0A18">
        <w:rPr>
          <w:rFonts w:ascii="Times New Roman" w:eastAsia="Times New Roman" w:hAnsi="Times New Roman" w:cs="Times New Roman"/>
          <w:lang w:val="sr-Latn-CS"/>
        </w:rPr>
        <w:t>Oktobarske revolucije 120, Podgorica, Crna Gora</w:t>
      </w:r>
    </w:p>
    <w:p w14:paraId="3819F589"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bCs/>
        </w:rPr>
      </w:pPr>
    </w:p>
    <w:p w14:paraId="56ED69BA"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bCs/>
          <w:lang w:val="de-DE"/>
        </w:rPr>
      </w:pPr>
      <w:r w:rsidRPr="00AB0A18">
        <w:rPr>
          <w:rFonts w:ascii="Times New Roman" w:eastAsia="Times New Roman" w:hAnsi="Times New Roman" w:cs="Times New Roman"/>
          <w:bCs/>
          <w:lang w:val="de-DE"/>
        </w:rPr>
        <w:t>Proizvođači:</w:t>
      </w:r>
    </w:p>
    <w:p w14:paraId="6CFDE00E"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bCs/>
          <w:lang w:val="de-DE"/>
        </w:rPr>
      </w:pPr>
      <w:r w:rsidRPr="00AB0A18">
        <w:rPr>
          <w:rFonts w:ascii="Times New Roman" w:eastAsia="Times New Roman" w:hAnsi="Times New Roman" w:cs="Times New Roman"/>
          <w:bCs/>
          <w:lang w:val="de-DE"/>
        </w:rPr>
        <w:t>Berlin-Chemie AG (Menarini Group)</w:t>
      </w:r>
    </w:p>
    <w:p w14:paraId="628970F8"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bCs/>
        </w:rPr>
      </w:pPr>
      <w:r w:rsidRPr="00AB0A18">
        <w:rPr>
          <w:rFonts w:ascii="Times New Roman" w:eastAsia="Times New Roman" w:hAnsi="Times New Roman" w:cs="Times New Roman"/>
          <w:bCs/>
        </w:rPr>
        <w:t>Glienicker Weg 125, 12489 Berlin, Njema</w:t>
      </w:r>
      <w:r w:rsidRPr="00AB0A18">
        <w:rPr>
          <w:rFonts w:ascii="Times New Roman" w:eastAsia="Times New Roman" w:hAnsi="Times New Roman" w:cs="Times New Roman"/>
          <w:bCs/>
          <w:lang w:val="sr-Latn-CS"/>
        </w:rPr>
        <w:t>č</w:t>
      </w:r>
      <w:r w:rsidRPr="00AB0A18">
        <w:rPr>
          <w:rFonts w:ascii="Times New Roman" w:eastAsia="Times New Roman" w:hAnsi="Times New Roman" w:cs="Times New Roman"/>
          <w:bCs/>
        </w:rPr>
        <w:t>ka</w:t>
      </w:r>
    </w:p>
    <w:p w14:paraId="4DBFCBE9"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bCs/>
          <w:lang w:val="de-DE"/>
        </w:rPr>
      </w:pPr>
    </w:p>
    <w:p w14:paraId="51FE801C" w14:textId="77777777" w:rsidR="00AB0A18" w:rsidRPr="00AB0A18" w:rsidRDefault="00AB0A18" w:rsidP="00AB0A18">
      <w:pPr>
        <w:widowControl w:val="0"/>
        <w:tabs>
          <w:tab w:val="left" w:pos="284"/>
        </w:tabs>
        <w:autoSpaceDE w:val="0"/>
        <w:autoSpaceDN w:val="0"/>
        <w:spacing w:after="0" w:line="240" w:lineRule="auto"/>
        <w:jc w:val="both"/>
        <w:rPr>
          <w:rFonts w:ascii="Times New Roman" w:eastAsia="Times New Roman" w:hAnsi="Times New Roman" w:cs="Times New Roman"/>
          <w:bCs/>
          <w:lang w:val="de-DE"/>
        </w:rPr>
      </w:pPr>
      <w:r w:rsidRPr="00AB0A18">
        <w:rPr>
          <w:rFonts w:ascii="Times New Roman" w:eastAsia="Times New Roman" w:hAnsi="Times New Roman" w:cs="Times New Roman"/>
          <w:bCs/>
          <w:lang w:val="de-DE"/>
        </w:rPr>
        <w:t>hameln pharmaceuticals GmbH</w:t>
      </w:r>
    </w:p>
    <w:p w14:paraId="2B85A38A"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b/>
          <w:bCs/>
          <w:lang w:val="sr-Latn-CS"/>
        </w:rPr>
      </w:pPr>
      <w:r w:rsidRPr="00AB0A18">
        <w:rPr>
          <w:rFonts w:ascii="Times New Roman" w:eastAsia="Times New Roman" w:hAnsi="Times New Roman" w:cs="Times New Roman"/>
          <w:bCs/>
          <w:lang w:val="de-DE"/>
        </w:rPr>
        <w:t>Langes Feld 13, 31789 Hameln, Njemačka</w:t>
      </w:r>
    </w:p>
    <w:p w14:paraId="40DFB827" w14:textId="77777777" w:rsidR="00AB0A18" w:rsidRPr="00AB0A18" w:rsidRDefault="00AB0A18" w:rsidP="00AB0A18">
      <w:pPr>
        <w:spacing w:after="0" w:line="240" w:lineRule="auto"/>
        <w:rPr>
          <w:rFonts w:ascii="Times New Roman" w:eastAsia="Times New Roman" w:hAnsi="Times New Roman" w:cs="Times New Roman"/>
          <w:lang w:val="sr-Latn-CS"/>
        </w:rPr>
      </w:pPr>
    </w:p>
    <w:p w14:paraId="61A893E5" w14:textId="77777777" w:rsidR="00AB0A18" w:rsidRPr="00AB0A18" w:rsidRDefault="00AB0A18" w:rsidP="00AB0A18">
      <w:pPr>
        <w:spacing w:after="0" w:line="240" w:lineRule="auto"/>
        <w:rPr>
          <w:rFonts w:ascii="Times New Roman" w:eastAsia="Times New Roman" w:hAnsi="Times New Roman" w:cs="Times New Roman"/>
          <w:b/>
          <w:lang w:val="sr-Latn-CS"/>
        </w:rPr>
      </w:pPr>
      <w:r w:rsidRPr="00AB0A18">
        <w:rPr>
          <w:rFonts w:ascii="Times New Roman" w:eastAsia="Times New Roman" w:hAnsi="Times New Roman" w:cs="Times New Roman"/>
          <w:b/>
          <w:lang w:val="sr-Latn-CS"/>
        </w:rPr>
        <w:t>Ovo uputstvo je posljednji put odobreno</w:t>
      </w:r>
    </w:p>
    <w:p w14:paraId="1B3EAF54" w14:textId="77777777" w:rsidR="00AB0A18" w:rsidRDefault="00AB0A18" w:rsidP="00AB0A18">
      <w:pPr>
        <w:spacing w:after="0" w:line="240" w:lineRule="auto"/>
        <w:rPr>
          <w:rFonts w:ascii="Times New Roman" w:eastAsia="Times New Roman" w:hAnsi="Times New Roman" w:cs="Times New Roman"/>
          <w:bCs/>
          <w:lang w:val="sr-Latn-CS"/>
        </w:rPr>
      </w:pPr>
      <w:r>
        <w:rPr>
          <w:rFonts w:ascii="Times New Roman" w:eastAsia="Times New Roman" w:hAnsi="Times New Roman" w:cs="Times New Roman"/>
          <w:bCs/>
          <w:lang w:val="sr-Latn-CS"/>
        </w:rPr>
        <w:t>Mart, 2017.</w:t>
      </w:r>
    </w:p>
    <w:p w14:paraId="4ED8FC03" w14:textId="77777777" w:rsidR="00AB0A18" w:rsidRPr="00AB0A18" w:rsidRDefault="00AB0A18" w:rsidP="00AB0A18">
      <w:pPr>
        <w:spacing w:after="0" w:line="240" w:lineRule="auto"/>
        <w:rPr>
          <w:rFonts w:ascii="Times New Roman" w:eastAsia="Times New Roman" w:hAnsi="Times New Roman" w:cs="Times New Roman"/>
          <w:bCs/>
          <w:lang w:val="sr-Latn-CS"/>
        </w:rPr>
      </w:pPr>
    </w:p>
    <w:p w14:paraId="7548D867" w14:textId="77777777" w:rsidR="00AB0A18" w:rsidRPr="00AB0A18" w:rsidRDefault="00AB0A18" w:rsidP="00AB0A18">
      <w:pPr>
        <w:spacing w:after="0" w:line="240" w:lineRule="auto"/>
        <w:rPr>
          <w:rFonts w:ascii="Times New Roman" w:eastAsia="Times New Roman" w:hAnsi="Times New Roman" w:cs="Times New Roman"/>
          <w:b/>
          <w:lang w:val="sr-Latn-CS"/>
        </w:rPr>
      </w:pPr>
      <w:r w:rsidRPr="00AB0A18">
        <w:rPr>
          <w:rFonts w:ascii="Times New Roman" w:eastAsia="Times New Roman" w:hAnsi="Times New Roman" w:cs="Times New Roman"/>
          <w:b/>
          <w:lang w:val="sr-Latn-CS"/>
        </w:rPr>
        <w:t>Režim izdavanja lijeka</w:t>
      </w:r>
    </w:p>
    <w:p w14:paraId="06A2D50B" w14:textId="77777777" w:rsidR="00AB0A18" w:rsidRPr="00AB0A18" w:rsidRDefault="00AB0A18" w:rsidP="00AB0A18">
      <w:pPr>
        <w:spacing w:after="0" w:line="240" w:lineRule="auto"/>
        <w:rPr>
          <w:rFonts w:ascii="Times New Roman" w:eastAsia="Times New Roman" w:hAnsi="Times New Roman" w:cs="Times New Roman"/>
          <w:lang w:val="sr-Latn-CS"/>
        </w:rPr>
      </w:pPr>
      <w:r w:rsidRPr="00AB0A18">
        <w:rPr>
          <w:rFonts w:ascii="Times New Roman" w:eastAsia="Times New Roman" w:hAnsi="Times New Roman" w:cs="Times New Roman"/>
          <w:lang w:val="sr-Latn-CS"/>
        </w:rPr>
        <w:t>Ograničen recept.</w:t>
      </w:r>
    </w:p>
    <w:p w14:paraId="2FD3B095" w14:textId="77777777" w:rsidR="00AB0A18" w:rsidRPr="00AB0A18" w:rsidRDefault="00AB0A18" w:rsidP="00AB0A18">
      <w:pPr>
        <w:spacing w:after="0" w:line="240" w:lineRule="auto"/>
        <w:rPr>
          <w:rFonts w:ascii="Times New Roman" w:eastAsia="Times New Roman" w:hAnsi="Times New Roman" w:cs="Times New Roman"/>
          <w:lang w:val="sr-Latn-CS"/>
        </w:rPr>
      </w:pPr>
    </w:p>
    <w:p w14:paraId="672A16B3" w14:textId="77777777" w:rsidR="00AB0A18" w:rsidRPr="00AB0A18" w:rsidRDefault="00AB0A18" w:rsidP="00AB0A18">
      <w:pPr>
        <w:spacing w:after="0" w:line="240" w:lineRule="auto"/>
        <w:rPr>
          <w:rFonts w:ascii="Times New Roman" w:eastAsia="Times New Roman" w:hAnsi="Times New Roman" w:cs="Times New Roman"/>
          <w:b/>
          <w:lang w:val="sr-Latn-CS"/>
        </w:rPr>
      </w:pPr>
      <w:r w:rsidRPr="00AB0A18">
        <w:rPr>
          <w:rFonts w:ascii="Times New Roman" w:eastAsia="Times New Roman" w:hAnsi="Times New Roman" w:cs="Times New Roman"/>
          <w:b/>
          <w:lang w:val="sr-Latn-CS"/>
        </w:rPr>
        <w:t>Broj i datum dozvole</w:t>
      </w:r>
    </w:p>
    <w:p w14:paraId="54B5B14F" w14:textId="67A27946" w:rsidR="00AB0A18" w:rsidRDefault="00AB0A18" w:rsidP="00AB0A18">
      <w:pPr>
        <w:tabs>
          <w:tab w:val="left" w:pos="284"/>
        </w:tabs>
        <w:spacing w:after="0" w:line="240" w:lineRule="auto"/>
        <w:rPr>
          <w:rFonts w:ascii="Times New Roman" w:eastAsia="Times New Roman" w:hAnsi="Times New Roman" w:cs="Times New Roman"/>
          <w:caps/>
          <w:lang w:val="sr-Latn-CS"/>
        </w:rPr>
      </w:pPr>
      <w:r w:rsidRPr="000B6E83">
        <w:rPr>
          <w:rFonts w:ascii="Times New Roman" w:eastAsia="Times New Roman" w:hAnsi="Times New Roman" w:cs="Times New Roman"/>
          <w:bCs/>
          <w:lang w:val="sr-Latn-ME"/>
        </w:rPr>
        <w:t>Berlithion® 600 ED, koncentrat za rastvor za infuziju, 600 mg/24</w:t>
      </w:r>
      <w:r w:rsidR="00675AFF">
        <w:rPr>
          <w:rFonts w:ascii="Times New Roman" w:eastAsia="Times New Roman" w:hAnsi="Times New Roman" w:cs="Times New Roman"/>
          <w:bCs/>
          <w:lang w:val="sr-Latn-ME"/>
        </w:rPr>
        <w:t xml:space="preserve"> </w:t>
      </w:r>
      <w:r w:rsidRPr="000B6E83">
        <w:rPr>
          <w:rFonts w:ascii="Times New Roman" w:eastAsia="Times New Roman" w:hAnsi="Times New Roman" w:cs="Times New Roman"/>
          <w:bCs/>
          <w:lang w:val="sr-Latn-ME"/>
        </w:rPr>
        <w:t>ml, ampula, 5x24 m</w:t>
      </w:r>
      <w:r w:rsidR="005664CE">
        <w:rPr>
          <w:rFonts w:ascii="Times New Roman" w:eastAsia="Times New Roman" w:hAnsi="Times New Roman" w:cs="Times New Roman"/>
          <w:bCs/>
          <w:lang w:val="sr-Latn-ME"/>
        </w:rPr>
        <w:t>l</w:t>
      </w:r>
      <w:r w:rsidRPr="000B6E83">
        <w:rPr>
          <w:rFonts w:ascii="Times New Roman" w:eastAsia="Times New Roman" w:hAnsi="Times New Roman" w:cs="Times New Roman"/>
          <w:bCs/>
          <w:lang w:val="sr-Latn-ME"/>
        </w:rPr>
        <w:t xml:space="preserve">: 2030/17/191 </w:t>
      </w:r>
      <w:r>
        <w:rPr>
          <w:rFonts w:ascii="Times New Roman" w:eastAsia="Times New Roman" w:hAnsi="Times New Roman" w:cs="Times New Roman"/>
          <w:bCs/>
          <w:lang w:val="sr-Latn-ME"/>
        </w:rPr>
        <w:t>–</w:t>
      </w:r>
      <w:r w:rsidRPr="000B6E83">
        <w:rPr>
          <w:rFonts w:ascii="Times New Roman" w:eastAsia="Times New Roman" w:hAnsi="Times New Roman" w:cs="Times New Roman"/>
          <w:bCs/>
          <w:lang w:val="sr-Latn-ME"/>
        </w:rPr>
        <w:t xml:space="preserve"> 1036</w:t>
      </w:r>
      <w:r>
        <w:rPr>
          <w:rFonts w:ascii="Times New Roman" w:eastAsia="Times New Roman" w:hAnsi="Times New Roman" w:cs="Times New Roman"/>
          <w:bCs/>
          <w:lang w:val="sr-Latn-ME"/>
        </w:rPr>
        <w:t xml:space="preserve"> od 28.03.2017.</w:t>
      </w:r>
    </w:p>
    <w:p w14:paraId="59600D32" w14:textId="77777777" w:rsidR="00AB0A18" w:rsidRDefault="00AB0A18" w:rsidP="00AB0A18">
      <w:pPr>
        <w:tabs>
          <w:tab w:val="left" w:pos="284"/>
        </w:tabs>
        <w:spacing w:after="0" w:line="240" w:lineRule="auto"/>
        <w:rPr>
          <w:rFonts w:ascii="Times New Roman" w:eastAsia="Times New Roman" w:hAnsi="Times New Roman" w:cs="Times New Roman"/>
          <w:b/>
        </w:rPr>
      </w:pPr>
    </w:p>
    <w:p w14:paraId="54E72DC6" w14:textId="77777777" w:rsidR="00AB0A18" w:rsidRDefault="00AB0A18" w:rsidP="00AB0A18">
      <w:pPr>
        <w:tabs>
          <w:tab w:val="left" w:pos="284"/>
        </w:tabs>
        <w:spacing w:after="0" w:line="240" w:lineRule="auto"/>
        <w:rPr>
          <w:rFonts w:ascii="Times New Roman" w:eastAsia="Times New Roman" w:hAnsi="Times New Roman" w:cs="Times New Roman"/>
          <w:b/>
        </w:rPr>
      </w:pPr>
    </w:p>
    <w:p w14:paraId="43D3F360" w14:textId="77777777" w:rsidR="00AB0A18" w:rsidRDefault="00AB0A18" w:rsidP="00AB0A18">
      <w:pPr>
        <w:tabs>
          <w:tab w:val="left" w:pos="284"/>
        </w:tabs>
        <w:spacing w:after="0" w:line="240" w:lineRule="auto"/>
        <w:rPr>
          <w:rFonts w:ascii="Times New Roman" w:eastAsia="Times New Roman" w:hAnsi="Times New Roman" w:cs="Times New Roman"/>
          <w:b/>
        </w:rPr>
      </w:pPr>
    </w:p>
    <w:p w14:paraId="352C79AD" w14:textId="77777777" w:rsidR="00AB0A18" w:rsidRDefault="00AB0A18" w:rsidP="00AB0A18">
      <w:pPr>
        <w:tabs>
          <w:tab w:val="left" w:pos="284"/>
        </w:tabs>
        <w:spacing w:after="0" w:line="240" w:lineRule="auto"/>
        <w:rPr>
          <w:rFonts w:ascii="Times New Roman" w:eastAsia="Times New Roman" w:hAnsi="Times New Roman" w:cs="Times New Roman"/>
          <w:b/>
        </w:rPr>
      </w:pPr>
    </w:p>
    <w:p w14:paraId="0644A67C" w14:textId="77777777" w:rsidR="00AB0A18" w:rsidRDefault="00AB0A18" w:rsidP="00AB0A18">
      <w:pPr>
        <w:tabs>
          <w:tab w:val="left" w:pos="284"/>
        </w:tabs>
        <w:spacing w:after="0" w:line="240" w:lineRule="auto"/>
        <w:rPr>
          <w:rFonts w:ascii="Times New Roman" w:eastAsia="Times New Roman" w:hAnsi="Times New Roman" w:cs="Times New Roman"/>
          <w:b/>
        </w:rPr>
      </w:pPr>
    </w:p>
    <w:p w14:paraId="12B3A536" w14:textId="77777777" w:rsidR="00AB0A18" w:rsidRPr="00AB0A18" w:rsidRDefault="00AB0A18" w:rsidP="00AB0A18">
      <w:pPr>
        <w:tabs>
          <w:tab w:val="left" w:pos="284"/>
        </w:tabs>
        <w:spacing w:after="0" w:line="240" w:lineRule="auto"/>
        <w:rPr>
          <w:rFonts w:ascii="Times New Roman" w:eastAsia="Times New Roman" w:hAnsi="Times New Roman" w:cs="Times New Roman"/>
          <w:b/>
        </w:rPr>
      </w:pPr>
    </w:p>
    <w:p w14:paraId="10D5CB02" w14:textId="77777777" w:rsidR="00AB0A18" w:rsidRPr="00AB0A18" w:rsidRDefault="00AB0A18" w:rsidP="00AB0A18">
      <w:pPr>
        <w:tabs>
          <w:tab w:val="left" w:pos="284"/>
        </w:tabs>
        <w:spacing w:after="0" w:line="240" w:lineRule="auto"/>
        <w:jc w:val="center"/>
        <w:rPr>
          <w:rFonts w:ascii="Times New Roman" w:eastAsia="Times New Roman" w:hAnsi="Times New Roman" w:cs="Times New Roman"/>
          <w:b/>
        </w:rPr>
      </w:pPr>
    </w:p>
    <w:p w14:paraId="74D9BCA7" w14:textId="77777777" w:rsidR="00AB0A18" w:rsidRPr="00AB0A18" w:rsidRDefault="00AB0A18" w:rsidP="00AB0A18">
      <w:pPr>
        <w:tabs>
          <w:tab w:val="left" w:pos="284"/>
        </w:tabs>
        <w:spacing w:after="0" w:line="240" w:lineRule="auto"/>
        <w:jc w:val="center"/>
        <w:rPr>
          <w:rFonts w:ascii="Times New Roman" w:eastAsia="Times New Roman" w:hAnsi="Times New Roman" w:cs="Times New Roman"/>
          <w:b/>
        </w:rPr>
      </w:pPr>
      <w:r w:rsidRPr="00AB0A18">
        <w:rPr>
          <w:rFonts w:ascii="Times New Roman" w:eastAsia="Times New Roman" w:hAnsi="Times New Roman" w:cs="Times New Roman"/>
          <w:b/>
        </w:rPr>
        <w:t>Sledeće informacije namenjene su isključivo zdravstvenim stručnjacima</w:t>
      </w:r>
    </w:p>
    <w:p w14:paraId="602743F5" w14:textId="77777777" w:rsidR="00AB0A18" w:rsidRPr="00AB0A18" w:rsidRDefault="00AB0A18" w:rsidP="00AB0A18">
      <w:pPr>
        <w:tabs>
          <w:tab w:val="left" w:pos="284"/>
        </w:tabs>
        <w:spacing w:after="0" w:line="240" w:lineRule="auto"/>
        <w:jc w:val="center"/>
        <w:rPr>
          <w:rFonts w:ascii="Times New Roman" w:eastAsia="Times New Roman" w:hAnsi="Times New Roman" w:cs="Times New Roman"/>
          <w:caps/>
          <w:lang w:val="sr-Latn-CS"/>
        </w:rPr>
      </w:pPr>
    </w:p>
    <w:tbl>
      <w:tblPr>
        <w:tblW w:w="10188" w:type="dxa"/>
        <w:tblLayout w:type="fixed"/>
        <w:tblLook w:val="0000" w:firstRow="0" w:lastRow="0" w:firstColumn="0" w:lastColumn="0" w:noHBand="0" w:noVBand="0"/>
      </w:tblPr>
      <w:tblGrid>
        <w:gridCol w:w="10008"/>
        <w:gridCol w:w="9"/>
        <w:gridCol w:w="171"/>
      </w:tblGrid>
      <w:tr w:rsidR="00AB0A18" w:rsidRPr="00AB0A18" w14:paraId="5387F0B9" w14:textId="77777777" w:rsidTr="00914D1F">
        <w:trPr>
          <w:gridAfter w:val="1"/>
          <w:wAfter w:w="171" w:type="dxa"/>
          <w:cantSplit/>
          <w:trHeight w:val="418"/>
        </w:trPr>
        <w:tc>
          <w:tcPr>
            <w:tcW w:w="10017" w:type="dxa"/>
            <w:gridSpan w:val="2"/>
            <w:vAlign w:val="center"/>
          </w:tcPr>
          <w:p w14:paraId="5D67006B" w14:textId="77777777" w:rsidR="00AB0A18" w:rsidRPr="00AB0A18" w:rsidRDefault="00AB0A18" w:rsidP="00AB0A18">
            <w:pPr>
              <w:tabs>
                <w:tab w:val="left" w:pos="284"/>
              </w:tabs>
              <w:spacing w:before="80" w:after="80" w:line="240" w:lineRule="auto"/>
              <w:rPr>
                <w:rFonts w:ascii="Times New Roman" w:eastAsia="Times New Roman" w:hAnsi="Times New Roman" w:cs="Times New Roman"/>
                <w:b/>
                <w:bCs/>
              </w:rPr>
            </w:pPr>
            <w:r w:rsidRPr="00AB0A18">
              <w:rPr>
                <w:rFonts w:ascii="Times New Roman" w:eastAsia="Times New Roman" w:hAnsi="Times New Roman" w:cs="Times New Roman"/>
                <w:b/>
                <w:bCs/>
              </w:rPr>
              <w:t>Terapijske indikacije</w:t>
            </w:r>
          </w:p>
        </w:tc>
      </w:tr>
      <w:tr w:rsidR="00AB0A18" w:rsidRPr="00AB0A18" w14:paraId="6DB36F12" w14:textId="77777777" w:rsidTr="00914D1F">
        <w:trPr>
          <w:gridAfter w:val="1"/>
          <w:wAfter w:w="171" w:type="dxa"/>
          <w:cantSplit/>
          <w:trHeight w:val="283"/>
        </w:trPr>
        <w:tc>
          <w:tcPr>
            <w:tcW w:w="10017" w:type="dxa"/>
            <w:gridSpan w:val="2"/>
            <w:vAlign w:val="center"/>
          </w:tcPr>
          <w:p w14:paraId="212AB99B" w14:textId="77777777" w:rsidR="00AB0A18" w:rsidRPr="00AB0A18" w:rsidRDefault="00AB0A18" w:rsidP="00AB0A18">
            <w:pPr>
              <w:tabs>
                <w:tab w:val="left" w:pos="284"/>
              </w:tabs>
              <w:spacing w:after="0" w:line="240" w:lineRule="auto"/>
              <w:ind w:right="20"/>
              <w:jc w:val="both"/>
              <w:rPr>
                <w:rFonts w:ascii="Times New Roman" w:eastAsia="Times New Roman" w:hAnsi="Times New Roman" w:cs="Times New Roman"/>
                <w:lang w:val="hr-HR"/>
              </w:rPr>
            </w:pPr>
            <w:r w:rsidRPr="00AB0A18">
              <w:rPr>
                <w:rFonts w:ascii="Times New Roman" w:eastAsia="Times New Roman" w:hAnsi="Times New Roman" w:cs="Times New Roman"/>
                <w:lang w:val="sr-Latn-CS"/>
              </w:rPr>
              <w:t>Simptomatsko liječenje parestezija kod d</w:t>
            </w:r>
            <w:r w:rsidRPr="00AB0A18">
              <w:rPr>
                <w:rFonts w:ascii="Times New Roman" w:eastAsia="Times New Roman" w:hAnsi="Times New Roman" w:cs="Times New Roman"/>
                <w:lang w:val="hr-HR"/>
              </w:rPr>
              <w:t>ijabetesne polineuropatije.</w:t>
            </w:r>
          </w:p>
          <w:p w14:paraId="7F1F4553" w14:textId="77777777" w:rsidR="00AB0A18" w:rsidRPr="00AB0A18" w:rsidRDefault="00AB0A18" w:rsidP="00AB0A18">
            <w:pPr>
              <w:tabs>
                <w:tab w:val="left" w:pos="284"/>
              </w:tabs>
              <w:spacing w:after="0" w:line="240" w:lineRule="auto"/>
              <w:ind w:right="20"/>
              <w:jc w:val="both"/>
              <w:rPr>
                <w:rFonts w:ascii="Times New Roman" w:eastAsia="Times New Roman" w:hAnsi="Times New Roman" w:cs="Times New Roman"/>
                <w:lang w:val="hr-HR"/>
              </w:rPr>
            </w:pPr>
          </w:p>
        </w:tc>
      </w:tr>
      <w:tr w:rsidR="00AB0A18" w:rsidRPr="00AB0A18" w14:paraId="2D103EF3" w14:textId="77777777" w:rsidTr="00914D1F">
        <w:trPr>
          <w:gridAfter w:val="1"/>
          <w:wAfter w:w="171" w:type="dxa"/>
          <w:cantSplit/>
          <w:trHeight w:val="418"/>
        </w:trPr>
        <w:tc>
          <w:tcPr>
            <w:tcW w:w="10017" w:type="dxa"/>
            <w:gridSpan w:val="2"/>
            <w:vAlign w:val="center"/>
          </w:tcPr>
          <w:p w14:paraId="17B8F15D" w14:textId="77777777" w:rsidR="00AB0A18" w:rsidRPr="00AB0A18" w:rsidRDefault="00AB0A18" w:rsidP="00AB0A18">
            <w:pPr>
              <w:tabs>
                <w:tab w:val="left" w:pos="284"/>
              </w:tabs>
              <w:spacing w:before="80" w:after="80" w:line="240" w:lineRule="auto"/>
              <w:rPr>
                <w:rFonts w:ascii="Times New Roman" w:eastAsia="Times New Roman" w:hAnsi="Times New Roman" w:cs="Times New Roman"/>
                <w:b/>
                <w:bCs/>
              </w:rPr>
            </w:pPr>
            <w:r w:rsidRPr="00AB0A18">
              <w:rPr>
                <w:rFonts w:ascii="Times New Roman" w:eastAsia="Times New Roman" w:hAnsi="Times New Roman" w:cs="Times New Roman"/>
                <w:b/>
                <w:bCs/>
              </w:rPr>
              <w:t>Doziranje i način primjene</w:t>
            </w:r>
          </w:p>
        </w:tc>
      </w:tr>
      <w:tr w:rsidR="00AB0A18" w:rsidRPr="00AB0A18" w14:paraId="092EF638" w14:textId="77777777" w:rsidTr="00914D1F">
        <w:trPr>
          <w:gridAfter w:val="1"/>
          <w:wAfter w:w="171" w:type="dxa"/>
          <w:cantSplit/>
          <w:trHeight w:val="1145"/>
        </w:trPr>
        <w:tc>
          <w:tcPr>
            <w:tcW w:w="10017" w:type="dxa"/>
            <w:gridSpan w:val="2"/>
            <w:vAlign w:val="center"/>
          </w:tcPr>
          <w:p w14:paraId="634BB2A9"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Doziranje</w:t>
            </w:r>
          </w:p>
          <w:p w14:paraId="6A11FB0C"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Pri izraženim parestezijama kod dijabetesne polineuropatije, kod odraslih se preporučuje intravenska aplikacija u dozi od 24 ml (1 ampula lijeka Berlithion 600ED) koncentrata za rastvor za infuziju dnevno (što odgovara 600 mg tioktinske kiseline/dan).</w:t>
            </w:r>
          </w:p>
          <w:p w14:paraId="4ED8ECA6"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p>
          <w:p w14:paraId="72FB8EB8"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pl-PL"/>
              </w:rPr>
            </w:pPr>
            <w:r w:rsidRPr="00AB0A18">
              <w:rPr>
                <w:rFonts w:ascii="Times New Roman" w:eastAsia="Times New Roman" w:hAnsi="Times New Roman" w:cs="Times New Roman"/>
                <w:lang w:val="pl-PL"/>
              </w:rPr>
              <w:t>Način primjene</w:t>
            </w:r>
          </w:p>
          <w:p w14:paraId="379F10B2"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pl-PL"/>
              </w:rPr>
            </w:pPr>
            <w:r w:rsidRPr="00AB0A18">
              <w:rPr>
                <w:rFonts w:ascii="Times New Roman" w:eastAsia="Times New Roman" w:hAnsi="Times New Roman" w:cs="Times New Roman"/>
                <w:lang w:val="pl-PL"/>
              </w:rPr>
              <w:t xml:space="preserve">Poslije razblaživanja, koncentrat za rastvor za infuziju se daje intravenski u inicijalnoj fazi terapije, tokom </w:t>
            </w:r>
          </w:p>
          <w:p w14:paraId="6C504D36"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pl-PL"/>
              </w:rPr>
            </w:pPr>
            <w:r w:rsidRPr="00AB0A18">
              <w:rPr>
                <w:rFonts w:ascii="Times New Roman" w:eastAsia="Times New Roman" w:hAnsi="Times New Roman" w:cs="Times New Roman"/>
                <w:lang w:val="pl-PL"/>
              </w:rPr>
              <w:t xml:space="preserve">2 </w:t>
            </w:r>
            <w:r w:rsidRPr="00AB0A18">
              <w:rPr>
                <w:rFonts w:ascii="Times New Roman" w:eastAsia="Times New Roman" w:hAnsi="Times New Roman" w:cs="Times New Roman"/>
                <w:lang w:val="pl-PL"/>
              </w:rPr>
              <w:noBreakHyphen/>
              <w:t xml:space="preserve"> 4 nedjelje.</w:t>
            </w:r>
          </w:p>
          <w:p w14:paraId="5FAEF492"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pl-PL"/>
              </w:rPr>
            </w:pPr>
          </w:p>
          <w:p w14:paraId="55E96ADE"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lang w:val="pl-PL"/>
              </w:rPr>
              <w:t>Intravenska primjena lijeka trebalo bi da bude u obliku kratkotrajne infuzije u trajanju od najmanje 30 minuta, rastvorom dobijenim poslije rastvaranja sadržaja 1 ampule Berlithion</w:t>
            </w:r>
            <w:r w:rsidRPr="00AB0A18">
              <w:rPr>
                <w:rFonts w:ascii="Times New Roman" w:eastAsia="Times New Roman" w:hAnsi="Times New Roman" w:cs="Times New Roman"/>
                <w:vertAlign w:val="superscript"/>
                <w:lang w:val="pl-PL"/>
              </w:rPr>
              <w:t xml:space="preserve"> </w:t>
            </w:r>
            <w:r w:rsidRPr="00AB0A18">
              <w:rPr>
                <w:rFonts w:ascii="Times New Roman" w:eastAsia="Times New Roman" w:hAnsi="Times New Roman" w:cs="Times New Roman"/>
                <w:lang w:val="pl-PL"/>
              </w:rPr>
              <w:t>600 ED u 250 ml 0,9%</w:t>
            </w:r>
            <w:r w:rsidRPr="00AB0A18">
              <w:rPr>
                <w:rFonts w:ascii="Times New Roman" w:eastAsia="Times New Roman" w:hAnsi="Times New Roman" w:cs="Times New Roman"/>
                <w:lang w:val="pl-PL"/>
              </w:rPr>
              <w:noBreakHyphen/>
              <w:t xml:space="preserve">tnog </w:t>
            </w:r>
            <w:r w:rsidRPr="00AB0A18">
              <w:rPr>
                <w:rFonts w:ascii="Times New Roman" w:eastAsia="Times New Roman" w:hAnsi="Times New Roman" w:cs="Times New Roman"/>
                <w:lang w:val="sr-Latn-CS"/>
              </w:rPr>
              <w:t>(fiziološkog) r</w:t>
            </w:r>
            <w:r w:rsidRPr="00AB0A18">
              <w:rPr>
                <w:rFonts w:ascii="Times New Roman" w:eastAsia="Times New Roman" w:hAnsi="Times New Roman" w:cs="Times New Roman"/>
                <w:lang w:val="pl-PL"/>
              </w:rPr>
              <w:t xml:space="preserve">astvora natrijum hlorida. Zbog osjetljivosti aktivne supstance na svjetlost, rastvor za infuziju treba pripremati neposredno pred aplikaciju. Pripremljeni rastvor za infuziju se mora zaštititi od svijetla aluminijumskom folijom. </w:t>
            </w:r>
            <w:r w:rsidRPr="00AB0A18">
              <w:rPr>
                <w:rFonts w:ascii="Times New Roman" w:eastAsia="Times New Roman" w:hAnsi="Times New Roman" w:cs="Times New Roman"/>
              </w:rPr>
              <w:t>Rastvor za infuziju, koji je zaštićen od svjetlosti, stabilan je 6 sati. Potrebno je osigurati da je vrijeme trajanja infuzije najmanje 30 minuta.</w:t>
            </w:r>
          </w:p>
          <w:p w14:paraId="76B59AB7"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pl-PL"/>
              </w:rPr>
            </w:pPr>
          </w:p>
          <w:p w14:paraId="2FFD570B"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 xml:space="preserve">Za kontinuiranu terapiju preporučuje se uzimanje 600 mg tioktinske kiseline dnevno u farmaceutskom obliku za oralnu upotrebu. </w:t>
            </w:r>
          </w:p>
          <w:p w14:paraId="2500FE84"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pl-PL"/>
              </w:rPr>
            </w:pPr>
          </w:p>
          <w:p w14:paraId="3230C64D"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Osnov za liječenje dijabetesne polineuropatije je optimalna kontrola dijabetesa.</w:t>
            </w:r>
          </w:p>
          <w:p w14:paraId="1434423B"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u w:val="single"/>
                <w:lang w:val="pl-PL"/>
              </w:rPr>
            </w:pPr>
          </w:p>
          <w:p w14:paraId="33DD8523"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u w:val="single"/>
                <w:lang w:val="pl-PL"/>
              </w:rPr>
            </w:pPr>
            <w:r w:rsidRPr="00AB0A18">
              <w:rPr>
                <w:rFonts w:ascii="Times New Roman" w:eastAsia="Times New Roman" w:hAnsi="Times New Roman" w:cs="Times New Roman"/>
                <w:u w:val="single"/>
                <w:lang w:val="pl-PL"/>
              </w:rPr>
              <w:t>Pedijatrijska populacija</w:t>
            </w:r>
          </w:p>
          <w:p w14:paraId="54494FED"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Berlithion 600 ED, koncentrat za rastvor za infuziju, ne smije se primjenjivati kod djece i adolescenata (vidjeti dio 4.3).</w:t>
            </w:r>
          </w:p>
          <w:p w14:paraId="1B8C2A7D"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p>
          <w:p w14:paraId="6B46CCC2" w14:textId="77777777" w:rsidR="00AB0A18" w:rsidRPr="00AB0A18" w:rsidRDefault="00AB0A18" w:rsidP="00AB0A18">
            <w:pPr>
              <w:autoSpaceDE w:val="0"/>
              <w:autoSpaceDN w:val="0"/>
              <w:adjustRightInd w:val="0"/>
              <w:spacing w:after="0" w:line="240" w:lineRule="auto"/>
              <w:jc w:val="both"/>
              <w:rPr>
                <w:rFonts w:ascii="Times New Roman" w:eastAsia="Times New Roman" w:hAnsi="Times New Roman" w:cs="Times New Roman"/>
                <w:color w:val="000000"/>
                <w:u w:val="single"/>
              </w:rPr>
            </w:pPr>
            <w:r w:rsidRPr="00AB0A18">
              <w:rPr>
                <w:rFonts w:ascii="Times New Roman" w:eastAsia="Times New Roman" w:hAnsi="Times New Roman" w:cs="Times New Roman"/>
                <w:color w:val="000000"/>
                <w:u w:val="single"/>
              </w:rPr>
              <w:t xml:space="preserve">Starije osobe </w:t>
            </w:r>
          </w:p>
          <w:p w14:paraId="162A1608"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Nije potrebno posebno prilagođavanje doze.</w:t>
            </w:r>
          </w:p>
          <w:p w14:paraId="679BE594"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p>
          <w:p w14:paraId="62C35334" w14:textId="77777777" w:rsidR="00AB0A18" w:rsidRPr="00AB0A18" w:rsidRDefault="00AB0A18" w:rsidP="00AB0A18">
            <w:pPr>
              <w:autoSpaceDE w:val="0"/>
              <w:autoSpaceDN w:val="0"/>
              <w:adjustRightInd w:val="0"/>
              <w:spacing w:after="0" w:line="240" w:lineRule="auto"/>
              <w:jc w:val="both"/>
              <w:rPr>
                <w:rFonts w:ascii="Times New Roman" w:eastAsia="Times New Roman" w:hAnsi="Times New Roman" w:cs="Times New Roman"/>
                <w:color w:val="000000"/>
                <w:u w:val="single"/>
              </w:rPr>
            </w:pPr>
            <w:r w:rsidRPr="00AB0A18">
              <w:rPr>
                <w:rFonts w:ascii="Times New Roman" w:eastAsia="Times New Roman" w:hAnsi="Times New Roman" w:cs="Times New Roman"/>
                <w:color w:val="000000"/>
                <w:u w:val="single"/>
              </w:rPr>
              <w:t xml:space="preserve">Pacijenti sa oštećenom bubrežnom funkcijom </w:t>
            </w:r>
          </w:p>
          <w:p w14:paraId="7A5BD611" w14:textId="77777777" w:rsidR="00AB0A18" w:rsidRPr="00AB0A18" w:rsidRDefault="00AB0A18" w:rsidP="00AB0A18">
            <w:pPr>
              <w:autoSpaceDE w:val="0"/>
              <w:autoSpaceDN w:val="0"/>
              <w:adjustRightInd w:val="0"/>
              <w:spacing w:after="0" w:line="240" w:lineRule="auto"/>
              <w:jc w:val="both"/>
              <w:rPr>
                <w:rFonts w:ascii="Times New Roman" w:eastAsia="Times New Roman" w:hAnsi="Times New Roman" w:cs="Times New Roman"/>
                <w:color w:val="000000"/>
              </w:rPr>
            </w:pPr>
            <w:r w:rsidRPr="00AB0A18">
              <w:rPr>
                <w:rFonts w:ascii="Times New Roman" w:eastAsia="Times New Roman" w:hAnsi="Times New Roman" w:cs="Times New Roman"/>
                <w:color w:val="000000"/>
              </w:rPr>
              <w:t>Nije potrebno snižavanje doze kod pacijenata sa oštećenom funkcijom bubrega.</w:t>
            </w:r>
          </w:p>
          <w:p w14:paraId="303044C2" w14:textId="77777777" w:rsidR="00AB0A18" w:rsidRPr="00AB0A18" w:rsidRDefault="00AB0A18" w:rsidP="00AB0A18">
            <w:pPr>
              <w:autoSpaceDE w:val="0"/>
              <w:autoSpaceDN w:val="0"/>
              <w:adjustRightInd w:val="0"/>
              <w:spacing w:after="0" w:line="240" w:lineRule="auto"/>
              <w:jc w:val="both"/>
              <w:rPr>
                <w:rFonts w:ascii="Times New Roman" w:eastAsia="Times New Roman" w:hAnsi="Times New Roman" w:cs="Times New Roman"/>
                <w:color w:val="000000"/>
              </w:rPr>
            </w:pPr>
            <w:r w:rsidRPr="00AB0A18">
              <w:rPr>
                <w:rFonts w:ascii="Times New Roman" w:eastAsia="Times New Roman" w:hAnsi="Times New Roman" w:cs="Times New Roman"/>
                <w:color w:val="000000"/>
              </w:rPr>
              <w:t xml:space="preserve"> </w:t>
            </w:r>
          </w:p>
          <w:p w14:paraId="46CAA69C" w14:textId="77777777" w:rsidR="00AB0A18" w:rsidRPr="00AB0A18" w:rsidRDefault="00AB0A18" w:rsidP="00AB0A18">
            <w:pPr>
              <w:autoSpaceDE w:val="0"/>
              <w:autoSpaceDN w:val="0"/>
              <w:adjustRightInd w:val="0"/>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color w:val="000000"/>
                <w:u w:val="single"/>
              </w:rPr>
              <w:t>Pacijenti sa oštećenom funkcijom jetre</w:t>
            </w:r>
            <w:r w:rsidRPr="00AB0A18">
              <w:rPr>
                <w:rFonts w:ascii="Times New Roman" w:eastAsia="Times New Roman" w:hAnsi="Times New Roman" w:cs="Times New Roman"/>
              </w:rPr>
              <w:t xml:space="preserve"> </w:t>
            </w:r>
          </w:p>
          <w:p w14:paraId="67668A3B" w14:textId="77777777" w:rsidR="00AB0A18" w:rsidRDefault="00AB0A18" w:rsidP="00AB0A18">
            <w:pPr>
              <w:tabs>
                <w:tab w:val="left" w:pos="284"/>
              </w:tabs>
              <w:spacing w:after="0" w:line="240" w:lineRule="auto"/>
              <w:jc w:val="both"/>
              <w:rPr>
                <w:rFonts w:ascii="Times New Roman" w:eastAsia="Times New Roman" w:hAnsi="Times New Roman" w:cs="Times New Roman"/>
                <w:b/>
                <w:lang w:val="pl-PL"/>
              </w:rPr>
            </w:pPr>
            <w:r w:rsidRPr="00AB0A18">
              <w:rPr>
                <w:rFonts w:ascii="Times New Roman" w:eastAsia="Times New Roman" w:hAnsi="Times New Roman" w:cs="Times New Roman"/>
              </w:rPr>
              <w:t>Nije potrebno snižavanje doze kod pacijenata sa oštećenom funkcijom jetre.</w:t>
            </w:r>
          </w:p>
          <w:p w14:paraId="63D1F849"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b/>
                <w:lang w:val="pl-PL"/>
              </w:rPr>
            </w:pPr>
          </w:p>
        </w:tc>
      </w:tr>
      <w:tr w:rsidR="00AB0A18" w:rsidRPr="00AB0A18" w14:paraId="7E49D021" w14:textId="77777777" w:rsidTr="00914D1F">
        <w:trPr>
          <w:gridAfter w:val="2"/>
          <w:wAfter w:w="180" w:type="dxa"/>
        </w:trPr>
        <w:tc>
          <w:tcPr>
            <w:tcW w:w="10008" w:type="dxa"/>
            <w:vAlign w:val="center"/>
          </w:tcPr>
          <w:p w14:paraId="69A872D2" w14:textId="77777777" w:rsidR="00AB0A18" w:rsidRPr="00AB0A18" w:rsidRDefault="00AB0A18" w:rsidP="00AB0A18">
            <w:pPr>
              <w:tabs>
                <w:tab w:val="left" w:pos="284"/>
              </w:tabs>
              <w:spacing w:before="80" w:after="80" w:line="240" w:lineRule="auto"/>
              <w:jc w:val="both"/>
              <w:rPr>
                <w:rFonts w:ascii="Times New Roman" w:eastAsia="Times New Roman" w:hAnsi="Times New Roman" w:cs="Times New Roman"/>
                <w:b/>
                <w:bCs/>
              </w:rPr>
            </w:pPr>
            <w:r w:rsidRPr="00AB0A18">
              <w:rPr>
                <w:rFonts w:ascii="Times New Roman" w:eastAsia="Times New Roman" w:hAnsi="Times New Roman" w:cs="Times New Roman"/>
                <w:b/>
                <w:bCs/>
              </w:rPr>
              <w:t>Kontraindikacije</w:t>
            </w:r>
          </w:p>
        </w:tc>
      </w:tr>
      <w:tr w:rsidR="00AB0A18" w:rsidRPr="00AB0A18" w14:paraId="2172BD9E" w14:textId="77777777" w:rsidTr="00914D1F">
        <w:trPr>
          <w:gridAfter w:val="2"/>
          <w:wAfter w:w="180" w:type="dxa"/>
          <w:trHeight w:val="1145"/>
        </w:trPr>
        <w:tc>
          <w:tcPr>
            <w:tcW w:w="10008" w:type="dxa"/>
            <w:vAlign w:val="center"/>
          </w:tcPr>
          <w:p w14:paraId="70C28D21"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color w:val="000000"/>
                <w:lang w:val="hr-HR"/>
              </w:rPr>
            </w:pPr>
            <w:r w:rsidRPr="00AB0A18">
              <w:rPr>
                <w:rFonts w:ascii="Times New Roman" w:eastAsia="Times New Roman" w:hAnsi="Times New Roman" w:cs="Times New Roman"/>
                <w:lang w:val="sr-Latn-CS"/>
              </w:rPr>
              <w:lastRenderedPageBreak/>
              <w:t>Berlithion</w:t>
            </w:r>
            <w:r w:rsidRPr="00AB0A18">
              <w:rPr>
                <w:rFonts w:ascii="Times New Roman" w:eastAsia="Times New Roman" w:hAnsi="Times New Roman" w:cs="Times New Roman"/>
                <w:vertAlign w:val="superscript"/>
                <w:lang w:val="sr-Latn-CS"/>
              </w:rPr>
              <w:t xml:space="preserve"> </w:t>
            </w:r>
            <w:r w:rsidRPr="00AB0A18">
              <w:rPr>
                <w:rFonts w:ascii="Times New Roman" w:eastAsia="Times New Roman" w:hAnsi="Times New Roman" w:cs="Times New Roman"/>
                <w:lang w:val="sr-Latn-CS"/>
              </w:rPr>
              <w:t xml:space="preserve">600 ED je </w:t>
            </w:r>
            <w:r w:rsidRPr="00AB0A18">
              <w:rPr>
                <w:rFonts w:ascii="Times New Roman" w:eastAsia="Times New Roman" w:hAnsi="Times New Roman" w:cs="Times New Roman"/>
                <w:lang w:val="hr-HR"/>
              </w:rPr>
              <w:t>kontraindikovan kod pacijenata sa poznatom preosjetljivošću na aktivnu supstancu ili na bilo koju od pomoćnih supstanci navedenih u odjeljku 6.1.</w:t>
            </w:r>
          </w:p>
          <w:p w14:paraId="72AD10AA" w14:textId="77777777" w:rsidR="00AB0A18" w:rsidRPr="00AB0A18" w:rsidRDefault="00AB0A18" w:rsidP="00AB0A18">
            <w:pPr>
              <w:autoSpaceDE w:val="0"/>
              <w:autoSpaceDN w:val="0"/>
              <w:adjustRightInd w:val="0"/>
              <w:spacing w:after="0" w:line="240" w:lineRule="auto"/>
              <w:jc w:val="both"/>
              <w:rPr>
                <w:rFonts w:ascii="Times New Roman" w:eastAsia="Times New Roman" w:hAnsi="Times New Roman" w:cs="Times New Roman"/>
                <w:color w:val="000000"/>
              </w:rPr>
            </w:pPr>
            <w:r w:rsidRPr="00AB0A18">
              <w:rPr>
                <w:rFonts w:ascii="Times New Roman" w:eastAsia="Times New Roman" w:hAnsi="Times New Roman" w:cs="Times New Roman"/>
                <w:color w:val="000000"/>
                <w:u w:val="single"/>
              </w:rPr>
              <w:t xml:space="preserve">Napomena: </w:t>
            </w:r>
          </w:p>
          <w:p w14:paraId="74653653" w14:textId="77777777" w:rsid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Berlithion 600 ED, koncentrat za rastvor za infuziju, ne smije se koristiti u liječenju djece i adolescenata, s obzirom na to da ne postoje klinička iskustva.</w:t>
            </w:r>
          </w:p>
          <w:p w14:paraId="69E215FF"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color w:val="000000"/>
                <w:lang w:val="hr-HR"/>
              </w:rPr>
            </w:pPr>
          </w:p>
        </w:tc>
      </w:tr>
      <w:tr w:rsidR="00AB0A18" w:rsidRPr="00AB0A18" w14:paraId="5A7DF9F3" w14:textId="77777777" w:rsidTr="00914D1F">
        <w:trPr>
          <w:gridAfter w:val="2"/>
          <w:wAfter w:w="180" w:type="dxa"/>
          <w:cantSplit/>
        </w:trPr>
        <w:tc>
          <w:tcPr>
            <w:tcW w:w="10008" w:type="dxa"/>
            <w:vAlign w:val="center"/>
          </w:tcPr>
          <w:p w14:paraId="49E1120B" w14:textId="77777777" w:rsidR="00AB0A18" w:rsidRPr="00AB0A18" w:rsidRDefault="00AB0A18" w:rsidP="00AB0A18">
            <w:pPr>
              <w:tabs>
                <w:tab w:val="left" w:pos="284"/>
              </w:tabs>
              <w:spacing w:before="80" w:after="80" w:line="240" w:lineRule="auto"/>
              <w:jc w:val="both"/>
              <w:rPr>
                <w:rFonts w:ascii="Times New Roman" w:eastAsia="Times New Roman" w:hAnsi="Times New Roman" w:cs="Times New Roman"/>
                <w:b/>
                <w:bCs/>
                <w:lang w:val="pl-PL"/>
              </w:rPr>
            </w:pPr>
            <w:r w:rsidRPr="00AB0A18">
              <w:rPr>
                <w:rFonts w:ascii="Times New Roman" w:eastAsia="Times New Roman" w:hAnsi="Times New Roman" w:cs="Times New Roman"/>
                <w:b/>
                <w:bCs/>
                <w:lang w:val="pl-PL"/>
              </w:rPr>
              <w:t>Posebna upozorenja i mere opreza pri upotrebi lijeka</w:t>
            </w:r>
          </w:p>
        </w:tc>
      </w:tr>
      <w:tr w:rsidR="00AB0A18" w:rsidRPr="00AB0A18" w14:paraId="4408D008" w14:textId="77777777" w:rsidTr="00914D1F">
        <w:trPr>
          <w:gridAfter w:val="2"/>
          <w:wAfter w:w="180" w:type="dxa"/>
          <w:cantSplit/>
          <w:trHeight w:val="1145"/>
        </w:trPr>
        <w:tc>
          <w:tcPr>
            <w:tcW w:w="10008" w:type="dxa"/>
            <w:vAlign w:val="center"/>
          </w:tcPr>
          <w:p w14:paraId="2DEAC3D5"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pl-PL"/>
              </w:rPr>
            </w:pPr>
            <w:r w:rsidRPr="00AB0A18">
              <w:rPr>
                <w:rFonts w:ascii="Times New Roman" w:eastAsia="Times New Roman" w:hAnsi="Times New Roman" w:cs="Times New Roman"/>
                <w:lang w:val="pl-PL"/>
              </w:rPr>
              <w:t xml:space="preserve">Prijavljene su reakcije preosjetljivosti, </w:t>
            </w:r>
            <w:r w:rsidRPr="00AB0A18">
              <w:rPr>
                <w:rFonts w:ascii="Times New Roman" w:eastAsia="Times New Roman" w:hAnsi="Times New Roman" w:cs="Times New Roman"/>
                <w:lang w:val="it-IT"/>
              </w:rPr>
              <w:t xml:space="preserve">uključujući anafilaktičke reakcije, </w:t>
            </w:r>
            <w:r w:rsidRPr="00AB0A18">
              <w:rPr>
                <w:rFonts w:ascii="Times New Roman" w:eastAsia="Times New Roman" w:hAnsi="Times New Roman" w:cs="Times New Roman"/>
                <w:lang w:val="pl-PL"/>
              </w:rPr>
              <w:t>povezane sa parenteralnom primjenom tioktinske kiseline, (vidjeti odjeljak Neželjena dejstva), usljed čega pacijente na terapiji ovim preparatom treba pažljivo pratiti. U slučaju pojave ranih simptoma (svrab, mučnina, malaksalost, itd.) terapija se mora odmah prekinuti i mogu biti potrebne dalje terapijske mjere.</w:t>
            </w:r>
          </w:p>
          <w:p w14:paraId="22679314"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en-GB"/>
              </w:rPr>
            </w:pPr>
            <w:r w:rsidRPr="00AB0A18">
              <w:rPr>
                <w:rFonts w:ascii="Times New Roman" w:eastAsia="Times New Roman" w:hAnsi="Times New Roman" w:cs="Times New Roman"/>
                <w:lang w:val="en-GB"/>
              </w:rPr>
              <w:t>Slučajevi Insulin Autoimunog Sindroma (IAS) zabilježeni su tokom terapije tioktinskom kiselinom. Pacijenti sa genotipom humanog leukocitnog antigena poput HLA-DRB1*04:06 i HLA-DRB1*04:03 alela, podložniji su  pojavi IAS tokom primjene tioktinske kiseline. HLA-DRB1*04:03 alel (</w:t>
            </w:r>
            <w:r w:rsidRPr="00AB0A18">
              <w:rPr>
                <w:rFonts w:ascii="Times New Roman" w:eastAsia="Times New Roman" w:hAnsi="Times New Roman" w:cs="Times New Roman"/>
                <w:i/>
                <w:lang w:val="en-GB"/>
              </w:rPr>
              <w:t>odds ratio</w:t>
            </w:r>
            <w:r w:rsidRPr="00AB0A18">
              <w:rPr>
                <w:rFonts w:ascii="Times New Roman" w:eastAsia="Times New Roman" w:hAnsi="Times New Roman" w:cs="Times New Roman"/>
                <w:lang w:val="en-GB"/>
              </w:rPr>
              <w:t xml:space="preserve"> za susceptibilnost ka IAS: 1.6) se uglavnom javlja kod pripadnika bijele rase, sa većom prevalencom na jugu u odnosu na sjever Evrope. Alel HLA-DRB1*04:06  (odds ratio za susceptibilnost ka IAS: 56.6) uglavnom je prisutan kod pacijenata japanskog I korejskog porijekla.</w:t>
            </w:r>
          </w:p>
          <w:p w14:paraId="7A8231CA" w14:textId="77777777" w:rsidR="00AB0A18" w:rsidRDefault="00AB0A18" w:rsidP="00AB0A18">
            <w:pPr>
              <w:tabs>
                <w:tab w:val="left" w:pos="284"/>
              </w:tabs>
              <w:spacing w:after="0" w:line="240" w:lineRule="auto"/>
              <w:jc w:val="both"/>
              <w:rPr>
                <w:rFonts w:ascii="Times New Roman" w:eastAsia="Times New Roman" w:hAnsi="Times New Roman" w:cs="Times New Roman"/>
                <w:lang w:val="en-GB"/>
              </w:rPr>
            </w:pPr>
            <w:r w:rsidRPr="00AB0A18">
              <w:rPr>
                <w:rFonts w:ascii="Times New Roman" w:eastAsia="Times New Roman" w:hAnsi="Times New Roman" w:cs="Times New Roman"/>
                <w:lang w:val="en-GB"/>
              </w:rPr>
              <w:t>IAS je potrebno razmotriti u smislu diferencijalne dijagnoze spontanih hipoglikemija kod pacijenata koji koriste tioktinsku kiselinu (vidjeti odjeljak 4.8.).</w:t>
            </w:r>
          </w:p>
          <w:p w14:paraId="6FBD162E"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en-GB"/>
              </w:rPr>
            </w:pPr>
          </w:p>
        </w:tc>
      </w:tr>
      <w:tr w:rsidR="00AB0A18" w:rsidRPr="00AB0A18" w14:paraId="219E1C07" w14:textId="77777777" w:rsidTr="00914D1F">
        <w:trPr>
          <w:gridAfter w:val="2"/>
          <w:wAfter w:w="180" w:type="dxa"/>
          <w:cantSplit/>
        </w:trPr>
        <w:tc>
          <w:tcPr>
            <w:tcW w:w="10008" w:type="dxa"/>
            <w:vAlign w:val="center"/>
          </w:tcPr>
          <w:p w14:paraId="21219D59" w14:textId="77777777" w:rsidR="00AB0A18" w:rsidRPr="00AB0A18" w:rsidRDefault="00AB0A18" w:rsidP="00AB0A18">
            <w:pPr>
              <w:tabs>
                <w:tab w:val="left" w:pos="284"/>
              </w:tabs>
              <w:spacing w:before="80" w:after="80" w:line="240" w:lineRule="auto"/>
              <w:jc w:val="both"/>
              <w:rPr>
                <w:rFonts w:ascii="Times New Roman" w:eastAsia="Times New Roman" w:hAnsi="Times New Roman" w:cs="Times New Roman"/>
                <w:b/>
                <w:bCs/>
                <w:lang w:val="pl-PL"/>
              </w:rPr>
            </w:pPr>
            <w:r w:rsidRPr="00AB0A18">
              <w:rPr>
                <w:rFonts w:ascii="Times New Roman" w:eastAsia="Times New Roman" w:hAnsi="Times New Roman" w:cs="Times New Roman"/>
                <w:b/>
                <w:bCs/>
                <w:lang w:val="pl-PL"/>
              </w:rPr>
              <w:t>Interakcije sa drugim ljekovima i druge vrste interakcija</w:t>
            </w:r>
          </w:p>
        </w:tc>
      </w:tr>
      <w:tr w:rsidR="00AB0A18" w:rsidRPr="00AB0A18" w14:paraId="0609FF22" w14:textId="77777777" w:rsidTr="00914D1F">
        <w:trPr>
          <w:gridAfter w:val="2"/>
          <w:wAfter w:w="180" w:type="dxa"/>
          <w:cantSplit/>
          <w:trHeight w:val="1145"/>
        </w:trPr>
        <w:tc>
          <w:tcPr>
            <w:tcW w:w="10008" w:type="dxa"/>
            <w:vAlign w:val="center"/>
          </w:tcPr>
          <w:p w14:paraId="49A5F0F7"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hr-HR"/>
              </w:rPr>
            </w:pPr>
            <w:r w:rsidRPr="00AB0A18">
              <w:rPr>
                <w:rFonts w:ascii="Times New Roman" w:eastAsia="Times New Roman" w:hAnsi="Times New Roman" w:cs="Times New Roman"/>
              </w:rPr>
              <w:t xml:space="preserve">Tioktinska kiselina je helator metala te </w:t>
            </w:r>
            <w:r w:rsidRPr="00AB0A18">
              <w:rPr>
                <w:rFonts w:ascii="Times New Roman" w:eastAsia="Times New Roman" w:hAnsi="Times New Roman" w:cs="Times New Roman"/>
                <w:i/>
                <w:iCs/>
              </w:rPr>
              <w:t xml:space="preserve">in vitro </w:t>
            </w:r>
            <w:r w:rsidRPr="00AB0A18">
              <w:rPr>
                <w:rFonts w:ascii="Times New Roman" w:eastAsia="Times New Roman" w:hAnsi="Times New Roman" w:cs="Times New Roman"/>
              </w:rPr>
              <w:t>reaguje sa kompleksima metalnih jona (npr. sa cisplatinom).</w:t>
            </w:r>
          </w:p>
          <w:p w14:paraId="7E1A04F3"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hr-HR"/>
              </w:rPr>
            </w:pPr>
            <w:r w:rsidRPr="00AB0A18">
              <w:rPr>
                <w:rFonts w:ascii="Times New Roman" w:eastAsia="Times New Roman" w:hAnsi="Times New Roman" w:cs="Times New Roman"/>
                <w:lang w:val="hr-HR"/>
              </w:rPr>
              <w:t xml:space="preserve">Istovremena primjena </w:t>
            </w:r>
            <w:r w:rsidRPr="00AB0A18">
              <w:rPr>
                <w:rFonts w:ascii="Times New Roman" w:eastAsia="Times New Roman" w:hAnsi="Times New Roman" w:cs="Times New Roman"/>
                <w:lang w:val="it-IT"/>
              </w:rPr>
              <w:t>Berlithion</w:t>
            </w:r>
            <w:r w:rsidRPr="00AB0A18">
              <w:rPr>
                <w:rFonts w:ascii="Times New Roman" w:eastAsia="Times New Roman" w:hAnsi="Times New Roman" w:cs="Times New Roman"/>
                <w:lang w:val="sr-Latn-CS"/>
              </w:rPr>
              <w:t xml:space="preserve"> 600 ED</w:t>
            </w:r>
            <w:r w:rsidRPr="00AB0A18">
              <w:rPr>
                <w:rFonts w:ascii="Times New Roman" w:eastAsia="Times New Roman" w:hAnsi="Times New Roman" w:cs="Times New Roman"/>
                <w:lang w:val="hr-HR"/>
              </w:rPr>
              <w:t xml:space="preserve"> i cisplatina, može dovesti do izostanka efekta cisplatina.</w:t>
            </w:r>
          </w:p>
          <w:p w14:paraId="473CDA95" w14:textId="77777777" w:rsidR="00AB0A18" w:rsidRDefault="00AB0A18" w:rsidP="00AB0A18">
            <w:pPr>
              <w:tabs>
                <w:tab w:val="left" w:pos="284"/>
              </w:tabs>
              <w:spacing w:after="0" w:line="240" w:lineRule="auto"/>
              <w:jc w:val="both"/>
              <w:rPr>
                <w:rFonts w:ascii="Times New Roman" w:eastAsia="Times New Roman" w:hAnsi="Times New Roman" w:cs="Times New Roman"/>
                <w:lang w:val="hr-HR"/>
              </w:rPr>
            </w:pPr>
            <w:r w:rsidRPr="00AB0A18">
              <w:rPr>
                <w:rFonts w:ascii="Times New Roman" w:eastAsia="Times New Roman" w:hAnsi="Times New Roman" w:cs="Times New Roman"/>
                <w:lang w:val="it-IT"/>
              </w:rPr>
              <w:t>Mo</w:t>
            </w:r>
            <w:r w:rsidRPr="00AB0A18">
              <w:rPr>
                <w:rFonts w:ascii="Times New Roman" w:eastAsia="Times New Roman" w:hAnsi="Times New Roman" w:cs="Times New Roman"/>
                <w:lang w:val="hr-HR"/>
              </w:rPr>
              <w:t>ž</w:t>
            </w:r>
            <w:r w:rsidRPr="00AB0A18">
              <w:rPr>
                <w:rFonts w:ascii="Times New Roman" w:eastAsia="Times New Roman" w:hAnsi="Times New Roman" w:cs="Times New Roman"/>
                <w:lang w:val="it-IT"/>
              </w:rPr>
              <w:t>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do</w:t>
            </w:r>
            <w:r w:rsidRPr="00AB0A18">
              <w:rPr>
                <w:rFonts w:ascii="Times New Roman" w:eastAsia="Times New Roman" w:hAnsi="Times New Roman" w:cs="Times New Roman"/>
                <w:lang w:val="hr-HR"/>
              </w:rPr>
              <w:t>ć</w:t>
            </w:r>
            <w:r w:rsidRPr="00AB0A18">
              <w:rPr>
                <w:rFonts w:ascii="Times New Roman" w:eastAsia="Times New Roman" w:hAnsi="Times New Roman" w:cs="Times New Roman"/>
                <w:lang w:val="it-IT"/>
              </w:rPr>
              <w:t>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do</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potenciranja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hipoglikemijskog</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efekta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insulina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ili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oralnih</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antidijabetika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Zato</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je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neophodno</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pa</w:t>
            </w:r>
            <w:r w:rsidRPr="00AB0A18">
              <w:rPr>
                <w:rFonts w:ascii="Times New Roman" w:eastAsia="Times New Roman" w:hAnsi="Times New Roman" w:cs="Times New Roman"/>
                <w:lang w:val="hr-HR"/>
              </w:rPr>
              <w:t>ž</w:t>
            </w:r>
            <w:r w:rsidRPr="00AB0A18">
              <w:rPr>
                <w:rFonts w:ascii="Times New Roman" w:eastAsia="Times New Roman" w:hAnsi="Times New Roman" w:cs="Times New Roman"/>
                <w:lang w:val="it-IT"/>
              </w:rPr>
              <w:t>ljivo</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pra</w:t>
            </w:r>
            <w:r w:rsidRPr="00AB0A18">
              <w:rPr>
                <w:rFonts w:ascii="Times New Roman" w:eastAsia="Times New Roman" w:hAnsi="Times New Roman" w:cs="Times New Roman"/>
                <w:lang w:val="hr-HR"/>
              </w:rPr>
              <w:t>ć</w:t>
            </w:r>
            <w:r w:rsidRPr="00AB0A18">
              <w:rPr>
                <w:rFonts w:ascii="Times New Roman" w:eastAsia="Times New Roman" w:hAnsi="Times New Roman" w:cs="Times New Roman"/>
                <w:lang w:val="it-IT"/>
              </w:rPr>
              <w:t>enje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nivoa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glukoze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krvi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naro</w:t>
            </w:r>
            <w:r w:rsidRPr="00AB0A18">
              <w:rPr>
                <w:rFonts w:ascii="Times New Roman" w:eastAsia="Times New Roman" w:hAnsi="Times New Roman" w:cs="Times New Roman"/>
                <w:lang w:val="hr-HR"/>
              </w:rPr>
              <w:t>č</w:t>
            </w:r>
            <w:r w:rsidRPr="00AB0A18">
              <w:rPr>
                <w:rFonts w:ascii="Times New Roman" w:eastAsia="Times New Roman" w:hAnsi="Times New Roman" w:cs="Times New Roman"/>
                <w:lang w:val="it-IT"/>
              </w:rPr>
              <w:t>ito</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po</w:t>
            </w:r>
            <w:r w:rsidRPr="00AB0A18">
              <w:rPr>
                <w:rFonts w:ascii="Times New Roman" w:eastAsia="Times New Roman" w:hAnsi="Times New Roman" w:cs="Times New Roman"/>
                <w:lang w:val="hr-HR"/>
              </w:rPr>
              <w:t>č</w:t>
            </w:r>
            <w:r w:rsidRPr="00AB0A18">
              <w:rPr>
                <w:rFonts w:ascii="Times New Roman" w:eastAsia="Times New Roman" w:hAnsi="Times New Roman" w:cs="Times New Roman"/>
                <w:lang w:val="it-IT"/>
              </w:rPr>
              <w:t>etku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terapije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tioktinskom</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kiselinom</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U</w:t>
            </w:r>
            <w:r w:rsidRPr="00AB0A18">
              <w:rPr>
                <w:rFonts w:ascii="Times New Roman" w:eastAsia="Times New Roman" w:hAnsi="Times New Roman" w:cs="Times New Roman"/>
                <w:lang w:val="hr-HR"/>
              </w:rPr>
              <w:t xml:space="preserve"> izolovanim </w:t>
            </w:r>
            <w:r w:rsidRPr="00AB0A18">
              <w:rPr>
                <w:rFonts w:ascii="Times New Roman" w:eastAsia="Times New Roman" w:hAnsi="Times New Roman" w:cs="Times New Roman"/>
                <w:lang w:val="it-IT"/>
              </w:rPr>
              <w:t>slu</w:t>
            </w:r>
            <w:r w:rsidRPr="00AB0A18">
              <w:rPr>
                <w:rFonts w:ascii="Times New Roman" w:eastAsia="Times New Roman" w:hAnsi="Times New Roman" w:cs="Times New Roman"/>
                <w:lang w:val="hr-HR"/>
              </w:rPr>
              <w:t>č</w:t>
            </w:r>
            <w:r w:rsidRPr="00AB0A18">
              <w:rPr>
                <w:rFonts w:ascii="Times New Roman" w:eastAsia="Times New Roman" w:hAnsi="Times New Roman" w:cs="Times New Roman"/>
                <w:lang w:val="it-IT"/>
              </w:rPr>
              <w:t>ajevima</w:t>
            </w:r>
            <w:r w:rsidRPr="00AB0A18">
              <w:rPr>
                <w:rFonts w:ascii="Times New Roman" w:eastAsia="Times New Roman" w:hAnsi="Times New Roman" w:cs="Times New Roman"/>
                <w:lang w:val="hr-HR"/>
              </w:rPr>
              <w:t xml:space="preserve"> č</w:t>
            </w:r>
            <w:r w:rsidRPr="00AB0A18">
              <w:rPr>
                <w:rFonts w:ascii="Times New Roman" w:eastAsia="Times New Roman" w:hAnsi="Times New Roman" w:cs="Times New Roman"/>
                <w:lang w:val="it-IT"/>
              </w:rPr>
              <w:t>ak</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je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potrebno</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redukovati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dozu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insulina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ili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oralnog</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antidijabetika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cilju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izbjegavanja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razvoja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simptoma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hipoglikemije</w:t>
            </w:r>
            <w:r w:rsidRPr="00AB0A18">
              <w:rPr>
                <w:rFonts w:ascii="Times New Roman" w:eastAsia="Times New Roman" w:hAnsi="Times New Roman" w:cs="Times New Roman"/>
                <w:lang w:val="hr-HR"/>
              </w:rPr>
              <w:t>.</w:t>
            </w:r>
          </w:p>
          <w:p w14:paraId="049A6D29"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hr-HR"/>
              </w:rPr>
            </w:pPr>
          </w:p>
          <w:p w14:paraId="335A6801"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u w:val="single"/>
                <w:lang w:val="sr-Latn-CS"/>
              </w:rPr>
            </w:pPr>
            <w:r w:rsidRPr="00AB0A18">
              <w:rPr>
                <w:rFonts w:ascii="Times New Roman" w:eastAsia="Times New Roman" w:hAnsi="Times New Roman" w:cs="Times New Roman"/>
                <w:u w:val="single"/>
                <w:lang w:val="sr-Latn-CS"/>
              </w:rPr>
              <w:t>Napomena:</w:t>
            </w:r>
          </w:p>
          <w:p w14:paraId="2E54CB5A"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hr-HR"/>
              </w:rPr>
            </w:pPr>
            <w:r w:rsidRPr="00AB0A18">
              <w:rPr>
                <w:rFonts w:ascii="Times New Roman" w:eastAsia="Times New Roman" w:hAnsi="Times New Roman" w:cs="Times New Roman"/>
                <w:lang w:val="it-IT"/>
              </w:rPr>
              <w:t>Redovno</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konzumiranje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alkohola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predstavlja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zna</w:t>
            </w:r>
            <w:r w:rsidRPr="00AB0A18">
              <w:rPr>
                <w:rFonts w:ascii="Times New Roman" w:eastAsia="Times New Roman" w:hAnsi="Times New Roman" w:cs="Times New Roman"/>
                <w:lang w:val="hr-HR"/>
              </w:rPr>
              <w:t>č</w:t>
            </w:r>
            <w:r w:rsidRPr="00AB0A18">
              <w:rPr>
                <w:rFonts w:ascii="Times New Roman" w:eastAsia="Times New Roman" w:hAnsi="Times New Roman" w:cs="Times New Roman"/>
                <w:lang w:val="it-IT"/>
              </w:rPr>
              <w:t>ajan</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faktor</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rizika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za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ispoljavanje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progresiju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neuropatije, pa tako</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mo</w:t>
            </w:r>
            <w:r w:rsidRPr="00AB0A18">
              <w:rPr>
                <w:rFonts w:ascii="Times New Roman" w:eastAsia="Times New Roman" w:hAnsi="Times New Roman" w:cs="Times New Roman"/>
                <w:lang w:val="hr-HR"/>
              </w:rPr>
              <w:t>ž</w:t>
            </w:r>
            <w:r w:rsidRPr="00AB0A18">
              <w:rPr>
                <w:rFonts w:ascii="Times New Roman" w:eastAsia="Times New Roman" w:hAnsi="Times New Roman" w:cs="Times New Roman"/>
                <w:lang w:val="it-IT"/>
              </w:rPr>
              <w:t>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umanjiti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uspješnost</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liječenja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preparatom</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Berlithion</w:t>
            </w:r>
            <w:r w:rsidRPr="00AB0A18">
              <w:rPr>
                <w:rFonts w:ascii="Times New Roman" w:eastAsia="Times New Roman" w:hAnsi="Times New Roman" w:cs="Times New Roman"/>
                <w:lang w:val="hr-HR"/>
              </w:rPr>
              <w:t xml:space="preserve"> 600 </w:t>
            </w:r>
            <w:r w:rsidRPr="00AB0A18">
              <w:rPr>
                <w:rFonts w:ascii="Times New Roman" w:eastAsia="Times New Roman" w:hAnsi="Times New Roman" w:cs="Times New Roman"/>
                <w:lang w:val="it-IT"/>
              </w:rPr>
              <w:t xml:space="preserve">ED, </w:t>
            </w:r>
            <w:r w:rsidRPr="00AB0A18">
              <w:rPr>
                <w:rFonts w:ascii="Times New Roman" w:eastAsia="Times New Roman" w:hAnsi="Times New Roman" w:cs="Times New Roman"/>
                <w:lang w:val="sr-Latn-CS"/>
              </w:rPr>
              <w:t>koncentratom za rastvor za infuziju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Stoga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se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pacijentima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sa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dijabetesnom</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polineuropatijom</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savjetuje</w:t>
            </w:r>
            <w:r w:rsidRPr="00AB0A18">
              <w:rPr>
                <w:rFonts w:ascii="Times New Roman" w:eastAsia="Times New Roman" w:hAnsi="Times New Roman" w:cs="Times New Roman"/>
                <w:lang w:val="hr-HR"/>
              </w:rPr>
              <w:t xml:space="preserve"> da izbjegavaju konzumaciju </w:t>
            </w:r>
            <w:r w:rsidRPr="00AB0A18">
              <w:rPr>
                <w:rFonts w:ascii="Times New Roman" w:eastAsia="Times New Roman" w:hAnsi="Times New Roman" w:cs="Times New Roman"/>
                <w:lang w:val="it-IT"/>
              </w:rPr>
              <w:t>alkohola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uklju</w:t>
            </w:r>
            <w:r w:rsidRPr="00AB0A18">
              <w:rPr>
                <w:rFonts w:ascii="Times New Roman" w:eastAsia="Times New Roman" w:hAnsi="Times New Roman" w:cs="Times New Roman"/>
                <w:lang w:val="hr-HR"/>
              </w:rPr>
              <w:t>č</w:t>
            </w:r>
            <w:r w:rsidRPr="00AB0A18">
              <w:rPr>
                <w:rFonts w:ascii="Times New Roman" w:eastAsia="Times New Roman" w:hAnsi="Times New Roman" w:cs="Times New Roman"/>
                <w:lang w:val="it-IT"/>
              </w:rPr>
              <w:t>uju</w:t>
            </w:r>
            <w:r w:rsidRPr="00AB0A18">
              <w:rPr>
                <w:rFonts w:ascii="Times New Roman" w:eastAsia="Times New Roman" w:hAnsi="Times New Roman" w:cs="Times New Roman"/>
                <w:lang w:val="hr-HR"/>
              </w:rPr>
              <w:t>ć</w:t>
            </w:r>
            <w:r w:rsidRPr="00AB0A18">
              <w:rPr>
                <w:rFonts w:ascii="Times New Roman" w:eastAsia="Times New Roman" w:hAnsi="Times New Roman" w:cs="Times New Roman"/>
                <w:lang w:val="it-IT"/>
              </w:rPr>
              <w:t>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periode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kojima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se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ovaj</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lijek</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ne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it-IT"/>
              </w:rPr>
              <w:t>koristi</w:t>
            </w:r>
            <w:r w:rsidRPr="00AB0A18">
              <w:rPr>
                <w:rFonts w:ascii="Times New Roman" w:eastAsia="Times New Roman" w:hAnsi="Times New Roman" w:cs="Times New Roman"/>
                <w:lang w:val="hr-HR"/>
              </w:rPr>
              <w:t>.</w:t>
            </w:r>
          </w:p>
        </w:tc>
      </w:tr>
      <w:tr w:rsidR="00AB0A18" w:rsidRPr="00AB0A18" w14:paraId="779EED21" w14:textId="77777777" w:rsidTr="00914D1F">
        <w:trPr>
          <w:gridAfter w:val="2"/>
          <w:wAfter w:w="180" w:type="dxa"/>
          <w:cantSplit/>
        </w:trPr>
        <w:tc>
          <w:tcPr>
            <w:tcW w:w="10008" w:type="dxa"/>
            <w:vAlign w:val="center"/>
          </w:tcPr>
          <w:p w14:paraId="488D811C" w14:textId="77777777" w:rsidR="00AB0A18" w:rsidRPr="00AB0A18" w:rsidRDefault="00AB0A18" w:rsidP="00AB0A18">
            <w:pPr>
              <w:tabs>
                <w:tab w:val="left" w:pos="284"/>
              </w:tabs>
              <w:spacing w:before="80" w:after="80" w:line="240" w:lineRule="auto"/>
              <w:jc w:val="both"/>
              <w:rPr>
                <w:rFonts w:ascii="Times New Roman" w:eastAsia="Times New Roman" w:hAnsi="Times New Roman" w:cs="Times New Roman"/>
                <w:b/>
                <w:bCs/>
                <w:lang w:val="pl-PL"/>
              </w:rPr>
            </w:pPr>
            <w:r w:rsidRPr="00AB0A18">
              <w:rPr>
                <w:rFonts w:ascii="Times New Roman" w:eastAsia="Times New Roman" w:hAnsi="Times New Roman" w:cs="Times New Roman"/>
                <w:b/>
                <w:bCs/>
                <w:lang w:val="pl-PL"/>
              </w:rPr>
              <w:t>Primjena u periodu trudnoće i dojenja</w:t>
            </w:r>
          </w:p>
        </w:tc>
      </w:tr>
      <w:tr w:rsidR="00AB0A18" w:rsidRPr="00AB0A18" w14:paraId="192B6113" w14:textId="77777777" w:rsidTr="00914D1F">
        <w:trPr>
          <w:gridAfter w:val="2"/>
          <w:wAfter w:w="180" w:type="dxa"/>
          <w:cantSplit/>
          <w:trHeight w:val="1145"/>
        </w:trPr>
        <w:tc>
          <w:tcPr>
            <w:tcW w:w="10008" w:type="dxa"/>
            <w:vAlign w:val="center"/>
          </w:tcPr>
          <w:p w14:paraId="26FC02A7"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hr-HR"/>
              </w:rPr>
              <w:t>Opšti principi farmakoterapije nalažu da se lijek koristi tokom trudnoće i perioda dojenja samo poslije pažljive evaluacije odnosa koristi i rizika.</w:t>
            </w:r>
            <w:r w:rsidRPr="00AB0A18">
              <w:rPr>
                <w:rFonts w:ascii="Times New Roman" w:eastAsia="Times New Roman" w:hAnsi="Times New Roman" w:cs="Times New Roman"/>
                <w:lang w:val="sr-Latn-CS"/>
              </w:rPr>
              <w:t xml:space="preserve"> </w:t>
            </w:r>
          </w:p>
          <w:p w14:paraId="2CFE774B" w14:textId="77777777" w:rsidR="00AB0A18" w:rsidRPr="00AB0A18" w:rsidRDefault="00AB0A18" w:rsidP="00AB0A18">
            <w:pPr>
              <w:autoSpaceDE w:val="0"/>
              <w:autoSpaceDN w:val="0"/>
              <w:adjustRightInd w:val="0"/>
              <w:spacing w:after="0" w:line="240" w:lineRule="auto"/>
              <w:ind w:right="-2"/>
              <w:jc w:val="both"/>
              <w:rPr>
                <w:rFonts w:ascii="Times New Roman" w:eastAsia="Times New Roman" w:hAnsi="Times New Roman" w:cs="Times New Roman"/>
                <w:color w:val="000000"/>
              </w:rPr>
            </w:pPr>
            <w:r w:rsidRPr="00AB0A18">
              <w:rPr>
                <w:rFonts w:ascii="Times New Roman" w:eastAsia="Times New Roman" w:hAnsi="Times New Roman" w:cs="Times New Roman"/>
                <w:color w:val="000000"/>
              </w:rPr>
              <w:t xml:space="preserve">Nema podataka ili su podaci o primjeni tioktinske kiseline  kod trudnica ograničeni. Ispitivanja na životinjama su nedovoljna za konačan zaključak o reproduktivnoj toksičnosti (vidjeti dio 5.3). Ispitivanja reproduktivne toksičnosti nijesu pokazala bilo kakav uticaj na plodnost i rani embrionalni razvoj, odnosno nijesu uočena embriotoksična svojstva. </w:t>
            </w:r>
          </w:p>
          <w:p w14:paraId="39333BAF" w14:textId="77777777" w:rsidR="00AB0A18" w:rsidRPr="00AB0A18" w:rsidRDefault="00AB0A18" w:rsidP="00AB0A18">
            <w:pPr>
              <w:autoSpaceDE w:val="0"/>
              <w:autoSpaceDN w:val="0"/>
              <w:adjustRightInd w:val="0"/>
              <w:spacing w:after="0" w:line="240" w:lineRule="auto"/>
              <w:ind w:right="-2"/>
              <w:jc w:val="both"/>
              <w:rPr>
                <w:rFonts w:ascii="Times New Roman" w:eastAsia="Times New Roman" w:hAnsi="Times New Roman" w:cs="Times New Roman"/>
                <w:color w:val="000000"/>
              </w:rPr>
            </w:pPr>
          </w:p>
          <w:p w14:paraId="7D856E54"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r w:rsidRPr="00AB0A18">
              <w:rPr>
                <w:rFonts w:ascii="Times New Roman" w:eastAsia="Times New Roman" w:hAnsi="Times New Roman" w:cs="Times New Roman"/>
              </w:rPr>
              <w:t xml:space="preserve">Ne preporučuje se primjena Berlithion 600 ED koncentrat za rastvor za infuziju tokom trudnoće osim uz strogu indikaciju ljekara. </w:t>
            </w:r>
          </w:p>
          <w:p w14:paraId="02E690D8"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rPr>
            </w:pPr>
          </w:p>
          <w:p w14:paraId="624F598D"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hr-HR"/>
              </w:rPr>
              <w:t>Nema saznanja o eventualnom izlučivanju tioktinske kiseline u  mlijeko dojilja</w:t>
            </w:r>
            <w:r w:rsidRPr="00AB0A18">
              <w:rPr>
                <w:rFonts w:ascii="Times New Roman" w:eastAsia="Times New Roman" w:hAnsi="Times New Roman" w:cs="Times New Roman"/>
                <w:lang w:val="sr-Latn-CS"/>
              </w:rPr>
              <w:t>.</w:t>
            </w:r>
          </w:p>
        </w:tc>
      </w:tr>
      <w:tr w:rsidR="00AB0A18" w:rsidRPr="00AB0A18" w14:paraId="6AC496E9" w14:textId="77777777" w:rsidTr="00914D1F">
        <w:trPr>
          <w:gridAfter w:val="2"/>
          <w:wAfter w:w="180" w:type="dxa"/>
          <w:cantSplit/>
        </w:trPr>
        <w:tc>
          <w:tcPr>
            <w:tcW w:w="10008" w:type="dxa"/>
            <w:vAlign w:val="center"/>
          </w:tcPr>
          <w:p w14:paraId="3037E122" w14:textId="77777777" w:rsidR="00AB0A18" w:rsidRPr="00AB0A18" w:rsidRDefault="00AB0A18" w:rsidP="00AB0A18">
            <w:pPr>
              <w:tabs>
                <w:tab w:val="left" w:pos="284"/>
              </w:tabs>
              <w:spacing w:before="80" w:after="80" w:line="240" w:lineRule="auto"/>
              <w:jc w:val="both"/>
              <w:rPr>
                <w:rFonts w:ascii="Times New Roman" w:eastAsia="Times New Roman" w:hAnsi="Times New Roman" w:cs="Times New Roman"/>
                <w:b/>
                <w:bCs/>
                <w:spacing w:val="-8"/>
                <w:lang w:val="hr-HR"/>
              </w:rPr>
            </w:pPr>
            <w:r w:rsidRPr="00AB0A18">
              <w:rPr>
                <w:rFonts w:ascii="Times New Roman" w:eastAsia="Times New Roman" w:hAnsi="Times New Roman" w:cs="Times New Roman"/>
                <w:b/>
                <w:bCs/>
                <w:spacing w:val="-8"/>
              </w:rPr>
              <w:lastRenderedPageBreak/>
              <w:t>Uticaj</w:t>
            </w:r>
            <w:r w:rsidRPr="00AB0A18">
              <w:rPr>
                <w:rFonts w:ascii="Times New Roman" w:eastAsia="Times New Roman" w:hAnsi="Times New Roman" w:cs="Times New Roman"/>
                <w:b/>
                <w:bCs/>
                <w:spacing w:val="-8"/>
                <w:lang w:val="hr-HR"/>
              </w:rPr>
              <w:t xml:space="preserve"> </w:t>
            </w:r>
            <w:r w:rsidRPr="00AB0A18">
              <w:rPr>
                <w:rFonts w:ascii="Times New Roman" w:eastAsia="Times New Roman" w:hAnsi="Times New Roman" w:cs="Times New Roman"/>
                <w:b/>
                <w:bCs/>
                <w:spacing w:val="-8"/>
              </w:rPr>
              <w:t>na</w:t>
            </w:r>
            <w:r w:rsidRPr="00AB0A18">
              <w:rPr>
                <w:rFonts w:ascii="Times New Roman" w:eastAsia="Times New Roman" w:hAnsi="Times New Roman" w:cs="Times New Roman"/>
                <w:b/>
                <w:bCs/>
                <w:spacing w:val="-8"/>
                <w:lang w:val="hr-HR"/>
              </w:rPr>
              <w:t xml:space="preserve"> </w:t>
            </w:r>
            <w:r w:rsidRPr="00AB0A18">
              <w:rPr>
                <w:rFonts w:ascii="Times New Roman" w:eastAsia="Times New Roman" w:hAnsi="Times New Roman" w:cs="Times New Roman"/>
                <w:b/>
                <w:bCs/>
                <w:spacing w:val="-8"/>
              </w:rPr>
              <w:t>psihofizi</w:t>
            </w:r>
            <w:r w:rsidRPr="00AB0A18">
              <w:rPr>
                <w:rFonts w:ascii="Times New Roman" w:eastAsia="Times New Roman" w:hAnsi="Times New Roman" w:cs="Times New Roman"/>
                <w:b/>
                <w:bCs/>
                <w:spacing w:val="-8"/>
                <w:lang w:val="hr-HR"/>
              </w:rPr>
              <w:t>č</w:t>
            </w:r>
            <w:r w:rsidRPr="00AB0A18">
              <w:rPr>
                <w:rFonts w:ascii="Times New Roman" w:eastAsia="Times New Roman" w:hAnsi="Times New Roman" w:cs="Times New Roman"/>
                <w:b/>
                <w:bCs/>
                <w:spacing w:val="-8"/>
              </w:rPr>
              <w:t>ke</w:t>
            </w:r>
            <w:r w:rsidRPr="00AB0A18">
              <w:rPr>
                <w:rFonts w:ascii="Times New Roman" w:eastAsia="Times New Roman" w:hAnsi="Times New Roman" w:cs="Times New Roman"/>
                <w:b/>
                <w:bCs/>
                <w:spacing w:val="-8"/>
                <w:lang w:val="hr-HR"/>
              </w:rPr>
              <w:t xml:space="preserve"> </w:t>
            </w:r>
            <w:r w:rsidRPr="00AB0A18">
              <w:rPr>
                <w:rFonts w:ascii="Times New Roman" w:eastAsia="Times New Roman" w:hAnsi="Times New Roman" w:cs="Times New Roman"/>
                <w:b/>
                <w:bCs/>
                <w:spacing w:val="-8"/>
              </w:rPr>
              <w:t>sposobnosti</w:t>
            </w:r>
            <w:r w:rsidRPr="00AB0A18">
              <w:rPr>
                <w:rFonts w:ascii="Times New Roman" w:eastAsia="Times New Roman" w:hAnsi="Times New Roman" w:cs="Times New Roman"/>
                <w:b/>
                <w:bCs/>
                <w:spacing w:val="-8"/>
                <w:lang w:val="hr-HR"/>
              </w:rPr>
              <w:t xml:space="preserve"> </w:t>
            </w:r>
            <w:r w:rsidRPr="00AB0A18">
              <w:rPr>
                <w:rFonts w:ascii="Times New Roman" w:eastAsia="Times New Roman" w:hAnsi="Times New Roman" w:cs="Times New Roman"/>
                <w:b/>
                <w:bCs/>
                <w:spacing w:val="-8"/>
              </w:rPr>
              <w:t>prilikom</w:t>
            </w:r>
            <w:r w:rsidRPr="00AB0A18">
              <w:rPr>
                <w:rFonts w:ascii="Times New Roman" w:eastAsia="Times New Roman" w:hAnsi="Times New Roman" w:cs="Times New Roman"/>
                <w:b/>
                <w:bCs/>
                <w:spacing w:val="-8"/>
                <w:lang w:val="hr-HR"/>
              </w:rPr>
              <w:t xml:space="preserve"> </w:t>
            </w:r>
            <w:r w:rsidRPr="00AB0A18">
              <w:rPr>
                <w:rFonts w:ascii="Times New Roman" w:eastAsia="Times New Roman" w:hAnsi="Times New Roman" w:cs="Times New Roman"/>
                <w:b/>
                <w:bCs/>
                <w:spacing w:val="-8"/>
              </w:rPr>
              <w:t>upravljanja</w:t>
            </w:r>
            <w:r w:rsidRPr="00AB0A18">
              <w:rPr>
                <w:rFonts w:ascii="Times New Roman" w:eastAsia="Times New Roman" w:hAnsi="Times New Roman" w:cs="Times New Roman"/>
                <w:b/>
                <w:bCs/>
                <w:spacing w:val="-8"/>
                <w:lang w:val="hr-HR"/>
              </w:rPr>
              <w:t xml:space="preserve"> </w:t>
            </w:r>
            <w:r w:rsidRPr="00AB0A18">
              <w:rPr>
                <w:rFonts w:ascii="Times New Roman" w:eastAsia="Times New Roman" w:hAnsi="Times New Roman" w:cs="Times New Roman"/>
                <w:b/>
                <w:bCs/>
                <w:spacing w:val="-8"/>
              </w:rPr>
              <w:t>motornim</w:t>
            </w:r>
            <w:r w:rsidRPr="00AB0A18">
              <w:rPr>
                <w:rFonts w:ascii="Times New Roman" w:eastAsia="Times New Roman" w:hAnsi="Times New Roman" w:cs="Times New Roman"/>
                <w:b/>
                <w:bCs/>
                <w:spacing w:val="-8"/>
                <w:lang w:val="hr-HR"/>
              </w:rPr>
              <w:t xml:space="preserve"> </w:t>
            </w:r>
            <w:r w:rsidRPr="00AB0A18">
              <w:rPr>
                <w:rFonts w:ascii="Times New Roman" w:eastAsia="Times New Roman" w:hAnsi="Times New Roman" w:cs="Times New Roman"/>
                <w:b/>
                <w:bCs/>
                <w:spacing w:val="-8"/>
              </w:rPr>
              <w:t>vozilom</w:t>
            </w:r>
            <w:r w:rsidRPr="00AB0A18">
              <w:rPr>
                <w:rFonts w:ascii="Times New Roman" w:eastAsia="Times New Roman" w:hAnsi="Times New Roman" w:cs="Times New Roman"/>
                <w:b/>
                <w:bCs/>
                <w:spacing w:val="-8"/>
                <w:lang w:val="hr-HR"/>
              </w:rPr>
              <w:t xml:space="preserve"> </w:t>
            </w:r>
            <w:r w:rsidRPr="00AB0A18">
              <w:rPr>
                <w:rFonts w:ascii="Times New Roman" w:eastAsia="Times New Roman" w:hAnsi="Times New Roman" w:cs="Times New Roman"/>
                <w:b/>
                <w:bCs/>
                <w:spacing w:val="-8"/>
              </w:rPr>
              <w:t>i</w:t>
            </w:r>
            <w:r w:rsidRPr="00AB0A18">
              <w:rPr>
                <w:rFonts w:ascii="Times New Roman" w:eastAsia="Times New Roman" w:hAnsi="Times New Roman" w:cs="Times New Roman"/>
                <w:b/>
                <w:bCs/>
                <w:spacing w:val="-8"/>
                <w:lang w:val="hr-HR"/>
              </w:rPr>
              <w:t xml:space="preserve"> </w:t>
            </w:r>
            <w:r w:rsidRPr="00AB0A18">
              <w:rPr>
                <w:rFonts w:ascii="Times New Roman" w:eastAsia="Times New Roman" w:hAnsi="Times New Roman" w:cs="Times New Roman"/>
                <w:b/>
                <w:bCs/>
                <w:spacing w:val="-8"/>
              </w:rPr>
              <w:t>rukovanja</w:t>
            </w:r>
            <w:r w:rsidRPr="00AB0A18">
              <w:rPr>
                <w:rFonts w:ascii="Times New Roman" w:eastAsia="Times New Roman" w:hAnsi="Times New Roman" w:cs="Times New Roman"/>
                <w:b/>
                <w:bCs/>
                <w:spacing w:val="-8"/>
                <w:lang w:val="hr-HR"/>
              </w:rPr>
              <w:t xml:space="preserve"> </w:t>
            </w:r>
            <w:r w:rsidRPr="00AB0A18">
              <w:rPr>
                <w:rFonts w:ascii="Times New Roman" w:eastAsia="Times New Roman" w:hAnsi="Times New Roman" w:cs="Times New Roman"/>
                <w:b/>
                <w:bCs/>
                <w:spacing w:val="-8"/>
              </w:rPr>
              <w:t>ma</w:t>
            </w:r>
            <w:r w:rsidRPr="00AB0A18">
              <w:rPr>
                <w:rFonts w:ascii="Times New Roman" w:eastAsia="Times New Roman" w:hAnsi="Times New Roman" w:cs="Times New Roman"/>
                <w:b/>
                <w:bCs/>
                <w:spacing w:val="-8"/>
                <w:lang w:val="hr-HR"/>
              </w:rPr>
              <w:t>š</w:t>
            </w:r>
            <w:r w:rsidRPr="00AB0A18">
              <w:rPr>
                <w:rFonts w:ascii="Times New Roman" w:eastAsia="Times New Roman" w:hAnsi="Times New Roman" w:cs="Times New Roman"/>
                <w:b/>
                <w:bCs/>
                <w:spacing w:val="-8"/>
              </w:rPr>
              <w:t>inama</w:t>
            </w:r>
          </w:p>
        </w:tc>
      </w:tr>
      <w:tr w:rsidR="00AB0A18" w:rsidRPr="00AB0A18" w14:paraId="790A42C5" w14:textId="77777777" w:rsidTr="00914D1F">
        <w:trPr>
          <w:gridAfter w:val="2"/>
          <w:wAfter w:w="180" w:type="dxa"/>
          <w:cantSplit/>
          <w:trHeight w:val="434"/>
        </w:trPr>
        <w:tc>
          <w:tcPr>
            <w:tcW w:w="10008" w:type="dxa"/>
            <w:vAlign w:val="center"/>
          </w:tcPr>
          <w:p w14:paraId="12DE6661"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hr-HR"/>
              </w:rPr>
            </w:pPr>
            <w:r w:rsidRPr="00AB0A18">
              <w:rPr>
                <w:rFonts w:ascii="Times New Roman" w:eastAsia="Times New Roman" w:hAnsi="Times New Roman" w:cs="Times New Roman"/>
              </w:rPr>
              <w:t>Berlithion 600 ED</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rPr>
              <w:t>ne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rPr>
              <w:t>uti</w:t>
            </w:r>
            <w:r w:rsidRPr="00AB0A18">
              <w:rPr>
                <w:rFonts w:ascii="Times New Roman" w:eastAsia="Times New Roman" w:hAnsi="Times New Roman" w:cs="Times New Roman"/>
                <w:lang w:val="hr-HR"/>
              </w:rPr>
              <w:t>č</w:t>
            </w:r>
            <w:r w:rsidRPr="00AB0A18">
              <w:rPr>
                <w:rFonts w:ascii="Times New Roman" w:eastAsia="Times New Roman" w:hAnsi="Times New Roman" w:cs="Times New Roman"/>
              </w:rPr>
              <w:t>e</w:t>
            </w:r>
            <w:r w:rsidRPr="00AB0A18">
              <w:rPr>
                <w:rFonts w:ascii="Times New Roman" w:eastAsia="Times New Roman" w:hAnsi="Times New Roman" w:cs="Times New Roman"/>
                <w:lang w:val="hr-HR"/>
              </w:rPr>
              <w:t xml:space="preserve"> </w:t>
            </w:r>
            <w:bookmarkStart w:id="0" w:name="_GoBack"/>
            <w:bookmarkEnd w:id="0"/>
            <w:r w:rsidRPr="00AB0A18">
              <w:rPr>
                <w:rFonts w:ascii="Times New Roman" w:eastAsia="Times New Roman" w:hAnsi="Times New Roman" w:cs="Times New Roman"/>
              </w:rPr>
              <w:t>na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rPr>
              <w:t>sposobnost</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rPr>
              <w:t>upravljanja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rPr>
              <w:t>motornim</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rPr>
              <w:t>vozilom</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rPr>
              <w:t>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rPr>
              <w:t>rukovanja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rPr>
              <w:t>ma</w:t>
            </w:r>
            <w:r w:rsidRPr="00AB0A18">
              <w:rPr>
                <w:rFonts w:ascii="Times New Roman" w:eastAsia="Times New Roman" w:hAnsi="Times New Roman" w:cs="Times New Roman"/>
                <w:lang w:val="hr-HR"/>
              </w:rPr>
              <w:t>š</w:t>
            </w:r>
            <w:r w:rsidRPr="00AB0A18">
              <w:rPr>
                <w:rFonts w:ascii="Times New Roman" w:eastAsia="Times New Roman" w:hAnsi="Times New Roman" w:cs="Times New Roman"/>
              </w:rPr>
              <w:t>inama</w:t>
            </w:r>
            <w:r w:rsidRPr="00AB0A18">
              <w:rPr>
                <w:rFonts w:ascii="Times New Roman" w:eastAsia="Times New Roman" w:hAnsi="Times New Roman" w:cs="Times New Roman"/>
                <w:lang w:val="hr-HR"/>
              </w:rPr>
              <w:t>.</w:t>
            </w:r>
          </w:p>
        </w:tc>
      </w:tr>
      <w:tr w:rsidR="00AB0A18" w:rsidRPr="00AB0A18" w14:paraId="20737926" w14:textId="77777777" w:rsidTr="00914D1F">
        <w:trPr>
          <w:cantSplit/>
        </w:trPr>
        <w:tc>
          <w:tcPr>
            <w:tcW w:w="10188" w:type="dxa"/>
            <w:gridSpan w:val="3"/>
            <w:vAlign w:val="center"/>
          </w:tcPr>
          <w:p w14:paraId="19B06DDD" w14:textId="77777777" w:rsidR="00AB0A18" w:rsidRPr="00AB0A18" w:rsidRDefault="00AB0A18" w:rsidP="00AB0A18">
            <w:pPr>
              <w:tabs>
                <w:tab w:val="left" w:pos="284"/>
              </w:tabs>
              <w:spacing w:before="80" w:after="80" w:line="240" w:lineRule="auto"/>
              <w:rPr>
                <w:rFonts w:ascii="Times New Roman" w:eastAsia="Times New Roman" w:hAnsi="Times New Roman" w:cs="Times New Roman"/>
                <w:b/>
                <w:bCs/>
              </w:rPr>
            </w:pPr>
            <w:r w:rsidRPr="00AB0A18">
              <w:rPr>
                <w:rFonts w:ascii="Times New Roman" w:eastAsia="Times New Roman" w:hAnsi="Times New Roman" w:cs="Times New Roman"/>
                <w:b/>
                <w:bCs/>
              </w:rPr>
              <w:t>Neželjena dejstva</w:t>
            </w:r>
          </w:p>
        </w:tc>
      </w:tr>
      <w:tr w:rsidR="00AB0A18" w:rsidRPr="00AB0A18" w14:paraId="6488255D" w14:textId="77777777" w:rsidTr="00914D1F">
        <w:trPr>
          <w:trHeight w:val="1145"/>
        </w:trPr>
        <w:tc>
          <w:tcPr>
            <w:tcW w:w="10188" w:type="dxa"/>
            <w:gridSpan w:val="3"/>
            <w:vAlign w:val="center"/>
          </w:tcPr>
          <w:p w14:paraId="08FB73AF"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Kategorije učestalosti ispoljavanja neželjenih dejstava su definisane na sljedeći način:</w:t>
            </w:r>
          </w:p>
          <w:p w14:paraId="3191C1FD"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1"/>
            </w:tblGrid>
            <w:tr w:rsidR="00AB0A18" w:rsidRPr="00AB0A18" w14:paraId="0AD92D92" w14:textId="77777777" w:rsidTr="00914D1F">
              <w:tc>
                <w:tcPr>
                  <w:tcW w:w="2088" w:type="dxa"/>
                  <w:shd w:val="clear" w:color="auto" w:fill="auto"/>
                  <w:vAlign w:val="center"/>
                </w:tcPr>
                <w:p w14:paraId="3FCBD057" w14:textId="77777777" w:rsidR="00AB0A18" w:rsidRPr="00AB0A18" w:rsidRDefault="00AB0A18" w:rsidP="00AB0A18">
                  <w:pPr>
                    <w:widowControl w:val="0"/>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Veoma često</w:t>
                  </w:r>
                </w:p>
              </w:tc>
              <w:tc>
                <w:tcPr>
                  <w:tcW w:w="7201" w:type="dxa"/>
                  <w:shd w:val="clear" w:color="auto" w:fill="auto"/>
                  <w:vAlign w:val="center"/>
                </w:tcPr>
                <w:p w14:paraId="090473BF" w14:textId="77777777" w:rsidR="00AB0A18" w:rsidRPr="00AB0A18" w:rsidRDefault="00AB0A18" w:rsidP="00AB0A18">
                  <w:pPr>
                    <w:widowControl w:val="0"/>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sym w:font="Symbol" w:char="F0B3"/>
                  </w:r>
                  <w:r w:rsidRPr="00AB0A18">
                    <w:rPr>
                      <w:rFonts w:ascii="Times New Roman" w:eastAsia="Times New Roman" w:hAnsi="Times New Roman" w:cs="Times New Roman"/>
                      <w:lang w:val="sr-Latn-CS"/>
                    </w:rPr>
                    <w:t>1/10</w:t>
                  </w:r>
                </w:p>
              </w:tc>
            </w:tr>
            <w:tr w:rsidR="00AB0A18" w:rsidRPr="00AB0A18" w14:paraId="392CCA3F" w14:textId="77777777" w:rsidTr="00914D1F">
              <w:tc>
                <w:tcPr>
                  <w:tcW w:w="2088" w:type="dxa"/>
                  <w:shd w:val="clear" w:color="auto" w:fill="auto"/>
                  <w:vAlign w:val="center"/>
                </w:tcPr>
                <w:p w14:paraId="48B602F2" w14:textId="77777777" w:rsidR="00AB0A18" w:rsidRPr="00AB0A18" w:rsidRDefault="00AB0A18" w:rsidP="00AB0A18">
                  <w:pPr>
                    <w:widowControl w:val="0"/>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Često</w:t>
                  </w:r>
                </w:p>
              </w:tc>
              <w:tc>
                <w:tcPr>
                  <w:tcW w:w="7201" w:type="dxa"/>
                  <w:shd w:val="clear" w:color="auto" w:fill="auto"/>
                  <w:vAlign w:val="center"/>
                </w:tcPr>
                <w:p w14:paraId="099BCDA4" w14:textId="77777777" w:rsidR="00AB0A18" w:rsidRPr="00AB0A18" w:rsidRDefault="00AB0A18" w:rsidP="00AB0A18">
                  <w:pPr>
                    <w:widowControl w:val="0"/>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sym w:font="Symbol" w:char="F0B3"/>
                  </w:r>
                  <w:r w:rsidRPr="00AB0A18">
                    <w:rPr>
                      <w:rFonts w:ascii="Times New Roman" w:eastAsia="Times New Roman" w:hAnsi="Times New Roman" w:cs="Times New Roman"/>
                      <w:lang w:val="sr-Latn-CS"/>
                    </w:rPr>
                    <w:t xml:space="preserve">1/100 do </w:t>
                  </w:r>
                  <w:r w:rsidRPr="00AB0A18">
                    <w:rPr>
                      <w:rFonts w:ascii="Times New Roman" w:eastAsia="Times New Roman" w:hAnsi="Times New Roman" w:cs="Times New Roman"/>
                      <w:lang w:val="sr-Latn-CS"/>
                    </w:rPr>
                    <w:sym w:font="Symbol" w:char="F03C"/>
                  </w:r>
                  <w:r w:rsidRPr="00AB0A18">
                    <w:rPr>
                      <w:rFonts w:ascii="Times New Roman" w:eastAsia="Times New Roman" w:hAnsi="Times New Roman" w:cs="Times New Roman"/>
                      <w:lang w:val="sr-Latn-CS"/>
                    </w:rPr>
                    <w:t>1/10</w:t>
                  </w:r>
                </w:p>
              </w:tc>
            </w:tr>
            <w:tr w:rsidR="00AB0A18" w:rsidRPr="00AB0A18" w14:paraId="1E2C8774" w14:textId="77777777" w:rsidTr="00914D1F">
              <w:tc>
                <w:tcPr>
                  <w:tcW w:w="2088" w:type="dxa"/>
                  <w:shd w:val="clear" w:color="auto" w:fill="auto"/>
                  <w:vAlign w:val="center"/>
                </w:tcPr>
                <w:p w14:paraId="0657992C" w14:textId="77777777" w:rsidR="00AB0A18" w:rsidRPr="00AB0A18" w:rsidRDefault="00AB0A18" w:rsidP="00AB0A18">
                  <w:pPr>
                    <w:widowControl w:val="0"/>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Povremeno</w:t>
                  </w:r>
                </w:p>
              </w:tc>
              <w:tc>
                <w:tcPr>
                  <w:tcW w:w="7201" w:type="dxa"/>
                  <w:shd w:val="clear" w:color="auto" w:fill="auto"/>
                  <w:vAlign w:val="center"/>
                </w:tcPr>
                <w:p w14:paraId="699BEEFE" w14:textId="77777777" w:rsidR="00AB0A18" w:rsidRPr="00AB0A18" w:rsidRDefault="00AB0A18" w:rsidP="00AB0A18">
                  <w:pPr>
                    <w:widowControl w:val="0"/>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sym w:font="Symbol" w:char="F0B3"/>
                  </w:r>
                  <w:r w:rsidRPr="00AB0A18">
                    <w:rPr>
                      <w:rFonts w:ascii="Times New Roman" w:eastAsia="Times New Roman" w:hAnsi="Times New Roman" w:cs="Times New Roman"/>
                      <w:lang w:val="sr-Latn-CS"/>
                    </w:rPr>
                    <w:t xml:space="preserve">1/1000 do </w:t>
                  </w:r>
                  <w:r w:rsidRPr="00AB0A18">
                    <w:rPr>
                      <w:rFonts w:ascii="Times New Roman" w:eastAsia="Times New Roman" w:hAnsi="Times New Roman" w:cs="Times New Roman"/>
                      <w:lang w:val="sr-Latn-CS"/>
                    </w:rPr>
                    <w:sym w:font="Symbol" w:char="F03C"/>
                  </w:r>
                  <w:r w:rsidRPr="00AB0A18">
                    <w:rPr>
                      <w:rFonts w:ascii="Times New Roman" w:eastAsia="Times New Roman" w:hAnsi="Times New Roman" w:cs="Times New Roman"/>
                      <w:lang w:val="sr-Latn-CS"/>
                    </w:rPr>
                    <w:t>1/100</w:t>
                  </w:r>
                </w:p>
              </w:tc>
            </w:tr>
            <w:tr w:rsidR="00AB0A18" w:rsidRPr="00AB0A18" w14:paraId="6F893E9E" w14:textId="77777777" w:rsidTr="00914D1F">
              <w:tc>
                <w:tcPr>
                  <w:tcW w:w="2088" w:type="dxa"/>
                  <w:shd w:val="clear" w:color="auto" w:fill="auto"/>
                  <w:vAlign w:val="center"/>
                </w:tcPr>
                <w:p w14:paraId="2D552650" w14:textId="77777777" w:rsidR="00AB0A18" w:rsidRPr="00AB0A18" w:rsidRDefault="00AB0A18" w:rsidP="00AB0A18">
                  <w:pPr>
                    <w:widowControl w:val="0"/>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Rijetko</w:t>
                  </w:r>
                </w:p>
              </w:tc>
              <w:tc>
                <w:tcPr>
                  <w:tcW w:w="7201" w:type="dxa"/>
                  <w:shd w:val="clear" w:color="auto" w:fill="auto"/>
                  <w:vAlign w:val="center"/>
                </w:tcPr>
                <w:p w14:paraId="36AB953E" w14:textId="77777777" w:rsidR="00AB0A18" w:rsidRPr="00AB0A18" w:rsidRDefault="00AB0A18" w:rsidP="00AB0A18">
                  <w:pPr>
                    <w:widowControl w:val="0"/>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sym w:font="Symbol" w:char="F0B3"/>
                  </w:r>
                  <w:r w:rsidRPr="00AB0A18">
                    <w:rPr>
                      <w:rFonts w:ascii="Times New Roman" w:eastAsia="Times New Roman" w:hAnsi="Times New Roman" w:cs="Times New Roman"/>
                      <w:lang w:val="sr-Latn-CS"/>
                    </w:rPr>
                    <w:t xml:space="preserve">1/10000 do  </w:t>
                  </w:r>
                  <w:r w:rsidRPr="00AB0A18">
                    <w:rPr>
                      <w:rFonts w:ascii="Times New Roman" w:eastAsia="Times New Roman" w:hAnsi="Times New Roman" w:cs="Times New Roman"/>
                      <w:lang w:val="sr-Latn-CS"/>
                    </w:rPr>
                    <w:sym w:font="Symbol" w:char="F03C"/>
                  </w:r>
                  <w:r w:rsidRPr="00AB0A18">
                    <w:rPr>
                      <w:rFonts w:ascii="Times New Roman" w:eastAsia="Times New Roman" w:hAnsi="Times New Roman" w:cs="Times New Roman"/>
                      <w:lang w:val="sr-Latn-CS"/>
                    </w:rPr>
                    <w:t>1/1000</w:t>
                  </w:r>
                </w:p>
              </w:tc>
            </w:tr>
            <w:tr w:rsidR="00AB0A18" w:rsidRPr="00AB0A18" w14:paraId="20DF0C3F" w14:textId="77777777" w:rsidTr="00914D1F">
              <w:tc>
                <w:tcPr>
                  <w:tcW w:w="2088" w:type="dxa"/>
                  <w:shd w:val="clear" w:color="auto" w:fill="auto"/>
                  <w:vAlign w:val="center"/>
                </w:tcPr>
                <w:p w14:paraId="7F341E18" w14:textId="77777777" w:rsidR="00AB0A18" w:rsidRPr="00AB0A18" w:rsidRDefault="00AB0A18" w:rsidP="00AB0A18">
                  <w:pPr>
                    <w:widowControl w:val="0"/>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Veoma rijetko</w:t>
                  </w:r>
                </w:p>
              </w:tc>
              <w:tc>
                <w:tcPr>
                  <w:tcW w:w="7201" w:type="dxa"/>
                  <w:shd w:val="clear" w:color="auto" w:fill="auto"/>
                  <w:vAlign w:val="center"/>
                </w:tcPr>
                <w:p w14:paraId="0D7371BD" w14:textId="77777777" w:rsidR="00AB0A18" w:rsidRPr="00AB0A18" w:rsidRDefault="00AB0A18" w:rsidP="00AB0A18">
                  <w:pPr>
                    <w:widowControl w:val="0"/>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sym w:font="Symbol" w:char="F03C"/>
                  </w:r>
                  <w:r w:rsidRPr="00AB0A18">
                    <w:rPr>
                      <w:rFonts w:ascii="Times New Roman" w:eastAsia="Times New Roman" w:hAnsi="Times New Roman" w:cs="Times New Roman"/>
                      <w:lang w:val="sr-Latn-CS"/>
                    </w:rPr>
                    <w:t>1/10000</w:t>
                  </w:r>
                </w:p>
              </w:tc>
            </w:tr>
            <w:tr w:rsidR="00AB0A18" w:rsidRPr="00AB0A18" w14:paraId="7BE820A0" w14:textId="77777777" w:rsidTr="00914D1F">
              <w:tc>
                <w:tcPr>
                  <w:tcW w:w="2088" w:type="dxa"/>
                  <w:shd w:val="clear" w:color="auto" w:fill="auto"/>
                  <w:vAlign w:val="center"/>
                </w:tcPr>
                <w:p w14:paraId="27E58349" w14:textId="77777777" w:rsidR="00AB0A18" w:rsidRPr="00AB0A18" w:rsidRDefault="00AB0A18" w:rsidP="00AB0A18">
                  <w:pPr>
                    <w:widowControl w:val="0"/>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Nepoznato</w:t>
                  </w:r>
                </w:p>
              </w:tc>
              <w:tc>
                <w:tcPr>
                  <w:tcW w:w="7201" w:type="dxa"/>
                  <w:shd w:val="clear" w:color="auto" w:fill="auto"/>
                  <w:vAlign w:val="center"/>
                </w:tcPr>
                <w:p w14:paraId="2AEA5C6A" w14:textId="77777777" w:rsidR="00AB0A18" w:rsidRPr="00AB0A18" w:rsidRDefault="00AB0A18" w:rsidP="00AB0A18">
                  <w:pPr>
                    <w:widowControl w:val="0"/>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učestalost se ne može procijeniti na osnovu raspoloživih podataka</w:t>
                  </w:r>
                </w:p>
              </w:tc>
            </w:tr>
          </w:tbl>
          <w:p w14:paraId="13389D54"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i/>
                <w:lang w:val="sr-Latn-CS"/>
              </w:rPr>
            </w:pPr>
          </w:p>
          <w:p w14:paraId="7DF85516"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i/>
                <w:lang w:val="hr-HR"/>
              </w:rPr>
            </w:pPr>
            <w:r w:rsidRPr="00AB0A18">
              <w:rPr>
                <w:rFonts w:ascii="Times New Roman" w:eastAsia="Times New Roman" w:hAnsi="Times New Roman" w:cs="Times New Roman"/>
                <w:i/>
                <w:lang w:val="hr-HR"/>
              </w:rPr>
              <w:t xml:space="preserve">Poremećaji krvi i limfnog sistema </w:t>
            </w:r>
          </w:p>
          <w:p w14:paraId="3AE52853"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hr-HR"/>
              </w:rPr>
            </w:pPr>
            <w:r w:rsidRPr="00AB0A18">
              <w:rPr>
                <w:rFonts w:ascii="Times New Roman" w:eastAsia="Times New Roman" w:hAnsi="Times New Roman" w:cs="Times New Roman"/>
                <w:lang w:val="hr-HR"/>
              </w:rPr>
              <w:t xml:space="preserve">Veoma rijetko su primijećene purpura i trombopatija </w:t>
            </w:r>
            <w:r w:rsidRPr="00AB0A18">
              <w:rPr>
                <w:rFonts w:ascii="Times New Roman" w:eastAsia="Times New Roman" w:hAnsi="Times New Roman" w:cs="Times New Roman"/>
                <w:lang w:val="es-ES_tradnl"/>
              </w:rPr>
              <w:t>nakon</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es-ES_tradnl"/>
              </w:rPr>
              <w:t>intravenske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es-ES_tradnl"/>
              </w:rPr>
              <w:t>primjene</w:t>
            </w:r>
            <w:r w:rsidRPr="00AB0A18">
              <w:rPr>
                <w:rFonts w:ascii="Times New Roman" w:eastAsia="Times New Roman" w:hAnsi="Times New Roman" w:cs="Times New Roman"/>
                <w:lang w:val="hr-HR"/>
              </w:rPr>
              <w:t xml:space="preserve"> tioktinske </w:t>
            </w:r>
            <w:r w:rsidRPr="00AB0A18">
              <w:rPr>
                <w:rFonts w:ascii="Times New Roman" w:eastAsia="Times New Roman" w:hAnsi="Times New Roman" w:cs="Times New Roman"/>
                <w:lang w:val="es-ES_tradnl"/>
              </w:rPr>
              <w:t>kiseline</w:t>
            </w:r>
            <w:r w:rsidRPr="00AB0A18">
              <w:rPr>
                <w:rFonts w:ascii="Times New Roman" w:eastAsia="Times New Roman" w:hAnsi="Times New Roman" w:cs="Times New Roman"/>
                <w:lang w:val="hr-HR"/>
              </w:rPr>
              <w:t>.</w:t>
            </w:r>
          </w:p>
          <w:p w14:paraId="0448D165"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i/>
                <w:lang w:val="sr-Latn-CS"/>
              </w:rPr>
            </w:pPr>
          </w:p>
          <w:p w14:paraId="7895CFFA"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i/>
                <w:lang w:val="sr-Latn-CS"/>
              </w:rPr>
            </w:pPr>
            <w:r w:rsidRPr="00AB0A18">
              <w:rPr>
                <w:rFonts w:ascii="Times New Roman" w:eastAsia="Times New Roman" w:hAnsi="Times New Roman" w:cs="Times New Roman"/>
                <w:i/>
                <w:lang w:val="sr-Latn-CS"/>
              </w:rPr>
              <w:t>Poremećaji imunog sistema</w:t>
            </w:r>
          </w:p>
          <w:p w14:paraId="2658A42E"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 xml:space="preserve">Nepoznato: </w:t>
            </w:r>
          </w:p>
          <w:p w14:paraId="319F4404"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insulin autoimuni sindrom (IAS), (vidjeti odjeljak 4.4.).</w:t>
            </w:r>
          </w:p>
          <w:p w14:paraId="460115FC"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 xml:space="preserve">Mogu nastati i alergijske reakcije na koži, koje uključuju urtikariju, svrab, ekcem i osip, kao i sistemske reakcije, uključujući i šok. </w:t>
            </w:r>
          </w:p>
          <w:p w14:paraId="32B537CB"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p>
          <w:p w14:paraId="6D2A3904"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i/>
                <w:lang w:val="sr-Latn-CS"/>
              </w:rPr>
            </w:pPr>
            <w:r w:rsidRPr="00AB0A18">
              <w:rPr>
                <w:rFonts w:ascii="Times New Roman" w:eastAsia="Times New Roman" w:hAnsi="Times New Roman" w:cs="Times New Roman"/>
                <w:i/>
                <w:lang w:val="sr-Latn-CS"/>
              </w:rPr>
              <w:t>Poremećaji nervnog sistema</w:t>
            </w:r>
          </w:p>
          <w:p w14:paraId="07DA393B"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Veoma rijetko:</w:t>
            </w:r>
          </w:p>
          <w:p w14:paraId="59D239C4"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mogu se javiti promjene ili poremećaj čula ukusa.</w:t>
            </w:r>
          </w:p>
          <w:p w14:paraId="70FEE9EB"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hr-HR"/>
              </w:rPr>
            </w:pPr>
            <w:r w:rsidRPr="00AB0A18">
              <w:rPr>
                <w:rFonts w:ascii="Times New Roman" w:eastAsia="Times New Roman" w:hAnsi="Times New Roman" w:cs="Times New Roman"/>
                <w:lang w:val="sr-Latn-CS"/>
              </w:rPr>
              <w:t>Veoma rijetko su opisane konvulzije ili viđenje duple slike nakon</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intravenske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primjene</w:t>
            </w:r>
            <w:r w:rsidRPr="00AB0A18">
              <w:rPr>
                <w:rFonts w:ascii="Times New Roman" w:eastAsia="Times New Roman" w:hAnsi="Times New Roman" w:cs="Times New Roman"/>
                <w:lang w:val="hr-HR"/>
              </w:rPr>
              <w:t xml:space="preserve"> tioktinske </w:t>
            </w:r>
            <w:r w:rsidRPr="00AB0A18">
              <w:rPr>
                <w:rFonts w:ascii="Times New Roman" w:eastAsia="Times New Roman" w:hAnsi="Times New Roman" w:cs="Times New Roman"/>
                <w:lang w:val="sr-Latn-CS"/>
              </w:rPr>
              <w:t>kiseline</w:t>
            </w:r>
            <w:r w:rsidRPr="00AB0A18">
              <w:rPr>
                <w:rFonts w:ascii="Times New Roman" w:eastAsia="Times New Roman" w:hAnsi="Times New Roman" w:cs="Times New Roman"/>
                <w:lang w:val="hr-HR"/>
              </w:rPr>
              <w:t>.</w:t>
            </w:r>
          </w:p>
          <w:p w14:paraId="7E60D4C7"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hr-HR"/>
              </w:rPr>
            </w:pPr>
          </w:p>
          <w:p w14:paraId="63CFD299"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i/>
                <w:lang w:val="hr-HR"/>
              </w:rPr>
            </w:pPr>
            <w:r w:rsidRPr="00AB0A18">
              <w:rPr>
                <w:rFonts w:ascii="Times New Roman" w:eastAsia="Times New Roman" w:hAnsi="Times New Roman" w:cs="Times New Roman"/>
                <w:i/>
                <w:lang w:val="hr-HR"/>
              </w:rPr>
              <w:t>Gastrointestinalni poremećaji</w:t>
            </w:r>
          </w:p>
          <w:p w14:paraId="36CF1E9C"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hr-HR"/>
              </w:rPr>
            </w:pPr>
            <w:r w:rsidRPr="00AB0A18">
              <w:rPr>
                <w:rFonts w:ascii="Times New Roman" w:eastAsia="Times New Roman" w:hAnsi="Times New Roman" w:cs="Times New Roman"/>
                <w:lang w:val="hr-HR"/>
              </w:rPr>
              <w:t>Veoma rijetko: probavne tegobe, kao što su mučnina, povraćanje, bolovi u želucu i stomaku i dijareja.</w:t>
            </w:r>
          </w:p>
          <w:p w14:paraId="42D61725"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i/>
                <w:lang w:val="hr-HR"/>
              </w:rPr>
            </w:pPr>
          </w:p>
          <w:p w14:paraId="2A42C36E"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i/>
                <w:lang w:val="hr-HR"/>
              </w:rPr>
            </w:pPr>
            <w:r w:rsidRPr="00AB0A18">
              <w:rPr>
                <w:rFonts w:ascii="Times New Roman" w:eastAsia="Times New Roman" w:hAnsi="Times New Roman" w:cs="Times New Roman"/>
                <w:i/>
                <w:lang w:val="hr-HR"/>
              </w:rPr>
              <w:t>Opšti poremećaji i rekacije na mestu primjene</w:t>
            </w:r>
          </w:p>
          <w:p w14:paraId="5E501665"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hr-HR"/>
              </w:rPr>
            </w:pPr>
            <w:r w:rsidRPr="00AB0A18">
              <w:rPr>
                <w:rFonts w:ascii="Times New Roman" w:eastAsia="Times New Roman" w:hAnsi="Times New Roman" w:cs="Times New Roman"/>
                <w:lang w:val="hr-HR"/>
              </w:rPr>
              <w:t xml:space="preserve">Često: </w:t>
            </w:r>
          </w:p>
          <w:p w14:paraId="41780CD0"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 xml:space="preserve">pritisak u glavi i otežano disanje, koji se spontano povlače, mogu se javiti nakon brze intravenske injekcije. </w:t>
            </w:r>
          </w:p>
          <w:p w14:paraId="35906586"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 xml:space="preserve">Veoma rijetko su prijavljene reakcije na mjestu primjene. </w:t>
            </w:r>
          </w:p>
          <w:p w14:paraId="7F9396F9"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i/>
                <w:lang w:val="sr-Latn-CS"/>
              </w:rPr>
            </w:pPr>
            <w:r w:rsidRPr="00AB0A18">
              <w:rPr>
                <w:rFonts w:ascii="Times New Roman" w:eastAsia="Times New Roman" w:hAnsi="Times New Roman" w:cs="Times New Roman"/>
                <w:i/>
                <w:lang w:val="sr-Latn-CS"/>
              </w:rPr>
              <w:t>Poremećaji metabolizma i ishrane</w:t>
            </w:r>
          </w:p>
          <w:p w14:paraId="5C13D1BB"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 xml:space="preserve">Veoma rijetko: </w:t>
            </w:r>
          </w:p>
          <w:p w14:paraId="7F61D5C3" w14:textId="77777777" w:rsid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usljed</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pobolj</w:t>
            </w:r>
            <w:r w:rsidRPr="00AB0A18">
              <w:rPr>
                <w:rFonts w:ascii="Times New Roman" w:eastAsia="Times New Roman" w:hAnsi="Times New Roman" w:cs="Times New Roman"/>
                <w:lang w:val="hr-HR"/>
              </w:rPr>
              <w:t>š</w:t>
            </w:r>
            <w:r w:rsidRPr="00AB0A18">
              <w:rPr>
                <w:rFonts w:ascii="Times New Roman" w:eastAsia="Times New Roman" w:hAnsi="Times New Roman" w:cs="Times New Roman"/>
                <w:lang w:val="sr-Latn-CS"/>
              </w:rPr>
              <w:t>anog</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iskori</w:t>
            </w:r>
            <w:r w:rsidRPr="00AB0A18">
              <w:rPr>
                <w:rFonts w:ascii="Times New Roman" w:eastAsia="Times New Roman" w:hAnsi="Times New Roman" w:cs="Times New Roman"/>
                <w:lang w:val="hr-HR"/>
              </w:rPr>
              <w:t>šć</w:t>
            </w:r>
            <w:r w:rsidRPr="00AB0A18">
              <w:rPr>
                <w:rFonts w:ascii="Times New Roman" w:eastAsia="Times New Roman" w:hAnsi="Times New Roman" w:cs="Times New Roman"/>
                <w:lang w:val="sr-Latn-CS"/>
              </w:rPr>
              <w:t>avanja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glukoze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mo</w:t>
            </w:r>
            <w:r w:rsidRPr="00AB0A18">
              <w:rPr>
                <w:rFonts w:ascii="Times New Roman" w:eastAsia="Times New Roman" w:hAnsi="Times New Roman" w:cs="Times New Roman"/>
                <w:lang w:val="hr-HR"/>
              </w:rPr>
              <w:t>ž</w:t>
            </w:r>
            <w:r w:rsidRPr="00AB0A18">
              <w:rPr>
                <w:rFonts w:ascii="Times New Roman" w:eastAsia="Times New Roman" w:hAnsi="Times New Roman" w:cs="Times New Roman"/>
                <w:lang w:val="sr-Latn-CS"/>
              </w:rPr>
              <w:t>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do</w:t>
            </w:r>
            <w:r w:rsidRPr="00AB0A18">
              <w:rPr>
                <w:rFonts w:ascii="Times New Roman" w:eastAsia="Times New Roman" w:hAnsi="Times New Roman" w:cs="Times New Roman"/>
                <w:lang w:val="hr-HR"/>
              </w:rPr>
              <w:t>ć</w:t>
            </w:r>
            <w:r w:rsidRPr="00AB0A18">
              <w:rPr>
                <w:rFonts w:ascii="Times New Roman" w:eastAsia="Times New Roman" w:hAnsi="Times New Roman" w:cs="Times New Roman"/>
                <w:lang w:val="sr-Latn-CS"/>
              </w:rPr>
              <w:t>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do</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smanjenja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nivoa</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glukoze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krvi</w:t>
            </w:r>
            <w:r w:rsidRPr="00AB0A18">
              <w:rPr>
                <w:rFonts w:ascii="Times New Roman" w:eastAsia="Times New Roman" w:hAnsi="Times New Roman" w:cs="Times New Roman"/>
                <w:lang w:val="hr-HR"/>
              </w:rPr>
              <w:t xml:space="preserve">. Prijavljeni su simptomi slični </w:t>
            </w:r>
            <w:r w:rsidRPr="00AB0A18">
              <w:rPr>
                <w:rFonts w:ascii="Times New Roman" w:eastAsia="Times New Roman" w:hAnsi="Times New Roman" w:cs="Times New Roman"/>
                <w:lang w:val="sr-Latn-CS"/>
              </w:rPr>
              <w:t>hipoglikemiji, koji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uklju</w:t>
            </w:r>
            <w:r w:rsidRPr="00AB0A18">
              <w:rPr>
                <w:rFonts w:ascii="Times New Roman" w:eastAsia="Times New Roman" w:hAnsi="Times New Roman" w:cs="Times New Roman"/>
                <w:lang w:val="hr-HR"/>
              </w:rPr>
              <w:t>č</w:t>
            </w:r>
            <w:r w:rsidRPr="00AB0A18">
              <w:rPr>
                <w:rFonts w:ascii="Times New Roman" w:eastAsia="Times New Roman" w:hAnsi="Times New Roman" w:cs="Times New Roman"/>
                <w:lang w:val="sr-Latn-CS"/>
              </w:rPr>
              <w:t>uju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vrtoglavicu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znojenje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glavobolju</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i</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poreme</w:t>
            </w:r>
            <w:r w:rsidRPr="00AB0A18">
              <w:rPr>
                <w:rFonts w:ascii="Times New Roman" w:eastAsia="Times New Roman" w:hAnsi="Times New Roman" w:cs="Times New Roman"/>
                <w:lang w:val="hr-HR"/>
              </w:rPr>
              <w:t>ć</w:t>
            </w:r>
            <w:r w:rsidRPr="00AB0A18">
              <w:rPr>
                <w:rFonts w:ascii="Times New Roman" w:eastAsia="Times New Roman" w:hAnsi="Times New Roman" w:cs="Times New Roman"/>
                <w:lang w:val="sr-Latn-CS"/>
              </w:rPr>
              <w:t>aje</w:t>
            </w:r>
            <w:r w:rsidRPr="00AB0A18">
              <w:rPr>
                <w:rFonts w:ascii="Times New Roman" w:eastAsia="Times New Roman" w:hAnsi="Times New Roman" w:cs="Times New Roman"/>
                <w:lang w:val="hr-HR"/>
              </w:rPr>
              <w:t xml:space="preserve"> </w:t>
            </w:r>
            <w:r w:rsidRPr="00AB0A18">
              <w:rPr>
                <w:rFonts w:ascii="Times New Roman" w:eastAsia="Times New Roman" w:hAnsi="Times New Roman" w:cs="Times New Roman"/>
                <w:lang w:val="sr-Latn-CS"/>
              </w:rPr>
              <w:t>vida.</w:t>
            </w:r>
          </w:p>
          <w:p w14:paraId="67528A15"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p>
        </w:tc>
      </w:tr>
      <w:tr w:rsidR="00AB0A18" w:rsidRPr="00AB0A18" w14:paraId="7C41EE67" w14:textId="77777777" w:rsidTr="00914D1F">
        <w:trPr>
          <w:cantSplit/>
        </w:trPr>
        <w:tc>
          <w:tcPr>
            <w:tcW w:w="10188" w:type="dxa"/>
            <w:gridSpan w:val="3"/>
            <w:vAlign w:val="center"/>
          </w:tcPr>
          <w:p w14:paraId="560E438A" w14:textId="77777777" w:rsidR="00AB0A18" w:rsidRPr="00AB0A18" w:rsidRDefault="00AB0A18" w:rsidP="00AB0A18">
            <w:pPr>
              <w:tabs>
                <w:tab w:val="left" w:pos="284"/>
              </w:tabs>
              <w:spacing w:before="80" w:after="80" w:line="240" w:lineRule="auto"/>
              <w:rPr>
                <w:rFonts w:ascii="Times New Roman" w:eastAsia="Times New Roman" w:hAnsi="Times New Roman" w:cs="Times New Roman"/>
                <w:b/>
                <w:bCs/>
              </w:rPr>
            </w:pPr>
            <w:r w:rsidRPr="00AB0A18">
              <w:rPr>
                <w:rFonts w:ascii="Times New Roman" w:eastAsia="Times New Roman" w:hAnsi="Times New Roman" w:cs="Times New Roman"/>
                <w:b/>
                <w:bCs/>
              </w:rPr>
              <w:t>Predoziranje</w:t>
            </w:r>
          </w:p>
        </w:tc>
      </w:tr>
      <w:tr w:rsidR="00AB0A18" w:rsidRPr="00AB0A18" w14:paraId="7B2DB01C" w14:textId="77777777" w:rsidTr="00914D1F">
        <w:trPr>
          <w:cantSplit/>
          <w:trHeight w:val="1145"/>
        </w:trPr>
        <w:tc>
          <w:tcPr>
            <w:tcW w:w="10188" w:type="dxa"/>
            <w:gridSpan w:val="3"/>
            <w:vAlign w:val="center"/>
          </w:tcPr>
          <w:p w14:paraId="0863ED7E"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lastRenderedPageBreak/>
              <w:t xml:space="preserve">Usljed predoziranja se mogu javiti </w:t>
            </w:r>
            <w:r w:rsidRPr="00AB0A18">
              <w:rPr>
                <w:rFonts w:ascii="Times New Roman" w:eastAsia="Times New Roman" w:hAnsi="Times New Roman" w:cs="Times New Roman"/>
                <w:lang w:val="hr-HR"/>
              </w:rPr>
              <w:t>mučnina, povraćanje</w:t>
            </w:r>
            <w:r w:rsidRPr="00AB0A18">
              <w:rPr>
                <w:rFonts w:ascii="Times New Roman" w:eastAsia="Times New Roman" w:hAnsi="Times New Roman" w:cs="Times New Roman"/>
                <w:lang w:val="sr-Latn-CS"/>
              </w:rPr>
              <w:t xml:space="preserve"> i glavobolja.</w:t>
            </w:r>
          </w:p>
          <w:p w14:paraId="7C9AA8DA"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p>
          <w:p w14:paraId="544CA83B"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Ozbiljne intoksikacije, u pojedinim slučajevima sa smrtnim ishodom, mogu se javiti usljed slučajne ili suicidalne ingestije od 10 do 40 g tioktinske kiseline u kombinaciji sa alkoholom. Klinička slika intoksikacije se u početku može ispoljiti kao psihomotorna agitacija ili poremećaj svijesti, što tipično progredira do generalizovanih konvulzija i  laktatne acidoze. Hipoglikemija, šok, rabdomioliza, hemoliza, diseminovana  intravaskularna koagulacija (DIK), depresija kostne srži i višestruko otkazivanje organa opisani su kao posljedice intoksikacije visokim dozama tioktinske kiseline.</w:t>
            </w:r>
          </w:p>
          <w:p w14:paraId="1BDED526"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p>
          <w:p w14:paraId="4EA3D3FE"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i/>
                <w:u w:val="single"/>
                <w:lang w:val="sr-Latn-CS"/>
              </w:rPr>
            </w:pPr>
            <w:r w:rsidRPr="00AB0A18">
              <w:rPr>
                <w:rFonts w:ascii="Times New Roman" w:eastAsia="Times New Roman" w:hAnsi="Times New Roman" w:cs="Times New Roman"/>
                <w:i/>
                <w:u w:val="single"/>
                <w:lang w:val="sr-Latn-CS"/>
              </w:rPr>
              <w:t>Terapijske mjere u slučaju intoksikacije:</w:t>
            </w:r>
          </w:p>
          <w:p w14:paraId="7E089228" w14:textId="77777777" w:rsid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Čak i ako se samo sumnja na intoksikaciju tioktinskom kiselinom (npr. &gt; 80 mg/kg  TT kod odraslih i &gt; 50 mg/kg TT kod djece), pacijenta treba odmah hospitalizovati i primijeniti opšte mjere liječenja akcidentalnih intoksikacija (npr. izazivanje povraćanja, gastrična lavaža, davanje aktivnog uglja). Terapija generalizovanih konvulzija,  laktatne acidoze i drugih posljedica trovanja opasnih po život, mora biti po principima moderne intenzivne terapije i mora biti simptomatska. Do sada nije potvrđena korist od tehnika hemodijalize, hemoperfuzije ili filtracije u cilju ukljanjanja  tioktinske kiseline iz krvi.</w:t>
            </w:r>
          </w:p>
          <w:p w14:paraId="29DC1566"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p>
        </w:tc>
      </w:tr>
      <w:tr w:rsidR="00AB0A18" w:rsidRPr="00AB0A18" w14:paraId="3EA139B1" w14:textId="77777777" w:rsidTr="00AB0A18">
        <w:trPr>
          <w:cantSplit/>
          <w:trHeight w:val="89"/>
        </w:trPr>
        <w:tc>
          <w:tcPr>
            <w:tcW w:w="10188" w:type="dxa"/>
            <w:gridSpan w:val="3"/>
            <w:vAlign w:val="center"/>
          </w:tcPr>
          <w:p w14:paraId="22CA1C02" w14:textId="77777777" w:rsidR="00AB0A18" w:rsidRPr="00AB0A18" w:rsidRDefault="00AB0A18" w:rsidP="00AB0A18">
            <w:pPr>
              <w:tabs>
                <w:tab w:val="left" w:pos="284"/>
              </w:tabs>
              <w:spacing w:before="80" w:after="8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b/>
                <w:bCs/>
              </w:rPr>
              <w:t>Inkompatibilnost</w:t>
            </w:r>
          </w:p>
        </w:tc>
      </w:tr>
      <w:tr w:rsidR="00AB0A18" w:rsidRPr="00AB0A18" w14:paraId="1A1904BD" w14:textId="77777777" w:rsidTr="00914D1F">
        <w:trPr>
          <w:trHeight w:val="1145"/>
        </w:trPr>
        <w:tc>
          <w:tcPr>
            <w:tcW w:w="10188" w:type="dxa"/>
            <w:gridSpan w:val="3"/>
            <w:vAlign w:val="center"/>
          </w:tcPr>
          <w:p w14:paraId="4A2F0149"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 xml:space="preserve">Tioktinska kiselina </w:t>
            </w:r>
            <w:r w:rsidRPr="00AB0A18">
              <w:rPr>
                <w:rFonts w:ascii="Times New Roman" w:eastAsia="Times New Roman" w:hAnsi="Times New Roman" w:cs="Times New Roman"/>
                <w:i/>
                <w:lang w:val="sr-Latn-CS"/>
              </w:rPr>
              <w:t>in vitro</w:t>
            </w:r>
            <w:r w:rsidRPr="00AB0A18">
              <w:rPr>
                <w:rFonts w:ascii="Times New Roman" w:eastAsia="Times New Roman" w:hAnsi="Times New Roman" w:cs="Times New Roman"/>
                <w:lang w:val="sr-Latn-CS"/>
              </w:rPr>
              <w:t xml:space="preserve"> reaguje sa kompleksima jona metala (npr. sa cisplatinom).    </w:t>
            </w:r>
          </w:p>
          <w:p w14:paraId="08511A06"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 xml:space="preserve">Tioktinska kiselina formira slabo rastvorljive komplekse sa molekulima šećera (npr. rastvor fruktoze). </w:t>
            </w:r>
          </w:p>
          <w:p w14:paraId="2A601D1E"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p>
          <w:p w14:paraId="4449BF92"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Berlithion 600 ED, koncentrat za rastvor za infuziju, inkompatibilan je sa rastvorom glukoze, Ringerovim rastvorom i rastvorima za koje se zna da reaguju sa SH grupama ili disulfidnim mostovima.</w:t>
            </w:r>
          </w:p>
          <w:p w14:paraId="5C471C4E"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p>
          <w:p w14:paraId="2F15B521"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r w:rsidRPr="00AB0A18">
              <w:rPr>
                <w:rFonts w:ascii="Times New Roman" w:eastAsia="Times New Roman" w:hAnsi="Times New Roman" w:cs="Times New Roman"/>
                <w:lang w:val="sr-Latn-CS"/>
              </w:rPr>
              <w:t>Koristiti isključivo fiziološki rastvor natrijum hlorida kao rastvor za pripremu rastvora za intravensku upotrebu lijeka Berlithion 600 ED.</w:t>
            </w:r>
          </w:p>
          <w:p w14:paraId="6ED26FD4" w14:textId="77777777" w:rsidR="00AB0A18" w:rsidRPr="00AB0A18" w:rsidRDefault="00AB0A18" w:rsidP="00AB0A18">
            <w:pPr>
              <w:tabs>
                <w:tab w:val="left" w:pos="284"/>
              </w:tabs>
              <w:spacing w:after="0" w:line="240" w:lineRule="auto"/>
              <w:jc w:val="both"/>
              <w:rPr>
                <w:rFonts w:ascii="Times New Roman" w:eastAsia="Times New Roman" w:hAnsi="Times New Roman" w:cs="Times New Roman"/>
                <w:lang w:val="sr-Latn-CS"/>
              </w:rPr>
            </w:pPr>
          </w:p>
        </w:tc>
      </w:tr>
    </w:tbl>
    <w:p w14:paraId="4CD78FB7" w14:textId="77777777" w:rsidR="009318B4" w:rsidRPr="00AB0A18" w:rsidRDefault="009318B4" w:rsidP="00AB0A18">
      <w:pPr>
        <w:tabs>
          <w:tab w:val="left" w:pos="2751"/>
        </w:tabs>
        <w:rPr>
          <w:rFonts w:ascii="Times New Roman" w:hAnsi="Times New Roman" w:cs="Times New Roman"/>
        </w:rPr>
      </w:pPr>
    </w:p>
    <w:sectPr w:rsidR="009318B4" w:rsidRPr="00AB0A18"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716EF" w14:textId="77777777" w:rsidR="00023B9F" w:rsidRDefault="00023B9F" w:rsidP="00FF2B5A">
      <w:pPr>
        <w:spacing w:after="0" w:line="240" w:lineRule="auto"/>
      </w:pPr>
      <w:r>
        <w:separator/>
      </w:r>
    </w:p>
  </w:endnote>
  <w:endnote w:type="continuationSeparator" w:id="0">
    <w:p w14:paraId="0DD25792" w14:textId="77777777" w:rsidR="00023B9F" w:rsidRDefault="00023B9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91755" w14:textId="77777777"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3790E714" w14:textId="77777777"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4CFDC3E1" w14:textId="77777777"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3E5071DE" w14:textId="77777777"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2F2D3767" w14:textId="77777777"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74B33784" w14:textId="77777777"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B3041">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B3041">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CB870"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194C4FE5"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1FA1C84E"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1C8E1016"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110BD4DE"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0DF1F6F5"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44B97" w14:textId="77777777" w:rsidR="00023B9F" w:rsidRDefault="00023B9F" w:rsidP="00FF2B5A">
      <w:pPr>
        <w:spacing w:after="0" w:line="240" w:lineRule="auto"/>
      </w:pPr>
      <w:r>
        <w:separator/>
      </w:r>
    </w:p>
  </w:footnote>
  <w:footnote w:type="continuationSeparator" w:id="0">
    <w:p w14:paraId="04707F71" w14:textId="77777777" w:rsidR="00023B9F" w:rsidRDefault="00023B9F"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ECB8A" w14:textId="77777777" w:rsidR="009318B4" w:rsidRDefault="009318B4" w:rsidP="009318B4">
    <w:pPr>
      <w:pStyle w:val="Header"/>
      <w:rPr>
        <w:sz w:val="16"/>
        <w:szCs w:val="16"/>
      </w:rPr>
    </w:pPr>
  </w:p>
  <w:p w14:paraId="41031AD7" w14:textId="77777777"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3AE8A3D" wp14:editId="29F9F87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2F297C4E" w14:textId="77777777"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58D48" w14:textId="77777777" w:rsidR="009318B4" w:rsidRDefault="009318B4" w:rsidP="009318B4">
    <w:pPr>
      <w:pStyle w:val="Header"/>
      <w:rPr>
        <w:sz w:val="16"/>
        <w:szCs w:val="16"/>
      </w:rPr>
    </w:pPr>
  </w:p>
  <w:p w14:paraId="54B9DE6B" w14:textId="77777777"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75BCB5F4" wp14:editId="639D469A">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799691D9" w14:textId="77777777"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663756"/>
    <w:multiLevelType w:val="hybridMultilevel"/>
    <w:tmpl w:val="373672D0"/>
    <w:lvl w:ilvl="0" w:tplc="AF8E8FAC">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D02307"/>
    <w:multiLevelType w:val="hybridMultilevel"/>
    <w:tmpl w:val="1AB29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20CF3"/>
    <w:multiLevelType w:val="hybridMultilevel"/>
    <w:tmpl w:val="CD4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9"/>
  </w:num>
  <w:num w:numId="16">
    <w:abstractNumId w:val="27"/>
  </w:num>
  <w:num w:numId="17">
    <w:abstractNumId w:val="12"/>
    <w:lvlOverride w:ilvl="0">
      <w:startOverride w:val="1"/>
    </w:lvlOverride>
  </w:num>
  <w:num w:numId="18">
    <w:abstractNumId w:val="25"/>
  </w:num>
  <w:num w:numId="19">
    <w:abstractNumId w:val="24"/>
  </w:num>
  <w:num w:numId="20">
    <w:abstractNumId w:val="22"/>
  </w:num>
  <w:num w:numId="21">
    <w:abstractNumId w:val="20"/>
  </w:num>
  <w:num w:numId="22">
    <w:abstractNumId w:val="13"/>
  </w:num>
  <w:num w:numId="23">
    <w:abstractNumId w:val="14"/>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1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3B9F"/>
    <w:rsid w:val="00116FE6"/>
    <w:rsid w:val="002E6992"/>
    <w:rsid w:val="00461135"/>
    <w:rsid w:val="004A6946"/>
    <w:rsid w:val="005664CE"/>
    <w:rsid w:val="00675AFF"/>
    <w:rsid w:val="006E3B55"/>
    <w:rsid w:val="00747C4B"/>
    <w:rsid w:val="00883AF2"/>
    <w:rsid w:val="009318B4"/>
    <w:rsid w:val="00934541"/>
    <w:rsid w:val="00A06058"/>
    <w:rsid w:val="00AB0A18"/>
    <w:rsid w:val="00B234CE"/>
    <w:rsid w:val="00B34AF2"/>
    <w:rsid w:val="00C4240B"/>
    <w:rsid w:val="00D45AFE"/>
    <w:rsid w:val="00E0627A"/>
    <w:rsid w:val="00EB2A93"/>
    <w:rsid w:val="00EB3041"/>
    <w:rsid w:val="00F1527C"/>
    <w:rsid w:val="00F745BE"/>
    <w:rsid w:val="00F8665F"/>
    <w:rsid w:val="00FF2B5A"/>
    <w:rsid w:val="00FF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65CB0"/>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B0A18"/>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AB0A18"/>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AB0A18"/>
    <w:rPr>
      <w:rFonts w:ascii="Arial" w:eastAsia="Times New Roman" w:hAnsi="Arial" w:cs="Arial"/>
      <w:b/>
      <w:bCs/>
      <w:i/>
      <w:iCs/>
      <w:sz w:val="28"/>
      <w:szCs w:val="28"/>
    </w:rPr>
  </w:style>
  <w:style w:type="character" w:customStyle="1" w:styleId="Heading8Char">
    <w:name w:val="Heading 8 Char"/>
    <w:basedOn w:val="DefaultParagraphFont"/>
    <w:link w:val="Heading8"/>
    <w:rsid w:val="00AB0A18"/>
    <w:rPr>
      <w:rFonts w:ascii="Times New Roman" w:eastAsia="Times New Roman" w:hAnsi="Times New Roman" w:cs="Times New Roman"/>
      <w:i/>
      <w:iCs/>
      <w:sz w:val="24"/>
      <w:szCs w:val="24"/>
    </w:rPr>
  </w:style>
  <w:style w:type="numbering" w:customStyle="1" w:styleId="NoList1">
    <w:name w:val="No List1"/>
    <w:next w:val="NoList"/>
    <w:semiHidden/>
    <w:rsid w:val="00AB0A18"/>
  </w:style>
  <w:style w:type="paragraph" w:styleId="Title">
    <w:name w:val="Title"/>
    <w:basedOn w:val="Normal"/>
    <w:link w:val="TitleChar"/>
    <w:qFormat/>
    <w:rsid w:val="00AB0A18"/>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AB0A18"/>
    <w:rPr>
      <w:rFonts w:ascii="Times New Roman" w:eastAsia="Times New Roman" w:hAnsi="Times New Roman" w:cs="Times New Roman"/>
      <w:b/>
      <w:sz w:val="24"/>
      <w:szCs w:val="24"/>
    </w:rPr>
  </w:style>
  <w:style w:type="paragraph" w:styleId="EndnoteText">
    <w:name w:val="endnote text"/>
    <w:basedOn w:val="Normal"/>
    <w:link w:val="EndnoteTextChar"/>
    <w:semiHidden/>
    <w:rsid w:val="00AB0A18"/>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AB0A18"/>
    <w:rPr>
      <w:rFonts w:ascii="TmsRmn 12pt" w:eastAsia="Times New Roman" w:hAnsi="TmsRmn 12pt" w:cs="Times New Roman"/>
      <w:sz w:val="24"/>
      <w:szCs w:val="24"/>
    </w:rPr>
  </w:style>
  <w:style w:type="paragraph" w:styleId="BodyTextIndent2">
    <w:name w:val="Body Text Indent 2"/>
    <w:basedOn w:val="Normal"/>
    <w:link w:val="BodyTextIndent2Char"/>
    <w:rsid w:val="00AB0A18"/>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AB0A18"/>
    <w:rPr>
      <w:rFonts w:ascii="Times New Roman" w:eastAsia="Times New Roman" w:hAnsi="Times New Roman" w:cs="Times New Roman"/>
      <w:i/>
      <w:sz w:val="24"/>
      <w:szCs w:val="24"/>
    </w:rPr>
  </w:style>
  <w:style w:type="table" w:styleId="TableGrid">
    <w:name w:val="Table Grid"/>
    <w:basedOn w:val="TableNormal"/>
    <w:rsid w:val="00AB0A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AB0A18"/>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AB0A18"/>
  </w:style>
  <w:style w:type="paragraph" w:styleId="BodyText">
    <w:name w:val="Body Text"/>
    <w:basedOn w:val="Normal"/>
    <w:link w:val="BodyTextChar"/>
    <w:rsid w:val="00AB0A1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AB0A18"/>
    <w:rPr>
      <w:rFonts w:ascii="Times New Roman" w:eastAsia="Times New Roman" w:hAnsi="Times New Roman" w:cs="Times New Roman"/>
      <w:sz w:val="20"/>
      <w:szCs w:val="20"/>
    </w:rPr>
  </w:style>
  <w:style w:type="paragraph" w:styleId="BodyTextIndent3">
    <w:name w:val="Body Text Indent 3"/>
    <w:basedOn w:val="Normal"/>
    <w:link w:val="BodyTextIndent3Char"/>
    <w:rsid w:val="00AB0A18"/>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B0A18"/>
    <w:rPr>
      <w:rFonts w:ascii="Times New Roman" w:eastAsia="Times New Roman" w:hAnsi="Times New Roman" w:cs="Times New Roman"/>
      <w:sz w:val="16"/>
      <w:szCs w:val="16"/>
    </w:rPr>
  </w:style>
  <w:style w:type="paragraph" w:styleId="BodyTextIndent">
    <w:name w:val="Body Text Indent"/>
    <w:basedOn w:val="Normal"/>
    <w:link w:val="BodyTextIndentChar"/>
    <w:rsid w:val="00AB0A18"/>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B0A18"/>
    <w:rPr>
      <w:rFonts w:ascii="Times New Roman" w:eastAsia="Times New Roman" w:hAnsi="Times New Roman" w:cs="Times New Roman"/>
      <w:sz w:val="20"/>
      <w:szCs w:val="20"/>
    </w:rPr>
  </w:style>
  <w:style w:type="character" w:styleId="Strong">
    <w:name w:val="Strong"/>
    <w:qFormat/>
    <w:rsid w:val="00AB0A18"/>
    <w:rPr>
      <w:b/>
      <w:bCs w:val="0"/>
    </w:rPr>
  </w:style>
  <w:style w:type="paragraph" w:styleId="BalloonText">
    <w:name w:val="Balloon Text"/>
    <w:basedOn w:val="Normal"/>
    <w:link w:val="BalloonTextChar"/>
    <w:semiHidden/>
    <w:rsid w:val="00AB0A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B0A18"/>
    <w:rPr>
      <w:rFonts w:ascii="Tahoma" w:eastAsia="Times New Roman" w:hAnsi="Tahoma" w:cs="Tahoma"/>
      <w:sz w:val="16"/>
      <w:szCs w:val="16"/>
    </w:rPr>
  </w:style>
  <w:style w:type="character" w:styleId="CommentReference">
    <w:name w:val="annotation reference"/>
    <w:semiHidden/>
    <w:rsid w:val="00AB0A18"/>
    <w:rPr>
      <w:sz w:val="16"/>
      <w:szCs w:val="16"/>
    </w:rPr>
  </w:style>
  <w:style w:type="paragraph" w:styleId="CommentText">
    <w:name w:val="annotation text"/>
    <w:basedOn w:val="Normal"/>
    <w:link w:val="CommentTextChar"/>
    <w:semiHidden/>
    <w:rsid w:val="00AB0A1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B0A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B0A18"/>
    <w:rPr>
      <w:b/>
      <w:bCs/>
    </w:rPr>
  </w:style>
  <w:style w:type="character" w:customStyle="1" w:styleId="CommentSubjectChar">
    <w:name w:val="Comment Subject Char"/>
    <w:basedOn w:val="CommentTextChar"/>
    <w:link w:val="CommentSubject"/>
    <w:semiHidden/>
    <w:rsid w:val="00AB0A18"/>
    <w:rPr>
      <w:rFonts w:ascii="Times New Roman" w:eastAsia="Times New Roman" w:hAnsi="Times New Roman" w:cs="Times New Roman"/>
      <w:b/>
      <w:bCs/>
      <w:sz w:val="20"/>
      <w:szCs w:val="20"/>
    </w:rPr>
  </w:style>
  <w:style w:type="paragraph" w:styleId="NoSpacing">
    <w:name w:val="No Spacing"/>
    <w:uiPriority w:val="1"/>
    <w:qFormat/>
    <w:rsid w:val="00AB0A18"/>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rsid w:val="00AB0A1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0A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B0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907FE-5BEA-4642-92DD-6278FC2D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3210</Words>
  <Characters>18299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7</cp:revision>
  <dcterms:created xsi:type="dcterms:W3CDTF">2017-07-25T08:33:00Z</dcterms:created>
  <dcterms:modified xsi:type="dcterms:W3CDTF">2017-07-26T08:23:00Z</dcterms:modified>
</cp:coreProperties>
</file>