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70" w:rsidRDefault="00E27370"/>
    <w:p w:rsidR="00E27370" w:rsidRDefault="00E27370"/>
    <w:p w:rsidR="00E27370" w:rsidRDefault="00E27370"/>
    <w:p w:rsidR="00E27370" w:rsidRDefault="00E27370"/>
    <w:p w:rsidR="00E27370" w:rsidRDefault="00E27370"/>
    <w:p w:rsidR="00E27370" w:rsidRDefault="00E27370"/>
    <w:tbl>
      <w:tblPr>
        <w:tblW w:w="9360" w:type="dxa"/>
        <w:jc w:val="center"/>
        <w:tblLook w:val="0000" w:firstRow="0" w:lastRow="0" w:firstColumn="0" w:lastColumn="0" w:noHBand="0" w:noVBand="0"/>
      </w:tblPr>
      <w:tblGrid>
        <w:gridCol w:w="709"/>
        <w:gridCol w:w="2268"/>
        <w:gridCol w:w="6383"/>
      </w:tblGrid>
      <w:tr w:rsidR="00E27370" w:rsidRPr="00E27370" w:rsidTr="00E27370">
        <w:trPr>
          <w:trHeight w:val="530"/>
          <w:jc w:val="center"/>
        </w:trPr>
        <w:tc>
          <w:tcPr>
            <w:tcW w:w="9360" w:type="dxa"/>
            <w:gridSpan w:val="3"/>
            <w:vAlign w:val="center"/>
          </w:tcPr>
          <w:p w:rsidR="00E27370" w:rsidRPr="00E27370" w:rsidRDefault="00E27370" w:rsidP="00E27370">
            <w:pPr>
              <w:spacing w:after="0" w:line="240" w:lineRule="auto"/>
              <w:jc w:val="center"/>
              <w:rPr>
                <w:rFonts w:ascii="Times New Roman" w:eastAsia="Times New Roman" w:hAnsi="Times New Roman" w:cs="Times New Roman"/>
                <w:b/>
                <w:bCs/>
                <w:iCs/>
                <w:u w:val="single"/>
              </w:rPr>
            </w:pPr>
            <w:r w:rsidRPr="00E27370">
              <w:rPr>
                <w:rFonts w:ascii="Times New Roman" w:eastAsia="Times New Roman" w:hAnsi="Times New Roman" w:cs="Times New Roman"/>
                <w:b/>
                <w:bCs/>
                <w:iCs/>
                <w:u w:val="single"/>
              </w:rPr>
              <w:t>UPUTSTVO ZA PACIJENTA</w:t>
            </w:r>
          </w:p>
        </w:tc>
      </w:tr>
      <w:tr w:rsidR="00E27370" w:rsidRPr="00E27370" w:rsidTr="00E27370">
        <w:trPr>
          <w:trHeight w:val="1969"/>
          <w:jc w:val="center"/>
        </w:trPr>
        <w:tc>
          <w:tcPr>
            <w:tcW w:w="9360" w:type="dxa"/>
            <w:gridSpan w:val="3"/>
            <w:vAlign w:val="bottom"/>
          </w:tcPr>
          <w:p w:rsidR="00E27370" w:rsidRPr="00E27370" w:rsidRDefault="00E27370" w:rsidP="00E27370">
            <w:pPr>
              <w:spacing w:after="0" w:line="240" w:lineRule="auto"/>
              <w:jc w:val="center"/>
              <w:rPr>
                <w:rFonts w:ascii="Times New Roman" w:eastAsia="Times New Roman" w:hAnsi="Times New Roman" w:cs="Times New Roman"/>
              </w:rPr>
            </w:pPr>
            <w:r w:rsidRPr="00E27370">
              <w:rPr>
                <w:rFonts w:ascii="Times New Roman" w:eastAsia="Times New Roman" w:hAnsi="Times New Roman" w:cs="Times New Roman"/>
                <w:b/>
              </w:rPr>
              <w:t>Midol</w:t>
            </w:r>
            <w:r w:rsidRPr="00E27370">
              <w:rPr>
                <w:rFonts w:ascii="Times New Roman" w:eastAsia="Times New Roman" w:hAnsi="Times New Roman" w:cs="Times New Roman"/>
                <w:b/>
                <w:vertAlign w:val="superscript"/>
              </w:rPr>
              <w:t>®</w:t>
            </w:r>
            <w:r w:rsidRPr="00E27370">
              <w:rPr>
                <w:rFonts w:ascii="Times New Roman" w:eastAsia="Times New Roman" w:hAnsi="Times New Roman" w:cs="Times New Roman"/>
                <w:b/>
              </w:rPr>
              <w:t xml:space="preserve">, </w:t>
            </w:r>
            <w:r w:rsidRPr="00E27370">
              <w:rPr>
                <w:rFonts w:ascii="Times New Roman" w:eastAsia="Times New Roman" w:hAnsi="Times New Roman" w:cs="Times New Roman"/>
                <w:b/>
                <w:bCs/>
                <w:lang w:val="sr-Latn-CS"/>
              </w:rPr>
              <w:t>gastrorezistentna t</w:t>
            </w:r>
            <w:r w:rsidRPr="00E27370">
              <w:rPr>
                <w:rFonts w:ascii="Times New Roman" w:eastAsia="Times New Roman" w:hAnsi="Times New Roman" w:cs="Times New Roman"/>
                <w:b/>
              </w:rPr>
              <w:t>ableta</w:t>
            </w:r>
            <w:r w:rsidRPr="00E27370">
              <w:rPr>
                <w:rFonts w:ascii="Times New Roman" w:eastAsia="Times New Roman" w:hAnsi="Times New Roman" w:cs="Times New Roman"/>
              </w:rPr>
              <w:t xml:space="preserve">, </w:t>
            </w:r>
            <w:r w:rsidRPr="00E27370">
              <w:rPr>
                <w:rFonts w:ascii="Times New Roman" w:eastAsia="Times New Roman" w:hAnsi="Times New Roman" w:cs="Times New Roman"/>
                <w:b/>
              </w:rPr>
              <w:t>100 mg</w:t>
            </w:r>
          </w:p>
          <w:p w:rsidR="00E27370" w:rsidRPr="00E27370" w:rsidRDefault="00E27370" w:rsidP="00E27370">
            <w:pPr>
              <w:spacing w:after="0" w:line="240" w:lineRule="auto"/>
              <w:jc w:val="center"/>
              <w:rPr>
                <w:rFonts w:ascii="Times New Roman" w:eastAsia="Times New Roman" w:hAnsi="Times New Roman" w:cs="Times New Roman"/>
                <w:lang w:val="sl-SI"/>
              </w:rPr>
            </w:pPr>
            <w:r w:rsidRPr="00E27370">
              <w:rPr>
                <w:rFonts w:ascii="Times New Roman" w:eastAsia="Times New Roman" w:hAnsi="Times New Roman" w:cs="Times New Roman"/>
                <w:bCs/>
                <w:lang w:val="sr-Latn-CS"/>
              </w:rPr>
              <w:t xml:space="preserve">blister,  </w:t>
            </w:r>
            <w:r w:rsidR="00CF7756">
              <w:rPr>
                <w:rFonts w:ascii="Times New Roman" w:eastAsia="Times New Roman" w:hAnsi="Times New Roman" w:cs="Times New Roman"/>
                <w:bCs/>
                <w:lang w:val="sr-Latn-CS"/>
              </w:rPr>
              <w:t>30 (</w:t>
            </w:r>
            <w:r w:rsidRPr="00E27370">
              <w:rPr>
                <w:rFonts w:ascii="Times New Roman" w:eastAsia="Times New Roman" w:hAnsi="Times New Roman" w:cs="Times New Roman"/>
                <w:bCs/>
                <w:lang w:val="sr-Latn-CS"/>
              </w:rPr>
              <w:t>3x10</w:t>
            </w:r>
            <w:r w:rsidR="00CF7756">
              <w:rPr>
                <w:rFonts w:ascii="Times New Roman" w:eastAsia="Times New Roman" w:hAnsi="Times New Roman" w:cs="Times New Roman"/>
                <w:bCs/>
                <w:lang w:val="sr-Latn-CS"/>
              </w:rPr>
              <w:t>)</w:t>
            </w:r>
            <w:bookmarkStart w:id="0" w:name="_GoBack"/>
            <w:bookmarkEnd w:id="0"/>
            <w:r w:rsidRPr="00E27370">
              <w:rPr>
                <w:rFonts w:ascii="Times New Roman" w:eastAsia="Times New Roman" w:hAnsi="Times New Roman" w:cs="Times New Roman"/>
                <w:bCs/>
                <w:lang w:val="sr-Latn-CS"/>
              </w:rPr>
              <w:t xml:space="preserve"> gastrorezistentnih tableta</w:t>
            </w:r>
          </w:p>
          <w:p w:rsidR="00E27370" w:rsidRPr="00E27370" w:rsidRDefault="00E27370" w:rsidP="00E27370">
            <w:pPr>
              <w:spacing w:after="0" w:line="240" w:lineRule="auto"/>
              <w:jc w:val="center"/>
              <w:rPr>
                <w:rFonts w:ascii="Times New Roman" w:eastAsia="Times New Roman" w:hAnsi="Times New Roman" w:cs="Times New Roman"/>
                <w:b/>
                <w:vertAlign w:val="superscript"/>
                <w:lang w:val="sl-SI"/>
              </w:rPr>
            </w:pPr>
          </w:p>
        </w:tc>
      </w:tr>
      <w:tr w:rsidR="00E27370" w:rsidRPr="00E27370" w:rsidTr="00E27370">
        <w:trPr>
          <w:trHeight w:val="1225"/>
          <w:jc w:val="center"/>
        </w:trPr>
        <w:tc>
          <w:tcPr>
            <w:tcW w:w="9360" w:type="dxa"/>
            <w:gridSpan w:val="3"/>
          </w:tcPr>
          <w:p w:rsidR="00E27370" w:rsidRDefault="00E27370" w:rsidP="00E27370">
            <w:pPr>
              <w:keepNext/>
              <w:tabs>
                <w:tab w:val="left" w:pos="284"/>
              </w:tabs>
              <w:spacing w:after="0" w:line="240" w:lineRule="auto"/>
              <w:jc w:val="both"/>
              <w:outlineLvl w:val="1"/>
              <w:rPr>
                <w:rFonts w:ascii="Times New Roman" w:eastAsia="Times New Roman" w:hAnsi="Times New Roman" w:cs="Times New Roman"/>
                <w:i/>
                <w:iCs/>
                <w:color w:val="808080"/>
              </w:rPr>
            </w:pPr>
          </w:p>
          <w:p w:rsidR="00E27370" w:rsidRDefault="00E27370" w:rsidP="00E27370">
            <w:pPr>
              <w:keepNext/>
              <w:tabs>
                <w:tab w:val="left" w:pos="284"/>
              </w:tabs>
              <w:spacing w:after="0" w:line="240" w:lineRule="auto"/>
              <w:jc w:val="both"/>
              <w:outlineLvl w:val="1"/>
              <w:rPr>
                <w:rFonts w:ascii="Times New Roman" w:eastAsia="Times New Roman" w:hAnsi="Times New Roman" w:cs="Times New Roman"/>
                <w:i/>
                <w:iCs/>
                <w:color w:val="808080"/>
              </w:rPr>
            </w:pPr>
          </w:p>
          <w:p w:rsidR="00E27370" w:rsidRDefault="00E27370" w:rsidP="00E27370">
            <w:pPr>
              <w:keepNext/>
              <w:tabs>
                <w:tab w:val="left" w:pos="284"/>
              </w:tabs>
              <w:spacing w:after="0" w:line="240" w:lineRule="auto"/>
              <w:jc w:val="both"/>
              <w:outlineLvl w:val="1"/>
              <w:rPr>
                <w:rFonts w:ascii="Times New Roman" w:eastAsia="Times New Roman" w:hAnsi="Times New Roman" w:cs="Times New Roman"/>
                <w:i/>
                <w:iCs/>
                <w:color w:val="808080"/>
              </w:rPr>
            </w:pPr>
          </w:p>
          <w:p w:rsidR="00E27370" w:rsidRDefault="00E27370" w:rsidP="00E27370">
            <w:pPr>
              <w:keepNext/>
              <w:tabs>
                <w:tab w:val="left" w:pos="284"/>
              </w:tabs>
              <w:spacing w:after="0" w:line="240" w:lineRule="auto"/>
              <w:jc w:val="both"/>
              <w:outlineLvl w:val="1"/>
              <w:rPr>
                <w:rFonts w:ascii="Times New Roman" w:eastAsia="Times New Roman" w:hAnsi="Times New Roman" w:cs="Times New Roman"/>
                <w:i/>
                <w:iCs/>
                <w:color w:val="808080"/>
              </w:rPr>
            </w:pPr>
          </w:p>
          <w:p w:rsidR="00E27370" w:rsidRPr="00E27370" w:rsidRDefault="00E27370" w:rsidP="00E27370">
            <w:pPr>
              <w:keepNext/>
              <w:tabs>
                <w:tab w:val="left" w:pos="284"/>
              </w:tabs>
              <w:spacing w:after="0" w:line="240" w:lineRule="auto"/>
              <w:jc w:val="both"/>
              <w:outlineLvl w:val="1"/>
              <w:rPr>
                <w:rFonts w:ascii="Times New Roman" w:eastAsia="Times New Roman" w:hAnsi="Times New Roman" w:cs="Times New Roman"/>
                <w:i/>
                <w:iCs/>
                <w:color w:val="808080"/>
              </w:rPr>
            </w:pPr>
          </w:p>
        </w:tc>
      </w:tr>
      <w:tr w:rsidR="00E27370" w:rsidRPr="00E27370" w:rsidTr="00E27370">
        <w:trPr>
          <w:gridBefore w:val="1"/>
          <w:wBefore w:w="709" w:type="dxa"/>
          <w:jc w:val="center"/>
        </w:trPr>
        <w:tc>
          <w:tcPr>
            <w:tcW w:w="2268" w:type="dxa"/>
            <w:vAlign w:val="bottom"/>
          </w:tcPr>
          <w:p w:rsidR="00E27370" w:rsidRPr="00E27370" w:rsidRDefault="00E27370" w:rsidP="00E27370">
            <w:p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Proizvođač:</w:t>
            </w:r>
          </w:p>
        </w:tc>
        <w:tc>
          <w:tcPr>
            <w:tcW w:w="6383" w:type="dxa"/>
          </w:tcPr>
          <w:p w:rsidR="00E27370" w:rsidRPr="00E27370" w:rsidRDefault="00E27370" w:rsidP="00E27370">
            <w:pPr>
              <w:spacing w:after="0" w:line="240" w:lineRule="auto"/>
              <w:jc w:val="both"/>
              <w:rPr>
                <w:rFonts w:ascii="Times New Roman" w:eastAsia="Times New Roman" w:hAnsi="Times New Roman" w:cs="Times New Roman"/>
                <w:lang w:val="sv-SE"/>
              </w:rPr>
            </w:pPr>
            <w:r w:rsidRPr="00E27370">
              <w:rPr>
                <w:rFonts w:ascii="Times New Roman" w:eastAsia="Times New Roman" w:hAnsi="Times New Roman" w:cs="Times New Roman"/>
                <w:lang w:val="sv-SE"/>
              </w:rPr>
              <w:t>Hemofarm A.D.</w:t>
            </w:r>
          </w:p>
        </w:tc>
      </w:tr>
      <w:tr w:rsidR="00E27370" w:rsidRPr="00E27370" w:rsidTr="00E27370">
        <w:trPr>
          <w:gridBefore w:val="1"/>
          <w:wBefore w:w="709" w:type="dxa"/>
          <w:jc w:val="center"/>
        </w:trPr>
        <w:tc>
          <w:tcPr>
            <w:tcW w:w="2268" w:type="dxa"/>
            <w:vAlign w:val="bottom"/>
          </w:tcPr>
          <w:p w:rsidR="00E27370" w:rsidRPr="00E27370" w:rsidRDefault="00E27370" w:rsidP="00E27370">
            <w:p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Adresa:</w:t>
            </w:r>
          </w:p>
        </w:tc>
        <w:tc>
          <w:tcPr>
            <w:tcW w:w="6383" w:type="dxa"/>
          </w:tcPr>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Beogradski put bb, Vršac, Srbija</w:t>
            </w:r>
          </w:p>
        </w:tc>
      </w:tr>
      <w:tr w:rsidR="00E27370" w:rsidRPr="00E27370" w:rsidTr="00E27370">
        <w:trPr>
          <w:gridBefore w:val="1"/>
          <w:wBefore w:w="709" w:type="dxa"/>
          <w:jc w:val="center"/>
        </w:trPr>
        <w:tc>
          <w:tcPr>
            <w:tcW w:w="2268" w:type="dxa"/>
            <w:vAlign w:val="bottom"/>
          </w:tcPr>
          <w:p w:rsidR="00E27370" w:rsidRPr="00E27370" w:rsidRDefault="00E27370" w:rsidP="00E27370">
            <w:p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Podnosilac zahtjeva:</w:t>
            </w:r>
          </w:p>
        </w:tc>
        <w:tc>
          <w:tcPr>
            <w:tcW w:w="6383" w:type="dxa"/>
          </w:tcPr>
          <w:p w:rsidR="00E27370" w:rsidRPr="00E27370" w:rsidRDefault="00E27370" w:rsidP="00E27370">
            <w:pPr>
              <w:spacing w:after="0" w:line="240" w:lineRule="auto"/>
              <w:jc w:val="both"/>
              <w:rPr>
                <w:rFonts w:ascii="Times New Roman" w:eastAsia="Times New Roman" w:hAnsi="Times New Roman" w:cs="Times New Roman"/>
                <w:lang w:val="sv-SE"/>
              </w:rPr>
            </w:pPr>
            <w:r w:rsidRPr="00E27370">
              <w:rPr>
                <w:rFonts w:ascii="Times New Roman" w:eastAsia="Times New Roman" w:hAnsi="Times New Roman" w:cs="Times New Roman"/>
                <w:lang w:val="sv-SE"/>
              </w:rPr>
              <w:t>Hemofarm A.D. Vršac Poslovna jedinica Podgorica</w:t>
            </w:r>
          </w:p>
        </w:tc>
      </w:tr>
      <w:tr w:rsidR="00E27370" w:rsidRPr="00E27370" w:rsidTr="00E27370">
        <w:trPr>
          <w:gridBefore w:val="1"/>
          <w:wBefore w:w="709" w:type="dxa"/>
          <w:jc w:val="center"/>
        </w:trPr>
        <w:tc>
          <w:tcPr>
            <w:tcW w:w="2268" w:type="dxa"/>
            <w:vAlign w:val="bottom"/>
          </w:tcPr>
          <w:p w:rsidR="00E27370" w:rsidRPr="00E27370" w:rsidRDefault="00E27370" w:rsidP="00E27370">
            <w:p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Adresa:</w:t>
            </w:r>
          </w:p>
        </w:tc>
        <w:tc>
          <w:tcPr>
            <w:tcW w:w="6383" w:type="dxa"/>
          </w:tcPr>
          <w:p w:rsidR="00E27370" w:rsidRPr="00E27370" w:rsidRDefault="00E27370" w:rsidP="00E27370">
            <w:p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sr-Latn-CS"/>
              </w:rPr>
              <w:t>8 marta 55A, Podgorica, Crna Gora</w:t>
            </w:r>
          </w:p>
        </w:tc>
      </w:tr>
    </w:tbl>
    <w:p w:rsidR="00E27370" w:rsidRPr="00E27370" w:rsidRDefault="00E27370" w:rsidP="00E27370">
      <w:pPr>
        <w:tabs>
          <w:tab w:val="left" w:pos="435"/>
          <w:tab w:val="center" w:pos="4535"/>
          <w:tab w:val="left" w:pos="6450"/>
        </w:tabs>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ab/>
      </w:r>
      <w:r w:rsidRPr="00E27370">
        <w:rPr>
          <w:rFonts w:ascii="Times New Roman" w:eastAsia="Times New Roman" w:hAnsi="Times New Roman" w:cs="Times New Roman"/>
          <w:b/>
          <w:lang w:val="sr-Latn-CS"/>
        </w:rPr>
        <w:tab/>
      </w: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center"/>
        <w:rPr>
          <w:rFonts w:ascii="Times New Roman" w:eastAsia="Times New Roman" w:hAnsi="Times New Roman" w:cs="Times New Roman"/>
          <w:lang w:val="sl-SI"/>
        </w:rPr>
      </w:pPr>
      <w:r w:rsidRPr="00E27370">
        <w:rPr>
          <w:rFonts w:ascii="Times New Roman" w:eastAsia="Times New Roman" w:hAnsi="Times New Roman" w:cs="Times New Roman"/>
          <w:b/>
          <w:lang w:val="sr-Latn-CS"/>
        </w:rPr>
        <w:t>Midol</w:t>
      </w:r>
      <w:r w:rsidRPr="00E27370">
        <w:rPr>
          <w:rFonts w:ascii="Times New Roman" w:eastAsia="Times New Roman" w:hAnsi="Times New Roman" w:cs="Times New Roman"/>
          <w:b/>
          <w:vertAlign w:val="superscript"/>
          <w:lang w:val="sr-Latn-CS"/>
        </w:rPr>
        <w:t>®</w:t>
      </w:r>
      <w:r w:rsidRPr="00E27370">
        <w:rPr>
          <w:rFonts w:ascii="Times New Roman" w:eastAsia="Times New Roman" w:hAnsi="Times New Roman" w:cs="Times New Roman"/>
          <w:b/>
          <w:lang w:val="it-IT"/>
        </w:rPr>
        <w:t>, 100 mg,</w:t>
      </w:r>
      <w:r w:rsidRPr="00E27370">
        <w:rPr>
          <w:rFonts w:ascii="Times New Roman" w:eastAsia="Times New Roman" w:hAnsi="Times New Roman" w:cs="Times New Roman"/>
          <w:lang w:val="it-IT"/>
        </w:rPr>
        <w:t xml:space="preserve"> </w:t>
      </w:r>
      <w:r w:rsidRPr="00E27370">
        <w:rPr>
          <w:rFonts w:ascii="Times New Roman" w:eastAsia="Times New Roman" w:hAnsi="Times New Roman" w:cs="Times New Roman"/>
          <w:b/>
          <w:lang w:val="it-IT"/>
        </w:rPr>
        <w:t>gastrorezistentna tableta</w:t>
      </w:r>
    </w:p>
    <w:p w:rsidR="00E27370" w:rsidRPr="00E27370" w:rsidRDefault="00E27370" w:rsidP="00E27370">
      <w:pPr>
        <w:spacing w:after="0" w:line="240" w:lineRule="auto"/>
        <w:jc w:val="center"/>
        <w:rPr>
          <w:rFonts w:ascii="Times New Roman" w:eastAsia="Times New Roman" w:hAnsi="Times New Roman" w:cs="Times New Roman"/>
          <w:b/>
          <w:lang w:val="sl-SI"/>
        </w:rPr>
      </w:pPr>
      <w:r w:rsidRPr="00E27370">
        <w:rPr>
          <w:rFonts w:ascii="Times New Roman" w:eastAsia="Times New Roman" w:hAnsi="Times New Roman" w:cs="Times New Roman"/>
          <w:b/>
          <w:lang w:val="sl-SI"/>
        </w:rPr>
        <w:t xml:space="preserve">INN: </w:t>
      </w:r>
      <w:r w:rsidRPr="00E27370">
        <w:rPr>
          <w:rFonts w:ascii="Times New Roman" w:eastAsia="Times New Roman" w:hAnsi="Times New Roman" w:cs="Times New Roman"/>
          <w:b/>
          <w:lang w:val="it-IT"/>
        </w:rPr>
        <w:t>acetilsalicilna kiselina</w:t>
      </w:r>
    </w:p>
    <w:p w:rsidR="00E27370" w:rsidRPr="00E27370" w:rsidRDefault="00E27370" w:rsidP="00E27370">
      <w:pPr>
        <w:spacing w:after="0" w:line="240" w:lineRule="auto"/>
        <w:jc w:val="both"/>
        <w:rPr>
          <w:rFonts w:ascii="Times New Roman" w:eastAsia="Times New Roman" w:hAnsi="Times New Roman" w:cs="Times New Roman"/>
          <w:bCs/>
          <w:lang w:val="sl-SI"/>
        </w:rPr>
      </w:pPr>
    </w:p>
    <w:p w:rsidR="00E27370" w:rsidRPr="00E27370" w:rsidRDefault="00E27370" w:rsidP="00E27370">
      <w:pPr>
        <w:widowControl w:val="0"/>
        <w:autoSpaceDE w:val="0"/>
        <w:autoSpaceDN w:val="0"/>
        <w:spacing w:after="0" w:line="240" w:lineRule="auto"/>
        <w:jc w:val="both"/>
        <w:rPr>
          <w:rFonts w:ascii="Times New Roman" w:eastAsia="Times New Roman" w:hAnsi="Times New Roman" w:cs="Times New Roman"/>
          <w:b/>
          <w:bCs/>
          <w:lang w:val="sr-Latn-CS"/>
        </w:rPr>
      </w:pPr>
    </w:p>
    <w:p w:rsidR="00E27370" w:rsidRPr="00E27370" w:rsidRDefault="00E27370" w:rsidP="00E27370">
      <w:pPr>
        <w:widowControl w:val="0"/>
        <w:autoSpaceDE w:val="0"/>
        <w:autoSpaceDN w:val="0"/>
        <w:spacing w:after="0" w:line="240" w:lineRule="auto"/>
        <w:jc w:val="both"/>
        <w:rPr>
          <w:rFonts w:ascii="Times New Roman" w:eastAsia="Times New Roman" w:hAnsi="Times New Roman" w:cs="Times New Roman"/>
          <w:b/>
          <w:bCs/>
          <w:lang w:val="sr-Latn-CS"/>
        </w:rPr>
      </w:pPr>
      <w:r w:rsidRPr="00E27370">
        <w:rPr>
          <w:rFonts w:ascii="Times New Roman" w:eastAsia="Times New Roman" w:hAnsi="Times New Roman" w:cs="Times New Roman"/>
          <w:b/>
          <w:bCs/>
          <w:lang w:val="sr-Latn-CS"/>
        </w:rPr>
        <w:t>Pažljivo pročitajte ovo uputstvo, jer sadrži informacije koje su važne za Vas.</w:t>
      </w:r>
    </w:p>
    <w:p w:rsidR="00E27370" w:rsidRPr="00E27370" w:rsidRDefault="00E27370" w:rsidP="00E27370">
      <w:pPr>
        <w:widowControl w:val="0"/>
        <w:autoSpaceDE w:val="0"/>
        <w:autoSpaceDN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Ovaj lijek se može nabaviti bez ljekarskog recepta. Međutim, neophodno je da pažljivo koristite lijek Midol, da biste sa njim postigli najbolje rezultate.</w:t>
      </w:r>
    </w:p>
    <w:p w:rsidR="00E27370" w:rsidRPr="00E27370" w:rsidRDefault="00E27370" w:rsidP="00E27370">
      <w:pPr>
        <w:widowControl w:val="0"/>
        <w:numPr>
          <w:ilvl w:val="0"/>
          <w:numId w:val="32"/>
        </w:numPr>
        <w:autoSpaceDE w:val="0"/>
        <w:autoSpaceDN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Uputstvo sačuvajte. Može biti potrebno da ga ponovo pročitate.</w:t>
      </w:r>
    </w:p>
    <w:p w:rsidR="00E27370" w:rsidRPr="00E27370" w:rsidRDefault="00E27370" w:rsidP="00E27370">
      <w:pPr>
        <w:widowControl w:val="0"/>
        <w:numPr>
          <w:ilvl w:val="0"/>
          <w:numId w:val="32"/>
        </w:numPr>
        <w:autoSpaceDE w:val="0"/>
        <w:autoSpaceDN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Ako imate dodatnih pitanja, obratite se farmaceutu.</w:t>
      </w:r>
    </w:p>
    <w:p w:rsidR="00E27370" w:rsidRPr="00E27370" w:rsidRDefault="00E27370" w:rsidP="00E27370">
      <w:pPr>
        <w:widowControl w:val="0"/>
        <w:numPr>
          <w:ilvl w:val="0"/>
          <w:numId w:val="32"/>
        </w:numPr>
        <w:autoSpaceDE w:val="0"/>
        <w:autoSpaceDN w:val="0"/>
        <w:spacing w:after="0" w:line="240" w:lineRule="auto"/>
        <w:ind w:left="600" w:hanging="600"/>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Ukoliko se Vaši simptomi pogoršaju ili Vam ne bude bolje, morate se obratiti svom ljekaru.</w:t>
      </w:r>
    </w:p>
    <w:p w:rsidR="00E27370" w:rsidRPr="00E27370" w:rsidRDefault="00E27370" w:rsidP="00E27370">
      <w:pPr>
        <w:widowControl w:val="0"/>
        <w:numPr>
          <w:ilvl w:val="0"/>
          <w:numId w:val="32"/>
        </w:numPr>
        <w:autoSpaceDE w:val="0"/>
        <w:autoSpaceDN w:val="0"/>
        <w:spacing w:after="0" w:line="240" w:lineRule="auto"/>
        <w:ind w:left="600" w:hanging="600"/>
        <w:jc w:val="both"/>
        <w:rPr>
          <w:rFonts w:ascii="Times New Roman" w:eastAsia="Times New Roman" w:hAnsi="Times New Roman" w:cs="Times New Roman"/>
          <w:lang w:val="pl-PL"/>
        </w:rPr>
      </w:pPr>
      <w:r w:rsidRPr="00E27370">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E27370">
        <w:rPr>
          <w:rFonts w:ascii="Times New Roman" w:eastAsia="Times New Roman" w:hAnsi="Times New Roman" w:cs="Times New Roman"/>
          <w:spacing w:val="-4"/>
          <w:lang w:val="sr-Latn-RS"/>
        </w:rPr>
        <w:t xml:space="preserve">. </w:t>
      </w:r>
    </w:p>
    <w:p w:rsidR="00E27370" w:rsidRPr="00E27370" w:rsidRDefault="00E27370" w:rsidP="00E27370">
      <w:pPr>
        <w:spacing w:after="0" w:line="240" w:lineRule="auto"/>
        <w:jc w:val="both"/>
        <w:rPr>
          <w:rFonts w:ascii="Times New Roman" w:eastAsia="Times New Roman" w:hAnsi="Times New Roman" w:cs="Times New Roman"/>
          <w:b/>
          <w:u w:val="single"/>
          <w:lang w:val="pl-PL"/>
        </w:rPr>
      </w:pPr>
    </w:p>
    <w:p w:rsidR="00E27370" w:rsidRPr="00E27370" w:rsidRDefault="00E27370" w:rsidP="00E27370">
      <w:pPr>
        <w:spacing w:after="0" w:line="240" w:lineRule="auto"/>
        <w:jc w:val="both"/>
        <w:rPr>
          <w:rFonts w:ascii="Times New Roman" w:eastAsia="Times New Roman" w:hAnsi="Times New Roman" w:cs="Times New Roman"/>
          <w:b/>
          <w:u w:val="single"/>
          <w:lang w:val="pl-PL"/>
        </w:rPr>
      </w:pPr>
    </w:p>
    <w:p w:rsidR="00E27370" w:rsidRPr="00E27370" w:rsidRDefault="00E27370" w:rsidP="00E27370">
      <w:pPr>
        <w:spacing w:after="0" w:line="240" w:lineRule="auto"/>
        <w:jc w:val="both"/>
        <w:rPr>
          <w:rFonts w:ascii="Times New Roman" w:eastAsia="Times New Roman" w:hAnsi="Times New Roman" w:cs="Times New Roman"/>
          <w:b/>
          <w:u w:val="single"/>
          <w:lang w:val="pl-PL"/>
        </w:rPr>
      </w:pPr>
    </w:p>
    <w:p w:rsidR="00E27370" w:rsidRPr="00E27370" w:rsidRDefault="00E27370" w:rsidP="00E27370">
      <w:pPr>
        <w:spacing w:after="0" w:line="240" w:lineRule="auto"/>
        <w:jc w:val="both"/>
        <w:rPr>
          <w:rFonts w:ascii="Times New Roman" w:eastAsia="Times New Roman" w:hAnsi="Times New Roman" w:cs="Times New Roman"/>
          <w:b/>
          <w:u w:val="single"/>
          <w:lang w:val="pl-PL"/>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U ovom uputstvu pročitaćete:</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1. Šta je lijek Midol i čemu je namijenjen</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2. Šta treba da znate prije nego što uzmete lijek Midol</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3. Kako se upotrebljava lijek Midol</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4. Moguća neželjena dejstva</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5. Kako čuvati lijek Midol</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6. Dodatne informacije</w:t>
      </w: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u w:val="single"/>
          <w:lang w:val="sr-Latn-CS"/>
        </w:rPr>
      </w:pPr>
    </w:p>
    <w:p w:rsidR="00124381" w:rsidRDefault="00124381" w:rsidP="00E27370">
      <w:pPr>
        <w:spacing w:after="0" w:line="240" w:lineRule="auto"/>
        <w:jc w:val="both"/>
        <w:rPr>
          <w:rFonts w:ascii="Times New Roman" w:eastAsia="Times New Roman" w:hAnsi="Times New Roman" w:cs="Times New Roman"/>
          <w:b/>
          <w:u w:val="single"/>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lastRenderedPageBreak/>
        <w:t>1.ŠTA JE LIJEK MIDOL I ČEMU JE NAMIJENJEN?</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rPr>
        <w:t>Lijek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inhibira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sljepljivanje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nagomilavanje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plo</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ica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trombocita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taj</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in</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sprje</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ava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nastajanje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ugru</w:t>
      </w:r>
      <w:r w:rsidRPr="00E27370">
        <w:rPr>
          <w:rFonts w:ascii="Times New Roman" w:eastAsia="Times New Roman" w:hAnsi="Times New Roman" w:cs="Times New Roman"/>
          <w:lang w:val="sr-Latn-CS"/>
        </w:rPr>
        <w:t>š</w:t>
      </w:r>
      <w:r w:rsidRPr="00E27370">
        <w:rPr>
          <w:rFonts w:ascii="Times New Roman" w:eastAsia="Times New Roman" w:hAnsi="Times New Roman" w:cs="Times New Roman"/>
        </w:rPr>
        <w:t>aka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tromba</w:t>
      </w:r>
      <w:r w:rsidRPr="00E27370">
        <w:rPr>
          <w:rFonts w:ascii="Times New Roman" w:eastAsia="Times New Roman" w:hAnsi="Times New Roman" w:cs="Times New Roman"/>
          <w:lang w:val="sr-Latn-CS"/>
        </w:rPr>
        <w:t xml:space="preserve">) - </w:t>
      </w:r>
      <w:r w:rsidRPr="00E27370">
        <w:rPr>
          <w:rFonts w:ascii="Times New Roman" w:eastAsia="Times New Roman" w:hAnsi="Times New Roman" w:cs="Times New Roman"/>
        </w:rPr>
        <w:t>inhibicija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agregacije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trombocita</w:t>
      </w:r>
      <w:r w:rsidRPr="00E27370">
        <w:rPr>
          <w:rFonts w:ascii="Times New Roman" w:eastAsia="Times New Roman" w:hAnsi="Times New Roman" w:cs="Times New Roman"/>
          <w:lang w:val="sr-Latn-CS"/>
        </w:rPr>
        <w:t>.</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Obavezno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konsultujte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Va</w:t>
      </w:r>
      <w:r w:rsidRPr="00E27370">
        <w:rPr>
          <w:rFonts w:ascii="Times New Roman" w:eastAsia="Times New Roman" w:hAnsi="Times New Roman" w:cs="Times New Roman"/>
          <w:lang w:val="sr-Latn-CS"/>
        </w:rPr>
        <w:t>š</w:t>
      </w:r>
      <w:r w:rsidRPr="00E27370">
        <w:rPr>
          <w:rFonts w:ascii="Times New Roman" w:eastAsia="Times New Roman" w:hAnsi="Times New Roman" w:cs="Times New Roman"/>
        </w:rPr>
        <w:t>eg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ljekara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nego</w:t>
      </w:r>
      <w:r w:rsidRPr="00E27370">
        <w:rPr>
          <w:rFonts w:ascii="Times New Roman" w:eastAsia="Times New Roman" w:hAnsi="Times New Roman" w:cs="Times New Roman"/>
          <w:lang w:val="sr-Latn-CS"/>
        </w:rPr>
        <w:t xml:space="preserve"> š</w:t>
      </w:r>
      <w:r w:rsidRPr="00E27370">
        <w:rPr>
          <w:rFonts w:ascii="Times New Roman" w:eastAsia="Times New Roman" w:hAnsi="Times New Roman" w:cs="Times New Roman"/>
        </w:rPr>
        <w:t>to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prvi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put</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primijenite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ovaj</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w:t>
      </w:r>
      <w:r w:rsidRPr="00E27370">
        <w:rPr>
          <w:rFonts w:ascii="Times New Roman" w:eastAsia="Times New Roman" w:hAnsi="Times New Roman" w:cs="Times New Roman"/>
          <w:lang w:val="sr-Latn-CS"/>
        </w:rPr>
        <w:t xml:space="preserv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Lijek Midol se upotrebljava: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za smanjenje rizika smrtnosti kod pacijenata kod kojih se sumnja na iznenadni srčani napad (akutni  infarkt miokarda);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za smanjenje rizika od smrtnosti i oboljenja kod pacijenata koji su ranije imali srčani napad (infarkt);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za sekundarno sprječavanje moždanog udara;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za smanjenje rizika od pojave tranzitornih ishemijskih napada (TIA-prolaznog smanjenja protoka krvi u mozgu) i moždanog udara kod pacijenata koji pate od TIA;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za smanjenje rizika od oboljenja i smrti kod pacijenata sa stabilnom i nestabilnom anginom pektoris;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za prevenciju tromboembolije poslije operacije na krvnom sudu ili hirurške intervencije (npr. PTCA, CABG, karotidne endarterektomije, arteriovenskih šantova kod pacijenata na dijalizi);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za sprječavanje tromboze dubokih vena i plućne embolije poslije dugotrajne imobilizacije, npr. poslije većeg hirurškog zahvata; </w:t>
      </w:r>
    </w:p>
    <w:p w:rsidR="00E27370" w:rsidRPr="00E27370" w:rsidRDefault="00E27370" w:rsidP="00E27370">
      <w:pPr>
        <w:numPr>
          <w:ilvl w:val="0"/>
          <w:numId w:val="30"/>
        </w:num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za smanjenje rizika od pojave prvog srčanog napada (infarkta miokarda) kod ljudi sa faktorima rizika za obolijevanje od srčanih bolesti i bolesti krvnih sudova, npr. šećerna bolest, hiperlipidemija (povećanje koncentracije masnoća u krvi), hipertenzija (povišen krvni pritisak), gojaznost, pušenje, starost. </w:t>
      </w:r>
    </w:p>
    <w:p w:rsidR="00E27370" w:rsidRPr="00E27370" w:rsidRDefault="00E27370" w:rsidP="00E27370">
      <w:pPr>
        <w:spacing w:after="0" w:line="240" w:lineRule="auto"/>
        <w:jc w:val="both"/>
        <w:rPr>
          <w:rFonts w:ascii="Times New Roman" w:eastAsia="Times New Roman" w:hAnsi="Times New Roman" w:cs="Times New Roman"/>
          <w:bCs/>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2. ŠTA TREBA DA ZNATE PRIJE NEGO ŠTO UZMETE LIJEK MIDOL</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Lijek Midol ne smijete koristiti:</w:t>
      </w:r>
    </w:p>
    <w:p w:rsidR="00E27370" w:rsidRPr="00E27370" w:rsidRDefault="00E27370" w:rsidP="00E27370">
      <w:pPr>
        <w:numPr>
          <w:ilvl w:val="0"/>
          <w:numId w:val="31"/>
        </w:num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lang w:val="sr-Latn-CS"/>
        </w:rPr>
        <w:t>a</w:t>
      </w:r>
      <w:r w:rsidRPr="00E27370">
        <w:rPr>
          <w:rFonts w:ascii="Times New Roman" w:eastAsia="Times New Roman" w:hAnsi="Times New Roman" w:cs="Times New Roman"/>
        </w:rPr>
        <w:t>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alergi</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ni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preosjetljivi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salicilate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na </w:t>
      </w:r>
      <w:r w:rsidRPr="00E27370">
        <w:rPr>
          <w:rFonts w:ascii="Times New Roman" w:eastAsia="Times New Roman" w:hAnsi="Times New Roman" w:cs="Times New Roman"/>
        </w:rPr>
        <w:t>bilo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drugi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sastojak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ako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ranije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upotrebe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salicilata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drugih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nesteroidnih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antiinflamatornih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ljekova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imali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astmati</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an</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napad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druge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preosjetljivosti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alergijske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reakcije</w:t>
      </w:r>
      <w:r w:rsidRPr="00E27370">
        <w:rPr>
          <w:rFonts w:ascii="Times New Roman" w:eastAsia="Times New Roman" w:hAnsi="Times New Roman" w:cs="Times New Roman"/>
          <w:lang w:val="sr-Latn-CS"/>
        </w:rPr>
        <w:t xml:space="preserve">), </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ako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imate</w:t>
      </w:r>
      <w:r w:rsidRPr="00E27370">
        <w:rPr>
          <w:rFonts w:ascii="Times New Roman" w:eastAsia="Times New Roman" w:hAnsi="Times New Roman" w:cs="Times New Roman"/>
          <w:lang w:val="sr-Latn-CS"/>
        </w:rPr>
        <w:t xml:space="preserve"> č</w:t>
      </w:r>
      <w:r w:rsidRPr="00E27370">
        <w:rPr>
          <w:rFonts w:ascii="Times New Roman" w:eastAsia="Times New Roman" w:hAnsi="Times New Roman" w:cs="Times New Roman"/>
        </w:rPr>
        <w:t>ir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ž</w:t>
      </w:r>
      <w:r w:rsidRPr="00E27370">
        <w:rPr>
          <w:rFonts w:ascii="Times New Roman" w:eastAsia="Times New Roman" w:hAnsi="Times New Roman" w:cs="Times New Roman"/>
        </w:rPr>
        <w:t>elucu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dvanaestopala</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nom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crijevu,</w:t>
      </w:r>
      <w:r w:rsidRPr="00E27370">
        <w:rPr>
          <w:rFonts w:ascii="Times New Roman" w:eastAsia="Times New Roman" w:hAnsi="Times New Roman" w:cs="Times New Roman"/>
          <w:lang w:val="sr-Latn-CS"/>
        </w:rPr>
        <w:t xml:space="preserve"> </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ako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imate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anu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sklonost</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krvarenju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hemoragijska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dijateza</w:t>
      </w:r>
      <w:r w:rsidRPr="00E27370">
        <w:rPr>
          <w:rFonts w:ascii="Times New Roman" w:eastAsia="Times New Roman" w:hAnsi="Times New Roman" w:cs="Times New Roman"/>
          <w:lang w:val="sr-Latn-CS"/>
        </w:rPr>
        <w:t>),</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ako imate ozbiljno oboljenje bubrega,</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ako imate ozbiljno oboljenje jetre,</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ako imate ozbiljno oboljenje srca, </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ako paralelno uzimate metotreksat u dozama od 15 mg nedjeljno ili većim,</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u posljednjem trimestru trudnoće, </w:t>
      </w:r>
    </w:p>
    <w:p w:rsidR="00E27370" w:rsidRPr="00E27370" w:rsidRDefault="00E27370" w:rsidP="00E27370">
      <w:pPr>
        <w:numPr>
          <w:ilvl w:val="0"/>
          <w:numId w:val="25"/>
        </w:numPr>
        <w:spacing w:after="0" w:line="240" w:lineRule="auto"/>
        <w:jc w:val="both"/>
        <w:rPr>
          <w:rFonts w:ascii="Times New Roman" w:eastAsia="Times New Roman" w:hAnsi="Times New Roman" w:cs="Times New Roman"/>
        </w:rPr>
      </w:pPr>
      <w:r w:rsidRPr="00E27370">
        <w:rPr>
          <w:rFonts w:ascii="Times New Roman" w:eastAsia="Times New Roman" w:hAnsi="Times New Roman" w:cs="Times New Roman"/>
        </w:rPr>
        <w:t xml:space="preserve">kod djece mlađe od 16 godina (sa izuzetkom sprječavanja tromboze pri hirurškim zahvatima na srcu). </w:t>
      </w:r>
    </w:p>
    <w:p w:rsidR="00E27370" w:rsidRPr="00E27370" w:rsidRDefault="00E27370" w:rsidP="00E27370">
      <w:pPr>
        <w:spacing w:after="0" w:line="240" w:lineRule="auto"/>
        <w:jc w:val="both"/>
        <w:rPr>
          <w:rFonts w:ascii="Times New Roman" w:eastAsia="Times New Roman" w:hAnsi="Times New Roman" w:cs="Times New Roman"/>
          <w:i/>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Kada uzimate lijek Midol, posebno vodite računa:</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ako ste preosjetljivi (alergični) na druge ljekove protiv bolova i zapaljenja (analgetici, antiinflamatorni ljekovi, antireumatici) ili imate neku drugu alergiju,</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ako ste ranije imali čir na želucu ili crijevu ili krvarenja u želucu ili crijevima, </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i/>
          <w:lang w:val="it-IT"/>
        </w:rPr>
      </w:pPr>
      <w:r w:rsidRPr="00E27370">
        <w:rPr>
          <w:rFonts w:ascii="Times New Roman" w:eastAsia="Times New Roman" w:hAnsi="Times New Roman" w:cs="Times New Roman"/>
          <w:lang w:val="it-IT"/>
        </w:rPr>
        <w:lastRenderedPageBreak/>
        <w:t>ako koristite druge ljekove protiv zgrušavanja krvi (antikoagulantne ljekove) (</w:t>
      </w:r>
      <w:r w:rsidRPr="00E27370">
        <w:rPr>
          <w:rFonts w:ascii="Times New Roman" w:eastAsia="Times New Roman" w:hAnsi="Times New Roman" w:cs="Times New Roman"/>
          <w:i/>
          <w:lang w:val="it-IT"/>
        </w:rPr>
        <w:t>vidjeti odjeljak "Primjena drugih ljekova"),</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ako imate oštećenje bubrežne funkcije ili oštećenje kardiovaskularne funkcije (npr. bolest krvnih sudova bubrega, kongestivna srčana insuficijencija, gubitak volumena krvi, velike operacije, sepsa ili velika krvarenja) porebno je pažljivo praćenje,</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rPr>
      </w:pPr>
      <w:r w:rsidRPr="00E27370">
        <w:rPr>
          <w:rFonts w:ascii="Times New Roman" w:eastAsia="Times New Roman" w:hAnsi="Times New Roman" w:cs="Times New Roman"/>
        </w:rPr>
        <w:t>ako imate oštećenje funkcije jetre,</w:t>
      </w:r>
    </w:p>
    <w:p w:rsidR="00E27370" w:rsidRPr="00E27370" w:rsidRDefault="00E27370" w:rsidP="00E27370">
      <w:pPr>
        <w:widowControl w:val="0"/>
        <w:numPr>
          <w:ilvl w:val="0"/>
          <w:numId w:val="21"/>
        </w:numPr>
        <w:autoSpaceDE w:val="0"/>
        <w:autoSpaceDN w:val="0"/>
        <w:adjustRightInd w:val="0"/>
        <w:spacing w:after="0" w:line="240" w:lineRule="auto"/>
        <w:ind w:left="672" w:right="4" w:hanging="316"/>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ibuprofen može da ometa korisna svojstva gastrorezistentnih tableta Midol. Konsultujte svog ljekara ukoliko uzimate lijek Midol, a uzmete ibuprofen protiv bolova.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prouzrokuje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bronhospazam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gr</w:t>
      </w:r>
      <w:r w:rsidRPr="00E27370">
        <w:rPr>
          <w:rFonts w:ascii="Times New Roman" w:eastAsia="Times New Roman" w:hAnsi="Times New Roman" w:cs="Times New Roman"/>
          <w:lang w:val="sr-Latn-CS"/>
        </w:rPr>
        <w:t xml:space="preserve">č </w:t>
      </w:r>
      <w:r w:rsidRPr="00E27370">
        <w:rPr>
          <w:rFonts w:ascii="Times New Roman" w:eastAsia="Times New Roman" w:hAnsi="Times New Roman" w:cs="Times New Roman"/>
        </w:rPr>
        <w:t>disajne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muskulature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prouzrokuje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napade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astme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drugu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preosjetljivosti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alergijsku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Faktori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rizika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ve</w:t>
      </w:r>
      <w:r w:rsidRPr="00E27370">
        <w:rPr>
          <w:rFonts w:ascii="Times New Roman" w:eastAsia="Times New Roman" w:hAnsi="Times New Roman" w:cs="Times New Roman"/>
          <w:lang w:val="sr-Latn-CS"/>
        </w:rPr>
        <w:t xml:space="preserve">ć </w:t>
      </w:r>
      <w:r w:rsidRPr="00E27370">
        <w:rPr>
          <w:rFonts w:ascii="Times New Roman" w:eastAsia="Times New Roman" w:hAnsi="Times New Roman" w:cs="Times New Roman"/>
        </w:rPr>
        <w:t>postoje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astma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polenska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alergija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polipi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nosu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hroni</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no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oboljenje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disajnog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sistema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Ovo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takođe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odnosi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pacijente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ispoljavaju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alergijske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npr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reakcije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svrab</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koprivnja</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ostale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supstance</w:t>
      </w:r>
      <w:r w:rsidRPr="00E27370">
        <w:rPr>
          <w:rFonts w:ascii="Times New Roman" w:eastAsia="Times New Roman" w:hAnsi="Times New Roman" w:cs="Times New Roman"/>
          <w:lang w:val="sr-Latn-CS"/>
        </w:rPr>
        <w:t xml:space="preserv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Usljed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svog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inhibiraju</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eg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dejstva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nakupljanje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trombocita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traje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nekoliko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dana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poslije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uzimanja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prouzrokovati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tendenciju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anom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krvarenju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tokom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poslije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operacija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uklju</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uju</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operacije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npr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va</w:t>
      </w:r>
      <w:r w:rsidRPr="00E27370">
        <w:rPr>
          <w:rFonts w:ascii="Times New Roman" w:eastAsia="Times New Roman" w:hAnsi="Times New Roman" w:cs="Times New Roman"/>
          <w:lang w:val="sr-Latn-CS"/>
        </w:rPr>
        <w:t>đ</w:t>
      </w:r>
      <w:r w:rsidRPr="00E27370">
        <w:rPr>
          <w:rFonts w:ascii="Times New Roman" w:eastAsia="Times New Roman" w:hAnsi="Times New Roman" w:cs="Times New Roman"/>
        </w:rPr>
        <w:t>enje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zuba</w:t>
      </w:r>
      <w:r w:rsidRPr="00E27370">
        <w:rPr>
          <w:rFonts w:ascii="Times New Roman" w:eastAsia="Times New Roman" w:hAnsi="Times New Roman" w:cs="Times New Roman"/>
          <w:lang w:val="sr-Latn-CS"/>
        </w:rPr>
        <w:t xml:space="preserv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Potreban</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oprez</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imate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bolest</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crvenih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ćelija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nedostatak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glukozo</w:t>
      </w:r>
      <w:r w:rsidRPr="00E27370">
        <w:rPr>
          <w:rFonts w:ascii="Times New Roman" w:eastAsia="Times New Roman" w:hAnsi="Times New Roman" w:cs="Times New Roman"/>
          <w:lang w:val="sr-Latn-CS"/>
        </w:rPr>
        <w:t>-6-</w:t>
      </w:r>
      <w:r w:rsidRPr="00E27370">
        <w:rPr>
          <w:rFonts w:ascii="Times New Roman" w:eastAsia="Times New Roman" w:hAnsi="Times New Roman" w:cs="Times New Roman"/>
        </w:rPr>
        <w:t>fosfat</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dehidrogenaze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jer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izazvati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hemolizu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hemoliti</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anemiju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Faktori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mogu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rizik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hemolize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npr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visoka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doza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groznica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akutna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infekcija</w:t>
      </w:r>
      <w:r w:rsidRPr="00E27370">
        <w:rPr>
          <w:rFonts w:ascii="Times New Roman" w:eastAsia="Times New Roman" w:hAnsi="Times New Roman" w:cs="Times New Roman"/>
          <w:lang w:val="sr-Latn-CS"/>
        </w:rPr>
        <w:t>.</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niskim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dozama,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smanjuje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izlu</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ivanje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mokra</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ne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Ovo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prouzrokovati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napade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gihta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pacijenata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imaju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predispozicije</w:t>
      </w:r>
      <w:r w:rsidRPr="00E27370">
        <w:rPr>
          <w:rFonts w:ascii="Times New Roman" w:eastAsia="Times New Roman" w:hAnsi="Times New Roman" w:cs="Times New Roman"/>
          <w:lang w:val="sr-Latn-CS"/>
        </w:rPr>
        <w:t xml:space="preserve">. </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Lijek Midol ne treba davati djeci i adolescentima u slučaju virusnih infekcija sa ili bez temperature ukoliko prethodno ne potražite savjet ljekara. Kod određenih virusnih bolesti, naročito gripa tipa A, gripa tipa B i varičele, postoji rizik od Rejovog sindroma, veoma rijetke bolesti koja može biti opasna po život i koja zahtijeva hitnu medicinsku intervenciju. Rizik može biti veći ukoliko se acetilsalicilna kiselina daje kao propratna terapija; međutim, nije dokazana uzročno-posljedična veza. Ukoliko se kod takvih bolesti javi uporno povraćanje, to može biti znak Rejovog sindroma. </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Primjena drugih ljekova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Kažite svom ljekaru ili farmaceutu ako uzimate, ili ste do nedavno uzimali bilo koji drugi lijek, uključujući i one koji se mogu nabaviti bez ljekarskog recepta.</w:t>
      </w:r>
    </w:p>
    <w:p w:rsidR="00E27370" w:rsidRPr="00E27370" w:rsidRDefault="00E27370" w:rsidP="00E27370">
      <w:pPr>
        <w:spacing w:after="0" w:line="240" w:lineRule="auto"/>
        <w:jc w:val="both"/>
        <w:rPr>
          <w:rFonts w:ascii="Times New Roman" w:eastAsia="Times New Roman" w:hAnsi="Times New Roman" w:cs="Times New Roman"/>
          <w:i/>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Treba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uzeti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obzir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navedene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interakcije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izme</w:t>
      </w:r>
      <w:r w:rsidRPr="00E27370">
        <w:rPr>
          <w:rFonts w:ascii="Times New Roman" w:eastAsia="Times New Roman" w:hAnsi="Times New Roman" w:cs="Times New Roman"/>
          <w:lang w:val="sr-Latn-CS"/>
        </w:rPr>
        <w:t>đ</w:t>
      </w: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sljede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ljekova</w:t>
      </w:r>
      <w:r w:rsidRPr="00E27370">
        <w:rPr>
          <w:rFonts w:ascii="Times New Roman" w:eastAsia="Times New Roman" w:hAnsi="Times New Roman" w:cs="Times New Roman"/>
          <w:lang w:val="sr-Latn-CS"/>
        </w:rPr>
        <w:t>:</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 </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i/>
          <w:iCs/>
          <w:lang w:val="sr-Latn-CS"/>
        </w:rPr>
      </w:pPr>
      <w:r w:rsidRPr="00E27370">
        <w:rPr>
          <w:rFonts w:ascii="Times New Roman" w:eastAsia="Times New Roman" w:hAnsi="Times New Roman" w:cs="Times New Roman"/>
          <w:i/>
          <w:iCs/>
        </w:rPr>
        <w:t>Pove</w:t>
      </w:r>
      <w:r w:rsidRPr="00E27370">
        <w:rPr>
          <w:rFonts w:ascii="Times New Roman" w:eastAsia="Times New Roman" w:hAnsi="Times New Roman" w:cs="Times New Roman"/>
          <w:i/>
          <w:iCs/>
          <w:lang w:val="sr-Latn-CS"/>
        </w:rPr>
        <w:t>ć</w:t>
      </w:r>
      <w:r w:rsidRPr="00E27370">
        <w:rPr>
          <w:rFonts w:ascii="Times New Roman" w:eastAsia="Times New Roman" w:hAnsi="Times New Roman" w:cs="Times New Roman"/>
          <w:i/>
          <w:iCs/>
        </w:rPr>
        <w:t>anje</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efekta</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pove</w:t>
      </w:r>
      <w:r w:rsidRPr="00E27370">
        <w:rPr>
          <w:rFonts w:ascii="Times New Roman" w:eastAsia="Times New Roman" w:hAnsi="Times New Roman" w:cs="Times New Roman"/>
          <w:i/>
          <w:iCs/>
          <w:lang w:val="sr-Latn-CS"/>
        </w:rPr>
        <w:t>ć</w:t>
      </w:r>
      <w:r w:rsidRPr="00E27370">
        <w:rPr>
          <w:rFonts w:ascii="Times New Roman" w:eastAsia="Times New Roman" w:hAnsi="Times New Roman" w:cs="Times New Roman"/>
          <w:i/>
          <w:iCs/>
        </w:rPr>
        <w:t>ava</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se</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rizik</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od</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ne</w:t>
      </w:r>
      <w:r w:rsidRPr="00E27370">
        <w:rPr>
          <w:rFonts w:ascii="Times New Roman" w:eastAsia="Times New Roman" w:hAnsi="Times New Roman" w:cs="Times New Roman"/>
          <w:i/>
          <w:iCs/>
          <w:lang w:val="sr-Latn-CS"/>
        </w:rPr>
        <w:t>ž</w:t>
      </w:r>
      <w:r w:rsidRPr="00E27370">
        <w:rPr>
          <w:rFonts w:ascii="Times New Roman" w:eastAsia="Times New Roman" w:hAnsi="Times New Roman" w:cs="Times New Roman"/>
          <w:i/>
          <w:iCs/>
        </w:rPr>
        <w:t>eljenih</w:t>
      </w:r>
      <w:r w:rsidRPr="00E27370">
        <w:rPr>
          <w:rFonts w:ascii="Times New Roman" w:eastAsia="Times New Roman" w:hAnsi="Times New Roman" w:cs="Times New Roman"/>
          <w:i/>
          <w:iCs/>
          <w:lang w:val="sr-Latn-CS"/>
        </w:rPr>
        <w:t xml:space="preserve"> </w:t>
      </w:r>
      <w:r w:rsidRPr="00E27370">
        <w:rPr>
          <w:rFonts w:ascii="Times New Roman" w:eastAsia="Times New Roman" w:hAnsi="Times New Roman" w:cs="Times New Roman"/>
          <w:i/>
          <w:iCs/>
        </w:rPr>
        <w:t>dejstava</w:t>
      </w:r>
      <w:r w:rsidRPr="00E27370">
        <w:rPr>
          <w:rFonts w:ascii="Times New Roman" w:eastAsia="Times New Roman" w:hAnsi="Times New Roman" w:cs="Times New Roman"/>
          <w:i/>
          <w:iCs/>
          <w:lang w:val="sr-Latn-CS"/>
        </w:rPr>
        <w:t xml:space="preserve">): </w:t>
      </w:r>
    </w:p>
    <w:p w:rsidR="00E27370" w:rsidRPr="00E27370" w:rsidRDefault="00E27370" w:rsidP="00E27370">
      <w:pPr>
        <w:widowControl w:val="0"/>
        <w:numPr>
          <w:ilvl w:val="0"/>
          <w:numId w:val="21"/>
        </w:numPr>
        <w:autoSpaceDE w:val="0"/>
        <w:autoSpaceDN w:val="0"/>
        <w:adjustRightInd w:val="0"/>
        <w:spacing w:after="0" w:line="240" w:lineRule="auto"/>
        <w:ind w:left="681" w:right="4" w:hanging="321"/>
        <w:jc w:val="both"/>
        <w:rPr>
          <w:rFonts w:ascii="Times New Roman" w:eastAsia="Times New Roman" w:hAnsi="Times New Roman" w:cs="Times New Roman"/>
          <w:lang w:val="sr-Latn-CS"/>
        </w:rPr>
      </w:pPr>
      <w:r w:rsidRPr="00E27370">
        <w:rPr>
          <w:rFonts w:ascii="Times New Roman" w:eastAsia="Times New Roman" w:hAnsi="Times New Roman" w:cs="Times New Roman"/>
        </w:rPr>
        <w:t>Antikoagulansi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ljekovi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protiv</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zgru</w:t>
      </w:r>
      <w:r w:rsidRPr="00E27370">
        <w:rPr>
          <w:rFonts w:ascii="Times New Roman" w:eastAsia="Times New Roman" w:hAnsi="Times New Roman" w:cs="Times New Roman"/>
          <w:lang w:val="sr-Latn-CS"/>
        </w:rPr>
        <w:t>š</w:t>
      </w:r>
      <w:r w:rsidRPr="00E27370">
        <w:rPr>
          <w:rFonts w:ascii="Times New Roman" w:eastAsia="Times New Roman" w:hAnsi="Times New Roman" w:cs="Times New Roman"/>
        </w:rPr>
        <w:t>avanja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trombolitici</w:t>
      </w:r>
      <w:r w:rsidRPr="00E27370">
        <w:rPr>
          <w:rFonts w:ascii="Times New Roman" w:eastAsia="Times New Roman" w:hAnsi="Times New Roman" w:cs="Times New Roman"/>
          <w:lang w:val="sr-Latn-CS"/>
        </w:rPr>
        <w:t>/</w:t>
      </w:r>
      <w:r w:rsidRPr="00E27370">
        <w:rPr>
          <w:rFonts w:ascii="Times New Roman" w:eastAsia="Times New Roman" w:hAnsi="Times New Roman" w:cs="Times New Roman"/>
        </w:rPr>
        <w:t>ostali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ljekovi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sprje</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avaju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nagomilavanje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krvnih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plo</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ica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trombocita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rizik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krvarenja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kada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uzima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tromboliti</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ke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terapije.</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sr-Latn-CS"/>
        </w:rPr>
      </w:pPr>
      <w:r w:rsidRPr="00E27370">
        <w:rPr>
          <w:rFonts w:ascii="Times New Roman" w:eastAsia="Times New Roman" w:hAnsi="Times New Roman" w:cs="Times New Roman"/>
        </w:rPr>
        <w:t>Sistemski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glukokortikosteroidi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osim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hidrokortizona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koji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koriste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kao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zamjenska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terapija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Adisonove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bolesti,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ili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upotreba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alkohola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an</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rizik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w:t>
      </w:r>
      <w:r w:rsidRPr="00E27370">
        <w:rPr>
          <w:rFonts w:ascii="Times New Roman" w:eastAsia="Times New Roman" w:hAnsi="Times New Roman" w:cs="Times New Roman"/>
          <w:lang w:val="sr-Latn-CS"/>
        </w:rPr>
        <w:t xml:space="preserve"> ž</w:t>
      </w:r>
      <w:r w:rsidRPr="00E27370">
        <w:rPr>
          <w:rFonts w:ascii="Times New Roman" w:eastAsia="Times New Roman" w:hAnsi="Times New Roman" w:cs="Times New Roman"/>
        </w:rPr>
        <w:t>eluda</w:t>
      </w:r>
      <w:r w:rsidRPr="00E27370">
        <w:rPr>
          <w:rFonts w:ascii="Times New Roman" w:eastAsia="Times New Roman" w:hAnsi="Times New Roman" w:cs="Times New Roman"/>
          <w:lang w:val="sr-Latn-CS"/>
        </w:rPr>
        <w:t>č</w:t>
      </w:r>
      <w:r w:rsidRPr="00E27370">
        <w:rPr>
          <w:rFonts w:ascii="Times New Roman" w:eastAsia="Times New Roman" w:hAnsi="Times New Roman" w:cs="Times New Roman"/>
        </w:rPr>
        <w:t>no</w:t>
      </w:r>
      <w:r w:rsidRPr="00E27370">
        <w:rPr>
          <w:rFonts w:ascii="Times New Roman" w:eastAsia="Times New Roman" w:hAnsi="Times New Roman" w:cs="Times New Roman"/>
          <w:lang w:val="sr-Latn-CS"/>
        </w:rPr>
        <w:t>-</w:t>
      </w:r>
      <w:r w:rsidRPr="00E27370">
        <w:rPr>
          <w:rFonts w:ascii="Times New Roman" w:eastAsia="Times New Roman" w:hAnsi="Times New Roman" w:cs="Times New Roman"/>
        </w:rPr>
        <w:t>crijevnih</w:t>
      </w:r>
      <w:r w:rsidRPr="00E27370">
        <w:rPr>
          <w:rFonts w:ascii="Times New Roman" w:eastAsia="Times New Roman" w:hAnsi="Times New Roman" w:cs="Times New Roman"/>
          <w:lang w:val="sr-Latn-CS"/>
        </w:rPr>
        <w:t xml:space="preserve"> č</w:t>
      </w:r>
      <w:r w:rsidRPr="00E27370">
        <w:rPr>
          <w:rFonts w:ascii="Times New Roman" w:eastAsia="Times New Roman" w:hAnsi="Times New Roman" w:cs="Times New Roman"/>
        </w:rPr>
        <w:t>ireva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krvarenja.</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Ostali nesteroidni antiinflamatorni ljekovi sa salicilatima koji se koriste u većim dozama: povećan rizik </w:t>
      </w:r>
      <w:r w:rsidRPr="00E27370">
        <w:rPr>
          <w:rFonts w:ascii="Times New Roman" w:eastAsia="Times New Roman" w:hAnsi="Times New Roman" w:cs="Times New Roman"/>
          <w:lang w:val="it-IT"/>
        </w:rPr>
        <w:lastRenderedPageBreak/>
        <w:t>od pojave čireva i želudačno-crijevnih krvarenja.</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Antidijabetici, npr. insulin, sulfonilurea: nivo glukoze u krvi se može smanjiti.</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Digoksina (lijeka za jačanje srčanog rada). </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Metotreksata (lijeka koji se koristi u terapiji karcinoma i određenih reumatskih bolesti).</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Valproinske kiseline (lijeka koji se koristi za liječenje padavice).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i/>
          <w:iCs/>
        </w:rPr>
      </w:pPr>
      <w:r w:rsidRPr="00E27370">
        <w:rPr>
          <w:rFonts w:ascii="Times New Roman" w:eastAsia="Times New Roman" w:hAnsi="Times New Roman" w:cs="Times New Roman"/>
          <w:i/>
          <w:iCs/>
        </w:rPr>
        <w:t xml:space="preserve">Slabljenje efekta: </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rPr>
      </w:pPr>
      <w:r w:rsidRPr="00E27370">
        <w:rPr>
          <w:rFonts w:ascii="Times New Roman" w:eastAsia="Times New Roman" w:hAnsi="Times New Roman" w:cs="Times New Roman"/>
        </w:rPr>
        <w:t xml:space="preserve">Diuretika (ljekova koji povećavaju izlučivanje mokraće). </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rPr>
      </w:pPr>
      <w:r w:rsidRPr="00E27370">
        <w:rPr>
          <w:rFonts w:ascii="Times New Roman" w:eastAsia="Times New Roman" w:hAnsi="Times New Roman" w:cs="Times New Roman"/>
        </w:rPr>
        <w:t>Određenih ljekova za sniženje povišenog krvnog pritiska (posebno ACE inhibitora).</w:t>
      </w:r>
    </w:p>
    <w:p w:rsidR="00E27370" w:rsidRPr="00E27370" w:rsidRDefault="00E27370" w:rsidP="00E27370">
      <w:pPr>
        <w:widowControl w:val="0"/>
        <w:numPr>
          <w:ilvl w:val="0"/>
          <w:numId w:val="21"/>
        </w:numPr>
        <w:autoSpaceDE w:val="0"/>
        <w:autoSpaceDN w:val="0"/>
        <w:adjustRightInd w:val="0"/>
        <w:spacing w:after="0" w:line="240" w:lineRule="auto"/>
        <w:ind w:left="681" w:hanging="321"/>
        <w:jc w:val="both"/>
        <w:rPr>
          <w:rFonts w:ascii="Times New Roman" w:eastAsia="Times New Roman" w:hAnsi="Times New Roman" w:cs="Times New Roman"/>
        </w:rPr>
      </w:pPr>
      <w:r w:rsidRPr="00E27370">
        <w:rPr>
          <w:rFonts w:ascii="Times New Roman" w:eastAsia="Times New Roman" w:hAnsi="Times New Roman" w:cs="Times New Roman"/>
        </w:rPr>
        <w:t xml:space="preserve">Ljekova koji se koriste kod gihta (podagre) i koji ubrzavaju izlučivanje mokraćne kiseline.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Istovremena primjena ibuprofena može smanjiti dejstvo acetilsalicilne kiseline na sprječavanje zgrušavanja krvi.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Uzimanje lijeka Midol sa hranom ili pićima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Lijek Midol nemojte uzimati sa alkoholom.</w:t>
      </w:r>
    </w:p>
    <w:p w:rsidR="00E27370" w:rsidRPr="00E27370" w:rsidRDefault="00E27370" w:rsidP="00E27370">
      <w:pPr>
        <w:spacing w:after="0" w:line="240" w:lineRule="auto"/>
        <w:jc w:val="both"/>
        <w:rPr>
          <w:rFonts w:ascii="Times New Roman" w:eastAsia="Times New Roman" w:hAnsi="Times New Roman" w:cs="Times New Roman"/>
          <w:spacing w:val="-3"/>
          <w:lang w:val="es-ES_tradnl"/>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Primjena lijeka Midol u periodu trudnoće i dojenja</w:t>
      </w:r>
    </w:p>
    <w:p w:rsidR="00E27370" w:rsidRPr="00E27370" w:rsidRDefault="00E27370" w:rsidP="00E27370">
      <w:pPr>
        <w:spacing w:after="0" w:line="240" w:lineRule="auto"/>
        <w:jc w:val="both"/>
        <w:rPr>
          <w:rFonts w:ascii="Times New Roman" w:eastAsia="Times New Roman" w:hAnsi="Times New Roman" w:cs="Times New Roman"/>
          <w:i/>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Prije nego što počnete da uzimate neki lijek, posavjetujte se sa svojim ljekarom ili farmaceutom.</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Trudnoća</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Ukoliko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ustanovite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trudni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tokom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terapije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odmah</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tome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obavijestite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Va</w:t>
      </w:r>
      <w:r w:rsidRPr="00E27370">
        <w:rPr>
          <w:rFonts w:ascii="Times New Roman" w:eastAsia="Times New Roman" w:hAnsi="Times New Roman" w:cs="Times New Roman"/>
          <w:lang w:val="sr-Latn-CS"/>
        </w:rPr>
        <w:t>š</w:t>
      </w:r>
      <w:r w:rsidRPr="00E27370">
        <w:rPr>
          <w:rFonts w:ascii="Times New Roman" w:eastAsia="Times New Roman" w:hAnsi="Times New Roman" w:cs="Times New Roman"/>
        </w:rPr>
        <w:t>eg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ljekara</w:t>
      </w:r>
      <w:r w:rsidRPr="00E27370">
        <w:rPr>
          <w:rFonts w:ascii="Times New Roman" w:eastAsia="Times New Roman" w:hAnsi="Times New Roman" w:cs="Times New Roman"/>
          <w:lang w:val="sr-Latn-CS"/>
        </w:rPr>
        <w:t xml:space="preserve">. </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prvog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drugog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trimestra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trudno</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w:t>
      </w:r>
      <w:r w:rsidRPr="00E27370">
        <w:rPr>
          <w:rFonts w:ascii="Times New Roman" w:eastAsia="Times New Roman" w:hAnsi="Times New Roman" w:cs="Times New Roman"/>
          <w:lang w:val="sr-Latn-CS"/>
        </w:rPr>
        <w:t>ž</w:t>
      </w:r>
      <w:r w:rsidRPr="00E27370">
        <w:rPr>
          <w:rFonts w:ascii="Times New Roman" w:eastAsia="Times New Roman" w:hAnsi="Times New Roman" w:cs="Times New Roman"/>
        </w:rPr>
        <w:t>ete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koristiti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samo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ako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Vam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ljekar</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propisao</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posljednjem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trimestru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trudno</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acetilsalicilna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kiselina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aktivna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supstanca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lijeku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Midol</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smije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koristiti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zbog</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pove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anja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rizika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od</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nastanka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komplikacija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za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majku</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dijete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tokom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poro</w:t>
      </w:r>
      <w:r w:rsidRPr="00E27370">
        <w:rPr>
          <w:rFonts w:ascii="Times New Roman" w:eastAsia="Times New Roman" w:hAnsi="Times New Roman" w:cs="Times New Roman"/>
          <w:lang w:val="sr-Latn-CS"/>
        </w:rPr>
        <w:t>đ</w:t>
      </w:r>
      <w:r w:rsidRPr="00E27370">
        <w:rPr>
          <w:rFonts w:ascii="Times New Roman" w:eastAsia="Times New Roman" w:hAnsi="Times New Roman" w:cs="Times New Roman"/>
        </w:rPr>
        <w:t>aja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i/>
          <w:lang w:val="sr-Latn-CS"/>
        </w:rPr>
        <w:t>(</w:t>
      </w:r>
      <w:r w:rsidRPr="00E27370">
        <w:rPr>
          <w:rFonts w:ascii="Times New Roman" w:eastAsia="Times New Roman" w:hAnsi="Times New Roman" w:cs="Times New Roman"/>
          <w:i/>
        </w:rPr>
        <w:t>vidjeti</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dio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Lijek</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Midol</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ne</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smijete</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koristiti</w:t>
      </w:r>
      <w:r w:rsidRPr="00E27370">
        <w:rPr>
          <w:rFonts w:ascii="Times New Roman" w:eastAsia="Times New Roman" w:hAnsi="Times New Roman" w:cs="Times New Roman"/>
          <w:i/>
          <w:lang w:val="sr-Latn-CS"/>
        </w:rPr>
        <w:t>").</w:t>
      </w:r>
      <w:r w:rsidRPr="00E27370">
        <w:rPr>
          <w:rFonts w:ascii="Times New Roman" w:eastAsia="Times New Roman" w:hAnsi="Times New Roman" w:cs="Times New Roman"/>
          <w:lang w:val="sr-Latn-CS"/>
        </w:rPr>
        <w:t xml:space="preserv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Dojenje</w:t>
      </w: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Salicilati i njegovi metaboliti prelaze u majčino mlijeko u malim količinama. </w:t>
      </w:r>
    </w:p>
    <w:p w:rsidR="00E27370" w:rsidRPr="00E27370" w:rsidRDefault="00E27370" w:rsidP="00E27370">
      <w:pPr>
        <w:widowControl w:val="0"/>
        <w:autoSpaceDE w:val="0"/>
        <w:autoSpaceDN w:val="0"/>
        <w:adjustRightInd w:val="0"/>
        <w:spacing w:before="43" w:after="0" w:line="240" w:lineRule="auto"/>
        <w:ind w:right="100"/>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Budući da do sada nisu primijećena nikakva neželjena dejstva na odojče poslije povremene upotrebe, obično nije neophodno prekinuti dojenje. Ipak, u slučaju produžene upotrebe ili upotrebe velikih doza, trebalo bi prestati sa dojenjem. </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 xml:space="preserve">Uticaj lijeka Midol na upravljanje motornim vozilom i rukovanje mašinama </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widowControl w:val="0"/>
        <w:autoSpaceDE w:val="0"/>
        <w:autoSpaceDN w:val="0"/>
        <w:adjustRightInd w:val="0"/>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rPr>
        <w:t>Nije</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primije</w:t>
      </w:r>
      <w:r w:rsidRPr="00E27370">
        <w:rPr>
          <w:rFonts w:ascii="Times New Roman" w:eastAsia="Times New Roman" w:hAnsi="Times New Roman" w:cs="Times New Roman"/>
          <w:lang w:val="sr-Latn-CS"/>
        </w:rPr>
        <w:t>ć</w:t>
      </w:r>
      <w:r w:rsidRPr="00E27370">
        <w:rPr>
          <w:rFonts w:ascii="Times New Roman" w:eastAsia="Times New Roman" w:hAnsi="Times New Roman" w:cs="Times New Roman"/>
        </w:rPr>
        <w:t>en</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nikakav</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uticaj</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na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sposobnost</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upravljanja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motornim</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vozilima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i</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rukovanja</w:t>
      </w:r>
      <w:r w:rsidRPr="00E27370">
        <w:rPr>
          <w:rFonts w:ascii="Times New Roman" w:eastAsia="Times New Roman" w:hAnsi="Times New Roman" w:cs="Times New Roman"/>
          <w:lang w:val="sr-Latn-CS"/>
        </w:rPr>
        <w:t xml:space="preserve"> </w:t>
      </w:r>
      <w:r w:rsidRPr="00E27370">
        <w:rPr>
          <w:rFonts w:ascii="Times New Roman" w:eastAsia="Times New Roman" w:hAnsi="Times New Roman" w:cs="Times New Roman"/>
        </w:rPr>
        <w:t>ma</w:t>
      </w:r>
      <w:r w:rsidRPr="00E27370">
        <w:rPr>
          <w:rFonts w:ascii="Times New Roman" w:eastAsia="Times New Roman" w:hAnsi="Times New Roman" w:cs="Times New Roman"/>
          <w:lang w:val="sr-Latn-CS"/>
        </w:rPr>
        <w:t>š</w:t>
      </w:r>
      <w:r w:rsidRPr="00E27370">
        <w:rPr>
          <w:rFonts w:ascii="Times New Roman" w:eastAsia="Times New Roman" w:hAnsi="Times New Roman" w:cs="Times New Roman"/>
        </w:rPr>
        <w:t>inama</w:t>
      </w:r>
      <w:r w:rsidRPr="00E27370">
        <w:rPr>
          <w:rFonts w:ascii="Times New Roman" w:eastAsia="Times New Roman" w:hAnsi="Times New Roman" w:cs="Times New Roman"/>
          <w:lang w:val="sr-Latn-CS"/>
        </w:rPr>
        <w:t xml:space="preserve">.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Važne informacije o nekim sastojcima lijeka Midol</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Lijek Midol ne sadrži pomoćne supstance koje imaju potvrđeno dejstvo.</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124381" w:rsidRDefault="00124381" w:rsidP="00E27370">
      <w:pPr>
        <w:spacing w:after="0" w:line="240" w:lineRule="auto"/>
        <w:jc w:val="both"/>
        <w:rPr>
          <w:rFonts w:ascii="Times New Roman" w:eastAsia="Times New Roman" w:hAnsi="Times New Roman" w:cs="Times New Roman"/>
          <w:b/>
          <w:lang w:val="sr-Latn-CS"/>
        </w:rPr>
      </w:pPr>
    </w:p>
    <w:p w:rsidR="00124381" w:rsidRDefault="00124381" w:rsidP="00E27370">
      <w:pPr>
        <w:spacing w:after="0" w:line="240" w:lineRule="auto"/>
        <w:jc w:val="both"/>
        <w:rPr>
          <w:rFonts w:ascii="Times New Roman" w:eastAsia="Times New Roman" w:hAnsi="Times New Roman" w:cs="Times New Roman"/>
          <w:b/>
          <w:lang w:val="sr-Latn-CS"/>
        </w:rPr>
      </w:pPr>
    </w:p>
    <w:p w:rsidR="00124381" w:rsidRDefault="00124381"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lastRenderedPageBreak/>
        <w:t>3. KAKO SE UPOTREBLJAVA LIJEK MIDOL</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widowControl w:val="0"/>
        <w:autoSpaceDE w:val="0"/>
        <w:autoSpaceDN w:val="0"/>
        <w:adjustRightInd w:val="0"/>
        <w:spacing w:after="0" w:line="240" w:lineRule="auto"/>
        <w:ind w:right="19"/>
        <w:jc w:val="both"/>
        <w:rPr>
          <w:rFonts w:ascii="Times New Roman" w:eastAsia="Times New Roman" w:hAnsi="Times New Roman" w:cs="Times New Roman"/>
          <w:i/>
          <w:lang w:val="it-IT"/>
        </w:rPr>
      </w:pPr>
      <w:r w:rsidRPr="00E27370">
        <w:rPr>
          <w:rFonts w:ascii="Times New Roman" w:eastAsia="Times New Roman" w:hAnsi="Times New Roman" w:cs="Times New Roman"/>
          <w:i/>
        </w:rPr>
        <w:t>Lijek</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Midol</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uzimajte</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ta</w:t>
      </w:r>
      <w:r w:rsidRPr="00E27370">
        <w:rPr>
          <w:rFonts w:ascii="Times New Roman" w:eastAsia="Times New Roman" w:hAnsi="Times New Roman" w:cs="Times New Roman"/>
          <w:i/>
          <w:lang w:val="sr-Latn-CS"/>
        </w:rPr>
        <w:t>č</w:t>
      </w:r>
      <w:r w:rsidRPr="00E27370">
        <w:rPr>
          <w:rFonts w:ascii="Times New Roman" w:eastAsia="Times New Roman" w:hAnsi="Times New Roman" w:cs="Times New Roman"/>
          <w:i/>
        </w:rPr>
        <w:t>no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onako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kako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Vam</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je</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to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objasnio</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rPr>
        <w:t>Va</w:t>
      </w:r>
      <w:r w:rsidRPr="00E27370">
        <w:rPr>
          <w:rFonts w:ascii="Times New Roman" w:eastAsia="Times New Roman" w:hAnsi="Times New Roman" w:cs="Times New Roman"/>
          <w:i/>
          <w:lang w:val="sr-Latn-CS"/>
        </w:rPr>
        <w:t xml:space="preserve">š </w:t>
      </w:r>
      <w:r w:rsidRPr="00E27370">
        <w:rPr>
          <w:rFonts w:ascii="Times New Roman" w:eastAsia="Times New Roman" w:hAnsi="Times New Roman" w:cs="Times New Roman"/>
          <w:i/>
        </w:rPr>
        <w:t>ljekar</w:t>
      </w:r>
      <w:r w:rsidRPr="00E27370">
        <w:rPr>
          <w:rFonts w:ascii="Times New Roman" w:eastAsia="Times New Roman" w:hAnsi="Times New Roman" w:cs="Times New Roman"/>
          <w:i/>
          <w:lang w:val="sr-Latn-CS"/>
        </w:rPr>
        <w:t xml:space="preserve">. </w:t>
      </w:r>
      <w:r w:rsidRPr="00E27370">
        <w:rPr>
          <w:rFonts w:ascii="Times New Roman" w:eastAsia="Times New Roman" w:hAnsi="Times New Roman" w:cs="Times New Roman"/>
          <w:i/>
          <w:lang w:val="it-IT"/>
        </w:rPr>
        <w:t>Ako niste sasvim sigurni, provjerite sa svojim ljekarom ili farmaceutom.</w:t>
      </w:r>
    </w:p>
    <w:p w:rsidR="00E27370" w:rsidRPr="00E27370" w:rsidRDefault="00E27370" w:rsidP="00E27370">
      <w:pPr>
        <w:widowControl w:val="0"/>
        <w:autoSpaceDE w:val="0"/>
        <w:autoSpaceDN w:val="0"/>
        <w:adjustRightInd w:val="0"/>
        <w:spacing w:after="0" w:line="240" w:lineRule="auto"/>
        <w:ind w:right="19"/>
        <w:jc w:val="both"/>
        <w:rPr>
          <w:rFonts w:ascii="Times New Roman" w:eastAsia="Times New Roman" w:hAnsi="Times New Roman" w:cs="Times New Roman"/>
          <w:lang w:val="it-IT"/>
        </w:rPr>
      </w:pPr>
    </w:p>
    <w:p w:rsidR="00E27370" w:rsidRPr="00E27370" w:rsidRDefault="00E27370" w:rsidP="00E27370">
      <w:pPr>
        <w:tabs>
          <w:tab w:val="left" w:pos="1080"/>
        </w:tabs>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Uobičajeno doziranje prilikom dugotrajne upotrebe acetilsalicilne kiseline je 100 do 200 mg jednom dnevno.</w:t>
      </w:r>
    </w:p>
    <w:p w:rsidR="00E27370" w:rsidRPr="00E27370" w:rsidRDefault="00E27370" w:rsidP="00E27370">
      <w:pPr>
        <w:tabs>
          <w:tab w:val="left" w:pos="1080"/>
        </w:tabs>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U nekim slučajevima, pogotovo pri kratkotrajnoj primjeni lijeka, može biti preporučljiva i primjena većih doza, do 300 mg dnevno. U tim slučajevima, lijek se može izdavati isključivo po preporuci ljekara (na recept).</w:t>
      </w:r>
    </w:p>
    <w:p w:rsidR="00E27370" w:rsidRPr="00E27370" w:rsidRDefault="00E27370" w:rsidP="00E27370">
      <w:pPr>
        <w:widowControl w:val="0"/>
        <w:autoSpaceDE w:val="0"/>
        <w:autoSpaceDN w:val="0"/>
        <w:adjustRightInd w:val="0"/>
        <w:spacing w:after="0" w:line="240" w:lineRule="auto"/>
        <w:ind w:right="19"/>
        <w:jc w:val="both"/>
        <w:rPr>
          <w:rFonts w:ascii="Times New Roman" w:eastAsia="Times New Roman" w:hAnsi="Times New Roman" w:cs="Times New Roman"/>
          <w:lang w:val="it-IT"/>
        </w:rPr>
      </w:pPr>
    </w:p>
    <w:p w:rsidR="00E27370" w:rsidRDefault="00E27370" w:rsidP="00E27370">
      <w:pPr>
        <w:widowControl w:val="0"/>
        <w:autoSpaceDE w:val="0"/>
        <w:autoSpaceDN w:val="0"/>
        <w:adjustRightInd w:val="0"/>
        <w:spacing w:after="0" w:line="240" w:lineRule="auto"/>
        <w:ind w:right="19"/>
        <w:jc w:val="both"/>
        <w:rPr>
          <w:rFonts w:ascii="Times New Roman" w:eastAsia="Times New Roman" w:hAnsi="Times New Roman" w:cs="Times New Roman"/>
        </w:rPr>
      </w:pPr>
      <w:r w:rsidRPr="00E27370">
        <w:rPr>
          <w:rFonts w:ascii="Times New Roman" w:eastAsia="Times New Roman" w:hAnsi="Times New Roman" w:cs="Times New Roman"/>
          <w:lang w:val="it-IT"/>
        </w:rPr>
        <w:t xml:space="preserve"> </w:t>
      </w:r>
      <w:r w:rsidRPr="00E27370">
        <w:rPr>
          <w:rFonts w:ascii="Times New Roman" w:eastAsia="Times New Roman" w:hAnsi="Times New Roman" w:cs="Times New Roman"/>
        </w:rPr>
        <w:t xml:space="preserve">Uobičajene doze su: </w:t>
      </w:r>
    </w:p>
    <w:p w:rsidR="00124381" w:rsidRPr="00E27370" w:rsidRDefault="00124381" w:rsidP="00E27370">
      <w:pPr>
        <w:widowControl w:val="0"/>
        <w:autoSpaceDE w:val="0"/>
        <w:autoSpaceDN w:val="0"/>
        <w:adjustRightInd w:val="0"/>
        <w:spacing w:after="0" w:line="240" w:lineRule="auto"/>
        <w:ind w:right="19"/>
        <w:jc w:val="both"/>
        <w:rPr>
          <w:rFonts w:ascii="Times New Roman" w:eastAsia="Times New Roman" w:hAnsi="Times New Roman" w:cs="Times New Roman"/>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rPr>
        <w:t xml:space="preserve">Za smanjenje rizika smrtnosti kod pacijenata kod kojih se sumnja na iznenadni srčani napad (akutni infarkt miokarda): </w:t>
      </w:r>
      <w:r w:rsidRPr="00E27370">
        <w:rPr>
          <w:rFonts w:ascii="Times New Roman" w:eastAsia="Times New Roman" w:hAnsi="Times New Roman" w:cs="Times New Roman"/>
        </w:rPr>
        <w:t xml:space="preserve">100 do 200 mg dnevno ili 300 mg svakog drugog dana. </w:t>
      </w:r>
      <w:r w:rsidRPr="00E27370">
        <w:rPr>
          <w:rFonts w:ascii="Times New Roman" w:eastAsia="Times New Roman" w:hAnsi="Times New Roman" w:cs="Times New Roman"/>
          <w:lang w:val="it-IT"/>
        </w:rPr>
        <w:t xml:space="preserve">Prvu tabletu trebalo bi sažvakati kako bi se postigla brža resorpcija. </w:t>
      </w:r>
    </w:p>
    <w:p w:rsidR="00E27370" w:rsidRPr="00E27370" w:rsidRDefault="00E27370" w:rsidP="00E27370">
      <w:pPr>
        <w:spacing w:after="0" w:line="240" w:lineRule="auto"/>
        <w:jc w:val="both"/>
        <w:rPr>
          <w:rFonts w:ascii="Times New Roman" w:eastAsia="Times New Roman" w:hAnsi="Times New Roman" w:cs="Times New Roman"/>
          <w:lang w:val="it-IT"/>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i/>
          <w:iCs/>
          <w:lang w:val="it-IT"/>
        </w:rPr>
        <w:t xml:space="preserve">Za smanjenje rizika od obolijevanja i smrtnosti kod pacijenata koji su ranije imali srčani napad (infarkt miokarda): </w:t>
      </w:r>
      <w:r w:rsidRPr="00E27370">
        <w:rPr>
          <w:rFonts w:ascii="Times New Roman" w:eastAsia="Times New Roman" w:hAnsi="Times New Roman" w:cs="Times New Roman"/>
          <w:lang w:val="it-IT"/>
        </w:rPr>
        <w:t>100 do 300 mg dnevno.</w:t>
      </w:r>
    </w:p>
    <w:p w:rsidR="00E27370" w:rsidRPr="00E27370" w:rsidRDefault="00E27370" w:rsidP="00E27370">
      <w:pPr>
        <w:spacing w:after="0" w:line="240" w:lineRule="auto"/>
        <w:contextualSpacing/>
        <w:jc w:val="both"/>
        <w:rPr>
          <w:rFonts w:ascii="Times New Roman" w:eastAsia="Times New Roman" w:hAnsi="Times New Roman" w:cs="Times New Roman"/>
          <w:lang w:val="it-IT"/>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i/>
          <w:iCs/>
          <w:lang w:val="it-IT"/>
        </w:rPr>
        <w:t xml:space="preserve">Za sekundarno sprječavanje moždanog udara: </w:t>
      </w:r>
      <w:r w:rsidRPr="00E27370">
        <w:rPr>
          <w:rFonts w:ascii="Times New Roman" w:eastAsia="Times New Roman" w:hAnsi="Times New Roman" w:cs="Times New Roman"/>
          <w:lang w:val="it-IT"/>
        </w:rPr>
        <w:t>100 do 300 mg dnevno.</w:t>
      </w:r>
    </w:p>
    <w:p w:rsidR="00E27370" w:rsidRPr="00E27370" w:rsidRDefault="00E27370" w:rsidP="00E27370">
      <w:pPr>
        <w:spacing w:after="0" w:line="240" w:lineRule="auto"/>
        <w:jc w:val="both"/>
        <w:rPr>
          <w:rFonts w:ascii="Times New Roman" w:eastAsia="Times New Roman" w:hAnsi="Times New Roman" w:cs="Times New Roman"/>
          <w:lang w:val="it-IT"/>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lang w:val="it-IT"/>
        </w:rPr>
        <w:t xml:space="preserve">Za smanjenje rizika od pojave prolaznih ishemijskih napada (TIA-prolaznog smanjenja protoka krvi u mozgu) </w:t>
      </w:r>
      <w:r w:rsidRPr="00E27370">
        <w:rPr>
          <w:rFonts w:ascii="Times New Roman" w:eastAsia="Times New Roman" w:hAnsi="Times New Roman" w:cs="Times New Roman"/>
          <w:i/>
          <w:iCs/>
          <w:w w:val="107"/>
          <w:lang w:val="it-IT"/>
        </w:rPr>
        <w:t xml:space="preserve">i </w:t>
      </w:r>
      <w:r w:rsidRPr="00E27370">
        <w:rPr>
          <w:rFonts w:ascii="Times New Roman" w:eastAsia="Times New Roman" w:hAnsi="Times New Roman" w:cs="Times New Roman"/>
          <w:i/>
          <w:iCs/>
          <w:lang w:val="it-IT"/>
        </w:rPr>
        <w:t xml:space="preserve">moždanog udara kod pacijenata koji pate od TIA: </w:t>
      </w:r>
      <w:r w:rsidRPr="00E27370">
        <w:rPr>
          <w:rFonts w:ascii="Times New Roman" w:eastAsia="Times New Roman" w:hAnsi="Times New Roman" w:cs="Times New Roman"/>
          <w:lang w:val="it-IT"/>
        </w:rPr>
        <w:t>100 do 300 mg dnevno.</w:t>
      </w:r>
    </w:p>
    <w:p w:rsidR="00E27370" w:rsidRPr="00E27370" w:rsidRDefault="00E27370" w:rsidP="00E27370">
      <w:p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lang w:val="it-IT"/>
        </w:rPr>
        <w:t xml:space="preserve"> </w:t>
      </w: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i/>
          <w:iCs/>
          <w:lang w:val="it-IT"/>
        </w:rPr>
        <w:t xml:space="preserve">Za smanjenje rizika od obolijevanja i smrtnosti kod pacijenata sa stabilnom </w:t>
      </w:r>
      <w:r w:rsidRPr="00E27370">
        <w:rPr>
          <w:rFonts w:ascii="Times New Roman" w:eastAsia="Times New Roman" w:hAnsi="Times New Roman" w:cs="Times New Roman"/>
          <w:i/>
          <w:iCs/>
          <w:w w:val="107"/>
          <w:lang w:val="it-IT"/>
        </w:rPr>
        <w:t xml:space="preserve">i </w:t>
      </w:r>
      <w:r w:rsidRPr="00E27370">
        <w:rPr>
          <w:rFonts w:ascii="Times New Roman" w:eastAsia="Times New Roman" w:hAnsi="Times New Roman" w:cs="Times New Roman"/>
          <w:i/>
          <w:iCs/>
          <w:lang w:val="it-IT"/>
        </w:rPr>
        <w:t xml:space="preserve">nestabilnom anginom </w:t>
      </w:r>
      <w:r w:rsidRPr="00E27370">
        <w:rPr>
          <w:rFonts w:ascii="Times New Roman" w:eastAsia="Times New Roman" w:hAnsi="Times New Roman" w:cs="Times New Roman"/>
          <w:i/>
          <w:iCs/>
          <w:w w:val="107"/>
          <w:lang w:val="it-IT"/>
        </w:rPr>
        <w:t xml:space="preserve">pektoris: </w:t>
      </w:r>
      <w:r w:rsidRPr="00E27370">
        <w:rPr>
          <w:rFonts w:ascii="Times New Roman" w:eastAsia="Times New Roman" w:hAnsi="Times New Roman" w:cs="Times New Roman"/>
          <w:lang w:val="it-IT"/>
        </w:rPr>
        <w:t xml:space="preserve">100 do 300 mg dnevno. </w:t>
      </w:r>
    </w:p>
    <w:p w:rsidR="00E27370" w:rsidRPr="00E27370" w:rsidRDefault="00E27370" w:rsidP="00E27370">
      <w:pPr>
        <w:spacing w:after="0" w:line="240" w:lineRule="auto"/>
        <w:jc w:val="both"/>
        <w:rPr>
          <w:rFonts w:ascii="Times New Roman" w:eastAsia="Times New Roman" w:hAnsi="Times New Roman" w:cs="Times New Roman"/>
          <w:lang w:val="it-IT"/>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lang w:val="it-IT"/>
        </w:rPr>
        <w:t xml:space="preserve">Za prevenciju tromboembolije poslije operacije krvnih sudova ili hirurške intervencije (npr. PTCA, CABG, karotidne endarterektomije, arteriovenskih šantova kod pacijenata na dijalizi): </w:t>
      </w:r>
      <w:r w:rsidRPr="00E27370">
        <w:rPr>
          <w:rFonts w:ascii="Times New Roman" w:eastAsia="Times New Roman" w:hAnsi="Times New Roman" w:cs="Times New Roman"/>
          <w:lang w:val="it-IT"/>
        </w:rPr>
        <w:t xml:space="preserve">100 do 300 mg dnevno. </w:t>
      </w:r>
    </w:p>
    <w:p w:rsidR="00E27370" w:rsidRPr="00E27370" w:rsidRDefault="00E27370" w:rsidP="00E27370">
      <w:pPr>
        <w:tabs>
          <w:tab w:val="left" w:pos="1247"/>
        </w:tabs>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lang w:val="it-IT"/>
        </w:rPr>
        <w:tab/>
      </w: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lang w:val="it-IT"/>
        </w:rPr>
        <w:t xml:space="preserve">Za sprječavanje tromboze dubokih vena </w:t>
      </w:r>
      <w:r w:rsidRPr="00E27370">
        <w:rPr>
          <w:rFonts w:ascii="Times New Roman" w:eastAsia="Times New Roman" w:hAnsi="Times New Roman" w:cs="Times New Roman"/>
          <w:i/>
          <w:iCs/>
          <w:w w:val="107"/>
          <w:lang w:val="it-IT"/>
        </w:rPr>
        <w:t xml:space="preserve">i plućne </w:t>
      </w:r>
      <w:r w:rsidRPr="00E27370">
        <w:rPr>
          <w:rFonts w:ascii="Times New Roman" w:eastAsia="Times New Roman" w:hAnsi="Times New Roman" w:cs="Times New Roman"/>
          <w:i/>
          <w:iCs/>
          <w:lang w:val="it-IT"/>
        </w:rPr>
        <w:t xml:space="preserve">embolije poslije dugotrajne imobilizacije, npr. poslije veće operacije: </w:t>
      </w:r>
      <w:r w:rsidRPr="00E27370">
        <w:rPr>
          <w:rFonts w:ascii="Times New Roman" w:eastAsia="Times New Roman" w:hAnsi="Times New Roman" w:cs="Times New Roman"/>
          <w:lang w:val="it-IT"/>
        </w:rPr>
        <w:t xml:space="preserve">100 do 200 mg dnevno ili 300 mg svaki drugi dan. </w:t>
      </w:r>
    </w:p>
    <w:p w:rsidR="00E27370" w:rsidRPr="00E27370" w:rsidRDefault="00E27370" w:rsidP="00E27370">
      <w:pPr>
        <w:spacing w:after="0" w:line="240" w:lineRule="auto"/>
        <w:jc w:val="both"/>
        <w:rPr>
          <w:rFonts w:ascii="Times New Roman" w:eastAsia="Times New Roman" w:hAnsi="Times New Roman" w:cs="Times New Roman"/>
          <w:i/>
          <w:iCs/>
          <w:lang w:val="it-IT"/>
        </w:rPr>
      </w:pPr>
    </w:p>
    <w:p w:rsidR="00E27370" w:rsidRPr="00E27370" w:rsidRDefault="00E27370" w:rsidP="00E27370">
      <w:pPr>
        <w:numPr>
          <w:ilvl w:val="0"/>
          <w:numId w:val="26"/>
        </w:numPr>
        <w:spacing w:after="0" w:line="240" w:lineRule="auto"/>
        <w:contextualSpacing/>
        <w:jc w:val="both"/>
        <w:rPr>
          <w:rFonts w:ascii="Times New Roman" w:eastAsia="Times New Roman" w:hAnsi="Times New Roman" w:cs="Times New Roman"/>
          <w:i/>
          <w:iCs/>
          <w:lang w:val="it-IT"/>
        </w:rPr>
      </w:pPr>
      <w:r w:rsidRPr="00E27370">
        <w:rPr>
          <w:rFonts w:ascii="Times New Roman" w:eastAsia="Times New Roman" w:hAnsi="Times New Roman" w:cs="Times New Roman"/>
          <w:i/>
          <w:iCs/>
          <w:lang w:val="it-IT"/>
        </w:rPr>
        <w:t xml:space="preserve">Za smanjenje rizika od pojave prvog srčanog napada (infarkta miokarda) kod ljudi sa </w:t>
      </w:r>
      <w:r w:rsidRPr="00E27370">
        <w:rPr>
          <w:rFonts w:ascii="Times New Roman" w:eastAsia="Times New Roman" w:hAnsi="Times New Roman" w:cs="Times New Roman"/>
          <w:i/>
          <w:iCs/>
          <w:w w:val="107"/>
          <w:lang w:val="it-IT"/>
        </w:rPr>
        <w:t xml:space="preserve">faktorima </w:t>
      </w:r>
      <w:r w:rsidRPr="00E27370">
        <w:rPr>
          <w:rFonts w:ascii="Times New Roman" w:eastAsia="Times New Roman" w:hAnsi="Times New Roman" w:cs="Times New Roman"/>
          <w:i/>
          <w:iCs/>
          <w:lang w:val="it-IT"/>
        </w:rPr>
        <w:t xml:space="preserve">rizika za obolijevanje od kardiovaskularnih bolesti, npr. šećerna bolest, hiperlipidemija (povišene masnoće u krvi), hipertenzija (povišen krvni pritisak), gojaznost, pušenje, starost: </w:t>
      </w:r>
      <w:r w:rsidRPr="00E27370">
        <w:rPr>
          <w:rFonts w:ascii="Times New Roman" w:eastAsia="Times New Roman" w:hAnsi="Times New Roman" w:cs="Times New Roman"/>
          <w:lang w:val="it-IT"/>
        </w:rPr>
        <w:t>100 do 200 mg dnevno ili 300 mg svaki drugi dan.</w:t>
      </w:r>
    </w:p>
    <w:p w:rsidR="00E27370" w:rsidRPr="00E27370" w:rsidRDefault="00E27370" w:rsidP="00E27370">
      <w:pPr>
        <w:spacing w:after="0" w:line="240" w:lineRule="auto"/>
        <w:contextualSpacing/>
        <w:jc w:val="both"/>
        <w:rPr>
          <w:rFonts w:ascii="Times New Roman" w:eastAsia="Times New Roman" w:hAnsi="Times New Roman" w:cs="Times New Roman"/>
          <w:i/>
          <w:iCs/>
          <w:lang w:val="it-IT"/>
        </w:rPr>
      </w:pPr>
    </w:p>
    <w:p w:rsidR="00E27370" w:rsidRPr="00E27370" w:rsidRDefault="00E27370" w:rsidP="00E27370">
      <w:p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 xml:space="preserve">Kod djece se lijek Midol ne smije koristiti (vidjeti odjeljak 2. </w:t>
      </w:r>
      <w:r w:rsidRPr="00E27370">
        <w:rPr>
          <w:rFonts w:ascii="Times New Roman" w:eastAsia="Times New Roman" w:hAnsi="Times New Roman" w:cs="Times New Roman"/>
          <w:i/>
          <w:lang w:val="it-IT"/>
        </w:rPr>
        <w:t>"Šta treba da znate prije nego što uzmete lijek Midol"</w:t>
      </w:r>
      <w:r w:rsidRPr="00E27370">
        <w:rPr>
          <w:rFonts w:ascii="Times New Roman" w:eastAsia="Times New Roman" w:hAnsi="Times New Roman" w:cs="Times New Roman"/>
          <w:lang w:val="it-IT"/>
        </w:rPr>
        <w:t xml:space="preserve">). </w:t>
      </w:r>
    </w:p>
    <w:p w:rsidR="00E27370" w:rsidRPr="00E27370" w:rsidRDefault="00E27370" w:rsidP="00E27370">
      <w:pPr>
        <w:spacing w:after="0" w:line="240" w:lineRule="auto"/>
        <w:jc w:val="both"/>
        <w:rPr>
          <w:rFonts w:ascii="Times New Roman" w:eastAsia="Times New Roman" w:hAnsi="Times New Roman" w:cs="Times New Roman"/>
          <w:lang w:val="it-IT"/>
        </w:rPr>
      </w:pPr>
    </w:p>
    <w:p w:rsidR="00E27370" w:rsidRPr="00E27370" w:rsidRDefault="00E27370" w:rsidP="00E27370">
      <w:pPr>
        <w:spacing w:after="0" w:line="240" w:lineRule="auto"/>
        <w:jc w:val="both"/>
        <w:rPr>
          <w:rFonts w:ascii="Times New Roman" w:eastAsia="Times New Roman" w:hAnsi="Times New Roman" w:cs="Times New Roman"/>
          <w:bCs/>
          <w:i/>
          <w:lang w:val="it-IT"/>
        </w:rPr>
      </w:pPr>
      <w:r w:rsidRPr="00E27370">
        <w:rPr>
          <w:rFonts w:ascii="Times New Roman" w:eastAsia="Times New Roman" w:hAnsi="Times New Roman" w:cs="Times New Roman"/>
          <w:i/>
          <w:lang w:val="it-IT"/>
        </w:rPr>
        <w:t xml:space="preserve">Način </w:t>
      </w:r>
      <w:r w:rsidRPr="00E27370">
        <w:rPr>
          <w:rFonts w:ascii="Times New Roman" w:eastAsia="Times New Roman" w:hAnsi="Times New Roman" w:cs="Times New Roman"/>
          <w:bCs/>
          <w:i/>
          <w:lang w:val="it-IT"/>
        </w:rPr>
        <w:t xml:space="preserve">primjene: </w:t>
      </w:r>
    </w:p>
    <w:p w:rsidR="00E27370" w:rsidRPr="00E27370" w:rsidRDefault="00E27370" w:rsidP="00E27370">
      <w:pPr>
        <w:spacing w:after="0" w:line="240" w:lineRule="auto"/>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Za oralnu upotrebu. Gastrorezistentne tablete trebalo bi uzimati po mogućstvu uz obrok, uz dosta tečnosti.</w:t>
      </w:r>
    </w:p>
    <w:p w:rsidR="00E27370" w:rsidRDefault="00E27370" w:rsidP="00E27370">
      <w:pPr>
        <w:spacing w:after="0" w:line="240" w:lineRule="auto"/>
        <w:jc w:val="both"/>
        <w:rPr>
          <w:rFonts w:ascii="Times New Roman" w:eastAsia="Times New Roman" w:hAnsi="Times New Roman" w:cs="Times New Roman"/>
          <w:lang w:val="sr-Latn-CS"/>
        </w:rPr>
      </w:pPr>
    </w:p>
    <w:p w:rsidR="00124381" w:rsidRDefault="00124381" w:rsidP="00E27370">
      <w:pPr>
        <w:spacing w:after="0" w:line="240" w:lineRule="auto"/>
        <w:jc w:val="both"/>
        <w:rPr>
          <w:rFonts w:ascii="Times New Roman" w:eastAsia="Times New Roman" w:hAnsi="Times New Roman" w:cs="Times New Roman"/>
          <w:lang w:val="sr-Latn-CS"/>
        </w:rPr>
      </w:pPr>
    </w:p>
    <w:p w:rsidR="00124381" w:rsidRPr="00E27370" w:rsidRDefault="00124381" w:rsidP="00E27370">
      <w:pPr>
        <w:spacing w:after="0" w:line="240" w:lineRule="auto"/>
        <w:jc w:val="both"/>
        <w:rPr>
          <w:rFonts w:ascii="Times New Roman" w:eastAsia="Times New Roman" w:hAnsi="Times New Roman" w:cs="Times New Roman"/>
          <w:lang w:val="sr-Latn-CS"/>
        </w:rPr>
      </w:pPr>
    </w:p>
    <w:p w:rsid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lastRenderedPageBreak/>
        <w:t>Ako ste uzeli više lijeka Midol nego što je trebalo</w:t>
      </w:r>
    </w:p>
    <w:p w:rsidR="00124381" w:rsidRPr="00E27370" w:rsidRDefault="00124381"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Ukoliko ste uzeli veću dozu lijeka Midol nego što bi trebalo, odmah razgovarajte sa Vašim ljekarom ili farmaceutom!</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Toksičnost salicilata (&gt;100 mg/kg dnevno tokom 2 dana može dovesti do toksičnosti) može nastati usljed hroničnog, terapijski stečenog trovanja i akutnih trovanja koja mogu biti opasna po život (uzimanja prekomjerne doze).</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Hronično trovanje salicilatima može biti podmuklo, budući da znaci i simptomi nisu specifični. Blago hronično trovanje salicilatima, ili salicilizam, obično se dešava tek poslije ponovljene upotrebe velikih doza. Simptomi uključuju vrtoglavicu, vertigo, zujanje u ušima, gluvoću, znojenje, mučninu i povraćanje, glavobolju i pometenost, i mogu se kontrolisati smanjenjem doze.</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b/>
          <w:lang w:val="sr-Latn-CS"/>
        </w:rPr>
        <w:t>Ako ste zaboravili da uzmete lijek Midol</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Nikada ne uzimajte duplu dozu da nadomjestite to što ste zaboravili da uzmete lijek!</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Ako naglo prestanete da uzimate lijek Midol</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Ne prekidajte uzimanje lijeka Midol bez prethodne konsultacije sa Vašim ljekarom.</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Ako imate dodatna pitanja o primjeni ovog lijeka, obratite se Vašem ljekaru ili farmaceutu.</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4. MOGUĆA NEŽELJENA DEJSTVA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Lijek Midol, kao i drugi ljekovi, može da ima neželjena dejstva, mada se ona ne moraju ispoljiti kod svih.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Zbog sprečavanja zgrušavanja krvi (dejstvo na krvne pločice), lijek Midol se može povezati sa povećanim rizikom od krvarenja. </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Kao neželjena dejstva mogu se javiti poremećaj želuca i crijeva (krvarenja), bol u želucu, povraćanje. U rijetkim slučajevima se mogu javiti reakcije preosjetljivosti, kao što je oticanje kože i sluzokože, svrab, koprivnjača, grč disajne muskulature, pogoršanje astme, curenje iz nosa, pad krvnog pritiska, angioedem (postepeno oticanje lica i jezika, ruku, očnih kapaka i teškoće pri disanju). Ukoliko primijetite znakove reakcije preosjetljivosti, obratite se Vašem ljekaru.</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Ukoliko primijetite crnu prebojenost stolice, ili povraćanje sa primjesama krvi, potrebno je odmah prekinuti terapiju i obratiti se ljekaru.</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Takođe se rijetko može javiti proliv, poremećaj varenja, mučnina i čir na želucu ili dvanaestopalačnom crijevu. </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Rijetko se mogu javiti smanjenje broja krvnih pločica, i crvenih i bijelih krvnih zrnaca.</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Rijetko se može javiti poremećaj vida i sluha, glavobolja, vrtoglavica, zujanje u ušima, ubrzano i produbljeno disanje (mogu biti znaci prekomjerne doze).</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Rijetko može doći do poremećaja funkcije jetre (porast transaminaza-parametara koji pokazuju funkciju jetre).</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Takođe, prijavljeno je oštećenje bubrežne funkcije i akutna bubrežna insuficijencija.</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Veoma rijetko može doći do smanjenja koncentracije šećera u krvi i promjena u kiselosti krvi (acido-bazna ravnoteža), kao i pojave teških kožnih reakcija.</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lastRenderedPageBreak/>
        <w:t xml:space="preserve">Veoma rijetko se može javiti Rejov sindrom, koji predstavlja po život opasno oboljenje koje zahtijeva hitno liječenje, a karakteriše ga toksično oštećenje jetre i oštećenje mozga i moždanih struktura. </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Takođe, postoje i druge spontane prijave neželjenih dejstava tokom upotrebe acetilsalicilne kiseline u svim formulacijama, uključujući kratkotrajnu i dugotrajnu oralnu terapiju.</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Hemoliza i hemolitička anemija su prijavljene kod pacijenata sa ozbiljnim nedostatkom glukoza-6-fosfat dehidrogenaze (G6PD).</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Zbog antitrombotičkog efekta, acetilsalicilna kiselina može povećati rizik od krvarenja. Prijavljena su krvarenja poput perioperativnog krvarenja, hematoma (izliv krvi iz krvnog suda unutar tkiva), epistakse (krvarenje iz nosa), urogenitalna krvarenja, gingivalna krvarenja.</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Ozbiljna krvarenja, kao što su gastrointestinalna krvarenja i cerebralna krvarenja, koja mogu u pojedinim slučajevima biti opasna po život, prijavljivana su rijetko ili veoma rijetko, i pretežno kod pacijenata čiji krvni pritisak nije kontrolisan i/ili koji su bili istovremeno i na antikoagulantnoj terapiji.</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Calibri" w:hAnsi="Times New Roman" w:cs="Times New Roman"/>
          <w:spacing w:val="-5"/>
          <w:u w:val="single"/>
          <w:lang w:val="sr-Latn-RS"/>
        </w:rPr>
      </w:pPr>
      <w:r w:rsidRPr="00E27370">
        <w:rPr>
          <w:rFonts w:ascii="Times New Roman" w:eastAsia="Calibri" w:hAnsi="Times New Roman" w:cs="Times New Roman"/>
          <w:spacing w:val="-5"/>
          <w:u w:val="single"/>
          <w:lang w:val="sr-Latn-RS"/>
        </w:rPr>
        <w:t>Prijavljivanje sumnji na neželjena dejstva</w:t>
      </w:r>
    </w:p>
    <w:p w:rsidR="00E27370" w:rsidRPr="00E27370" w:rsidRDefault="00E27370" w:rsidP="00E27370">
      <w:pPr>
        <w:spacing w:after="0" w:line="240" w:lineRule="auto"/>
        <w:rPr>
          <w:rFonts w:ascii="Times New Roman" w:eastAsia="Calibri" w:hAnsi="Times New Roman" w:cs="Times New Roman"/>
          <w:spacing w:val="-5"/>
          <w:u w:val="single"/>
          <w:lang w:val="sr-Latn-RS"/>
        </w:rPr>
      </w:pPr>
    </w:p>
    <w:p w:rsidR="00E27370" w:rsidRPr="00E27370" w:rsidRDefault="00E27370" w:rsidP="00E27370">
      <w:pPr>
        <w:spacing w:after="0" w:line="240" w:lineRule="auto"/>
        <w:jc w:val="both"/>
        <w:rPr>
          <w:rFonts w:ascii="Times New Roman" w:eastAsia="Calibri" w:hAnsi="Times New Roman" w:cs="Times New Roman"/>
          <w:spacing w:val="-5"/>
          <w:u w:val="single"/>
          <w:lang w:val="sr-Latn-RS"/>
        </w:rPr>
      </w:pPr>
      <w:r w:rsidRPr="00E27370">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E27370">
        <w:rPr>
          <w:rFonts w:ascii="Times New Roman" w:eastAsia="Calibri" w:hAnsi="Times New Roman" w:cs="Times New Roman"/>
          <w:spacing w:val="-4"/>
          <w:lang w:val="sr-Latn-RS"/>
        </w:rPr>
        <w:t xml:space="preserve">. </w:t>
      </w:r>
      <w:r w:rsidRPr="00E27370">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E27370" w:rsidRPr="00E27370" w:rsidRDefault="00E27370" w:rsidP="00E27370">
      <w:pPr>
        <w:spacing w:after="0" w:line="240" w:lineRule="auto"/>
        <w:jc w:val="both"/>
        <w:rPr>
          <w:rFonts w:ascii="Times New Roman" w:eastAsia="Times New Roman" w:hAnsi="Times New Roman" w:cs="Times New Roman"/>
          <w:b/>
          <w:lang w:val="sr-Latn-RS"/>
        </w:rPr>
      </w:pP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5. KAKO ČUVATI LIJEK MIDOL</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i/>
          <w:lang w:val="sr-Latn-CS"/>
        </w:rPr>
      </w:pPr>
      <w:r w:rsidRPr="00E27370">
        <w:rPr>
          <w:rFonts w:ascii="Times New Roman" w:eastAsia="Times New Roman" w:hAnsi="Times New Roman" w:cs="Times New Roman"/>
          <w:i/>
          <w:lang w:val="sr-Latn-CS"/>
        </w:rPr>
        <w:t>Čuvati van domašaja i vidokruga djece!</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b/>
          <w:lang w:val="sr-Latn-CS"/>
        </w:rPr>
        <w:t>Rok upotrebe</w:t>
      </w:r>
      <w:r w:rsidRPr="00E27370">
        <w:rPr>
          <w:rFonts w:ascii="Times New Roman" w:eastAsia="Times New Roman" w:hAnsi="Times New Roman" w:cs="Times New Roman"/>
          <w:lang w:val="sr-Latn-CS"/>
        </w:rPr>
        <w:t xml:space="preserve"> </w:t>
      </w:r>
    </w:p>
    <w:p w:rsidR="002F6E85" w:rsidRDefault="002F6E85"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 xml:space="preserve">3 godine. </w:t>
      </w: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Nemojte koristiti lijek Midol poslije isteka roka upotrebe naznačenog na pakovanju. Rok upotrebe ističe poslednjeg dana navedenog mjeseca.</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Čuvanje</w:t>
      </w:r>
    </w:p>
    <w:p w:rsidR="002F6E85" w:rsidRDefault="002F6E85" w:rsidP="00E27370">
      <w:pPr>
        <w:shd w:val="clear" w:color="auto" w:fill="FFFFFF"/>
        <w:spacing w:after="0" w:line="240" w:lineRule="auto"/>
        <w:jc w:val="both"/>
        <w:rPr>
          <w:rFonts w:ascii="Times New Roman" w:eastAsia="Times New Roman" w:hAnsi="Times New Roman" w:cs="Times New Roman"/>
          <w:color w:val="000000"/>
          <w:spacing w:val="-1"/>
          <w:lang w:val="sr-Latn-CS"/>
        </w:rPr>
      </w:pPr>
    </w:p>
    <w:p w:rsidR="00E27370" w:rsidRPr="00E27370" w:rsidRDefault="00E27370" w:rsidP="00E27370">
      <w:pPr>
        <w:shd w:val="clear" w:color="auto" w:fill="FFFFFF"/>
        <w:spacing w:after="0" w:line="240" w:lineRule="auto"/>
        <w:jc w:val="both"/>
        <w:rPr>
          <w:rFonts w:ascii="Times New Roman" w:eastAsia="Times New Roman" w:hAnsi="Times New Roman" w:cs="Times New Roman"/>
          <w:color w:val="000000"/>
          <w:spacing w:val="-1"/>
          <w:lang w:val="sr-Latn-CS"/>
        </w:rPr>
      </w:pPr>
      <w:r w:rsidRPr="00E27370">
        <w:rPr>
          <w:rFonts w:ascii="Times New Roman" w:eastAsia="Times New Roman" w:hAnsi="Times New Roman" w:cs="Times New Roman"/>
          <w:color w:val="000000"/>
          <w:spacing w:val="-1"/>
          <w:lang w:val="sr-Latn-CS"/>
        </w:rPr>
        <w:t>Č</w:t>
      </w:r>
      <w:r w:rsidRPr="00E27370">
        <w:rPr>
          <w:rFonts w:ascii="Times New Roman" w:eastAsia="Times New Roman" w:hAnsi="Times New Roman" w:cs="Times New Roman"/>
          <w:color w:val="000000"/>
          <w:spacing w:val="-1"/>
        </w:rPr>
        <w:t>uvati</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na</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temperaturi</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do</w:t>
      </w:r>
      <w:r w:rsidRPr="00E27370">
        <w:rPr>
          <w:rFonts w:ascii="Times New Roman" w:eastAsia="Times New Roman" w:hAnsi="Times New Roman" w:cs="Times New Roman"/>
          <w:color w:val="000000"/>
          <w:spacing w:val="-1"/>
          <w:lang w:val="sr-Latn-CS"/>
        </w:rPr>
        <w:t xml:space="preserve"> 30</w:t>
      </w:r>
      <w:r w:rsidRPr="00E27370">
        <w:rPr>
          <w:rFonts w:ascii="Times New Roman" w:eastAsia="Times New Roman" w:hAnsi="Times New Roman" w:cs="Times New Roman"/>
          <w:color w:val="000000"/>
          <w:spacing w:val="-1"/>
          <w:vertAlign w:val="superscript"/>
          <w:lang w:val="sr-Latn-CS"/>
        </w:rPr>
        <w:t>○</w:t>
      </w:r>
      <w:r w:rsidRPr="00E27370">
        <w:rPr>
          <w:rFonts w:ascii="Times New Roman" w:eastAsia="Times New Roman" w:hAnsi="Times New Roman" w:cs="Times New Roman"/>
          <w:color w:val="000000"/>
          <w:spacing w:val="-1"/>
        </w:rPr>
        <w:t>C</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u</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originalnom</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pakovanju</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radi</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za</w:t>
      </w:r>
      <w:r w:rsidRPr="00E27370">
        <w:rPr>
          <w:rFonts w:ascii="Times New Roman" w:eastAsia="Times New Roman" w:hAnsi="Times New Roman" w:cs="Times New Roman"/>
          <w:color w:val="000000"/>
          <w:spacing w:val="-1"/>
          <w:lang w:val="sr-Latn-CS"/>
        </w:rPr>
        <w:t>š</w:t>
      </w:r>
      <w:r w:rsidRPr="00E27370">
        <w:rPr>
          <w:rFonts w:ascii="Times New Roman" w:eastAsia="Times New Roman" w:hAnsi="Times New Roman" w:cs="Times New Roman"/>
          <w:color w:val="000000"/>
          <w:spacing w:val="-1"/>
        </w:rPr>
        <w:t>tite</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od</w:t>
      </w:r>
      <w:r w:rsidRPr="00E27370">
        <w:rPr>
          <w:rFonts w:ascii="Times New Roman" w:eastAsia="Times New Roman" w:hAnsi="Times New Roman" w:cs="Times New Roman"/>
          <w:color w:val="000000"/>
          <w:spacing w:val="-1"/>
          <w:lang w:val="sr-Latn-CS"/>
        </w:rPr>
        <w:t xml:space="preserve"> </w:t>
      </w:r>
      <w:r w:rsidRPr="00E27370">
        <w:rPr>
          <w:rFonts w:ascii="Times New Roman" w:eastAsia="Times New Roman" w:hAnsi="Times New Roman" w:cs="Times New Roman"/>
          <w:color w:val="000000"/>
          <w:spacing w:val="-1"/>
        </w:rPr>
        <w:t>vlage</w:t>
      </w:r>
      <w:r w:rsidRPr="00E27370">
        <w:rPr>
          <w:rFonts w:ascii="Times New Roman" w:eastAsia="Times New Roman" w:hAnsi="Times New Roman" w:cs="Times New Roman"/>
          <w:color w:val="000000"/>
          <w:spacing w:val="-1"/>
          <w:lang w:val="sr-Latn-CS"/>
        </w:rPr>
        <w:t>.</w:t>
      </w:r>
    </w:p>
    <w:p w:rsidR="00E27370" w:rsidRPr="00E27370" w:rsidRDefault="00E27370" w:rsidP="00E27370">
      <w:pPr>
        <w:shd w:val="clear" w:color="auto" w:fill="FFFFFF"/>
        <w:spacing w:after="0" w:line="240" w:lineRule="auto"/>
        <w:jc w:val="both"/>
        <w:rPr>
          <w:rFonts w:ascii="Times New Roman" w:eastAsia="Times New Roman" w:hAnsi="Times New Roman" w:cs="Times New Roman"/>
          <w:color w:val="000000"/>
          <w:spacing w:val="-1"/>
          <w:lang w:val="sr-Latn-CS"/>
        </w:rPr>
      </w:pPr>
    </w:p>
    <w:p w:rsidR="00E27370" w:rsidRPr="00E27370" w:rsidRDefault="00E27370" w:rsidP="00E27370">
      <w:pPr>
        <w:shd w:val="clear" w:color="auto" w:fill="FFFFFF"/>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Ljekove ne treba bacati u kanalizaciju, niti kućni otpad. Pitajte svog farmaceuta kako da otklonite ljekove koji Vam više nisu potrebni. Ove mjere pomažu očuvanju životne sredine.</w:t>
      </w: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lang w:val="sr-Latn-CS"/>
        </w:rPr>
        <w:t>Neupotrijebljeni lijek se uništava u skladu sa važećim propisima.</w:t>
      </w:r>
    </w:p>
    <w:p w:rsidR="00E27370" w:rsidRDefault="00E27370" w:rsidP="00E27370">
      <w:pPr>
        <w:spacing w:after="0" w:line="240" w:lineRule="auto"/>
        <w:jc w:val="both"/>
        <w:rPr>
          <w:rFonts w:ascii="Times New Roman" w:eastAsia="Times New Roman" w:hAnsi="Times New Roman" w:cs="Times New Roman"/>
          <w:b/>
          <w:lang w:val="sr-Latn-CS"/>
        </w:rPr>
      </w:pPr>
    </w:p>
    <w:p w:rsidR="002F6E85" w:rsidRPr="00E27370" w:rsidRDefault="002F6E85"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6. DODATNE INFORMACIJE</w:t>
      </w:r>
    </w:p>
    <w:p w:rsidR="00E27370" w:rsidRPr="00E27370" w:rsidRDefault="00E27370" w:rsidP="00E27370">
      <w:pPr>
        <w:spacing w:after="0" w:line="240" w:lineRule="auto"/>
        <w:jc w:val="both"/>
        <w:rPr>
          <w:rFonts w:ascii="Times New Roman" w:eastAsia="Times New Roman" w:hAnsi="Times New Roman" w:cs="Times New Roman"/>
          <w:i/>
          <w:lang w:val="sl-SI"/>
        </w:rPr>
      </w:pPr>
    </w:p>
    <w:p w:rsidR="00E27370" w:rsidRPr="00E27370" w:rsidRDefault="00E27370" w:rsidP="00E27370">
      <w:pPr>
        <w:spacing w:after="0" w:line="240" w:lineRule="auto"/>
        <w:jc w:val="both"/>
        <w:rPr>
          <w:rFonts w:ascii="Times New Roman" w:eastAsia="Times New Roman" w:hAnsi="Times New Roman" w:cs="Times New Roman"/>
          <w:b/>
          <w:lang w:val="sl-SI"/>
        </w:rPr>
      </w:pPr>
      <w:r w:rsidRPr="00E27370">
        <w:rPr>
          <w:rFonts w:ascii="Times New Roman" w:eastAsia="Times New Roman" w:hAnsi="Times New Roman" w:cs="Times New Roman"/>
          <w:b/>
          <w:lang w:val="sl-SI"/>
        </w:rPr>
        <w:t>Šta sadrži lijek Midol</w:t>
      </w:r>
    </w:p>
    <w:p w:rsidR="00E27370" w:rsidRPr="00E27370" w:rsidRDefault="00E27370" w:rsidP="00E27370">
      <w:pPr>
        <w:spacing w:after="0" w:line="240" w:lineRule="auto"/>
        <w:jc w:val="both"/>
        <w:rPr>
          <w:rFonts w:ascii="Times New Roman" w:eastAsia="Times New Roman" w:hAnsi="Times New Roman" w:cs="Times New Roman"/>
          <w:b/>
          <w:i/>
          <w:lang w:val="sl-SI"/>
        </w:rPr>
      </w:pPr>
      <w:r w:rsidRPr="00E27370">
        <w:rPr>
          <w:rFonts w:ascii="Times New Roman" w:eastAsia="Times New Roman" w:hAnsi="Times New Roman" w:cs="Times New Roman"/>
          <w:b/>
          <w:i/>
          <w:lang w:val="sl-SI"/>
        </w:rPr>
        <w:lastRenderedPageBreak/>
        <w:t>Aktivne supstance su:</w:t>
      </w:r>
    </w:p>
    <w:p w:rsidR="00E27370" w:rsidRPr="00E27370" w:rsidRDefault="00E27370" w:rsidP="00E27370">
      <w:pPr>
        <w:spacing w:after="0" w:line="240" w:lineRule="auto"/>
        <w:jc w:val="both"/>
        <w:rPr>
          <w:rFonts w:ascii="Times New Roman" w:eastAsia="Times New Roman" w:hAnsi="Times New Roman" w:cs="Times New Roman"/>
          <w:b/>
          <w:i/>
          <w:lang w:val="sl-SI"/>
        </w:rPr>
      </w:pPr>
    </w:p>
    <w:p w:rsidR="00E27370" w:rsidRPr="00E27370" w:rsidRDefault="00E27370" w:rsidP="00E27370">
      <w:pPr>
        <w:spacing w:after="0" w:line="240" w:lineRule="auto"/>
        <w:jc w:val="both"/>
        <w:rPr>
          <w:rFonts w:ascii="Times New Roman" w:eastAsia="Times New Roman" w:hAnsi="Times New Roman" w:cs="Times New Roman"/>
          <w:lang w:val="sl-SI"/>
        </w:rPr>
      </w:pPr>
      <w:r w:rsidRPr="00E27370">
        <w:rPr>
          <w:rFonts w:ascii="Times New Roman" w:eastAsia="Times New Roman" w:hAnsi="Times New Roman" w:cs="Times New Roman"/>
          <w:lang w:val="sl-SI"/>
        </w:rPr>
        <w:t>1 gastrorezistentna tableta sadrži:</w:t>
      </w:r>
    </w:p>
    <w:p w:rsidR="00E27370" w:rsidRPr="00E27370" w:rsidRDefault="00E27370" w:rsidP="00E27370">
      <w:pPr>
        <w:spacing w:after="0" w:line="240" w:lineRule="auto"/>
        <w:jc w:val="both"/>
        <w:rPr>
          <w:rFonts w:ascii="Times New Roman" w:eastAsia="Times New Roman" w:hAnsi="Times New Roman" w:cs="Times New Roman"/>
          <w:lang w:val="sl-SI"/>
        </w:rPr>
      </w:pPr>
      <w:r w:rsidRPr="00E27370">
        <w:rPr>
          <w:rFonts w:ascii="Times New Roman" w:eastAsia="Times New Roman" w:hAnsi="Times New Roman" w:cs="Times New Roman"/>
          <w:lang w:val="sl-SI"/>
        </w:rPr>
        <w:t xml:space="preserve">acetilsalicilna kiselina   100 mg   </w:t>
      </w:r>
    </w:p>
    <w:p w:rsidR="00E27370" w:rsidRPr="00E27370" w:rsidRDefault="00E27370" w:rsidP="00E27370">
      <w:pPr>
        <w:spacing w:after="0" w:line="240" w:lineRule="auto"/>
        <w:jc w:val="both"/>
        <w:rPr>
          <w:rFonts w:ascii="Times New Roman" w:eastAsia="Times New Roman" w:hAnsi="Times New Roman" w:cs="Times New Roman"/>
          <w:lang w:val="sl-SI"/>
        </w:rPr>
      </w:pPr>
    </w:p>
    <w:p w:rsidR="00E27370" w:rsidRPr="00E27370" w:rsidRDefault="00E27370" w:rsidP="00E27370">
      <w:pPr>
        <w:spacing w:after="0" w:line="240" w:lineRule="auto"/>
        <w:jc w:val="both"/>
        <w:rPr>
          <w:rFonts w:ascii="Times New Roman" w:eastAsia="Times New Roman" w:hAnsi="Times New Roman" w:cs="Times New Roman"/>
          <w:b/>
          <w:i/>
          <w:lang w:val="sr-Latn-CS"/>
        </w:rPr>
      </w:pPr>
      <w:r w:rsidRPr="00E27370">
        <w:rPr>
          <w:rFonts w:ascii="Times New Roman" w:eastAsia="Times New Roman" w:hAnsi="Times New Roman" w:cs="Times New Roman"/>
          <w:b/>
          <w:i/>
          <w:lang w:val="sr-Latn-CS"/>
        </w:rPr>
        <w:t>Ostali sastojci su:</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Celuloza, prašak</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Skrob, preželatinizirani</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Silicijum dioksid, koloidni, bezvodni</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Stearinska kiselina</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Trietilcitrat</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Talk</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Simetikon emulzija</w:t>
      </w:r>
    </w:p>
    <w:p w:rsidR="00E27370" w:rsidRPr="00E27370" w:rsidRDefault="00E27370" w:rsidP="00E27370">
      <w:pPr>
        <w:numPr>
          <w:ilvl w:val="0"/>
          <w:numId w:val="27"/>
        </w:numPr>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Metakrilna kiselina etilakrilat kopolimer 1:1, 30% disperzija sadrži:</w:t>
      </w:r>
    </w:p>
    <w:p w:rsidR="00E27370" w:rsidRPr="00E27370" w:rsidRDefault="00E27370" w:rsidP="00E27370">
      <w:pPr>
        <w:numPr>
          <w:ilvl w:val="0"/>
          <w:numId w:val="28"/>
        </w:numPr>
        <w:tabs>
          <w:tab w:val="left" w:pos="1418"/>
        </w:tabs>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Polisorbat 80</w:t>
      </w:r>
    </w:p>
    <w:p w:rsidR="00E27370" w:rsidRPr="00E27370" w:rsidRDefault="00E27370" w:rsidP="00E27370">
      <w:pPr>
        <w:numPr>
          <w:ilvl w:val="0"/>
          <w:numId w:val="28"/>
        </w:numPr>
        <w:tabs>
          <w:tab w:val="left" w:pos="1418"/>
        </w:tabs>
        <w:spacing w:after="0" w:line="240" w:lineRule="auto"/>
        <w:contextualSpacing/>
        <w:jc w:val="both"/>
        <w:rPr>
          <w:rFonts w:ascii="Times New Roman" w:eastAsia="Times New Roman" w:hAnsi="Times New Roman" w:cs="Times New Roman"/>
          <w:lang w:val="it-IT"/>
        </w:rPr>
      </w:pPr>
      <w:r w:rsidRPr="00E27370">
        <w:rPr>
          <w:rFonts w:ascii="Times New Roman" w:eastAsia="Times New Roman" w:hAnsi="Times New Roman" w:cs="Times New Roman"/>
          <w:lang w:val="it-IT"/>
        </w:rPr>
        <w:t>Natrijum laurilsulfat</w:t>
      </w:r>
    </w:p>
    <w:p w:rsidR="00E27370" w:rsidRPr="00E27370" w:rsidRDefault="00E27370" w:rsidP="00E27370">
      <w:pPr>
        <w:spacing w:after="0" w:line="240" w:lineRule="auto"/>
        <w:jc w:val="both"/>
        <w:rPr>
          <w:rFonts w:ascii="Times New Roman" w:eastAsia="Times New Roman" w:hAnsi="Times New Roman" w:cs="Times New Roman"/>
          <w:b/>
          <w:lang w:val="pl-PL"/>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Kako izgleda lijek Midol i sadržaj pakovanja</w:t>
      </w:r>
    </w:p>
    <w:p w:rsidR="00E27370" w:rsidRPr="00E27370" w:rsidRDefault="00E27370" w:rsidP="00E27370">
      <w:pPr>
        <w:spacing w:after="0" w:line="240" w:lineRule="auto"/>
        <w:jc w:val="both"/>
        <w:rPr>
          <w:rFonts w:ascii="Times New Roman" w:eastAsia="Times New Roman" w:hAnsi="Times New Roman" w:cs="Times New Roman"/>
          <w:i/>
          <w:lang w:val="sr-Latn-CS"/>
        </w:rPr>
      </w:pPr>
    </w:p>
    <w:p w:rsidR="00E27370" w:rsidRPr="00E27370" w:rsidRDefault="00E27370" w:rsidP="00E27370">
      <w:pPr>
        <w:spacing w:after="0" w:line="240" w:lineRule="auto"/>
        <w:jc w:val="both"/>
        <w:rPr>
          <w:rFonts w:ascii="Times New Roman" w:eastAsia="Times New Roman" w:hAnsi="Times New Roman" w:cs="Times New Roman"/>
          <w:lang w:val="sv-SE"/>
        </w:rPr>
      </w:pPr>
      <w:r w:rsidRPr="00E27370">
        <w:rPr>
          <w:rFonts w:ascii="Times New Roman" w:eastAsia="Times New Roman" w:hAnsi="Times New Roman" w:cs="Times New Roman"/>
          <w:lang w:val="sv-SE"/>
        </w:rPr>
        <w:t>Okrugle, bikonveksne, bijele film tablete.</w:t>
      </w:r>
    </w:p>
    <w:p w:rsidR="00E27370" w:rsidRPr="00E27370" w:rsidRDefault="00E27370" w:rsidP="00E27370">
      <w:pPr>
        <w:spacing w:after="0" w:line="240" w:lineRule="auto"/>
        <w:jc w:val="both"/>
        <w:rPr>
          <w:rFonts w:ascii="Times New Roman" w:eastAsia="Times New Roman" w:hAnsi="Times New Roman" w:cs="Times New Roman"/>
          <w:lang w:val="sv-SE"/>
        </w:rPr>
      </w:pPr>
      <w:r w:rsidRPr="00E27370">
        <w:rPr>
          <w:rFonts w:ascii="Times New Roman" w:eastAsia="Times New Roman" w:hAnsi="Times New Roman" w:cs="Times New Roman"/>
          <w:lang w:val="sv-SE"/>
        </w:rPr>
        <w:t>Unutrašnje pakovanje je blister od PVC/PVdC-Al folije koji sadrži 10 gastrorezistentnih tableta.</w:t>
      </w:r>
    </w:p>
    <w:p w:rsidR="00E27370" w:rsidRPr="00E27370" w:rsidRDefault="00E27370" w:rsidP="00E27370">
      <w:pPr>
        <w:spacing w:after="0" w:line="240" w:lineRule="auto"/>
        <w:jc w:val="both"/>
        <w:rPr>
          <w:rFonts w:ascii="Times New Roman" w:eastAsia="Times New Roman" w:hAnsi="Times New Roman" w:cs="Times New Roman"/>
          <w:lang w:val="sv-SE"/>
        </w:rPr>
      </w:pPr>
      <w:r w:rsidRPr="00E27370">
        <w:rPr>
          <w:rFonts w:ascii="Times New Roman" w:eastAsia="Times New Roman" w:hAnsi="Times New Roman" w:cs="Times New Roman"/>
          <w:lang w:val="sv-SE"/>
        </w:rPr>
        <w:t>Spoljnje pakovanje je kartonska kutija koja sadrži 3 blistera (ukupno 30 gastrorezistentnih tableta).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 xml:space="preserve">Nosilac dozvole </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RS"/>
        </w:rPr>
      </w:pPr>
      <w:r w:rsidRPr="00E27370">
        <w:rPr>
          <w:rFonts w:ascii="Times New Roman" w:eastAsia="Times New Roman" w:hAnsi="Times New Roman" w:cs="Times New Roman"/>
          <w:lang w:val="sr-Latn-CS"/>
        </w:rPr>
        <w:t>Hemofarm A.D. Vr</w:t>
      </w:r>
      <w:r w:rsidRPr="00E27370">
        <w:rPr>
          <w:rFonts w:ascii="Times New Roman" w:eastAsia="Times New Roman" w:hAnsi="Times New Roman" w:cs="Times New Roman"/>
          <w:lang w:val="sr-Latn-RS"/>
        </w:rPr>
        <w:t>šac Poslovna jedinica Podgorica</w:t>
      </w:r>
    </w:p>
    <w:p w:rsidR="00E27370" w:rsidRPr="00E27370" w:rsidRDefault="00E27370" w:rsidP="00E27370">
      <w:pPr>
        <w:spacing w:after="0" w:line="240" w:lineRule="auto"/>
        <w:jc w:val="both"/>
        <w:rPr>
          <w:rFonts w:ascii="Times New Roman" w:eastAsia="Times New Roman" w:hAnsi="Times New Roman" w:cs="Times New Roman"/>
          <w:lang w:val="sr-Latn-RS"/>
        </w:rPr>
      </w:pPr>
      <w:r w:rsidRPr="00E27370">
        <w:rPr>
          <w:rFonts w:ascii="Times New Roman" w:eastAsia="Times New Roman" w:hAnsi="Times New Roman" w:cs="Times New Roman"/>
          <w:lang w:val="sr-Latn-RS"/>
        </w:rPr>
        <w:t>8 marta 55A, Podgorica, Crna Gora</w:t>
      </w:r>
    </w:p>
    <w:p w:rsidR="00E27370" w:rsidRPr="00E27370" w:rsidRDefault="00E27370" w:rsidP="00E27370">
      <w:pPr>
        <w:spacing w:after="0" w:line="240" w:lineRule="auto"/>
        <w:jc w:val="both"/>
        <w:rPr>
          <w:rFonts w:ascii="Times New Roman" w:eastAsia="Times New Roman" w:hAnsi="Times New Roman" w:cs="Times New Roman"/>
          <w:b/>
          <w:lang w:val="sr-Latn-R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Proizvođač</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Hemofarm A.D., Beogradski put bb, Vršac, Srbija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 xml:space="preserve">Ovo uputstvo je poslednji put odobreno  </w:t>
      </w:r>
    </w:p>
    <w:p w:rsidR="00E27370" w:rsidRDefault="00E27370" w:rsidP="00E27370">
      <w:pPr>
        <w:spacing w:after="0" w:line="240" w:lineRule="auto"/>
        <w:jc w:val="both"/>
        <w:rPr>
          <w:rFonts w:ascii="Times New Roman" w:eastAsia="Times New Roman" w:hAnsi="Times New Roman" w:cs="Times New Roman"/>
          <w:lang w:val="sr-Latn-CS"/>
        </w:rPr>
      </w:pPr>
    </w:p>
    <w:p w:rsidR="002F6E85" w:rsidRPr="00E27370" w:rsidRDefault="002F6E85" w:rsidP="00E27370">
      <w:pPr>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Latn-CS"/>
        </w:rPr>
        <w:t>Jul, 2017. godine</w:t>
      </w:r>
    </w:p>
    <w:p w:rsidR="00E27370" w:rsidRPr="00E27370" w:rsidRDefault="00E27370" w:rsidP="00E27370">
      <w:pPr>
        <w:spacing w:after="0" w:line="240" w:lineRule="auto"/>
        <w:jc w:val="both"/>
        <w:rPr>
          <w:rFonts w:ascii="Times New Roman" w:eastAsia="Times New Roman" w:hAnsi="Times New Roman" w:cs="Times New Roman"/>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 xml:space="preserve">Režim izdavanja lijeka </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lang w:val="sr-Latn-CS"/>
        </w:rPr>
      </w:pPr>
      <w:r w:rsidRPr="00E27370">
        <w:rPr>
          <w:rFonts w:ascii="Times New Roman" w:eastAsia="Times New Roman" w:hAnsi="Times New Roman" w:cs="Times New Roman"/>
          <w:lang w:val="sr-Latn-CS"/>
        </w:rPr>
        <w:t>Lijek se može izdavati bez ljekarskog recepta.</w:t>
      </w:r>
    </w:p>
    <w:p w:rsidR="00E27370" w:rsidRPr="00E27370" w:rsidRDefault="00E27370" w:rsidP="00E27370">
      <w:pPr>
        <w:spacing w:after="0" w:line="240" w:lineRule="auto"/>
        <w:jc w:val="both"/>
        <w:rPr>
          <w:rFonts w:ascii="Times New Roman" w:eastAsia="Times New Roman" w:hAnsi="Times New Roman" w:cs="Times New Roman"/>
          <w:b/>
          <w:lang w:val="sr-Latn-CS"/>
        </w:rPr>
      </w:pPr>
    </w:p>
    <w:p w:rsidR="00E27370" w:rsidRPr="00E27370" w:rsidRDefault="00E27370" w:rsidP="00E27370">
      <w:pPr>
        <w:spacing w:after="0" w:line="240" w:lineRule="auto"/>
        <w:jc w:val="both"/>
        <w:rPr>
          <w:rFonts w:ascii="Times New Roman" w:eastAsia="Times New Roman" w:hAnsi="Times New Roman" w:cs="Times New Roman"/>
          <w:b/>
          <w:lang w:val="sr-Latn-CS"/>
        </w:rPr>
      </w:pPr>
      <w:r w:rsidRPr="00E27370">
        <w:rPr>
          <w:rFonts w:ascii="Times New Roman" w:eastAsia="Times New Roman" w:hAnsi="Times New Roman" w:cs="Times New Roman"/>
          <w:b/>
          <w:lang w:val="sr-Latn-CS"/>
        </w:rPr>
        <w:t>Broj i datum dozvole</w:t>
      </w:r>
    </w:p>
    <w:p w:rsidR="002F6E85" w:rsidRDefault="002F6E85" w:rsidP="002F6E85">
      <w:pPr>
        <w:spacing w:after="0" w:line="240" w:lineRule="auto"/>
        <w:rPr>
          <w:rFonts w:ascii="Times New Roman" w:eastAsia="Times New Roman" w:hAnsi="Times New Roman" w:cs="Times New Roman"/>
          <w:lang w:val="pl-PL"/>
        </w:rPr>
      </w:pPr>
    </w:p>
    <w:p w:rsidR="002F6E85" w:rsidRDefault="002F6E85" w:rsidP="002F6E85">
      <w:pPr>
        <w:spacing w:after="0" w:line="240" w:lineRule="auto"/>
        <w:jc w:val="both"/>
        <w:rPr>
          <w:rFonts w:ascii="Times New Roman" w:eastAsia="Times New Roman" w:hAnsi="Times New Roman" w:cs="Times New Roman"/>
          <w:lang w:val="pl-PL"/>
        </w:rPr>
      </w:pPr>
      <w:r w:rsidRPr="00E079EA">
        <w:rPr>
          <w:rFonts w:ascii="Times New Roman" w:eastAsia="Times New Roman" w:hAnsi="Times New Roman" w:cs="Times New Roman"/>
          <w:lang w:val="pl-PL"/>
        </w:rPr>
        <w:t>Midol®, gastrorezistentna tableta, 100</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 xml:space="preserve">mg, blister, 30 </w:t>
      </w:r>
      <w:r>
        <w:rPr>
          <w:rFonts w:ascii="Times New Roman" w:eastAsia="Times New Roman" w:hAnsi="Times New Roman" w:cs="Times New Roman"/>
          <w:lang w:val="pl-PL"/>
        </w:rPr>
        <w:t xml:space="preserve">(3x10) </w:t>
      </w:r>
      <w:r w:rsidRPr="00E079EA">
        <w:rPr>
          <w:rFonts w:ascii="Times New Roman" w:eastAsia="Times New Roman" w:hAnsi="Times New Roman" w:cs="Times New Roman"/>
          <w:lang w:val="pl-PL"/>
        </w:rPr>
        <w:t>gastrorezistentnih</w:t>
      </w:r>
      <w:r>
        <w:rPr>
          <w:rFonts w:ascii="Times New Roman" w:eastAsia="Times New Roman" w:hAnsi="Times New Roman" w:cs="Times New Roman"/>
          <w:lang w:val="pl-PL"/>
        </w:rPr>
        <w:t xml:space="preserve"> </w:t>
      </w:r>
      <w:r w:rsidRPr="00E079EA">
        <w:rPr>
          <w:rFonts w:ascii="Times New Roman" w:eastAsia="Times New Roman" w:hAnsi="Times New Roman" w:cs="Times New Roman"/>
          <w:lang w:val="pl-PL"/>
        </w:rPr>
        <w:t>tableta</w:t>
      </w:r>
      <w:r>
        <w:rPr>
          <w:rFonts w:ascii="Times New Roman" w:eastAsia="Times New Roman" w:hAnsi="Times New Roman" w:cs="Times New Roman"/>
          <w:lang w:val="pl-PL"/>
        </w:rPr>
        <w:t xml:space="preserve">: </w:t>
      </w:r>
    </w:p>
    <w:p w:rsidR="009318B4" w:rsidRPr="00747C4B" w:rsidRDefault="002F6E85" w:rsidP="002F6E85">
      <w:pPr>
        <w:spacing w:after="0" w:line="240" w:lineRule="auto"/>
        <w:jc w:val="both"/>
        <w:rPr>
          <w:rFonts w:ascii="Times New Roman" w:hAnsi="Times New Roman" w:cs="Times New Roman"/>
        </w:rPr>
      </w:pPr>
      <w:r w:rsidRPr="00E079EA">
        <w:rPr>
          <w:rFonts w:ascii="Times New Roman" w:eastAsia="Times New Roman" w:hAnsi="Times New Roman" w:cs="Times New Roman"/>
          <w:lang w:val="pl-PL"/>
        </w:rPr>
        <w:t xml:space="preserve">2030/17/254 </w:t>
      </w:r>
      <w:r>
        <w:rPr>
          <w:rFonts w:ascii="Times New Roman" w:eastAsia="Times New Roman" w:hAnsi="Times New Roman" w:cs="Times New Roman"/>
          <w:lang w:val="pl-PL"/>
        </w:rPr>
        <w:t>–</w:t>
      </w:r>
      <w:r w:rsidRPr="00E079EA">
        <w:rPr>
          <w:rFonts w:ascii="Times New Roman" w:eastAsia="Times New Roman" w:hAnsi="Times New Roman" w:cs="Times New Roman"/>
          <w:lang w:val="pl-PL"/>
        </w:rPr>
        <w:t xml:space="preserve"> 2224</w:t>
      </w:r>
      <w:r>
        <w:rPr>
          <w:rFonts w:ascii="Times New Roman" w:eastAsia="Times New Roman" w:hAnsi="Times New Roman" w:cs="Times New Roman"/>
          <w:lang w:val="pl-PL"/>
        </w:rPr>
        <w:t xml:space="preserve"> od </w:t>
      </w:r>
      <w:r w:rsidRPr="00E079EA">
        <w:rPr>
          <w:rFonts w:ascii="Times New Roman" w:eastAsia="Times New Roman" w:hAnsi="Times New Roman" w:cs="Times New Roman"/>
          <w:lang w:val="pl-PL"/>
        </w:rPr>
        <w:t>10.07.2017. godine</w:t>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26" w:rsidRDefault="00125B26" w:rsidP="00FF2B5A">
      <w:pPr>
        <w:spacing w:after="0" w:line="240" w:lineRule="auto"/>
      </w:pPr>
      <w:r>
        <w:separator/>
      </w:r>
    </w:p>
  </w:endnote>
  <w:endnote w:type="continuationSeparator" w:id="0">
    <w:p w:rsidR="00125B26" w:rsidRDefault="00125B2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0" w:rsidRPr="00F1527C" w:rsidRDefault="00E2737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E27370" w:rsidRPr="00F1527C" w:rsidRDefault="00E2737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E27370" w:rsidRPr="00F1527C" w:rsidRDefault="00E2737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E27370" w:rsidRPr="00F1527C" w:rsidRDefault="00E2737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E27370" w:rsidRPr="00F1527C" w:rsidRDefault="00E2737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E27370" w:rsidRPr="009318B4" w:rsidRDefault="00E2737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F7756">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F7756">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0" w:rsidRPr="00F1527C" w:rsidRDefault="00E2737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E27370" w:rsidRPr="00F1527C" w:rsidRDefault="00E2737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E27370" w:rsidRPr="00F1527C" w:rsidRDefault="00E2737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E27370" w:rsidRPr="00F1527C" w:rsidRDefault="00E2737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E27370" w:rsidRPr="00F1527C" w:rsidRDefault="00E2737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E27370" w:rsidRPr="009318B4" w:rsidRDefault="00E2737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26" w:rsidRDefault="00125B26" w:rsidP="00FF2B5A">
      <w:pPr>
        <w:spacing w:after="0" w:line="240" w:lineRule="auto"/>
      </w:pPr>
      <w:r>
        <w:separator/>
      </w:r>
    </w:p>
  </w:footnote>
  <w:footnote w:type="continuationSeparator" w:id="0">
    <w:p w:rsidR="00125B26" w:rsidRDefault="00125B2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0" w:rsidRDefault="00E27370" w:rsidP="009318B4">
    <w:pPr>
      <w:pStyle w:val="Header"/>
      <w:rPr>
        <w:sz w:val="16"/>
        <w:szCs w:val="16"/>
      </w:rPr>
    </w:pPr>
  </w:p>
  <w:p w:rsidR="00E27370" w:rsidRDefault="00E2737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27370" w:rsidRDefault="00E27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0" w:rsidRDefault="00E27370" w:rsidP="009318B4">
    <w:pPr>
      <w:pStyle w:val="Header"/>
      <w:rPr>
        <w:sz w:val="16"/>
        <w:szCs w:val="16"/>
      </w:rPr>
    </w:pPr>
  </w:p>
  <w:p w:rsidR="00E27370" w:rsidRDefault="00E2737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27370" w:rsidRDefault="00E27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3C3C2A"/>
    <w:lvl w:ilvl="0">
      <w:numFmt w:val="bullet"/>
      <w:lvlText w:val="*"/>
      <w:lvlJc w:val="left"/>
    </w:lvl>
  </w:abstractNum>
  <w:abstractNum w:abstractNumId="1" w15:restartNumberingAfterBreak="0">
    <w:nsid w:val="0006095D"/>
    <w:multiLevelType w:val="hybridMultilevel"/>
    <w:tmpl w:val="35A2F408"/>
    <w:lvl w:ilvl="0" w:tplc="DFD21AEE">
      <w:start w:val="1"/>
      <w:numFmt w:val="bullet"/>
      <w:lvlText w:val="-"/>
      <w:lvlJc w:val="left"/>
      <w:pPr>
        <w:tabs>
          <w:tab w:val="num" w:pos="850"/>
        </w:tabs>
        <w:ind w:left="850"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245E0"/>
    <w:multiLevelType w:val="hybridMultilevel"/>
    <w:tmpl w:val="93EA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709A"/>
    <w:multiLevelType w:val="hybridMultilevel"/>
    <w:tmpl w:val="45AC66C4"/>
    <w:lvl w:ilvl="0" w:tplc="76AE967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70E49"/>
    <w:multiLevelType w:val="hybridMultilevel"/>
    <w:tmpl w:val="58E6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67E8"/>
    <w:multiLevelType w:val="hybridMultilevel"/>
    <w:tmpl w:val="02E4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B6262"/>
    <w:multiLevelType w:val="hybridMultilevel"/>
    <w:tmpl w:val="09F4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22802"/>
    <w:multiLevelType w:val="hybridMultilevel"/>
    <w:tmpl w:val="148E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D2DE7"/>
    <w:multiLevelType w:val="hybridMultilevel"/>
    <w:tmpl w:val="64E64852"/>
    <w:lvl w:ilvl="0" w:tplc="76AE967E">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96EE6"/>
    <w:multiLevelType w:val="hybridMultilevel"/>
    <w:tmpl w:val="E79A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85216"/>
    <w:multiLevelType w:val="hybridMultilevel"/>
    <w:tmpl w:val="6196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70F3E"/>
    <w:multiLevelType w:val="hybridMultilevel"/>
    <w:tmpl w:val="FD76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95BC8"/>
    <w:multiLevelType w:val="hybridMultilevel"/>
    <w:tmpl w:val="AB78938C"/>
    <w:lvl w:ilvl="0" w:tplc="DFD21AEE">
      <w:start w:val="1"/>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4617E"/>
    <w:multiLevelType w:val="hybridMultilevel"/>
    <w:tmpl w:val="F5BA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07271"/>
    <w:multiLevelType w:val="hybridMultilevel"/>
    <w:tmpl w:val="49F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B104F"/>
    <w:multiLevelType w:val="hybridMultilevel"/>
    <w:tmpl w:val="9FE6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71C3F"/>
    <w:multiLevelType w:val="hybridMultilevel"/>
    <w:tmpl w:val="546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26757"/>
    <w:multiLevelType w:val="hybridMultilevel"/>
    <w:tmpl w:val="600C3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73E1B"/>
    <w:multiLevelType w:val="hybridMultilevel"/>
    <w:tmpl w:val="A75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B6A57"/>
    <w:multiLevelType w:val="hybridMultilevel"/>
    <w:tmpl w:val="9E18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406B2"/>
    <w:multiLevelType w:val="hybridMultilevel"/>
    <w:tmpl w:val="53DC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76023"/>
    <w:multiLevelType w:val="hybridMultilevel"/>
    <w:tmpl w:val="AE8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7318E"/>
    <w:multiLevelType w:val="hybridMultilevel"/>
    <w:tmpl w:val="8966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272D5"/>
    <w:multiLevelType w:val="hybridMultilevel"/>
    <w:tmpl w:val="9632A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A64FC"/>
    <w:multiLevelType w:val="hybridMultilevel"/>
    <w:tmpl w:val="ED3CC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21238C"/>
    <w:multiLevelType w:val="hybridMultilevel"/>
    <w:tmpl w:val="04FC6FCA"/>
    <w:lvl w:ilvl="0" w:tplc="2EDE6BF8">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B14FF"/>
    <w:multiLevelType w:val="hybridMultilevel"/>
    <w:tmpl w:val="5B7A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8297A"/>
    <w:multiLevelType w:val="hybridMultilevel"/>
    <w:tmpl w:val="AC1410B8"/>
    <w:lvl w:ilvl="0" w:tplc="DFD21AEE">
      <w:start w:val="1"/>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242FEC"/>
    <w:multiLevelType w:val="hybridMultilevel"/>
    <w:tmpl w:val="212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81315"/>
    <w:multiLevelType w:val="hybridMultilevel"/>
    <w:tmpl w:val="5E905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91A26"/>
    <w:multiLevelType w:val="hybridMultilevel"/>
    <w:tmpl w:val="7A047A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1"/>
  </w:num>
  <w:num w:numId="3">
    <w:abstractNumId w:val="3"/>
  </w:num>
  <w:num w:numId="4">
    <w:abstractNumId w:val="26"/>
  </w:num>
  <w:num w:numId="5">
    <w:abstractNumId w:val="12"/>
  </w:num>
  <w:num w:numId="6">
    <w:abstractNumId w:val="28"/>
  </w:num>
  <w:num w:numId="7">
    <w:abstractNumId w:val="30"/>
  </w:num>
  <w:num w:numId="8">
    <w:abstractNumId w:val="18"/>
  </w:num>
  <w:num w:numId="9">
    <w:abstractNumId w:val="21"/>
  </w:num>
  <w:num w:numId="10">
    <w:abstractNumId w:val="2"/>
  </w:num>
  <w:num w:numId="11">
    <w:abstractNumId w:val="15"/>
  </w:num>
  <w:num w:numId="12">
    <w:abstractNumId w:val="19"/>
  </w:num>
  <w:num w:numId="13">
    <w:abstractNumId w:val="5"/>
  </w:num>
  <w:num w:numId="14">
    <w:abstractNumId w:val="23"/>
  </w:num>
  <w:num w:numId="15">
    <w:abstractNumId w:val="31"/>
  </w:num>
  <w:num w:numId="16">
    <w:abstractNumId w:val="7"/>
  </w:num>
  <w:num w:numId="17">
    <w:abstractNumId w:val="20"/>
  </w:num>
  <w:num w:numId="18">
    <w:abstractNumId w:val="4"/>
  </w:num>
  <w:num w:numId="19">
    <w:abstractNumId w:val="14"/>
  </w:num>
  <w:num w:numId="20">
    <w:abstractNumId w:val="6"/>
  </w:num>
  <w:num w:numId="21">
    <w:abstractNumId w:val="0"/>
    <w:lvlOverride w:ilvl="0">
      <w:lvl w:ilvl="0">
        <w:start w:val="65535"/>
        <w:numFmt w:val="bullet"/>
        <w:lvlText w:val=""/>
        <w:legacy w:legacy="1" w:legacySpace="0" w:legacyIndent="0"/>
        <w:lvlJc w:val="left"/>
        <w:rPr>
          <w:rFonts w:ascii="Symbol" w:hAnsi="Symbol" w:hint="default"/>
        </w:rPr>
      </w:lvl>
    </w:lvlOverride>
  </w:num>
  <w:num w:numId="22">
    <w:abstractNumId w:val="24"/>
  </w:num>
  <w:num w:numId="23">
    <w:abstractNumId w:val="10"/>
  </w:num>
  <w:num w:numId="24">
    <w:abstractNumId w:val="22"/>
  </w:num>
  <w:num w:numId="25">
    <w:abstractNumId w:val="9"/>
  </w:num>
  <w:num w:numId="26">
    <w:abstractNumId w:val="17"/>
  </w:num>
  <w:num w:numId="27">
    <w:abstractNumId w:val="29"/>
  </w:num>
  <w:num w:numId="28">
    <w:abstractNumId w:val="25"/>
  </w:num>
  <w:num w:numId="29">
    <w:abstractNumId w:val="27"/>
  </w:num>
  <w:num w:numId="30">
    <w:abstractNumId w:val="13"/>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4381"/>
    <w:rsid w:val="00125B26"/>
    <w:rsid w:val="002F6E85"/>
    <w:rsid w:val="00461135"/>
    <w:rsid w:val="00747C4B"/>
    <w:rsid w:val="00883AF2"/>
    <w:rsid w:val="008864C0"/>
    <w:rsid w:val="009318B4"/>
    <w:rsid w:val="00934541"/>
    <w:rsid w:val="00A06058"/>
    <w:rsid w:val="00B234CE"/>
    <w:rsid w:val="00B34AF2"/>
    <w:rsid w:val="00C4240B"/>
    <w:rsid w:val="00CF7756"/>
    <w:rsid w:val="00D45AFE"/>
    <w:rsid w:val="00E0627A"/>
    <w:rsid w:val="00E27370"/>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27370"/>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E27370"/>
    <w:rPr>
      <w:rFonts w:ascii="Arial" w:eastAsia="Times New Roman" w:hAnsi="Arial" w:cs="Arial"/>
      <w:i/>
      <w:iCs/>
      <w:color w:val="999999"/>
      <w:sz w:val="18"/>
      <w:szCs w:val="24"/>
    </w:rPr>
  </w:style>
  <w:style w:type="numbering" w:customStyle="1" w:styleId="NoList1">
    <w:name w:val="No List1"/>
    <w:next w:val="NoList"/>
    <w:semiHidden/>
    <w:rsid w:val="00E27370"/>
  </w:style>
  <w:style w:type="table" w:styleId="TableGrid">
    <w:name w:val="Table Grid"/>
    <w:basedOn w:val="TableNormal"/>
    <w:rsid w:val="00E273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7370"/>
  </w:style>
  <w:style w:type="paragraph" w:styleId="BodyText">
    <w:name w:val="Body Text"/>
    <w:basedOn w:val="Normal"/>
    <w:link w:val="BodyTextChar"/>
    <w:rsid w:val="00E27370"/>
    <w:pPr>
      <w:widowControl w:val="0"/>
      <w:tabs>
        <w:tab w:val="left" w:pos="-720"/>
      </w:tabs>
      <w:spacing w:after="0" w:line="210" w:lineRule="atLeast"/>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E27370"/>
    <w:rPr>
      <w:rFonts w:ascii="Times New Roman" w:eastAsia="Times New Roman" w:hAnsi="Times New Roman" w:cs="Times New Roman"/>
      <w:spacing w:val="-2"/>
      <w:sz w:val="24"/>
      <w:szCs w:val="20"/>
    </w:rPr>
  </w:style>
  <w:style w:type="paragraph" w:styleId="EndnoteText">
    <w:name w:val="endnote text"/>
    <w:basedOn w:val="Normal"/>
    <w:link w:val="EndnoteTextChar"/>
    <w:semiHidden/>
    <w:rsid w:val="00E27370"/>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E27370"/>
    <w:rPr>
      <w:rFonts w:ascii="TmsRmn 12pt" w:eastAsia="Times New Roman" w:hAnsi="TmsRmn 12pt" w:cs="Times New Roman"/>
      <w:sz w:val="24"/>
      <w:szCs w:val="24"/>
    </w:rPr>
  </w:style>
  <w:style w:type="paragraph" w:styleId="Title">
    <w:name w:val="Title"/>
    <w:basedOn w:val="Normal"/>
    <w:link w:val="TitleChar"/>
    <w:qFormat/>
    <w:rsid w:val="00E27370"/>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E27370"/>
    <w:rPr>
      <w:rFonts w:ascii="Times New Roman" w:eastAsia="Times New Roman" w:hAnsi="Times New Roman" w:cs="Times New Roman"/>
      <w:b/>
      <w:sz w:val="24"/>
      <w:szCs w:val="24"/>
    </w:rPr>
  </w:style>
  <w:style w:type="paragraph" w:styleId="BalloonText">
    <w:name w:val="Balloon Text"/>
    <w:basedOn w:val="Normal"/>
    <w:link w:val="BalloonTextChar"/>
    <w:semiHidden/>
    <w:rsid w:val="00E2737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27370"/>
    <w:rPr>
      <w:rFonts w:ascii="Tahoma" w:eastAsia="Times New Roman" w:hAnsi="Tahoma" w:cs="Tahoma"/>
      <w:sz w:val="16"/>
      <w:szCs w:val="16"/>
    </w:rPr>
  </w:style>
  <w:style w:type="paragraph" w:styleId="BodyTextIndent2">
    <w:name w:val="Body Text Indent 2"/>
    <w:basedOn w:val="Normal"/>
    <w:link w:val="BodyTextIndent2Char"/>
    <w:rsid w:val="00E2737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27370"/>
    <w:rPr>
      <w:rFonts w:ascii="Times New Roman" w:eastAsia="Times New Roman" w:hAnsi="Times New Roman" w:cs="Times New Roman"/>
      <w:sz w:val="24"/>
      <w:szCs w:val="24"/>
    </w:rPr>
  </w:style>
  <w:style w:type="character" w:styleId="Hyperlink">
    <w:name w:val="Hyperlink"/>
    <w:rsid w:val="00E27370"/>
    <w:rPr>
      <w:color w:val="0000FF"/>
      <w:u w:val="single"/>
    </w:rPr>
  </w:style>
  <w:style w:type="paragraph" w:styleId="NormalWeb">
    <w:name w:val="Normal (Web)"/>
    <w:basedOn w:val="Normal"/>
    <w:rsid w:val="00E273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E273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7370"/>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E2737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2D24-3D5E-4FFA-A3A3-2F15F79A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9</cp:revision>
  <dcterms:created xsi:type="dcterms:W3CDTF">2017-06-23T08:04:00Z</dcterms:created>
  <dcterms:modified xsi:type="dcterms:W3CDTF">2017-08-24T07:13:00Z</dcterms:modified>
</cp:coreProperties>
</file>