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747C4B" w:rsidRDefault="009318B4" w:rsidP="008E31D0">
      <w:pPr>
        <w:pStyle w:val="NoSpacing"/>
      </w:pPr>
    </w:p>
    <w:p w:rsidR="009318B4" w:rsidRPr="00747C4B" w:rsidRDefault="00747C4B" w:rsidP="008E31D0">
      <w:pPr>
        <w:pStyle w:val="NoSpacing"/>
      </w:pPr>
      <w:r>
        <w:tab/>
      </w:r>
    </w:p>
    <w:p w:rsidR="009318B4" w:rsidRPr="00747C4B" w:rsidRDefault="009318B4" w:rsidP="008E31D0">
      <w:pPr>
        <w:pStyle w:val="NoSpacing"/>
      </w:pPr>
    </w:p>
    <w:p w:rsidR="008E31D0" w:rsidRPr="00B41C70" w:rsidRDefault="008E31D0" w:rsidP="008E31D0">
      <w:pPr>
        <w:pStyle w:val="NoSpacing"/>
        <w:rPr>
          <w:rFonts w:cs="Arial"/>
          <w:sz w:val="22"/>
          <w:lang w:val="sr-Latn-CS"/>
        </w:rPr>
      </w:pPr>
    </w:p>
    <w:tbl>
      <w:tblPr>
        <w:tblW w:w="9360" w:type="dxa"/>
        <w:jc w:val="center"/>
        <w:tblLayout w:type="fixed"/>
        <w:tblLook w:val="0000" w:firstRow="0" w:lastRow="0" w:firstColumn="0" w:lastColumn="0" w:noHBand="0" w:noVBand="0"/>
      </w:tblPr>
      <w:tblGrid>
        <w:gridCol w:w="2160"/>
        <w:gridCol w:w="7200"/>
      </w:tblGrid>
      <w:tr w:rsidR="008E31D0" w:rsidRPr="00DC010A" w:rsidTr="0089758C">
        <w:trPr>
          <w:trHeight w:val="530"/>
          <w:jc w:val="center"/>
        </w:trPr>
        <w:tc>
          <w:tcPr>
            <w:tcW w:w="9360" w:type="dxa"/>
            <w:gridSpan w:val="2"/>
            <w:vAlign w:val="center"/>
          </w:tcPr>
          <w:p w:rsidR="008E31D0" w:rsidRPr="00DC010A" w:rsidRDefault="008E31D0" w:rsidP="00B16218">
            <w:pPr>
              <w:pStyle w:val="NoSpacing"/>
              <w:jc w:val="center"/>
              <w:rPr>
                <w:b/>
                <w:bCs/>
                <w:i/>
                <w:iCs/>
                <w:sz w:val="22"/>
                <w:szCs w:val="22"/>
                <w:u w:val="single"/>
                <w:lang w:val="sr-Latn-CS"/>
              </w:rPr>
            </w:pPr>
            <w:r w:rsidRPr="00DC010A">
              <w:rPr>
                <w:b/>
                <w:bCs/>
                <w:i/>
                <w:iCs/>
                <w:sz w:val="22"/>
                <w:szCs w:val="22"/>
                <w:u w:val="single"/>
                <w:lang w:val="sr-Latn-CS"/>
              </w:rPr>
              <w:t>SAŽETAK KARAKTERISTIKA LIJEKA</w:t>
            </w:r>
          </w:p>
        </w:tc>
      </w:tr>
      <w:tr w:rsidR="008E31D0" w:rsidRPr="00DC010A" w:rsidTr="0089758C">
        <w:trPr>
          <w:trHeight w:val="1225"/>
          <w:jc w:val="center"/>
        </w:trPr>
        <w:tc>
          <w:tcPr>
            <w:tcW w:w="9360" w:type="dxa"/>
            <w:gridSpan w:val="2"/>
          </w:tcPr>
          <w:p w:rsidR="00B16218" w:rsidRPr="00DC010A" w:rsidRDefault="00B16218" w:rsidP="00B16218">
            <w:pPr>
              <w:pStyle w:val="NoSpacing"/>
              <w:jc w:val="center"/>
              <w:rPr>
                <w:b/>
                <w:sz w:val="22"/>
                <w:szCs w:val="22"/>
                <w:lang w:val="sr-Latn-CS"/>
              </w:rPr>
            </w:pPr>
          </w:p>
          <w:p w:rsidR="00B16218" w:rsidRPr="00DC010A" w:rsidRDefault="00B16218" w:rsidP="00B16218">
            <w:pPr>
              <w:pStyle w:val="NoSpacing"/>
              <w:jc w:val="center"/>
              <w:rPr>
                <w:b/>
                <w:sz w:val="22"/>
                <w:szCs w:val="22"/>
                <w:lang w:val="sr-Latn-CS"/>
              </w:rPr>
            </w:pPr>
          </w:p>
          <w:p w:rsidR="00B16218" w:rsidRPr="00DC010A" w:rsidRDefault="00B16218" w:rsidP="00B16218">
            <w:pPr>
              <w:pStyle w:val="NoSpacing"/>
              <w:jc w:val="center"/>
              <w:rPr>
                <w:b/>
                <w:sz w:val="22"/>
                <w:szCs w:val="22"/>
                <w:lang w:val="sr-Latn-CS"/>
              </w:rPr>
            </w:pPr>
          </w:p>
          <w:p w:rsidR="00B16218" w:rsidRPr="00DC010A" w:rsidRDefault="00B16218" w:rsidP="00B16218">
            <w:pPr>
              <w:pStyle w:val="NoSpacing"/>
              <w:jc w:val="center"/>
              <w:rPr>
                <w:b/>
                <w:sz w:val="22"/>
                <w:szCs w:val="22"/>
                <w:lang w:val="sr-Latn-CS"/>
              </w:rPr>
            </w:pPr>
          </w:p>
          <w:p w:rsidR="008E31D0" w:rsidRPr="00DC010A" w:rsidRDefault="008E31D0" w:rsidP="00B16218">
            <w:pPr>
              <w:pStyle w:val="NoSpacing"/>
              <w:jc w:val="center"/>
              <w:rPr>
                <w:b/>
                <w:sz w:val="22"/>
                <w:szCs w:val="22"/>
                <w:lang w:val="sr-Latn-CS"/>
              </w:rPr>
            </w:pPr>
            <w:r w:rsidRPr="00DC010A">
              <w:rPr>
                <w:b/>
                <w:sz w:val="22"/>
                <w:szCs w:val="22"/>
                <w:lang w:val="sr-Latn-CS"/>
              </w:rPr>
              <w:t>Ortanol® gastrorezistentna kapsula, tvrda 20 mg</w:t>
            </w:r>
          </w:p>
          <w:p w:rsidR="008E31D0" w:rsidRPr="00DC010A" w:rsidRDefault="008E31D0" w:rsidP="00B16218">
            <w:pPr>
              <w:pStyle w:val="NoSpacing"/>
              <w:jc w:val="center"/>
              <w:rPr>
                <w:i/>
                <w:lang w:val="sr-Latn-CS"/>
              </w:rPr>
            </w:pPr>
            <w:r w:rsidRPr="00DC010A">
              <w:rPr>
                <w:sz w:val="22"/>
                <w:szCs w:val="22"/>
                <w:lang w:val="sr-Latn-CS"/>
              </w:rPr>
              <w:t>blister, 2x7 gastrorezistentnih kapsula, tvrdih</w:t>
            </w:r>
          </w:p>
        </w:tc>
      </w:tr>
      <w:tr w:rsidR="008E31D0" w:rsidRPr="00DC010A" w:rsidTr="0089758C">
        <w:trPr>
          <w:trHeight w:val="435"/>
          <w:jc w:val="center"/>
        </w:trPr>
        <w:tc>
          <w:tcPr>
            <w:tcW w:w="2160" w:type="dxa"/>
            <w:vAlign w:val="bottom"/>
          </w:tcPr>
          <w:p w:rsidR="008E31D0" w:rsidRPr="00DC010A" w:rsidRDefault="008E31D0" w:rsidP="008E31D0">
            <w:pPr>
              <w:pStyle w:val="NoSpacing"/>
              <w:rPr>
                <w:lang w:val="sr-Latn-CS"/>
              </w:rPr>
            </w:pPr>
          </w:p>
          <w:p w:rsidR="008E31D0" w:rsidRPr="00DC010A" w:rsidRDefault="008E31D0" w:rsidP="008E31D0">
            <w:pPr>
              <w:pStyle w:val="NoSpacing"/>
              <w:rPr>
                <w:lang w:val="sr-Latn-CS"/>
              </w:rPr>
            </w:pPr>
          </w:p>
          <w:p w:rsidR="008E31D0" w:rsidRPr="00DC010A" w:rsidRDefault="008E31D0" w:rsidP="008E31D0">
            <w:pPr>
              <w:pStyle w:val="NoSpacing"/>
              <w:rPr>
                <w:sz w:val="22"/>
                <w:szCs w:val="22"/>
                <w:lang w:val="sr-Latn-CS"/>
              </w:rPr>
            </w:pPr>
            <w:r w:rsidRPr="00DC010A">
              <w:rPr>
                <w:sz w:val="22"/>
                <w:szCs w:val="22"/>
                <w:lang w:val="sr-Latn-CS"/>
              </w:rPr>
              <w:t>Proizvođač:</w:t>
            </w:r>
          </w:p>
        </w:tc>
        <w:tc>
          <w:tcPr>
            <w:tcW w:w="7200" w:type="dxa"/>
            <w:vAlign w:val="bottom"/>
          </w:tcPr>
          <w:p w:rsidR="008E31D0" w:rsidRPr="00DC010A" w:rsidRDefault="008E31D0" w:rsidP="008E31D0">
            <w:pPr>
              <w:pStyle w:val="NoSpacing"/>
              <w:rPr>
                <w:b/>
                <w:bCs/>
                <w:sz w:val="22"/>
                <w:szCs w:val="22"/>
                <w:lang w:val="sr-Latn-CS"/>
              </w:rPr>
            </w:pPr>
            <w:r w:rsidRPr="00DC010A">
              <w:rPr>
                <w:b/>
                <w:bCs/>
                <w:sz w:val="22"/>
                <w:szCs w:val="22"/>
                <w:lang w:val="sr-Latn-CS"/>
              </w:rPr>
              <w:t>Lek farmacevtska družba d.d.,</w:t>
            </w:r>
          </w:p>
        </w:tc>
      </w:tr>
      <w:tr w:rsidR="008E31D0" w:rsidRPr="00DC010A" w:rsidTr="008E31D0">
        <w:trPr>
          <w:trHeight w:val="477"/>
          <w:jc w:val="center"/>
        </w:trPr>
        <w:tc>
          <w:tcPr>
            <w:tcW w:w="2160" w:type="dxa"/>
            <w:vAlign w:val="bottom"/>
          </w:tcPr>
          <w:p w:rsidR="008E31D0" w:rsidRPr="00DC010A" w:rsidRDefault="008E31D0" w:rsidP="008E31D0">
            <w:pPr>
              <w:pStyle w:val="NoSpacing"/>
              <w:rPr>
                <w:sz w:val="22"/>
                <w:szCs w:val="22"/>
                <w:lang w:val="sr-Latn-CS"/>
              </w:rPr>
            </w:pPr>
            <w:r w:rsidRPr="00DC010A">
              <w:rPr>
                <w:sz w:val="22"/>
                <w:szCs w:val="22"/>
                <w:lang w:val="sr-Latn-CS"/>
              </w:rPr>
              <w:t>Adresa:</w:t>
            </w:r>
          </w:p>
        </w:tc>
        <w:tc>
          <w:tcPr>
            <w:tcW w:w="7200" w:type="dxa"/>
            <w:vAlign w:val="bottom"/>
          </w:tcPr>
          <w:p w:rsidR="008E31D0" w:rsidRPr="00DC010A" w:rsidRDefault="008E31D0" w:rsidP="008E31D0">
            <w:pPr>
              <w:pStyle w:val="NoSpacing"/>
              <w:rPr>
                <w:b/>
                <w:bCs/>
                <w:sz w:val="22"/>
                <w:szCs w:val="22"/>
                <w:lang w:val="sr-Latn-CS"/>
              </w:rPr>
            </w:pPr>
            <w:r w:rsidRPr="00DC010A">
              <w:rPr>
                <w:b/>
                <w:bCs/>
                <w:sz w:val="22"/>
                <w:szCs w:val="22"/>
                <w:lang w:val="sr-Latn-CS"/>
              </w:rPr>
              <w:t>Verovškova 57, Ljubljana, Slovenija</w:t>
            </w:r>
          </w:p>
        </w:tc>
      </w:tr>
      <w:tr w:rsidR="008E31D0" w:rsidRPr="00DC010A" w:rsidTr="0089758C">
        <w:trPr>
          <w:trHeight w:val="356"/>
          <w:jc w:val="center"/>
        </w:trPr>
        <w:tc>
          <w:tcPr>
            <w:tcW w:w="2160" w:type="dxa"/>
            <w:vAlign w:val="bottom"/>
          </w:tcPr>
          <w:p w:rsidR="008E31D0" w:rsidRPr="00DC010A" w:rsidRDefault="008E31D0" w:rsidP="008E31D0">
            <w:pPr>
              <w:pStyle w:val="NoSpacing"/>
              <w:rPr>
                <w:sz w:val="22"/>
                <w:szCs w:val="22"/>
                <w:lang w:val="sr-Latn-CS"/>
              </w:rPr>
            </w:pPr>
            <w:r w:rsidRPr="00DC010A">
              <w:rPr>
                <w:sz w:val="22"/>
                <w:szCs w:val="22"/>
                <w:lang w:val="sr-Latn-CS"/>
              </w:rPr>
              <w:t>Podnosilac zahtjeva:</w:t>
            </w:r>
          </w:p>
        </w:tc>
        <w:tc>
          <w:tcPr>
            <w:tcW w:w="7200" w:type="dxa"/>
            <w:vAlign w:val="bottom"/>
          </w:tcPr>
          <w:p w:rsidR="008E31D0" w:rsidRPr="00DC010A" w:rsidRDefault="008E31D0" w:rsidP="008E31D0">
            <w:pPr>
              <w:pStyle w:val="NoSpacing"/>
              <w:rPr>
                <w:b/>
                <w:bCs/>
                <w:sz w:val="22"/>
                <w:szCs w:val="22"/>
                <w:lang w:val="sr-Latn-CS"/>
              </w:rPr>
            </w:pPr>
            <w:r w:rsidRPr="00DC010A">
              <w:rPr>
                <w:b/>
                <w:bCs/>
                <w:sz w:val="22"/>
                <w:lang w:val="sr-Latn-CS"/>
              </w:rPr>
              <w:t>Glosarij d.o.o.</w:t>
            </w:r>
          </w:p>
        </w:tc>
      </w:tr>
      <w:tr w:rsidR="008E31D0" w:rsidRPr="00DC010A" w:rsidTr="0089758C">
        <w:trPr>
          <w:trHeight w:val="353"/>
          <w:jc w:val="center"/>
        </w:trPr>
        <w:tc>
          <w:tcPr>
            <w:tcW w:w="2160" w:type="dxa"/>
            <w:vAlign w:val="bottom"/>
          </w:tcPr>
          <w:p w:rsidR="008E31D0" w:rsidRPr="00DC010A" w:rsidRDefault="008E31D0" w:rsidP="008E31D0">
            <w:pPr>
              <w:pStyle w:val="NoSpacing"/>
              <w:rPr>
                <w:sz w:val="22"/>
                <w:szCs w:val="22"/>
                <w:lang w:val="sr-Latn-CS"/>
              </w:rPr>
            </w:pPr>
            <w:r w:rsidRPr="00DC010A">
              <w:rPr>
                <w:sz w:val="22"/>
                <w:szCs w:val="22"/>
                <w:lang w:val="sr-Latn-CS"/>
              </w:rPr>
              <w:t>Adresa:</w:t>
            </w:r>
          </w:p>
        </w:tc>
        <w:tc>
          <w:tcPr>
            <w:tcW w:w="7200" w:type="dxa"/>
            <w:vAlign w:val="bottom"/>
          </w:tcPr>
          <w:p w:rsidR="008E31D0" w:rsidRPr="00DC010A" w:rsidRDefault="008E31D0" w:rsidP="008E31D0">
            <w:pPr>
              <w:pStyle w:val="NoSpacing"/>
              <w:rPr>
                <w:b/>
                <w:bCs/>
                <w:sz w:val="22"/>
                <w:szCs w:val="22"/>
                <w:lang w:val="sr-Latn-CS"/>
              </w:rPr>
            </w:pPr>
            <w:r w:rsidRPr="00DC010A">
              <w:rPr>
                <w:b/>
                <w:bCs/>
                <w:sz w:val="22"/>
                <w:lang w:val="sr-Latn-CS"/>
              </w:rPr>
              <w:t>Vojislavljevića 76, 81000 Podgorica, Crna Gora</w:t>
            </w:r>
          </w:p>
        </w:tc>
      </w:tr>
    </w:tbl>
    <w:p w:rsidR="008E31D0" w:rsidRPr="00DC010A" w:rsidRDefault="008E31D0" w:rsidP="008E31D0">
      <w:pPr>
        <w:pStyle w:val="NoSpacing"/>
        <w:rPr>
          <w:sz w:val="22"/>
          <w:szCs w:val="22"/>
          <w:lang w:val="sr-Latn-CS"/>
        </w:rPr>
      </w:pPr>
    </w:p>
    <w:p w:rsidR="008E31D0" w:rsidRPr="00DC010A" w:rsidRDefault="008E31D0" w:rsidP="008E31D0">
      <w:pPr>
        <w:pStyle w:val="NoSpacing"/>
        <w:rPr>
          <w:b/>
          <w:bCs/>
          <w:sz w:val="22"/>
          <w:szCs w:val="22"/>
          <w:lang w:val="sr-Latn-CS"/>
        </w:rPr>
      </w:pPr>
      <w:r w:rsidRPr="00DC010A">
        <w:rPr>
          <w:sz w:val="22"/>
          <w:szCs w:val="22"/>
          <w:lang w:val="sr-Latn-CS"/>
        </w:rPr>
        <w:br w:type="page"/>
      </w:r>
    </w:p>
    <w:tbl>
      <w:tblPr>
        <w:tblW w:w="10188" w:type="dxa"/>
        <w:tblLayout w:type="fixed"/>
        <w:tblLook w:val="0000" w:firstRow="0" w:lastRow="0" w:firstColumn="0" w:lastColumn="0" w:noHBand="0" w:noVBand="0"/>
      </w:tblPr>
      <w:tblGrid>
        <w:gridCol w:w="828"/>
        <w:gridCol w:w="360"/>
        <w:gridCol w:w="1620"/>
        <w:gridCol w:w="7380"/>
      </w:tblGrid>
      <w:tr w:rsidR="008E31D0" w:rsidRPr="00DC010A" w:rsidTr="0089758C">
        <w:trPr>
          <w:trHeight w:val="284"/>
        </w:trPr>
        <w:tc>
          <w:tcPr>
            <w:tcW w:w="10188" w:type="dxa"/>
            <w:gridSpan w:val="4"/>
            <w:shd w:val="clear" w:color="auto" w:fill="E0E0E0"/>
            <w:vAlign w:val="center"/>
          </w:tcPr>
          <w:p w:rsidR="008E31D0" w:rsidRPr="00DC010A" w:rsidRDefault="008E31D0" w:rsidP="008E31D0">
            <w:pPr>
              <w:pStyle w:val="NoSpacing"/>
              <w:rPr>
                <w:b/>
                <w:bCs/>
                <w:sz w:val="22"/>
                <w:szCs w:val="22"/>
                <w:lang w:val="sr-Latn-CS"/>
              </w:rPr>
            </w:pPr>
            <w:r w:rsidRPr="00DC010A">
              <w:rPr>
                <w:b/>
                <w:bCs/>
                <w:sz w:val="22"/>
                <w:szCs w:val="22"/>
                <w:lang w:val="sr-Latn-CS"/>
              </w:rPr>
              <w:lastRenderedPageBreak/>
              <w:t>1. NAZIV LIJEKA</w:t>
            </w:r>
          </w:p>
        </w:tc>
      </w:tr>
      <w:tr w:rsidR="008E31D0" w:rsidRPr="00DC010A" w:rsidTr="0089758C">
        <w:trPr>
          <w:trHeight w:val="525"/>
        </w:trPr>
        <w:tc>
          <w:tcPr>
            <w:tcW w:w="10188" w:type="dxa"/>
            <w:gridSpan w:val="4"/>
            <w:vAlign w:val="center"/>
          </w:tcPr>
          <w:p w:rsidR="008E31D0" w:rsidRPr="00DC010A" w:rsidRDefault="008E31D0" w:rsidP="008E31D0">
            <w:pPr>
              <w:pStyle w:val="NoSpacing"/>
              <w:rPr>
                <w:lang w:val="sr-Latn-CS"/>
              </w:rPr>
            </w:pPr>
          </w:p>
          <w:p w:rsidR="008E31D0" w:rsidRPr="00DC010A" w:rsidRDefault="008E31D0" w:rsidP="008E31D0">
            <w:pPr>
              <w:pStyle w:val="NoSpacing"/>
              <w:rPr>
                <w:lang w:val="sr-Latn-CS"/>
              </w:rPr>
            </w:pPr>
            <w:r w:rsidRPr="00DC010A">
              <w:rPr>
                <w:sz w:val="22"/>
                <w:szCs w:val="22"/>
                <w:lang w:val="sr-Latn-CS"/>
              </w:rPr>
              <w:t>Ortanol®</w:t>
            </w:r>
          </w:p>
          <w:p w:rsidR="008E31D0" w:rsidRPr="00DC010A" w:rsidRDefault="008E31D0" w:rsidP="008E31D0">
            <w:pPr>
              <w:pStyle w:val="NoSpacing"/>
              <w:rPr>
                <w:sz w:val="22"/>
                <w:szCs w:val="22"/>
                <w:lang w:val="sr-Latn-CS"/>
              </w:rPr>
            </w:pPr>
          </w:p>
        </w:tc>
      </w:tr>
      <w:tr w:rsidR="008E31D0" w:rsidRPr="00DC010A" w:rsidTr="0089758C">
        <w:trPr>
          <w:trHeight w:val="338"/>
        </w:trPr>
        <w:tc>
          <w:tcPr>
            <w:tcW w:w="828" w:type="dxa"/>
          </w:tcPr>
          <w:p w:rsidR="008E31D0" w:rsidRPr="00DC010A" w:rsidRDefault="008E31D0" w:rsidP="008E31D0">
            <w:pPr>
              <w:pStyle w:val="NoSpacing"/>
              <w:rPr>
                <w:sz w:val="22"/>
                <w:szCs w:val="22"/>
                <w:lang w:val="sr-Latn-CS"/>
              </w:rPr>
            </w:pPr>
            <w:r w:rsidRPr="00DC010A">
              <w:rPr>
                <w:sz w:val="22"/>
                <w:szCs w:val="22"/>
                <w:lang w:val="sr-Latn-CS"/>
              </w:rPr>
              <w:t>INN:</w:t>
            </w:r>
          </w:p>
        </w:tc>
        <w:tc>
          <w:tcPr>
            <w:tcW w:w="9360" w:type="dxa"/>
            <w:gridSpan w:val="3"/>
            <w:vAlign w:val="center"/>
          </w:tcPr>
          <w:p w:rsidR="008E31D0" w:rsidRPr="00DC010A" w:rsidRDefault="008E31D0" w:rsidP="008E31D0">
            <w:pPr>
              <w:pStyle w:val="NoSpacing"/>
              <w:rPr>
                <w:sz w:val="22"/>
                <w:szCs w:val="22"/>
                <w:lang w:val="sr-Latn-CS"/>
              </w:rPr>
            </w:pPr>
            <w:r w:rsidRPr="00DC010A">
              <w:rPr>
                <w:sz w:val="22"/>
                <w:szCs w:val="22"/>
                <w:lang w:val="sr-Latn-CS"/>
              </w:rPr>
              <w:t>Omeprazol</w:t>
            </w:r>
          </w:p>
          <w:p w:rsidR="008E31D0" w:rsidRPr="00DC010A" w:rsidRDefault="008E31D0" w:rsidP="008E31D0">
            <w:pPr>
              <w:pStyle w:val="NoSpacing"/>
              <w:rPr>
                <w:lang w:val="sr-Latn-CS"/>
              </w:rPr>
            </w:pPr>
          </w:p>
          <w:p w:rsidR="008E31D0" w:rsidRPr="00DC010A" w:rsidRDefault="008E31D0" w:rsidP="008E31D0">
            <w:pPr>
              <w:pStyle w:val="NoSpacing"/>
              <w:rPr>
                <w:sz w:val="22"/>
                <w:szCs w:val="22"/>
                <w:lang w:val="sr-Latn-CS"/>
              </w:rPr>
            </w:pPr>
          </w:p>
        </w:tc>
      </w:tr>
      <w:tr w:rsidR="008E31D0" w:rsidRPr="00DC010A" w:rsidTr="0089758C">
        <w:tc>
          <w:tcPr>
            <w:tcW w:w="10188" w:type="dxa"/>
            <w:gridSpan w:val="4"/>
            <w:shd w:val="clear" w:color="auto" w:fill="E0E0E0"/>
            <w:vAlign w:val="center"/>
          </w:tcPr>
          <w:p w:rsidR="008E31D0" w:rsidRPr="00DC010A" w:rsidRDefault="008E31D0" w:rsidP="008E31D0">
            <w:pPr>
              <w:pStyle w:val="NoSpacing"/>
              <w:rPr>
                <w:b/>
                <w:bCs/>
                <w:sz w:val="22"/>
                <w:szCs w:val="22"/>
                <w:lang w:val="sr-Latn-CS"/>
              </w:rPr>
            </w:pPr>
            <w:r w:rsidRPr="00DC010A">
              <w:rPr>
                <w:b/>
                <w:bCs/>
                <w:sz w:val="22"/>
                <w:szCs w:val="22"/>
                <w:lang w:val="sr-Latn-CS"/>
              </w:rPr>
              <w:t>2. KVALITATIVNI I KVANTITATIVNI SASTAV</w:t>
            </w:r>
          </w:p>
        </w:tc>
      </w:tr>
      <w:tr w:rsidR="008E31D0" w:rsidRPr="00DC010A" w:rsidTr="0089758C">
        <w:trPr>
          <w:trHeight w:val="1145"/>
        </w:trPr>
        <w:tc>
          <w:tcPr>
            <w:tcW w:w="10188" w:type="dxa"/>
            <w:gridSpan w:val="4"/>
            <w:vAlign w:val="center"/>
          </w:tcPr>
          <w:p w:rsidR="008E31D0" w:rsidRPr="00DC010A" w:rsidRDefault="008E31D0" w:rsidP="008E31D0">
            <w:pPr>
              <w:pStyle w:val="NoSpacing"/>
              <w:rPr>
                <w:lang w:val="sr-Latn-CS"/>
              </w:rPr>
            </w:pPr>
          </w:p>
          <w:p w:rsidR="008E31D0" w:rsidRPr="00DC010A" w:rsidRDefault="008E31D0" w:rsidP="008E31D0">
            <w:pPr>
              <w:pStyle w:val="NoSpacing"/>
              <w:rPr>
                <w:lang w:val="sr-Latn-CS"/>
              </w:rPr>
            </w:pPr>
            <w:r w:rsidRPr="00DC010A">
              <w:rPr>
                <w:sz w:val="22"/>
                <w:szCs w:val="22"/>
                <w:lang w:val="sr-Latn-CS"/>
              </w:rPr>
              <w:t>Jedna gastrorezistentna kapsula,</w:t>
            </w:r>
            <w:r w:rsidRPr="00DC010A">
              <w:rPr>
                <w:lang w:val="sr-Latn-CS"/>
              </w:rPr>
              <w:t xml:space="preserve"> tvrda sadrži 20 mg omeprazola.</w:t>
            </w:r>
          </w:p>
          <w:p w:rsidR="008E31D0" w:rsidRPr="00DC010A" w:rsidRDefault="008E31D0" w:rsidP="008E31D0">
            <w:pPr>
              <w:pStyle w:val="NoSpacing"/>
              <w:rPr>
                <w:lang w:val="sr-Latn-CS"/>
              </w:rPr>
            </w:pPr>
            <w:r w:rsidRPr="00DC010A">
              <w:rPr>
                <w:lang w:val="sr-Latn-CS"/>
              </w:rPr>
              <w:t>Za pomoćne supstance, vidjeti odjeljak 6.1.</w:t>
            </w:r>
          </w:p>
          <w:p w:rsidR="008E31D0" w:rsidRPr="00DC010A" w:rsidRDefault="008E31D0" w:rsidP="008E31D0">
            <w:pPr>
              <w:pStyle w:val="NoSpacing"/>
              <w:rPr>
                <w:lang w:val="sr-Latn-CS"/>
              </w:rPr>
            </w:pPr>
          </w:p>
          <w:p w:rsidR="008E31D0" w:rsidRPr="00DC010A" w:rsidRDefault="008E31D0" w:rsidP="008E31D0">
            <w:pPr>
              <w:pStyle w:val="NoSpacing"/>
              <w:rPr>
                <w:lang w:val="sr-Latn-CS"/>
              </w:rPr>
            </w:pPr>
          </w:p>
        </w:tc>
      </w:tr>
      <w:tr w:rsidR="008E31D0" w:rsidRPr="00DC010A" w:rsidTr="0089758C">
        <w:tc>
          <w:tcPr>
            <w:tcW w:w="10188" w:type="dxa"/>
            <w:gridSpan w:val="4"/>
            <w:shd w:val="clear" w:color="auto" w:fill="E0E0E0"/>
            <w:vAlign w:val="center"/>
          </w:tcPr>
          <w:p w:rsidR="008E31D0" w:rsidRPr="00DC010A" w:rsidRDefault="008E31D0" w:rsidP="008E31D0">
            <w:pPr>
              <w:pStyle w:val="NoSpacing"/>
              <w:rPr>
                <w:b/>
                <w:bCs/>
                <w:sz w:val="22"/>
                <w:szCs w:val="22"/>
                <w:lang w:val="sr-Latn-CS"/>
              </w:rPr>
            </w:pPr>
            <w:r w:rsidRPr="00DC010A">
              <w:rPr>
                <w:b/>
                <w:bCs/>
                <w:sz w:val="22"/>
                <w:szCs w:val="22"/>
                <w:lang w:val="sr-Latn-CS"/>
              </w:rPr>
              <w:t>3. FARMACEUTSKI OBLIK</w:t>
            </w:r>
          </w:p>
        </w:tc>
      </w:tr>
      <w:tr w:rsidR="008E31D0" w:rsidRPr="00DC010A" w:rsidTr="0089758C">
        <w:trPr>
          <w:trHeight w:val="1145"/>
        </w:trPr>
        <w:tc>
          <w:tcPr>
            <w:tcW w:w="10188" w:type="dxa"/>
            <w:gridSpan w:val="4"/>
            <w:vAlign w:val="center"/>
          </w:tcPr>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Gastrorezistentna kapsula, tvrda</w:t>
            </w:r>
          </w:p>
          <w:p w:rsidR="008E31D0" w:rsidRPr="00DC010A" w:rsidRDefault="008E31D0" w:rsidP="008E31D0">
            <w:pPr>
              <w:pStyle w:val="NoSpacing"/>
              <w:rPr>
                <w:sz w:val="22"/>
                <w:szCs w:val="22"/>
                <w:lang w:val="sr-Latn-CS"/>
              </w:rPr>
            </w:pPr>
          </w:p>
          <w:p w:rsidR="008E31D0" w:rsidRPr="00DC010A" w:rsidRDefault="008E31D0" w:rsidP="008E31D0">
            <w:pPr>
              <w:pStyle w:val="NoSpacing"/>
              <w:rPr>
                <w:i/>
                <w:sz w:val="22"/>
                <w:szCs w:val="22"/>
                <w:lang w:val="sr-Latn-CS"/>
              </w:rPr>
            </w:pPr>
            <w:r w:rsidRPr="00DC010A">
              <w:rPr>
                <w:i/>
                <w:sz w:val="22"/>
                <w:szCs w:val="22"/>
                <w:lang w:val="sr-Latn-CS"/>
              </w:rPr>
              <w:t xml:space="preserve">Opis: </w:t>
            </w:r>
          </w:p>
          <w:p w:rsidR="008E31D0" w:rsidRPr="00DC010A" w:rsidRDefault="008E31D0" w:rsidP="008E31D0">
            <w:pPr>
              <w:pStyle w:val="NoSpacing"/>
              <w:rPr>
                <w:lang w:val="sr-Latn-CS"/>
              </w:rPr>
            </w:pPr>
            <w:r w:rsidRPr="00DC010A">
              <w:rPr>
                <w:sz w:val="22"/>
                <w:szCs w:val="22"/>
                <w:lang w:val="sr-Latn-CS"/>
              </w:rPr>
              <w:t xml:space="preserve">kapsule bijele boje koje sadrže bijele do svijetlosmeđe pelete. </w:t>
            </w:r>
          </w:p>
          <w:p w:rsidR="008E31D0" w:rsidRPr="00DC010A" w:rsidRDefault="008E31D0" w:rsidP="008E31D0">
            <w:pPr>
              <w:pStyle w:val="NoSpacing"/>
              <w:rPr>
                <w:lang w:val="sr-Latn-CS"/>
              </w:rPr>
            </w:pPr>
          </w:p>
          <w:p w:rsidR="008E31D0" w:rsidRPr="00DC010A" w:rsidRDefault="008E31D0" w:rsidP="008E31D0">
            <w:pPr>
              <w:pStyle w:val="NoSpacing"/>
              <w:rPr>
                <w:sz w:val="22"/>
                <w:szCs w:val="22"/>
                <w:lang w:val="sr-Latn-CS"/>
              </w:rPr>
            </w:pPr>
          </w:p>
        </w:tc>
      </w:tr>
      <w:tr w:rsidR="008E31D0" w:rsidRPr="00DC010A" w:rsidTr="0089758C">
        <w:tc>
          <w:tcPr>
            <w:tcW w:w="10188" w:type="dxa"/>
            <w:gridSpan w:val="4"/>
            <w:shd w:val="clear" w:color="auto" w:fill="E0E0E0"/>
            <w:vAlign w:val="center"/>
          </w:tcPr>
          <w:p w:rsidR="008E31D0" w:rsidRPr="00DC010A" w:rsidRDefault="008E31D0" w:rsidP="008E31D0">
            <w:pPr>
              <w:pStyle w:val="NoSpacing"/>
              <w:rPr>
                <w:b/>
                <w:bCs/>
                <w:sz w:val="22"/>
                <w:szCs w:val="22"/>
                <w:lang w:val="sr-Latn-CS"/>
              </w:rPr>
            </w:pPr>
            <w:r w:rsidRPr="00DC010A">
              <w:rPr>
                <w:b/>
                <w:bCs/>
                <w:sz w:val="22"/>
                <w:szCs w:val="22"/>
                <w:lang w:val="sr-Latn-CS"/>
              </w:rPr>
              <w:t>4. KLINIČKI PODACI</w:t>
            </w: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p>
          <w:p w:rsidR="008E31D0" w:rsidRPr="00DC010A" w:rsidRDefault="008E31D0" w:rsidP="008E31D0">
            <w:pPr>
              <w:pStyle w:val="NoSpacing"/>
              <w:rPr>
                <w:b/>
                <w:bCs/>
                <w:sz w:val="22"/>
                <w:szCs w:val="22"/>
                <w:lang w:val="sr-Latn-CS"/>
              </w:rPr>
            </w:pPr>
            <w:r w:rsidRPr="00DC010A">
              <w:rPr>
                <w:b/>
                <w:bCs/>
                <w:sz w:val="22"/>
                <w:szCs w:val="22"/>
                <w:lang w:val="sr-Latn-CS"/>
              </w:rPr>
              <w:t>4.1. Terapijske indikacije</w:t>
            </w:r>
          </w:p>
        </w:tc>
      </w:tr>
      <w:tr w:rsidR="008E31D0" w:rsidRPr="00DC010A" w:rsidTr="0089758C">
        <w:trPr>
          <w:trHeight w:val="672"/>
        </w:trPr>
        <w:tc>
          <w:tcPr>
            <w:tcW w:w="10188" w:type="dxa"/>
            <w:gridSpan w:val="4"/>
            <w:vAlign w:val="center"/>
          </w:tcPr>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Odrasli:</w:t>
            </w:r>
          </w:p>
          <w:p w:rsidR="008E31D0" w:rsidRPr="00DC010A" w:rsidRDefault="008E31D0" w:rsidP="008E31D0">
            <w:pPr>
              <w:pStyle w:val="NoSpacing"/>
              <w:jc w:val="both"/>
              <w:rPr>
                <w:color w:val="000000"/>
                <w:sz w:val="22"/>
                <w:szCs w:val="22"/>
                <w:lang w:val="sr-Latn-CS"/>
              </w:rPr>
            </w:pPr>
            <w:r w:rsidRPr="00DC010A">
              <w:rPr>
                <w:rFonts w:ascii="Arial" w:hAnsi="Arial" w:cs="Arial"/>
                <w:color w:val="000000"/>
                <w:sz w:val="20"/>
                <w:szCs w:val="20"/>
                <w:lang w:val="sr-Latn-CS"/>
              </w:rPr>
              <w:t xml:space="preserve">• </w:t>
            </w:r>
            <w:r w:rsidRPr="00DC010A">
              <w:rPr>
                <w:color w:val="000000"/>
                <w:sz w:val="22"/>
                <w:szCs w:val="22"/>
              </w:rPr>
              <w:t>lije</w:t>
            </w:r>
            <w:r w:rsidRPr="00DC010A">
              <w:rPr>
                <w:color w:val="000000"/>
                <w:sz w:val="22"/>
                <w:szCs w:val="22"/>
                <w:lang w:val="sr-Latn-CS"/>
              </w:rPr>
              <w:t>č</w:t>
            </w:r>
            <w:r w:rsidRPr="00DC010A">
              <w:rPr>
                <w:color w:val="000000"/>
                <w:sz w:val="22"/>
                <w:szCs w:val="22"/>
              </w:rPr>
              <w:t>enje</w:t>
            </w:r>
            <w:r w:rsidRPr="00DC010A">
              <w:rPr>
                <w:color w:val="000000"/>
                <w:sz w:val="22"/>
                <w:szCs w:val="22"/>
                <w:lang w:val="sr-Latn-CS"/>
              </w:rPr>
              <w:t xml:space="preserve"> </w:t>
            </w:r>
            <w:r w:rsidRPr="00DC010A">
              <w:rPr>
                <w:color w:val="000000"/>
                <w:sz w:val="22"/>
                <w:szCs w:val="22"/>
              </w:rPr>
              <w:t>duodenalnih</w:t>
            </w:r>
            <w:r w:rsidRPr="00DC010A">
              <w:rPr>
                <w:color w:val="000000"/>
                <w:sz w:val="22"/>
                <w:szCs w:val="22"/>
                <w:lang w:val="sr-Latn-CS"/>
              </w:rPr>
              <w:t xml:space="preserve"> </w:t>
            </w:r>
            <w:r w:rsidRPr="00DC010A">
              <w:rPr>
                <w:color w:val="000000"/>
                <w:sz w:val="22"/>
                <w:szCs w:val="22"/>
              </w:rPr>
              <w:t>ulkusa</w:t>
            </w:r>
            <w:r w:rsidRPr="00DC010A">
              <w:rPr>
                <w:color w:val="000000"/>
                <w:sz w:val="22"/>
                <w:szCs w:val="22"/>
                <w:lang w:val="sr-Latn-CS"/>
              </w:rPr>
              <w:t xml:space="preserve"> </w:t>
            </w:r>
          </w:p>
          <w:p w:rsidR="008E31D0" w:rsidRPr="00DC010A" w:rsidRDefault="008E31D0" w:rsidP="008E31D0">
            <w:pPr>
              <w:pStyle w:val="NoSpacing"/>
              <w:jc w:val="both"/>
              <w:rPr>
                <w:color w:val="000000"/>
                <w:sz w:val="22"/>
                <w:szCs w:val="22"/>
                <w:lang w:val="sr-Latn-CS"/>
              </w:rPr>
            </w:pPr>
            <w:r w:rsidRPr="00DC010A">
              <w:rPr>
                <w:color w:val="000000"/>
                <w:sz w:val="22"/>
                <w:szCs w:val="22"/>
                <w:lang w:val="sr-Latn-CS"/>
              </w:rPr>
              <w:t xml:space="preserve">• </w:t>
            </w:r>
            <w:r w:rsidRPr="00DC010A">
              <w:rPr>
                <w:color w:val="000000"/>
                <w:sz w:val="22"/>
                <w:szCs w:val="22"/>
              </w:rPr>
              <w:t>prevencija</w:t>
            </w:r>
            <w:r w:rsidRPr="00DC010A">
              <w:rPr>
                <w:color w:val="000000"/>
                <w:sz w:val="22"/>
                <w:szCs w:val="22"/>
                <w:lang w:val="sr-Latn-CS"/>
              </w:rPr>
              <w:t xml:space="preserve"> </w:t>
            </w:r>
            <w:r w:rsidRPr="00DC010A">
              <w:rPr>
                <w:color w:val="000000"/>
                <w:sz w:val="22"/>
                <w:szCs w:val="22"/>
              </w:rPr>
              <w:t>recidiva</w:t>
            </w:r>
            <w:r w:rsidRPr="00DC010A">
              <w:rPr>
                <w:color w:val="000000"/>
                <w:sz w:val="22"/>
                <w:szCs w:val="22"/>
                <w:lang w:val="sr-Latn-CS"/>
              </w:rPr>
              <w:t xml:space="preserve"> </w:t>
            </w:r>
            <w:r w:rsidRPr="00DC010A">
              <w:rPr>
                <w:color w:val="000000"/>
                <w:sz w:val="22"/>
                <w:szCs w:val="22"/>
              </w:rPr>
              <w:t>duodenalnog</w:t>
            </w:r>
            <w:r w:rsidRPr="00DC010A">
              <w:rPr>
                <w:color w:val="000000"/>
                <w:sz w:val="22"/>
                <w:szCs w:val="22"/>
                <w:lang w:val="sr-Latn-CS"/>
              </w:rPr>
              <w:t xml:space="preserve"> </w:t>
            </w:r>
            <w:r w:rsidRPr="00DC010A">
              <w:rPr>
                <w:color w:val="000000"/>
                <w:sz w:val="22"/>
                <w:szCs w:val="22"/>
              </w:rPr>
              <w:t>ulkusa</w:t>
            </w:r>
            <w:r w:rsidRPr="00DC010A">
              <w:rPr>
                <w:color w:val="000000"/>
                <w:sz w:val="22"/>
                <w:szCs w:val="22"/>
                <w:lang w:val="sr-Latn-CS"/>
              </w:rPr>
              <w:t xml:space="preserve"> </w:t>
            </w:r>
          </w:p>
          <w:p w:rsidR="008E31D0" w:rsidRPr="00DC010A" w:rsidRDefault="008E31D0" w:rsidP="008E31D0">
            <w:pPr>
              <w:pStyle w:val="NoSpacing"/>
              <w:jc w:val="both"/>
              <w:rPr>
                <w:color w:val="000000"/>
                <w:sz w:val="22"/>
                <w:szCs w:val="22"/>
                <w:lang w:val="sr-Latn-CS"/>
              </w:rPr>
            </w:pPr>
            <w:r w:rsidRPr="00DC010A">
              <w:rPr>
                <w:color w:val="000000"/>
                <w:sz w:val="22"/>
                <w:szCs w:val="22"/>
                <w:lang w:val="sr-Latn-CS"/>
              </w:rPr>
              <w:t xml:space="preserve">• </w:t>
            </w:r>
            <w:r w:rsidRPr="00DC010A">
              <w:rPr>
                <w:color w:val="000000"/>
                <w:sz w:val="22"/>
                <w:szCs w:val="22"/>
                <w:lang w:val="es-ES"/>
              </w:rPr>
              <w:t>lije</w:t>
            </w:r>
            <w:r w:rsidRPr="00DC010A">
              <w:rPr>
                <w:color w:val="000000"/>
                <w:sz w:val="22"/>
                <w:szCs w:val="22"/>
                <w:lang w:val="sr-Latn-CS"/>
              </w:rPr>
              <w:t>č</w:t>
            </w:r>
            <w:r w:rsidRPr="00DC010A">
              <w:rPr>
                <w:color w:val="000000"/>
                <w:sz w:val="22"/>
                <w:szCs w:val="22"/>
                <w:lang w:val="es-ES"/>
              </w:rPr>
              <w:t>enje</w:t>
            </w:r>
            <w:r w:rsidRPr="00DC010A">
              <w:rPr>
                <w:color w:val="000000"/>
                <w:sz w:val="22"/>
                <w:szCs w:val="22"/>
                <w:lang w:val="sr-Latn-CS"/>
              </w:rPr>
              <w:t xml:space="preserve"> gastričnog ulkusa</w:t>
            </w:r>
          </w:p>
          <w:p w:rsidR="008E31D0" w:rsidRPr="00DC010A" w:rsidRDefault="008E31D0" w:rsidP="008E31D0">
            <w:pPr>
              <w:pStyle w:val="NoSpacing"/>
              <w:jc w:val="both"/>
              <w:rPr>
                <w:color w:val="000000"/>
                <w:sz w:val="22"/>
                <w:szCs w:val="22"/>
                <w:lang w:val="sr-Latn-CS"/>
              </w:rPr>
            </w:pPr>
            <w:r w:rsidRPr="00DC010A">
              <w:rPr>
                <w:color w:val="000000"/>
                <w:sz w:val="22"/>
                <w:szCs w:val="22"/>
                <w:lang w:val="sr-Latn-CS"/>
              </w:rPr>
              <w:t xml:space="preserve">• </w:t>
            </w:r>
            <w:r w:rsidRPr="00DC010A">
              <w:rPr>
                <w:color w:val="000000"/>
                <w:sz w:val="22"/>
                <w:szCs w:val="22"/>
                <w:lang w:val="es-ES"/>
              </w:rPr>
              <w:t>prevencija</w:t>
            </w:r>
            <w:r w:rsidRPr="00DC010A">
              <w:rPr>
                <w:color w:val="000000"/>
                <w:sz w:val="22"/>
                <w:szCs w:val="22"/>
                <w:lang w:val="sr-Latn-CS"/>
              </w:rPr>
              <w:t xml:space="preserve"> </w:t>
            </w:r>
            <w:r w:rsidRPr="00DC010A">
              <w:rPr>
                <w:color w:val="000000"/>
                <w:sz w:val="22"/>
                <w:szCs w:val="22"/>
                <w:lang w:val="es-ES"/>
              </w:rPr>
              <w:t>recidiva</w:t>
            </w:r>
            <w:r w:rsidRPr="00DC010A">
              <w:rPr>
                <w:color w:val="000000"/>
                <w:sz w:val="22"/>
                <w:szCs w:val="22"/>
                <w:lang w:val="sr-Latn-CS"/>
              </w:rPr>
              <w:t xml:space="preserve"> gastričnog ulkusa</w:t>
            </w:r>
          </w:p>
          <w:p w:rsidR="008E31D0" w:rsidRPr="00DC010A" w:rsidRDefault="008E31D0" w:rsidP="008E31D0">
            <w:pPr>
              <w:pStyle w:val="NoSpacing"/>
              <w:jc w:val="both"/>
              <w:rPr>
                <w:color w:val="000000"/>
                <w:sz w:val="22"/>
                <w:szCs w:val="22"/>
                <w:lang w:val="sr-Latn-CS"/>
              </w:rPr>
            </w:pPr>
            <w:r w:rsidRPr="00DC010A">
              <w:rPr>
                <w:color w:val="000000"/>
                <w:sz w:val="22"/>
                <w:szCs w:val="22"/>
                <w:lang w:val="sr-Latn-CS"/>
              </w:rPr>
              <w:t xml:space="preserve">• </w:t>
            </w:r>
            <w:r w:rsidRPr="00DC010A">
              <w:rPr>
                <w:color w:val="000000"/>
                <w:sz w:val="22"/>
                <w:szCs w:val="22"/>
              </w:rPr>
              <w:t>u</w:t>
            </w:r>
            <w:r w:rsidRPr="00DC010A">
              <w:rPr>
                <w:color w:val="000000"/>
                <w:sz w:val="22"/>
                <w:szCs w:val="22"/>
                <w:lang w:val="sr-Latn-CS"/>
              </w:rPr>
              <w:t xml:space="preserve"> </w:t>
            </w:r>
            <w:r w:rsidRPr="00DC010A">
              <w:rPr>
                <w:color w:val="000000"/>
                <w:sz w:val="22"/>
                <w:szCs w:val="22"/>
              </w:rPr>
              <w:t>kombinaciji</w:t>
            </w:r>
            <w:r w:rsidRPr="00DC010A">
              <w:rPr>
                <w:color w:val="000000"/>
                <w:sz w:val="22"/>
                <w:szCs w:val="22"/>
                <w:lang w:val="sr-Latn-CS"/>
              </w:rPr>
              <w:t xml:space="preserve"> </w:t>
            </w:r>
            <w:r w:rsidRPr="00DC010A">
              <w:rPr>
                <w:color w:val="000000"/>
                <w:sz w:val="22"/>
                <w:szCs w:val="22"/>
              </w:rPr>
              <w:t>sa</w:t>
            </w:r>
            <w:r w:rsidRPr="00DC010A">
              <w:rPr>
                <w:color w:val="000000"/>
                <w:sz w:val="22"/>
                <w:szCs w:val="22"/>
                <w:lang w:val="sr-Latn-CS"/>
              </w:rPr>
              <w:t xml:space="preserve"> </w:t>
            </w:r>
            <w:r w:rsidRPr="00DC010A">
              <w:rPr>
                <w:color w:val="000000"/>
                <w:sz w:val="22"/>
                <w:szCs w:val="22"/>
              </w:rPr>
              <w:t>odre</w:t>
            </w:r>
            <w:r w:rsidRPr="00DC010A">
              <w:rPr>
                <w:color w:val="000000"/>
                <w:sz w:val="22"/>
                <w:szCs w:val="22"/>
                <w:lang w:val="sr-Latn-CS"/>
              </w:rPr>
              <w:t>đ</w:t>
            </w:r>
            <w:r w:rsidRPr="00DC010A">
              <w:rPr>
                <w:color w:val="000000"/>
                <w:sz w:val="22"/>
                <w:szCs w:val="22"/>
              </w:rPr>
              <w:t>enim</w:t>
            </w:r>
            <w:r w:rsidRPr="00DC010A">
              <w:rPr>
                <w:color w:val="000000"/>
                <w:sz w:val="22"/>
                <w:szCs w:val="22"/>
                <w:lang w:val="sr-Latn-CS"/>
              </w:rPr>
              <w:t xml:space="preserve"> </w:t>
            </w:r>
            <w:r w:rsidRPr="00DC010A">
              <w:rPr>
                <w:color w:val="000000"/>
                <w:sz w:val="22"/>
                <w:szCs w:val="22"/>
              </w:rPr>
              <w:t>antibioticima</w:t>
            </w:r>
            <w:r w:rsidRPr="00DC010A">
              <w:rPr>
                <w:color w:val="000000"/>
                <w:sz w:val="22"/>
                <w:szCs w:val="22"/>
                <w:lang w:val="sr-Latn-CS"/>
              </w:rPr>
              <w:t>,</w:t>
            </w:r>
            <w:r w:rsidRPr="00DC010A">
              <w:rPr>
                <w:color w:val="000000"/>
                <w:sz w:val="22"/>
                <w:szCs w:val="22"/>
              </w:rPr>
              <w:t> eradikacija</w:t>
            </w:r>
            <w:r w:rsidRPr="00DC010A">
              <w:rPr>
                <w:color w:val="000000"/>
                <w:sz w:val="22"/>
                <w:szCs w:val="22"/>
                <w:lang w:val="sr-Latn-CS"/>
              </w:rPr>
              <w:t xml:space="preserve"> </w:t>
            </w:r>
            <w:r w:rsidRPr="00DC010A">
              <w:rPr>
                <w:i/>
                <w:iCs/>
                <w:color w:val="000000"/>
                <w:sz w:val="22"/>
                <w:szCs w:val="22"/>
              </w:rPr>
              <w:t>Helicobacter</w:t>
            </w:r>
            <w:r w:rsidRPr="00DC010A">
              <w:rPr>
                <w:i/>
                <w:iCs/>
                <w:color w:val="000000"/>
                <w:sz w:val="22"/>
                <w:szCs w:val="22"/>
                <w:lang w:val="sr-Latn-CS"/>
              </w:rPr>
              <w:t xml:space="preserve"> </w:t>
            </w:r>
            <w:r w:rsidRPr="00DC010A">
              <w:rPr>
                <w:i/>
                <w:iCs/>
                <w:color w:val="000000"/>
                <w:sz w:val="22"/>
                <w:szCs w:val="22"/>
              </w:rPr>
              <w:t>pylori</w:t>
            </w:r>
            <w:r w:rsidRPr="00DC010A">
              <w:rPr>
                <w:i/>
                <w:iCs/>
                <w:color w:val="000000"/>
                <w:sz w:val="22"/>
                <w:szCs w:val="22"/>
                <w:lang w:val="sr-Latn-CS"/>
              </w:rPr>
              <w:t xml:space="preserve"> (</w:t>
            </w:r>
            <w:r w:rsidRPr="00DC010A">
              <w:rPr>
                <w:i/>
                <w:iCs/>
                <w:color w:val="000000"/>
                <w:sz w:val="22"/>
                <w:szCs w:val="22"/>
              </w:rPr>
              <w:t>H</w:t>
            </w:r>
            <w:r w:rsidRPr="00DC010A">
              <w:rPr>
                <w:i/>
                <w:iCs/>
                <w:color w:val="000000"/>
                <w:sz w:val="22"/>
                <w:szCs w:val="22"/>
                <w:lang w:val="sr-Latn-CS"/>
              </w:rPr>
              <w:t xml:space="preserve">. </w:t>
            </w:r>
            <w:r w:rsidRPr="00DC010A">
              <w:rPr>
                <w:i/>
                <w:iCs/>
                <w:color w:val="000000"/>
                <w:sz w:val="22"/>
                <w:szCs w:val="22"/>
              </w:rPr>
              <w:t>pylori</w:t>
            </w:r>
            <w:r w:rsidRPr="00DC010A">
              <w:rPr>
                <w:i/>
                <w:iCs/>
                <w:color w:val="000000"/>
                <w:sz w:val="22"/>
                <w:szCs w:val="22"/>
                <w:lang w:val="sr-Latn-CS"/>
              </w:rPr>
              <w:t>)</w:t>
            </w:r>
            <w:r w:rsidRPr="00DC010A">
              <w:rPr>
                <w:color w:val="000000"/>
                <w:sz w:val="22"/>
                <w:szCs w:val="22"/>
              </w:rPr>
              <w:t> u</w:t>
            </w:r>
            <w:r w:rsidRPr="00DC010A">
              <w:rPr>
                <w:color w:val="000000"/>
                <w:sz w:val="22"/>
                <w:szCs w:val="22"/>
                <w:lang w:val="sr-Latn-CS"/>
              </w:rPr>
              <w:t xml:space="preserve"> </w:t>
            </w:r>
            <w:r w:rsidRPr="00DC010A">
              <w:rPr>
                <w:color w:val="000000"/>
                <w:sz w:val="22"/>
                <w:szCs w:val="22"/>
              </w:rPr>
              <w:t>lije</w:t>
            </w:r>
            <w:r w:rsidRPr="00DC010A">
              <w:rPr>
                <w:color w:val="000000"/>
                <w:sz w:val="22"/>
                <w:szCs w:val="22"/>
                <w:lang w:val="sr-Latn-CS"/>
              </w:rPr>
              <w:t>č</w:t>
            </w:r>
            <w:r w:rsidRPr="00DC010A">
              <w:rPr>
                <w:color w:val="000000"/>
                <w:sz w:val="22"/>
                <w:szCs w:val="22"/>
              </w:rPr>
              <w:t>enju</w:t>
            </w:r>
            <w:r w:rsidRPr="00DC010A">
              <w:rPr>
                <w:color w:val="000000"/>
                <w:sz w:val="22"/>
                <w:szCs w:val="22"/>
                <w:lang w:val="sr-Latn-CS"/>
              </w:rPr>
              <w:t xml:space="preserve"> </w:t>
            </w:r>
            <w:r w:rsidRPr="00DC010A">
              <w:rPr>
                <w:color w:val="000000"/>
                <w:sz w:val="22"/>
                <w:szCs w:val="22"/>
              </w:rPr>
              <w:t>pepti</w:t>
            </w:r>
            <w:r w:rsidRPr="00DC010A">
              <w:rPr>
                <w:color w:val="000000"/>
                <w:sz w:val="22"/>
                <w:szCs w:val="22"/>
                <w:lang w:val="sr-Latn-CS"/>
              </w:rPr>
              <w:t>č</w:t>
            </w:r>
            <w:r w:rsidRPr="00DC010A">
              <w:rPr>
                <w:color w:val="000000"/>
                <w:sz w:val="22"/>
                <w:szCs w:val="22"/>
              </w:rPr>
              <w:t>kog</w:t>
            </w:r>
            <w:r w:rsidRPr="00DC010A">
              <w:rPr>
                <w:color w:val="000000"/>
                <w:sz w:val="22"/>
                <w:szCs w:val="22"/>
                <w:lang w:val="sr-Latn-CS"/>
              </w:rPr>
              <w:t xml:space="preserve"> </w:t>
            </w:r>
            <w:r w:rsidRPr="00DC010A">
              <w:rPr>
                <w:color w:val="000000"/>
                <w:sz w:val="22"/>
                <w:szCs w:val="22"/>
              </w:rPr>
              <w:t>ulkusa</w:t>
            </w:r>
            <w:r w:rsidRPr="00DC010A">
              <w:rPr>
                <w:color w:val="000000"/>
                <w:sz w:val="22"/>
                <w:szCs w:val="22"/>
                <w:lang w:val="sr-Latn-CS"/>
              </w:rPr>
              <w:t xml:space="preserve"> </w:t>
            </w:r>
          </w:p>
          <w:p w:rsidR="008E31D0" w:rsidRPr="00DC010A" w:rsidRDefault="008E31D0" w:rsidP="008E31D0">
            <w:pPr>
              <w:pStyle w:val="NoSpacing"/>
              <w:jc w:val="both"/>
              <w:rPr>
                <w:color w:val="000000"/>
                <w:sz w:val="22"/>
                <w:szCs w:val="22"/>
                <w:lang w:val="sr-Latn-CS"/>
              </w:rPr>
            </w:pPr>
            <w:r w:rsidRPr="00DC010A">
              <w:rPr>
                <w:color w:val="000000"/>
                <w:sz w:val="22"/>
                <w:szCs w:val="22"/>
                <w:lang w:val="sr-Latn-CS"/>
              </w:rPr>
              <w:t xml:space="preserve">• </w:t>
            </w:r>
            <w:r w:rsidRPr="00DC010A">
              <w:rPr>
                <w:color w:val="000000"/>
                <w:sz w:val="22"/>
                <w:szCs w:val="22"/>
              </w:rPr>
              <w:t>lije</w:t>
            </w:r>
            <w:r w:rsidRPr="00DC010A">
              <w:rPr>
                <w:color w:val="000000"/>
                <w:sz w:val="22"/>
                <w:szCs w:val="22"/>
                <w:lang w:val="sr-Latn-CS"/>
              </w:rPr>
              <w:t>č</w:t>
            </w:r>
            <w:r w:rsidRPr="00DC010A">
              <w:rPr>
                <w:color w:val="000000"/>
                <w:sz w:val="22"/>
                <w:szCs w:val="22"/>
              </w:rPr>
              <w:t>enje</w:t>
            </w:r>
            <w:r w:rsidRPr="00DC010A">
              <w:rPr>
                <w:color w:val="000000"/>
                <w:sz w:val="22"/>
                <w:szCs w:val="22"/>
                <w:lang w:val="sr-Latn-CS"/>
              </w:rPr>
              <w:t xml:space="preserve"> gastričnih </w:t>
            </w:r>
            <w:r w:rsidRPr="00DC010A">
              <w:rPr>
                <w:color w:val="000000"/>
                <w:sz w:val="22"/>
                <w:szCs w:val="22"/>
              </w:rPr>
              <w:t>i</w:t>
            </w:r>
            <w:r w:rsidRPr="00DC010A">
              <w:rPr>
                <w:color w:val="000000"/>
                <w:sz w:val="22"/>
                <w:szCs w:val="22"/>
                <w:lang w:val="sr-Latn-CS"/>
              </w:rPr>
              <w:t xml:space="preserve"> </w:t>
            </w:r>
            <w:r w:rsidRPr="00DC010A">
              <w:rPr>
                <w:color w:val="000000"/>
                <w:sz w:val="22"/>
                <w:szCs w:val="22"/>
              </w:rPr>
              <w:t>duodenalnih</w:t>
            </w:r>
            <w:r w:rsidRPr="00DC010A">
              <w:rPr>
                <w:color w:val="000000"/>
                <w:sz w:val="22"/>
                <w:szCs w:val="22"/>
                <w:lang w:val="sr-Latn-CS"/>
              </w:rPr>
              <w:t xml:space="preserve"> ulkusa povezanih sa primjenom </w:t>
            </w:r>
            <w:r w:rsidRPr="00DC010A">
              <w:rPr>
                <w:color w:val="000000"/>
                <w:sz w:val="22"/>
                <w:szCs w:val="22"/>
              </w:rPr>
              <w:t>NSAIL</w:t>
            </w:r>
          </w:p>
          <w:p w:rsidR="008E31D0" w:rsidRPr="00DC010A" w:rsidRDefault="008E31D0" w:rsidP="008E31D0">
            <w:pPr>
              <w:pStyle w:val="NoSpacing"/>
              <w:jc w:val="both"/>
              <w:rPr>
                <w:color w:val="000000"/>
                <w:sz w:val="22"/>
                <w:szCs w:val="22"/>
                <w:lang w:val="sr-Latn-CS"/>
              </w:rPr>
            </w:pPr>
            <w:r w:rsidRPr="00DC010A">
              <w:rPr>
                <w:color w:val="000000"/>
                <w:sz w:val="22"/>
                <w:szCs w:val="22"/>
                <w:lang w:val="sr-Latn-CS"/>
              </w:rPr>
              <w:t xml:space="preserve">• </w:t>
            </w:r>
            <w:r w:rsidRPr="00DC010A">
              <w:rPr>
                <w:color w:val="000000"/>
                <w:sz w:val="22"/>
                <w:szCs w:val="22"/>
              </w:rPr>
              <w:t>prevencija</w:t>
            </w:r>
            <w:r w:rsidRPr="00DC010A">
              <w:rPr>
                <w:color w:val="000000"/>
                <w:sz w:val="22"/>
                <w:szCs w:val="22"/>
                <w:lang w:val="sr-Latn-CS"/>
              </w:rPr>
              <w:t xml:space="preserve"> gastričnih </w:t>
            </w:r>
            <w:r w:rsidRPr="00DC010A">
              <w:rPr>
                <w:color w:val="000000"/>
                <w:sz w:val="22"/>
                <w:szCs w:val="22"/>
              </w:rPr>
              <w:t>i</w:t>
            </w:r>
            <w:r w:rsidRPr="00DC010A">
              <w:rPr>
                <w:color w:val="000000"/>
                <w:sz w:val="22"/>
                <w:szCs w:val="22"/>
                <w:lang w:val="sr-Latn-CS"/>
              </w:rPr>
              <w:t xml:space="preserve"> </w:t>
            </w:r>
            <w:r w:rsidRPr="00DC010A">
              <w:rPr>
                <w:color w:val="000000"/>
                <w:sz w:val="22"/>
                <w:szCs w:val="22"/>
              </w:rPr>
              <w:t>duodenalnih</w:t>
            </w:r>
            <w:r w:rsidRPr="00DC010A">
              <w:rPr>
                <w:color w:val="000000"/>
                <w:sz w:val="22"/>
                <w:szCs w:val="22"/>
                <w:lang w:val="sr-Latn-CS"/>
              </w:rPr>
              <w:t xml:space="preserve"> ulkusa povezanih sa primjenom </w:t>
            </w:r>
            <w:r w:rsidRPr="00DC010A">
              <w:rPr>
                <w:color w:val="000000"/>
                <w:sz w:val="22"/>
                <w:szCs w:val="22"/>
              </w:rPr>
              <w:t>NSAIL</w:t>
            </w:r>
            <w:r w:rsidRPr="00DC010A">
              <w:rPr>
                <w:color w:val="000000"/>
                <w:sz w:val="22"/>
                <w:szCs w:val="22"/>
                <w:lang w:val="sr-Latn-CS"/>
              </w:rPr>
              <w:t xml:space="preserve"> </w:t>
            </w:r>
            <w:r w:rsidRPr="00DC010A">
              <w:rPr>
                <w:color w:val="000000"/>
                <w:sz w:val="22"/>
                <w:szCs w:val="22"/>
              </w:rPr>
              <w:t>kod</w:t>
            </w:r>
            <w:r w:rsidRPr="00DC010A">
              <w:rPr>
                <w:color w:val="000000"/>
                <w:sz w:val="22"/>
                <w:szCs w:val="22"/>
                <w:lang w:val="sr-Latn-CS"/>
              </w:rPr>
              <w:t xml:space="preserve"> </w:t>
            </w:r>
            <w:r w:rsidRPr="00DC010A">
              <w:rPr>
                <w:color w:val="000000"/>
                <w:sz w:val="22"/>
                <w:szCs w:val="22"/>
              </w:rPr>
              <w:t>pacijenata</w:t>
            </w:r>
            <w:r w:rsidRPr="00DC010A">
              <w:rPr>
                <w:color w:val="000000"/>
                <w:sz w:val="22"/>
                <w:szCs w:val="22"/>
                <w:lang w:val="sr-Latn-CS"/>
              </w:rPr>
              <w:t xml:space="preserve"> </w:t>
            </w:r>
            <w:r w:rsidRPr="00DC010A">
              <w:rPr>
                <w:color w:val="000000"/>
                <w:sz w:val="22"/>
                <w:szCs w:val="22"/>
              </w:rPr>
              <w:t>sa</w:t>
            </w:r>
            <w:r w:rsidRPr="00DC010A">
              <w:rPr>
                <w:color w:val="000000"/>
                <w:sz w:val="22"/>
                <w:szCs w:val="22"/>
                <w:lang w:val="sr-Latn-CS"/>
              </w:rPr>
              <w:t xml:space="preserve"> </w:t>
            </w:r>
            <w:r w:rsidRPr="00DC010A">
              <w:rPr>
                <w:color w:val="000000"/>
                <w:sz w:val="22"/>
                <w:szCs w:val="22"/>
              </w:rPr>
              <w:t>rizikom</w:t>
            </w:r>
            <w:r w:rsidRPr="00DC010A">
              <w:rPr>
                <w:color w:val="000000"/>
                <w:sz w:val="22"/>
                <w:szCs w:val="22"/>
                <w:lang w:val="sr-Latn-CS"/>
              </w:rPr>
              <w:t xml:space="preserve"> </w:t>
            </w:r>
          </w:p>
          <w:p w:rsidR="008E31D0" w:rsidRPr="00DC010A" w:rsidRDefault="008E31D0" w:rsidP="008E31D0">
            <w:pPr>
              <w:pStyle w:val="NoSpacing"/>
              <w:jc w:val="both"/>
              <w:rPr>
                <w:color w:val="000000"/>
                <w:sz w:val="22"/>
                <w:szCs w:val="22"/>
                <w:lang w:val="sr-Latn-CS"/>
              </w:rPr>
            </w:pPr>
            <w:r w:rsidRPr="00DC010A">
              <w:rPr>
                <w:color w:val="000000"/>
                <w:sz w:val="22"/>
                <w:szCs w:val="22"/>
                <w:lang w:val="sr-Latn-CS"/>
              </w:rPr>
              <w:t xml:space="preserve">• </w:t>
            </w:r>
            <w:r w:rsidRPr="00DC010A">
              <w:rPr>
                <w:color w:val="000000"/>
                <w:sz w:val="22"/>
                <w:szCs w:val="22"/>
              </w:rPr>
              <w:t>lije</w:t>
            </w:r>
            <w:r w:rsidRPr="00DC010A">
              <w:rPr>
                <w:color w:val="000000"/>
                <w:sz w:val="22"/>
                <w:szCs w:val="22"/>
                <w:lang w:val="sr-Latn-CS"/>
              </w:rPr>
              <w:t>č</w:t>
            </w:r>
            <w:r w:rsidRPr="00DC010A">
              <w:rPr>
                <w:color w:val="000000"/>
                <w:sz w:val="22"/>
                <w:szCs w:val="22"/>
              </w:rPr>
              <w:t>enje</w:t>
            </w:r>
            <w:r w:rsidRPr="00DC010A">
              <w:rPr>
                <w:color w:val="000000"/>
                <w:sz w:val="22"/>
                <w:szCs w:val="22"/>
                <w:lang w:val="sr-Latn-CS"/>
              </w:rPr>
              <w:t xml:space="preserve"> </w:t>
            </w:r>
            <w:r w:rsidRPr="00DC010A">
              <w:rPr>
                <w:color w:val="000000"/>
                <w:sz w:val="22"/>
                <w:szCs w:val="22"/>
              </w:rPr>
              <w:t>refluksnog</w:t>
            </w:r>
            <w:r w:rsidRPr="00DC010A">
              <w:rPr>
                <w:color w:val="000000"/>
                <w:sz w:val="22"/>
                <w:szCs w:val="22"/>
                <w:lang w:val="sr-Latn-CS"/>
              </w:rPr>
              <w:t xml:space="preserve"> </w:t>
            </w:r>
            <w:r w:rsidRPr="00DC010A">
              <w:rPr>
                <w:color w:val="000000"/>
                <w:sz w:val="22"/>
                <w:szCs w:val="22"/>
              </w:rPr>
              <w:t>ezofagitisa</w:t>
            </w:r>
            <w:r w:rsidRPr="00DC010A">
              <w:rPr>
                <w:color w:val="000000"/>
                <w:sz w:val="22"/>
                <w:szCs w:val="22"/>
                <w:lang w:val="sr-Latn-CS"/>
              </w:rPr>
              <w:t xml:space="preserve"> </w:t>
            </w:r>
          </w:p>
          <w:p w:rsidR="008E31D0" w:rsidRPr="00DC010A" w:rsidRDefault="008E31D0" w:rsidP="008E31D0">
            <w:pPr>
              <w:pStyle w:val="NoSpacing"/>
              <w:jc w:val="both"/>
              <w:rPr>
                <w:color w:val="000000"/>
                <w:sz w:val="22"/>
                <w:szCs w:val="22"/>
                <w:lang w:val="sr-Latn-CS"/>
              </w:rPr>
            </w:pPr>
            <w:r w:rsidRPr="00DC010A">
              <w:rPr>
                <w:color w:val="000000"/>
                <w:sz w:val="22"/>
                <w:szCs w:val="22"/>
                <w:lang w:val="sr-Latn-CS"/>
              </w:rPr>
              <w:t xml:space="preserve">• </w:t>
            </w:r>
            <w:r w:rsidRPr="00DC010A">
              <w:rPr>
                <w:color w:val="000000"/>
                <w:sz w:val="22"/>
                <w:szCs w:val="22"/>
              </w:rPr>
              <w:t>dugotrajno</w:t>
            </w:r>
            <w:r w:rsidRPr="00DC010A">
              <w:rPr>
                <w:color w:val="000000"/>
                <w:sz w:val="22"/>
                <w:szCs w:val="22"/>
                <w:lang w:val="sr-Latn-CS"/>
              </w:rPr>
              <w:t xml:space="preserve"> </w:t>
            </w:r>
            <w:r w:rsidRPr="00DC010A">
              <w:rPr>
                <w:color w:val="000000"/>
                <w:sz w:val="22"/>
                <w:szCs w:val="22"/>
              </w:rPr>
              <w:t>lije</w:t>
            </w:r>
            <w:r w:rsidRPr="00DC010A">
              <w:rPr>
                <w:color w:val="000000"/>
                <w:sz w:val="22"/>
                <w:szCs w:val="22"/>
                <w:lang w:val="sr-Latn-CS"/>
              </w:rPr>
              <w:t>č</w:t>
            </w:r>
            <w:r w:rsidRPr="00DC010A">
              <w:rPr>
                <w:color w:val="000000"/>
                <w:sz w:val="22"/>
                <w:szCs w:val="22"/>
              </w:rPr>
              <w:t>enje</w:t>
            </w:r>
            <w:r w:rsidRPr="00DC010A">
              <w:rPr>
                <w:color w:val="000000"/>
                <w:sz w:val="22"/>
                <w:szCs w:val="22"/>
                <w:lang w:val="sr-Latn-CS"/>
              </w:rPr>
              <w:t xml:space="preserve"> </w:t>
            </w:r>
            <w:r w:rsidRPr="00DC010A">
              <w:rPr>
                <w:color w:val="000000"/>
                <w:sz w:val="22"/>
                <w:szCs w:val="22"/>
              </w:rPr>
              <w:t>pacijenata</w:t>
            </w:r>
            <w:r w:rsidRPr="00DC010A">
              <w:rPr>
                <w:color w:val="000000"/>
                <w:sz w:val="22"/>
                <w:szCs w:val="22"/>
                <w:lang w:val="sr-Latn-CS"/>
              </w:rPr>
              <w:t xml:space="preserve"> </w:t>
            </w:r>
            <w:r w:rsidRPr="00DC010A">
              <w:rPr>
                <w:color w:val="000000"/>
                <w:sz w:val="22"/>
                <w:szCs w:val="22"/>
              </w:rPr>
              <w:t>sa</w:t>
            </w:r>
            <w:r w:rsidRPr="00DC010A">
              <w:rPr>
                <w:color w:val="000000"/>
                <w:sz w:val="22"/>
                <w:szCs w:val="22"/>
                <w:lang w:val="sr-Latn-CS"/>
              </w:rPr>
              <w:t xml:space="preserve"> </w:t>
            </w:r>
            <w:r w:rsidRPr="00DC010A">
              <w:rPr>
                <w:color w:val="000000"/>
                <w:sz w:val="22"/>
                <w:szCs w:val="22"/>
              </w:rPr>
              <w:t>izlije</w:t>
            </w:r>
            <w:r w:rsidRPr="00DC010A">
              <w:rPr>
                <w:color w:val="000000"/>
                <w:sz w:val="22"/>
                <w:szCs w:val="22"/>
                <w:lang w:val="sr-Latn-CS"/>
              </w:rPr>
              <w:t>č</w:t>
            </w:r>
            <w:r w:rsidRPr="00DC010A">
              <w:rPr>
                <w:color w:val="000000"/>
                <w:sz w:val="22"/>
                <w:szCs w:val="22"/>
              </w:rPr>
              <w:t>enim</w:t>
            </w:r>
            <w:r w:rsidRPr="00DC010A">
              <w:rPr>
                <w:color w:val="000000"/>
                <w:sz w:val="22"/>
                <w:szCs w:val="22"/>
                <w:lang w:val="sr-Latn-CS"/>
              </w:rPr>
              <w:t xml:space="preserve"> </w:t>
            </w:r>
            <w:r w:rsidRPr="00DC010A">
              <w:rPr>
                <w:color w:val="000000"/>
                <w:sz w:val="22"/>
                <w:szCs w:val="22"/>
              </w:rPr>
              <w:t>refluksnim</w:t>
            </w:r>
            <w:r w:rsidRPr="00DC010A">
              <w:rPr>
                <w:color w:val="000000"/>
                <w:sz w:val="22"/>
                <w:szCs w:val="22"/>
                <w:lang w:val="sr-Latn-CS"/>
              </w:rPr>
              <w:t xml:space="preserve"> </w:t>
            </w:r>
            <w:r w:rsidRPr="00DC010A">
              <w:rPr>
                <w:color w:val="000000"/>
                <w:sz w:val="22"/>
                <w:szCs w:val="22"/>
              </w:rPr>
              <w:t>ezofagitisom</w:t>
            </w:r>
            <w:r w:rsidRPr="00DC010A">
              <w:rPr>
                <w:color w:val="000000"/>
                <w:sz w:val="22"/>
                <w:szCs w:val="22"/>
                <w:lang w:val="sr-Latn-CS"/>
              </w:rPr>
              <w:t xml:space="preserve"> </w:t>
            </w:r>
          </w:p>
          <w:p w:rsidR="008E31D0" w:rsidRPr="00DC010A" w:rsidRDefault="008E31D0" w:rsidP="008E31D0">
            <w:pPr>
              <w:pStyle w:val="NoSpacing"/>
              <w:jc w:val="both"/>
              <w:rPr>
                <w:color w:val="000000"/>
                <w:sz w:val="22"/>
                <w:szCs w:val="22"/>
                <w:lang w:val="sr-Latn-CS"/>
              </w:rPr>
            </w:pPr>
            <w:r w:rsidRPr="00DC010A">
              <w:rPr>
                <w:color w:val="000000"/>
                <w:sz w:val="22"/>
                <w:szCs w:val="22"/>
                <w:lang w:val="sr-Latn-CS"/>
              </w:rPr>
              <w:t xml:space="preserve">• </w:t>
            </w:r>
            <w:r w:rsidRPr="00DC010A">
              <w:rPr>
                <w:color w:val="000000"/>
                <w:sz w:val="22"/>
                <w:szCs w:val="22"/>
              </w:rPr>
              <w:t>lije</w:t>
            </w:r>
            <w:r w:rsidRPr="00DC010A">
              <w:rPr>
                <w:color w:val="000000"/>
                <w:sz w:val="22"/>
                <w:szCs w:val="22"/>
                <w:lang w:val="sr-Latn-CS"/>
              </w:rPr>
              <w:t>č</w:t>
            </w:r>
            <w:r w:rsidRPr="00DC010A">
              <w:rPr>
                <w:color w:val="000000"/>
                <w:sz w:val="22"/>
                <w:szCs w:val="22"/>
              </w:rPr>
              <w:t>enje</w:t>
            </w:r>
            <w:r w:rsidRPr="00DC010A">
              <w:rPr>
                <w:color w:val="000000"/>
                <w:sz w:val="22"/>
                <w:szCs w:val="22"/>
                <w:lang w:val="sr-Latn-CS"/>
              </w:rPr>
              <w:t xml:space="preserve"> </w:t>
            </w:r>
            <w:r w:rsidRPr="00DC010A">
              <w:rPr>
                <w:color w:val="000000"/>
                <w:sz w:val="22"/>
                <w:szCs w:val="22"/>
              </w:rPr>
              <w:t>simptomatske</w:t>
            </w:r>
            <w:r w:rsidRPr="00DC010A">
              <w:rPr>
                <w:color w:val="000000"/>
                <w:sz w:val="22"/>
                <w:szCs w:val="22"/>
                <w:lang w:val="sr-Latn-CS"/>
              </w:rPr>
              <w:t xml:space="preserve"> </w:t>
            </w:r>
            <w:r w:rsidRPr="00DC010A">
              <w:rPr>
                <w:color w:val="000000"/>
                <w:sz w:val="22"/>
                <w:szCs w:val="22"/>
              </w:rPr>
              <w:t>gastroezofagealne</w:t>
            </w:r>
            <w:r w:rsidRPr="00DC010A">
              <w:rPr>
                <w:color w:val="000000"/>
                <w:sz w:val="22"/>
                <w:szCs w:val="22"/>
                <w:lang w:val="sr-Latn-CS"/>
              </w:rPr>
              <w:t xml:space="preserve"> </w:t>
            </w:r>
            <w:r w:rsidRPr="00DC010A">
              <w:rPr>
                <w:color w:val="000000"/>
                <w:sz w:val="22"/>
                <w:szCs w:val="22"/>
              </w:rPr>
              <w:t>refluksne</w:t>
            </w:r>
            <w:r w:rsidRPr="00DC010A">
              <w:rPr>
                <w:color w:val="000000"/>
                <w:sz w:val="22"/>
                <w:szCs w:val="22"/>
                <w:lang w:val="sr-Latn-CS"/>
              </w:rPr>
              <w:t xml:space="preserve"> </w:t>
            </w:r>
            <w:r w:rsidRPr="00DC010A">
              <w:rPr>
                <w:color w:val="000000"/>
                <w:sz w:val="22"/>
                <w:szCs w:val="22"/>
              </w:rPr>
              <w:t>bolesti</w:t>
            </w:r>
            <w:r w:rsidRPr="00DC010A">
              <w:rPr>
                <w:color w:val="000000"/>
                <w:sz w:val="22"/>
                <w:szCs w:val="22"/>
                <w:lang w:val="sr-Latn-CS"/>
              </w:rPr>
              <w:t xml:space="preserve"> </w:t>
            </w:r>
          </w:p>
          <w:p w:rsidR="008E31D0" w:rsidRPr="00DC010A" w:rsidRDefault="008E31D0" w:rsidP="008E31D0">
            <w:pPr>
              <w:pStyle w:val="NoSpacing"/>
              <w:jc w:val="both"/>
              <w:rPr>
                <w:rFonts w:ascii="Arial" w:hAnsi="Arial" w:cs="Arial"/>
                <w:color w:val="000000"/>
                <w:sz w:val="20"/>
                <w:szCs w:val="20"/>
                <w:lang w:val="sr-Latn-CS"/>
              </w:rPr>
            </w:pPr>
            <w:r w:rsidRPr="00DC010A">
              <w:rPr>
                <w:color w:val="000000"/>
                <w:sz w:val="22"/>
                <w:szCs w:val="22"/>
                <w:lang w:val="sr-Latn-CS"/>
              </w:rPr>
              <w:t xml:space="preserve">• </w:t>
            </w:r>
            <w:r w:rsidRPr="00DC010A">
              <w:rPr>
                <w:color w:val="000000"/>
                <w:sz w:val="22"/>
                <w:szCs w:val="22"/>
              </w:rPr>
              <w:t>lije</w:t>
            </w:r>
            <w:r w:rsidRPr="00DC010A">
              <w:rPr>
                <w:color w:val="000000"/>
                <w:sz w:val="22"/>
                <w:szCs w:val="22"/>
                <w:lang w:val="sr-Latn-CS"/>
              </w:rPr>
              <w:t>č</w:t>
            </w:r>
            <w:r w:rsidRPr="00DC010A">
              <w:rPr>
                <w:color w:val="000000"/>
                <w:sz w:val="22"/>
                <w:szCs w:val="22"/>
              </w:rPr>
              <w:t>enje</w:t>
            </w:r>
            <w:r w:rsidRPr="00DC010A">
              <w:rPr>
                <w:color w:val="000000"/>
                <w:sz w:val="22"/>
                <w:szCs w:val="22"/>
                <w:lang w:val="sr-Latn-CS"/>
              </w:rPr>
              <w:t xml:space="preserve"> </w:t>
            </w:r>
            <w:r w:rsidRPr="00DC010A">
              <w:rPr>
                <w:color w:val="000000"/>
                <w:sz w:val="22"/>
                <w:szCs w:val="22"/>
              </w:rPr>
              <w:t>Zollinger</w:t>
            </w:r>
            <w:r w:rsidRPr="00DC010A">
              <w:rPr>
                <w:color w:val="000000"/>
                <w:sz w:val="22"/>
                <w:szCs w:val="22"/>
                <w:lang w:val="sr-Latn-CS"/>
              </w:rPr>
              <w:t>-</w:t>
            </w:r>
            <w:r w:rsidRPr="00DC010A">
              <w:rPr>
                <w:color w:val="000000"/>
                <w:sz w:val="22"/>
                <w:szCs w:val="22"/>
              </w:rPr>
              <w:t>Ellison</w:t>
            </w:r>
            <w:r w:rsidRPr="00DC010A">
              <w:rPr>
                <w:color w:val="000000"/>
                <w:sz w:val="22"/>
                <w:szCs w:val="22"/>
                <w:lang w:val="sr-Latn-CS"/>
              </w:rPr>
              <w:t xml:space="preserve"> </w:t>
            </w:r>
            <w:r w:rsidRPr="00DC010A">
              <w:rPr>
                <w:color w:val="000000"/>
                <w:sz w:val="22"/>
                <w:szCs w:val="22"/>
              </w:rPr>
              <w:t>sindroma</w:t>
            </w:r>
          </w:p>
          <w:p w:rsidR="008E31D0" w:rsidRPr="00DC010A" w:rsidRDefault="008E31D0" w:rsidP="008E31D0">
            <w:pPr>
              <w:pStyle w:val="NoSpacing"/>
              <w:rPr>
                <w:sz w:val="22"/>
                <w:szCs w:val="22"/>
                <w:lang w:val="sr-Latn-CS"/>
              </w:rPr>
            </w:pPr>
          </w:p>
          <w:p w:rsidR="008E31D0" w:rsidRPr="00DC010A" w:rsidRDefault="00B16218" w:rsidP="008E31D0">
            <w:pPr>
              <w:pStyle w:val="NoSpacing"/>
              <w:rPr>
                <w:bCs/>
                <w:sz w:val="22"/>
                <w:szCs w:val="22"/>
                <w:lang w:val="sr-Latn-CS"/>
              </w:rPr>
            </w:pPr>
            <w:r w:rsidRPr="00DC010A">
              <w:rPr>
                <w:bCs/>
                <w:sz w:val="22"/>
                <w:szCs w:val="22"/>
                <w:lang w:val="sr-Latn-CS"/>
              </w:rPr>
              <w:t>Pedijatri</w:t>
            </w:r>
            <w:r w:rsidR="008E31D0" w:rsidRPr="00DC010A">
              <w:rPr>
                <w:bCs/>
                <w:sz w:val="22"/>
                <w:szCs w:val="22"/>
                <w:lang w:val="sr-Latn-CS"/>
              </w:rPr>
              <w:t>j</w:t>
            </w:r>
            <w:r w:rsidRPr="00DC010A">
              <w:rPr>
                <w:bCs/>
                <w:sz w:val="22"/>
                <w:szCs w:val="22"/>
                <w:lang w:val="sr-Latn-CS"/>
              </w:rPr>
              <w:t>s</w:t>
            </w:r>
            <w:r w:rsidR="008E31D0" w:rsidRPr="00DC010A">
              <w:rPr>
                <w:bCs/>
                <w:sz w:val="22"/>
                <w:szCs w:val="22"/>
                <w:lang w:val="sr-Latn-CS"/>
              </w:rPr>
              <w:t>ka populacija:</w:t>
            </w:r>
          </w:p>
          <w:p w:rsidR="008E31D0" w:rsidRPr="00DC010A" w:rsidRDefault="008E31D0" w:rsidP="008E31D0">
            <w:pPr>
              <w:pStyle w:val="NoSpacing"/>
              <w:rPr>
                <w:bCs/>
                <w:sz w:val="22"/>
                <w:szCs w:val="22"/>
                <w:lang w:val="sr-Latn-CS"/>
              </w:rPr>
            </w:pPr>
            <w:r w:rsidRPr="00DC010A">
              <w:rPr>
                <w:bCs/>
                <w:sz w:val="22"/>
                <w:szCs w:val="22"/>
                <w:lang w:val="sr-Latn-CS"/>
              </w:rPr>
              <w:t xml:space="preserve">Djeca starija od 1 godine i  tjelesne težine ≥10 kg: </w:t>
            </w:r>
          </w:p>
          <w:p w:rsidR="008E31D0" w:rsidRPr="00DC010A" w:rsidRDefault="008E31D0" w:rsidP="008E31D0">
            <w:pPr>
              <w:pStyle w:val="NoSpacing"/>
              <w:jc w:val="both"/>
              <w:rPr>
                <w:bCs/>
                <w:sz w:val="22"/>
                <w:szCs w:val="22"/>
                <w:lang w:val="sr-Latn-CS"/>
              </w:rPr>
            </w:pPr>
            <w:r w:rsidRPr="00DC010A">
              <w:rPr>
                <w:bCs/>
                <w:sz w:val="22"/>
                <w:szCs w:val="22"/>
                <w:lang w:val="sr-Latn-CS"/>
              </w:rPr>
              <w:t xml:space="preserve">- liječenje refluksnog ezofagitisa. </w:t>
            </w:r>
          </w:p>
          <w:p w:rsidR="008E31D0" w:rsidRPr="00DC010A" w:rsidRDefault="008E31D0" w:rsidP="008E31D0">
            <w:pPr>
              <w:pStyle w:val="NoSpacing"/>
              <w:jc w:val="both"/>
              <w:rPr>
                <w:lang w:val="sr-Latn-CS"/>
              </w:rPr>
            </w:pPr>
            <w:r w:rsidRPr="00DC010A">
              <w:rPr>
                <w:bCs/>
                <w:sz w:val="22"/>
                <w:szCs w:val="22"/>
                <w:lang w:val="sr-Latn-CS"/>
              </w:rPr>
              <w:t xml:space="preserve">- simptomatska terapija gorušice i regurgitacije želudačne kiseline </w:t>
            </w:r>
            <w:r w:rsidRPr="00DC010A">
              <w:rPr>
                <w:sz w:val="23"/>
                <w:szCs w:val="23"/>
              </w:rPr>
              <w:t>u</w:t>
            </w:r>
            <w:r w:rsidRPr="00DC010A">
              <w:rPr>
                <w:sz w:val="23"/>
                <w:szCs w:val="23"/>
                <w:lang w:val="sr-Latn-CS"/>
              </w:rPr>
              <w:t xml:space="preserve"> </w:t>
            </w:r>
            <w:r w:rsidRPr="00DC010A">
              <w:rPr>
                <w:sz w:val="23"/>
                <w:szCs w:val="23"/>
              </w:rPr>
              <w:t>gastroezofagealnoj</w:t>
            </w:r>
            <w:r w:rsidRPr="00DC010A">
              <w:rPr>
                <w:sz w:val="23"/>
                <w:szCs w:val="23"/>
                <w:lang w:val="sr-Latn-CS"/>
              </w:rPr>
              <w:t xml:space="preserve"> </w:t>
            </w:r>
            <w:r w:rsidRPr="00DC010A">
              <w:rPr>
                <w:sz w:val="23"/>
                <w:szCs w:val="23"/>
              </w:rPr>
              <w:t>refluksnoj</w:t>
            </w:r>
            <w:r w:rsidRPr="00DC010A">
              <w:rPr>
                <w:sz w:val="23"/>
                <w:szCs w:val="23"/>
                <w:lang w:val="sr-Latn-CS"/>
              </w:rPr>
              <w:t xml:space="preserve"> </w:t>
            </w:r>
            <w:r w:rsidRPr="00DC010A">
              <w:rPr>
                <w:sz w:val="23"/>
                <w:szCs w:val="23"/>
              </w:rPr>
              <w:t>bolesti</w:t>
            </w:r>
            <w:r w:rsidRPr="00DC010A">
              <w:rPr>
                <w:sz w:val="23"/>
                <w:szCs w:val="23"/>
                <w:lang w:val="sr-Latn-CS"/>
              </w:rPr>
              <w:t xml:space="preserve"> </w:t>
            </w:r>
          </w:p>
          <w:p w:rsidR="008E31D0" w:rsidRPr="00DC010A" w:rsidRDefault="008E31D0" w:rsidP="008E31D0">
            <w:pPr>
              <w:pStyle w:val="NoSpacing"/>
              <w:jc w:val="both"/>
              <w:rPr>
                <w:bCs/>
                <w:sz w:val="22"/>
                <w:szCs w:val="22"/>
                <w:lang w:val="sr-Latn-CS"/>
              </w:rPr>
            </w:pPr>
            <w:r w:rsidRPr="00DC010A">
              <w:rPr>
                <w:bCs/>
                <w:sz w:val="22"/>
                <w:szCs w:val="22"/>
                <w:lang w:val="sr-Latn-CS"/>
              </w:rPr>
              <w:t xml:space="preserve"> (GERB).</w:t>
            </w:r>
          </w:p>
          <w:p w:rsidR="008E31D0" w:rsidRPr="00DC010A" w:rsidRDefault="008E31D0" w:rsidP="008E31D0">
            <w:pPr>
              <w:pStyle w:val="NoSpacing"/>
              <w:rPr>
                <w:bCs/>
                <w:sz w:val="22"/>
                <w:szCs w:val="22"/>
                <w:lang w:val="sr-Latn-CS"/>
              </w:rPr>
            </w:pPr>
          </w:p>
          <w:p w:rsidR="008E31D0" w:rsidRPr="00DC010A" w:rsidRDefault="008E31D0" w:rsidP="008E31D0">
            <w:pPr>
              <w:pStyle w:val="NoSpacing"/>
              <w:rPr>
                <w:bCs/>
                <w:sz w:val="22"/>
                <w:szCs w:val="22"/>
                <w:lang w:val="sr-Latn-CS"/>
              </w:rPr>
            </w:pPr>
            <w:r w:rsidRPr="00DC010A">
              <w:rPr>
                <w:bCs/>
                <w:sz w:val="22"/>
                <w:szCs w:val="22"/>
                <w:lang w:val="sr-Latn-CS"/>
              </w:rPr>
              <w:t>Djeca i adolescenti starija od 4 godine:</w:t>
            </w:r>
          </w:p>
          <w:p w:rsidR="008E31D0" w:rsidRPr="00DC010A" w:rsidRDefault="008E31D0" w:rsidP="008E31D0">
            <w:pPr>
              <w:pStyle w:val="NoSpacing"/>
              <w:rPr>
                <w:bCs/>
                <w:sz w:val="22"/>
                <w:szCs w:val="22"/>
                <w:lang w:val="sr-Latn-CS"/>
              </w:rPr>
            </w:pPr>
            <w:r w:rsidRPr="00DC010A">
              <w:rPr>
                <w:bCs/>
                <w:sz w:val="22"/>
                <w:szCs w:val="22"/>
                <w:lang w:val="sr-Latn-CS"/>
              </w:rPr>
              <w:lastRenderedPageBreak/>
              <w:t xml:space="preserve">- u kombinaciji sa antibioticima u liječenju duodenalnog ulkusa izazvanog </w:t>
            </w:r>
            <w:r w:rsidRPr="00DC010A">
              <w:rPr>
                <w:bCs/>
                <w:i/>
                <w:sz w:val="22"/>
                <w:szCs w:val="22"/>
                <w:lang w:val="sr-Latn-CS"/>
              </w:rPr>
              <w:t>H. Pylori</w:t>
            </w:r>
          </w:p>
          <w:p w:rsidR="008E31D0" w:rsidRPr="00DC010A" w:rsidRDefault="008E31D0" w:rsidP="008E31D0">
            <w:pPr>
              <w:pStyle w:val="NoSpacing"/>
              <w:rPr>
                <w:bCs/>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r w:rsidRPr="00DC010A">
              <w:rPr>
                <w:b/>
                <w:bCs/>
                <w:sz w:val="22"/>
                <w:szCs w:val="22"/>
                <w:lang w:val="sr-Latn-CS"/>
              </w:rPr>
              <w:lastRenderedPageBreak/>
              <w:t>4.2. Doziranje i način primjene</w:t>
            </w:r>
          </w:p>
        </w:tc>
      </w:tr>
      <w:tr w:rsidR="008E31D0" w:rsidRPr="00DC010A" w:rsidTr="0089758C">
        <w:trPr>
          <w:trHeight w:val="1145"/>
        </w:trPr>
        <w:tc>
          <w:tcPr>
            <w:tcW w:w="10188" w:type="dxa"/>
            <w:gridSpan w:val="4"/>
            <w:vAlign w:val="center"/>
          </w:tcPr>
          <w:p w:rsidR="008E31D0" w:rsidRPr="00DC010A" w:rsidRDefault="008E31D0" w:rsidP="008E31D0">
            <w:pPr>
              <w:pStyle w:val="NoSpacing"/>
              <w:rPr>
                <w:b/>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Odrasli</w:t>
            </w:r>
          </w:p>
          <w:p w:rsidR="008E31D0" w:rsidRPr="00DC010A" w:rsidRDefault="008E31D0" w:rsidP="008E31D0">
            <w:pPr>
              <w:pStyle w:val="NoSpacing"/>
              <w:rPr>
                <w:b/>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Terapija duodenalnog ulkusa</w:t>
            </w:r>
          </w:p>
          <w:p w:rsidR="008E31D0" w:rsidRPr="00DC010A" w:rsidRDefault="008E31D0" w:rsidP="008E31D0">
            <w:pPr>
              <w:pStyle w:val="NoSpacing"/>
              <w:rPr>
                <w:b/>
                <w:sz w:val="22"/>
                <w:szCs w:val="22"/>
                <w:lang w:val="sr-Latn-CS"/>
              </w:rPr>
            </w:pP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ena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aktivnim</w:t>
            </w:r>
            <w:r w:rsidRPr="00DC010A">
              <w:rPr>
                <w:sz w:val="22"/>
                <w:szCs w:val="22"/>
                <w:shd w:val="clear" w:color="auto" w:fill="FFFFFF"/>
                <w:lang w:val="sr-Latn-CS"/>
              </w:rPr>
              <w:t xml:space="preserve"> </w:t>
            </w:r>
            <w:r w:rsidRPr="00DC010A">
              <w:rPr>
                <w:sz w:val="22"/>
                <w:szCs w:val="22"/>
                <w:shd w:val="clear" w:color="auto" w:fill="FFFFFF"/>
              </w:rPr>
              <w:t>duodenalnim</w:t>
            </w:r>
            <w:r w:rsidRPr="00DC010A">
              <w:rPr>
                <w:sz w:val="22"/>
                <w:szCs w:val="22"/>
                <w:shd w:val="clear" w:color="auto" w:fill="FFFFFF"/>
                <w:lang w:val="sr-Latn-CS"/>
              </w:rPr>
              <w:t xml:space="preserve"> </w:t>
            </w:r>
            <w:r w:rsidRPr="00DC010A">
              <w:rPr>
                <w:sz w:val="22"/>
                <w:szCs w:val="22"/>
                <w:shd w:val="clear" w:color="auto" w:fill="FFFFFF"/>
              </w:rPr>
              <w:t>ulkusom</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Ortanol 20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vec</w:t>
            </w:r>
            <w:r w:rsidRPr="00DC010A">
              <w:rPr>
                <w:sz w:val="22"/>
                <w:szCs w:val="22"/>
                <w:shd w:val="clear" w:color="auto" w:fill="FFFFFF"/>
                <w:lang w:val="sr-Latn-CS"/>
              </w:rPr>
              <w:t>́</w:t>
            </w:r>
            <w:r w:rsidRPr="00DC010A">
              <w:rPr>
                <w:sz w:val="22"/>
                <w:szCs w:val="22"/>
                <w:shd w:val="clear" w:color="auto" w:fill="FFFFFF"/>
              </w:rPr>
              <w:t>ine</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iz</w:t>
            </w:r>
            <w:r w:rsidRPr="00DC010A">
              <w:rPr>
                <w:sz w:val="22"/>
                <w:szCs w:val="22"/>
                <w:shd w:val="clear" w:color="auto" w:fill="FFFFFF"/>
              </w:rPr>
              <w:t>lje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nastupa</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roku</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w:t>
            </w:r>
            <w:r w:rsidRPr="00DC010A">
              <w:rPr>
                <w:sz w:val="22"/>
                <w:szCs w:val="22"/>
                <w:shd w:val="clear" w:color="auto" w:fill="FFFFFF"/>
              </w:rPr>
              <w:t>dvije</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one</w:t>
            </w:r>
            <w:r w:rsidRPr="00DC010A">
              <w:rPr>
                <w:sz w:val="22"/>
                <w:szCs w:val="22"/>
                <w:shd w:val="clear" w:color="auto" w:fill="FFFFFF"/>
                <w:lang w:val="sr-Latn-CS"/>
              </w:rPr>
              <w:t xml:space="preserve"> </w:t>
            </w:r>
            <w:r w:rsidRPr="00DC010A">
              <w:rPr>
                <w:sz w:val="22"/>
                <w:szCs w:val="22"/>
                <w:shd w:val="clear" w:color="auto" w:fill="FFFFFF"/>
              </w:rPr>
              <w:t>pacijente</w:t>
            </w:r>
            <w:r w:rsidRPr="00DC010A">
              <w:rPr>
                <w:sz w:val="22"/>
                <w:szCs w:val="22"/>
                <w:shd w:val="clear" w:color="auto" w:fill="FFFFFF"/>
                <w:lang w:val="sr-Latn-CS"/>
              </w:rPr>
              <w:t xml:space="preserve"> </w:t>
            </w:r>
            <w:r w:rsidRPr="00DC010A">
              <w:rPr>
                <w:sz w:val="22"/>
                <w:szCs w:val="22"/>
                <w:shd w:val="clear" w:color="auto" w:fill="FFFFFF"/>
              </w:rPr>
              <w:t>koji</w:t>
            </w:r>
            <w:r w:rsidRPr="00DC010A">
              <w:rPr>
                <w:sz w:val="22"/>
                <w:szCs w:val="22"/>
                <w:shd w:val="clear" w:color="auto" w:fill="FFFFFF"/>
                <w:lang w:val="sr-Latn-CS"/>
              </w:rPr>
              <w:t xml:space="preserve"> </w:t>
            </w:r>
            <w:r w:rsidRPr="00DC010A">
              <w:rPr>
                <w:sz w:val="22"/>
                <w:szCs w:val="22"/>
                <w:shd w:val="clear" w:color="auto" w:fill="FFFFFF"/>
              </w:rPr>
              <w:t>nijesu</w:t>
            </w:r>
            <w:r w:rsidRPr="00DC010A">
              <w:rPr>
                <w:sz w:val="22"/>
                <w:szCs w:val="22"/>
                <w:shd w:val="clear" w:color="auto" w:fill="FFFFFF"/>
                <w:lang w:val="sr-Latn-CS"/>
              </w:rPr>
              <w:t xml:space="preserve"> </w:t>
            </w:r>
            <w:r w:rsidRPr="00DC010A">
              <w:rPr>
                <w:sz w:val="22"/>
                <w:szCs w:val="22"/>
                <w:shd w:val="clear" w:color="auto" w:fill="FFFFFF"/>
              </w:rPr>
              <w:t>potpuno</w:t>
            </w:r>
            <w:r w:rsidRPr="00DC010A">
              <w:rPr>
                <w:sz w:val="22"/>
                <w:szCs w:val="22"/>
                <w:shd w:val="clear" w:color="auto" w:fill="FFFFFF"/>
                <w:lang w:val="sr-Latn-CS"/>
              </w:rPr>
              <w:t xml:space="preserve"> </w:t>
            </w:r>
            <w:r w:rsidRPr="00DC010A">
              <w:rPr>
                <w:sz w:val="22"/>
                <w:szCs w:val="22"/>
                <w:shd w:val="clear" w:color="auto" w:fill="FFFFFF"/>
              </w:rPr>
              <w:t>izlije</w:t>
            </w:r>
            <w:r w:rsidRPr="00DC010A">
              <w:rPr>
                <w:sz w:val="22"/>
                <w:szCs w:val="22"/>
                <w:shd w:val="clear" w:color="auto" w:fill="FFFFFF"/>
                <w:lang w:val="sr-Latn-CS"/>
              </w:rPr>
              <w:t>č</w:t>
            </w:r>
            <w:r w:rsidRPr="00DC010A">
              <w:rPr>
                <w:sz w:val="22"/>
                <w:szCs w:val="22"/>
                <w:shd w:val="clear" w:color="auto" w:fill="FFFFFF"/>
              </w:rPr>
              <w:t>eni</w:t>
            </w:r>
            <w:r w:rsidRPr="00DC010A">
              <w:rPr>
                <w:sz w:val="22"/>
                <w:szCs w:val="22"/>
                <w:shd w:val="clear" w:color="auto" w:fill="FFFFFF"/>
                <w:lang w:val="sr-Latn-CS"/>
              </w:rPr>
              <w:t xml:space="preserve"> </w:t>
            </w:r>
            <w:r w:rsidRPr="00DC010A">
              <w:rPr>
                <w:sz w:val="22"/>
                <w:szCs w:val="22"/>
                <w:shd w:val="clear" w:color="auto" w:fill="FFFFFF"/>
              </w:rPr>
              <w:t>nakon</w:t>
            </w:r>
            <w:r w:rsidRPr="00DC010A">
              <w:rPr>
                <w:color w:val="777777"/>
                <w:sz w:val="22"/>
                <w:szCs w:val="22"/>
                <w:shd w:val="clear" w:color="auto" w:fill="FFFFFF"/>
                <w:lang w:val="sr-Latn-CS"/>
              </w:rPr>
              <w:t xml:space="preserve"> </w:t>
            </w:r>
            <w:r w:rsidRPr="00DC010A">
              <w:rPr>
                <w:sz w:val="22"/>
                <w:szCs w:val="22"/>
                <w:shd w:val="clear" w:color="auto" w:fill="FFFFFF"/>
              </w:rPr>
              <w:t>inicijalnog</w:t>
            </w:r>
            <w:r w:rsidRPr="00DC010A">
              <w:rPr>
                <w:sz w:val="22"/>
                <w:szCs w:val="22"/>
                <w:shd w:val="clear" w:color="auto" w:fill="FFFFFF"/>
                <w:lang w:val="sr-Latn-CS"/>
              </w:rPr>
              <w:t xml:space="preserve"> </w:t>
            </w:r>
            <w:r w:rsidRPr="00DC010A">
              <w:rPr>
                <w:sz w:val="22"/>
                <w:szCs w:val="22"/>
                <w:shd w:val="clear" w:color="auto" w:fill="FFFFFF"/>
              </w:rPr>
              <w:t>kursa</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se </w:t>
            </w:r>
            <w:r w:rsidRPr="00DC010A">
              <w:rPr>
                <w:sz w:val="22"/>
                <w:szCs w:val="22"/>
                <w:shd w:val="clear" w:color="auto" w:fill="FFFFFF"/>
              </w:rPr>
              <w:t>obi</w:t>
            </w:r>
            <w:r w:rsidRPr="00DC010A">
              <w:rPr>
                <w:sz w:val="22"/>
                <w:szCs w:val="22"/>
                <w:shd w:val="clear" w:color="auto" w:fill="FFFFFF"/>
                <w:lang w:val="sr-Latn-CS"/>
              </w:rPr>
              <w:t>č</w:t>
            </w:r>
            <w:r w:rsidRPr="00DC010A">
              <w:rPr>
                <w:sz w:val="22"/>
                <w:szCs w:val="22"/>
                <w:shd w:val="clear" w:color="auto" w:fill="FFFFFF"/>
              </w:rPr>
              <w:t>no</w:t>
            </w:r>
            <w:r w:rsidRPr="00DC010A">
              <w:rPr>
                <w:sz w:val="22"/>
                <w:szCs w:val="22"/>
                <w:shd w:val="clear" w:color="auto" w:fill="FFFFFF"/>
                <w:lang w:val="sr-Latn-CS"/>
              </w:rPr>
              <w:t xml:space="preserve"> </w:t>
            </w:r>
            <w:r w:rsidRPr="00DC010A">
              <w:rPr>
                <w:sz w:val="22"/>
                <w:szCs w:val="22"/>
                <w:shd w:val="clear" w:color="auto" w:fill="FFFFFF"/>
              </w:rPr>
              <w:t>nastavlja</w:t>
            </w:r>
            <w:r w:rsidRPr="00DC010A">
              <w:rPr>
                <w:sz w:val="22"/>
                <w:szCs w:val="22"/>
                <w:shd w:val="clear" w:color="auto" w:fill="FFFFFF"/>
                <w:lang w:val="sr-Latn-CS"/>
              </w:rPr>
              <w:t xml:space="preserve"> </w:t>
            </w:r>
            <w:r w:rsidRPr="00DC010A">
              <w:rPr>
                <w:sz w:val="22"/>
                <w:szCs w:val="22"/>
                <w:shd w:val="clear" w:color="auto" w:fill="FFFFFF"/>
              </w:rPr>
              <w:t>tokom</w:t>
            </w:r>
            <w:r w:rsidRPr="00DC010A">
              <w:rPr>
                <w:sz w:val="22"/>
                <w:szCs w:val="22"/>
                <w:shd w:val="clear" w:color="auto" w:fill="FFFFFF"/>
                <w:lang w:val="sr-Latn-CS"/>
              </w:rPr>
              <w:t xml:space="preserve"> </w:t>
            </w:r>
            <w:r w:rsidRPr="00DC010A">
              <w:rPr>
                <w:sz w:val="22"/>
                <w:szCs w:val="22"/>
                <w:shd w:val="clear" w:color="auto" w:fill="FFFFFF"/>
              </w:rPr>
              <w:t>naredne</w:t>
            </w:r>
            <w:r w:rsidRPr="00DC010A">
              <w:rPr>
                <w:sz w:val="22"/>
                <w:szCs w:val="22"/>
                <w:shd w:val="clear" w:color="auto" w:fill="FFFFFF"/>
                <w:lang w:val="sr-Latn-CS"/>
              </w:rPr>
              <w:t xml:space="preserve"> </w:t>
            </w:r>
            <w:r w:rsidRPr="00DC010A">
              <w:rPr>
                <w:sz w:val="22"/>
                <w:szCs w:val="22"/>
                <w:shd w:val="clear" w:color="auto" w:fill="FFFFFF"/>
              </w:rPr>
              <w:t>dvije</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enja</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duodenalnim</w:t>
            </w:r>
            <w:r w:rsidRPr="00DC010A">
              <w:rPr>
                <w:sz w:val="22"/>
                <w:szCs w:val="22"/>
                <w:shd w:val="clear" w:color="auto" w:fill="FFFFFF"/>
                <w:lang w:val="sr-Latn-CS"/>
              </w:rPr>
              <w:t xml:space="preserve"> </w:t>
            </w:r>
            <w:r w:rsidRPr="00DC010A">
              <w:rPr>
                <w:sz w:val="22"/>
                <w:szCs w:val="22"/>
                <w:shd w:val="clear" w:color="auto" w:fill="FFFFFF"/>
              </w:rPr>
              <w:t>ulkusom</w:t>
            </w:r>
            <w:r w:rsidRPr="00DC010A">
              <w:rPr>
                <w:sz w:val="22"/>
                <w:szCs w:val="22"/>
                <w:shd w:val="clear" w:color="auto" w:fill="FFFFFF"/>
                <w:lang w:val="sr-Latn-CS"/>
              </w:rPr>
              <w:t xml:space="preserve"> </w:t>
            </w:r>
            <w:r w:rsidRPr="00DC010A">
              <w:rPr>
                <w:sz w:val="22"/>
                <w:szCs w:val="22"/>
                <w:shd w:val="clear" w:color="auto" w:fill="FFFFFF"/>
              </w:rPr>
              <w:t>koji</w:t>
            </w:r>
            <w:r w:rsidRPr="00DC010A">
              <w:rPr>
                <w:sz w:val="22"/>
                <w:szCs w:val="22"/>
                <w:shd w:val="clear" w:color="auto" w:fill="FFFFFF"/>
                <w:lang w:val="sr-Latn-CS"/>
              </w:rPr>
              <w:t xml:space="preserve"> </w:t>
            </w:r>
            <w:r w:rsidRPr="00DC010A">
              <w:rPr>
                <w:sz w:val="22"/>
                <w:szCs w:val="22"/>
                <w:shd w:val="clear" w:color="auto" w:fill="FFFFFF"/>
              </w:rPr>
              <w:t>slabo</w:t>
            </w:r>
            <w:r w:rsidRPr="00DC010A">
              <w:rPr>
                <w:sz w:val="22"/>
                <w:szCs w:val="22"/>
                <w:shd w:val="clear" w:color="auto" w:fill="FFFFFF"/>
                <w:lang w:val="sr-Latn-CS"/>
              </w:rPr>
              <w:t xml:space="preserve"> </w:t>
            </w:r>
            <w:r w:rsidRPr="00DC010A">
              <w:rPr>
                <w:sz w:val="22"/>
                <w:szCs w:val="22"/>
                <w:shd w:val="clear" w:color="auto" w:fill="FFFFFF"/>
              </w:rPr>
              <w:t>reaguju</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liječenje, preporučuje se 40 </w:t>
            </w:r>
            <w:r w:rsidRPr="00DC010A">
              <w:rPr>
                <w:sz w:val="22"/>
                <w:szCs w:val="22"/>
                <w:shd w:val="clear" w:color="auto" w:fill="FFFFFF"/>
              </w:rPr>
              <w:t>mg</w:t>
            </w:r>
            <w:r w:rsidRPr="00DC010A">
              <w:rPr>
                <w:sz w:val="22"/>
                <w:szCs w:val="22"/>
                <w:shd w:val="clear" w:color="auto" w:fill="FFFFFF"/>
                <w:lang w:val="sr-Latn-CS"/>
              </w:rPr>
              <w:t xml:space="preserve"> omeprazola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a</w:t>
            </w:r>
            <w:r w:rsidRPr="00DC010A">
              <w:rPr>
                <w:sz w:val="22"/>
                <w:szCs w:val="22"/>
                <w:shd w:val="clear" w:color="auto" w:fill="FFFFFF"/>
                <w:lang w:val="sr-Latn-CS"/>
              </w:rPr>
              <w:t xml:space="preserve"> iz</w:t>
            </w:r>
            <w:r w:rsidRPr="00DC010A">
              <w:rPr>
                <w:sz w:val="22"/>
                <w:szCs w:val="22"/>
                <w:shd w:val="clear" w:color="auto" w:fill="FFFFFF"/>
              </w:rPr>
              <w:t>lje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se </w:t>
            </w:r>
            <w:r w:rsidRPr="00DC010A">
              <w:rPr>
                <w:sz w:val="22"/>
                <w:szCs w:val="22"/>
                <w:shd w:val="clear" w:color="auto" w:fill="FFFFFF"/>
              </w:rPr>
              <w:t>obi</w:t>
            </w:r>
            <w:r w:rsidRPr="00DC010A">
              <w:rPr>
                <w:sz w:val="22"/>
                <w:szCs w:val="22"/>
                <w:shd w:val="clear" w:color="auto" w:fill="FFFFFF"/>
                <w:lang w:val="sr-Latn-CS"/>
              </w:rPr>
              <w:t>č</w:t>
            </w:r>
            <w:r w:rsidRPr="00DC010A">
              <w:rPr>
                <w:sz w:val="22"/>
                <w:szCs w:val="22"/>
                <w:shd w:val="clear" w:color="auto" w:fill="FFFFFF"/>
              </w:rPr>
              <w:t>no</w:t>
            </w:r>
            <w:r w:rsidRPr="00DC010A">
              <w:rPr>
                <w:sz w:val="22"/>
                <w:szCs w:val="22"/>
                <w:shd w:val="clear" w:color="auto" w:fill="FFFFFF"/>
                <w:lang w:val="sr-Latn-CS"/>
              </w:rPr>
              <w:t xml:space="preserve"> </w:t>
            </w:r>
            <w:r w:rsidRPr="00DC010A">
              <w:rPr>
                <w:sz w:val="22"/>
                <w:szCs w:val="22"/>
                <w:shd w:val="clear" w:color="auto" w:fill="FFFFFF"/>
              </w:rPr>
              <w:t>posti</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roku</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č</w:t>
            </w:r>
            <w:r w:rsidRPr="00DC010A">
              <w:rPr>
                <w:sz w:val="22"/>
                <w:szCs w:val="22"/>
                <w:shd w:val="clear" w:color="auto" w:fill="FFFFFF"/>
              </w:rPr>
              <w:t>etiri</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w:t>
            </w:r>
          </w:p>
          <w:p w:rsidR="008E31D0" w:rsidRPr="00DC010A" w:rsidRDefault="008E31D0" w:rsidP="008E31D0">
            <w:pPr>
              <w:pStyle w:val="NoSpacing"/>
              <w:rPr>
                <w:b/>
                <w:sz w:val="22"/>
                <w:szCs w:val="22"/>
                <w:lang w:val="sr-Latn-CS"/>
              </w:rPr>
            </w:pPr>
          </w:p>
          <w:p w:rsidR="008E31D0" w:rsidRPr="00DC010A" w:rsidRDefault="008E31D0" w:rsidP="008E31D0">
            <w:pPr>
              <w:pStyle w:val="NoSpacing"/>
              <w:rPr>
                <w:b/>
                <w:sz w:val="22"/>
                <w:szCs w:val="22"/>
                <w:lang w:val="sr-Latn-CS"/>
              </w:rPr>
            </w:pPr>
            <w:r w:rsidRPr="00DC010A">
              <w:rPr>
                <w:b/>
                <w:sz w:val="22"/>
                <w:szCs w:val="22"/>
                <w:shd w:val="clear" w:color="auto" w:fill="FFFFFF"/>
              </w:rPr>
              <w:t>Prevencija</w:t>
            </w:r>
            <w:r w:rsidRPr="00DC010A">
              <w:rPr>
                <w:b/>
                <w:sz w:val="22"/>
                <w:szCs w:val="22"/>
                <w:shd w:val="clear" w:color="auto" w:fill="FFFFFF"/>
                <w:lang w:val="sr-Latn-CS"/>
              </w:rPr>
              <w:t xml:space="preserve"> </w:t>
            </w:r>
            <w:r w:rsidRPr="00DC010A">
              <w:rPr>
                <w:b/>
                <w:sz w:val="22"/>
                <w:szCs w:val="22"/>
                <w:shd w:val="clear" w:color="auto" w:fill="FFFFFF"/>
              </w:rPr>
              <w:t>recidiva</w:t>
            </w:r>
            <w:r w:rsidRPr="00DC010A">
              <w:rPr>
                <w:b/>
                <w:sz w:val="22"/>
                <w:szCs w:val="22"/>
                <w:shd w:val="clear" w:color="auto" w:fill="FFFFFF"/>
                <w:lang w:val="sr-Latn-CS"/>
              </w:rPr>
              <w:t xml:space="preserve"> </w:t>
            </w:r>
            <w:r w:rsidRPr="00DC010A">
              <w:rPr>
                <w:b/>
                <w:sz w:val="22"/>
                <w:szCs w:val="22"/>
                <w:shd w:val="clear" w:color="auto" w:fill="FFFFFF"/>
              </w:rPr>
              <w:t>duodenalnog</w:t>
            </w:r>
            <w:r w:rsidRPr="00DC010A">
              <w:rPr>
                <w:b/>
                <w:sz w:val="22"/>
                <w:szCs w:val="22"/>
                <w:shd w:val="clear" w:color="auto" w:fill="FFFFFF"/>
                <w:lang w:val="sr-Latn-CS"/>
              </w:rPr>
              <w:t xml:space="preserve"> ulkusa</w:t>
            </w:r>
          </w:p>
          <w:p w:rsidR="008E31D0" w:rsidRPr="00DC010A" w:rsidRDefault="008E31D0" w:rsidP="008E31D0">
            <w:pPr>
              <w:pStyle w:val="NoSpacing"/>
              <w:rPr>
                <w:b/>
                <w:sz w:val="22"/>
                <w:szCs w:val="22"/>
                <w:lang w:val="sr-Latn-CS"/>
              </w:rPr>
            </w:pP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prevenciju</w:t>
            </w:r>
            <w:r w:rsidRPr="00DC010A">
              <w:rPr>
                <w:sz w:val="22"/>
                <w:szCs w:val="22"/>
                <w:shd w:val="clear" w:color="auto" w:fill="FFFFFF"/>
                <w:lang w:val="sr-Latn-CS"/>
              </w:rPr>
              <w:t xml:space="preserve"> </w:t>
            </w:r>
            <w:r w:rsidRPr="00DC010A">
              <w:rPr>
                <w:sz w:val="22"/>
                <w:szCs w:val="22"/>
                <w:shd w:val="clear" w:color="auto" w:fill="FFFFFF"/>
              </w:rPr>
              <w:t>recidiva</w:t>
            </w:r>
            <w:r w:rsidRPr="00DC010A">
              <w:rPr>
                <w:sz w:val="22"/>
                <w:szCs w:val="22"/>
                <w:shd w:val="clear" w:color="auto" w:fill="FFFFFF"/>
                <w:lang w:val="sr-Latn-CS"/>
              </w:rPr>
              <w:t xml:space="preserve"> </w:t>
            </w:r>
            <w:r w:rsidRPr="00DC010A">
              <w:rPr>
                <w:sz w:val="22"/>
                <w:szCs w:val="22"/>
                <w:shd w:val="clear" w:color="auto" w:fill="FFFFFF"/>
              </w:rPr>
              <w:t>duodenalnog</w:t>
            </w:r>
            <w:r w:rsidRPr="00DC010A">
              <w:rPr>
                <w:sz w:val="22"/>
                <w:szCs w:val="22"/>
                <w:shd w:val="clear" w:color="auto" w:fill="FFFFFF"/>
                <w:lang w:val="sr-Latn-CS"/>
              </w:rPr>
              <w:t xml:space="preserve"> ulkusa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negativnih</w:t>
            </w:r>
            <w:r w:rsidRPr="00DC010A">
              <w:rPr>
                <w:sz w:val="22"/>
                <w:szCs w:val="22"/>
                <w:shd w:val="clear" w:color="auto" w:fill="FFFFFF"/>
                <w:lang w:val="sr-Latn-CS"/>
              </w:rPr>
              <w:t xml:space="preserve"> na </w:t>
            </w:r>
            <w:r w:rsidRPr="00DC010A">
              <w:rPr>
                <w:i/>
                <w:sz w:val="22"/>
                <w:szCs w:val="22"/>
                <w:shd w:val="clear" w:color="auto" w:fill="FFFFFF"/>
              </w:rPr>
              <w:t>H</w:t>
            </w:r>
            <w:r w:rsidRPr="00DC010A">
              <w:rPr>
                <w:i/>
                <w:sz w:val="22"/>
                <w:szCs w:val="22"/>
                <w:shd w:val="clear" w:color="auto" w:fill="FFFFFF"/>
                <w:lang w:val="sr-Latn-CS"/>
              </w:rPr>
              <w:t xml:space="preserve">. </w:t>
            </w:r>
            <w:r w:rsidRPr="00DC010A">
              <w:rPr>
                <w:i/>
                <w:sz w:val="22"/>
                <w:szCs w:val="22"/>
                <w:shd w:val="clear" w:color="auto" w:fill="FFFFFF"/>
              </w:rPr>
              <w:t>pilori</w:t>
            </w:r>
            <w:r w:rsidRPr="00DC010A">
              <w:rPr>
                <w:i/>
                <w:sz w:val="22"/>
                <w:szCs w:val="22"/>
                <w:shd w:val="clear" w:color="auto" w:fill="FFFFFF"/>
                <w:lang w:val="sr-Latn-CS"/>
              </w:rPr>
              <w:t xml:space="preserve"> </w:t>
            </w:r>
            <w:r w:rsidRPr="00DC010A">
              <w:rPr>
                <w:sz w:val="22"/>
                <w:szCs w:val="22"/>
                <w:shd w:val="clear" w:color="auto" w:fill="FFFFFF"/>
              </w:rPr>
              <w:t>ili</w:t>
            </w:r>
            <w:r w:rsidRPr="00DC010A">
              <w:rPr>
                <w:sz w:val="22"/>
                <w:szCs w:val="22"/>
                <w:shd w:val="clear" w:color="auto" w:fill="FFFFFF"/>
                <w:lang w:val="sr-Latn-CS"/>
              </w:rPr>
              <w:t xml:space="preserve"> u slučaju </w:t>
            </w:r>
            <w:r w:rsidRPr="00DC010A">
              <w:rPr>
                <w:sz w:val="22"/>
                <w:szCs w:val="22"/>
                <w:shd w:val="clear" w:color="auto" w:fill="FFFFFF"/>
              </w:rPr>
              <w:t>kada</w:t>
            </w:r>
            <w:r w:rsidRPr="00DC010A">
              <w:rPr>
                <w:sz w:val="22"/>
                <w:szCs w:val="22"/>
                <w:shd w:val="clear" w:color="auto" w:fill="FFFFFF"/>
                <w:lang w:val="sr-Latn-CS"/>
              </w:rPr>
              <w:t xml:space="preserve"> </w:t>
            </w:r>
            <w:r w:rsidRPr="00DC010A">
              <w:rPr>
                <w:sz w:val="22"/>
                <w:szCs w:val="22"/>
                <w:shd w:val="clear" w:color="auto" w:fill="FFFFFF"/>
              </w:rPr>
              <w:t>eradikacija</w:t>
            </w:r>
            <w:r w:rsidRPr="00DC010A">
              <w:rPr>
                <w:sz w:val="22"/>
                <w:szCs w:val="22"/>
                <w:shd w:val="clear" w:color="auto" w:fill="FFFFFF"/>
                <w:lang w:val="sr-Latn-CS"/>
              </w:rPr>
              <w:t xml:space="preserve"> </w:t>
            </w:r>
            <w:r w:rsidRPr="00DC010A">
              <w:rPr>
                <w:i/>
                <w:sz w:val="22"/>
                <w:szCs w:val="22"/>
                <w:shd w:val="clear" w:color="auto" w:fill="FFFFFF"/>
              </w:rPr>
              <w:t>H</w:t>
            </w:r>
            <w:r w:rsidRPr="00DC010A">
              <w:rPr>
                <w:i/>
                <w:sz w:val="22"/>
                <w:szCs w:val="22"/>
                <w:shd w:val="clear" w:color="auto" w:fill="FFFFFF"/>
                <w:lang w:val="sr-Latn-CS"/>
              </w:rPr>
              <w:t xml:space="preserve">. </w:t>
            </w:r>
            <w:r w:rsidRPr="00DC010A">
              <w:rPr>
                <w:i/>
                <w:sz w:val="22"/>
                <w:szCs w:val="22"/>
                <w:shd w:val="clear" w:color="auto" w:fill="FFFFFF"/>
              </w:rPr>
              <w:t>pilori</w:t>
            </w:r>
            <w:r w:rsidRPr="00DC010A">
              <w:rPr>
                <w:sz w:val="22"/>
                <w:szCs w:val="22"/>
                <w:shd w:val="clear" w:color="auto" w:fill="FFFFFF"/>
                <w:lang w:val="sr-Latn-CS"/>
              </w:rPr>
              <w:t xml:space="preserve"> </w:t>
            </w:r>
            <w:r w:rsidRPr="00DC010A">
              <w:rPr>
                <w:sz w:val="22"/>
                <w:szCs w:val="22"/>
                <w:shd w:val="clear" w:color="auto" w:fill="FFFFFF"/>
              </w:rPr>
              <w:t>nije</w:t>
            </w:r>
            <w:r w:rsidRPr="00DC010A">
              <w:rPr>
                <w:sz w:val="22"/>
                <w:szCs w:val="22"/>
                <w:shd w:val="clear" w:color="auto" w:fill="FFFFFF"/>
                <w:lang w:val="sr-Latn-CS"/>
              </w:rPr>
              <w:t xml:space="preserve"> </w:t>
            </w:r>
            <w:r w:rsidRPr="00DC010A">
              <w:rPr>
                <w:sz w:val="22"/>
                <w:szCs w:val="22"/>
                <w:shd w:val="clear" w:color="auto" w:fill="FFFFFF"/>
              </w:rPr>
              <w:t>moguc</w:t>
            </w:r>
            <w:r w:rsidRPr="00DC010A">
              <w:rPr>
                <w:sz w:val="22"/>
                <w:szCs w:val="22"/>
                <w:shd w:val="clear" w:color="auto" w:fill="FFFFFF"/>
                <w:lang w:val="sr-Latn-CS"/>
              </w:rPr>
              <w:t>́</w:t>
            </w:r>
            <w:r w:rsidRPr="00DC010A">
              <w:rPr>
                <w:sz w:val="22"/>
                <w:szCs w:val="22"/>
                <w:shd w:val="clear" w:color="auto" w:fill="FFFFFF"/>
              </w:rPr>
              <w:t>a</w:t>
            </w:r>
            <w:r w:rsidRPr="00DC010A">
              <w:rPr>
                <w:sz w:val="22"/>
                <w:szCs w:val="22"/>
                <w:shd w:val="clear" w:color="auto" w:fill="FFFFFF"/>
                <w:lang w:val="sr-Latn-CS"/>
              </w:rPr>
              <w:t xml:space="preserve">, </w:t>
            </w: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ena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20 </w:t>
            </w:r>
            <w:r w:rsidRPr="00DC010A">
              <w:rPr>
                <w:sz w:val="22"/>
                <w:szCs w:val="22"/>
                <w:shd w:val="clear" w:color="auto" w:fill="FFFFFF"/>
              </w:rPr>
              <w:t>mg</w:t>
            </w:r>
            <w:r w:rsidRPr="00DC010A">
              <w:rPr>
                <w:sz w:val="22"/>
                <w:szCs w:val="22"/>
                <w:shd w:val="clear" w:color="auto" w:fill="FFFFFF"/>
                <w:lang w:val="sr-Latn-CS"/>
              </w:rPr>
              <w:t xml:space="preserve"> omeprazola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nekih</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dnevna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10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mo</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biti</w:t>
            </w:r>
            <w:r w:rsidRPr="00DC010A">
              <w:rPr>
                <w:sz w:val="22"/>
                <w:szCs w:val="22"/>
                <w:shd w:val="clear" w:color="auto" w:fill="FFFFFF"/>
                <w:lang w:val="sr-Latn-CS"/>
              </w:rPr>
              <w:t xml:space="preserve"> </w:t>
            </w:r>
            <w:r w:rsidRPr="00DC010A">
              <w:rPr>
                <w:sz w:val="22"/>
                <w:szCs w:val="22"/>
                <w:shd w:val="clear" w:color="auto" w:fill="FFFFFF"/>
              </w:rPr>
              <w:t>dovoljna</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slu</w:t>
            </w:r>
            <w:r w:rsidRPr="00DC010A">
              <w:rPr>
                <w:sz w:val="22"/>
                <w:szCs w:val="22"/>
                <w:shd w:val="clear" w:color="auto" w:fill="FFFFFF"/>
                <w:lang w:val="sr-Latn-CS"/>
              </w:rPr>
              <w:t>č</w:t>
            </w:r>
            <w:r w:rsidRPr="00DC010A">
              <w:rPr>
                <w:sz w:val="22"/>
                <w:szCs w:val="22"/>
                <w:shd w:val="clear" w:color="auto" w:fill="FFFFFF"/>
              </w:rPr>
              <w:t>aju</w:t>
            </w:r>
            <w:r w:rsidRPr="00DC010A">
              <w:rPr>
                <w:sz w:val="22"/>
                <w:szCs w:val="22"/>
                <w:shd w:val="clear" w:color="auto" w:fill="FFFFFF"/>
                <w:lang w:val="sr-Latn-CS"/>
              </w:rPr>
              <w:t xml:space="preserve"> </w:t>
            </w:r>
            <w:r w:rsidRPr="00DC010A">
              <w:rPr>
                <w:sz w:val="22"/>
                <w:szCs w:val="22"/>
                <w:shd w:val="clear" w:color="auto" w:fill="FFFFFF"/>
              </w:rPr>
              <w:t>terapijskog</w:t>
            </w:r>
            <w:r w:rsidRPr="00DC010A">
              <w:rPr>
                <w:sz w:val="22"/>
                <w:szCs w:val="22"/>
                <w:shd w:val="clear" w:color="auto" w:fill="FFFFFF"/>
                <w:lang w:val="sr-Latn-CS"/>
              </w:rPr>
              <w:t xml:space="preserve"> </w:t>
            </w:r>
            <w:r w:rsidRPr="00DC010A">
              <w:rPr>
                <w:sz w:val="22"/>
                <w:szCs w:val="22"/>
                <w:shd w:val="clear" w:color="auto" w:fill="FFFFFF"/>
              </w:rPr>
              <w:t>neuspjeha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mo</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povec</w:t>
            </w:r>
            <w:r w:rsidRPr="00DC010A">
              <w:rPr>
                <w:sz w:val="22"/>
                <w:szCs w:val="22"/>
                <w:shd w:val="clear" w:color="auto" w:fill="FFFFFF"/>
                <w:lang w:val="sr-Latn-CS"/>
              </w:rPr>
              <w:t>́</w:t>
            </w:r>
            <w:r w:rsidRPr="00DC010A">
              <w:rPr>
                <w:sz w:val="22"/>
                <w:szCs w:val="22"/>
                <w:shd w:val="clear" w:color="auto" w:fill="FFFFFF"/>
              </w:rPr>
              <w:t>ati</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40 </w:t>
            </w:r>
            <w:r w:rsidRPr="00DC010A">
              <w:rPr>
                <w:sz w:val="22"/>
                <w:szCs w:val="22"/>
                <w:shd w:val="clear" w:color="auto" w:fill="FFFFFF"/>
              </w:rPr>
              <w:t>mg</w:t>
            </w:r>
            <w:r w:rsidRPr="00DC010A">
              <w:rPr>
                <w:sz w:val="22"/>
                <w:szCs w:val="22"/>
                <w:shd w:val="clear" w:color="auto" w:fill="FFFFFF"/>
                <w:lang w:val="sr-Latn-CS"/>
              </w:rPr>
              <w:t>.</w:t>
            </w:r>
          </w:p>
          <w:p w:rsidR="008E31D0" w:rsidRPr="00DC010A" w:rsidRDefault="008E31D0" w:rsidP="008E31D0">
            <w:pPr>
              <w:pStyle w:val="NoSpacing"/>
              <w:rPr>
                <w:b/>
                <w:sz w:val="22"/>
                <w:szCs w:val="22"/>
                <w:lang w:val="sr-Latn-CS"/>
              </w:rPr>
            </w:pPr>
          </w:p>
          <w:p w:rsidR="008E31D0" w:rsidRPr="00DC010A" w:rsidRDefault="008E31D0" w:rsidP="008E31D0">
            <w:pPr>
              <w:pStyle w:val="NoSpacing"/>
              <w:rPr>
                <w:b/>
                <w:sz w:val="22"/>
                <w:szCs w:val="22"/>
                <w:shd w:val="clear" w:color="auto" w:fill="FFFFFF"/>
                <w:lang w:val="sr-Latn-CS"/>
              </w:rPr>
            </w:pPr>
            <w:r w:rsidRPr="00DC010A">
              <w:rPr>
                <w:b/>
                <w:sz w:val="22"/>
                <w:szCs w:val="22"/>
                <w:shd w:val="clear" w:color="auto" w:fill="FFFFFF"/>
              </w:rPr>
              <w:t>Terapija</w:t>
            </w:r>
            <w:r w:rsidRPr="00DC010A">
              <w:rPr>
                <w:b/>
                <w:sz w:val="22"/>
                <w:szCs w:val="22"/>
                <w:shd w:val="clear" w:color="auto" w:fill="FFFFFF"/>
                <w:lang w:val="sr-Latn-CS"/>
              </w:rPr>
              <w:t xml:space="preserve"> gastričnog ulkusa</w:t>
            </w:r>
          </w:p>
          <w:p w:rsidR="008E31D0" w:rsidRPr="00DC010A" w:rsidRDefault="008E31D0" w:rsidP="008E31D0">
            <w:pPr>
              <w:pStyle w:val="NoSpacing"/>
              <w:rPr>
                <w:sz w:val="22"/>
                <w:szCs w:val="22"/>
                <w:shd w:val="clear" w:color="auto" w:fill="FFFFFF"/>
                <w:lang w:val="sr-Latn-CS"/>
              </w:rPr>
            </w:pP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ena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20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omeprazola</w:t>
            </w:r>
            <w:r w:rsidRPr="00DC010A">
              <w:rPr>
                <w:sz w:val="22"/>
                <w:szCs w:val="22"/>
                <w:shd w:val="clear" w:color="auto" w:fill="FFFFFF"/>
                <w:lang w:val="sr-Latn-CS"/>
              </w:rPr>
              <w:t xml:space="preserve">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vec</w:t>
            </w:r>
            <w:r w:rsidRPr="00DC010A">
              <w:rPr>
                <w:sz w:val="22"/>
                <w:szCs w:val="22"/>
                <w:shd w:val="clear" w:color="auto" w:fill="FFFFFF"/>
                <w:lang w:val="sr-Latn-CS"/>
              </w:rPr>
              <w:t>́</w:t>
            </w:r>
            <w:r w:rsidRPr="00DC010A">
              <w:rPr>
                <w:sz w:val="22"/>
                <w:szCs w:val="22"/>
                <w:shd w:val="clear" w:color="auto" w:fill="FFFFFF"/>
              </w:rPr>
              <w:t>ine</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iz</w:t>
            </w:r>
            <w:r w:rsidRPr="00DC010A">
              <w:rPr>
                <w:sz w:val="22"/>
                <w:szCs w:val="22"/>
                <w:shd w:val="clear" w:color="auto" w:fill="FFFFFF"/>
              </w:rPr>
              <w:t>lje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nastaje</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roku</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č</w:t>
            </w:r>
            <w:r w:rsidRPr="00DC010A">
              <w:rPr>
                <w:sz w:val="22"/>
                <w:szCs w:val="22"/>
                <w:shd w:val="clear" w:color="auto" w:fill="FFFFFF"/>
              </w:rPr>
              <w:t>etiri</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one</w:t>
            </w:r>
            <w:r w:rsidRPr="00DC010A">
              <w:rPr>
                <w:sz w:val="22"/>
                <w:szCs w:val="22"/>
                <w:shd w:val="clear" w:color="auto" w:fill="FFFFFF"/>
                <w:lang w:val="sr-Latn-CS"/>
              </w:rPr>
              <w:t xml:space="preserve"> </w:t>
            </w:r>
            <w:r w:rsidRPr="00DC010A">
              <w:rPr>
                <w:sz w:val="22"/>
                <w:szCs w:val="22"/>
                <w:shd w:val="clear" w:color="auto" w:fill="FFFFFF"/>
              </w:rPr>
              <w:t>pacijente</w:t>
            </w:r>
            <w:r w:rsidRPr="00DC010A">
              <w:rPr>
                <w:sz w:val="22"/>
                <w:szCs w:val="22"/>
                <w:shd w:val="clear" w:color="auto" w:fill="FFFFFF"/>
                <w:lang w:val="sr-Latn-CS"/>
              </w:rPr>
              <w:t xml:space="preserve"> </w:t>
            </w:r>
            <w:r w:rsidRPr="00DC010A">
              <w:rPr>
                <w:sz w:val="22"/>
                <w:szCs w:val="22"/>
                <w:shd w:val="clear" w:color="auto" w:fill="FFFFFF"/>
              </w:rPr>
              <w:t>koji</w:t>
            </w:r>
            <w:r w:rsidRPr="00DC010A">
              <w:rPr>
                <w:sz w:val="22"/>
                <w:szCs w:val="22"/>
                <w:shd w:val="clear" w:color="auto" w:fill="FFFFFF"/>
                <w:lang w:val="sr-Latn-CS"/>
              </w:rPr>
              <w:t xml:space="preserve"> </w:t>
            </w:r>
            <w:r w:rsidRPr="00DC010A">
              <w:rPr>
                <w:sz w:val="22"/>
                <w:szCs w:val="22"/>
                <w:shd w:val="clear" w:color="auto" w:fill="FFFFFF"/>
              </w:rPr>
              <w:t>nijesu</w:t>
            </w:r>
            <w:r w:rsidRPr="00DC010A">
              <w:rPr>
                <w:sz w:val="22"/>
                <w:szCs w:val="22"/>
                <w:shd w:val="clear" w:color="auto" w:fill="FFFFFF"/>
                <w:lang w:val="sr-Latn-CS"/>
              </w:rPr>
              <w:t xml:space="preserve"> </w:t>
            </w:r>
            <w:r w:rsidRPr="00DC010A">
              <w:rPr>
                <w:sz w:val="22"/>
                <w:szCs w:val="22"/>
                <w:shd w:val="clear" w:color="auto" w:fill="FFFFFF"/>
              </w:rPr>
              <w:t>potpuno</w:t>
            </w:r>
            <w:r w:rsidRPr="00DC010A">
              <w:rPr>
                <w:sz w:val="22"/>
                <w:szCs w:val="22"/>
                <w:shd w:val="clear" w:color="auto" w:fill="FFFFFF"/>
                <w:lang w:val="sr-Latn-CS"/>
              </w:rPr>
              <w:t xml:space="preserve"> </w:t>
            </w:r>
            <w:r w:rsidRPr="00DC010A">
              <w:rPr>
                <w:sz w:val="22"/>
                <w:szCs w:val="22"/>
                <w:shd w:val="clear" w:color="auto" w:fill="FFFFFF"/>
              </w:rPr>
              <w:t>izlije</w:t>
            </w:r>
            <w:r w:rsidRPr="00DC010A">
              <w:rPr>
                <w:sz w:val="22"/>
                <w:szCs w:val="22"/>
                <w:shd w:val="clear" w:color="auto" w:fill="FFFFFF"/>
                <w:lang w:val="sr-Latn-CS"/>
              </w:rPr>
              <w:t>č</w:t>
            </w:r>
            <w:r w:rsidRPr="00DC010A">
              <w:rPr>
                <w:sz w:val="22"/>
                <w:szCs w:val="22"/>
                <w:shd w:val="clear" w:color="auto" w:fill="FFFFFF"/>
              </w:rPr>
              <w:t>eni</w:t>
            </w:r>
            <w:r w:rsidRPr="00DC010A">
              <w:rPr>
                <w:sz w:val="22"/>
                <w:szCs w:val="22"/>
                <w:shd w:val="clear" w:color="auto" w:fill="FFFFFF"/>
                <w:lang w:val="sr-Latn-CS"/>
              </w:rPr>
              <w:t xml:space="preserve"> </w:t>
            </w:r>
            <w:r w:rsidRPr="00DC010A">
              <w:rPr>
                <w:sz w:val="22"/>
                <w:szCs w:val="22"/>
                <w:shd w:val="clear" w:color="auto" w:fill="FFFFFF"/>
              </w:rPr>
              <w:t>nakon</w:t>
            </w:r>
            <w:r w:rsidRPr="00DC010A">
              <w:rPr>
                <w:sz w:val="22"/>
                <w:szCs w:val="22"/>
                <w:shd w:val="clear" w:color="auto" w:fill="FFFFFF"/>
                <w:lang w:val="sr-Latn-CS"/>
              </w:rPr>
              <w:t xml:space="preserve"> </w:t>
            </w:r>
            <w:r w:rsidRPr="00DC010A">
              <w:rPr>
                <w:sz w:val="22"/>
                <w:szCs w:val="22"/>
                <w:shd w:val="clear" w:color="auto" w:fill="FFFFFF"/>
              </w:rPr>
              <w:t>inicijalnog</w:t>
            </w:r>
            <w:r w:rsidRPr="00DC010A">
              <w:rPr>
                <w:sz w:val="22"/>
                <w:szCs w:val="22"/>
                <w:shd w:val="clear" w:color="auto" w:fill="FFFFFF"/>
                <w:lang w:val="sr-Latn-CS"/>
              </w:rPr>
              <w:t xml:space="preserve"> </w:t>
            </w:r>
            <w:r w:rsidRPr="00DC010A">
              <w:rPr>
                <w:sz w:val="22"/>
                <w:szCs w:val="22"/>
                <w:shd w:val="clear" w:color="auto" w:fill="FFFFFF"/>
              </w:rPr>
              <w:t>terapije</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obi</w:t>
            </w:r>
            <w:r w:rsidRPr="00DC010A">
              <w:rPr>
                <w:sz w:val="22"/>
                <w:szCs w:val="22"/>
                <w:shd w:val="clear" w:color="auto" w:fill="FFFFFF"/>
                <w:lang w:val="sr-Latn-CS"/>
              </w:rPr>
              <w:t>č</w:t>
            </w:r>
            <w:r w:rsidRPr="00DC010A">
              <w:rPr>
                <w:sz w:val="22"/>
                <w:szCs w:val="22"/>
                <w:shd w:val="clear" w:color="auto" w:fill="FFFFFF"/>
              </w:rPr>
              <w:t>no</w:t>
            </w:r>
            <w:r w:rsidRPr="00DC010A">
              <w:rPr>
                <w:sz w:val="22"/>
                <w:szCs w:val="22"/>
                <w:shd w:val="clear" w:color="auto" w:fill="FFFFFF"/>
                <w:lang w:val="sr-Latn-CS"/>
              </w:rPr>
              <w:t xml:space="preserve"> </w:t>
            </w:r>
            <w:r w:rsidRPr="00DC010A">
              <w:rPr>
                <w:sz w:val="22"/>
                <w:szCs w:val="22"/>
                <w:shd w:val="clear" w:color="auto" w:fill="FFFFFF"/>
              </w:rPr>
              <w:t>nastavlja</w:t>
            </w:r>
            <w:r w:rsidRPr="00DC010A">
              <w:rPr>
                <w:sz w:val="22"/>
                <w:szCs w:val="22"/>
                <w:shd w:val="clear" w:color="auto" w:fill="FFFFFF"/>
                <w:lang w:val="sr-Latn-CS"/>
              </w:rPr>
              <w:t xml:space="preserve"> </w:t>
            </w:r>
            <w:r w:rsidRPr="00DC010A">
              <w:rPr>
                <w:sz w:val="22"/>
                <w:szCs w:val="22"/>
                <w:shd w:val="clear" w:color="auto" w:fill="FFFFFF"/>
              </w:rPr>
              <w:t>tokom</w:t>
            </w:r>
            <w:r w:rsidRPr="00DC010A">
              <w:rPr>
                <w:sz w:val="22"/>
                <w:szCs w:val="22"/>
                <w:shd w:val="clear" w:color="auto" w:fill="FFFFFF"/>
                <w:lang w:val="sr-Latn-CS"/>
              </w:rPr>
              <w:t xml:space="preserve"> </w:t>
            </w:r>
            <w:r w:rsidRPr="00DC010A">
              <w:rPr>
                <w:sz w:val="22"/>
                <w:szCs w:val="22"/>
                <w:shd w:val="clear" w:color="auto" w:fill="FFFFFF"/>
              </w:rPr>
              <w:t>jo</w:t>
            </w:r>
            <w:r w:rsidRPr="00DC010A">
              <w:rPr>
                <w:sz w:val="22"/>
                <w:szCs w:val="22"/>
                <w:shd w:val="clear" w:color="auto" w:fill="FFFFFF"/>
                <w:lang w:val="sr-Latn-CS"/>
              </w:rPr>
              <w:t>š č</w:t>
            </w:r>
            <w:r w:rsidRPr="00DC010A">
              <w:rPr>
                <w:sz w:val="22"/>
                <w:szCs w:val="22"/>
                <w:shd w:val="clear" w:color="auto" w:fill="FFFFFF"/>
              </w:rPr>
              <w:t>etiri</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želudačnim ulkusom koji slabo reaguju na liječenje, preporučuje se 40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omeprazola</w:t>
            </w:r>
            <w:r w:rsidRPr="00DC010A">
              <w:rPr>
                <w:sz w:val="22"/>
                <w:szCs w:val="22"/>
                <w:shd w:val="clear" w:color="auto" w:fill="FFFFFF"/>
                <w:lang w:val="sr-Latn-CS"/>
              </w:rPr>
              <w:t xml:space="preserve">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a</w:t>
            </w:r>
            <w:r w:rsidRPr="00DC010A">
              <w:rPr>
                <w:sz w:val="22"/>
                <w:szCs w:val="22"/>
                <w:shd w:val="clear" w:color="auto" w:fill="FFFFFF"/>
                <w:lang w:val="sr-Latn-CS"/>
              </w:rPr>
              <w:t xml:space="preserve"> iz</w:t>
            </w:r>
            <w:r w:rsidRPr="00DC010A">
              <w:rPr>
                <w:sz w:val="22"/>
                <w:szCs w:val="22"/>
                <w:shd w:val="clear" w:color="auto" w:fill="FFFFFF"/>
              </w:rPr>
              <w:t>lje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obi</w:t>
            </w:r>
            <w:r w:rsidRPr="00DC010A">
              <w:rPr>
                <w:sz w:val="22"/>
                <w:szCs w:val="22"/>
                <w:shd w:val="clear" w:color="auto" w:fill="FFFFFF"/>
                <w:lang w:val="sr-Latn-CS"/>
              </w:rPr>
              <w:t>č</w:t>
            </w:r>
            <w:r w:rsidRPr="00DC010A">
              <w:rPr>
                <w:sz w:val="22"/>
                <w:szCs w:val="22"/>
                <w:shd w:val="clear" w:color="auto" w:fill="FFFFFF"/>
              </w:rPr>
              <w:t>no</w:t>
            </w:r>
            <w:r w:rsidRPr="00DC010A">
              <w:rPr>
                <w:sz w:val="22"/>
                <w:szCs w:val="22"/>
                <w:shd w:val="clear" w:color="auto" w:fill="FFFFFF"/>
                <w:lang w:val="sr-Latn-CS"/>
              </w:rPr>
              <w:t xml:space="preserve"> </w:t>
            </w:r>
            <w:r w:rsidRPr="00DC010A">
              <w:rPr>
                <w:sz w:val="22"/>
                <w:szCs w:val="22"/>
                <w:shd w:val="clear" w:color="auto" w:fill="FFFFFF"/>
              </w:rPr>
              <w:t>posti</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roku</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w:t>
            </w:r>
            <w:r w:rsidRPr="00DC010A">
              <w:rPr>
                <w:sz w:val="22"/>
                <w:szCs w:val="22"/>
                <w:shd w:val="clear" w:color="auto" w:fill="FFFFFF"/>
              </w:rPr>
              <w:t>osam</w:t>
            </w:r>
            <w:r w:rsidRPr="00DC010A">
              <w:rPr>
                <w:sz w:val="22"/>
                <w:szCs w:val="22"/>
                <w:shd w:val="clear" w:color="auto" w:fill="FFFFFF"/>
                <w:lang w:val="sr-Latn-CS"/>
              </w:rPr>
              <w:t xml:space="preserve"> </w:t>
            </w:r>
            <w:r w:rsidRPr="00DC010A">
              <w:rPr>
                <w:sz w:val="22"/>
                <w:szCs w:val="22"/>
                <w:shd w:val="clear" w:color="auto" w:fill="FFFFFF"/>
              </w:rPr>
              <w:t>nedjelja</w:t>
            </w:r>
            <w:r w:rsidRPr="00DC010A">
              <w:rPr>
                <w:sz w:val="22"/>
                <w:szCs w:val="22"/>
                <w:shd w:val="clear" w:color="auto" w:fill="FFFFFF"/>
                <w:lang w:val="sr-Latn-CS"/>
              </w:rPr>
              <w:t>.</w:t>
            </w:r>
          </w:p>
          <w:p w:rsidR="008E31D0" w:rsidRPr="00DC010A" w:rsidRDefault="008E31D0" w:rsidP="008E31D0">
            <w:pPr>
              <w:pStyle w:val="NoSpacing"/>
              <w:rPr>
                <w:sz w:val="22"/>
                <w:szCs w:val="22"/>
                <w:shd w:val="clear" w:color="auto" w:fill="FFFFFF"/>
                <w:lang w:val="sr-Latn-CS"/>
              </w:rPr>
            </w:pPr>
          </w:p>
          <w:p w:rsidR="008E31D0" w:rsidRPr="00DC010A" w:rsidRDefault="008E31D0" w:rsidP="008E31D0">
            <w:pPr>
              <w:pStyle w:val="NoSpacing"/>
              <w:rPr>
                <w:sz w:val="22"/>
                <w:szCs w:val="22"/>
                <w:shd w:val="clear" w:color="auto" w:fill="FFFFFF"/>
                <w:lang w:val="sr-Latn-CS"/>
              </w:rPr>
            </w:pPr>
            <w:r w:rsidRPr="00DC010A">
              <w:rPr>
                <w:b/>
                <w:sz w:val="22"/>
                <w:szCs w:val="22"/>
                <w:shd w:val="clear" w:color="auto" w:fill="FFFFFF"/>
              </w:rPr>
              <w:t>Prevencija</w:t>
            </w:r>
            <w:r w:rsidRPr="00DC010A">
              <w:rPr>
                <w:b/>
                <w:sz w:val="22"/>
                <w:szCs w:val="22"/>
                <w:shd w:val="clear" w:color="auto" w:fill="FFFFFF"/>
                <w:lang w:val="sr-Latn-CS"/>
              </w:rPr>
              <w:t xml:space="preserve"> </w:t>
            </w:r>
            <w:r w:rsidRPr="00DC010A">
              <w:rPr>
                <w:b/>
                <w:sz w:val="22"/>
                <w:szCs w:val="22"/>
                <w:shd w:val="clear" w:color="auto" w:fill="FFFFFF"/>
              </w:rPr>
              <w:t>recidiva</w:t>
            </w:r>
            <w:r w:rsidRPr="00DC010A">
              <w:rPr>
                <w:b/>
                <w:sz w:val="22"/>
                <w:szCs w:val="22"/>
                <w:shd w:val="clear" w:color="auto" w:fill="FFFFFF"/>
                <w:lang w:val="sr-Latn-CS"/>
              </w:rPr>
              <w:t xml:space="preserve"> gastričnog ulkusa</w:t>
            </w:r>
            <w:r w:rsidRPr="00DC010A">
              <w:rPr>
                <w:b/>
                <w:sz w:val="22"/>
                <w:szCs w:val="22"/>
                <w:lang w:val="sr-Latn-CS"/>
              </w:rPr>
              <w:br/>
            </w: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prevenciju</w:t>
            </w:r>
            <w:r w:rsidRPr="00DC010A">
              <w:rPr>
                <w:sz w:val="22"/>
                <w:szCs w:val="22"/>
                <w:shd w:val="clear" w:color="auto" w:fill="FFFFFF"/>
                <w:lang w:val="sr-Latn-CS"/>
              </w:rPr>
              <w:t xml:space="preserve"> </w:t>
            </w:r>
            <w:r w:rsidRPr="00DC010A">
              <w:rPr>
                <w:sz w:val="22"/>
                <w:szCs w:val="22"/>
                <w:shd w:val="clear" w:color="auto" w:fill="FFFFFF"/>
              </w:rPr>
              <w:t>recidiva</w:t>
            </w:r>
            <w:r w:rsidRPr="00DC010A">
              <w:rPr>
                <w:sz w:val="22"/>
                <w:szCs w:val="22"/>
                <w:shd w:val="clear" w:color="auto" w:fill="FFFFFF"/>
                <w:lang w:val="sr-Latn-CS"/>
              </w:rPr>
              <w:t xml:space="preserve"> ulkusa ž</w:t>
            </w:r>
            <w:r w:rsidRPr="00DC010A">
              <w:rPr>
                <w:sz w:val="22"/>
                <w:szCs w:val="22"/>
                <w:shd w:val="clear" w:color="auto" w:fill="FFFFFF"/>
              </w:rPr>
              <w:t>eluca</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lo</w:t>
            </w:r>
            <w:r w:rsidRPr="00DC010A">
              <w:rPr>
                <w:sz w:val="22"/>
                <w:szCs w:val="22"/>
                <w:shd w:val="clear" w:color="auto" w:fill="FFFFFF"/>
                <w:lang w:val="sr-Latn-CS"/>
              </w:rPr>
              <w:t>š</w:t>
            </w:r>
            <w:r w:rsidRPr="00DC010A">
              <w:rPr>
                <w:sz w:val="22"/>
                <w:szCs w:val="22"/>
                <w:shd w:val="clear" w:color="auto" w:fill="FFFFFF"/>
              </w:rPr>
              <w:t>im</w:t>
            </w:r>
            <w:r w:rsidRPr="00DC010A">
              <w:rPr>
                <w:sz w:val="22"/>
                <w:szCs w:val="22"/>
                <w:shd w:val="clear" w:color="auto" w:fill="FFFFFF"/>
                <w:lang w:val="sr-Latn-CS"/>
              </w:rPr>
              <w:t xml:space="preserve"> odgovorom na liječenje, </w:t>
            </w: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ena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20 </w:t>
            </w:r>
            <w:r w:rsidRPr="00DC010A">
              <w:rPr>
                <w:sz w:val="22"/>
                <w:szCs w:val="22"/>
                <w:shd w:val="clear" w:color="auto" w:fill="FFFFFF"/>
              </w:rPr>
              <w:t>mg</w:t>
            </w:r>
            <w:r w:rsidRPr="00DC010A">
              <w:rPr>
                <w:sz w:val="22"/>
                <w:szCs w:val="22"/>
                <w:shd w:val="clear" w:color="auto" w:fill="FFFFFF"/>
                <w:lang w:val="sr-Latn-CS"/>
              </w:rPr>
              <w:t xml:space="preserve"> omeprazola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Ako</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w:t>
            </w:r>
            <w:r w:rsidRPr="00DC010A">
              <w:rPr>
                <w:sz w:val="22"/>
                <w:szCs w:val="22"/>
                <w:shd w:val="clear" w:color="auto" w:fill="FFFFFF"/>
              </w:rPr>
              <w:t>potrebno</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mo</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povec</w:t>
            </w:r>
            <w:r w:rsidRPr="00DC010A">
              <w:rPr>
                <w:sz w:val="22"/>
                <w:szCs w:val="22"/>
                <w:shd w:val="clear" w:color="auto" w:fill="FFFFFF"/>
                <w:lang w:val="sr-Latn-CS"/>
              </w:rPr>
              <w:t>́</w:t>
            </w:r>
            <w:r w:rsidRPr="00DC010A">
              <w:rPr>
                <w:sz w:val="22"/>
                <w:szCs w:val="22"/>
                <w:shd w:val="clear" w:color="auto" w:fill="FFFFFF"/>
              </w:rPr>
              <w:t>ati</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40 </w:t>
            </w:r>
            <w:r w:rsidRPr="00DC010A">
              <w:rPr>
                <w:sz w:val="22"/>
                <w:szCs w:val="22"/>
                <w:shd w:val="clear" w:color="auto" w:fill="FFFFFF"/>
              </w:rPr>
              <w:t>mg</w:t>
            </w:r>
            <w:r w:rsidRPr="00DC010A">
              <w:rPr>
                <w:sz w:val="22"/>
                <w:szCs w:val="22"/>
                <w:shd w:val="clear" w:color="auto" w:fill="FFFFFF"/>
                <w:lang w:val="sr-Latn-CS"/>
              </w:rPr>
              <w:t xml:space="preserve"> omeprazola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w:t>
            </w:r>
          </w:p>
          <w:p w:rsidR="008E31D0" w:rsidRPr="00DC010A" w:rsidRDefault="008E31D0" w:rsidP="008E31D0">
            <w:pPr>
              <w:pStyle w:val="NoSpacing"/>
              <w:rPr>
                <w:sz w:val="22"/>
                <w:szCs w:val="22"/>
                <w:shd w:val="clear" w:color="auto" w:fill="FFFFFF"/>
                <w:lang w:val="sr-Latn-CS"/>
              </w:rPr>
            </w:pPr>
          </w:p>
          <w:p w:rsidR="008E31D0" w:rsidRPr="00DC010A" w:rsidRDefault="008E31D0" w:rsidP="008E31D0">
            <w:pPr>
              <w:pStyle w:val="NoSpacing"/>
              <w:rPr>
                <w:sz w:val="22"/>
                <w:szCs w:val="22"/>
                <w:shd w:val="clear" w:color="auto" w:fill="FFFFFF"/>
                <w:lang w:val="sr-Latn-CS"/>
              </w:rPr>
            </w:pPr>
            <w:r w:rsidRPr="00DC010A">
              <w:rPr>
                <w:b/>
                <w:sz w:val="22"/>
                <w:szCs w:val="22"/>
                <w:shd w:val="clear" w:color="auto" w:fill="FFFFFF"/>
                <w:lang w:val="sr-Latn-CS"/>
              </w:rPr>
              <w:t xml:space="preserve">Eradikacija </w:t>
            </w:r>
            <w:r w:rsidRPr="00DC010A">
              <w:rPr>
                <w:b/>
                <w:i/>
                <w:sz w:val="22"/>
                <w:szCs w:val="22"/>
                <w:shd w:val="clear" w:color="auto" w:fill="FFFFFF"/>
              </w:rPr>
              <w:t>H</w:t>
            </w:r>
            <w:r w:rsidRPr="00DC010A">
              <w:rPr>
                <w:b/>
                <w:i/>
                <w:sz w:val="22"/>
                <w:szCs w:val="22"/>
                <w:shd w:val="clear" w:color="auto" w:fill="FFFFFF"/>
                <w:lang w:val="sr-Latn-CS"/>
              </w:rPr>
              <w:t xml:space="preserve">. </w:t>
            </w:r>
            <w:r w:rsidRPr="00DC010A">
              <w:rPr>
                <w:b/>
                <w:i/>
                <w:sz w:val="22"/>
                <w:szCs w:val="22"/>
                <w:shd w:val="clear" w:color="auto" w:fill="FFFFFF"/>
              </w:rPr>
              <w:t>pilori</w:t>
            </w:r>
            <w:r w:rsidRPr="00DC010A">
              <w:rPr>
                <w:b/>
                <w:sz w:val="22"/>
                <w:szCs w:val="22"/>
                <w:shd w:val="clear" w:color="auto" w:fill="FFFFFF"/>
                <w:lang w:val="sr-Latn-CS"/>
              </w:rPr>
              <w:t xml:space="preserve"> </w:t>
            </w:r>
            <w:r w:rsidRPr="00DC010A">
              <w:rPr>
                <w:b/>
                <w:sz w:val="22"/>
                <w:szCs w:val="22"/>
                <w:shd w:val="clear" w:color="auto" w:fill="FFFFFF"/>
              </w:rPr>
              <w:t>u</w:t>
            </w:r>
            <w:r w:rsidRPr="00DC010A">
              <w:rPr>
                <w:b/>
                <w:sz w:val="22"/>
                <w:szCs w:val="22"/>
                <w:shd w:val="clear" w:color="auto" w:fill="FFFFFF"/>
                <w:lang w:val="sr-Latn-CS"/>
              </w:rPr>
              <w:t xml:space="preserve"> </w:t>
            </w:r>
            <w:r w:rsidRPr="00DC010A">
              <w:rPr>
                <w:b/>
                <w:sz w:val="22"/>
                <w:szCs w:val="22"/>
                <w:shd w:val="clear" w:color="auto" w:fill="FFFFFF"/>
              </w:rPr>
              <w:t>lije</w:t>
            </w:r>
            <w:r w:rsidRPr="00DC010A">
              <w:rPr>
                <w:b/>
                <w:sz w:val="22"/>
                <w:szCs w:val="22"/>
                <w:shd w:val="clear" w:color="auto" w:fill="FFFFFF"/>
                <w:lang w:val="sr-Latn-CS"/>
              </w:rPr>
              <w:t>č</w:t>
            </w:r>
            <w:r w:rsidRPr="00DC010A">
              <w:rPr>
                <w:b/>
                <w:sz w:val="22"/>
                <w:szCs w:val="22"/>
                <w:shd w:val="clear" w:color="auto" w:fill="FFFFFF"/>
              </w:rPr>
              <w:t>enju</w:t>
            </w:r>
            <w:r w:rsidRPr="00DC010A">
              <w:rPr>
                <w:b/>
                <w:sz w:val="22"/>
                <w:szCs w:val="22"/>
                <w:shd w:val="clear" w:color="auto" w:fill="FFFFFF"/>
                <w:lang w:val="sr-Latn-CS"/>
              </w:rPr>
              <w:t xml:space="preserve"> </w:t>
            </w:r>
            <w:r w:rsidRPr="00DC010A">
              <w:rPr>
                <w:b/>
                <w:sz w:val="22"/>
                <w:szCs w:val="22"/>
                <w:shd w:val="clear" w:color="auto" w:fill="FFFFFF"/>
              </w:rPr>
              <w:t>pepti</w:t>
            </w:r>
            <w:r w:rsidRPr="00DC010A">
              <w:rPr>
                <w:b/>
                <w:sz w:val="22"/>
                <w:szCs w:val="22"/>
                <w:shd w:val="clear" w:color="auto" w:fill="FFFFFF"/>
                <w:lang w:val="sr-Latn-CS"/>
              </w:rPr>
              <w:t>č</w:t>
            </w:r>
            <w:r w:rsidRPr="00DC010A">
              <w:rPr>
                <w:b/>
                <w:sz w:val="22"/>
                <w:szCs w:val="22"/>
                <w:shd w:val="clear" w:color="auto" w:fill="FFFFFF"/>
              </w:rPr>
              <w:t>kog</w:t>
            </w:r>
            <w:r w:rsidRPr="00DC010A">
              <w:rPr>
                <w:b/>
                <w:sz w:val="22"/>
                <w:szCs w:val="22"/>
                <w:shd w:val="clear" w:color="auto" w:fill="FFFFFF"/>
                <w:lang w:val="sr-Latn-CS"/>
              </w:rPr>
              <w:t xml:space="preserve"> </w:t>
            </w:r>
            <w:r w:rsidRPr="00DC010A">
              <w:rPr>
                <w:b/>
                <w:sz w:val="22"/>
                <w:szCs w:val="22"/>
                <w:shd w:val="clear" w:color="auto" w:fill="FFFFFF"/>
              </w:rPr>
              <w:t>ulkusa</w:t>
            </w:r>
            <w:r w:rsidRPr="00DC010A">
              <w:rPr>
                <w:sz w:val="22"/>
                <w:szCs w:val="22"/>
                <w:lang w:val="sr-Latn-CS"/>
              </w:rPr>
              <w:br/>
            </w: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eradikaciju</w:t>
            </w:r>
            <w:r w:rsidRPr="00DC010A">
              <w:rPr>
                <w:sz w:val="22"/>
                <w:szCs w:val="22"/>
                <w:shd w:val="clear" w:color="auto" w:fill="FFFFFF"/>
                <w:lang w:val="sr-Latn-CS"/>
              </w:rPr>
              <w:t xml:space="preserve"> </w:t>
            </w:r>
            <w:r w:rsidRPr="00DC010A">
              <w:rPr>
                <w:i/>
                <w:sz w:val="22"/>
                <w:szCs w:val="22"/>
                <w:shd w:val="clear" w:color="auto" w:fill="FFFFFF"/>
              </w:rPr>
              <w:t>H</w:t>
            </w:r>
            <w:r w:rsidRPr="00DC010A">
              <w:rPr>
                <w:i/>
                <w:sz w:val="22"/>
                <w:szCs w:val="22"/>
                <w:shd w:val="clear" w:color="auto" w:fill="FFFFFF"/>
                <w:lang w:val="sr-Latn-CS"/>
              </w:rPr>
              <w:t xml:space="preserve">. </w:t>
            </w:r>
            <w:r w:rsidRPr="00DC010A">
              <w:rPr>
                <w:i/>
                <w:sz w:val="22"/>
                <w:szCs w:val="22"/>
                <w:shd w:val="clear" w:color="auto" w:fill="FFFFFF"/>
              </w:rPr>
              <w:t>pilori</w:t>
            </w:r>
            <w:r w:rsidRPr="00DC010A">
              <w:rPr>
                <w:sz w:val="22"/>
                <w:szCs w:val="22"/>
                <w:shd w:val="clear" w:color="auto" w:fill="FFFFFF"/>
                <w:lang w:val="sr-Latn-CS"/>
              </w:rPr>
              <w:t xml:space="preserve">, kod </w:t>
            </w:r>
            <w:r w:rsidRPr="00DC010A">
              <w:rPr>
                <w:sz w:val="22"/>
                <w:szCs w:val="22"/>
                <w:shd w:val="clear" w:color="auto" w:fill="FFFFFF"/>
              </w:rPr>
              <w:t>odabira</w:t>
            </w:r>
            <w:r w:rsidRPr="00DC010A">
              <w:rPr>
                <w:sz w:val="22"/>
                <w:szCs w:val="22"/>
                <w:shd w:val="clear" w:color="auto" w:fill="FFFFFF"/>
                <w:lang w:val="sr-Latn-CS"/>
              </w:rPr>
              <w:t xml:space="preserve"> </w:t>
            </w:r>
            <w:r w:rsidRPr="00DC010A">
              <w:rPr>
                <w:sz w:val="22"/>
                <w:szCs w:val="22"/>
                <w:shd w:val="clear" w:color="auto" w:fill="FFFFFF"/>
              </w:rPr>
              <w:t>antibiotika</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uzeti</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obzir</w:t>
            </w:r>
            <w:r w:rsidRPr="00DC010A">
              <w:rPr>
                <w:sz w:val="22"/>
                <w:szCs w:val="22"/>
                <w:shd w:val="clear" w:color="auto" w:fill="FFFFFF"/>
                <w:lang w:val="sr-Latn-CS"/>
              </w:rPr>
              <w:t xml:space="preserve"> pacijentovu individualnu podnošljivost </w:t>
            </w:r>
            <w:r w:rsidRPr="00DC010A">
              <w:rPr>
                <w:sz w:val="22"/>
                <w:szCs w:val="22"/>
                <w:shd w:val="clear" w:color="auto" w:fill="FFFFFF"/>
              </w:rPr>
              <w:t>lijeka</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biti</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skladu</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nacionalnim</w:t>
            </w:r>
            <w:r w:rsidRPr="00DC010A">
              <w:rPr>
                <w:sz w:val="22"/>
                <w:szCs w:val="22"/>
                <w:shd w:val="clear" w:color="auto" w:fill="FFFFFF"/>
                <w:lang w:val="sr-Latn-CS"/>
              </w:rPr>
              <w:t xml:space="preserve">, </w:t>
            </w:r>
            <w:r w:rsidRPr="00DC010A">
              <w:rPr>
                <w:sz w:val="22"/>
                <w:szCs w:val="22"/>
                <w:shd w:val="clear" w:color="auto" w:fill="FFFFFF"/>
              </w:rPr>
              <w:t>regionalnim</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lokalnim</w:t>
            </w:r>
            <w:r w:rsidRPr="00DC010A">
              <w:rPr>
                <w:sz w:val="22"/>
                <w:szCs w:val="22"/>
                <w:shd w:val="clear" w:color="auto" w:fill="FFFFFF"/>
                <w:lang w:val="sr-Latn-CS"/>
              </w:rPr>
              <w:t xml:space="preserve"> </w:t>
            </w:r>
            <w:r w:rsidRPr="00DC010A">
              <w:rPr>
                <w:sz w:val="22"/>
                <w:szCs w:val="22"/>
                <w:shd w:val="clear" w:color="auto" w:fill="FFFFFF"/>
              </w:rPr>
              <w:t>podacima</w:t>
            </w:r>
            <w:r w:rsidRPr="00DC010A">
              <w:rPr>
                <w:sz w:val="22"/>
                <w:szCs w:val="22"/>
                <w:shd w:val="clear" w:color="auto" w:fill="FFFFFF"/>
                <w:lang w:val="sr-Latn-CS"/>
              </w:rPr>
              <w:t xml:space="preserve"> </w:t>
            </w:r>
            <w:r w:rsidRPr="00DC010A">
              <w:rPr>
                <w:sz w:val="22"/>
                <w:szCs w:val="22"/>
                <w:shd w:val="clear" w:color="auto" w:fill="FFFFFF"/>
              </w:rPr>
              <w:t>o</w:t>
            </w:r>
            <w:r w:rsidRPr="00DC010A">
              <w:rPr>
                <w:sz w:val="22"/>
                <w:szCs w:val="22"/>
                <w:shd w:val="clear" w:color="auto" w:fill="FFFFFF"/>
                <w:lang w:val="sr-Latn-CS"/>
              </w:rPr>
              <w:t xml:space="preserve"> </w:t>
            </w:r>
            <w:r w:rsidRPr="00DC010A">
              <w:rPr>
                <w:sz w:val="22"/>
                <w:szCs w:val="22"/>
                <w:shd w:val="clear" w:color="auto" w:fill="FFFFFF"/>
              </w:rPr>
              <w:t>bakterijskoj</w:t>
            </w:r>
            <w:r w:rsidRPr="00DC010A">
              <w:rPr>
                <w:sz w:val="22"/>
                <w:szCs w:val="22"/>
                <w:shd w:val="clear" w:color="auto" w:fill="FFFFFF"/>
                <w:lang w:val="sr-Latn-CS"/>
              </w:rPr>
              <w:t xml:space="preserve"> </w:t>
            </w:r>
            <w:r w:rsidRPr="00DC010A">
              <w:rPr>
                <w:sz w:val="22"/>
                <w:szCs w:val="22"/>
                <w:shd w:val="clear" w:color="auto" w:fill="FFFFFF"/>
              </w:rPr>
              <w:t>rezistenciji</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smjernicama</w:t>
            </w:r>
            <w:r w:rsidRPr="00DC010A">
              <w:rPr>
                <w:sz w:val="22"/>
                <w:szCs w:val="22"/>
                <w:shd w:val="clear" w:color="auto" w:fill="FFFFFF"/>
                <w:lang w:val="sr-Latn-CS"/>
              </w:rPr>
              <w:t xml:space="preserve"> </w:t>
            </w: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w:t>
            </w:r>
            <w:r w:rsidRPr="00DC010A">
              <w:rPr>
                <w:sz w:val="22"/>
                <w:szCs w:val="22"/>
                <w:lang w:val="sr-Latn-CS"/>
              </w:rPr>
              <w:br/>
            </w:r>
            <w:r w:rsidRPr="00DC010A">
              <w:rPr>
                <w:sz w:val="22"/>
                <w:szCs w:val="22"/>
                <w:shd w:val="clear" w:color="auto" w:fill="FFFFFF"/>
                <w:lang w:val="sr-Latn-CS"/>
              </w:rPr>
              <w:t xml:space="preserve">• </w:t>
            </w:r>
            <w:r w:rsidRPr="00DC010A">
              <w:rPr>
                <w:sz w:val="22"/>
                <w:szCs w:val="22"/>
                <w:shd w:val="clear" w:color="auto" w:fill="FFFFFF"/>
              </w:rPr>
              <w:t>omeprazol</w:t>
            </w:r>
            <w:r w:rsidRPr="00DC010A">
              <w:rPr>
                <w:sz w:val="22"/>
                <w:szCs w:val="22"/>
                <w:shd w:val="clear" w:color="auto" w:fill="FFFFFF"/>
                <w:lang w:val="sr-Latn-CS"/>
              </w:rPr>
              <w:t xml:space="preserve"> 20 </w:t>
            </w:r>
            <w:r w:rsidRPr="00DC010A">
              <w:rPr>
                <w:sz w:val="22"/>
                <w:szCs w:val="22"/>
                <w:shd w:val="clear" w:color="auto" w:fill="FFFFFF"/>
              </w:rPr>
              <w:t>mg</w:t>
            </w:r>
            <w:r w:rsidRPr="00DC010A">
              <w:rPr>
                <w:sz w:val="22"/>
                <w:szCs w:val="22"/>
                <w:shd w:val="clear" w:color="auto" w:fill="FFFFFF"/>
                <w:lang w:val="sr-Latn-CS"/>
              </w:rPr>
              <w:t xml:space="preserve"> + </w:t>
            </w:r>
            <w:r w:rsidRPr="00DC010A">
              <w:rPr>
                <w:sz w:val="22"/>
                <w:szCs w:val="22"/>
                <w:shd w:val="clear" w:color="auto" w:fill="FFFFFF"/>
              </w:rPr>
              <w:t>klaritromicin</w:t>
            </w:r>
            <w:r w:rsidRPr="00DC010A">
              <w:rPr>
                <w:sz w:val="22"/>
                <w:szCs w:val="22"/>
                <w:shd w:val="clear" w:color="auto" w:fill="FFFFFF"/>
                <w:lang w:val="sr-Latn-CS"/>
              </w:rPr>
              <w:t xml:space="preserve"> 500 </w:t>
            </w:r>
            <w:r w:rsidRPr="00DC010A">
              <w:rPr>
                <w:sz w:val="22"/>
                <w:szCs w:val="22"/>
                <w:shd w:val="clear" w:color="auto" w:fill="FFFFFF"/>
              </w:rPr>
              <w:t>mg</w:t>
            </w:r>
            <w:r w:rsidRPr="00DC010A">
              <w:rPr>
                <w:sz w:val="22"/>
                <w:szCs w:val="22"/>
                <w:shd w:val="clear" w:color="auto" w:fill="FFFFFF"/>
                <w:lang w:val="sr-Latn-CS"/>
              </w:rPr>
              <w:t xml:space="preserve"> + </w:t>
            </w:r>
            <w:r w:rsidRPr="00DC010A">
              <w:rPr>
                <w:sz w:val="22"/>
                <w:szCs w:val="22"/>
                <w:shd w:val="clear" w:color="auto" w:fill="FFFFFF"/>
              </w:rPr>
              <w:t>amoksicilin</w:t>
            </w:r>
            <w:r w:rsidRPr="00DC010A">
              <w:rPr>
                <w:sz w:val="22"/>
                <w:szCs w:val="22"/>
                <w:shd w:val="clear" w:color="auto" w:fill="FFFFFF"/>
                <w:lang w:val="sr-Latn-CS"/>
              </w:rPr>
              <w:t xml:space="preserve"> 1000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svaki</w:t>
            </w:r>
            <w:r w:rsidRPr="00DC010A">
              <w:rPr>
                <w:sz w:val="22"/>
                <w:szCs w:val="22"/>
                <w:shd w:val="clear" w:color="auto" w:fill="FFFFFF"/>
                <w:lang w:val="sr-Latn-CS"/>
              </w:rPr>
              <w:t xml:space="preserve"> </w:t>
            </w:r>
            <w:r w:rsidRPr="00DC010A">
              <w:rPr>
                <w:sz w:val="22"/>
                <w:szCs w:val="22"/>
                <w:shd w:val="clear" w:color="auto" w:fill="FFFFFF"/>
              </w:rPr>
              <w:t>dva</w:t>
            </w:r>
            <w:r w:rsidRPr="00DC010A">
              <w:rPr>
                <w:sz w:val="22"/>
                <w:szCs w:val="22"/>
                <w:shd w:val="clear" w:color="auto" w:fill="FFFFFF"/>
                <w:lang w:val="sr-Latn-CS"/>
              </w:rPr>
              <w:t xml:space="preserve"> </w:t>
            </w:r>
            <w:r w:rsidRPr="00DC010A">
              <w:rPr>
                <w:sz w:val="22"/>
                <w:szCs w:val="22"/>
                <w:shd w:val="clear" w:color="auto" w:fill="FFFFFF"/>
              </w:rPr>
              <w:t>puta</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tokom</w:t>
            </w:r>
            <w:r w:rsidRPr="00DC010A">
              <w:rPr>
                <w:sz w:val="22"/>
                <w:szCs w:val="22"/>
                <w:shd w:val="clear" w:color="auto" w:fill="FFFFFF"/>
                <w:lang w:val="sr-Latn-CS"/>
              </w:rPr>
              <w:t xml:space="preserve"> </w:t>
            </w:r>
            <w:r w:rsidRPr="00DC010A">
              <w:rPr>
                <w:sz w:val="22"/>
                <w:szCs w:val="22"/>
                <w:shd w:val="clear" w:color="auto" w:fill="FFFFFF"/>
              </w:rPr>
              <w:t>jedne</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lang w:val="sr-Latn-CS"/>
              </w:rPr>
              <w:br/>
            </w:r>
            <w:r w:rsidRPr="00DC010A">
              <w:rPr>
                <w:sz w:val="22"/>
                <w:szCs w:val="22"/>
                <w:shd w:val="clear" w:color="auto" w:fill="FFFFFF"/>
                <w:lang w:val="sr-Latn-CS"/>
              </w:rPr>
              <w:t xml:space="preserve">• </w:t>
            </w:r>
            <w:r w:rsidRPr="00DC010A">
              <w:rPr>
                <w:sz w:val="22"/>
                <w:szCs w:val="22"/>
                <w:shd w:val="clear" w:color="auto" w:fill="FFFFFF"/>
              </w:rPr>
              <w:t>omeprazol</w:t>
            </w:r>
            <w:r w:rsidRPr="00DC010A" w:rsidDel="002D0041">
              <w:rPr>
                <w:sz w:val="22"/>
                <w:szCs w:val="22"/>
                <w:shd w:val="clear" w:color="auto" w:fill="FFFFFF"/>
                <w:lang w:val="sr-Latn-CS"/>
              </w:rPr>
              <w:t xml:space="preserve"> </w:t>
            </w:r>
            <w:r w:rsidRPr="00DC010A">
              <w:rPr>
                <w:sz w:val="22"/>
                <w:szCs w:val="22"/>
                <w:shd w:val="clear" w:color="auto" w:fill="FFFFFF"/>
                <w:lang w:val="sr-Latn-CS"/>
              </w:rPr>
              <w:t xml:space="preserve">20 </w:t>
            </w:r>
            <w:r w:rsidRPr="00DC010A">
              <w:rPr>
                <w:sz w:val="22"/>
                <w:szCs w:val="22"/>
                <w:shd w:val="clear" w:color="auto" w:fill="FFFFFF"/>
              </w:rPr>
              <w:t>mg</w:t>
            </w:r>
            <w:r w:rsidRPr="00DC010A">
              <w:rPr>
                <w:sz w:val="22"/>
                <w:szCs w:val="22"/>
                <w:shd w:val="clear" w:color="auto" w:fill="FFFFFF"/>
                <w:lang w:val="sr-Latn-CS"/>
              </w:rPr>
              <w:t xml:space="preserve"> + </w:t>
            </w:r>
            <w:r w:rsidRPr="00DC010A">
              <w:rPr>
                <w:sz w:val="22"/>
                <w:szCs w:val="22"/>
                <w:shd w:val="clear" w:color="auto" w:fill="FFFFFF"/>
              </w:rPr>
              <w:t>klaritromicin</w:t>
            </w:r>
            <w:r w:rsidRPr="00DC010A">
              <w:rPr>
                <w:sz w:val="22"/>
                <w:szCs w:val="22"/>
                <w:shd w:val="clear" w:color="auto" w:fill="FFFFFF"/>
                <w:lang w:val="sr-Latn-CS"/>
              </w:rPr>
              <w:t xml:space="preserve"> 250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alternativno</w:t>
            </w:r>
            <w:r w:rsidRPr="00DC010A">
              <w:rPr>
                <w:sz w:val="22"/>
                <w:szCs w:val="22"/>
                <w:shd w:val="clear" w:color="auto" w:fill="FFFFFF"/>
                <w:lang w:val="sr-Latn-CS"/>
              </w:rPr>
              <w:t xml:space="preserve"> 500 </w:t>
            </w:r>
            <w:r w:rsidRPr="00DC010A">
              <w:rPr>
                <w:sz w:val="22"/>
                <w:szCs w:val="22"/>
                <w:shd w:val="clear" w:color="auto" w:fill="FFFFFF"/>
              </w:rPr>
              <w:t>mg</w:t>
            </w:r>
            <w:r w:rsidRPr="00DC010A">
              <w:rPr>
                <w:sz w:val="22"/>
                <w:szCs w:val="22"/>
                <w:shd w:val="clear" w:color="auto" w:fill="FFFFFF"/>
                <w:lang w:val="sr-Latn-CS"/>
              </w:rPr>
              <w:t xml:space="preserve">) + </w:t>
            </w:r>
            <w:r w:rsidRPr="00DC010A">
              <w:rPr>
                <w:sz w:val="22"/>
                <w:szCs w:val="22"/>
                <w:shd w:val="clear" w:color="auto" w:fill="FFFFFF"/>
              </w:rPr>
              <w:t>metronidazol</w:t>
            </w:r>
            <w:r w:rsidRPr="00DC010A">
              <w:rPr>
                <w:sz w:val="22"/>
                <w:szCs w:val="22"/>
                <w:shd w:val="clear" w:color="auto" w:fill="FFFFFF"/>
                <w:lang w:val="sr-Latn-CS"/>
              </w:rPr>
              <w:t xml:space="preserve"> 400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shd w:val="clear" w:color="auto" w:fill="FFFFFF"/>
                <w:lang w:val="sr-Latn-CS"/>
              </w:rPr>
              <w:t xml:space="preserve"> 500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shd w:val="clear" w:color="auto" w:fill="FFFFFF"/>
                <w:lang w:val="sr-Latn-CS"/>
              </w:rPr>
              <w:t xml:space="preserve"> </w:t>
            </w:r>
            <w:r w:rsidRPr="00DC010A">
              <w:rPr>
                <w:sz w:val="22"/>
                <w:szCs w:val="22"/>
                <w:shd w:val="clear" w:color="auto" w:fill="FFFFFF"/>
              </w:rPr>
              <w:t>tinidazol</w:t>
            </w:r>
            <w:r w:rsidRPr="00DC010A">
              <w:rPr>
                <w:sz w:val="22"/>
                <w:szCs w:val="22"/>
                <w:shd w:val="clear" w:color="auto" w:fill="FFFFFF"/>
                <w:lang w:val="sr-Latn-CS"/>
              </w:rPr>
              <w:t xml:space="preserve"> 500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svaki</w:t>
            </w:r>
            <w:r w:rsidRPr="00DC010A">
              <w:rPr>
                <w:sz w:val="22"/>
                <w:szCs w:val="22"/>
                <w:shd w:val="clear" w:color="auto" w:fill="FFFFFF"/>
                <w:lang w:val="sr-Latn-CS"/>
              </w:rPr>
              <w:t xml:space="preserve"> </w:t>
            </w:r>
            <w:r w:rsidRPr="00DC010A">
              <w:rPr>
                <w:sz w:val="22"/>
                <w:szCs w:val="22"/>
                <w:shd w:val="clear" w:color="auto" w:fill="FFFFFF"/>
              </w:rPr>
              <w:t>dva</w:t>
            </w:r>
            <w:r w:rsidRPr="00DC010A">
              <w:rPr>
                <w:sz w:val="22"/>
                <w:szCs w:val="22"/>
                <w:shd w:val="clear" w:color="auto" w:fill="FFFFFF"/>
                <w:lang w:val="sr-Latn-CS"/>
              </w:rPr>
              <w:t xml:space="preserve"> </w:t>
            </w:r>
            <w:r w:rsidRPr="00DC010A">
              <w:rPr>
                <w:sz w:val="22"/>
                <w:szCs w:val="22"/>
                <w:shd w:val="clear" w:color="auto" w:fill="FFFFFF"/>
              </w:rPr>
              <w:t>puta</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tokom</w:t>
            </w:r>
            <w:r w:rsidRPr="00DC010A">
              <w:rPr>
                <w:sz w:val="22"/>
                <w:szCs w:val="22"/>
                <w:shd w:val="clear" w:color="auto" w:fill="FFFFFF"/>
                <w:lang w:val="sr-Latn-CS"/>
              </w:rPr>
              <w:t xml:space="preserve"> </w:t>
            </w:r>
            <w:r w:rsidRPr="00DC010A">
              <w:rPr>
                <w:sz w:val="22"/>
                <w:szCs w:val="22"/>
                <w:shd w:val="clear" w:color="auto" w:fill="FFFFFF"/>
              </w:rPr>
              <w:t>jedne</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lang w:val="sr-Latn-CS"/>
              </w:rPr>
              <w:br/>
            </w:r>
            <w:r w:rsidRPr="00DC010A">
              <w:rPr>
                <w:sz w:val="22"/>
                <w:szCs w:val="22"/>
                <w:shd w:val="clear" w:color="auto" w:fill="FFFFFF"/>
                <w:lang w:val="sr-Latn-CS"/>
              </w:rPr>
              <w:t xml:space="preserve">• </w:t>
            </w:r>
            <w:r w:rsidRPr="00DC010A">
              <w:rPr>
                <w:sz w:val="22"/>
                <w:szCs w:val="22"/>
                <w:shd w:val="clear" w:color="auto" w:fill="FFFFFF"/>
              </w:rPr>
              <w:t>omeprazol</w:t>
            </w:r>
            <w:r w:rsidRPr="00DC010A" w:rsidDel="002D0041">
              <w:rPr>
                <w:sz w:val="22"/>
                <w:szCs w:val="22"/>
                <w:shd w:val="clear" w:color="auto" w:fill="FFFFFF"/>
                <w:lang w:val="sr-Latn-CS"/>
              </w:rPr>
              <w:t xml:space="preserve"> </w:t>
            </w:r>
            <w:r w:rsidRPr="00DC010A">
              <w:rPr>
                <w:sz w:val="22"/>
                <w:szCs w:val="22"/>
                <w:shd w:val="clear" w:color="auto" w:fill="FFFFFF"/>
                <w:lang w:val="sr-Latn-CS"/>
              </w:rPr>
              <w:t xml:space="preserve">40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amoksicilinom</w:t>
            </w:r>
            <w:r w:rsidRPr="00DC010A">
              <w:rPr>
                <w:sz w:val="22"/>
                <w:szCs w:val="22"/>
                <w:shd w:val="clear" w:color="auto" w:fill="FFFFFF"/>
                <w:lang w:val="sr-Latn-CS"/>
              </w:rPr>
              <w:t xml:space="preserve"> 500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metronidazolom</w:t>
            </w:r>
            <w:r w:rsidRPr="00DC010A">
              <w:rPr>
                <w:sz w:val="22"/>
                <w:szCs w:val="22"/>
                <w:shd w:val="clear" w:color="auto" w:fill="FFFFFF"/>
                <w:lang w:val="sr-Latn-CS"/>
              </w:rPr>
              <w:t xml:space="preserve"> 400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shd w:val="clear" w:color="auto" w:fill="FFFFFF"/>
                <w:lang w:val="sr-Latn-CS"/>
              </w:rPr>
              <w:t xml:space="preserve"> 500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shd w:val="clear" w:color="auto" w:fill="FFFFFF"/>
                <w:lang w:val="sr-Latn-CS"/>
              </w:rPr>
              <w:t xml:space="preserve"> </w:t>
            </w:r>
            <w:r w:rsidRPr="00DC010A">
              <w:rPr>
                <w:sz w:val="22"/>
                <w:szCs w:val="22"/>
                <w:shd w:val="clear" w:color="auto" w:fill="FFFFFF"/>
              </w:rPr>
              <w:t>tinidazol</w:t>
            </w:r>
            <w:r w:rsidRPr="00DC010A">
              <w:rPr>
                <w:sz w:val="22"/>
                <w:szCs w:val="22"/>
                <w:shd w:val="clear" w:color="auto" w:fill="FFFFFF"/>
                <w:lang w:val="sr-Latn-CS"/>
              </w:rPr>
              <w:t xml:space="preserve"> 500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tri</w:t>
            </w:r>
            <w:r w:rsidRPr="00DC010A">
              <w:rPr>
                <w:sz w:val="22"/>
                <w:szCs w:val="22"/>
                <w:shd w:val="clear" w:color="auto" w:fill="FFFFFF"/>
                <w:lang w:val="sr-Latn-CS"/>
              </w:rPr>
              <w:t xml:space="preserve"> </w:t>
            </w:r>
            <w:r w:rsidRPr="00DC010A">
              <w:rPr>
                <w:sz w:val="22"/>
                <w:szCs w:val="22"/>
                <w:shd w:val="clear" w:color="auto" w:fill="FFFFFF"/>
              </w:rPr>
              <w:t>puta</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tokom</w:t>
            </w:r>
            <w:r w:rsidRPr="00DC010A">
              <w:rPr>
                <w:sz w:val="22"/>
                <w:szCs w:val="22"/>
                <w:shd w:val="clear" w:color="auto" w:fill="FFFFFF"/>
                <w:lang w:val="sr-Latn-CS"/>
              </w:rPr>
              <w:t xml:space="preserve"> </w:t>
            </w:r>
            <w:r w:rsidRPr="00DC010A">
              <w:rPr>
                <w:sz w:val="22"/>
                <w:szCs w:val="22"/>
                <w:shd w:val="clear" w:color="auto" w:fill="FFFFFF"/>
              </w:rPr>
              <w:t>jedne</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w:t>
            </w:r>
          </w:p>
          <w:p w:rsidR="008E31D0" w:rsidRPr="00DC010A" w:rsidRDefault="008E31D0" w:rsidP="008E31D0">
            <w:pPr>
              <w:pStyle w:val="NoSpacing"/>
              <w:rPr>
                <w:sz w:val="22"/>
                <w:szCs w:val="22"/>
                <w:shd w:val="clear" w:color="auto" w:fill="FFFFFF"/>
                <w:lang w:val="sr-Latn-CS"/>
              </w:rPr>
            </w:pPr>
            <w:r w:rsidRPr="00DC010A">
              <w:rPr>
                <w:sz w:val="22"/>
                <w:szCs w:val="22"/>
                <w:lang w:val="sr-Latn-CS"/>
              </w:rPr>
              <w:br/>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svakom</w:t>
            </w:r>
            <w:r w:rsidRPr="00DC010A">
              <w:rPr>
                <w:sz w:val="22"/>
                <w:szCs w:val="22"/>
                <w:shd w:val="clear" w:color="auto" w:fill="FFFFFF"/>
                <w:lang w:val="sr-Latn-CS"/>
              </w:rPr>
              <w:t xml:space="preserve"> </w:t>
            </w:r>
            <w:r w:rsidRPr="00DC010A">
              <w:rPr>
                <w:sz w:val="22"/>
                <w:szCs w:val="22"/>
                <w:shd w:val="clear" w:color="auto" w:fill="FFFFFF"/>
              </w:rPr>
              <w:t>re</w:t>
            </w:r>
            <w:r w:rsidRPr="00DC010A">
              <w:rPr>
                <w:sz w:val="22"/>
                <w:szCs w:val="22"/>
                <w:shd w:val="clear" w:color="auto" w:fill="FFFFFF"/>
                <w:lang w:val="sr-Latn-CS"/>
              </w:rPr>
              <w:t>ž</w:t>
            </w:r>
            <w:r w:rsidRPr="00DC010A">
              <w:rPr>
                <w:sz w:val="22"/>
                <w:szCs w:val="22"/>
                <w:shd w:val="clear" w:color="auto" w:fill="FFFFFF"/>
              </w:rPr>
              <w:t>imu</w:t>
            </w:r>
            <w:r w:rsidRPr="00DC010A">
              <w:rPr>
                <w:sz w:val="22"/>
                <w:szCs w:val="22"/>
                <w:shd w:val="clear" w:color="auto" w:fill="FFFFFF"/>
                <w:lang w:val="sr-Latn-CS"/>
              </w:rPr>
              <w:t xml:space="preserve"> </w:t>
            </w:r>
            <w:r w:rsidRPr="00DC010A">
              <w:rPr>
                <w:sz w:val="22"/>
                <w:szCs w:val="22"/>
                <w:shd w:val="clear" w:color="auto" w:fill="FFFFFF"/>
              </w:rPr>
              <w:t>doziranja</w:t>
            </w:r>
            <w:r w:rsidRPr="00DC010A">
              <w:rPr>
                <w:sz w:val="22"/>
                <w:szCs w:val="22"/>
                <w:shd w:val="clear" w:color="auto" w:fill="FFFFFF"/>
                <w:lang w:val="sr-Latn-CS"/>
              </w:rPr>
              <w:t xml:space="preserve">, </w:t>
            </w:r>
            <w:r w:rsidRPr="00DC010A">
              <w:rPr>
                <w:sz w:val="22"/>
                <w:szCs w:val="22"/>
                <w:shd w:val="clear" w:color="auto" w:fill="FFFFFF"/>
              </w:rPr>
              <w:t>ako</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w:t>
            </w:r>
            <w:r w:rsidRPr="00DC010A">
              <w:rPr>
                <w:sz w:val="22"/>
                <w:szCs w:val="22"/>
                <w:shd w:val="clear" w:color="auto" w:fill="FFFFFF"/>
              </w:rPr>
              <w:t>pacijent</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dalje</w:t>
            </w:r>
            <w:r w:rsidRPr="00DC010A">
              <w:rPr>
                <w:sz w:val="22"/>
                <w:szCs w:val="22"/>
                <w:shd w:val="clear" w:color="auto" w:fill="FFFFFF"/>
                <w:lang w:val="sr-Latn-CS"/>
              </w:rPr>
              <w:t xml:space="preserve"> pozitivan na </w:t>
            </w:r>
            <w:r w:rsidRPr="00DC010A">
              <w:rPr>
                <w:i/>
                <w:sz w:val="22"/>
                <w:szCs w:val="22"/>
                <w:shd w:val="clear" w:color="auto" w:fill="FFFFFF"/>
              </w:rPr>
              <w:t>H</w:t>
            </w:r>
            <w:r w:rsidRPr="00DC010A">
              <w:rPr>
                <w:i/>
                <w:sz w:val="22"/>
                <w:szCs w:val="22"/>
                <w:shd w:val="clear" w:color="auto" w:fill="FFFFFF"/>
                <w:lang w:val="sr-Latn-CS"/>
              </w:rPr>
              <w:t xml:space="preserve">. </w:t>
            </w:r>
            <w:r w:rsidRPr="00DC010A">
              <w:rPr>
                <w:i/>
                <w:sz w:val="22"/>
                <w:szCs w:val="22"/>
                <w:shd w:val="clear" w:color="auto" w:fill="FFFFFF"/>
              </w:rPr>
              <w:t>pilori</w:t>
            </w:r>
            <w:r w:rsidRPr="00DC010A">
              <w:rPr>
                <w:sz w:val="22"/>
                <w:szCs w:val="22"/>
                <w:shd w:val="clear" w:color="auto" w:fill="FFFFFF"/>
                <w:lang w:val="sr-Latn-CS"/>
              </w:rPr>
              <w:t xml:space="preserve">, </w:t>
            </w:r>
            <w:r w:rsidRPr="00DC010A">
              <w:rPr>
                <w:sz w:val="22"/>
                <w:szCs w:val="22"/>
                <w:shd w:val="clear" w:color="auto" w:fill="FFFFFF"/>
              </w:rPr>
              <w:t>terapija</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mo</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ponoviti</w:t>
            </w:r>
            <w:r w:rsidRPr="00DC010A">
              <w:rPr>
                <w:sz w:val="22"/>
                <w:szCs w:val="22"/>
                <w:shd w:val="clear" w:color="auto" w:fill="FFFFFF"/>
                <w:lang w:val="sr-Latn-CS"/>
              </w:rPr>
              <w:t>.</w:t>
            </w:r>
          </w:p>
          <w:p w:rsidR="008E31D0" w:rsidRPr="00DC010A" w:rsidRDefault="008E31D0" w:rsidP="008E31D0">
            <w:pPr>
              <w:pStyle w:val="NoSpacing"/>
              <w:rPr>
                <w:b/>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Liječenje gastričnih i duodenalnih ulkusa povezanih sa primjenom NSAIL</w:t>
            </w:r>
          </w:p>
          <w:p w:rsidR="008E31D0" w:rsidRPr="00DC010A" w:rsidRDefault="008E31D0" w:rsidP="008E31D0">
            <w:pPr>
              <w:pStyle w:val="NoSpacing"/>
              <w:rPr>
                <w:b/>
                <w:sz w:val="22"/>
                <w:szCs w:val="22"/>
                <w:u w:val="single"/>
                <w:lang w:val="sr-Latn-CS"/>
              </w:rPr>
            </w:pP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gastričnih i duodenalnih ulkusa povezanih sa primjenom NSAIL, </w:t>
            </w: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ena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omeprazola </w:t>
            </w:r>
            <w:r w:rsidRPr="00DC010A">
              <w:rPr>
                <w:sz w:val="22"/>
                <w:szCs w:val="22"/>
                <w:shd w:val="clear" w:color="auto" w:fill="FFFFFF"/>
              </w:rPr>
              <w:t>je</w:t>
            </w:r>
            <w:r w:rsidRPr="00DC010A">
              <w:rPr>
                <w:sz w:val="22"/>
                <w:szCs w:val="22"/>
                <w:shd w:val="clear" w:color="auto" w:fill="FFFFFF"/>
                <w:lang w:val="sr-Latn-CS"/>
              </w:rPr>
              <w:t xml:space="preserve"> 20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vec</w:t>
            </w:r>
            <w:r w:rsidRPr="00DC010A">
              <w:rPr>
                <w:sz w:val="22"/>
                <w:szCs w:val="22"/>
                <w:shd w:val="clear" w:color="auto" w:fill="FFFFFF"/>
                <w:lang w:val="sr-Latn-CS"/>
              </w:rPr>
              <w:t>́</w:t>
            </w:r>
            <w:r w:rsidRPr="00DC010A">
              <w:rPr>
                <w:sz w:val="22"/>
                <w:szCs w:val="22"/>
                <w:shd w:val="clear" w:color="auto" w:fill="FFFFFF"/>
              </w:rPr>
              <w:t>ine</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iz</w:t>
            </w:r>
            <w:r w:rsidRPr="00DC010A">
              <w:rPr>
                <w:sz w:val="22"/>
                <w:szCs w:val="22"/>
                <w:shd w:val="clear" w:color="auto" w:fill="FFFFFF"/>
              </w:rPr>
              <w:t>lje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nastupa</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roku</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č</w:t>
            </w:r>
            <w:r w:rsidRPr="00DC010A">
              <w:rPr>
                <w:sz w:val="22"/>
                <w:szCs w:val="22"/>
                <w:shd w:val="clear" w:color="auto" w:fill="FFFFFF"/>
              </w:rPr>
              <w:t>etiri</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one</w:t>
            </w:r>
            <w:r w:rsidRPr="00DC010A">
              <w:rPr>
                <w:sz w:val="22"/>
                <w:szCs w:val="22"/>
                <w:shd w:val="clear" w:color="auto" w:fill="FFFFFF"/>
                <w:lang w:val="sr-Latn-CS"/>
              </w:rPr>
              <w:t xml:space="preserve"> </w:t>
            </w:r>
            <w:r w:rsidRPr="00DC010A">
              <w:rPr>
                <w:sz w:val="22"/>
                <w:szCs w:val="22"/>
                <w:shd w:val="clear" w:color="auto" w:fill="FFFFFF"/>
              </w:rPr>
              <w:t>pacijente</w:t>
            </w:r>
            <w:r w:rsidRPr="00DC010A">
              <w:rPr>
                <w:sz w:val="22"/>
                <w:szCs w:val="22"/>
                <w:shd w:val="clear" w:color="auto" w:fill="FFFFFF"/>
                <w:lang w:val="sr-Latn-CS"/>
              </w:rPr>
              <w:t xml:space="preserve"> </w:t>
            </w:r>
            <w:r w:rsidRPr="00DC010A">
              <w:rPr>
                <w:sz w:val="22"/>
                <w:szCs w:val="22"/>
                <w:shd w:val="clear" w:color="auto" w:fill="FFFFFF"/>
              </w:rPr>
              <w:t>koji</w:t>
            </w:r>
            <w:r w:rsidRPr="00DC010A">
              <w:rPr>
                <w:sz w:val="22"/>
                <w:szCs w:val="22"/>
                <w:shd w:val="clear" w:color="auto" w:fill="FFFFFF"/>
                <w:lang w:val="sr-Latn-CS"/>
              </w:rPr>
              <w:t xml:space="preserve"> </w:t>
            </w:r>
            <w:r w:rsidRPr="00DC010A">
              <w:rPr>
                <w:sz w:val="22"/>
                <w:szCs w:val="22"/>
                <w:shd w:val="clear" w:color="auto" w:fill="FFFFFF"/>
              </w:rPr>
              <w:t>nijesu</w:t>
            </w:r>
            <w:r w:rsidRPr="00DC010A">
              <w:rPr>
                <w:sz w:val="22"/>
                <w:szCs w:val="22"/>
                <w:shd w:val="clear" w:color="auto" w:fill="FFFFFF"/>
                <w:lang w:val="sr-Latn-CS"/>
              </w:rPr>
              <w:t xml:space="preserve"> </w:t>
            </w:r>
            <w:r w:rsidRPr="00DC010A">
              <w:rPr>
                <w:sz w:val="22"/>
                <w:szCs w:val="22"/>
                <w:shd w:val="clear" w:color="auto" w:fill="FFFFFF"/>
              </w:rPr>
              <w:t>potpuno</w:t>
            </w:r>
            <w:r w:rsidRPr="00DC010A">
              <w:rPr>
                <w:sz w:val="22"/>
                <w:szCs w:val="22"/>
                <w:shd w:val="clear" w:color="auto" w:fill="FFFFFF"/>
                <w:lang w:val="sr-Latn-CS"/>
              </w:rPr>
              <w:t xml:space="preserve"> </w:t>
            </w:r>
            <w:r w:rsidRPr="00DC010A">
              <w:rPr>
                <w:sz w:val="22"/>
                <w:szCs w:val="22"/>
                <w:shd w:val="clear" w:color="auto" w:fill="FFFFFF"/>
              </w:rPr>
              <w:t>izlije</w:t>
            </w:r>
            <w:r w:rsidRPr="00DC010A">
              <w:rPr>
                <w:sz w:val="22"/>
                <w:szCs w:val="22"/>
                <w:shd w:val="clear" w:color="auto" w:fill="FFFFFF"/>
                <w:lang w:val="sr-Latn-CS"/>
              </w:rPr>
              <w:t>č</w:t>
            </w:r>
            <w:r w:rsidRPr="00DC010A">
              <w:rPr>
                <w:sz w:val="22"/>
                <w:szCs w:val="22"/>
                <w:shd w:val="clear" w:color="auto" w:fill="FFFFFF"/>
              </w:rPr>
              <w:t>eni</w:t>
            </w:r>
            <w:r w:rsidRPr="00DC010A">
              <w:rPr>
                <w:sz w:val="22"/>
                <w:szCs w:val="22"/>
                <w:shd w:val="clear" w:color="auto" w:fill="FFFFFF"/>
                <w:lang w:val="sr-Latn-CS"/>
              </w:rPr>
              <w:t xml:space="preserve"> </w:t>
            </w:r>
            <w:r w:rsidRPr="00DC010A">
              <w:rPr>
                <w:sz w:val="22"/>
                <w:szCs w:val="22"/>
                <w:shd w:val="clear" w:color="auto" w:fill="FFFFFF"/>
              </w:rPr>
              <w:t>nakon</w:t>
            </w:r>
            <w:r w:rsidRPr="00DC010A">
              <w:rPr>
                <w:sz w:val="22"/>
                <w:szCs w:val="22"/>
                <w:shd w:val="clear" w:color="auto" w:fill="FFFFFF"/>
                <w:lang w:val="sr-Latn-CS"/>
              </w:rPr>
              <w:t xml:space="preserve"> </w:t>
            </w:r>
            <w:r w:rsidRPr="00DC010A">
              <w:rPr>
                <w:sz w:val="22"/>
                <w:szCs w:val="22"/>
                <w:shd w:val="clear" w:color="auto" w:fill="FFFFFF"/>
              </w:rPr>
              <w:t>inicijalne</w:t>
            </w:r>
            <w:r w:rsidRPr="00DC010A">
              <w:rPr>
                <w:sz w:val="22"/>
                <w:szCs w:val="22"/>
                <w:shd w:val="clear" w:color="auto" w:fill="FFFFFF"/>
                <w:lang w:val="sr-Latn-CS"/>
              </w:rPr>
              <w:t xml:space="preserve"> </w:t>
            </w:r>
            <w:r w:rsidRPr="00DC010A">
              <w:rPr>
                <w:sz w:val="22"/>
                <w:szCs w:val="22"/>
                <w:shd w:val="clear" w:color="auto" w:fill="FFFFFF"/>
              </w:rPr>
              <w:t>terapije</w:t>
            </w:r>
            <w:r w:rsidRPr="00DC010A">
              <w:rPr>
                <w:sz w:val="22"/>
                <w:szCs w:val="22"/>
                <w:shd w:val="clear" w:color="auto" w:fill="FFFFFF"/>
                <w:lang w:val="sr-Latn-CS"/>
              </w:rPr>
              <w:t>, iz</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obi</w:t>
            </w:r>
            <w:r w:rsidRPr="00DC010A">
              <w:rPr>
                <w:sz w:val="22"/>
                <w:szCs w:val="22"/>
                <w:shd w:val="clear" w:color="auto" w:fill="FFFFFF"/>
                <w:lang w:val="sr-Latn-CS"/>
              </w:rPr>
              <w:t>č</w:t>
            </w:r>
            <w:r w:rsidRPr="00DC010A">
              <w:rPr>
                <w:sz w:val="22"/>
                <w:szCs w:val="22"/>
                <w:shd w:val="clear" w:color="auto" w:fill="FFFFFF"/>
              </w:rPr>
              <w:t>no</w:t>
            </w:r>
            <w:r w:rsidRPr="00DC010A">
              <w:rPr>
                <w:sz w:val="22"/>
                <w:szCs w:val="22"/>
                <w:shd w:val="clear" w:color="auto" w:fill="FFFFFF"/>
                <w:lang w:val="sr-Latn-CS"/>
              </w:rPr>
              <w:t xml:space="preserve"> </w:t>
            </w:r>
            <w:r w:rsidRPr="00DC010A">
              <w:rPr>
                <w:sz w:val="22"/>
                <w:szCs w:val="22"/>
                <w:shd w:val="clear" w:color="auto" w:fill="FFFFFF"/>
              </w:rPr>
              <w:t>nastupa</w:t>
            </w:r>
            <w:r w:rsidRPr="00DC010A">
              <w:rPr>
                <w:sz w:val="22"/>
                <w:szCs w:val="22"/>
                <w:shd w:val="clear" w:color="auto" w:fill="FFFFFF"/>
                <w:lang w:val="sr-Latn-CS"/>
              </w:rPr>
              <w:t xml:space="preserve"> </w:t>
            </w:r>
            <w:r w:rsidRPr="00DC010A">
              <w:rPr>
                <w:sz w:val="22"/>
                <w:szCs w:val="22"/>
                <w:shd w:val="clear" w:color="auto" w:fill="FFFFFF"/>
              </w:rPr>
              <w:t>tokom</w:t>
            </w:r>
            <w:r w:rsidRPr="00DC010A">
              <w:rPr>
                <w:sz w:val="22"/>
                <w:szCs w:val="22"/>
                <w:shd w:val="clear" w:color="auto" w:fill="FFFFFF"/>
                <w:lang w:val="sr-Latn-CS"/>
              </w:rPr>
              <w:t xml:space="preserve"> </w:t>
            </w:r>
            <w:r w:rsidRPr="00DC010A">
              <w:rPr>
                <w:sz w:val="22"/>
                <w:szCs w:val="22"/>
                <w:shd w:val="clear" w:color="auto" w:fill="FFFFFF"/>
              </w:rPr>
              <w:t>sljede</w:t>
            </w:r>
            <w:r w:rsidRPr="00DC010A">
              <w:rPr>
                <w:sz w:val="22"/>
                <w:szCs w:val="22"/>
                <w:shd w:val="clear" w:color="auto" w:fill="FFFFFF"/>
                <w:lang w:val="sr-Latn-CS"/>
              </w:rPr>
              <w:t>ć</w:t>
            </w:r>
            <w:r w:rsidRPr="00DC010A">
              <w:rPr>
                <w:sz w:val="22"/>
                <w:szCs w:val="22"/>
                <w:shd w:val="clear" w:color="auto" w:fill="FFFFFF"/>
              </w:rPr>
              <w:t>e</w:t>
            </w:r>
            <w:r w:rsidRPr="00DC010A">
              <w:rPr>
                <w:sz w:val="22"/>
                <w:szCs w:val="22"/>
                <w:shd w:val="clear" w:color="auto" w:fill="FFFFFF"/>
                <w:lang w:val="sr-Latn-CS"/>
              </w:rPr>
              <w:t xml:space="preserve"> č</w:t>
            </w:r>
            <w:r w:rsidRPr="00DC010A">
              <w:rPr>
                <w:sz w:val="22"/>
                <w:szCs w:val="22"/>
                <w:shd w:val="clear" w:color="auto" w:fill="FFFFFF"/>
              </w:rPr>
              <w:t>etiri</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enja</w:t>
            </w:r>
            <w:r w:rsidRPr="00DC010A">
              <w:rPr>
                <w:sz w:val="22"/>
                <w:szCs w:val="22"/>
                <w:shd w:val="clear" w:color="auto" w:fill="FFFFFF"/>
                <w:lang w:val="sr-Latn-CS"/>
              </w:rPr>
              <w:t>.</w:t>
            </w:r>
          </w:p>
          <w:p w:rsidR="008E31D0" w:rsidRPr="00DC010A" w:rsidRDefault="008E31D0" w:rsidP="008E31D0">
            <w:pPr>
              <w:pStyle w:val="NoSpacing"/>
              <w:rPr>
                <w:sz w:val="22"/>
                <w:szCs w:val="22"/>
                <w:u w:val="single"/>
                <w:lang w:val="sr-Latn-CS"/>
              </w:rPr>
            </w:pPr>
          </w:p>
          <w:p w:rsidR="008E31D0" w:rsidRPr="00DC010A" w:rsidRDefault="008E31D0" w:rsidP="008E31D0">
            <w:pPr>
              <w:pStyle w:val="NoSpacing"/>
              <w:rPr>
                <w:sz w:val="22"/>
                <w:szCs w:val="22"/>
                <w:shd w:val="clear" w:color="auto" w:fill="FFFFFF"/>
                <w:lang w:val="sr-Latn-CS"/>
              </w:rPr>
            </w:pPr>
            <w:r w:rsidRPr="00DC010A">
              <w:rPr>
                <w:b/>
                <w:sz w:val="22"/>
                <w:szCs w:val="22"/>
                <w:lang w:val="sr-Latn-CS"/>
              </w:rPr>
              <w:t>Prevencija gastričnih i duodenalnih ulkusa povezanih sa primjenom NSAIL</w:t>
            </w:r>
            <w:r w:rsidRPr="00DC010A">
              <w:rPr>
                <w:rFonts w:ascii="Arial" w:hAnsi="Arial" w:cs="Arial"/>
                <w:b/>
                <w:color w:val="777777"/>
                <w:sz w:val="20"/>
                <w:szCs w:val="20"/>
                <w:shd w:val="clear" w:color="auto" w:fill="FFFFFF"/>
                <w:lang w:val="sr-Latn-CS"/>
              </w:rPr>
              <w:t xml:space="preserve"> </w:t>
            </w:r>
            <w:r w:rsidRPr="00DC010A">
              <w:rPr>
                <w:b/>
                <w:sz w:val="22"/>
                <w:szCs w:val="22"/>
                <w:shd w:val="clear" w:color="auto" w:fill="FFFFFF"/>
              </w:rPr>
              <w:t>kod</w:t>
            </w:r>
            <w:r w:rsidRPr="00DC010A">
              <w:rPr>
                <w:b/>
                <w:sz w:val="22"/>
                <w:szCs w:val="22"/>
                <w:shd w:val="clear" w:color="auto" w:fill="FFFFFF"/>
                <w:lang w:val="sr-Latn-CS"/>
              </w:rPr>
              <w:t xml:space="preserve"> rizičnih </w:t>
            </w:r>
            <w:r w:rsidRPr="00DC010A">
              <w:rPr>
                <w:b/>
                <w:sz w:val="22"/>
                <w:szCs w:val="22"/>
                <w:shd w:val="clear" w:color="auto" w:fill="FFFFFF"/>
              </w:rPr>
              <w:t>pacijenata</w:t>
            </w:r>
            <w:r w:rsidRPr="00DC010A">
              <w:rPr>
                <w:b/>
                <w:sz w:val="22"/>
                <w:szCs w:val="22"/>
                <w:shd w:val="clear" w:color="auto" w:fill="FFFFFF"/>
                <w:lang w:val="sr-Latn-CS"/>
              </w:rPr>
              <w:t xml:space="preserve"> </w:t>
            </w:r>
          </w:p>
          <w:p w:rsidR="008E31D0" w:rsidRPr="00DC010A" w:rsidRDefault="008E31D0" w:rsidP="008E31D0">
            <w:pPr>
              <w:pStyle w:val="NoSpacing"/>
              <w:rPr>
                <w:sz w:val="22"/>
                <w:szCs w:val="22"/>
                <w:u w:val="single"/>
                <w:lang w:val="sr-Latn-CS"/>
              </w:rPr>
            </w:pP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prevenciju</w:t>
            </w:r>
            <w:r w:rsidRPr="00DC010A">
              <w:rPr>
                <w:sz w:val="22"/>
                <w:szCs w:val="22"/>
                <w:shd w:val="clear" w:color="auto" w:fill="FFFFFF"/>
                <w:lang w:val="sr-Latn-CS"/>
              </w:rPr>
              <w:t xml:space="preserve"> </w:t>
            </w:r>
            <w:r w:rsidRPr="00DC010A">
              <w:rPr>
                <w:sz w:val="22"/>
                <w:szCs w:val="22"/>
                <w:shd w:val="clear" w:color="auto" w:fill="FFFFFF"/>
              </w:rPr>
              <w:t>gastri</w:t>
            </w:r>
            <w:r w:rsidRPr="00DC010A">
              <w:rPr>
                <w:sz w:val="22"/>
                <w:szCs w:val="22"/>
                <w:shd w:val="clear" w:color="auto" w:fill="FFFFFF"/>
                <w:lang w:val="sr-Latn-CS"/>
              </w:rPr>
              <w:t>č</w:t>
            </w:r>
            <w:r w:rsidRPr="00DC010A">
              <w:rPr>
                <w:sz w:val="22"/>
                <w:szCs w:val="22"/>
                <w:shd w:val="clear" w:color="auto" w:fill="FFFFFF"/>
              </w:rPr>
              <w:t>nih</w:t>
            </w:r>
            <w:r w:rsidRPr="00DC010A">
              <w:rPr>
                <w:sz w:val="22"/>
                <w:szCs w:val="22"/>
                <w:shd w:val="clear" w:color="auto" w:fill="FFFFFF"/>
                <w:lang w:val="sr-Latn-CS"/>
              </w:rPr>
              <w:t xml:space="preserve"> </w:t>
            </w:r>
            <w:r w:rsidRPr="00DC010A">
              <w:rPr>
                <w:sz w:val="22"/>
                <w:szCs w:val="22"/>
                <w:shd w:val="clear" w:color="auto" w:fill="FFFFFF"/>
              </w:rPr>
              <w:t>ulkusa</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shd w:val="clear" w:color="auto" w:fill="FFFFFF"/>
                <w:lang w:val="sr-Latn-CS"/>
              </w:rPr>
              <w:t xml:space="preserve"> </w:t>
            </w:r>
            <w:r w:rsidRPr="00DC010A">
              <w:rPr>
                <w:sz w:val="22"/>
                <w:szCs w:val="22"/>
                <w:shd w:val="clear" w:color="auto" w:fill="FFFFFF"/>
              </w:rPr>
              <w:t>duodenalnih</w:t>
            </w:r>
            <w:r w:rsidRPr="00DC010A">
              <w:rPr>
                <w:sz w:val="22"/>
                <w:szCs w:val="22"/>
                <w:shd w:val="clear" w:color="auto" w:fill="FFFFFF"/>
                <w:lang w:val="sr-Latn-CS"/>
              </w:rPr>
              <w:t xml:space="preserve"> </w:t>
            </w:r>
            <w:r w:rsidRPr="00DC010A">
              <w:rPr>
                <w:sz w:val="22"/>
                <w:szCs w:val="22"/>
                <w:shd w:val="clear" w:color="auto" w:fill="FFFFFF"/>
              </w:rPr>
              <w:t>ulkusa</w:t>
            </w:r>
            <w:r w:rsidRPr="00DC010A">
              <w:rPr>
                <w:sz w:val="22"/>
                <w:szCs w:val="22"/>
                <w:shd w:val="clear" w:color="auto" w:fill="FFFFFF"/>
                <w:lang w:val="sr-Latn-CS"/>
              </w:rPr>
              <w:t xml:space="preserve"> </w:t>
            </w:r>
            <w:r w:rsidRPr="00DC010A">
              <w:rPr>
                <w:sz w:val="22"/>
                <w:szCs w:val="22"/>
                <w:lang w:val="sr-Latn-CS"/>
              </w:rPr>
              <w:t>povezanih sa primjenom NSAIL</w:t>
            </w:r>
            <w:r w:rsidRPr="00DC010A">
              <w:rPr>
                <w:rFonts w:ascii="Arial" w:hAnsi="Arial" w:cs="Arial"/>
                <w:b/>
                <w:color w:val="777777"/>
                <w:sz w:val="20"/>
                <w:szCs w:val="20"/>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koji</w:t>
            </w:r>
            <w:r w:rsidRPr="00DC010A">
              <w:rPr>
                <w:sz w:val="22"/>
                <w:szCs w:val="22"/>
                <w:shd w:val="clear" w:color="auto" w:fill="FFFFFF"/>
                <w:lang w:val="sr-Latn-CS"/>
              </w:rPr>
              <w:t xml:space="preserve"> </w:t>
            </w:r>
            <w:r w:rsidRPr="00DC010A">
              <w:rPr>
                <w:sz w:val="22"/>
                <w:szCs w:val="22"/>
                <w:shd w:val="clear" w:color="auto" w:fill="FFFFFF"/>
              </w:rPr>
              <w:t>su</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riziku</w:t>
            </w:r>
            <w:r w:rsidRPr="00DC010A">
              <w:rPr>
                <w:sz w:val="22"/>
                <w:szCs w:val="22"/>
                <w:shd w:val="clear" w:color="auto" w:fill="FFFFFF"/>
                <w:lang w:val="sr-Latn-CS"/>
              </w:rPr>
              <w:t xml:space="preserve"> (</w:t>
            </w:r>
            <w:r w:rsidRPr="00DC010A">
              <w:rPr>
                <w:sz w:val="22"/>
                <w:szCs w:val="22"/>
                <w:shd w:val="clear" w:color="auto" w:fill="FFFFFF"/>
              </w:rPr>
              <w:t>stariji</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60 </w:t>
            </w:r>
            <w:r w:rsidRPr="00DC010A">
              <w:rPr>
                <w:sz w:val="22"/>
                <w:szCs w:val="22"/>
                <w:shd w:val="clear" w:color="auto" w:fill="FFFFFF"/>
              </w:rPr>
              <w:t>godina</w:t>
            </w:r>
            <w:r w:rsidRPr="00DC010A">
              <w:rPr>
                <w:sz w:val="22"/>
                <w:szCs w:val="22"/>
                <w:shd w:val="clear" w:color="auto" w:fill="FFFFFF"/>
                <w:lang w:val="sr-Latn-CS"/>
              </w:rPr>
              <w:t xml:space="preserve">, gastrični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duodenalni</w:t>
            </w:r>
            <w:r w:rsidRPr="00DC010A">
              <w:rPr>
                <w:sz w:val="22"/>
                <w:szCs w:val="22"/>
                <w:shd w:val="clear" w:color="auto" w:fill="FFFFFF"/>
                <w:lang w:val="sr-Latn-CS"/>
              </w:rPr>
              <w:t xml:space="preserve"> </w:t>
            </w:r>
            <w:r w:rsidRPr="00DC010A">
              <w:rPr>
                <w:sz w:val="22"/>
                <w:szCs w:val="22"/>
                <w:shd w:val="clear" w:color="auto" w:fill="FFFFFF"/>
              </w:rPr>
              <w:t>ulkus</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anamnezi</w:t>
            </w:r>
            <w:r w:rsidRPr="00DC010A">
              <w:rPr>
                <w:sz w:val="22"/>
                <w:szCs w:val="22"/>
                <w:shd w:val="clear" w:color="auto" w:fill="FFFFFF"/>
                <w:lang w:val="sr-Latn-CS"/>
              </w:rPr>
              <w:t xml:space="preserve">, </w:t>
            </w:r>
            <w:r w:rsidRPr="00DC010A">
              <w:rPr>
                <w:sz w:val="22"/>
                <w:szCs w:val="22"/>
                <w:shd w:val="clear" w:color="auto" w:fill="FFFFFF"/>
              </w:rPr>
              <w:t>krvarenje</w:t>
            </w:r>
            <w:r w:rsidRPr="00DC010A">
              <w:rPr>
                <w:sz w:val="22"/>
                <w:szCs w:val="22"/>
                <w:shd w:val="clear" w:color="auto" w:fill="FFFFFF"/>
                <w:lang w:val="sr-Latn-CS"/>
              </w:rPr>
              <w:t xml:space="preserve"> </w:t>
            </w:r>
            <w:r w:rsidRPr="00DC010A">
              <w:rPr>
                <w:sz w:val="22"/>
                <w:szCs w:val="22"/>
                <w:shd w:val="clear" w:color="auto" w:fill="FFFFFF"/>
              </w:rPr>
              <w:t>iz</w:t>
            </w:r>
            <w:r w:rsidRPr="00DC010A">
              <w:rPr>
                <w:sz w:val="22"/>
                <w:szCs w:val="22"/>
                <w:shd w:val="clear" w:color="auto" w:fill="FFFFFF"/>
                <w:lang w:val="sr-Latn-CS"/>
              </w:rPr>
              <w:t xml:space="preserve"> </w:t>
            </w:r>
            <w:r w:rsidRPr="00DC010A">
              <w:rPr>
                <w:sz w:val="22"/>
                <w:szCs w:val="22"/>
                <w:shd w:val="clear" w:color="auto" w:fill="FFFFFF"/>
              </w:rPr>
              <w:t>gornjeg</w:t>
            </w:r>
            <w:r w:rsidRPr="00DC010A">
              <w:rPr>
                <w:sz w:val="22"/>
                <w:szCs w:val="22"/>
                <w:shd w:val="clear" w:color="auto" w:fill="FFFFFF"/>
                <w:lang w:val="sr-Latn-CS"/>
              </w:rPr>
              <w:t xml:space="preserve"> dijela </w:t>
            </w:r>
            <w:r w:rsidRPr="00DC010A">
              <w:rPr>
                <w:sz w:val="22"/>
                <w:szCs w:val="22"/>
                <w:shd w:val="clear" w:color="auto" w:fill="FFFFFF"/>
              </w:rPr>
              <w:t>GI</w:t>
            </w:r>
            <w:r w:rsidRPr="00DC010A">
              <w:rPr>
                <w:sz w:val="22"/>
                <w:szCs w:val="22"/>
                <w:shd w:val="clear" w:color="auto" w:fill="FFFFFF"/>
                <w:lang w:val="sr-Latn-CS"/>
              </w:rPr>
              <w:t xml:space="preserve">S u anamnezi) </w:t>
            </w: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ena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20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omeprazola</w:t>
            </w:r>
            <w:r w:rsidRPr="00DC010A">
              <w:rPr>
                <w:sz w:val="22"/>
                <w:szCs w:val="22"/>
                <w:shd w:val="clear" w:color="auto" w:fill="FFFFFF"/>
                <w:lang w:val="sr-Latn-CS"/>
              </w:rPr>
              <w:t xml:space="preserve">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w:t>
            </w:r>
          </w:p>
          <w:p w:rsidR="008E31D0" w:rsidRPr="00DC010A" w:rsidRDefault="008E31D0" w:rsidP="008E31D0">
            <w:pPr>
              <w:pStyle w:val="NoSpacing"/>
              <w:rPr>
                <w:sz w:val="22"/>
                <w:szCs w:val="22"/>
                <w:u w:val="single"/>
                <w:lang w:val="sr-Latn-CS"/>
              </w:rPr>
            </w:pPr>
          </w:p>
          <w:p w:rsidR="008E31D0" w:rsidRPr="00DC010A" w:rsidRDefault="008E31D0" w:rsidP="008E31D0">
            <w:pPr>
              <w:pStyle w:val="NoSpacing"/>
              <w:rPr>
                <w:sz w:val="22"/>
                <w:szCs w:val="22"/>
                <w:shd w:val="clear" w:color="auto" w:fill="FFFFFF"/>
                <w:lang w:val="sr-Latn-CS"/>
              </w:rPr>
            </w:pPr>
            <w:r w:rsidRPr="00DC010A">
              <w:rPr>
                <w:b/>
                <w:sz w:val="22"/>
                <w:szCs w:val="22"/>
                <w:shd w:val="clear" w:color="auto" w:fill="FFFFFF"/>
              </w:rPr>
              <w:t>Lije</w:t>
            </w:r>
            <w:r w:rsidRPr="00DC010A">
              <w:rPr>
                <w:b/>
                <w:sz w:val="22"/>
                <w:szCs w:val="22"/>
                <w:shd w:val="clear" w:color="auto" w:fill="FFFFFF"/>
                <w:lang w:val="sr-Latn-CS"/>
              </w:rPr>
              <w:t>č</w:t>
            </w:r>
            <w:r w:rsidRPr="00DC010A">
              <w:rPr>
                <w:b/>
                <w:sz w:val="22"/>
                <w:szCs w:val="22"/>
                <w:shd w:val="clear" w:color="auto" w:fill="FFFFFF"/>
              </w:rPr>
              <w:t>enje</w:t>
            </w:r>
            <w:r w:rsidRPr="00DC010A">
              <w:rPr>
                <w:b/>
                <w:sz w:val="22"/>
                <w:szCs w:val="22"/>
                <w:shd w:val="clear" w:color="auto" w:fill="FFFFFF"/>
                <w:lang w:val="sr-Latn-CS"/>
              </w:rPr>
              <w:t xml:space="preserve"> </w:t>
            </w:r>
            <w:r w:rsidRPr="00DC010A">
              <w:rPr>
                <w:b/>
                <w:sz w:val="22"/>
                <w:szCs w:val="22"/>
                <w:shd w:val="clear" w:color="auto" w:fill="FFFFFF"/>
              </w:rPr>
              <w:t>refluksnog</w:t>
            </w:r>
            <w:r w:rsidRPr="00DC010A">
              <w:rPr>
                <w:b/>
                <w:sz w:val="22"/>
                <w:szCs w:val="22"/>
                <w:shd w:val="clear" w:color="auto" w:fill="FFFFFF"/>
                <w:lang w:val="sr-Latn-CS"/>
              </w:rPr>
              <w:t xml:space="preserve"> </w:t>
            </w:r>
            <w:r w:rsidRPr="00DC010A">
              <w:rPr>
                <w:b/>
                <w:sz w:val="22"/>
                <w:szCs w:val="22"/>
                <w:shd w:val="clear" w:color="auto" w:fill="FFFFFF"/>
              </w:rPr>
              <w:t>ezofagitisa</w:t>
            </w:r>
            <w:r w:rsidRPr="00DC010A">
              <w:rPr>
                <w:sz w:val="22"/>
                <w:szCs w:val="22"/>
                <w:shd w:val="clear" w:color="auto" w:fill="FFFFFF"/>
                <w:lang w:val="sr-Latn-CS"/>
              </w:rPr>
              <w:t xml:space="preserve"> </w:t>
            </w:r>
          </w:p>
          <w:p w:rsidR="008E31D0" w:rsidRPr="00DC010A" w:rsidRDefault="008E31D0" w:rsidP="008E31D0">
            <w:pPr>
              <w:pStyle w:val="NoSpacing"/>
              <w:rPr>
                <w:sz w:val="22"/>
                <w:szCs w:val="22"/>
                <w:lang w:val="sr-Latn-CS"/>
              </w:rPr>
            </w:pP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ena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20 </w:t>
            </w:r>
            <w:r w:rsidRPr="00DC010A">
              <w:rPr>
                <w:sz w:val="22"/>
                <w:szCs w:val="22"/>
                <w:shd w:val="clear" w:color="auto" w:fill="FFFFFF"/>
              </w:rPr>
              <w:t>mg</w:t>
            </w:r>
            <w:r w:rsidRPr="00DC010A">
              <w:rPr>
                <w:sz w:val="22"/>
                <w:szCs w:val="22"/>
                <w:shd w:val="clear" w:color="auto" w:fill="FFFFFF"/>
                <w:lang w:val="sr-Latn-CS"/>
              </w:rPr>
              <w:t xml:space="preserve"> omeprazola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vec</w:t>
            </w:r>
            <w:r w:rsidRPr="00DC010A">
              <w:rPr>
                <w:sz w:val="22"/>
                <w:szCs w:val="22"/>
                <w:shd w:val="clear" w:color="auto" w:fill="FFFFFF"/>
                <w:lang w:val="sr-Latn-CS"/>
              </w:rPr>
              <w:t>́</w:t>
            </w:r>
            <w:r w:rsidRPr="00DC010A">
              <w:rPr>
                <w:sz w:val="22"/>
                <w:szCs w:val="22"/>
                <w:shd w:val="clear" w:color="auto" w:fill="FFFFFF"/>
              </w:rPr>
              <w:t>ine</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iz</w:t>
            </w:r>
            <w:r w:rsidRPr="00DC010A">
              <w:rPr>
                <w:sz w:val="22"/>
                <w:szCs w:val="22"/>
                <w:shd w:val="clear" w:color="auto" w:fill="FFFFFF"/>
              </w:rPr>
              <w:t>lje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nastupa</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roku</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č</w:t>
            </w:r>
            <w:r w:rsidRPr="00DC010A">
              <w:rPr>
                <w:sz w:val="22"/>
                <w:szCs w:val="22"/>
                <w:shd w:val="clear" w:color="auto" w:fill="FFFFFF"/>
              </w:rPr>
              <w:t>etiri</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one</w:t>
            </w:r>
            <w:r w:rsidRPr="00DC010A">
              <w:rPr>
                <w:sz w:val="22"/>
                <w:szCs w:val="22"/>
                <w:shd w:val="clear" w:color="auto" w:fill="FFFFFF"/>
                <w:lang w:val="sr-Latn-CS"/>
              </w:rPr>
              <w:t xml:space="preserve"> </w:t>
            </w:r>
            <w:r w:rsidRPr="00DC010A">
              <w:rPr>
                <w:sz w:val="22"/>
                <w:szCs w:val="22"/>
                <w:shd w:val="clear" w:color="auto" w:fill="FFFFFF"/>
              </w:rPr>
              <w:t>pacijente</w:t>
            </w:r>
            <w:r w:rsidRPr="00DC010A">
              <w:rPr>
                <w:sz w:val="22"/>
                <w:szCs w:val="22"/>
                <w:shd w:val="clear" w:color="auto" w:fill="FFFFFF"/>
                <w:lang w:val="sr-Latn-CS"/>
              </w:rPr>
              <w:t xml:space="preserve"> </w:t>
            </w:r>
            <w:r w:rsidRPr="00DC010A">
              <w:rPr>
                <w:sz w:val="22"/>
                <w:szCs w:val="22"/>
                <w:shd w:val="clear" w:color="auto" w:fill="FFFFFF"/>
              </w:rPr>
              <w:t>koji</w:t>
            </w:r>
            <w:r w:rsidRPr="00DC010A">
              <w:rPr>
                <w:sz w:val="22"/>
                <w:szCs w:val="22"/>
                <w:shd w:val="clear" w:color="auto" w:fill="FFFFFF"/>
                <w:lang w:val="sr-Latn-CS"/>
              </w:rPr>
              <w:t xml:space="preserve"> </w:t>
            </w:r>
            <w:r w:rsidRPr="00DC010A">
              <w:rPr>
                <w:sz w:val="22"/>
                <w:szCs w:val="22"/>
                <w:shd w:val="clear" w:color="auto" w:fill="FFFFFF"/>
              </w:rPr>
              <w:t>nijesu</w:t>
            </w:r>
            <w:r w:rsidRPr="00DC010A">
              <w:rPr>
                <w:sz w:val="22"/>
                <w:szCs w:val="22"/>
                <w:shd w:val="clear" w:color="auto" w:fill="FFFFFF"/>
                <w:lang w:val="sr-Latn-CS"/>
              </w:rPr>
              <w:t xml:space="preserve"> </w:t>
            </w:r>
            <w:r w:rsidRPr="00DC010A">
              <w:rPr>
                <w:sz w:val="22"/>
                <w:szCs w:val="22"/>
                <w:shd w:val="clear" w:color="auto" w:fill="FFFFFF"/>
              </w:rPr>
              <w:t>potpuno</w:t>
            </w:r>
            <w:r w:rsidRPr="00DC010A">
              <w:rPr>
                <w:sz w:val="22"/>
                <w:szCs w:val="22"/>
                <w:shd w:val="clear" w:color="auto" w:fill="FFFFFF"/>
                <w:lang w:val="sr-Latn-CS"/>
              </w:rPr>
              <w:t xml:space="preserve"> </w:t>
            </w:r>
            <w:r w:rsidRPr="00DC010A">
              <w:rPr>
                <w:sz w:val="22"/>
                <w:szCs w:val="22"/>
                <w:shd w:val="clear" w:color="auto" w:fill="FFFFFF"/>
              </w:rPr>
              <w:t>izlije</w:t>
            </w:r>
            <w:r w:rsidRPr="00DC010A">
              <w:rPr>
                <w:sz w:val="22"/>
                <w:szCs w:val="22"/>
                <w:shd w:val="clear" w:color="auto" w:fill="FFFFFF"/>
                <w:lang w:val="sr-Latn-CS"/>
              </w:rPr>
              <w:t>č</w:t>
            </w:r>
            <w:r w:rsidRPr="00DC010A">
              <w:rPr>
                <w:sz w:val="22"/>
                <w:szCs w:val="22"/>
                <w:shd w:val="clear" w:color="auto" w:fill="FFFFFF"/>
              </w:rPr>
              <w:t>eni</w:t>
            </w:r>
            <w:r w:rsidRPr="00DC010A">
              <w:rPr>
                <w:sz w:val="22"/>
                <w:szCs w:val="22"/>
                <w:shd w:val="clear" w:color="auto" w:fill="FFFFFF"/>
                <w:lang w:val="sr-Latn-CS"/>
              </w:rPr>
              <w:t xml:space="preserve"> </w:t>
            </w:r>
            <w:r w:rsidRPr="00DC010A">
              <w:rPr>
                <w:sz w:val="22"/>
                <w:szCs w:val="22"/>
                <w:shd w:val="clear" w:color="auto" w:fill="FFFFFF"/>
              </w:rPr>
              <w:t>nakon</w:t>
            </w:r>
            <w:r w:rsidRPr="00DC010A">
              <w:rPr>
                <w:sz w:val="22"/>
                <w:szCs w:val="22"/>
                <w:shd w:val="clear" w:color="auto" w:fill="FFFFFF"/>
                <w:lang w:val="sr-Latn-CS"/>
              </w:rPr>
              <w:t xml:space="preserve"> </w:t>
            </w:r>
            <w:r w:rsidRPr="00DC010A">
              <w:rPr>
                <w:sz w:val="22"/>
                <w:szCs w:val="22"/>
                <w:shd w:val="clear" w:color="auto" w:fill="FFFFFF"/>
              </w:rPr>
              <w:t>inicijalnog</w:t>
            </w:r>
            <w:r w:rsidRPr="00DC010A">
              <w:rPr>
                <w:sz w:val="22"/>
                <w:szCs w:val="22"/>
                <w:shd w:val="clear" w:color="auto" w:fill="FFFFFF"/>
                <w:lang w:val="sr-Latn-CS"/>
              </w:rPr>
              <w:t xml:space="preserve"> </w:t>
            </w:r>
            <w:r w:rsidRPr="00DC010A">
              <w:rPr>
                <w:sz w:val="22"/>
                <w:szCs w:val="22"/>
                <w:shd w:val="clear" w:color="auto" w:fill="FFFFFF"/>
              </w:rPr>
              <w:t>terapije</w:t>
            </w:r>
            <w:r w:rsidRPr="00DC010A">
              <w:rPr>
                <w:sz w:val="22"/>
                <w:szCs w:val="22"/>
                <w:shd w:val="clear" w:color="auto" w:fill="FFFFFF"/>
                <w:lang w:val="sr-Latn-CS"/>
              </w:rPr>
              <w:t>, iz</w:t>
            </w:r>
            <w:r w:rsidRPr="00DC010A">
              <w:rPr>
                <w:sz w:val="22"/>
                <w:szCs w:val="22"/>
                <w:shd w:val="clear" w:color="auto" w:fill="FFFFFF"/>
              </w:rPr>
              <w:t>lje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obi</w:t>
            </w:r>
            <w:r w:rsidRPr="00DC010A">
              <w:rPr>
                <w:sz w:val="22"/>
                <w:szCs w:val="22"/>
                <w:shd w:val="clear" w:color="auto" w:fill="FFFFFF"/>
                <w:lang w:val="sr-Latn-CS"/>
              </w:rPr>
              <w:t>č</w:t>
            </w:r>
            <w:r w:rsidRPr="00DC010A">
              <w:rPr>
                <w:sz w:val="22"/>
                <w:szCs w:val="22"/>
                <w:shd w:val="clear" w:color="auto" w:fill="FFFFFF"/>
              </w:rPr>
              <w:t>no</w:t>
            </w:r>
            <w:r w:rsidRPr="00DC010A">
              <w:rPr>
                <w:sz w:val="22"/>
                <w:szCs w:val="22"/>
                <w:shd w:val="clear" w:color="auto" w:fill="FFFFFF"/>
                <w:lang w:val="sr-Latn-CS"/>
              </w:rPr>
              <w:t xml:space="preserve"> </w:t>
            </w:r>
            <w:r w:rsidRPr="00DC010A">
              <w:rPr>
                <w:sz w:val="22"/>
                <w:szCs w:val="22"/>
                <w:shd w:val="clear" w:color="auto" w:fill="FFFFFF"/>
              </w:rPr>
              <w:t>nastupa</w:t>
            </w:r>
            <w:r w:rsidRPr="00DC010A">
              <w:rPr>
                <w:sz w:val="22"/>
                <w:szCs w:val="22"/>
                <w:shd w:val="clear" w:color="auto" w:fill="FFFFFF"/>
                <w:lang w:val="sr-Latn-CS"/>
              </w:rPr>
              <w:t xml:space="preserve"> </w:t>
            </w:r>
            <w:r w:rsidRPr="00DC010A">
              <w:rPr>
                <w:sz w:val="22"/>
                <w:szCs w:val="22"/>
                <w:shd w:val="clear" w:color="auto" w:fill="FFFFFF"/>
              </w:rPr>
              <w:t>tokom</w:t>
            </w:r>
            <w:r w:rsidRPr="00DC010A">
              <w:rPr>
                <w:sz w:val="22"/>
                <w:szCs w:val="22"/>
                <w:shd w:val="clear" w:color="auto" w:fill="FFFFFF"/>
                <w:lang w:val="sr-Latn-CS"/>
              </w:rPr>
              <w:t xml:space="preserve"> sljedeće č</w:t>
            </w:r>
            <w:r w:rsidRPr="00DC010A">
              <w:rPr>
                <w:sz w:val="22"/>
                <w:szCs w:val="22"/>
                <w:shd w:val="clear" w:color="auto" w:fill="FFFFFF"/>
              </w:rPr>
              <w:t>etiri</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enja</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te</w:t>
            </w:r>
            <w:r w:rsidRPr="00DC010A">
              <w:rPr>
                <w:sz w:val="22"/>
                <w:szCs w:val="22"/>
                <w:shd w:val="clear" w:color="auto" w:fill="FFFFFF"/>
                <w:lang w:val="sr-Latn-CS"/>
              </w:rPr>
              <w:t>š</w:t>
            </w:r>
            <w:r w:rsidRPr="00DC010A">
              <w:rPr>
                <w:sz w:val="22"/>
                <w:szCs w:val="22"/>
                <w:shd w:val="clear" w:color="auto" w:fill="FFFFFF"/>
              </w:rPr>
              <w:t>kim</w:t>
            </w:r>
            <w:r w:rsidRPr="00DC010A">
              <w:rPr>
                <w:sz w:val="22"/>
                <w:szCs w:val="22"/>
                <w:shd w:val="clear" w:color="auto" w:fill="FFFFFF"/>
                <w:lang w:val="sr-Latn-CS"/>
              </w:rPr>
              <w:t xml:space="preserve"> </w:t>
            </w:r>
            <w:r w:rsidRPr="00DC010A">
              <w:rPr>
                <w:sz w:val="22"/>
                <w:szCs w:val="22"/>
                <w:shd w:val="clear" w:color="auto" w:fill="FFFFFF"/>
              </w:rPr>
              <w:t>ezofagitisom</w:t>
            </w:r>
            <w:r w:rsidRPr="00DC010A">
              <w:rPr>
                <w:sz w:val="22"/>
                <w:szCs w:val="22"/>
                <w:shd w:val="clear" w:color="auto" w:fill="FFFFFF"/>
                <w:lang w:val="sr-Latn-CS"/>
              </w:rPr>
              <w:t xml:space="preserve"> </w:t>
            </w: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uje</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40 </w:t>
            </w:r>
            <w:r w:rsidRPr="00DC010A">
              <w:rPr>
                <w:sz w:val="22"/>
                <w:szCs w:val="22"/>
                <w:shd w:val="clear" w:color="auto" w:fill="FFFFFF"/>
              </w:rPr>
              <w:t>mg</w:t>
            </w:r>
            <w:r w:rsidRPr="00DC010A">
              <w:rPr>
                <w:sz w:val="22"/>
                <w:szCs w:val="22"/>
                <w:shd w:val="clear" w:color="auto" w:fill="FFFFFF"/>
                <w:lang w:val="sr-Latn-CS"/>
              </w:rPr>
              <w:t xml:space="preserve"> omeprazola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a iz</w:t>
            </w:r>
            <w:r w:rsidRPr="00DC010A">
              <w:rPr>
                <w:sz w:val="22"/>
                <w:szCs w:val="22"/>
                <w:shd w:val="clear" w:color="auto" w:fill="FFFFFF"/>
              </w:rPr>
              <w:t>lje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se </w:t>
            </w:r>
            <w:r w:rsidRPr="00DC010A">
              <w:rPr>
                <w:sz w:val="22"/>
                <w:szCs w:val="22"/>
                <w:shd w:val="clear" w:color="auto" w:fill="FFFFFF"/>
              </w:rPr>
              <w:t>obi</w:t>
            </w:r>
            <w:r w:rsidRPr="00DC010A">
              <w:rPr>
                <w:sz w:val="22"/>
                <w:szCs w:val="22"/>
                <w:shd w:val="clear" w:color="auto" w:fill="FFFFFF"/>
                <w:lang w:val="sr-Latn-CS"/>
              </w:rPr>
              <w:t>č</w:t>
            </w:r>
            <w:r w:rsidRPr="00DC010A">
              <w:rPr>
                <w:sz w:val="22"/>
                <w:szCs w:val="22"/>
                <w:shd w:val="clear" w:color="auto" w:fill="FFFFFF"/>
              </w:rPr>
              <w:t>no</w:t>
            </w:r>
            <w:r w:rsidRPr="00DC010A">
              <w:rPr>
                <w:sz w:val="22"/>
                <w:szCs w:val="22"/>
                <w:shd w:val="clear" w:color="auto" w:fill="FFFFFF"/>
                <w:lang w:val="sr-Latn-CS"/>
              </w:rPr>
              <w:t xml:space="preserve"> </w:t>
            </w:r>
            <w:r w:rsidRPr="00DC010A">
              <w:rPr>
                <w:sz w:val="22"/>
                <w:szCs w:val="22"/>
                <w:shd w:val="clear" w:color="auto" w:fill="FFFFFF"/>
              </w:rPr>
              <w:t>posti</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roku</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w:t>
            </w:r>
            <w:r w:rsidRPr="00DC010A">
              <w:rPr>
                <w:sz w:val="22"/>
                <w:szCs w:val="22"/>
                <w:shd w:val="clear" w:color="auto" w:fill="FFFFFF"/>
              </w:rPr>
              <w:t>osam</w:t>
            </w:r>
            <w:r w:rsidRPr="00DC010A">
              <w:rPr>
                <w:sz w:val="22"/>
                <w:szCs w:val="22"/>
                <w:shd w:val="clear" w:color="auto" w:fill="FFFFFF"/>
                <w:lang w:val="sr-Latn-CS"/>
              </w:rPr>
              <w:t xml:space="preserve"> </w:t>
            </w:r>
            <w:r w:rsidRPr="00DC010A">
              <w:rPr>
                <w:sz w:val="22"/>
                <w:szCs w:val="22"/>
                <w:shd w:val="clear" w:color="auto" w:fill="FFFFFF"/>
              </w:rPr>
              <w:t>nedjelja</w:t>
            </w:r>
            <w:r w:rsidRPr="00DC010A">
              <w:rPr>
                <w:sz w:val="22"/>
                <w:szCs w:val="22"/>
                <w:lang w:val="sr-Latn-CS"/>
              </w:rPr>
              <w:t>.</w:t>
            </w:r>
          </w:p>
          <w:p w:rsidR="008E31D0" w:rsidRPr="00DC010A" w:rsidRDefault="008E31D0" w:rsidP="008E31D0">
            <w:pPr>
              <w:pStyle w:val="NoSpacing"/>
              <w:rPr>
                <w:sz w:val="22"/>
                <w:szCs w:val="22"/>
                <w:u w:val="single"/>
                <w:lang w:val="sr-Latn-CS"/>
              </w:rPr>
            </w:pPr>
          </w:p>
          <w:p w:rsidR="008E31D0" w:rsidRPr="00DC010A" w:rsidRDefault="008E31D0" w:rsidP="008E31D0">
            <w:pPr>
              <w:pStyle w:val="NoSpacing"/>
              <w:rPr>
                <w:sz w:val="22"/>
                <w:szCs w:val="22"/>
                <w:shd w:val="clear" w:color="auto" w:fill="FFFFFF"/>
                <w:lang w:val="sr-Latn-CS"/>
              </w:rPr>
            </w:pPr>
            <w:r w:rsidRPr="00DC010A">
              <w:rPr>
                <w:b/>
                <w:sz w:val="22"/>
                <w:szCs w:val="22"/>
                <w:shd w:val="clear" w:color="auto" w:fill="FFFFFF"/>
              </w:rPr>
              <w:t>Dugotrajno</w:t>
            </w:r>
            <w:r w:rsidRPr="00DC010A">
              <w:rPr>
                <w:b/>
                <w:sz w:val="22"/>
                <w:szCs w:val="22"/>
                <w:shd w:val="clear" w:color="auto" w:fill="FFFFFF"/>
                <w:lang w:val="sr-Latn-CS"/>
              </w:rPr>
              <w:t xml:space="preserve">  </w:t>
            </w:r>
            <w:r w:rsidRPr="00DC010A">
              <w:rPr>
                <w:b/>
                <w:sz w:val="22"/>
                <w:szCs w:val="22"/>
                <w:shd w:val="clear" w:color="auto" w:fill="FFFFFF"/>
              </w:rPr>
              <w:t>lije</w:t>
            </w:r>
            <w:r w:rsidRPr="00DC010A">
              <w:rPr>
                <w:b/>
                <w:sz w:val="22"/>
                <w:szCs w:val="22"/>
                <w:shd w:val="clear" w:color="auto" w:fill="FFFFFF"/>
                <w:lang w:val="sr-Latn-CS"/>
              </w:rPr>
              <w:t>č</w:t>
            </w:r>
            <w:r w:rsidRPr="00DC010A">
              <w:rPr>
                <w:b/>
                <w:sz w:val="22"/>
                <w:szCs w:val="22"/>
                <w:shd w:val="clear" w:color="auto" w:fill="FFFFFF"/>
              </w:rPr>
              <w:t>enje</w:t>
            </w:r>
            <w:r w:rsidRPr="00DC010A">
              <w:rPr>
                <w:b/>
                <w:sz w:val="22"/>
                <w:szCs w:val="22"/>
                <w:shd w:val="clear" w:color="auto" w:fill="FFFFFF"/>
                <w:lang w:val="sr-Latn-CS"/>
              </w:rPr>
              <w:t xml:space="preserve"> </w:t>
            </w:r>
            <w:r w:rsidRPr="00DC010A">
              <w:rPr>
                <w:b/>
                <w:sz w:val="22"/>
                <w:szCs w:val="22"/>
                <w:shd w:val="clear" w:color="auto" w:fill="FFFFFF"/>
              </w:rPr>
              <w:t>pacijenata</w:t>
            </w:r>
            <w:r w:rsidRPr="00DC010A">
              <w:rPr>
                <w:b/>
                <w:sz w:val="22"/>
                <w:szCs w:val="22"/>
                <w:shd w:val="clear" w:color="auto" w:fill="FFFFFF"/>
                <w:lang w:val="sr-Latn-CS"/>
              </w:rPr>
              <w:t xml:space="preserve"> </w:t>
            </w:r>
            <w:r w:rsidRPr="00DC010A">
              <w:rPr>
                <w:b/>
                <w:sz w:val="22"/>
                <w:szCs w:val="22"/>
                <w:shd w:val="clear" w:color="auto" w:fill="FFFFFF"/>
              </w:rPr>
              <w:t>sa</w:t>
            </w:r>
            <w:r w:rsidRPr="00DC010A">
              <w:rPr>
                <w:b/>
                <w:sz w:val="22"/>
                <w:szCs w:val="22"/>
                <w:shd w:val="clear" w:color="auto" w:fill="FFFFFF"/>
                <w:lang w:val="sr-Latn-CS"/>
              </w:rPr>
              <w:t xml:space="preserve"> </w:t>
            </w:r>
            <w:r w:rsidRPr="00DC010A">
              <w:rPr>
                <w:b/>
                <w:sz w:val="22"/>
                <w:szCs w:val="22"/>
                <w:shd w:val="clear" w:color="auto" w:fill="FFFFFF"/>
              </w:rPr>
              <w:t>izlije</w:t>
            </w:r>
            <w:r w:rsidRPr="00DC010A">
              <w:rPr>
                <w:b/>
                <w:sz w:val="22"/>
                <w:szCs w:val="22"/>
                <w:shd w:val="clear" w:color="auto" w:fill="FFFFFF"/>
                <w:lang w:val="sr-Latn-CS"/>
              </w:rPr>
              <w:t>č</w:t>
            </w:r>
            <w:r w:rsidRPr="00DC010A">
              <w:rPr>
                <w:b/>
                <w:sz w:val="22"/>
                <w:szCs w:val="22"/>
                <w:shd w:val="clear" w:color="auto" w:fill="FFFFFF"/>
              </w:rPr>
              <w:t>enim</w:t>
            </w:r>
            <w:r w:rsidRPr="00DC010A">
              <w:rPr>
                <w:b/>
                <w:sz w:val="22"/>
                <w:szCs w:val="22"/>
                <w:shd w:val="clear" w:color="auto" w:fill="FFFFFF"/>
                <w:lang w:val="sr-Latn-CS"/>
              </w:rPr>
              <w:t xml:space="preserve"> </w:t>
            </w:r>
            <w:r w:rsidRPr="00DC010A">
              <w:rPr>
                <w:b/>
                <w:sz w:val="22"/>
                <w:szCs w:val="22"/>
                <w:shd w:val="clear" w:color="auto" w:fill="FFFFFF"/>
              </w:rPr>
              <w:t>refluksnim</w:t>
            </w:r>
            <w:r w:rsidRPr="00DC010A">
              <w:rPr>
                <w:b/>
                <w:sz w:val="22"/>
                <w:szCs w:val="22"/>
                <w:shd w:val="clear" w:color="auto" w:fill="FFFFFF"/>
                <w:lang w:val="sr-Latn-CS"/>
              </w:rPr>
              <w:t xml:space="preserve"> </w:t>
            </w:r>
            <w:r w:rsidRPr="00DC010A">
              <w:rPr>
                <w:b/>
                <w:sz w:val="22"/>
                <w:szCs w:val="22"/>
                <w:shd w:val="clear" w:color="auto" w:fill="FFFFFF"/>
              </w:rPr>
              <w:t>ezofagitisom</w:t>
            </w:r>
            <w:r w:rsidRPr="00DC010A">
              <w:rPr>
                <w:sz w:val="22"/>
                <w:szCs w:val="22"/>
                <w:shd w:val="clear" w:color="auto" w:fill="FFFFFF"/>
                <w:lang w:val="sr-Latn-CS"/>
              </w:rPr>
              <w:t xml:space="preserve"> </w:t>
            </w:r>
          </w:p>
          <w:p w:rsidR="008E31D0" w:rsidRPr="00DC010A" w:rsidRDefault="008E31D0" w:rsidP="008E31D0">
            <w:pPr>
              <w:pStyle w:val="NoSpacing"/>
              <w:rPr>
                <w:sz w:val="22"/>
                <w:szCs w:val="22"/>
                <w:u w:val="single"/>
                <w:lang w:val="sr-Latn-CS"/>
              </w:rPr>
            </w:pP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dugotrajno</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izlije</w:t>
            </w:r>
            <w:r w:rsidRPr="00DC010A">
              <w:rPr>
                <w:sz w:val="22"/>
                <w:szCs w:val="22"/>
                <w:shd w:val="clear" w:color="auto" w:fill="FFFFFF"/>
                <w:lang w:val="sr-Latn-CS"/>
              </w:rPr>
              <w:t>č</w:t>
            </w:r>
            <w:r w:rsidRPr="00DC010A">
              <w:rPr>
                <w:sz w:val="22"/>
                <w:szCs w:val="22"/>
                <w:shd w:val="clear" w:color="auto" w:fill="FFFFFF"/>
              </w:rPr>
              <w:t>enim</w:t>
            </w:r>
            <w:r w:rsidRPr="00DC010A">
              <w:rPr>
                <w:sz w:val="22"/>
                <w:szCs w:val="22"/>
                <w:shd w:val="clear" w:color="auto" w:fill="FFFFFF"/>
                <w:lang w:val="sr-Latn-CS"/>
              </w:rPr>
              <w:t xml:space="preserve"> </w:t>
            </w:r>
            <w:r w:rsidRPr="00DC010A">
              <w:rPr>
                <w:sz w:val="22"/>
                <w:szCs w:val="22"/>
                <w:shd w:val="clear" w:color="auto" w:fill="FFFFFF"/>
              </w:rPr>
              <w:t>refluksnim</w:t>
            </w:r>
            <w:r w:rsidRPr="00DC010A">
              <w:rPr>
                <w:sz w:val="22"/>
                <w:szCs w:val="22"/>
                <w:shd w:val="clear" w:color="auto" w:fill="FFFFFF"/>
                <w:lang w:val="sr-Latn-CS"/>
              </w:rPr>
              <w:t xml:space="preserve"> </w:t>
            </w:r>
            <w:r w:rsidRPr="00DC010A">
              <w:rPr>
                <w:sz w:val="22"/>
                <w:szCs w:val="22"/>
                <w:shd w:val="clear" w:color="auto" w:fill="FFFFFF"/>
              </w:rPr>
              <w:t>ezofagitisom</w:t>
            </w:r>
            <w:r w:rsidRPr="00DC010A">
              <w:rPr>
                <w:sz w:val="22"/>
                <w:szCs w:val="22"/>
                <w:shd w:val="clear" w:color="auto" w:fill="FFFFFF"/>
                <w:lang w:val="sr-Latn-CS"/>
              </w:rPr>
              <w:t xml:space="preserve">, </w:t>
            </w: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ena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10 </w:t>
            </w:r>
            <w:r w:rsidRPr="00DC010A">
              <w:rPr>
                <w:sz w:val="22"/>
                <w:szCs w:val="22"/>
                <w:shd w:val="clear" w:color="auto" w:fill="FFFFFF"/>
              </w:rPr>
              <w:t>mg</w:t>
            </w:r>
            <w:r w:rsidRPr="00DC010A">
              <w:rPr>
                <w:sz w:val="22"/>
                <w:szCs w:val="22"/>
                <w:shd w:val="clear" w:color="auto" w:fill="FFFFFF"/>
                <w:lang w:val="sr-Latn-CS"/>
              </w:rPr>
              <w:t xml:space="preserve"> omeprazola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Ako</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w:t>
            </w:r>
            <w:r w:rsidRPr="00DC010A">
              <w:rPr>
                <w:sz w:val="22"/>
                <w:szCs w:val="22"/>
                <w:shd w:val="clear" w:color="auto" w:fill="FFFFFF"/>
              </w:rPr>
              <w:t>potrebno</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mo</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povec</w:t>
            </w:r>
            <w:r w:rsidRPr="00DC010A">
              <w:rPr>
                <w:sz w:val="22"/>
                <w:szCs w:val="22"/>
                <w:shd w:val="clear" w:color="auto" w:fill="FFFFFF"/>
                <w:lang w:val="sr-Latn-CS"/>
              </w:rPr>
              <w:t>́</w:t>
            </w:r>
            <w:r w:rsidRPr="00DC010A">
              <w:rPr>
                <w:sz w:val="22"/>
                <w:szCs w:val="22"/>
                <w:shd w:val="clear" w:color="auto" w:fill="FFFFFF"/>
              </w:rPr>
              <w:t>ati</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20-40 </w:t>
            </w:r>
            <w:r w:rsidRPr="00DC010A">
              <w:rPr>
                <w:sz w:val="22"/>
                <w:szCs w:val="22"/>
                <w:shd w:val="clear" w:color="auto" w:fill="FFFFFF"/>
              </w:rPr>
              <w:t>mg</w:t>
            </w:r>
            <w:r w:rsidRPr="00DC010A">
              <w:rPr>
                <w:sz w:val="22"/>
                <w:szCs w:val="22"/>
                <w:shd w:val="clear" w:color="auto" w:fill="FFFFFF"/>
                <w:lang w:val="sr-Latn-CS"/>
              </w:rPr>
              <w:t xml:space="preserve"> omeprazola </w:t>
            </w:r>
            <w:r w:rsidRPr="00DC010A">
              <w:rPr>
                <w:sz w:val="22"/>
                <w:szCs w:val="22"/>
                <w:shd w:val="clear" w:color="auto" w:fill="FFFFFF"/>
              </w:rPr>
              <w:t>jednom</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w:t>
            </w:r>
          </w:p>
          <w:p w:rsidR="008E31D0" w:rsidRPr="00DC010A" w:rsidRDefault="008E31D0" w:rsidP="008E31D0">
            <w:pPr>
              <w:pStyle w:val="NoSpacing"/>
              <w:rPr>
                <w:sz w:val="22"/>
                <w:szCs w:val="22"/>
                <w:u w:val="single"/>
                <w:lang w:val="sr-Latn-CS"/>
              </w:rPr>
            </w:pPr>
          </w:p>
          <w:p w:rsidR="008E31D0" w:rsidRPr="00DC010A" w:rsidRDefault="008E31D0" w:rsidP="008E31D0">
            <w:pPr>
              <w:pStyle w:val="NoSpacing"/>
              <w:rPr>
                <w:sz w:val="22"/>
                <w:szCs w:val="22"/>
                <w:shd w:val="clear" w:color="auto" w:fill="FFFFFF"/>
                <w:lang w:val="sr-Latn-CS"/>
              </w:rPr>
            </w:pPr>
            <w:r w:rsidRPr="00DC010A">
              <w:rPr>
                <w:b/>
                <w:sz w:val="22"/>
                <w:szCs w:val="22"/>
                <w:shd w:val="clear" w:color="auto" w:fill="FFFFFF"/>
              </w:rPr>
              <w:t>Lije</w:t>
            </w:r>
            <w:r w:rsidRPr="00DC010A">
              <w:rPr>
                <w:b/>
                <w:sz w:val="22"/>
                <w:szCs w:val="22"/>
                <w:shd w:val="clear" w:color="auto" w:fill="FFFFFF"/>
                <w:lang w:val="sr-Latn-CS"/>
              </w:rPr>
              <w:t>č</w:t>
            </w:r>
            <w:r w:rsidRPr="00DC010A">
              <w:rPr>
                <w:b/>
                <w:sz w:val="22"/>
                <w:szCs w:val="22"/>
                <w:shd w:val="clear" w:color="auto" w:fill="FFFFFF"/>
              </w:rPr>
              <w:t>enje</w:t>
            </w:r>
            <w:r w:rsidRPr="00DC010A">
              <w:rPr>
                <w:b/>
                <w:sz w:val="22"/>
                <w:szCs w:val="22"/>
                <w:shd w:val="clear" w:color="auto" w:fill="FFFFFF"/>
                <w:lang w:val="sr-Latn-CS"/>
              </w:rPr>
              <w:t xml:space="preserve"> </w:t>
            </w:r>
            <w:r w:rsidRPr="00DC010A">
              <w:rPr>
                <w:b/>
                <w:sz w:val="22"/>
                <w:szCs w:val="22"/>
                <w:shd w:val="clear" w:color="auto" w:fill="FFFFFF"/>
              </w:rPr>
              <w:t>simptomatske</w:t>
            </w:r>
            <w:r w:rsidRPr="00DC010A">
              <w:rPr>
                <w:b/>
                <w:sz w:val="22"/>
                <w:szCs w:val="22"/>
                <w:shd w:val="clear" w:color="auto" w:fill="FFFFFF"/>
                <w:lang w:val="sr-Latn-CS"/>
              </w:rPr>
              <w:t xml:space="preserve"> </w:t>
            </w:r>
            <w:r w:rsidRPr="00DC010A">
              <w:rPr>
                <w:b/>
                <w:sz w:val="22"/>
                <w:szCs w:val="22"/>
                <w:shd w:val="clear" w:color="auto" w:fill="FFFFFF"/>
              </w:rPr>
              <w:t>gastroezofagealne</w:t>
            </w:r>
            <w:r w:rsidRPr="00DC010A">
              <w:rPr>
                <w:b/>
                <w:sz w:val="22"/>
                <w:szCs w:val="22"/>
                <w:shd w:val="clear" w:color="auto" w:fill="FFFFFF"/>
                <w:lang w:val="sr-Latn-CS"/>
              </w:rPr>
              <w:t xml:space="preserve"> </w:t>
            </w:r>
            <w:r w:rsidRPr="00DC010A">
              <w:rPr>
                <w:b/>
                <w:sz w:val="22"/>
                <w:szCs w:val="22"/>
                <w:shd w:val="clear" w:color="auto" w:fill="FFFFFF"/>
              </w:rPr>
              <w:t>refluksne</w:t>
            </w:r>
            <w:r w:rsidRPr="00DC010A">
              <w:rPr>
                <w:b/>
                <w:sz w:val="22"/>
                <w:szCs w:val="22"/>
                <w:shd w:val="clear" w:color="auto" w:fill="FFFFFF"/>
                <w:lang w:val="sr-Latn-CS"/>
              </w:rPr>
              <w:t xml:space="preserve"> </w:t>
            </w:r>
            <w:r w:rsidRPr="00DC010A">
              <w:rPr>
                <w:b/>
                <w:sz w:val="22"/>
                <w:szCs w:val="22"/>
                <w:shd w:val="clear" w:color="auto" w:fill="FFFFFF"/>
              </w:rPr>
              <w:t>bolesti</w:t>
            </w:r>
            <w:r w:rsidRPr="00DC010A">
              <w:rPr>
                <w:sz w:val="22"/>
                <w:szCs w:val="22"/>
                <w:shd w:val="clear" w:color="auto" w:fill="FFFFFF"/>
                <w:lang w:val="sr-Latn-CS"/>
              </w:rPr>
              <w:t xml:space="preserve"> </w:t>
            </w:r>
          </w:p>
          <w:p w:rsidR="008E31D0" w:rsidRPr="00DC010A" w:rsidRDefault="008E31D0" w:rsidP="008E31D0">
            <w:pPr>
              <w:pStyle w:val="NoSpacing"/>
              <w:rPr>
                <w:sz w:val="22"/>
                <w:szCs w:val="22"/>
                <w:shd w:val="clear" w:color="auto" w:fill="FFFFFF"/>
                <w:lang w:val="sr-Latn-CS"/>
              </w:rPr>
            </w:pP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ena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20 </w:t>
            </w:r>
            <w:r w:rsidRPr="00DC010A">
              <w:rPr>
                <w:sz w:val="22"/>
                <w:szCs w:val="22"/>
                <w:shd w:val="clear" w:color="auto" w:fill="FFFFFF"/>
              </w:rPr>
              <w:t>mg</w:t>
            </w:r>
            <w:r w:rsidRPr="00DC010A">
              <w:rPr>
                <w:sz w:val="22"/>
                <w:szCs w:val="22"/>
                <w:shd w:val="clear" w:color="auto" w:fill="FFFFFF"/>
                <w:lang w:val="sr-Latn-CS"/>
              </w:rPr>
              <w:t xml:space="preserve"> omeprazola jednom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Pacijenti</w:t>
            </w:r>
            <w:r w:rsidRPr="00DC010A">
              <w:rPr>
                <w:sz w:val="22"/>
                <w:szCs w:val="22"/>
                <w:shd w:val="clear" w:color="auto" w:fill="FFFFFF"/>
                <w:lang w:val="sr-Latn-CS"/>
              </w:rPr>
              <w:t xml:space="preserve"> </w:t>
            </w:r>
            <w:r w:rsidRPr="00DC010A">
              <w:rPr>
                <w:sz w:val="22"/>
                <w:szCs w:val="22"/>
                <w:shd w:val="clear" w:color="auto" w:fill="FFFFFF"/>
              </w:rPr>
              <w:t>mogu</w:t>
            </w:r>
            <w:r w:rsidRPr="00DC010A">
              <w:rPr>
                <w:sz w:val="22"/>
                <w:szCs w:val="22"/>
                <w:shd w:val="clear" w:color="auto" w:fill="FFFFFF"/>
                <w:lang w:val="sr-Latn-CS"/>
              </w:rPr>
              <w:t xml:space="preserve"> </w:t>
            </w:r>
            <w:r w:rsidRPr="00DC010A">
              <w:rPr>
                <w:sz w:val="22"/>
                <w:szCs w:val="22"/>
                <w:shd w:val="clear" w:color="auto" w:fill="FFFFFF"/>
              </w:rPr>
              <w:t>adekvatno</w:t>
            </w:r>
            <w:r w:rsidRPr="00DC010A">
              <w:rPr>
                <w:sz w:val="22"/>
                <w:szCs w:val="22"/>
                <w:shd w:val="clear" w:color="auto" w:fill="FFFFFF"/>
                <w:lang w:val="sr-Latn-CS"/>
              </w:rPr>
              <w:t xml:space="preserve"> </w:t>
            </w:r>
            <w:r w:rsidRPr="00DC010A">
              <w:rPr>
                <w:sz w:val="22"/>
                <w:szCs w:val="22"/>
                <w:shd w:val="clear" w:color="auto" w:fill="FFFFFF"/>
              </w:rPr>
              <w:t>reagovati</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10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te</w:t>
            </w:r>
            <w:r w:rsidRPr="00DC010A">
              <w:rPr>
                <w:sz w:val="22"/>
                <w:szCs w:val="22"/>
                <w:shd w:val="clear" w:color="auto" w:fill="FFFFFF"/>
                <w:lang w:val="sr-Latn-CS"/>
              </w:rPr>
              <w:t xml:space="preserve"> </w:t>
            </w:r>
            <w:r w:rsidRPr="00DC010A">
              <w:rPr>
                <w:sz w:val="22"/>
                <w:szCs w:val="22"/>
                <w:shd w:val="clear" w:color="auto" w:fill="FFFFFF"/>
              </w:rPr>
              <w:t>s</w:t>
            </w:r>
            <w:r w:rsidRPr="00DC010A">
              <w:rPr>
                <w:sz w:val="22"/>
                <w:szCs w:val="22"/>
                <w:shd w:val="clear" w:color="auto" w:fill="FFFFFF"/>
                <w:lang w:val="sr-Latn-CS"/>
              </w:rPr>
              <w:t xml:space="preserve"> </w:t>
            </w:r>
            <w:r w:rsidRPr="00DC010A">
              <w:rPr>
                <w:sz w:val="22"/>
                <w:szCs w:val="22"/>
                <w:shd w:val="clear" w:color="auto" w:fill="FFFFFF"/>
              </w:rPr>
              <w:t>toga</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razmotriti</w:t>
            </w:r>
            <w:r w:rsidRPr="00DC010A">
              <w:rPr>
                <w:sz w:val="22"/>
                <w:szCs w:val="22"/>
                <w:shd w:val="clear" w:color="auto" w:fill="FFFFFF"/>
                <w:lang w:val="sr-Latn-CS"/>
              </w:rPr>
              <w:t xml:space="preserve"> </w:t>
            </w:r>
            <w:r w:rsidRPr="00DC010A">
              <w:rPr>
                <w:sz w:val="22"/>
                <w:szCs w:val="22"/>
                <w:shd w:val="clear" w:color="auto" w:fill="FFFFFF"/>
              </w:rPr>
              <w:t>pojedina</w:t>
            </w:r>
            <w:r w:rsidRPr="00DC010A">
              <w:rPr>
                <w:sz w:val="22"/>
                <w:szCs w:val="22"/>
                <w:shd w:val="clear" w:color="auto" w:fill="FFFFFF"/>
                <w:lang w:val="sr-Latn-CS"/>
              </w:rPr>
              <w:t>č</w:t>
            </w:r>
            <w:r w:rsidRPr="00DC010A">
              <w:rPr>
                <w:sz w:val="22"/>
                <w:szCs w:val="22"/>
                <w:shd w:val="clear" w:color="auto" w:fill="FFFFFF"/>
              </w:rPr>
              <w:t>no</w:t>
            </w:r>
            <w:r w:rsidRPr="00DC010A">
              <w:rPr>
                <w:sz w:val="22"/>
                <w:szCs w:val="22"/>
                <w:shd w:val="clear" w:color="auto" w:fill="FFFFFF"/>
                <w:lang w:val="sr-Latn-CS"/>
              </w:rPr>
              <w:t xml:space="preserve"> </w:t>
            </w:r>
            <w:r w:rsidRPr="00DC010A">
              <w:rPr>
                <w:sz w:val="22"/>
                <w:szCs w:val="22"/>
                <w:shd w:val="clear" w:color="auto" w:fill="FFFFFF"/>
              </w:rPr>
              <w:t>prilago</w:t>
            </w:r>
            <w:r w:rsidRPr="00DC010A">
              <w:rPr>
                <w:sz w:val="22"/>
                <w:szCs w:val="22"/>
                <w:shd w:val="clear" w:color="auto" w:fill="FFFFFF"/>
                <w:lang w:val="sr-Latn-CS"/>
              </w:rPr>
              <w:t>đ</w:t>
            </w:r>
            <w:r w:rsidRPr="00DC010A">
              <w:rPr>
                <w:sz w:val="22"/>
                <w:szCs w:val="22"/>
                <w:shd w:val="clear" w:color="auto" w:fill="FFFFFF"/>
              </w:rPr>
              <w:t>avanje</w:t>
            </w:r>
            <w:r w:rsidRPr="00DC010A">
              <w:rPr>
                <w:sz w:val="22"/>
                <w:szCs w:val="22"/>
                <w:shd w:val="clear" w:color="auto" w:fill="FFFFFF"/>
                <w:lang w:val="sr-Latn-CS"/>
              </w:rPr>
              <w:t xml:space="preserve"> </w:t>
            </w:r>
            <w:r w:rsidRPr="00DC010A">
              <w:rPr>
                <w:sz w:val="22"/>
                <w:szCs w:val="22"/>
                <w:shd w:val="clear" w:color="auto" w:fill="FFFFFF"/>
              </w:rPr>
              <w:t>doze</w:t>
            </w:r>
            <w:r w:rsidRPr="00DC010A">
              <w:rPr>
                <w:sz w:val="22"/>
                <w:szCs w:val="22"/>
                <w:shd w:val="clear" w:color="auto" w:fill="FFFFFF"/>
                <w:lang w:val="sr-Latn-CS"/>
              </w:rPr>
              <w:t xml:space="preserve">. </w:t>
            </w:r>
          </w:p>
          <w:p w:rsidR="008E31D0" w:rsidRPr="00DC010A" w:rsidRDefault="008E31D0" w:rsidP="008E31D0">
            <w:pPr>
              <w:pStyle w:val="NoSpacing"/>
              <w:rPr>
                <w:sz w:val="22"/>
                <w:szCs w:val="22"/>
                <w:u w:val="single"/>
                <w:lang w:val="sr-Latn-CS"/>
              </w:rPr>
            </w:pPr>
            <w:r w:rsidRPr="00DC010A">
              <w:rPr>
                <w:sz w:val="22"/>
                <w:szCs w:val="22"/>
                <w:shd w:val="clear" w:color="auto" w:fill="FFFFFF"/>
              </w:rPr>
              <w:t>Ako</w:t>
            </w:r>
            <w:r w:rsidRPr="00DC010A">
              <w:rPr>
                <w:sz w:val="22"/>
                <w:szCs w:val="22"/>
                <w:shd w:val="clear" w:color="auto" w:fill="FFFFFF"/>
                <w:lang w:val="sr-Latn-CS"/>
              </w:rPr>
              <w:t xml:space="preserve"> </w:t>
            </w:r>
            <w:r w:rsidRPr="00DC010A">
              <w:rPr>
                <w:sz w:val="22"/>
                <w:szCs w:val="22"/>
                <w:shd w:val="clear" w:color="auto" w:fill="FFFFFF"/>
              </w:rPr>
              <w:t>kontrola</w:t>
            </w:r>
            <w:r w:rsidRPr="00DC010A">
              <w:rPr>
                <w:sz w:val="22"/>
                <w:szCs w:val="22"/>
                <w:shd w:val="clear" w:color="auto" w:fill="FFFFFF"/>
                <w:lang w:val="sr-Latn-CS"/>
              </w:rPr>
              <w:t xml:space="preserve"> </w:t>
            </w:r>
            <w:r w:rsidRPr="00DC010A">
              <w:rPr>
                <w:sz w:val="22"/>
                <w:szCs w:val="22"/>
                <w:shd w:val="clear" w:color="auto" w:fill="FFFFFF"/>
              </w:rPr>
              <w:t>simptoma</w:t>
            </w:r>
            <w:r w:rsidRPr="00DC010A">
              <w:rPr>
                <w:sz w:val="22"/>
                <w:szCs w:val="22"/>
                <w:shd w:val="clear" w:color="auto" w:fill="FFFFFF"/>
                <w:lang w:val="sr-Latn-CS"/>
              </w:rPr>
              <w:t xml:space="preserve"> </w:t>
            </w:r>
            <w:r w:rsidRPr="00DC010A">
              <w:rPr>
                <w:sz w:val="22"/>
                <w:szCs w:val="22"/>
                <w:shd w:val="clear" w:color="auto" w:fill="FFFFFF"/>
              </w:rPr>
              <w:t>nije</w:t>
            </w:r>
            <w:r w:rsidRPr="00DC010A">
              <w:rPr>
                <w:sz w:val="22"/>
                <w:szCs w:val="22"/>
                <w:shd w:val="clear" w:color="auto" w:fill="FFFFFF"/>
                <w:lang w:val="sr-Latn-CS"/>
              </w:rPr>
              <w:t xml:space="preserve"> </w:t>
            </w:r>
            <w:r w:rsidRPr="00DC010A">
              <w:rPr>
                <w:sz w:val="22"/>
                <w:szCs w:val="22"/>
                <w:shd w:val="clear" w:color="auto" w:fill="FFFFFF"/>
              </w:rPr>
              <w:t>postignuta</w:t>
            </w:r>
            <w:r w:rsidRPr="00DC010A">
              <w:rPr>
                <w:sz w:val="22"/>
                <w:szCs w:val="22"/>
                <w:shd w:val="clear" w:color="auto" w:fill="FFFFFF"/>
                <w:lang w:val="sr-Latn-CS"/>
              </w:rPr>
              <w:t xml:space="preserve"> </w:t>
            </w:r>
            <w:r w:rsidRPr="00DC010A">
              <w:rPr>
                <w:sz w:val="22"/>
                <w:szCs w:val="22"/>
                <w:shd w:val="clear" w:color="auto" w:fill="FFFFFF"/>
              </w:rPr>
              <w:t>nakon</w:t>
            </w:r>
            <w:r w:rsidRPr="00DC010A">
              <w:rPr>
                <w:sz w:val="22"/>
                <w:szCs w:val="22"/>
                <w:shd w:val="clear" w:color="auto" w:fill="FFFFFF"/>
                <w:lang w:val="sr-Latn-CS"/>
              </w:rPr>
              <w:t xml:space="preserve"> č</w:t>
            </w:r>
            <w:r w:rsidRPr="00DC010A">
              <w:rPr>
                <w:sz w:val="22"/>
                <w:szCs w:val="22"/>
                <w:shd w:val="clear" w:color="auto" w:fill="FFFFFF"/>
              </w:rPr>
              <w:t>etiri</w:t>
            </w:r>
            <w:r w:rsidRPr="00DC010A">
              <w:rPr>
                <w:sz w:val="22"/>
                <w:szCs w:val="22"/>
                <w:shd w:val="clear" w:color="auto" w:fill="FFFFFF"/>
                <w:lang w:val="sr-Latn-CS"/>
              </w:rPr>
              <w:t xml:space="preserve"> </w:t>
            </w:r>
            <w:r w:rsidRPr="00DC010A">
              <w:rPr>
                <w:sz w:val="22"/>
                <w:szCs w:val="22"/>
                <w:shd w:val="clear" w:color="auto" w:fill="FFFFFF"/>
              </w:rPr>
              <w:t>nedjelje</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enja</w:t>
            </w:r>
            <w:r w:rsidRPr="00DC010A">
              <w:rPr>
                <w:sz w:val="22"/>
                <w:szCs w:val="22"/>
                <w:shd w:val="clear" w:color="auto" w:fill="FFFFFF"/>
                <w:lang w:val="sr-Latn-CS"/>
              </w:rPr>
              <w:t xml:space="preserve"> omeprazolom od 20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uju</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dalja</w:t>
            </w:r>
            <w:r w:rsidRPr="00DC010A">
              <w:rPr>
                <w:sz w:val="22"/>
                <w:szCs w:val="22"/>
                <w:shd w:val="clear" w:color="auto" w:fill="FFFFFF"/>
                <w:lang w:val="sr-Latn-CS"/>
              </w:rPr>
              <w:t xml:space="preserve"> </w:t>
            </w:r>
            <w:r w:rsidRPr="00DC010A">
              <w:rPr>
                <w:sz w:val="22"/>
                <w:szCs w:val="22"/>
                <w:shd w:val="clear" w:color="auto" w:fill="FFFFFF"/>
              </w:rPr>
              <w:t>ispitivanja</w:t>
            </w:r>
            <w:r w:rsidRPr="00DC010A">
              <w:rPr>
                <w:sz w:val="22"/>
                <w:szCs w:val="22"/>
                <w:shd w:val="clear" w:color="auto" w:fill="FFFFFF"/>
                <w:lang w:val="sr-Latn-CS"/>
              </w:rPr>
              <w:t>.</w:t>
            </w:r>
          </w:p>
          <w:p w:rsidR="008E31D0" w:rsidRPr="00DC010A" w:rsidRDefault="008E31D0" w:rsidP="008E31D0">
            <w:pPr>
              <w:pStyle w:val="NoSpacing"/>
              <w:rPr>
                <w:sz w:val="22"/>
                <w:szCs w:val="22"/>
                <w:u w:val="single"/>
                <w:lang w:val="sr-Latn-CS"/>
              </w:rPr>
            </w:pPr>
          </w:p>
          <w:p w:rsidR="008E31D0" w:rsidRPr="00DC010A" w:rsidRDefault="008E31D0" w:rsidP="008E31D0">
            <w:pPr>
              <w:pStyle w:val="NoSpacing"/>
              <w:rPr>
                <w:sz w:val="22"/>
                <w:szCs w:val="22"/>
                <w:shd w:val="clear" w:color="auto" w:fill="FFFFFF"/>
                <w:lang w:val="sr-Latn-CS"/>
              </w:rPr>
            </w:pPr>
            <w:r w:rsidRPr="00DC010A">
              <w:rPr>
                <w:b/>
                <w:sz w:val="22"/>
                <w:szCs w:val="22"/>
                <w:shd w:val="clear" w:color="auto" w:fill="FFFFFF"/>
              </w:rPr>
              <w:t>Lije</w:t>
            </w:r>
            <w:r w:rsidRPr="00DC010A">
              <w:rPr>
                <w:b/>
                <w:sz w:val="22"/>
                <w:szCs w:val="22"/>
                <w:shd w:val="clear" w:color="auto" w:fill="FFFFFF"/>
                <w:lang w:val="sr-Latn-CS"/>
              </w:rPr>
              <w:t>č</w:t>
            </w:r>
            <w:r w:rsidRPr="00DC010A">
              <w:rPr>
                <w:b/>
                <w:sz w:val="22"/>
                <w:szCs w:val="22"/>
                <w:shd w:val="clear" w:color="auto" w:fill="FFFFFF"/>
              </w:rPr>
              <w:t>enje</w:t>
            </w:r>
            <w:r w:rsidRPr="00DC010A">
              <w:rPr>
                <w:b/>
                <w:sz w:val="22"/>
                <w:szCs w:val="22"/>
                <w:shd w:val="clear" w:color="auto" w:fill="FFFFFF"/>
                <w:lang w:val="sr-Latn-CS"/>
              </w:rPr>
              <w:t xml:space="preserve"> </w:t>
            </w:r>
            <w:r w:rsidRPr="00DC010A">
              <w:rPr>
                <w:b/>
                <w:i/>
                <w:sz w:val="22"/>
                <w:szCs w:val="22"/>
                <w:shd w:val="clear" w:color="auto" w:fill="FFFFFF"/>
              </w:rPr>
              <w:t>Zollinger</w:t>
            </w:r>
            <w:r w:rsidRPr="00DC010A">
              <w:rPr>
                <w:b/>
                <w:i/>
                <w:sz w:val="22"/>
                <w:szCs w:val="22"/>
                <w:shd w:val="clear" w:color="auto" w:fill="FFFFFF"/>
                <w:lang w:val="sr-Latn-CS"/>
              </w:rPr>
              <w:t>-</w:t>
            </w:r>
            <w:r w:rsidRPr="00DC010A">
              <w:rPr>
                <w:b/>
                <w:i/>
                <w:sz w:val="22"/>
                <w:szCs w:val="22"/>
                <w:shd w:val="clear" w:color="auto" w:fill="FFFFFF"/>
              </w:rPr>
              <w:t>Ellisonovog</w:t>
            </w:r>
            <w:r w:rsidRPr="00DC010A">
              <w:rPr>
                <w:b/>
                <w:sz w:val="22"/>
                <w:szCs w:val="22"/>
                <w:shd w:val="clear" w:color="auto" w:fill="FFFFFF"/>
                <w:lang w:val="sr-Latn-CS"/>
              </w:rPr>
              <w:t xml:space="preserve"> </w:t>
            </w:r>
            <w:r w:rsidRPr="00DC010A">
              <w:rPr>
                <w:b/>
                <w:sz w:val="22"/>
                <w:szCs w:val="22"/>
                <w:shd w:val="clear" w:color="auto" w:fill="FFFFFF"/>
              </w:rPr>
              <w:t>sindroma</w:t>
            </w:r>
            <w:r w:rsidRPr="00DC010A">
              <w:rPr>
                <w:sz w:val="22"/>
                <w:szCs w:val="22"/>
                <w:shd w:val="clear" w:color="auto" w:fill="FFFFFF"/>
                <w:lang w:val="sr-Latn-CS"/>
              </w:rPr>
              <w:t xml:space="preserve"> </w:t>
            </w:r>
          </w:p>
          <w:p w:rsidR="008E31D0" w:rsidRPr="00DC010A" w:rsidRDefault="008E31D0" w:rsidP="008E31D0">
            <w:pPr>
              <w:pStyle w:val="NoSpacing"/>
              <w:rPr>
                <w:sz w:val="22"/>
                <w:szCs w:val="22"/>
                <w:u w:val="single"/>
                <w:lang w:val="sr-Latn-CS"/>
              </w:rPr>
            </w:pP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i/>
                <w:sz w:val="22"/>
                <w:szCs w:val="22"/>
                <w:shd w:val="clear" w:color="auto" w:fill="FFFFFF"/>
              </w:rPr>
              <w:t>Zollinger</w:t>
            </w:r>
            <w:r w:rsidRPr="00DC010A">
              <w:rPr>
                <w:i/>
                <w:sz w:val="22"/>
                <w:szCs w:val="22"/>
                <w:shd w:val="clear" w:color="auto" w:fill="FFFFFF"/>
                <w:lang w:val="sr-Latn-CS"/>
              </w:rPr>
              <w:t>-</w:t>
            </w:r>
            <w:r w:rsidRPr="00DC010A">
              <w:rPr>
                <w:i/>
                <w:sz w:val="22"/>
                <w:szCs w:val="22"/>
                <w:shd w:val="clear" w:color="auto" w:fill="FFFFFF"/>
              </w:rPr>
              <w:t>Ellisonovim</w:t>
            </w:r>
            <w:r w:rsidRPr="00DC010A">
              <w:rPr>
                <w:sz w:val="22"/>
                <w:szCs w:val="22"/>
                <w:shd w:val="clear" w:color="auto" w:fill="FFFFFF"/>
                <w:lang w:val="sr-Latn-CS"/>
              </w:rPr>
              <w:t xml:space="preserve"> </w:t>
            </w:r>
            <w:r w:rsidRPr="00DC010A">
              <w:rPr>
                <w:sz w:val="22"/>
                <w:szCs w:val="22"/>
                <w:shd w:val="clear" w:color="auto" w:fill="FFFFFF"/>
              </w:rPr>
              <w:t>sindromom</w:t>
            </w:r>
            <w:r w:rsidRPr="00DC010A">
              <w:rPr>
                <w:sz w:val="22"/>
                <w:szCs w:val="22"/>
                <w:shd w:val="clear" w:color="auto" w:fill="FFFFFF"/>
                <w:lang w:val="sr-Latn-CS"/>
              </w:rPr>
              <w:t xml:space="preserve"> </w:t>
            </w:r>
            <w:r w:rsidRPr="00DC010A">
              <w:rPr>
                <w:sz w:val="22"/>
                <w:szCs w:val="22"/>
                <w:shd w:val="clear" w:color="auto" w:fill="FFFFFF"/>
              </w:rPr>
              <w:t>dozu</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pojedina</w:t>
            </w:r>
            <w:r w:rsidRPr="00DC010A">
              <w:rPr>
                <w:sz w:val="22"/>
                <w:szCs w:val="22"/>
                <w:shd w:val="clear" w:color="auto" w:fill="FFFFFF"/>
                <w:lang w:val="sr-Latn-CS"/>
              </w:rPr>
              <w:t>č</w:t>
            </w:r>
            <w:r w:rsidRPr="00DC010A">
              <w:rPr>
                <w:sz w:val="22"/>
                <w:szCs w:val="22"/>
                <w:shd w:val="clear" w:color="auto" w:fill="FFFFFF"/>
              </w:rPr>
              <w:t>no</w:t>
            </w:r>
            <w:r w:rsidRPr="00DC010A">
              <w:rPr>
                <w:sz w:val="22"/>
                <w:szCs w:val="22"/>
                <w:shd w:val="clear" w:color="auto" w:fill="FFFFFF"/>
                <w:lang w:val="sr-Latn-CS"/>
              </w:rPr>
              <w:t xml:space="preserve"> </w:t>
            </w:r>
            <w:r w:rsidRPr="00DC010A">
              <w:rPr>
                <w:sz w:val="22"/>
                <w:szCs w:val="22"/>
                <w:shd w:val="clear" w:color="auto" w:fill="FFFFFF"/>
              </w:rPr>
              <w:t>prilagoditi</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nastaviti</w:t>
            </w:r>
            <w:r w:rsidRPr="00DC010A">
              <w:rPr>
                <w:sz w:val="22"/>
                <w:szCs w:val="22"/>
                <w:shd w:val="clear" w:color="auto" w:fill="FFFFFF"/>
                <w:lang w:val="sr-Latn-CS"/>
              </w:rPr>
              <w:t xml:space="preserve"> </w:t>
            </w:r>
            <w:r w:rsidRPr="00DC010A">
              <w:rPr>
                <w:sz w:val="22"/>
                <w:szCs w:val="22"/>
                <w:shd w:val="clear" w:color="auto" w:fill="FFFFFF"/>
              </w:rPr>
              <w:t>dok</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w:t>
            </w:r>
            <w:r w:rsidRPr="00DC010A">
              <w:rPr>
                <w:sz w:val="22"/>
                <w:szCs w:val="22"/>
                <w:shd w:val="clear" w:color="auto" w:fill="FFFFFF"/>
              </w:rPr>
              <w:t>klini</w:t>
            </w:r>
            <w:r w:rsidRPr="00DC010A">
              <w:rPr>
                <w:sz w:val="22"/>
                <w:szCs w:val="22"/>
                <w:shd w:val="clear" w:color="auto" w:fill="FFFFFF"/>
                <w:lang w:val="sr-Latn-CS"/>
              </w:rPr>
              <w:t>č</w:t>
            </w:r>
            <w:r w:rsidRPr="00DC010A">
              <w:rPr>
                <w:sz w:val="22"/>
                <w:szCs w:val="22"/>
                <w:shd w:val="clear" w:color="auto" w:fill="FFFFFF"/>
              </w:rPr>
              <w:t>ki</w:t>
            </w:r>
            <w:r w:rsidRPr="00DC010A">
              <w:rPr>
                <w:sz w:val="22"/>
                <w:szCs w:val="22"/>
                <w:shd w:val="clear" w:color="auto" w:fill="FFFFFF"/>
                <w:lang w:val="sr-Latn-CS"/>
              </w:rPr>
              <w:t xml:space="preserve"> </w:t>
            </w:r>
            <w:r w:rsidRPr="00DC010A">
              <w:rPr>
                <w:sz w:val="22"/>
                <w:szCs w:val="22"/>
                <w:shd w:val="clear" w:color="auto" w:fill="FFFFFF"/>
              </w:rPr>
              <w:t>indikovano</w:t>
            </w:r>
            <w:r w:rsidRPr="00DC010A">
              <w:rPr>
                <w:sz w:val="22"/>
                <w:szCs w:val="22"/>
                <w:shd w:val="clear" w:color="auto" w:fill="FFFFFF"/>
                <w:lang w:val="sr-Latn-CS"/>
              </w:rPr>
              <w:t xml:space="preserve">. </w:t>
            </w: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ena</w:t>
            </w:r>
            <w:r w:rsidRPr="00DC010A">
              <w:rPr>
                <w:sz w:val="22"/>
                <w:szCs w:val="22"/>
                <w:shd w:val="clear" w:color="auto" w:fill="FFFFFF"/>
                <w:lang w:val="sr-Latn-CS"/>
              </w:rPr>
              <w:t xml:space="preserve"> </w:t>
            </w:r>
            <w:r w:rsidRPr="00DC010A">
              <w:rPr>
                <w:sz w:val="22"/>
                <w:szCs w:val="22"/>
                <w:shd w:val="clear" w:color="auto" w:fill="FFFFFF"/>
              </w:rPr>
              <w:t>po</w:t>
            </w:r>
            <w:r w:rsidRPr="00DC010A">
              <w:rPr>
                <w:sz w:val="22"/>
                <w:szCs w:val="22"/>
                <w:shd w:val="clear" w:color="auto" w:fill="FFFFFF"/>
                <w:lang w:val="sr-Latn-CS"/>
              </w:rPr>
              <w:t>č</w:t>
            </w:r>
            <w:r w:rsidRPr="00DC010A">
              <w:rPr>
                <w:sz w:val="22"/>
                <w:szCs w:val="22"/>
                <w:shd w:val="clear" w:color="auto" w:fill="FFFFFF"/>
              </w:rPr>
              <w:t>etna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60 </w:t>
            </w:r>
            <w:r w:rsidRPr="00DC010A">
              <w:rPr>
                <w:sz w:val="22"/>
                <w:szCs w:val="22"/>
                <w:shd w:val="clear" w:color="auto" w:fill="FFFFFF"/>
              </w:rPr>
              <w:t>mg</w:t>
            </w:r>
            <w:r w:rsidRPr="00DC010A">
              <w:rPr>
                <w:sz w:val="22"/>
                <w:szCs w:val="22"/>
                <w:shd w:val="clear" w:color="auto" w:fill="FFFFFF"/>
                <w:lang w:val="sr-Latn-CS"/>
              </w:rPr>
              <w:t xml:space="preserve"> omeprazola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rPr>
              <w:t>Svi</w:t>
            </w:r>
            <w:r w:rsidRPr="00DC010A">
              <w:rPr>
                <w:sz w:val="22"/>
                <w:szCs w:val="22"/>
                <w:shd w:val="clear" w:color="auto" w:fill="FFFFFF"/>
                <w:lang w:val="sr-Latn-CS"/>
              </w:rPr>
              <w:t xml:space="preserve"> </w:t>
            </w:r>
            <w:r w:rsidRPr="00DC010A">
              <w:rPr>
                <w:sz w:val="22"/>
                <w:szCs w:val="22"/>
                <w:shd w:val="clear" w:color="auto" w:fill="FFFFFF"/>
              </w:rPr>
              <w:t>pacijenti</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te</w:t>
            </w:r>
            <w:r w:rsidRPr="00DC010A">
              <w:rPr>
                <w:sz w:val="22"/>
                <w:szCs w:val="22"/>
                <w:shd w:val="clear" w:color="auto" w:fill="FFFFFF"/>
                <w:lang w:val="sr-Latn-CS"/>
              </w:rPr>
              <w:t>š</w:t>
            </w:r>
            <w:r w:rsidRPr="00DC010A">
              <w:rPr>
                <w:sz w:val="22"/>
                <w:szCs w:val="22"/>
                <w:shd w:val="clear" w:color="auto" w:fill="FFFFFF"/>
              </w:rPr>
              <w:t>kim</w:t>
            </w:r>
            <w:r w:rsidRPr="00DC010A">
              <w:rPr>
                <w:sz w:val="22"/>
                <w:szCs w:val="22"/>
                <w:shd w:val="clear" w:color="auto" w:fill="FFFFFF"/>
                <w:lang w:val="sr-Latn-CS"/>
              </w:rPr>
              <w:t xml:space="preserve"> </w:t>
            </w:r>
            <w:r w:rsidRPr="00DC010A">
              <w:rPr>
                <w:sz w:val="22"/>
                <w:szCs w:val="22"/>
                <w:shd w:val="clear" w:color="auto" w:fill="FFFFFF"/>
              </w:rPr>
              <w:t>oboljenjem</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neadekvatnim</w:t>
            </w:r>
            <w:r w:rsidRPr="00DC010A">
              <w:rPr>
                <w:sz w:val="22"/>
                <w:szCs w:val="22"/>
                <w:shd w:val="clear" w:color="auto" w:fill="FFFFFF"/>
                <w:lang w:val="sr-Latn-CS"/>
              </w:rPr>
              <w:t xml:space="preserve"> </w:t>
            </w:r>
            <w:r w:rsidRPr="00DC010A">
              <w:rPr>
                <w:sz w:val="22"/>
                <w:szCs w:val="22"/>
                <w:shd w:val="clear" w:color="auto" w:fill="FFFFFF"/>
              </w:rPr>
              <w:t>odgovorom</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w:t>
            </w:r>
            <w:r w:rsidRPr="00DC010A">
              <w:rPr>
                <w:sz w:val="22"/>
                <w:szCs w:val="22"/>
                <w:shd w:val="clear" w:color="auto" w:fill="FFFFFF"/>
              </w:rPr>
              <w:t>drugu</w:t>
            </w:r>
            <w:r w:rsidRPr="00DC010A">
              <w:rPr>
                <w:sz w:val="22"/>
                <w:szCs w:val="22"/>
                <w:shd w:val="clear" w:color="auto" w:fill="FFFFFF"/>
                <w:lang w:val="sr-Latn-CS"/>
              </w:rPr>
              <w:t xml:space="preserve"> </w:t>
            </w:r>
            <w:r w:rsidRPr="00DC010A">
              <w:rPr>
                <w:sz w:val="22"/>
                <w:szCs w:val="22"/>
                <w:shd w:val="clear" w:color="auto" w:fill="FFFFFF"/>
              </w:rPr>
              <w:t>terapiju</w:t>
            </w:r>
            <w:r w:rsidRPr="00DC010A">
              <w:rPr>
                <w:sz w:val="22"/>
                <w:szCs w:val="22"/>
                <w:shd w:val="clear" w:color="auto" w:fill="FFFFFF"/>
                <w:lang w:val="sr-Latn-CS"/>
              </w:rPr>
              <w:t xml:space="preserve">, </w:t>
            </w:r>
            <w:r w:rsidRPr="00DC010A">
              <w:rPr>
                <w:sz w:val="22"/>
                <w:szCs w:val="22"/>
                <w:shd w:val="clear" w:color="auto" w:fill="FFFFFF"/>
              </w:rPr>
              <w:t>efikasno</w:t>
            </w:r>
            <w:r w:rsidRPr="00DC010A">
              <w:rPr>
                <w:sz w:val="22"/>
                <w:szCs w:val="22"/>
                <w:shd w:val="clear" w:color="auto" w:fill="FFFFFF"/>
                <w:lang w:val="sr-Latn-CS"/>
              </w:rPr>
              <w:t xml:space="preserve"> </w:t>
            </w:r>
            <w:r w:rsidRPr="00DC010A">
              <w:rPr>
                <w:sz w:val="22"/>
                <w:szCs w:val="22"/>
                <w:shd w:val="clear" w:color="auto" w:fill="FFFFFF"/>
              </w:rPr>
              <w:t>su</w:t>
            </w:r>
            <w:r w:rsidRPr="00DC010A">
              <w:rPr>
                <w:sz w:val="22"/>
                <w:szCs w:val="22"/>
                <w:shd w:val="clear" w:color="auto" w:fill="FFFFFF"/>
                <w:lang w:val="sr-Latn-CS"/>
              </w:rPr>
              <w:t xml:space="preserve"> </w:t>
            </w:r>
            <w:r w:rsidRPr="00DC010A">
              <w:rPr>
                <w:sz w:val="22"/>
                <w:szCs w:val="22"/>
                <w:shd w:val="clear" w:color="auto" w:fill="FFFFFF"/>
              </w:rPr>
              <w:t>kontrolisani</w:t>
            </w:r>
            <w:r w:rsidRPr="00DC010A">
              <w:rPr>
                <w:sz w:val="22"/>
                <w:szCs w:val="22"/>
                <w:shd w:val="clear" w:color="auto" w:fill="FFFFFF"/>
                <w:lang w:val="sr-Latn-CS"/>
              </w:rPr>
              <w:t xml:space="preserve"> i </w:t>
            </w:r>
            <w:r w:rsidRPr="00DC010A">
              <w:rPr>
                <w:sz w:val="22"/>
                <w:szCs w:val="22"/>
                <w:shd w:val="clear" w:color="auto" w:fill="FFFFFF"/>
              </w:rPr>
              <w:t>vi</w:t>
            </w:r>
            <w:r w:rsidRPr="00DC010A">
              <w:rPr>
                <w:sz w:val="22"/>
                <w:szCs w:val="22"/>
                <w:shd w:val="clear" w:color="auto" w:fill="FFFFFF"/>
                <w:lang w:val="sr-Latn-CS"/>
              </w:rPr>
              <w:t>š</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90%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bude</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w:t>
            </w:r>
            <w:r w:rsidRPr="00DC010A">
              <w:rPr>
                <w:sz w:val="22"/>
                <w:szCs w:val="22"/>
                <w:shd w:val="clear" w:color="auto" w:fill="FFFFFF"/>
              </w:rPr>
              <w:t>dozi</w:t>
            </w:r>
            <w:r w:rsidRPr="00DC010A">
              <w:rPr>
                <w:sz w:val="22"/>
                <w:szCs w:val="22"/>
                <w:shd w:val="clear" w:color="auto" w:fill="FFFFFF"/>
                <w:lang w:val="sr-Latn-CS"/>
              </w:rPr>
              <w:t xml:space="preserve"> </w:t>
            </w:r>
            <w:r w:rsidRPr="00DC010A">
              <w:rPr>
                <w:sz w:val="22"/>
                <w:szCs w:val="22"/>
                <w:shd w:val="clear" w:color="auto" w:fill="FFFFFF"/>
              </w:rPr>
              <w:t>odr</w:t>
            </w:r>
            <w:r w:rsidRPr="00DC010A">
              <w:rPr>
                <w:sz w:val="22"/>
                <w:szCs w:val="22"/>
                <w:shd w:val="clear" w:color="auto" w:fill="FFFFFF"/>
                <w:lang w:val="sr-Latn-CS"/>
              </w:rPr>
              <w:t>ž</w:t>
            </w:r>
            <w:r w:rsidRPr="00DC010A">
              <w:rPr>
                <w:sz w:val="22"/>
                <w:szCs w:val="22"/>
                <w:shd w:val="clear" w:color="auto" w:fill="FFFFFF"/>
              </w:rPr>
              <w:t>avanja</w:t>
            </w:r>
            <w:r w:rsidRPr="00DC010A">
              <w:rPr>
                <w:sz w:val="22"/>
                <w:szCs w:val="22"/>
                <w:shd w:val="clear" w:color="auto" w:fill="FFFFFF"/>
                <w:lang w:val="sr-Latn-CS"/>
              </w:rPr>
              <w:t xml:space="preserve"> 20-120 </w:t>
            </w:r>
            <w:r w:rsidRPr="00DC010A">
              <w:rPr>
                <w:sz w:val="22"/>
                <w:szCs w:val="22"/>
                <w:shd w:val="clear" w:color="auto" w:fill="FFFFFF"/>
              </w:rPr>
              <w:t>mg</w:t>
            </w:r>
            <w:r w:rsidRPr="00DC010A">
              <w:rPr>
                <w:sz w:val="22"/>
                <w:szCs w:val="22"/>
                <w:shd w:val="clear" w:color="auto" w:fill="FFFFFF"/>
                <w:lang w:val="sr-Latn-CS"/>
              </w:rPr>
              <w:t xml:space="preserve"> omeprazola </w:t>
            </w:r>
            <w:r w:rsidRPr="00DC010A">
              <w:rPr>
                <w:sz w:val="22"/>
                <w:szCs w:val="22"/>
                <w:shd w:val="clear" w:color="auto" w:fill="FFFFFF"/>
              </w:rPr>
              <w:t>dnevno</w:t>
            </w:r>
            <w:r w:rsidRPr="00DC010A">
              <w:rPr>
                <w:sz w:val="22"/>
                <w:szCs w:val="22"/>
                <w:shd w:val="clear" w:color="auto" w:fill="FFFFFF"/>
                <w:lang w:val="sr-Latn-CS"/>
              </w:rPr>
              <w:t xml:space="preserve">. </w:t>
            </w:r>
            <w:r w:rsidRPr="00DC010A">
              <w:rPr>
                <w:sz w:val="22"/>
                <w:szCs w:val="22"/>
                <w:shd w:val="clear" w:color="auto" w:fill="FFFFFF"/>
                <w:lang w:val="it-IT"/>
              </w:rPr>
              <w:t>Kada</w:t>
            </w:r>
            <w:r w:rsidRPr="00DC010A">
              <w:rPr>
                <w:sz w:val="22"/>
                <w:szCs w:val="22"/>
                <w:shd w:val="clear" w:color="auto" w:fill="FFFFFF"/>
                <w:lang w:val="sr-Latn-CS"/>
              </w:rPr>
              <w:t xml:space="preserve"> </w:t>
            </w:r>
            <w:r w:rsidRPr="00DC010A">
              <w:rPr>
                <w:sz w:val="22"/>
                <w:szCs w:val="22"/>
                <w:shd w:val="clear" w:color="auto" w:fill="FFFFFF"/>
                <w:lang w:val="it-IT"/>
              </w:rPr>
              <w:t>se</w:t>
            </w:r>
            <w:r w:rsidRPr="00DC010A">
              <w:rPr>
                <w:sz w:val="22"/>
                <w:szCs w:val="22"/>
                <w:shd w:val="clear" w:color="auto" w:fill="FFFFFF"/>
                <w:lang w:val="sr-Latn-CS"/>
              </w:rPr>
              <w:t xml:space="preserve"> </w:t>
            </w:r>
            <w:r w:rsidRPr="00DC010A">
              <w:rPr>
                <w:sz w:val="22"/>
                <w:szCs w:val="22"/>
                <w:shd w:val="clear" w:color="auto" w:fill="FFFFFF"/>
                <w:lang w:val="it-IT"/>
              </w:rPr>
              <w:t>prekora</w:t>
            </w:r>
            <w:r w:rsidRPr="00DC010A">
              <w:rPr>
                <w:sz w:val="22"/>
                <w:szCs w:val="22"/>
                <w:shd w:val="clear" w:color="auto" w:fill="FFFFFF"/>
                <w:lang w:val="sr-Latn-CS"/>
              </w:rPr>
              <w:t>č</w:t>
            </w:r>
            <w:r w:rsidRPr="00DC010A">
              <w:rPr>
                <w:sz w:val="22"/>
                <w:szCs w:val="22"/>
                <w:shd w:val="clear" w:color="auto" w:fill="FFFFFF"/>
                <w:lang w:val="it-IT"/>
              </w:rPr>
              <w:t>i</w:t>
            </w:r>
            <w:r w:rsidRPr="00DC010A">
              <w:rPr>
                <w:sz w:val="22"/>
                <w:szCs w:val="22"/>
                <w:shd w:val="clear" w:color="auto" w:fill="FFFFFF"/>
                <w:lang w:val="sr-Latn-CS"/>
              </w:rPr>
              <w:t xml:space="preserve"> </w:t>
            </w:r>
            <w:r w:rsidRPr="00DC010A">
              <w:rPr>
                <w:sz w:val="22"/>
                <w:szCs w:val="22"/>
                <w:shd w:val="clear" w:color="auto" w:fill="FFFFFF"/>
                <w:lang w:val="it-IT"/>
              </w:rPr>
              <w:t>dnevna</w:t>
            </w:r>
            <w:r w:rsidRPr="00DC010A">
              <w:rPr>
                <w:sz w:val="22"/>
                <w:szCs w:val="22"/>
                <w:shd w:val="clear" w:color="auto" w:fill="FFFFFF"/>
                <w:lang w:val="sr-Latn-CS"/>
              </w:rPr>
              <w:t xml:space="preserve"> </w:t>
            </w:r>
            <w:r w:rsidRPr="00DC010A">
              <w:rPr>
                <w:sz w:val="22"/>
                <w:szCs w:val="22"/>
                <w:shd w:val="clear" w:color="auto" w:fill="FFFFFF"/>
                <w:lang w:val="it-IT"/>
              </w:rPr>
              <w:t>doza</w:t>
            </w:r>
            <w:r w:rsidRPr="00DC010A">
              <w:rPr>
                <w:sz w:val="22"/>
                <w:szCs w:val="22"/>
                <w:shd w:val="clear" w:color="auto" w:fill="FFFFFF"/>
                <w:lang w:val="sr-Latn-CS"/>
              </w:rPr>
              <w:t xml:space="preserve"> </w:t>
            </w:r>
            <w:r w:rsidRPr="00DC010A">
              <w:rPr>
                <w:sz w:val="22"/>
                <w:szCs w:val="22"/>
                <w:shd w:val="clear" w:color="auto" w:fill="FFFFFF"/>
                <w:lang w:val="it-IT"/>
              </w:rPr>
              <w:t>od</w:t>
            </w:r>
            <w:r w:rsidRPr="00DC010A">
              <w:rPr>
                <w:sz w:val="22"/>
                <w:szCs w:val="22"/>
                <w:shd w:val="clear" w:color="auto" w:fill="FFFFFF"/>
                <w:lang w:val="sr-Latn-CS"/>
              </w:rPr>
              <w:t xml:space="preserve"> 80 </w:t>
            </w:r>
            <w:r w:rsidRPr="00DC010A">
              <w:rPr>
                <w:sz w:val="22"/>
                <w:szCs w:val="22"/>
                <w:shd w:val="clear" w:color="auto" w:fill="FFFFFF"/>
                <w:lang w:val="it-IT"/>
              </w:rPr>
              <w:t>mg</w:t>
            </w:r>
            <w:r w:rsidRPr="00DC010A">
              <w:rPr>
                <w:sz w:val="22"/>
                <w:szCs w:val="22"/>
                <w:shd w:val="clear" w:color="auto" w:fill="FFFFFF"/>
                <w:lang w:val="sr-Latn-CS"/>
              </w:rPr>
              <w:t xml:space="preserve"> </w:t>
            </w:r>
            <w:r w:rsidRPr="00DC010A">
              <w:rPr>
                <w:sz w:val="22"/>
                <w:szCs w:val="22"/>
                <w:shd w:val="clear" w:color="auto" w:fill="FFFFFF"/>
                <w:lang w:val="it-IT"/>
              </w:rPr>
              <w:t>omeprazola</w:t>
            </w:r>
            <w:r w:rsidRPr="00DC010A">
              <w:rPr>
                <w:sz w:val="22"/>
                <w:szCs w:val="22"/>
                <w:shd w:val="clear" w:color="auto" w:fill="FFFFFF"/>
                <w:lang w:val="sr-Latn-CS"/>
              </w:rPr>
              <w:t xml:space="preserve">, </w:t>
            </w:r>
            <w:r w:rsidRPr="00DC010A">
              <w:rPr>
                <w:sz w:val="22"/>
                <w:szCs w:val="22"/>
                <w:shd w:val="clear" w:color="auto" w:fill="FFFFFF"/>
                <w:lang w:val="it-IT"/>
              </w:rPr>
              <w:t>dozu</w:t>
            </w:r>
            <w:r w:rsidRPr="00DC010A">
              <w:rPr>
                <w:sz w:val="22"/>
                <w:szCs w:val="22"/>
                <w:shd w:val="clear" w:color="auto" w:fill="FFFFFF"/>
                <w:lang w:val="sr-Latn-CS"/>
              </w:rPr>
              <w:t xml:space="preserve"> </w:t>
            </w:r>
            <w:r w:rsidRPr="00DC010A">
              <w:rPr>
                <w:sz w:val="22"/>
                <w:szCs w:val="22"/>
                <w:shd w:val="clear" w:color="auto" w:fill="FFFFFF"/>
                <w:lang w:val="it-IT"/>
              </w:rPr>
              <w:t>treba</w:t>
            </w:r>
            <w:r w:rsidRPr="00DC010A">
              <w:rPr>
                <w:sz w:val="22"/>
                <w:szCs w:val="22"/>
                <w:shd w:val="clear" w:color="auto" w:fill="FFFFFF"/>
                <w:lang w:val="sr-Latn-CS"/>
              </w:rPr>
              <w:t xml:space="preserve"> </w:t>
            </w:r>
            <w:r w:rsidRPr="00DC010A">
              <w:rPr>
                <w:sz w:val="22"/>
                <w:szCs w:val="22"/>
                <w:shd w:val="clear" w:color="auto" w:fill="FFFFFF"/>
                <w:lang w:val="it-IT"/>
              </w:rPr>
              <w:t>podijeliti</w:t>
            </w:r>
            <w:r w:rsidRPr="00DC010A">
              <w:rPr>
                <w:sz w:val="22"/>
                <w:szCs w:val="22"/>
                <w:shd w:val="clear" w:color="auto" w:fill="FFFFFF"/>
                <w:lang w:val="sr-Latn-CS"/>
              </w:rPr>
              <w:t xml:space="preserve"> </w:t>
            </w:r>
            <w:r w:rsidRPr="00DC010A">
              <w:rPr>
                <w:sz w:val="22"/>
                <w:szCs w:val="22"/>
                <w:shd w:val="clear" w:color="auto" w:fill="FFFFFF"/>
                <w:lang w:val="it-IT"/>
              </w:rPr>
              <w:t>i</w:t>
            </w:r>
            <w:r w:rsidRPr="00DC010A">
              <w:rPr>
                <w:sz w:val="22"/>
                <w:szCs w:val="22"/>
                <w:shd w:val="clear" w:color="auto" w:fill="FFFFFF"/>
                <w:lang w:val="sr-Latn-CS"/>
              </w:rPr>
              <w:t xml:space="preserve"> </w:t>
            </w:r>
            <w:r w:rsidRPr="00DC010A">
              <w:rPr>
                <w:sz w:val="22"/>
                <w:szCs w:val="22"/>
                <w:shd w:val="clear" w:color="auto" w:fill="FFFFFF"/>
                <w:lang w:val="it-IT"/>
              </w:rPr>
              <w:t>dati</w:t>
            </w:r>
            <w:r w:rsidRPr="00DC010A">
              <w:rPr>
                <w:sz w:val="22"/>
                <w:szCs w:val="22"/>
                <w:shd w:val="clear" w:color="auto" w:fill="FFFFFF"/>
                <w:lang w:val="sr-Latn-CS"/>
              </w:rPr>
              <w:t xml:space="preserve"> </w:t>
            </w:r>
            <w:r w:rsidRPr="00DC010A">
              <w:rPr>
                <w:sz w:val="22"/>
                <w:szCs w:val="22"/>
                <w:shd w:val="clear" w:color="auto" w:fill="FFFFFF"/>
                <w:lang w:val="it-IT"/>
              </w:rPr>
              <w:t>dva</w:t>
            </w:r>
            <w:r w:rsidRPr="00DC010A">
              <w:rPr>
                <w:sz w:val="22"/>
                <w:szCs w:val="22"/>
                <w:shd w:val="clear" w:color="auto" w:fill="FFFFFF"/>
                <w:lang w:val="sr-Latn-CS"/>
              </w:rPr>
              <w:t xml:space="preserve"> </w:t>
            </w:r>
            <w:r w:rsidRPr="00DC010A">
              <w:rPr>
                <w:sz w:val="22"/>
                <w:szCs w:val="22"/>
                <w:shd w:val="clear" w:color="auto" w:fill="FFFFFF"/>
                <w:lang w:val="it-IT"/>
              </w:rPr>
              <w:t>puta</w:t>
            </w:r>
            <w:r w:rsidRPr="00DC010A">
              <w:rPr>
                <w:sz w:val="22"/>
                <w:szCs w:val="22"/>
                <w:shd w:val="clear" w:color="auto" w:fill="FFFFFF"/>
                <w:lang w:val="sr-Latn-CS"/>
              </w:rPr>
              <w:t xml:space="preserve"> </w:t>
            </w:r>
            <w:r w:rsidRPr="00DC010A">
              <w:rPr>
                <w:sz w:val="22"/>
                <w:szCs w:val="22"/>
                <w:shd w:val="clear" w:color="auto" w:fill="FFFFFF"/>
                <w:lang w:val="it-IT"/>
              </w:rPr>
              <w:t>dnevno</w:t>
            </w:r>
            <w:r w:rsidRPr="00DC010A">
              <w:rPr>
                <w:rFonts w:ascii="Arial" w:hAnsi="Arial" w:cs="Arial"/>
                <w:color w:val="777777"/>
                <w:sz w:val="20"/>
                <w:szCs w:val="20"/>
                <w:shd w:val="clear" w:color="auto" w:fill="FFFFFF"/>
                <w:lang w:val="sr-Latn-CS"/>
              </w:rPr>
              <w:t>.</w:t>
            </w:r>
          </w:p>
          <w:p w:rsidR="008E31D0" w:rsidRPr="00DC010A" w:rsidRDefault="008E31D0" w:rsidP="008E31D0">
            <w:pPr>
              <w:pStyle w:val="NoSpacing"/>
              <w:rPr>
                <w:sz w:val="22"/>
                <w:szCs w:val="22"/>
                <w:u w:val="single"/>
                <w:lang w:val="sr-Latn-CS"/>
              </w:rPr>
            </w:pPr>
          </w:p>
          <w:p w:rsidR="008E31D0" w:rsidRPr="00DC010A" w:rsidRDefault="008E31D0" w:rsidP="008E31D0">
            <w:pPr>
              <w:pStyle w:val="NoSpacing"/>
              <w:rPr>
                <w:b/>
                <w:sz w:val="22"/>
                <w:szCs w:val="22"/>
                <w:lang w:val="sr-Latn-CS"/>
              </w:rPr>
            </w:pPr>
            <w:r w:rsidRPr="00DC010A">
              <w:rPr>
                <w:b/>
                <w:sz w:val="22"/>
                <w:szCs w:val="22"/>
                <w:lang w:val="sr-Latn-CS"/>
              </w:rPr>
              <w:t>Pedijatrijska populacija</w:t>
            </w:r>
          </w:p>
          <w:p w:rsidR="008E31D0" w:rsidRPr="00DC010A" w:rsidRDefault="008E31D0" w:rsidP="008E31D0">
            <w:pPr>
              <w:pStyle w:val="NoSpacing"/>
              <w:rPr>
                <w:b/>
                <w:sz w:val="22"/>
                <w:szCs w:val="22"/>
                <w:lang w:val="sr-Latn-CS"/>
              </w:rPr>
            </w:pPr>
          </w:p>
          <w:p w:rsidR="008E31D0" w:rsidRPr="00DC010A" w:rsidRDefault="008E31D0" w:rsidP="008E31D0">
            <w:pPr>
              <w:pStyle w:val="NoSpacing"/>
              <w:rPr>
                <w:b/>
                <w:bCs/>
                <w:sz w:val="22"/>
                <w:szCs w:val="22"/>
                <w:lang w:val="sr-Latn-CS"/>
              </w:rPr>
            </w:pPr>
            <w:r w:rsidRPr="00DC010A">
              <w:rPr>
                <w:b/>
                <w:bCs/>
                <w:sz w:val="22"/>
                <w:szCs w:val="22"/>
                <w:lang w:val="sr-Latn-CS"/>
              </w:rPr>
              <w:t xml:space="preserve">Djeca starija od 1 godine i  tjelesne mase ≥10 kg: </w:t>
            </w:r>
          </w:p>
          <w:p w:rsidR="001A6B95" w:rsidRPr="00DC010A" w:rsidRDefault="001A6B95" w:rsidP="008E31D0">
            <w:pPr>
              <w:pStyle w:val="NoSpacing"/>
              <w:rPr>
                <w:sz w:val="22"/>
                <w:szCs w:val="22"/>
                <w:u w:val="single"/>
                <w:lang w:val="sr-Latn-CS"/>
              </w:rPr>
            </w:pPr>
          </w:p>
          <w:p w:rsidR="008E31D0" w:rsidRPr="00DC010A" w:rsidRDefault="008E31D0" w:rsidP="008E31D0">
            <w:pPr>
              <w:pStyle w:val="NoSpacing"/>
              <w:rPr>
                <w:sz w:val="22"/>
                <w:szCs w:val="22"/>
                <w:u w:val="single"/>
                <w:lang w:val="sr-Latn-CS"/>
              </w:rPr>
            </w:pPr>
            <w:r w:rsidRPr="00DC010A">
              <w:rPr>
                <w:sz w:val="22"/>
                <w:szCs w:val="22"/>
                <w:u w:val="single"/>
                <w:lang w:val="sr-Latn-CS"/>
              </w:rPr>
              <w:t>Liječenje refluksnog ezofagitis</w:t>
            </w:r>
          </w:p>
          <w:p w:rsidR="008E31D0" w:rsidRPr="00DC010A" w:rsidRDefault="008E31D0" w:rsidP="008E31D0">
            <w:pPr>
              <w:pStyle w:val="NoSpacing"/>
              <w:rPr>
                <w:sz w:val="22"/>
                <w:szCs w:val="22"/>
                <w:lang w:val="sr-Latn-CS"/>
              </w:rPr>
            </w:pPr>
            <w:r w:rsidRPr="00DC010A">
              <w:rPr>
                <w:sz w:val="22"/>
                <w:szCs w:val="22"/>
                <w:lang w:val="sr-Latn-CS"/>
              </w:rPr>
              <w:t>Dužina trajanja terapije je 4-8 nedjelja.</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u w:val="single"/>
                <w:lang w:val="sr-Latn-CS"/>
              </w:rPr>
            </w:pPr>
            <w:r w:rsidRPr="00DC010A">
              <w:rPr>
                <w:sz w:val="22"/>
                <w:szCs w:val="22"/>
                <w:u w:val="single"/>
                <w:lang w:val="sr-Latn-CS"/>
              </w:rPr>
              <w:t>Simptomatska terapija gorušice i regurgitacije želudačne kiseline kod GERB</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Preporuke za doziranje su sljedeće:</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Godine starosti                        Tjelesna masa                        Doza</w:t>
            </w:r>
          </w:p>
          <w:p w:rsidR="008E31D0" w:rsidRPr="00DC010A" w:rsidRDefault="008E31D0" w:rsidP="008E31D0">
            <w:pPr>
              <w:pStyle w:val="NoSpacing"/>
              <w:rPr>
                <w:sz w:val="22"/>
                <w:szCs w:val="22"/>
                <w:lang w:val="sr-Latn-CS"/>
              </w:rPr>
            </w:pPr>
            <w:r w:rsidRPr="00DC010A">
              <w:rPr>
                <w:sz w:val="22"/>
                <w:szCs w:val="22"/>
                <w:lang w:val="sr-Latn-CS"/>
              </w:rPr>
              <w:t>≥ 1 godine                               10-20 kg                                10 mg jednom dnevno</w:t>
            </w:r>
          </w:p>
          <w:p w:rsidR="008E31D0" w:rsidRPr="00DC010A" w:rsidRDefault="008E31D0" w:rsidP="008E31D0">
            <w:pPr>
              <w:pStyle w:val="NoSpacing"/>
              <w:rPr>
                <w:sz w:val="22"/>
                <w:szCs w:val="22"/>
                <w:lang w:val="sr-Latn-CS"/>
              </w:rPr>
            </w:pPr>
            <w:r w:rsidRPr="00DC010A">
              <w:rPr>
                <w:sz w:val="22"/>
                <w:szCs w:val="22"/>
                <w:lang w:val="sr-Latn-CS"/>
              </w:rPr>
              <w:t xml:space="preserve">                                                                                               Ako je potrebno, doza se može povećati na 20 mg </w:t>
            </w:r>
          </w:p>
          <w:p w:rsidR="008E31D0" w:rsidRPr="00DC010A" w:rsidRDefault="008E31D0" w:rsidP="008E31D0">
            <w:pPr>
              <w:pStyle w:val="NoSpacing"/>
              <w:rPr>
                <w:sz w:val="22"/>
                <w:szCs w:val="22"/>
                <w:lang w:val="sr-Latn-CS"/>
              </w:rPr>
            </w:pPr>
            <w:r w:rsidRPr="00DC010A">
              <w:rPr>
                <w:sz w:val="22"/>
                <w:szCs w:val="22"/>
                <w:lang w:val="sr-Latn-CS"/>
              </w:rPr>
              <w:t xml:space="preserve">                                                                                               jednom dnevno.</w:t>
            </w:r>
          </w:p>
          <w:p w:rsidR="008E31D0" w:rsidRPr="00DC010A" w:rsidRDefault="008E31D0" w:rsidP="008E31D0">
            <w:pPr>
              <w:pStyle w:val="NoSpacing"/>
              <w:rPr>
                <w:sz w:val="22"/>
                <w:szCs w:val="22"/>
                <w:lang w:val="sr-Latn-CS"/>
              </w:rPr>
            </w:pPr>
            <w:r w:rsidRPr="00DC010A">
              <w:rPr>
                <w:sz w:val="22"/>
                <w:szCs w:val="22"/>
                <w:lang w:val="sr-Latn-CS"/>
              </w:rPr>
              <w:t xml:space="preserve">                  </w:t>
            </w:r>
          </w:p>
          <w:p w:rsidR="008E31D0" w:rsidRPr="00DC010A" w:rsidRDefault="008E31D0" w:rsidP="008E31D0">
            <w:pPr>
              <w:pStyle w:val="NoSpacing"/>
              <w:rPr>
                <w:sz w:val="22"/>
                <w:szCs w:val="22"/>
                <w:lang w:val="sr-Latn-CS"/>
              </w:rPr>
            </w:pPr>
            <w:r w:rsidRPr="00DC010A">
              <w:rPr>
                <w:sz w:val="22"/>
                <w:szCs w:val="22"/>
                <w:lang w:val="sr-Latn-CS"/>
              </w:rPr>
              <w:t>≥ 2 godine                               &gt;20 kg                                   20 mg jednom dnevno</w:t>
            </w:r>
            <w:r w:rsidR="001A6B95" w:rsidRPr="00DC010A">
              <w:rPr>
                <w:sz w:val="22"/>
                <w:szCs w:val="22"/>
                <w:lang w:val="sr-Latn-CS"/>
              </w:rPr>
              <w:t xml:space="preserve"> Ako je potrebno, doza se može </w:t>
            </w:r>
          </w:p>
          <w:p w:rsidR="008E31D0" w:rsidRPr="00DC010A" w:rsidRDefault="001A6B95" w:rsidP="008E31D0">
            <w:pPr>
              <w:pStyle w:val="NoSpacing"/>
              <w:rPr>
                <w:sz w:val="22"/>
                <w:szCs w:val="22"/>
                <w:lang w:val="sr-Latn-CS"/>
              </w:rPr>
            </w:pPr>
            <w:r w:rsidRPr="00DC010A">
              <w:rPr>
                <w:sz w:val="22"/>
                <w:szCs w:val="22"/>
                <w:lang w:val="sr-Latn-CS"/>
              </w:rPr>
              <w:t xml:space="preserve">                                                                                               povećati na 40 mg jednom dnevno.</w:t>
            </w:r>
          </w:p>
          <w:p w:rsidR="008E31D0" w:rsidRPr="00DC010A" w:rsidRDefault="008E31D0" w:rsidP="008E31D0">
            <w:pPr>
              <w:pStyle w:val="NoSpacing"/>
              <w:rPr>
                <w:b/>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Trajanje liječenja je 2-4 nedjelje. Ako se kontrola simptoma ne postigne nakon 2-4 nedjelje, potrebna su dodatna ispitivanja pacijenta.</w:t>
            </w:r>
          </w:p>
          <w:p w:rsidR="008E31D0" w:rsidRPr="00DC010A" w:rsidRDefault="008E31D0" w:rsidP="008E31D0">
            <w:pPr>
              <w:pStyle w:val="NoSpacing"/>
              <w:rPr>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Djeca i adolescenti stariji od 4 godine</w:t>
            </w:r>
          </w:p>
          <w:p w:rsidR="008E31D0" w:rsidRPr="00DC010A" w:rsidRDefault="008E31D0" w:rsidP="008E31D0">
            <w:pPr>
              <w:pStyle w:val="NoSpacing"/>
              <w:rPr>
                <w:b/>
                <w:sz w:val="22"/>
                <w:szCs w:val="22"/>
                <w:lang w:val="sr-Latn-CS"/>
              </w:rPr>
            </w:pPr>
          </w:p>
          <w:p w:rsidR="008E31D0" w:rsidRPr="00DC010A" w:rsidRDefault="008E31D0" w:rsidP="008E31D0">
            <w:pPr>
              <w:pStyle w:val="NoSpacing"/>
              <w:rPr>
                <w:sz w:val="22"/>
                <w:szCs w:val="22"/>
                <w:u w:val="single"/>
                <w:lang w:val="sr-Latn-CS"/>
              </w:rPr>
            </w:pPr>
            <w:r w:rsidRPr="00DC010A">
              <w:rPr>
                <w:iCs/>
                <w:color w:val="000000"/>
                <w:sz w:val="22"/>
                <w:szCs w:val="22"/>
                <w:u w:val="single"/>
                <w:shd w:val="clear" w:color="auto" w:fill="FFFFFF"/>
              </w:rPr>
              <w:t>Lije</w:t>
            </w:r>
            <w:r w:rsidRPr="00DC010A">
              <w:rPr>
                <w:iCs/>
                <w:color w:val="000000"/>
                <w:sz w:val="22"/>
                <w:szCs w:val="22"/>
                <w:u w:val="single"/>
                <w:shd w:val="clear" w:color="auto" w:fill="FFFFFF"/>
                <w:lang w:val="sr-Latn-CS"/>
              </w:rPr>
              <w:t>č</w:t>
            </w:r>
            <w:r w:rsidRPr="00DC010A">
              <w:rPr>
                <w:iCs/>
                <w:color w:val="000000"/>
                <w:sz w:val="22"/>
                <w:szCs w:val="22"/>
                <w:u w:val="single"/>
                <w:shd w:val="clear" w:color="auto" w:fill="FFFFFF"/>
              </w:rPr>
              <w:t>enje</w:t>
            </w:r>
            <w:r w:rsidRPr="00DC010A">
              <w:rPr>
                <w:iCs/>
                <w:color w:val="000000"/>
                <w:sz w:val="22"/>
                <w:szCs w:val="22"/>
                <w:u w:val="single"/>
                <w:shd w:val="clear" w:color="auto" w:fill="FFFFFF"/>
                <w:lang w:val="sr-Latn-CS"/>
              </w:rPr>
              <w:t xml:space="preserve"> </w:t>
            </w:r>
            <w:r w:rsidRPr="00DC010A">
              <w:rPr>
                <w:iCs/>
                <w:color w:val="000000"/>
                <w:sz w:val="22"/>
                <w:szCs w:val="22"/>
                <w:u w:val="single"/>
                <w:shd w:val="clear" w:color="auto" w:fill="FFFFFF"/>
              </w:rPr>
              <w:t>duodenalnog</w:t>
            </w:r>
            <w:r w:rsidRPr="00DC010A">
              <w:rPr>
                <w:iCs/>
                <w:color w:val="000000"/>
                <w:sz w:val="22"/>
                <w:szCs w:val="22"/>
                <w:u w:val="single"/>
                <w:shd w:val="clear" w:color="auto" w:fill="FFFFFF"/>
                <w:lang w:val="sr-Latn-CS"/>
              </w:rPr>
              <w:t xml:space="preserve"> </w:t>
            </w:r>
            <w:r w:rsidRPr="00DC010A">
              <w:rPr>
                <w:iCs/>
                <w:color w:val="000000"/>
                <w:sz w:val="22"/>
                <w:szCs w:val="22"/>
                <w:u w:val="single"/>
                <w:shd w:val="clear" w:color="auto" w:fill="FFFFFF"/>
              </w:rPr>
              <w:t>ulkusa</w:t>
            </w:r>
            <w:r w:rsidRPr="00DC010A">
              <w:rPr>
                <w:iCs/>
                <w:color w:val="000000"/>
                <w:sz w:val="22"/>
                <w:szCs w:val="22"/>
                <w:u w:val="single"/>
                <w:shd w:val="clear" w:color="auto" w:fill="FFFFFF"/>
                <w:lang w:val="sr-Latn-CS"/>
              </w:rPr>
              <w:t xml:space="preserve"> </w:t>
            </w:r>
            <w:r w:rsidRPr="00DC010A">
              <w:rPr>
                <w:iCs/>
                <w:color w:val="000000"/>
                <w:sz w:val="22"/>
                <w:szCs w:val="22"/>
                <w:u w:val="single"/>
                <w:shd w:val="clear" w:color="auto" w:fill="FFFFFF"/>
              </w:rPr>
              <w:t>izazvanog</w:t>
            </w:r>
            <w:r w:rsidRPr="00DC010A">
              <w:rPr>
                <w:iCs/>
                <w:color w:val="000000"/>
                <w:sz w:val="22"/>
                <w:szCs w:val="22"/>
                <w:u w:val="single"/>
                <w:shd w:val="clear" w:color="auto" w:fill="FFFFFF"/>
                <w:lang w:val="sr-Latn-CS"/>
              </w:rPr>
              <w:t xml:space="preserve"> </w:t>
            </w:r>
            <w:r w:rsidRPr="00DC010A">
              <w:rPr>
                <w:i/>
                <w:iCs/>
                <w:color w:val="000000"/>
                <w:sz w:val="22"/>
                <w:szCs w:val="22"/>
                <w:u w:val="single"/>
                <w:shd w:val="clear" w:color="auto" w:fill="FFFFFF"/>
              </w:rPr>
              <w:t>H</w:t>
            </w:r>
            <w:r w:rsidRPr="00DC010A">
              <w:rPr>
                <w:i/>
                <w:iCs/>
                <w:color w:val="000000"/>
                <w:sz w:val="22"/>
                <w:szCs w:val="22"/>
                <w:u w:val="single"/>
                <w:shd w:val="clear" w:color="auto" w:fill="FFFFFF"/>
                <w:lang w:val="sr-Latn-CS"/>
              </w:rPr>
              <w:t xml:space="preserve">. </w:t>
            </w:r>
            <w:r w:rsidRPr="00DC010A">
              <w:rPr>
                <w:i/>
                <w:iCs/>
                <w:color w:val="000000"/>
                <w:sz w:val="22"/>
                <w:szCs w:val="22"/>
                <w:u w:val="single"/>
                <w:shd w:val="clear" w:color="auto" w:fill="FFFFFF"/>
              </w:rPr>
              <w:t>pylori</w:t>
            </w:r>
          </w:p>
          <w:p w:rsidR="008E31D0" w:rsidRPr="00DC010A" w:rsidRDefault="008E31D0" w:rsidP="008E31D0">
            <w:pPr>
              <w:pStyle w:val="NoSpacing"/>
              <w:rPr>
                <w:sz w:val="22"/>
                <w:szCs w:val="22"/>
                <w:lang w:val="sr-Latn-CS"/>
              </w:rPr>
            </w:pPr>
            <w:r w:rsidRPr="00DC010A">
              <w:rPr>
                <w:sz w:val="22"/>
                <w:szCs w:val="22"/>
                <w:lang w:val="sr-Latn-CS"/>
              </w:rPr>
              <w:t>Prilikom odabira odgovarajuće kombinovane terapije potrebno je uzeti u obzir zvanične nacionalne, regionalne i lokalne smjernice  o rezistenciji bakterija na određenom području, dužini terapije (najčešće 7 dana, ali ponekad i do 14 dana) i pravilnoj primjeni antibiotika. Terapija se mora sprovesti pod nadzorom ljekara specijaliste.</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Preporučeno dozira</w:t>
            </w:r>
            <w:r w:rsidR="001A6B95" w:rsidRPr="00DC010A">
              <w:rPr>
                <w:sz w:val="22"/>
                <w:szCs w:val="22"/>
                <w:lang w:val="sr-Latn-CS"/>
              </w:rPr>
              <w:t>nje</w:t>
            </w:r>
            <w:r w:rsidRPr="00DC010A">
              <w:rPr>
                <w:sz w:val="22"/>
                <w:szCs w:val="22"/>
                <w:lang w:val="sr-Latn-CS"/>
              </w:rPr>
              <w:t>:</w:t>
            </w:r>
          </w:p>
          <w:p w:rsidR="001A6B95" w:rsidRPr="00DC010A" w:rsidRDefault="001A6B95" w:rsidP="001A6B95">
            <w:pPr>
              <w:pStyle w:val="NoSpacing"/>
              <w:ind w:left="2019" w:hanging="2019"/>
              <w:rPr>
                <w:sz w:val="22"/>
                <w:szCs w:val="22"/>
                <w:lang w:val="sr-Latn-CS"/>
              </w:rPr>
            </w:pPr>
          </w:p>
          <w:p w:rsidR="008E31D0" w:rsidRPr="00DC010A" w:rsidRDefault="008E31D0" w:rsidP="001A6B95">
            <w:pPr>
              <w:pStyle w:val="NoSpacing"/>
              <w:tabs>
                <w:tab w:val="left" w:pos="2160"/>
              </w:tabs>
              <w:ind w:left="2019" w:hanging="2019"/>
              <w:jc w:val="both"/>
              <w:rPr>
                <w:sz w:val="22"/>
                <w:szCs w:val="22"/>
                <w:lang w:val="sr-Latn-CS"/>
              </w:rPr>
            </w:pPr>
            <w:r w:rsidRPr="00DC010A">
              <w:rPr>
                <w:sz w:val="22"/>
                <w:szCs w:val="22"/>
                <w:lang w:val="sr-Latn-CS"/>
              </w:rPr>
              <w:t xml:space="preserve">Tjelesna </w:t>
            </w:r>
            <w:r w:rsidR="001A6B95" w:rsidRPr="00DC010A">
              <w:rPr>
                <w:sz w:val="22"/>
                <w:szCs w:val="22"/>
                <w:lang w:val="sr-Latn-CS"/>
              </w:rPr>
              <w:t xml:space="preserve">masa                 </w:t>
            </w:r>
            <w:r w:rsidRPr="00DC010A">
              <w:rPr>
                <w:sz w:val="22"/>
                <w:szCs w:val="22"/>
                <w:lang w:val="sr-Latn-CS"/>
              </w:rPr>
              <w:t>Doziranje</w:t>
            </w:r>
          </w:p>
          <w:p w:rsidR="008E31D0" w:rsidRPr="00DC010A" w:rsidRDefault="008E31D0" w:rsidP="001A6B95">
            <w:pPr>
              <w:pStyle w:val="NoSpacing"/>
              <w:jc w:val="both"/>
              <w:rPr>
                <w:sz w:val="22"/>
                <w:szCs w:val="22"/>
                <w:lang w:val="sr-Latn-CS"/>
              </w:rPr>
            </w:pPr>
            <w:r w:rsidRPr="00DC010A">
              <w:rPr>
                <w:sz w:val="22"/>
                <w:szCs w:val="22"/>
                <w:lang w:val="sr-Latn-CS"/>
              </w:rPr>
              <w:t xml:space="preserve">15 - </w:t>
            </w:r>
            <w:r w:rsidR="001A6B95" w:rsidRPr="00DC010A">
              <w:rPr>
                <w:sz w:val="22"/>
                <w:szCs w:val="22"/>
                <w:lang w:val="sr-Latn-CS"/>
              </w:rPr>
              <w:t xml:space="preserve">30 kg                        </w:t>
            </w:r>
            <w:r w:rsidRPr="00DC010A">
              <w:rPr>
                <w:sz w:val="22"/>
                <w:szCs w:val="22"/>
                <w:lang w:val="sr-Latn-CS"/>
              </w:rPr>
              <w:t xml:space="preserve">Kombinacija sa dva antibiotika: Ortanol® 10 mg, amoksicilin 25 </w:t>
            </w:r>
          </w:p>
          <w:p w:rsidR="008E31D0" w:rsidRPr="00DC010A" w:rsidRDefault="008E31D0" w:rsidP="001A6B95">
            <w:pPr>
              <w:pStyle w:val="NoSpacing"/>
              <w:jc w:val="both"/>
              <w:rPr>
                <w:sz w:val="22"/>
                <w:szCs w:val="22"/>
                <w:lang w:val="sr-Latn-CS"/>
              </w:rPr>
            </w:pPr>
            <w:r w:rsidRPr="00DC010A">
              <w:rPr>
                <w:sz w:val="22"/>
                <w:szCs w:val="22"/>
                <w:lang w:val="sr-Latn-CS"/>
              </w:rPr>
              <w:t xml:space="preserve">         </w:t>
            </w:r>
            <w:r w:rsidR="001A6B95" w:rsidRPr="00DC010A">
              <w:rPr>
                <w:sz w:val="22"/>
                <w:szCs w:val="22"/>
                <w:lang w:val="sr-Latn-CS"/>
              </w:rPr>
              <w:t xml:space="preserve">                               </w:t>
            </w:r>
            <w:r w:rsidRPr="00DC010A">
              <w:rPr>
                <w:sz w:val="22"/>
                <w:szCs w:val="22"/>
                <w:lang w:val="sr-Latn-CS"/>
              </w:rPr>
              <w:t xml:space="preserve">mg/kg tjelesne mase i klaritromicin 7,5 mg/kg tjelesne mase, treba primjeniti </w:t>
            </w:r>
          </w:p>
          <w:p w:rsidR="008E31D0" w:rsidRPr="00DC010A" w:rsidRDefault="008E31D0" w:rsidP="001A6B95">
            <w:pPr>
              <w:pStyle w:val="NoSpacing"/>
              <w:jc w:val="both"/>
              <w:rPr>
                <w:sz w:val="22"/>
                <w:szCs w:val="22"/>
                <w:lang w:val="sr-Latn-CS"/>
              </w:rPr>
            </w:pPr>
            <w:r w:rsidRPr="00DC010A">
              <w:rPr>
                <w:sz w:val="22"/>
                <w:szCs w:val="22"/>
                <w:lang w:val="sr-Latn-CS"/>
              </w:rPr>
              <w:t xml:space="preserve">         </w:t>
            </w:r>
            <w:r w:rsidR="001A6B95" w:rsidRPr="00DC010A">
              <w:rPr>
                <w:sz w:val="22"/>
                <w:szCs w:val="22"/>
                <w:lang w:val="sr-Latn-CS"/>
              </w:rPr>
              <w:t xml:space="preserve">                               </w:t>
            </w:r>
            <w:r w:rsidRPr="00DC010A">
              <w:rPr>
                <w:sz w:val="22"/>
                <w:szCs w:val="22"/>
                <w:lang w:val="sr-Latn-CS"/>
              </w:rPr>
              <w:t>zajedno, dva puta dnevno, tokom 1 nedjelje</w:t>
            </w:r>
          </w:p>
          <w:p w:rsidR="008E31D0" w:rsidRPr="00DC010A" w:rsidRDefault="008E31D0" w:rsidP="001A6B95">
            <w:pPr>
              <w:pStyle w:val="NoSpacing"/>
              <w:jc w:val="both"/>
              <w:rPr>
                <w:sz w:val="22"/>
                <w:szCs w:val="22"/>
                <w:lang w:val="sr-Latn-CS"/>
              </w:rPr>
            </w:pPr>
          </w:p>
          <w:p w:rsidR="008E31D0" w:rsidRPr="00DC010A" w:rsidRDefault="008E31D0" w:rsidP="001A6B95">
            <w:pPr>
              <w:pStyle w:val="NoSpacing"/>
              <w:ind w:left="2019" w:hanging="2019"/>
              <w:rPr>
                <w:sz w:val="22"/>
                <w:szCs w:val="22"/>
                <w:lang w:val="sr-Latn-CS"/>
              </w:rPr>
            </w:pPr>
            <w:r w:rsidRPr="00DC010A">
              <w:rPr>
                <w:sz w:val="22"/>
                <w:szCs w:val="22"/>
                <w:lang w:val="sr-Latn-CS"/>
              </w:rPr>
              <w:t xml:space="preserve">30 - </w:t>
            </w:r>
            <w:r w:rsidR="001A6B95" w:rsidRPr="00DC010A">
              <w:rPr>
                <w:sz w:val="22"/>
                <w:szCs w:val="22"/>
                <w:lang w:val="sr-Latn-CS"/>
              </w:rPr>
              <w:t xml:space="preserve">40 kg                        </w:t>
            </w:r>
            <w:r w:rsidRPr="00DC010A">
              <w:rPr>
                <w:sz w:val="22"/>
                <w:szCs w:val="22"/>
                <w:lang w:val="sr-Latn-CS"/>
              </w:rPr>
              <w:t xml:space="preserve">Kombinacija sa dva antibiotika: Ortanol® 20 mg, amoksicilin 750 </w:t>
            </w:r>
          </w:p>
          <w:p w:rsidR="008E31D0" w:rsidRPr="00DC010A" w:rsidRDefault="008E31D0" w:rsidP="001A6B95">
            <w:pPr>
              <w:pStyle w:val="NoSpacing"/>
              <w:ind w:left="2019" w:hanging="2019"/>
              <w:rPr>
                <w:sz w:val="22"/>
                <w:szCs w:val="22"/>
                <w:lang w:val="sr-Latn-CS"/>
              </w:rPr>
            </w:pPr>
            <w:r w:rsidRPr="00DC010A">
              <w:rPr>
                <w:sz w:val="22"/>
                <w:szCs w:val="22"/>
                <w:lang w:val="sr-Latn-CS"/>
              </w:rPr>
              <w:t xml:space="preserve">         </w:t>
            </w:r>
            <w:r w:rsidR="001A6B95" w:rsidRPr="00DC010A">
              <w:rPr>
                <w:sz w:val="22"/>
                <w:szCs w:val="22"/>
                <w:lang w:val="sr-Latn-CS"/>
              </w:rPr>
              <w:t xml:space="preserve">                               </w:t>
            </w:r>
            <w:r w:rsidRPr="00DC010A">
              <w:rPr>
                <w:sz w:val="22"/>
                <w:szCs w:val="22"/>
                <w:lang w:val="sr-Latn-CS"/>
              </w:rPr>
              <w:t xml:space="preserve">mg/kg tjelesne mase i klaritromicin 7,5 mg/kg tjelesne mase, treba primjeniti </w:t>
            </w:r>
          </w:p>
          <w:p w:rsidR="008E31D0" w:rsidRPr="00DC010A" w:rsidRDefault="008E31D0" w:rsidP="001A6B95">
            <w:pPr>
              <w:pStyle w:val="NoSpacing"/>
              <w:ind w:left="2019" w:hanging="2019"/>
              <w:rPr>
                <w:sz w:val="22"/>
                <w:szCs w:val="22"/>
                <w:lang w:val="sr-Latn-CS"/>
              </w:rPr>
            </w:pPr>
            <w:r w:rsidRPr="00DC010A">
              <w:rPr>
                <w:sz w:val="22"/>
                <w:szCs w:val="22"/>
                <w:lang w:val="sr-Latn-CS"/>
              </w:rPr>
              <w:t xml:space="preserve">          </w:t>
            </w:r>
            <w:r w:rsidR="001A6B95" w:rsidRPr="00DC010A">
              <w:rPr>
                <w:sz w:val="22"/>
                <w:szCs w:val="22"/>
                <w:lang w:val="sr-Latn-CS"/>
              </w:rPr>
              <w:t xml:space="preserve">                              </w:t>
            </w:r>
            <w:r w:rsidRPr="00DC010A">
              <w:rPr>
                <w:sz w:val="22"/>
                <w:szCs w:val="22"/>
                <w:lang w:val="sr-Latn-CS"/>
              </w:rPr>
              <w:t>zajedno, dva puta dnevno, tokom 1 nedjelje</w:t>
            </w:r>
          </w:p>
          <w:p w:rsidR="008E31D0" w:rsidRPr="00DC010A" w:rsidRDefault="008E31D0" w:rsidP="001A6B95">
            <w:pPr>
              <w:pStyle w:val="NoSpacing"/>
              <w:ind w:left="2019" w:hanging="2019"/>
              <w:rPr>
                <w:sz w:val="22"/>
                <w:szCs w:val="22"/>
                <w:lang w:val="sr-Latn-CS"/>
              </w:rPr>
            </w:pPr>
          </w:p>
          <w:p w:rsidR="008E31D0" w:rsidRPr="00DC010A" w:rsidRDefault="008E31D0" w:rsidP="001A6B95">
            <w:pPr>
              <w:pStyle w:val="NoSpacing"/>
              <w:ind w:left="2019" w:hanging="2019"/>
              <w:rPr>
                <w:sz w:val="22"/>
                <w:szCs w:val="22"/>
                <w:lang w:val="sr-Latn-CS"/>
              </w:rPr>
            </w:pPr>
            <w:r w:rsidRPr="00DC010A">
              <w:rPr>
                <w:sz w:val="22"/>
                <w:szCs w:val="22"/>
                <w:lang w:val="sr-Latn-CS"/>
              </w:rPr>
              <w:t xml:space="preserve">&gt;40 </w:t>
            </w:r>
            <w:r w:rsidR="001A6B95" w:rsidRPr="00DC010A">
              <w:rPr>
                <w:sz w:val="22"/>
                <w:szCs w:val="22"/>
                <w:lang w:val="sr-Latn-CS"/>
              </w:rPr>
              <w:t xml:space="preserve">kg                             </w:t>
            </w:r>
            <w:r w:rsidRPr="00DC010A">
              <w:rPr>
                <w:sz w:val="22"/>
                <w:szCs w:val="22"/>
                <w:lang w:val="sr-Latn-CS"/>
              </w:rPr>
              <w:t xml:space="preserve">Kombinacija sa dva antibiotika: Ortanol® 20 mg, amoksicilin 1g i klaritromicin 500     </w:t>
            </w:r>
          </w:p>
          <w:p w:rsidR="008E31D0" w:rsidRPr="00DC010A" w:rsidRDefault="008E31D0" w:rsidP="001A6B95">
            <w:pPr>
              <w:pStyle w:val="NoSpacing"/>
              <w:ind w:left="2019" w:hanging="2019"/>
              <w:rPr>
                <w:sz w:val="22"/>
                <w:szCs w:val="22"/>
                <w:lang w:val="sr-Latn-CS"/>
              </w:rPr>
            </w:pPr>
            <w:r w:rsidRPr="00DC010A">
              <w:rPr>
                <w:sz w:val="22"/>
                <w:szCs w:val="22"/>
                <w:lang w:val="sr-Latn-CS"/>
              </w:rPr>
              <w:t xml:space="preserve">          </w:t>
            </w:r>
            <w:r w:rsidR="001A6B95" w:rsidRPr="00DC010A">
              <w:rPr>
                <w:sz w:val="22"/>
                <w:szCs w:val="22"/>
                <w:lang w:val="sr-Latn-CS"/>
              </w:rPr>
              <w:t xml:space="preserve">                              </w:t>
            </w:r>
            <w:r w:rsidRPr="00DC010A">
              <w:rPr>
                <w:sz w:val="22"/>
                <w:szCs w:val="22"/>
                <w:lang w:val="sr-Latn-CS"/>
              </w:rPr>
              <w:t>mg, treba primjeniti zajedno, dva puta dnevno, tokom 1 nedjelje</w:t>
            </w:r>
          </w:p>
          <w:p w:rsidR="008E31D0" w:rsidRPr="00DC010A" w:rsidRDefault="008E31D0" w:rsidP="001A6B95">
            <w:pPr>
              <w:pStyle w:val="NoSpacing"/>
              <w:jc w:val="both"/>
              <w:rPr>
                <w:b/>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Posebne grupe pacijenata</w:t>
            </w:r>
          </w:p>
          <w:p w:rsidR="008E31D0" w:rsidRPr="00DC010A" w:rsidRDefault="008E31D0" w:rsidP="008E31D0">
            <w:pPr>
              <w:pStyle w:val="NoSpacing"/>
              <w:rPr>
                <w:b/>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 xml:space="preserve">Pacijenti sa oštećenjem funkcije bubrega </w:t>
            </w:r>
          </w:p>
          <w:p w:rsidR="008E31D0" w:rsidRPr="00DC010A" w:rsidRDefault="008E31D0" w:rsidP="008E31D0">
            <w:pPr>
              <w:pStyle w:val="NoSpacing"/>
              <w:rPr>
                <w:sz w:val="22"/>
                <w:szCs w:val="22"/>
                <w:lang w:val="sr-Latn-CS"/>
              </w:rPr>
            </w:pPr>
            <w:r w:rsidRPr="00DC010A">
              <w:rPr>
                <w:sz w:val="22"/>
                <w:szCs w:val="22"/>
                <w:lang w:val="sr-Latn-CS"/>
              </w:rPr>
              <w:t>Nije potrebno prilagođavanje doze kod pacijenata sa oštećenjem funkcije bubrega (vidjeti odjeljak 5.2).</w:t>
            </w:r>
          </w:p>
          <w:p w:rsidR="008E31D0" w:rsidRPr="00DC010A" w:rsidRDefault="008E31D0" w:rsidP="008E31D0">
            <w:pPr>
              <w:pStyle w:val="NoSpacing"/>
              <w:rPr>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Pacijenti sa oštećenjem funkcije jetre</w:t>
            </w:r>
          </w:p>
          <w:p w:rsidR="008E31D0" w:rsidRPr="00DC010A" w:rsidRDefault="008E31D0" w:rsidP="008E31D0">
            <w:pPr>
              <w:pStyle w:val="NoSpacing"/>
              <w:rPr>
                <w:sz w:val="22"/>
                <w:szCs w:val="22"/>
                <w:shd w:val="clear" w:color="auto" w:fill="FFFFFF"/>
                <w:lang w:val="sr-Latn-CS"/>
              </w:rPr>
            </w:pP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o</w:t>
            </w:r>
            <w:r w:rsidRPr="00DC010A">
              <w:rPr>
                <w:sz w:val="22"/>
                <w:szCs w:val="22"/>
                <w:shd w:val="clear" w:color="auto" w:fill="FFFFFF"/>
                <w:lang w:val="sr-Latn-CS"/>
              </w:rPr>
              <w:t>š</w:t>
            </w:r>
            <w:r w:rsidRPr="00DC010A">
              <w:rPr>
                <w:sz w:val="22"/>
                <w:szCs w:val="22"/>
                <w:shd w:val="clear" w:color="auto" w:fill="FFFFFF"/>
              </w:rPr>
              <w:t>tec</w:t>
            </w:r>
            <w:r w:rsidRPr="00DC010A">
              <w:rPr>
                <w:sz w:val="22"/>
                <w:szCs w:val="22"/>
                <w:shd w:val="clear" w:color="auto" w:fill="FFFFFF"/>
                <w:lang w:val="sr-Latn-CS"/>
              </w:rPr>
              <w:t>́</w:t>
            </w:r>
            <w:r w:rsidRPr="00DC010A">
              <w:rPr>
                <w:sz w:val="22"/>
                <w:szCs w:val="22"/>
                <w:shd w:val="clear" w:color="auto" w:fill="FFFFFF"/>
              </w:rPr>
              <w:t>enom</w:t>
            </w:r>
            <w:r w:rsidRPr="00DC010A">
              <w:rPr>
                <w:sz w:val="22"/>
                <w:szCs w:val="22"/>
                <w:shd w:val="clear" w:color="auto" w:fill="FFFFFF"/>
                <w:lang w:val="sr-Latn-CS"/>
              </w:rPr>
              <w:t xml:space="preserve"> </w:t>
            </w:r>
            <w:r w:rsidRPr="00DC010A">
              <w:rPr>
                <w:sz w:val="22"/>
                <w:szCs w:val="22"/>
                <w:shd w:val="clear" w:color="auto" w:fill="FFFFFF"/>
              </w:rPr>
              <w:t>funkcijom</w:t>
            </w:r>
            <w:r w:rsidRPr="00DC010A">
              <w:rPr>
                <w:sz w:val="22"/>
                <w:szCs w:val="22"/>
                <w:shd w:val="clear" w:color="auto" w:fill="FFFFFF"/>
                <w:lang w:val="sr-Latn-CS"/>
              </w:rPr>
              <w:t xml:space="preserve"> </w:t>
            </w:r>
            <w:r w:rsidRPr="00DC010A">
              <w:rPr>
                <w:sz w:val="22"/>
                <w:szCs w:val="22"/>
                <w:shd w:val="clear" w:color="auto" w:fill="FFFFFF"/>
              </w:rPr>
              <w:t>jetre</w:t>
            </w:r>
            <w:r w:rsidRPr="00DC010A">
              <w:rPr>
                <w:sz w:val="22"/>
                <w:szCs w:val="22"/>
                <w:shd w:val="clear" w:color="auto" w:fill="FFFFFF"/>
                <w:lang w:val="sr-Latn-CS"/>
              </w:rPr>
              <w:t xml:space="preserve"> </w:t>
            </w:r>
            <w:r w:rsidRPr="00DC010A">
              <w:rPr>
                <w:sz w:val="22"/>
                <w:szCs w:val="22"/>
                <w:shd w:val="clear" w:color="auto" w:fill="FFFFFF"/>
              </w:rPr>
              <w:t>mo</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biti</w:t>
            </w:r>
            <w:r w:rsidRPr="00DC010A">
              <w:rPr>
                <w:sz w:val="22"/>
                <w:szCs w:val="22"/>
                <w:shd w:val="clear" w:color="auto" w:fill="FFFFFF"/>
                <w:lang w:val="sr-Latn-CS"/>
              </w:rPr>
              <w:t xml:space="preserve"> </w:t>
            </w:r>
            <w:r w:rsidRPr="00DC010A">
              <w:rPr>
                <w:sz w:val="22"/>
                <w:szCs w:val="22"/>
                <w:shd w:val="clear" w:color="auto" w:fill="FFFFFF"/>
              </w:rPr>
              <w:t>dovoljna</w:t>
            </w:r>
            <w:r w:rsidRPr="00DC010A">
              <w:rPr>
                <w:sz w:val="22"/>
                <w:szCs w:val="22"/>
                <w:shd w:val="clear" w:color="auto" w:fill="FFFFFF"/>
                <w:lang w:val="sr-Latn-CS"/>
              </w:rPr>
              <w:t xml:space="preserve"> </w:t>
            </w:r>
            <w:r w:rsidRPr="00DC010A">
              <w:rPr>
                <w:sz w:val="22"/>
                <w:szCs w:val="22"/>
                <w:shd w:val="clear" w:color="auto" w:fill="FFFFFF"/>
              </w:rPr>
              <w:t>dnevna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10-20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vidjeti</w:t>
            </w:r>
            <w:r w:rsidRPr="00DC010A">
              <w:rPr>
                <w:sz w:val="22"/>
                <w:szCs w:val="22"/>
                <w:shd w:val="clear" w:color="auto" w:fill="FFFFFF"/>
                <w:lang w:val="sr-Latn-CS"/>
              </w:rPr>
              <w:t xml:space="preserve"> </w:t>
            </w:r>
            <w:r w:rsidRPr="00DC010A">
              <w:rPr>
                <w:sz w:val="22"/>
                <w:szCs w:val="22"/>
                <w:shd w:val="clear" w:color="auto" w:fill="FFFFFF"/>
              </w:rPr>
              <w:t>odjeljak</w:t>
            </w:r>
            <w:r w:rsidRPr="00DC010A">
              <w:rPr>
                <w:sz w:val="22"/>
                <w:szCs w:val="22"/>
                <w:shd w:val="clear" w:color="auto" w:fill="FFFFFF"/>
                <w:lang w:val="sr-Latn-CS"/>
              </w:rPr>
              <w:t xml:space="preserve"> 5.2).</w:t>
            </w:r>
          </w:p>
          <w:p w:rsidR="008E31D0" w:rsidRPr="00DC010A" w:rsidRDefault="008E31D0" w:rsidP="008E31D0">
            <w:pPr>
              <w:pStyle w:val="NoSpacing"/>
              <w:rPr>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Starije osobe</w:t>
            </w:r>
          </w:p>
          <w:p w:rsidR="008E31D0" w:rsidRPr="00DC010A" w:rsidRDefault="008E31D0" w:rsidP="008E31D0">
            <w:pPr>
              <w:pStyle w:val="NoSpacing"/>
              <w:rPr>
                <w:sz w:val="22"/>
                <w:szCs w:val="22"/>
                <w:shd w:val="clear" w:color="auto" w:fill="FFFFFF"/>
                <w:lang w:val="sr-Latn-CS"/>
              </w:rPr>
            </w:pP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starijih</w:t>
            </w:r>
            <w:r w:rsidRPr="00DC010A">
              <w:rPr>
                <w:sz w:val="22"/>
                <w:szCs w:val="22"/>
                <w:shd w:val="clear" w:color="auto" w:fill="FFFFFF"/>
                <w:lang w:val="sr-Latn-CS"/>
              </w:rPr>
              <w:t xml:space="preserve"> </w:t>
            </w:r>
            <w:r w:rsidRPr="00DC010A">
              <w:rPr>
                <w:sz w:val="22"/>
                <w:szCs w:val="22"/>
                <w:shd w:val="clear" w:color="auto" w:fill="FFFFFF"/>
              </w:rPr>
              <w:t>osoba</w:t>
            </w:r>
            <w:r w:rsidRPr="00DC010A">
              <w:rPr>
                <w:sz w:val="22"/>
                <w:szCs w:val="22"/>
                <w:shd w:val="clear" w:color="auto" w:fill="FFFFFF"/>
                <w:lang w:val="sr-Latn-CS"/>
              </w:rPr>
              <w:t xml:space="preserve"> </w:t>
            </w:r>
            <w:r w:rsidRPr="00DC010A">
              <w:rPr>
                <w:sz w:val="22"/>
                <w:szCs w:val="22"/>
                <w:shd w:val="clear" w:color="auto" w:fill="FFFFFF"/>
              </w:rPr>
              <w:t>nije</w:t>
            </w:r>
            <w:r w:rsidRPr="00DC010A">
              <w:rPr>
                <w:sz w:val="22"/>
                <w:szCs w:val="22"/>
                <w:shd w:val="clear" w:color="auto" w:fill="FFFFFF"/>
                <w:lang w:val="sr-Latn-CS"/>
              </w:rPr>
              <w:t xml:space="preserve"> </w:t>
            </w:r>
            <w:r w:rsidRPr="00DC010A">
              <w:rPr>
                <w:sz w:val="22"/>
                <w:szCs w:val="22"/>
                <w:shd w:val="clear" w:color="auto" w:fill="FFFFFF"/>
              </w:rPr>
              <w:t>potrebno</w:t>
            </w:r>
            <w:r w:rsidRPr="00DC010A">
              <w:rPr>
                <w:sz w:val="22"/>
                <w:szCs w:val="22"/>
                <w:shd w:val="clear" w:color="auto" w:fill="FFFFFF"/>
                <w:lang w:val="sr-Latn-CS"/>
              </w:rPr>
              <w:t xml:space="preserve"> </w:t>
            </w:r>
            <w:r w:rsidRPr="00DC010A">
              <w:rPr>
                <w:sz w:val="22"/>
                <w:szCs w:val="22"/>
                <w:shd w:val="clear" w:color="auto" w:fill="FFFFFF"/>
              </w:rPr>
              <w:t>pode</w:t>
            </w:r>
            <w:r w:rsidRPr="00DC010A">
              <w:rPr>
                <w:sz w:val="22"/>
                <w:szCs w:val="22"/>
                <w:shd w:val="clear" w:color="auto" w:fill="FFFFFF"/>
                <w:lang w:val="sr-Latn-CS"/>
              </w:rPr>
              <w:t>š</w:t>
            </w:r>
            <w:r w:rsidRPr="00DC010A">
              <w:rPr>
                <w:sz w:val="22"/>
                <w:szCs w:val="22"/>
                <w:shd w:val="clear" w:color="auto" w:fill="FFFFFF"/>
              </w:rPr>
              <w:t>avanje</w:t>
            </w:r>
            <w:r w:rsidRPr="00DC010A">
              <w:rPr>
                <w:sz w:val="22"/>
                <w:szCs w:val="22"/>
                <w:shd w:val="clear" w:color="auto" w:fill="FFFFFF"/>
                <w:lang w:val="sr-Latn-CS"/>
              </w:rPr>
              <w:t xml:space="preserve"> </w:t>
            </w:r>
            <w:r w:rsidRPr="00DC010A">
              <w:rPr>
                <w:sz w:val="22"/>
                <w:szCs w:val="22"/>
                <w:shd w:val="clear" w:color="auto" w:fill="FFFFFF"/>
              </w:rPr>
              <w:t>doze</w:t>
            </w:r>
            <w:r w:rsidRPr="00DC010A">
              <w:rPr>
                <w:sz w:val="22"/>
                <w:szCs w:val="22"/>
                <w:shd w:val="clear" w:color="auto" w:fill="FFFFFF"/>
                <w:lang w:val="sr-Latn-CS"/>
              </w:rPr>
              <w:t xml:space="preserve"> (</w:t>
            </w:r>
            <w:r w:rsidRPr="00DC010A">
              <w:rPr>
                <w:sz w:val="22"/>
                <w:szCs w:val="22"/>
                <w:shd w:val="clear" w:color="auto" w:fill="FFFFFF"/>
              </w:rPr>
              <w:t>vidjeti</w:t>
            </w:r>
            <w:r w:rsidRPr="00DC010A">
              <w:rPr>
                <w:sz w:val="22"/>
                <w:szCs w:val="22"/>
                <w:shd w:val="clear" w:color="auto" w:fill="FFFFFF"/>
                <w:lang w:val="sr-Latn-CS"/>
              </w:rPr>
              <w:t xml:space="preserve"> </w:t>
            </w:r>
            <w:r w:rsidRPr="00DC010A">
              <w:rPr>
                <w:sz w:val="22"/>
                <w:szCs w:val="22"/>
                <w:shd w:val="clear" w:color="auto" w:fill="FFFFFF"/>
              </w:rPr>
              <w:t>odjeljak</w:t>
            </w:r>
            <w:r w:rsidRPr="00DC010A">
              <w:rPr>
                <w:sz w:val="22"/>
                <w:szCs w:val="22"/>
                <w:shd w:val="clear" w:color="auto" w:fill="FFFFFF"/>
                <w:lang w:val="sr-Latn-CS"/>
              </w:rPr>
              <w:t xml:space="preserve"> 5.2).</w:t>
            </w:r>
          </w:p>
          <w:p w:rsidR="008E31D0" w:rsidRPr="00DC010A" w:rsidRDefault="008E31D0" w:rsidP="008E31D0">
            <w:pPr>
              <w:pStyle w:val="NoSpacing"/>
              <w:rPr>
                <w:sz w:val="22"/>
                <w:szCs w:val="22"/>
                <w:shd w:val="clear" w:color="auto" w:fill="FFFFFF"/>
                <w:lang w:val="sr-Latn-CS"/>
              </w:rPr>
            </w:pPr>
          </w:p>
          <w:p w:rsidR="008E31D0" w:rsidRPr="00DC010A" w:rsidRDefault="008E31D0" w:rsidP="008E31D0">
            <w:pPr>
              <w:pStyle w:val="NoSpacing"/>
              <w:rPr>
                <w:sz w:val="22"/>
                <w:szCs w:val="22"/>
                <w:u w:val="single"/>
                <w:shd w:val="clear" w:color="auto" w:fill="FFFFFF"/>
                <w:lang w:val="it-IT"/>
              </w:rPr>
            </w:pPr>
            <w:r w:rsidRPr="00DC010A">
              <w:rPr>
                <w:sz w:val="22"/>
                <w:szCs w:val="22"/>
                <w:u w:val="single"/>
                <w:shd w:val="clear" w:color="auto" w:fill="FFFFFF"/>
                <w:lang w:val="it-IT"/>
              </w:rPr>
              <w:t xml:space="preserve">Način primjene </w:t>
            </w:r>
          </w:p>
          <w:p w:rsidR="008E31D0" w:rsidRPr="00DC010A" w:rsidRDefault="008E31D0" w:rsidP="008E31D0">
            <w:pPr>
              <w:pStyle w:val="NoSpacing"/>
              <w:rPr>
                <w:sz w:val="22"/>
                <w:szCs w:val="22"/>
                <w:shd w:val="clear" w:color="auto" w:fill="FFFFFF"/>
                <w:lang w:val="it-IT"/>
              </w:rPr>
            </w:pPr>
            <w:r w:rsidRPr="00DC010A">
              <w:rPr>
                <w:sz w:val="22"/>
                <w:szCs w:val="22"/>
                <w:shd w:val="clear" w:color="auto" w:fill="FFFFFF"/>
                <w:lang w:val="it-IT"/>
              </w:rPr>
              <w:t>Preporučuje se uzimati Otranol kapsule ujutro i progutati ih cijele sa pola čaše vode. Kapsule se ne smiju žvakati niti drobiti.</w:t>
            </w:r>
          </w:p>
          <w:p w:rsidR="008E31D0" w:rsidRPr="00DC010A" w:rsidRDefault="008E31D0" w:rsidP="008E31D0">
            <w:pPr>
              <w:pStyle w:val="NoSpacing"/>
              <w:rPr>
                <w:b/>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 xml:space="preserve">Za pacijenate koji imaju poteškoće sa gutanjem i za djecu koja mogu da piju ili gutaju polučvrstu hranu </w:t>
            </w:r>
          </w:p>
          <w:p w:rsidR="008E31D0" w:rsidRPr="00DC010A" w:rsidRDefault="008E31D0" w:rsidP="008E31D0">
            <w:pPr>
              <w:pStyle w:val="NoSpacing"/>
              <w:rPr>
                <w:sz w:val="22"/>
                <w:szCs w:val="22"/>
                <w:shd w:val="clear" w:color="auto" w:fill="FFFFFF"/>
              </w:rPr>
            </w:pPr>
            <w:r w:rsidRPr="00DC010A">
              <w:rPr>
                <w:sz w:val="22"/>
                <w:szCs w:val="22"/>
                <w:shd w:val="clear" w:color="auto" w:fill="FFFFFF"/>
              </w:rPr>
              <w:t>Pacijenti</w:t>
            </w:r>
            <w:r w:rsidRPr="00DC010A">
              <w:rPr>
                <w:sz w:val="22"/>
                <w:szCs w:val="22"/>
                <w:shd w:val="clear" w:color="auto" w:fill="FFFFFF"/>
                <w:lang w:val="sr-Latn-CS"/>
              </w:rPr>
              <w:t xml:space="preserve"> </w:t>
            </w:r>
            <w:r w:rsidRPr="00DC010A">
              <w:rPr>
                <w:sz w:val="22"/>
                <w:szCs w:val="22"/>
                <w:shd w:val="clear" w:color="auto" w:fill="FFFFFF"/>
              </w:rPr>
              <w:t>mogu</w:t>
            </w:r>
            <w:r w:rsidRPr="00DC010A">
              <w:rPr>
                <w:sz w:val="22"/>
                <w:szCs w:val="22"/>
                <w:shd w:val="clear" w:color="auto" w:fill="FFFFFF"/>
                <w:lang w:val="sr-Latn-CS"/>
              </w:rPr>
              <w:t xml:space="preserve"> </w:t>
            </w:r>
            <w:r w:rsidRPr="00DC010A">
              <w:rPr>
                <w:sz w:val="22"/>
                <w:szCs w:val="22"/>
                <w:shd w:val="clear" w:color="auto" w:fill="FFFFFF"/>
              </w:rPr>
              <w:t>otvoriti</w:t>
            </w:r>
            <w:r w:rsidRPr="00DC010A">
              <w:rPr>
                <w:sz w:val="22"/>
                <w:szCs w:val="22"/>
                <w:shd w:val="clear" w:color="auto" w:fill="FFFFFF"/>
                <w:lang w:val="sr-Latn-CS"/>
              </w:rPr>
              <w:t xml:space="preserve"> </w:t>
            </w:r>
            <w:r w:rsidRPr="00DC010A">
              <w:rPr>
                <w:sz w:val="22"/>
                <w:szCs w:val="22"/>
                <w:shd w:val="clear" w:color="auto" w:fill="FFFFFF"/>
              </w:rPr>
              <w:t>kapsulu</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pro</w:t>
            </w:r>
            <w:r w:rsidRPr="00DC010A">
              <w:rPr>
                <w:sz w:val="22"/>
                <w:szCs w:val="22"/>
                <w:shd w:val="clear" w:color="auto" w:fill="FFFFFF"/>
              </w:rPr>
              <w:t>gutati</w:t>
            </w:r>
            <w:r w:rsidRPr="00DC010A">
              <w:rPr>
                <w:sz w:val="22"/>
                <w:szCs w:val="22"/>
                <w:shd w:val="clear" w:color="auto" w:fill="FFFFFF"/>
                <w:lang w:val="sr-Latn-CS"/>
              </w:rPr>
              <w:t xml:space="preserve"> </w:t>
            </w:r>
            <w:r w:rsidRPr="00DC010A">
              <w:rPr>
                <w:sz w:val="22"/>
                <w:szCs w:val="22"/>
                <w:shd w:val="clear" w:color="auto" w:fill="FFFFFF"/>
              </w:rPr>
              <w:t>sadr</w:t>
            </w:r>
            <w:r w:rsidRPr="00DC010A">
              <w:rPr>
                <w:sz w:val="22"/>
                <w:szCs w:val="22"/>
                <w:shd w:val="clear" w:color="auto" w:fill="FFFFFF"/>
                <w:lang w:val="sr-Latn-CS"/>
              </w:rPr>
              <w:t>ž</w:t>
            </w:r>
            <w:r w:rsidRPr="00DC010A">
              <w:rPr>
                <w:sz w:val="22"/>
                <w:szCs w:val="22"/>
                <w:shd w:val="clear" w:color="auto" w:fill="FFFFFF"/>
              </w:rPr>
              <w:t>aj</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pola</w:t>
            </w:r>
            <w:r w:rsidRPr="00DC010A">
              <w:rPr>
                <w:sz w:val="22"/>
                <w:szCs w:val="22"/>
                <w:shd w:val="clear" w:color="auto" w:fill="FFFFFF"/>
                <w:lang w:val="sr-Latn-CS"/>
              </w:rPr>
              <w:t xml:space="preserve"> č</w:t>
            </w:r>
            <w:r w:rsidRPr="00DC010A">
              <w:rPr>
                <w:sz w:val="22"/>
                <w:szCs w:val="22"/>
                <w:shd w:val="clear" w:color="auto" w:fill="FFFFFF"/>
              </w:rPr>
              <w:t>a</w:t>
            </w:r>
            <w:r w:rsidRPr="00DC010A">
              <w:rPr>
                <w:sz w:val="22"/>
                <w:szCs w:val="22"/>
                <w:shd w:val="clear" w:color="auto" w:fill="FFFFFF"/>
                <w:lang w:val="sr-Latn-CS"/>
              </w:rPr>
              <w:t>š</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vode</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shd w:val="clear" w:color="auto" w:fill="FFFFFF"/>
                <w:lang w:val="sr-Latn-CS"/>
              </w:rPr>
              <w:t xml:space="preserve"> </w:t>
            </w:r>
            <w:r w:rsidRPr="00DC010A">
              <w:rPr>
                <w:sz w:val="22"/>
                <w:szCs w:val="22"/>
                <w:shd w:val="clear" w:color="auto" w:fill="FFFFFF"/>
              </w:rPr>
              <w:t>nakon</w:t>
            </w:r>
            <w:r w:rsidRPr="00DC010A">
              <w:rPr>
                <w:sz w:val="22"/>
                <w:szCs w:val="22"/>
                <w:shd w:val="clear" w:color="auto" w:fill="FFFFFF"/>
                <w:lang w:val="sr-Latn-CS"/>
              </w:rPr>
              <w:t xml:space="preserve"> </w:t>
            </w:r>
            <w:r w:rsidRPr="00DC010A">
              <w:rPr>
                <w:sz w:val="22"/>
                <w:szCs w:val="22"/>
                <w:shd w:val="clear" w:color="auto" w:fill="FFFFFF"/>
              </w:rPr>
              <w:t>mije</w:t>
            </w:r>
            <w:r w:rsidRPr="00DC010A">
              <w:rPr>
                <w:sz w:val="22"/>
                <w:szCs w:val="22"/>
                <w:shd w:val="clear" w:color="auto" w:fill="FFFFFF"/>
                <w:lang w:val="sr-Latn-CS"/>
              </w:rPr>
              <w:t>š</w:t>
            </w:r>
            <w:r w:rsidRPr="00DC010A">
              <w:rPr>
                <w:sz w:val="22"/>
                <w:szCs w:val="22"/>
                <w:shd w:val="clear" w:color="auto" w:fill="FFFFFF"/>
              </w:rPr>
              <w:t>anja</w:t>
            </w:r>
            <w:r w:rsidRPr="00DC010A">
              <w:rPr>
                <w:sz w:val="22"/>
                <w:szCs w:val="22"/>
                <w:shd w:val="clear" w:color="auto" w:fill="FFFFFF"/>
                <w:lang w:val="sr-Latn-CS"/>
              </w:rPr>
              <w:t xml:space="preserve"> </w:t>
            </w:r>
            <w:r w:rsidRPr="00DC010A">
              <w:rPr>
                <w:sz w:val="22"/>
                <w:szCs w:val="22"/>
                <w:shd w:val="clear" w:color="auto" w:fill="FFFFFF"/>
              </w:rPr>
              <w:t>sadr</w:t>
            </w:r>
            <w:r w:rsidRPr="00DC010A">
              <w:rPr>
                <w:sz w:val="22"/>
                <w:szCs w:val="22"/>
                <w:shd w:val="clear" w:color="auto" w:fill="FFFFFF"/>
                <w:lang w:val="sr-Latn-CS"/>
              </w:rPr>
              <w:t>ž</w:t>
            </w:r>
            <w:r w:rsidRPr="00DC010A">
              <w:rPr>
                <w:sz w:val="22"/>
                <w:szCs w:val="22"/>
                <w:shd w:val="clear" w:color="auto" w:fill="FFFFFF"/>
              </w:rPr>
              <w:t>aja</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blago</w:t>
            </w:r>
            <w:r w:rsidRPr="00DC010A">
              <w:rPr>
                <w:sz w:val="22"/>
                <w:szCs w:val="22"/>
                <w:shd w:val="clear" w:color="auto" w:fill="FFFFFF"/>
                <w:lang w:val="sr-Latn-CS"/>
              </w:rPr>
              <w:t xml:space="preserve"> </w:t>
            </w:r>
            <w:r w:rsidRPr="00DC010A">
              <w:rPr>
                <w:sz w:val="22"/>
                <w:szCs w:val="22"/>
                <w:shd w:val="clear" w:color="auto" w:fill="FFFFFF"/>
              </w:rPr>
              <w:t>kisjeloj</w:t>
            </w:r>
            <w:r w:rsidRPr="00DC010A">
              <w:rPr>
                <w:sz w:val="22"/>
                <w:szCs w:val="22"/>
                <w:shd w:val="clear" w:color="auto" w:fill="FFFFFF"/>
                <w:lang w:val="sr-Latn-CS"/>
              </w:rPr>
              <w:t xml:space="preserve"> </w:t>
            </w:r>
            <w:r w:rsidRPr="00DC010A">
              <w:rPr>
                <w:sz w:val="22"/>
                <w:szCs w:val="22"/>
                <w:shd w:val="clear" w:color="auto" w:fill="FFFFFF"/>
              </w:rPr>
              <w:t>te</w:t>
            </w:r>
            <w:r w:rsidRPr="00DC010A">
              <w:rPr>
                <w:sz w:val="22"/>
                <w:szCs w:val="22"/>
                <w:shd w:val="clear" w:color="auto" w:fill="FFFFFF"/>
                <w:lang w:val="sr-Latn-CS"/>
              </w:rPr>
              <w:t>č</w:t>
            </w:r>
            <w:r w:rsidRPr="00DC010A">
              <w:rPr>
                <w:sz w:val="22"/>
                <w:szCs w:val="22"/>
                <w:shd w:val="clear" w:color="auto" w:fill="FFFFFF"/>
              </w:rPr>
              <w:t>nosti</w:t>
            </w:r>
            <w:r w:rsidRPr="00DC010A">
              <w:rPr>
                <w:sz w:val="22"/>
                <w:szCs w:val="22"/>
                <w:shd w:val="clear" w:color="auto" w:fill="FFFFFF"/>
                <w:lang w:val="sr-Latn-CS"/>
              </w:rPr>
              <w:t xml:space="preserve">, </w:t>
            </w:r>
            <w:r w:rsidRPr="00DC010A">
              <w:rPr>
                <w:sz w:val="22"/>
                <w:szCs w:val="22"/>
                <w:shd w:val="clear" w:color="auto" w:fill="FFFFFF"/>
              </w:rPr>
              <w:t>npr</w:t>
            </w:r>
            <w:r w:rsidRPr="00DC010A">
              <w:rPr>
                <w:sz w:val="22"/>
                <w:szCs w:val="22"/>
                <w:shd w:val="clear" w:color="auto" w:fill="FFFFFF"/>
                <w:lang w:val="sr-Latn-CS"/>
              </w:rPr>
              <w:t>. v</w:t>
            </w:r>
            <w:r w:rsidRPr="00DC010A">
              <w:rPr>
                <w:sz w:val="22"/>
                <w:szCs w:val="22"/>
                <w:shd w:val="clear" w:color="auto" w:fill="FFFFFF"/>
              </w:rPr>
              <w:t>oc</w:t>
            </w:r>
            <w:r w:rsidRPr="00DC010A">
              <w:rPr>
                <w:sz w:val="22"/>
                <w:szCs w:val="22"/>
                <w:shd w:val="clear" w:color="auto" w:fill="FFFFFF"/>
                <w:lang w:val="sr-Latn-CS"/>
              </w:rPr>
              <w:t>́</w:t>
            </w:r>
            <w:r w:rsidRPr="00DC010A">
              <w:rPr>
                <w:sz w:val="22"/>
                <w:szCs w:val="22"/>
                <w:shd w:val="clear" w:color="auto" w:fill="FFFFFF"/>
              </w:rPr>
              <w:t>ni</w:t>
            </w:r>
            <w:r w:rsidRPr="00DC010A">
              <w:rPr>
                <w:sz w:val="22"/>
                <w:szCs w:val="22"/>
                <w:shd w:val="clear" w:color="auto" w:fill="FFFFFF"/>
                <w:lang w:val="sr-Latn-CS"/>
              </w:rPr>
              <w:t xml:space="preserve"> </w:t>
            </w:r>
            <w:r w:rsidRPr="00DC010A">
              <w:rPr>
                <w:sz w:val="22"/>
                <w:szCs w:val="22"/>
                <w:shd w:val="clear" w:color="auto" w:fill="FFFFFF"/>
              </w:rPr>
              <w:t>sok</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shd w:val="clear" w:color="auto" w:fill="FFFFFF"/>
                <w:lang w:val="sr-Latn-CS"/>
              </w:rPr>
              <w:t xml:space="preserve"> sok od </w:t>
            </w:r>
            <w:r w:rsidRPr="00DC010A">
              <w:rPr>
                <w:sz w:val="22"/>
                <w:szCs w:val="22"/>
                <w:shd w:val="clear" w:color="auto" w:fill="FFFFFF"/>
              </w:rPr>
              <w:t>jabuke</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negaziranoj</w:t>
            </w:r>
            <w:r w:rsidRPr="00DC010A">
              <w:rPr>
                <w:sz w:val="22"/>
                <w:szCs w:val="22"/>
                <w:shd w:val="clear" w:color="auto" w:fill="FFFFFF"/>
                <w:lang w:val="sr-Latn-CS"/>
              </w:rPr>
              <w:t xml:space="preserve"> </w:t>
            </w:r>
            <w:r w:rsidRPr="00DC010A">
              <w:rPr>
                <w:sz w:val="22"/>
                <w:szCs w:val="22"/>
                <w:shd w:val="clear" w:color="auto" w:fill="FFFFFF"/>
              </w:rPr>
              <w:t>vodi</w:t>
            </w:r>
            <w:r w:rsidRPr="00DC010A">
              <w:rPr>
                <w:sz w:val="22"/>
                <w:szCs w:val="22"/>
                <w:shd w:val="clear" w:color="auto" w:fill="FFFFFF"/>
                <w:lang w:val="sr-Latn-CS"/>
              </w:rPr>
              <w:t xml:space="preserve">. </w:t>
            </w:r>
            <w:r w:rsidRPr="00DC010A">
              <w:rPr>
                <w:sz w:val="22"/>
                <w:szCs w:val="22"/>
                <w:shd w:val="clear" w:color="auto" w:fill="FFFFFF"/>
              </w:rPr>
              <w:t>Pacijentima</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savjetovati</w:t>
            </w:r>
            <w:r w:rsidRPr="00DC010A">
              <w:rPr>
                <w:sz w:val="22"/>
                <w:szCs w:val="22"/>
                <w:shd w:val="clear" w:color="auto" w:fill="FFFFFF"/>
                <w:lang w:val="sr-Latn-CS"/>
              </w:rPr>
              <w:t xml:space="preserve"> </w:t>
            </w:r>
            <w:r w:rsidRPr="00DC010A">
              <w:rPr>
                <w:sz w:val="22"/>
                <w:szCs w:val="22"/>
                <w:shd w:val="clear" w:color="auto" w:fill="FFFFFF"/>
              </w:rPr>
              <w:t>da</w:t>
            </w:r>
            <w:r w:rsidRPr="00DC010A">
              <w:rPr>
                <w:sz w:val="22"/>
                <w:szCs w:val="22"/>
                <w:shd w:val="clear" w:color="auto" w:fill="FFFFFF"/>
                <w:lang w:val="sr-Latn-CS"/>
              </w:rPr>
              <w:t xml:space="preserve"> </w:t>
            </w:r>
            <w:r w:rsidRPr="00DC010A">
              <w:rPr>
                <w:sz w:val="22"/>
                <w:szCs w:val="22"/>
                <w:shd w:val="clear" w:color="auto" w:fill="FFFFFF"/>
              </w:rPr>
              <w:t>disperziju</w:t>
            </w:r>
            <w:r w:rsidRPr="00DC010A">
              <w:rPr>
                <w:sz w:val="22"/>
                <w:szCs w:val="22"/>
                <w:shd w:val="clear" w:color="auto" w:fill="FFFFFF"/>
                <w:lang w:val="sr-Latn-CS"/>
              </w:rPr>
              <w:t xml:space="preserve"> </w:t>
            </w:r>
            <w:r w:rsidRPr="00DC010A">
              <w:rPr>
                <w:sz w:val="22"/>
                <w:szCs w:val="22"/>
                <w:shd w:val="clear" w:color="auto" w:fill="FFFFFF"/>
              </w:rPr>
              <w:t>moraju</w:t>
            </w:r>
            <w:r w:rsidRPr="00DC010A">
              <w:rPr>
                <w:sz w:val="22"/>
                <w:szCs w:val="22"/>
                <w:shd w:val="clear" w:color="auto" w:fill="FFFFFF"/>
                <w:lang w:val="sr-Latn-CS"/>
              </w:rPr>
              <w:t xml:space="preserve"> </w:t>
            </w:r>
            <w:r w:rsidRPr="00DC010A">
              <w:rPr>
                <w:sz w:val="22"/>
                <w:szCs w:val="22"/>
                <w:shd w:val="clear" w:color="auto" w:fill="FFFFFF"/>
              </w:rPr>
              <w:t>odmah</w:t>
            </w:r>
            <w:r w:rsidRPr="00DC010A">
              <w:rPr>
                <w:sz w:val="22"/>
                <w:szCs w:val="22"/>
                <w:shd w:val="clear" w:color="auto" w:fill="FFFFFF"/>
                <w:lang w:val="sr-Latn-CS"/>
              </w:rPr>
              <w:t xml:space="preserve"> </w:t>
            </w:r>
            <w:r w:rsidRPr="00DC010A">
              <w:rPr>
                <w:sz w:val="22"/>
                <w:szCs w:val="22"/>
                <w:shd w:val="clear" w:color="auto" w:fill="FFFFFF"/>
              </w:rPr>
              <w:t>popiti</w:t>
            </w:r>
            <w:r w:rsidRPr="00DC010A">
              <w:rPr>
                <w:sz w:val="22"/>
                <w:szCs w:val="22"/>
                <w:shd w:val="clear" w:color="auto" w:fill="FFFFFF"/>
                <w:lang w:val="sr-Latn-CS"/>
              </w:rPr>
              <w:t xml:space="preserve"> (</w:t>
            </w:r>
            <w:r w:rsidRPr="00DC010A">
              <w:rPr>
                <w:sz w:val="22"/>
                <w:szCs w:val="22"/>
                <w:shd w:val="clear" w:color="auto" w:fill="FFFFFF"/>
              </w:rPr>
              <w:t>ili</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roku</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30 </w:t>
            </w:r>
            <w:r w:rsidRPr="00DC010A">
              <w:rPr>
                <w:sz w:val="22"/>
                <w:szCs w:val="22"/>
                <w:shd w:val="clear" w:color="auto" w:fill="FFFFFF"/>
              </w:rPr>
              <w:t>minuta</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uvijek</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pro</w:t>
            </w:r>
            <w:r w:rsidRPr="00DC010A">
              <w:rPr>
                <w:sz w:val="22"/>
                <w:szCs w:val="22"/>
                <w:shd w:val="clear" w:color="auto" w:fill="FFFFFF"/>
              </w:rPr>
              <w:t>mije</w:t>
            </w:r>
            <w:r w:rsidRPr="00DC010A">
              <w:rPr>
                <w:sz w:val="22"/>
                <w:szCs w:val="22"/>
                <w:shd w:val="clear" w:color="auto" w:fill="FFFFFF"/>
                <w:lang w:val="sr-Latn-CS"/>
              </w:rPr>
              <w:t>š</w:t>
            </w:r>
            <w:r w:rsidRPr="00DC010A">
              <w:rPr>
                <w:sz w:val="22"/>
                <w:szCs w:val="22"/>
                <w:shd w:val="clear" w:color="auto" w:fill="FFFFFF"/>
              </w:rPr>
              <w:t>ati</w:t>
            </w:r>
            <w:r w:rsidRPr="00DC010A">
              <w:rPr>
                <w:sz w:val="22"/>
                <w:szCs w:val="22"/>
                <w:shd w:val="clear" w:color="auto" w:fill="FFFFFF"/>
                <w:lang w:val="sr-Latn-CS"/>
              </w:rPr>
              <w:t xml:space="preserve"> </w:t>
            </w:r>
            <w:r w:rsidRPr="00DC010A">
              <w:rPr>
                <w:sz w:val="22"/>
                <w:szCs w:val="22"/>
                <w:shd w:val="clear" w:color="auto" w:fill="FFFFFF"/>
              </w:rPr>
              <w:t>neposredno</w:t>
            </w:r>
            <w:r w:rsidRPr="00DC010A">
              <w:rPr>
                <w:sz w:val="22"/>
                <w:szCs w:val="22"/>
                <w:shd w:val="clear" w:color="auto" w:fill="FFFFFF"/>
                <w:lang w:val="sr-Latn-CS"/>
              </w:rPr>
              <w:t xml:space="preserve"> </w:t>
            </w:r>
            <w:r w:rsidRPr="00DC010A">
              <w:rPr>
                <w:sz w:val="22"/>
                <w:szCs w:val="22"/>
                <w:shd w:val="clear" w:color="auto" w:fill="FFFFFF"/>
              </w:rPr>
              <w:t>prije</w:t>
            </w:r>
            <w:r w:rsidRPr="00DC010A">
              <w:rPr>
                <w:sz w:val="22"/>
                <w:szCs w:val="22"/>
                <w:shd w:val="clear" w:color="auto" w:fill="FFFFFF"/>
                <w:lang w:val="sr-Latn-CS"/>
              </w:rPr>
              <w:t xml:space="preserve"> </w:t>
            </w:r>
            <w:r w:rsidRPr="00DC010A">
              <w:rPr>
                <w:sz w:val="22"/>
                <w:szCs w:val="22"/>
                <w:shd w:val="clear" w:color="auto" w:fill="FFFFFF"/>
              </w:rPr>
              <w:t>nego</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w:t>
            </w:r>
            <w:r w:rsidRPr="00DC010A">
              <w:rPr>
                <w:sz w:val="22"/>
                <w:szCs w:val="22"/>
                <w:shd w:val="clear" w:color="auto" w:fill="FFFFFF"/>
              </w:rPr>
              <w:t>popiju</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i</w:t>
            </w:r>
            <w:r w:rsidRPr="00DC010A">
              <w:rPr>
                <w:sz w:val="22"/>
                <w:szCs w:val="22"/>
                <w:shd w:val="clear" w:color="auto" w:fill="FFFFFF"/>
              </w:rPr>
              <w:t>speru</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pola</w:t>
            </w:r>
            <w:r w:rsidRPr="00DC010A">
              <w:rPr>
                <w:sz w:val="22"/>
                <w:szCs w:val="22"/>
                <w:shd w:val="clear" w:color="auto" w:fill="FFFFFF"/>
                <w:lang w:val="sr-Latn-CS"/>
              </w:rPr>
              <w:t xml:space="preserve"> č</w:t>
            </w:r>
            <w:r w:rsidRPr="00DC010A">
              <w:rPr>
                <w:sz w:val="22"/>
                <w:szCs w:val="22"/>
                <w:shd w:val="clear" w:color="auto" w:fill="FFFFFF"/>
              </w:rPr>
              <w:t>a</w:t>
            </w:r>
            <w:r w:rsidRPr="00DC010A">
              <w:rPr>
                <w:sz w:val="22"/>
                <w:szCs w:val="22"/>
                <w:shd w:val="clear" w:color="auto" w:fill="FFFFFF"/>
                <w:lang w:val="sr-Latn-CS"/>
              </w:rPr>
              <w:t>š</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vode</w:t>
            </w:r>
            <w:r w:rsidRPr="00DC010A">
              <w:rPr>
                <w:sz w:val="22"/>
                <w:szCs w:val="22"/>
                <w:shd w:val="clear" w:color="auto" w:fill="FFFFFF"/>
                <w:lang w:val="sr-Latn-CS"/>
              </w:rPr>
              <w:t xml:space="preserve">. </w:t>
            </w:r>
            <w:r w:rsidRPr="00DC010A">
              <w:rPr>
                <w:sz w:val="22"/>
                <w:szCs w:val="22"/>
                <w:shd w:val="clear" w:color="auto" w:fill="FFFFFF"/>
                <w:lang w:val="it-IT"/>
              </w:rPr>
              <w:t>Alternativno</w:t>
            </w:r>
            <w:r w:rsidRPr="00DC010A">
              <w:rPr>
                <w:sz w:val="22"/>
                <w:szCs w:val="22"/>
                <w:shd w:val="clear" w:color="auto" w:fill="FFFFFF"/>
                <w:lang w:val="sr-Latn-CS"/>
              </w:rPr>
              <w:t xml:space="preserve">, </w:t>
            </w:r>
            <w:r w:rsidRPr="00DC010A">
              <w:rPr>
                <w:sz w:val="22"/>
                <w:szCs w:val="22"/>
                <w:shd w:val="clear" w:color="auto" w:fill="FFFFFF"/>
                <w:lang w:val="it-IT"/>
              </w:rPr>
              <w:t>pacijenti</w:t>
            </w:r>
            <w:r w:rsidRPr="00DC010A">
              <w:rPr>
                <w:sz w:val="22"/>
                <w:szCs w:val="22"/>
                <w:shd w:val="clear" w:color="auto" w:fill="FFFFFF"/>
                <w:lang w:val="sr-Latn-CS"/>
              </w:rPr>
              <w:t xml:space="preserve"> </w:t>
            </w:r>
            <w:r w:rsidRPr="00DC010A">
              <w:rPr>
                <w:sz w:val="22"/>
                <w:szCs w:val="22"/>
                <w:shd w:val="clear" w:color="auto" w:fill="FFFFFF"/>
              </w:rPr>
              <w:t>mogu</w:t>
            </w:r>
            <w:r w:rsidRPr="00DC010A">
              <w:rPr>
                <w:sz w:val="22"/>
                <w:szCs w:val="22"/>
                <w:shd w:val="clear" w:color="auto" w:fill="FFFFFF"/>
                <w:lang w:val="sr-Latn-CS"/>
              </w:rPr>
              <w:t xml:space="preserve"> </w:t>
            </w:r>
            <w:r w:rsidRPr="00DC010A">
              <w:rPr>
                <w:sz w:val="22"/>
                <w:szCs w:val="22"/>
                <w:shd w:val="clear" w:color="auto" w:fill="FFFFFF"/>
              </w:rPr>
              <w:t>sadr</w:t>
            </w:r>
            <w:r w:rsidRPr="00DC010A">
              <w:rPr>
                <w:sz w:val="22"/>
                <w:szCs w:val="22"/>
                <w:shd w:val="clear" w:color="auto" w:fill="FFFFFF"/>
                <w:lang w:val="sr-Latn-CS"/>
              </w:rPr>
              <w:t>ž</w:t>
            </w:r>
            <w:r w:rsidRPr="00DC010A">
              <w:rPr>
                <w:sz w:val="22"/>
                <w:szCs w:val="22"/>
                <w:shd w:val="clear" w:color="auto" w:fill="FFFFFF"/>
              </w:rPr>
              <w:t>aj</w:t>
            </w:r>
            <w:r w:rsidRPr="00DC010A">
              <w:rPr>
                <w:sz w:val="22"/>
                <w:szCs w:val="22"/>
                <w:shd w:val="clear" w:color="auto" w:fill="FFFFFF"/>
                <w:lang w:val="sr-Latn-CS"/>
              </w:rPr>
              <w:t xml:space="preserve"> </w:t>
            </w:r>
            <w:r w:rsidRPr="00DC010A">
              <w:rPr>
                <w:sz w:val="22"/>
                <w:szCs w:val="22"/>
                <w:shd w:val="clear" w:color="auto" w:fill="FFFFFF"/>
              </w:rPr>
              <w:t>kapsule</w:t>
            </w:r>
            <w:r w:rsidRPr="00DC010A">
              <w:rPr>
                <w:sz w:val="22"/>
                <w:szCs w:val="22"/>
                <w:shd w:val="clear" w:color="auto" w:fill="FFFFFF"/>
                <w:lang w:val="sr-Latn-CS"/>
              </w:rPr>
              <w:t xml:space="preserve"> </w:t>
            </w:r>
            <w:r w:rsidRPr="00DC010A">
              <w:rPr>
                <w:sz w:val="22"/>
                <w:szCs w:val="22"/>
                <w:shd w:val="clear" w:color="auto" w:fill="FFFFFF"/>
              </w:rPr>
              <w:t>istresti</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usta</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zatim</w:t>
            </w:r>
            <w:r w:rsidRPr="00DC010A">
              <w:rPr>
                <w:sz w:val="22"/>
                <w:szCs w:val="22"/>
                <w:shd w:val="clear" w:color="auto" w:fill="FFFFFF"/>
                <w:lang w:val="sr-Latn-CS"/>
              </w:rPr>
              <w:t xml:space="preserve"> </w:t>
            </w:r>
            <w:r w:rsidRPr="00DC010A">
              <w:rPr>
                <w:sz w:val="22"/>
                <w:szCs w:val="22"/>
                <w:shd w:val="clear" w:color="auto" w:fill="FFFFFF"/>
              </w:rPr>
              <w:t>progutati</w:t>
            </w:r>
            <w:r w:rsidRPr="00DC010A">
              <w:rPr>
                <w:sz w:val="22"/>
                <w:szCs w:val="22"/>
                <w:shd w:val="clear" w:color="auto" w:fill="FFFFFF"/>
                <w:lang w:val="sr-Latn-CS"/>
              </w:rPr>
              <w:t xml:space="preserve"> </w:t>
            </w:r>
            <w:r w:rsidRPr="00DC010A">
              <w:rPr>
                <w:sz w:val="22"/>
                <w:szCs w:val="22"/>
                <w:shd w:val="clear" w:color="auto" w:fill="FFFFFF"/>
              </w:rPr>
              <w:t>sadr</w:t>
            </w:r>
            <w:r w:rsidRPr="00DC010A">
              <w:rPr>
                <w:sz w:val="22"/>
                <w:szCs w:val="22"/>
                <w:shd w:val="clear" w:color="auto" w:fill="FFFFFF"/>
                <w:lang w:val="sr-Latn-CS"/>
              </w:rPr>
              <w:t>ž</w:t>
            </w:r>
            <w:r w:rsidRPr="00DC010A">
              <w:rPr>
                <w:sz w:val="22"/>
                <w:szCs w:val="22"/>
                <w:shd w:val="clear" w:color="auto" w:fill="FFFFFF"/>
              </w:rPr>
              <w:t>aj</w:t>
            </w:r>
            <w:r w:rsidRPr="00DC010A">
              <w:rPr>
                <w:sz w:val="22"/>
                <w:szCs w:val="22"/>
                <w:shd w:val="clear" w:color="auto" w:fill="FFFFFF"/>
                <w:lang w:val="sr-Latn-CS"/>
              </w:rPr>
              <w:t xml:space="preserve"> </w:t>
            </w:r>
            <w:r w:rsidRPr="00DC010A">
              <w:rPr>
                <w:sz w:val="22"/>
                <w:szCs w:val="22"/>
                <w:shd w:val="clear" w:color="auto" w:fill="FFFFFF"/>
              </w:rPr>
              <w:t>uz</w:t>
            </w:r>
            <w:r w:rsidRPr="00DC010A">
              <w:rPr>
                <w:sz w:val="22"/>
                <w:szCs w:val="22"/>
                <w:shd w:val="clear" w:color="auto" w:fill="FFFFFF"/>
                <w:lang w:val="sr-Latn-CS"/>
              </w:rPr>
              <w:t xml:space="preserve"> </w:t>
            </w:r>
            <w:r w:rsidRPr="00DC010A">
              <w:rPr>
                <w:sz w:val="22"/>
                <w:szCs w:val="22"/>
                <w:shd w:val="clear" w:color="auto" w:fill="FFFFFF"/>
              </w:rPr>
              <w:t>pola</w:t>
            </w:r>
            <w:r w:rsidRPr="00DC010A">
              <w:rPr>
                <w:sz w:val="22"/>
                <w:szCs w:val="22"/>
                <w:shd w:val="clear" w:color="auto" w:fill="FFFFFF"/>
                <w:lang w:val="sr-Latn-CS"/>
              </w:rPr>
              <w:t xml:space="preserve"> č</w:t>
            </w:r>
            <w:r w:rsidRPr="00DC010A">
              <w:rPr>
                <w:sz w:val="22"/>
                <w:szCs w:val="22"/>
                <w:shd w:val="clear" w:color="auto" w:fill="FFFFFF"/>
              </w:rPr>
              <w:t>a</w:t>
            </w:r>
            <w:r w:rsidRPr="00DC010A">
              <w:rPr>
                <w:sz w:val="22"/>
                <w:szCs w:val="22"/>
                <w:shd w:val="clear" w:color="auto" w:fill="FFFFFF"/>
                <w:lang w:val="sr-Latn-CS"/>
              </w:rPr>
              <w:t>š</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vode</w:t>
            </w:r>
            <w:r w:rsidRPr="00DC010A">
              <w:rPr>
                <w:sz w:val="22"/>
                <w:szCs w:val="22"/>
                <w:shd w:val="clear" w:color="auto" w:fill="FFFFFF"/>
                <w:lang w:val="sr-Latn-CS"/>
              </w:rPr>
              <w:t xml:space="preserve">. </w:t>
            </w:r>
            <w:r w:rsidRPr="00DC010A">
              <w:rPr>
                <w:sz w:val="22"/>
                <w:szCs w:val="22"/>
                <w:shd w:val="clear" w:color="auto" w:fill="FFFFFF"/>
              </w:rPr>
              <w:t>Sadržaj kapsule se ne smije žvakati.</w:t>
            </w:r>
          </w:p>
          <w:p w:rsidR="008E31D0" w:rsidRPr="00DC010A" w:rsidRDefault="008E31D0" w:rsidP="008E31D0">
            <w:pPr>
              <w:pStyle w:val="NoSpacing"/>
              <w:rPr>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r w:rsidRPr="00DC010A">
              <w:rPr>
                <w:b/>
                <w:bCs/>
                <w:sz w:val="22"/>
                <w:szCs w:val="22"/>
                <w:lang w:val="sr-Latn-CS"/>
              </w:rPr>
              <w:lastRenderedPageBreak/>
              <w:t>4.3. Kontraindikacije</w:t>
            </w:r>
          </w:p>
          <w:p w:rsidR="000474DF" w:rsidRPr="00DC010A" w:rsidRDefault="000474DF" w:rsidP="008E31D0">
            <w:pPr>
              <w:pStyle w:val="NoSpacing"/>
              <w:rPr>
                <w:b/>
                <w:bCs/>
                <w:sz w:val="22"/>
                <w:szCs w:val="22"/>
                <w:lang w:val="sr-Latn-CS"/>
              </w:rPr>
            </w:pPr>
          </w:p>
        </w:tc>
      </w:tr>
      <w:tr w:rsidR="008E31D0" w:rsidRPr="00DC010A" w:rsidTr="0089758C">
        <w:trPr>
          <w:trHeight w:val="898"/>
        </w:trPr>
        <w:tc>
          <w:tcPr>
            <w:tcW w:w="10188" w:type="dxa"/>
            <w:gridSpan w:val="4"/>
            <w:vAlign w:val="center"/>
          </w:tcPr>
          <w:p w:rsidR="008E31D0" w:rsidRPr="00DC010A" w:rsidRDefault="008E31D0" w:rsidP="000474DF">
            <w:pPr>
              <w:pStyle w:val="NoSpacing"/>
              <w:numPr>
                <w:ilvl w:val="0"/>
                <w:numId w:val="5"/>
              </w:numPr>
              <w:rPr>
                <w:sz w:val="22"/>
                <w:szCs w:val="22"/>
                <w:lang w:val="sr-Latn-CS"/>
              </w:rPr>
            </w:pPr>
            <w:r w:rsidRPr="00DC010A">
              <w:rPr>
                <w:sz w:val="22"/>
                <w:szCs w:val="22"/>
                <w:lang w:val="sr-Latn-CS"/>
              </w:rPr>
              <w:t>Preosjetljivost na aktivnu supstancu, supstituisane benzimidazole  ili bilo koji drugi sastojak lijeka Ortanol®.</w:t>
            </w:r>
          </w:p>
          <w:p w:rsidR="008E31D0" w:rsidRPr="00DC010A" w:rsidRDefault="008E31D0" w:rsidP="008E31D0">
            <w:pPr>
              <w:pStyle w:val="NoSpacing"/>
              <w:rPr>
                <w:sz w:val="22"/>
                <w:szCs w:val="22"/>
                <w:lang w:val="sr-Latn-CS"/>
              </w:rPr>
            </w:pPr>
          </w:p>
          <w:p w:rsidR="008E31D0" w:rsidRPr="00DC010A" w:rsidRDefault="008E31D0" w:rsidP="000474DF">
            <w:pPr>
              <w:pStyle w:val="NoSpacing"/>
              <w:numPr>
                <w:ilvl w:val="0"/>
                <w:numId w:val="5"/>
              </w:numPr>
              <w:rPr>
                <w:sz w:val="22"/>
                <w:szCs w:val="22"/>
                <w:lang w:val="sr-Latn-CS"/>
              </w:rPr>
            </w:pPr>
            <w:r w:rsidRPr="00DC010A">
              <w:rPr>
                <w:sz w:val="22"/>
                <w:szCs w:val="22"/>
                <w:lang w:val="sr-Latn-CS"/>
              </w:rPr>
              <w:t>Omeprazol, kao i ostali inhibitori protonske pumpe (PPIs), ne smije se primjenjivati istovremeno sa nelfinavirom (vidjeti odjeljak 4.5).</w:t>
            </w:r>
          </w:p>
          <w:p w:rsidR="008E31D0" w:rsidRPr="00DC010A" w:rsidRDefault="008E31D0" w:rsidP="008E31D0">
            <w:pPr>
              <w:pStyle w:val="NoSpacing"/>
              <w:rPr>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r w:rsidRPr="00DC010A">
              <w:rPr>
                <w:b/>
                <w:bCs/>
                <w:sz w:val="22"/>
                <w:szCs w:val="22"/>
                <w:lang w:val="sr-Latn-CS"/>
              </w:rPr>
              <w:t>4.4. Posebna upozorenja i mjere opreza pri upotrebi lijeka</w:t>
            </w:r>
          </w:p>
        </w:tc>
      </w:tr>
      <w:tr w:rsidR="008E31D0" w:rsidRPr="00DC010A" w:rsidTr="0089758C">
        <w:trPr>
          <w:trHeight w:val="784"/>
        </w:trPr>
        <w:tc>
          <w:tcPr>
            <w:tcW w:w="10188" w:type="dxa"/>
            <w:gridSpan w:val="4"/>
            <w:vAlign w:val="center"/>
          </w:tcPr>
          <w:p w:rsidR="008E31D0" w:rsidRPr="00DC010A" w:rsidRDefault="008E31D0" w:rsidP="008E31D0">
            <w:pPr>
              <w:pStyle w:val="NoSpacing"/>
              <w:rPr>
                <w:sz w:val="22"/>
                <w:szCs w:val="22"/>
                <w:lang w:val="sr-Latn-CS"/>
              </w:rPr>
            </w:pPr>
            <w:r w:rsidRPr="00DC010A">
              <w:rPr>
                <w:sz w:val="22"/>
                <w:szCs w:val="22"/>
                <w:lang w:val="sr-Latn-CS"/>
              </w:rPr>
              <w:t>U prisustvu bilo kojeg simptoma upozorenja (npr. značajan nenamjeran gubitak tjelesne mase, rekurentno povraćanje, disfagija, hematemeza ili melena) i u slučaju prisutnog ili suspektnog gastričnog ulkusa, potrebno je isključiti malignitet, s obzirom da terapija omeprazolom može ublažiti simptome i odložiti dijagnozu.</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Ne preporučuje se istovremena primjena atazanavira sa inhibitorima protonske pumpe (vidjeti odjeljak 4.5). Ako se procijeni da je istovremena primjena atazanavira i inhibitora protonske pumpe neizbježna, preporučuje se strogo kliničko praćenje (npr. virusno opterećenje) u kombinaciji sa povećanjem doze atazanavira do 400 mg uz 100 mg ritonavira; ne smije se prekoračiti doza omeprazola od 20 mg.</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Omeprazol, kao i svi ljekovi koji blokiraju stvaranje želudačne kiseline, može smanjiti resorpciju vitamina B12 (cijanokobalamin) usljed hipo- ili ahlorhidrije. Ovo treba uzeti u obzir kod pacijenata sa smanjenim zalihama vitamina B12 u organizmu ili sa faktorima rizika za smanjenu resorpciju vitamina B12 kod dugotrajne terapije.</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Omeprazol je inhibitor CYP2C19. Kada se započinje ili završava terapija omeprazolom, treba uzeti u obzir moguću interakciju sa ljekovima koji se metabolišu putem CYP2C19.</w:t>
            </w:r>
          </w:p>
          <w:p w:rsidR="008E31D0" w:rsidRPr="00DC010A" w:rsidRDefault="008E31D0" w:rsidP="008E31D0">
            <w:pPr>
              <w:pStyle w:val="NoSpacing"/>
              <w:rPr>
                <w:sz w:val="22"/>
                <w:szCs w:val="22"/>
                <w:lang w:val="sr-Latn-CS"/>
              </w:rPr>
            </w:pPr>
            <w:r w:rsidRPr="00DC010A">
              <w:rPr>
                <w:sz w:val="22"/>
                <w:szCs w:val="22"/>
                <w:lang w:val="sr-Latn-CS"/>
              </w:rPr>
              <w:t>Uočena je interakcija između klopidogrela i omeprazola (vidjeti odjeljak 4.5). Klinički značaj ove interakcije nije u potpunosti jasan. Kao mjeru opreza, istovremenu primjenu omeprazola i klopidogrela treba izbjegavati</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 xml:space="preserve">Teška hipomagnezijemija prijavljena je kod pacijenata liječenih PPI kao što je omperazol koji su liječeni tokom najmanje tri mjeseca, a u većini slučajeva i godinu dana. Ozbiljne manifestacije hipomagnezijemije kao što su zamor, tetanija, delirijum, konvulzije, ošamućenost i ventrikularne aritmije se mogu javiti ali mogu započeti podmuklo i mogu se previdjeti. Kod većine pogođenih pacijenata, hipomagnezijemija se poboljšala nakon nadoknade magnezijuma i prekida terapije PPI. </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Kod pacijenata kod kojih se očekuje da će duže vrijeme uzimati PPI ili onih koji uzimaju PPI sa digoksinom ili ljekovima koji mogu uzrokovati hipomagnezijamiju (npr. diuretici), ljekari bi trebalo da razmotre mogućnost praćenja vrijednosti magnezijuma prije započinjanja terapije PPI kao i periodično tokom terapije.</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Inhibitori protonske pumpe (PPI), naročito ako se primjenjuju u visokim dozama i tokom dužeg perioda (&gt;1 godine), mogu blago da povećaju rizik od frakture kuka, ručnog zgloba i kičme, prije svega kod starijih pacijenata ili u prisustvu drugih prepoznatih faktora rizika. Opservacione studije ukazuju na to da inhibitori protonske pumpe mogu povećati ukupni rizik od fraktura za 10-40%. Dio ovog povećanja može biti uzrokovana drugim faktorima rizika. Pacijenti koji su pod rizikom od osteoporoze trebalo bi da dobijaju njegu u skladu sa važećim kliničkim smjernicama i da imaju adekvatan unos vitamina D i kalcijuma.</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shd w:val="clear" w:color="auto" w:fill="FFFFFF"/>
                <w:lang w:val="sr-Latn-CS"/>
              </w:rPr>
            </w:pPr>
            <w:r w:rsidRPr="00DC010A">
              <w:rPr>
                <w:sz w:val="22"/>
                <w:szCs w:val="22"/>
                <w:u w:val="single"/>
                <w:shd w:val="clear" w:color="auto" w:fill="FFFFFF"/>
              </w:rPr>
              <w:t>Subakutni</w:t>
            </w:r>
            <w:r w:rsidRPr="00DC010A">
              <w:rPr>
                <w:sz w:val="22"/>
                <w:szCs w:val="22"/>
                <w:u w:val="single"/>
                <w:shd w:val="clear" w:color="auto" w:fill="FFFFFF"/>
                <w:lang w:val="sr-Latn-CS"/>
              </w:rPr>
              <w:t xml:space="preserve"> </w:t>
            </w:r>
            <w:r w:rsidRPr="00DC010A">
              <w:rPr>
                <w:sz w:val="22"/>
                <w:szCs w:val="22"/>
                <w:u w:val="single"/>
                <w:shd w:val="clear" w:color="auto" w:fill="FFFFFF"/>
              </w:rPr>
              <w:t>ko</w:t>
            </w:r>
            <w:r w:rsidRPr="00DC010A">
              <w:rPr>
                <w:sz w:val="22"/>
                <w:szCs w:val="22"/>
                <w:u w:val="single"/>
                <w:shd w:val="clear" w:color="auto" w:fill="FFFFFF"/>
                <w:lang w:val="sr-Latn-CS"/>
              </w:rPr>
              <w:t>ž</w:t>
            </w:r>
            <w:r w:rsidRPr="00DC010A">
              <w:rPr>
                <w:sz w:val="22"/>
                <w:szCs w:val="22"/>
                <w:u w:val="single"/>
                <w:shd w:val="clear" w:color="auto" w:fill="FFFFFF"/>
              </w:rPr>
              <w:t>ni</w:t>
            </w:r>
            <w:r w:rsidRPr="00DC010A">
              <w:rPr>
                <w:sz w:val="22"/>
                <w:szCs w:val="22"/>
                <w:u w:val="single"/>
                <w:shd w:val="clear" w:color="auto" w:fill="FFFFFF"/>
                <w:lang w:val="sr-Latn-CS"/>
              </w:rPr>
              <w:t xml:space="preserve"> </w:t>
            </w:r>
            <w:r w:rsidRPr="00DC010A">
              <w:rPr>
                <w:sz w:val="22"/>
                <w:szCs w:val="22"/>
                <w:u w:val="single"/>
                <w:shd w:val="clear" w:color="auto" w:fill="FFFFFF"/>
              </w:rPr>
              <w:t>lupus</w:t>
            </w:r>
            <w:r w:rsidRPr="00DC010A">
              <w:rPr>
                <w:sz w:val="22"/>
                <w:szCs w:val="22"/>
                <w:u w:val="single"/>
                <w:shd w:val="clear" w:color="auto" w:fill="FFFFFF"/>
                <w:lang w:val="sr-Latn-CS"/>
              </w:rPr>
              <w:t xml:space="preserve"> </w:t>
            </w:r>
            <w:r w:rsidRPr="00DC010A">
              <w:rPr>
                <w:sz w:val="22"/>
                <w:szCs w:val="22"/>
                <w:u w:val="single"/>
                <w:shd w:val="clear" w:color="auto" w:fill="FFFFFF"/>
              </w:rPr>
              <w:t>eritematozus</w:t>
            </w:r>
            <w:r w:rsidRPr="00DC010A">
              <w:rPr>
                <w:sz w:val="22"/>
                <w:szCs w:val="22"/>
                <w:u w:val="single"/>
                <w:shd w:val="clear" w:color="auto" w:fill="FFFFFF"/>
                <w:lang w:val="sr-Latn-CS"/>
              </w:rPr>
              <w:t xml:space="preserve"> (</w:t>
            </w:r>
            <w:r w:rsidRPr="00DC010A">
              <w:rPr>
                <w:sz w:val="22"/>
                <w:szCs w:val="22"/>
                <w:u w:val="single"/>
                <w:shd w:val="clear" w:color="auto" w:fill="FFFFFF"/>
              </w:rPr>
              <w:t>SCLE</w:t>
            </w:r>
            <w:r w:rsidRPr="00DC010A">
              <w:rPr>
                <w:sz w:val="22"/>
                <w:szCs w:val="22"/>
                <w:u w:val="single"/>
                <w:shd w:val="clear" w:color="auto" w:fill="FFFFFF"/>
                <w:lang w:val="sr-Latn-CS"/>
              </w:rPr>
              <w:t>)</w:t>
            </w:r>
            <w:r w:rsidRPr="00DC010A">
              <w:rPr>
                <w:sz w:val="22"/>
                <w:szCs w:val="22"/>
                <w:shd w:val="clear" w:color="auto" w:fill="FFFFFF"/>
                <w:lang w:val="sr-Latn-CS"/>
              </w:rPr>
              <w:t xml:space="preserve"> </w:t>
            </w:r>
          </w:p>
          <w:p w:rsidR="008E31D0" w:rsidRPr="00DC010A" w:rsidRDefault="008E31D0" w:rsidP="008E31D0">
            <w:pPr>
              <w:pStyle w:val="NoSpacing"/>
              <w:rPr>
                <w:sz w:val="23"/>
                <w:szCs w:val="23"/>
                <w:lang w:val="sr-Latn-CS"/>
              </w:rPr>
            </w:pPr>
            <w:r w:rsidRPr="00DC010A">
              <w:rPr>
                <w:sz w:val="22"/>
                <w:szCs w:val="22"/>
                <w:shd w:val="clear" w:color="auto" w:fill="FFFFFF"/>
                <w:lang w:val="it-IT"/>
              </w:rPr>
              <w:t>Inhibitori</w:t>
            </w:r>
            <w:r w:rsidRPr="00DC010A">
              <w:rPr>
                <w:sz w:val="22"/>
                <w:szCs w:val="22"/>
                <w:shd w:val="clear" w:color="auto" w:fill="FFFFFF"/>
                <w:lang w:val="sr-Latn-CS"/>
              </w:rPr>
              <w:t xml:space="preserve"> </w:t>
            </w:r>
            <w:r w:rsidRPr="00DC010A">
              <w:rPr>
                <w:sz w:val="22"/>
                <w:szCs w:val="22"/>
                <w:shd w:val="clear" w:color="auto" w:fill="FFFFFF"/>
                <w:lang w:val="it-IT"/>
              </w:rPr>
              <w:t>protonske</w:t>
            </w:r>
            <w:r w:rsidRPr="00DC010A">
              <w:rPr>
                <w:sz w:val="22"/>
                <w:szCs w:val="22"/>
                <w:shd w:val="clear" w:color="auto" w:fill="FFFFFF"/>
                <w:lang w:val="sr-Latn-CS"/>
              </w:rPr>
              <w:t xml:space="preserve"> </w:t>
            </w:r>
            <w:r w:rsidRPr="00DC010A">
              <w:rPr>
                <w:sz w:val="22"/>
                <w:szCs w:val="22"/>
                <w:shd w:val="clear" w:color="auto" w:fill="FFFFFF"/>
                <w:lang w:val="it-IT"/>
              </w:rPr>
              <w:t>pumpe</w:t>
            </w:r>
            <w:r w:rsidRPr="00DC010A">
              <w:rPr>
                <w:sz w:val="22"/>
                <w:szCs w:val="22"/>
                <w:shd w:val="clear" w:color="auto" w:fill="FFFFFF"/>
                <w:lang w:val="sr-Latn-CS"/>
              </w:rPr>
              <w:t xml:space="preserve"> </w:t>
            </w:r>
            <w:r w:rsidRPr="00DC010A">
              <w:rPr>
                <w:sz w:val="22"/>
                <w:szCs w:val="22"/>
                <w:shd w:val="clear" w:color="auto" w:fill="FFFFFF"/>
                <w:lang w:val="it-IT"/>
              </w:rPr>
              <w:t>su</w:t>
            </w:r>
            <w:r w:rsidRPr="00DC010A">
              <w:rPr>
                <w:sz w:val="22"/>
                <w:szCs w:val="22"/>
                <w:shd w:val="clear" w:color="auto" w:fill="FFFFFF"/>
                <w:lang w:val="sr-Latn-CS"/>
              </w:rPr>
              <w:t xml:space="preserve"> </w:t>
            </w:r>
            <w:r w:rsidRPr="00DC010A">
              <w:rPr>
                <w:sz w:val="22"/>
                <w:szCs w:val="22"/>
                <w:shd w:val="clear" w:color="auto" w:fill="FFFFFF"/>
                <w:lang w:val="it-IT"/>
              </w:rPr>
              <w:t>povezani</w:t>
            </w:r>
            <w:r w:rsidRPr="00DC010A">
              <w:rPr>
                <w:sz w:val="22"/>
                <w:szCs w:val="22"/>
                <w:shd w:val="clear" w:color="auto" w:fill="FFFFFF"/>
                <w:lang w:val="sr-Latn-CS"/>
              </w:rPr>
              <w:t xml:space="preserve"> </w:t>
            </w:r>
            <w:r w:rsidRPr="00DC010A">
              <w:rPr>
                <w:sz w:val="22"/>
                <w:szCs w:val="22"/>
                <w:shd w:val="clear" w:color="auto" w:fill="FFFFFF"/>
                <w:lang w:val="it-IT"/>
              </w:rPr>
              <w:t>sa</w:t>
            </w:r>
            <w:r w:rsidRPr="00DC010A">
              <w:rPr>
                <w:sz w:val="22"/>
                <w:szCs w:val="22"/>
                <w:shd w:val="clear" w:color="auto" w:fill="FFFFFF"/>
                <w:lang w:val="sr-Latn-CS"/>
              </w:rPr>
              <w:t xml:space="preserve"> </w:t>
            </w:r>
            <w:r w:rsidRPr="00DC010A">
              <w:rPr>
                <w:sz w:val="22"/>
                <w:szCs w:val="22"/>
                <w:shd w:val="clear" w:color="auto" w:fill="FFFFFF"/>
                <w:lang w:val="it-IT"/>
              </w:rPr>
              <w:t>vrlo</w:t>
            </w:r>
            <w:r w:rsidRPr="00DC010A">
              <w:rPr>
                <w:sz w:val="22"/>
                <w:szCs w:val="22"/>
                <w:shd w:val="clear" w:color="auto" w:fill="FFFFFF"/>
                <w:lang w:val="sr-Latn-CS"/>
              </w:rPr>
              <w:t xml:space="preserve"> </w:t>
            </w:r>
            <w:r w:rsidRPr="00DC010A">
              <w:rPr>
                <w:sz w:val="22"/>
                <w:szCs w:val="22"/>
                <w:shd w:val="clear" w:color="auto" w:fill="FFFFFF"/>
                <w:lang w:val="it-IT"/>
              </w:rPr>
              <w:t>rijetkim</w:t>
            </w:r>
            <w:r w:rsidRPr="00DC010A">
              <w:rPr>
                <w:sz w:val="22"/>
                <w:szCs w:val="22"/>
                <w:shd w:val="clear" w:color="auto" w:fill="FFFFFF"/>
                <w:lang w:val="sr-Latn-CS"/>
              </w:rPr>
              <w:t xml:space="preserve"> </w:t>
            </w:r>
            <w:r w:rsidRPr="00DC010A">
              <w:rPr>
                <w:sz w:val="22"/>
                <w:szCs w:val="22"/>
                <w:shd w:val="clear" w:color="auto" w:fill="FFFFFF"/>
                <w:lang w:val="it-IT"/>
              </w:rPr>
              <w:t>slu</w:t>
            </w:r>
            <w:r w:rsidRPr="00DC010A">
              <w:rPr>
                <w:sz w:val="22"/>
                <w:szCs w:val="22"/>
                <w:shd w:val="clear" w:color="auto" w:fill="FFFFFF"/>
                <w:lang w:val="sr-Latn-CS"/>
              </w:rPr>
              <w:t>č</w:t>
            </w:r>
            <w:r w:rsidRPr="00DC010A">
              <w:rPr>
                <w:sz w:val="22"/>
                <w:szCs w:val="22"/>
                <w:shd w:val="clear" w:color="auto" w:fill="FFFFFF"/>
                <w:lang w:val="it-IT"/>
              </w:rPr>
              <w:t>ajevima</w:t>
            </w:r>
            <w:r w:rsidRPr="00DC010A">
              <w:rPr>
                <w:sz w:val="22"/>
                <w:szCs w:val="22"/>
                <w:shd w:val="clear" w:color="auto" w:fill="FFFFFF"/>
                <w:lang w:val="sr-Latn-CS"/>
              </w:rPr>
              <w:t xml:space="preserve"> </w:t>
            </w:r>
            <w:r w:rsidRPr="00DC010A">
              <w:rPr>
                <w:sz w:val="22"/>
                <w:szCs w:val="22"/>
                <w:shd w:val="clear" w:color="auto" w:fill="FFFFFF"/>
                <w:lang w:val="it-IT"/>
              </w:rPr>
              <w:t>SCLE</w:t>
            </w:r>
            <w:r w:rsidRPr="00DC010A">
              <w:rPr>
                <w:sz w:val="22"/>
                <w:szCs w:val="22"/>
                <w:shd w:val="clear" w:color="auto" w:fill="FFFFFF"/>
                <w:lang w:val="sr-Latn-CS"/>
              </w:rPr>
              <w:t xml:space="preserve">. </w:t>
            </w:r>
            <w:r w:rsidRPr="00DC010A">
              <w:rPr>
                <w:sz w:val="22"/>
                <w:szCs w:val="22"/>
                <w:shd w:val="clear" w:color="auto" w:fill="FFFFFF"/>
              </w:rPr>
              <w:t>Ako</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pojave</w:t>
            </w:r>
            <w:r w:rsidRPr="00DC010A">
              <w:rPr>
                <w:sz w:val="22"/>
                <w:szCs w:val="22"/>
                <w:shd w:val="clear" w:color="auto" w:fill="FFFFFF"/>
                <w:lang w:val="sr-Latn-CS"/>
              </w:rPr>
              <w:t xml:space="preserve"> </w:t>
            </w:r>
            <w:r w:rsidRPr="00DC010A">
              <w:rPr>
                <w:sz w:val="22"/>
                <w:szCs w:val="22"/>
                <w:shd w:val="clear" w:color="auto" w:fill="FFFFFF"/>
              </w:rPr>
              <w:t>lezije</w:t>
            </w:r>
            <w:r w:rsidRPr="00DC010A">
              <w:rPr>
                <w:sz w:val="22"/>
                <w:szCs w:val="22"/>
                <w:shd w:val="clear" w:color="auto" w:fill="FFFFFF"/>
                <w:lang w:val="sr-Latn-CS"/>
              </w:rPr>
              <w:t xml:space="preserve">, </w:t>
            </w:r>
            <w:r w:rsidRPr="00DC010A">
              <w:rPr>
                <w:sz w:val="22"/>
                <w:szCs w:val="22"/>
                <w:shd w:val="clear" w:color="auto" w:fill="FFFFFF"/>
              </w:rPr>
              <w:t>naro</w:t>
            </w:r>
            <w:r w:rsidRPr="00DC010A">
              <w:rPr>
                <w:sz w:val="22"/>
                <w:szCs w:val="22"/>
                <w:shd w:val="clear" w:color="auto" w:fill="FFFFFF"/>
                <w:lang w:val="sr-Latn-CS"/>
              </w:rPr>
              <w:t>č</w:t>
            </w:r>
            <w:r w:rsidRPr="00DC010A">
              <w:rPr>
                <w:sz w:val="22"/>
                <w:szCs w:val="22"/>
                <w:shd w:val="clear" w:color="auto" w:fill="FFFFFF"/>
              </w:rPr>
              <w:t>ito</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w:t>
            </w:r>
            <w:r w:rsidRPr="00DC010A">
              <w:rPr>
                <w:sz w:val="22"/>
                <w:szCs w:val="22"/>
                <w:shd w:val="clear" w:color="auto" w:fill="FFFFFF"/>
              </w:rPr>
              <w:t>povr</w:t>
            </w:r>
            <w:r w:rsidRPr="00DC010A">
              <w:rPr>
                <w:sz w:val="22"/>
                <w:szCs w:val="22"/>
                <w:shd w:val="clear" w:color="auto" w:fill="FFFFFF"/>
                <w:lang w:val="sr-Latn-CS"/>
              </w:rPr>
              <w:t>š</w:t>
            </w:r>
            <w:r w:rsidRPr="00DC010A">
              <w:rPr>
                <w:sz w:val="22"/>
                <w:szCs w:val="22"/>
                <w:shd w:val="clear" w:color="auto" w:fill="FFFFFF"/>
              </w:rPr>
              <w:t>inama</w:t>
            </w:r>
            <w:r w:rsidRPr="00DC010A">
              <w:rPr>
                <w:sz w:val="22"/>
                <w:szCs w:val="22"/>
                <w:shd w:val="clear" w:color="auto" w:fill="FFFFFF"/>
                <w:lang w:val="sr-Latn-CS"/>
              </w:rPr>
              <w:t xml:space="preserve"> </w:t>
            </w:r>
            <w:r w:rsidRPr="00DC010A">
              <w:rPr>
                <w:sz w:val="22"/>
                <w:szCs w:val="22"/>
                <w:shd w:val="clear" w:color="auto" w:fill="FFFFFF"/>
              </w:rPr>
              <w:t>koje</w:t>
            </w:r>
            <w:r w:rsidRPr="00DC010A">
              <w:rPr>
                <w:sz w:val="22"/>
                <w:szCs w:val="22"/>
                <w:shd w:val="clear" w:color="auto" w:fill="FFFFFF"/>
                <w:lang w:val="sr-Latn-CS"/>
              </w:rPr>
              <w:t xml:space="preserve"> </w:t>
            </w:r>
            <w:r w:rsidRPr="00DC010A">
              <w:rPr>
                <w:sz w:val="22"/>
                <w:szCs w:val="22"/>
                <w:shd w:val="clear" w:color="auto" w:fill="FFFFFF"/>
              </w:rPr>
              <w:t>su</w:t>
            </w:r>
            <w:r w:rsidRPr="00DC010A">
              <w:rPr>
                <w:sz w:val="22"/>
                <w:szCs w:val="22"/>
                <w:shd w:val="clear" w:color="auto" w:fill="FFFFFF"/>
                <w:lang w:val="sr-Latn-CS"/>
              </w:rPr>
              <w:t xml:space="preserve"> </w:t>
            </w:r>
            <w:r w:rsidRPr="00DC010A">
              <w:rPr>
                <w:sz w:val="22"/>
                <w:szCs w:val="22"/>
                <w:shd w:val="clear" w:color="auto" w:fill="FFFFFF"/>
              </w:rPr>
              <w:t>izlo</w:t>
            </w:r>
            <w:r w:rsidRPr="00DC010A">
              <w:rPr>
                <w:sz w:val="22"/>
                <w:szCs w:val="22"/>
                <w:shd w:val="clear" w:color="auto" w:fill="FFFFFF"/>
                <w:lang w:val="sr-Latn-CS"/>
              </w:rPr>
              <w:t>ž</w:t>
            </w:r>
            <w:r w:rsidRPr="00DC010A">
              <w:rPr>
                <w:sz w:val="22"/>
                <w:szCs w:val="22"/>
                <w:shd w:val="clear" w:color="auto" w:fill="FFFFFF"/>
              </w:rPr>
              <w:t>ene</w:t>
            </w:r>
            <w:r w:rsidRPr="00DC010A">
              <w:rPr>
                <w:sz w:val="22"/>
                <w:szCs w:val="22"/>
                <w:shd w:val="clear" w:color="auto" w:fill="FFFFFF"/>
                <w:lang w:val="sr-Latn-CS"/>
              </w:rPr>
              <w:t xml:space="preserve"> </w:t>
            </w:r>
            <w:r w:rsidRPr="00DC010A">
              <w:rPr>
                <w:sz w:val="22"/>
                <w:szCs w:val="22"/>
                <w:shd w:val="clear" w:color="auto" w:fill="FFFFFF"/>
              </w:rPr>
              <w:t>suncu</w:t>
            </w:r>
            <w:r w:rsidRPr="00DC010A">
              <w:rPr>
                <w:sz w:val="22"/>
                <w:szCs w:val="22"/>
                <w:shd w:val="clear" w:color="auto" w:fill="FFFFFF"/>
                <w:lang w:val="sr-Latn-CS"/>
              </w:rPr>
              <w:t xml:space="preserve">, </w:t>
            </w:r>
            <w:r w:rsidRPr="00DC010A">
              <w:rPr>
                <w:sz w:val="22"/>
                <w:szCs w:val="22"/>
                <w:shd w:val="clear" w:color="auto" w:fill="FFFFFF"/>
              </w:rPr>
              <w:t>a</w:t>
            </w:r>
            <w:r w:rsidRPr="00DC010A">
              <w:rPr>
                <w:sz w:val="22"/>
                <w:szCs w:val="22"/>
                <w:shd w:val="clear" w:color="auto" w:fill="FFFFFF"/>
                <w:lang w:val="sr-Latn-CS"/>
              </w:rPr>
              <w:t xml:space="preserve"> </w:t>
            </w:r>
            <w:r w:rsidRPr="00DC010A">
              <w:rPr>
                <w:sz w:val="22"/>
                <w:szCs w:val="22"/>
                <w:shd w:val="clear" w:color="auto" w:fill="FFFFFF"/>
              </w:rPr>
              <w:t>ako</w:t>
            </w:r>
            <w:r w:rsidRPr="00DC010A">
              <w:rPr>
                <w:sz w:val="22"/>
                <w:szCs w:val="22"/>
                <w:shd w:val="clear" w:color="auto" w:fill="FFFFFF"/>
                <w:lang w:val="sr-Latn-CS"/>
              </w:rPr>
              <w:t xml:space="preserve"> </w:t>
            </w:r>
            <w:r w:rsidRPr="00DC010A">
              <w:rPr>
                <w:sz w:val="22"/>
                <w:szCs w:val="22"/>
                <w:shd w:val="clear" w:color="auto" w:fill="FFFFFF"/>
              </w:rPr>
              <w:t>su</w:t>
            </w:r>
            <w:r w:rsidRPr="00DC010A">
              <w:rPr>
                <w:sz w:val="22"/>
                <w:szCs w:val="22"/>
                <w:shd w:val="clear" w:color="auto" w:fill="FFFFFF"/>
                <w:lang w:val="sr-Latn-CS"/>
              </w:rPr>
              <w:t xml:space="preserve"> </w:t>
            </w:r>
            <w:r w:rsidRPr="00DC010A">
              <w:rPr>
                <w:sz w:val="22"/>
                <w:szCs w:val="22"/>
                <w:shd w:val="clear" w:color="auto" w:fill="FFFFFF"/>
              </w:rPr>
              <w:t>pra</w:t>
            </w:r>
            <w:r w:rsidRPr="00DC010A">
              <w:rPr>
                <w:sz w:val="22"/>
                <w:szCs w:val="22"/>
                <w:shd w:val="clear" w:color="auto" w:fill="FFFFFF"/>
                <w:lang w:val="sr-Latn-CS"/>
              </w:rPr>
              <w:t>ć</w:t>
            </w:r>
            <w:r w:rsidRPr="00DC010A">
              <w:rPr>
                <w:sz w:val="22"/>
                <w:szCs w:val="22"/>
                <w:shd w:val="clear" w:color="auto" w:fill="FFFFFF"/>
              </w:rPr>
              <w:t>ene</w:t>
            </w:r>
            <w:r w:rsidRPr="00DC010A">
              <w:rPr>
                <w:sz w:val="22"/>
                <w:szCs w:val="22"/>
                <w:shd w:val="clear" w:color="auto" w:fill="FFFFFF"/>
                <w:lang w:val="sr-Latn-CS"/>
              </w:rPr>
              <w:t xml:space="preserve"> </w:t>
            </w:r>
            <w:r w:rsidRPr="00DC010A">
              <w:rPr>
                <w:sz w:val="22"/>
                <w:szCs w:val="22"/>
                <w:shd w:val="clear" w:color="auto" w:fill="FFFFFF"/>
              </w:rPr>
              <w:t>artralgijom</w:t>
            </w:r>
            <w:r w:rsidRPr="00DC010A">
              <w:rPr>
                <w:sz w:val="22"/>
                <w:szCs w:val="22"/>
                <w:shd w:val="clear" w:color="auto" w:fill="FFFFFF"/>
                <w:lang w:val="sr-Latn-CS"/>
              </w:rPr>
              <w:t xml:space="preserve">, </w:t>
            </w:r>
            <w:r w:rsidRPr="00DC010A">
              <w:rPr>
                <w:sz w:val="22"/>
                <w:szCs w:val="22"/>
                <w:shd w:val="clear" w:color="auto" w:fill="FFFFFF"/>
              </w:rPr>
              <w:t>pacijent</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odmah</w:t>
            </w:r>
            <w:r w:rsidRPr="00DC010A">
              <w:rPr>
                <w:sz w:val="22"/>
                <w:szCs w:val="22"/>
                <w:shd w:val="clear" w:color="auto" w:fill="FFFFFF"/>
                <w:lang w:val="sr-Latn-CS"/>
              </w:rPr>
              <w:t xml:space="preserve"> </w:t>
            </w:r>
            <w:r w:rsidRPr="00DC010A">
              <w:rPr>
                <w:sz w:val="22"/>
                <w:szCs w:val="22"/>
                <w:shd w:val="clear" w:color="auto" w:fill="FFFFFF"/>
              </w:rPr>
              <w:t>da</w:t>
            </w:r>
            <w:r w:rsidRPr="00DC010A">
              <w:rPr>
                <w:sz w:val="22"/>
                <w:szCs w:val="22"/>
                <w:shd w:val="clear" w:color="auto" w:fill="FFFFFF"/>
                <w:lang w:val="sr-Latn-CS"/>
              </w:rPr>
              <w:t xml:space="preserve"> </w:t>
            </w:r>
            <w:r w:rsidRPr="00DC010A">
              <w:rPr>
                <w:sz w:val="22"/>
                <w:szCs w:val="22"/>
                <w:shd w:val="clear" w:color="auto" w:fill="FFFFFF"/>
              </w:rPr>
              <w:t>zatra</w:t>
            </w:r>
            <w:r w:rsidRPr="00DC010A">
              <w:rPr>
                <w:sz w:val="22"/>
                <w:szCs w:val="22"/>
                <w:shd w:val="clear" w:color="auto" w:fill="FFFFFF"/>
                <w:lang w:val="sr-Latn-CS"/>
              </w:rPr>
              <w:t>ž</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medicinsku</w:t>
            </w:r>
            <w:r w:rsidRPr="00DC010A">
              <w:rPr>
                <w:sz w:val="22"/>
                <w:szCs w:val="22"/>
                <w:shd w:val="clear" w:color="auto" w:fill="FFFFFF"/>
                <w:lang w:val="sr-Latn-CS"/>
              </w:rPr>
              <w:t xml:space="preserve"> </w:t>
            </w:r>
            <w:r w:rsidRPr="00DC010A">
              <w:rPr>
                <w:sz w:val="22"/>
                <w:szCs w:val="22"/>
                <w:shd w:val="clear" w:color="auto" w:fill="FFFFFF"/>
              </w:rPr>
              <w:lastRenderedPageBreak/>
              <w:t>pomoc</w:t>
            </w:r>
            <w:r w:rsidRPr="00DC010A">
              <w:rPr>
                <w:sz w:val="22"/>
                <w:szCs w:val="22"/>
                <w:shd w:val="clear" w:color="auto" w:fill="FFFFFF"/>
                <w:lang w:val="sr-Latn-CS"/>
              </w:rPr>
              <w:t xml:space="preserve">́, </w:t>
            </w:r>
            <w:r w:rsidRPr="00DC010A">
              <w:rPr>
                <w:sz w:val="22"/>
                <w:szCs w:val="22"/>
                <w:shd w:val="clear" w:color="auto" w:fill="FFFFFF"/>
              </w:rPr>
              <w:t>a</w:t>
            </w:r>
            <w:r w:rsidRPr="00DC010A">
              <w:rPr>
                <w:sz w:val="22"/>
                <w:szCs w:val="22"/>
                <w:shd w:val="clear" w:color="auto" w:fill="FFFFFF"/>
                <w:lang w:val="sr-Latn-CS"/>
              </w:rPr>
              <w:t xml:space="preserve"> </w:t>
            </w:r>
            <w:r w:rsidRPr="00DC010A">
              <w:rPr>
                <w:sz w:val="22"/>
                <w:szCs w:val="22"/>
                <w:shd w:val="clear" w:color="auto" w:fill="FFFFFF"/>
              </w:rPr>
              <w:t>zdravstveni</w:t>
            </w:r>
            <w:r w:rsidRPr="00DC010A">
              <w:rPr>
                <w:sz w:val="22"/>
                <w:szCs w:val="22"/>
                <w:shd w:val="clear" w:color="auto" w:fill="FFFFFF"/>
                <w:lang w:val="sr-Latn-CS"/>
              </w:rPr>
              <w:t xml:space="preserve"> </w:t>
            </w:r>
            <w:r w:rsidRPr="00DC010A">
              <w:rPr>
                <w:sz w:val="22"/>
                <w:szCs w:val="22"/>
                <w:shd w:val="clear" w:color="auto" w:fill="FFFFFF"/>
              </w:rPr>
              <w:t>radnik</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da</w:t>
            </w:r>
            <w:r w:rsidRPr="00DC010A">
              <w:rPr>
                <w:sz w:val="22"/>
                <w:szCs w:val="22"/>
                <w:shd w:val="clear" w:color="auto" w:fill="FFFFFF"/>
                <w:lang w:val="sr-Latn-CS"/>
              </w:rPr>
              <w:t xml:space="preserve"> </w:t>
            </w:r>
            <w:r w:rsidRPr="00DC010A">
              <w:rPr>
                <w:sz w:val="22"/>
                <w:szCs w:val="22"/>
                <w:shd w:val="clear" w:color="auto" w:fill="FFFFFF"/>
              </w:rPr>
              <w:t>razmotri</w:t>
            </w:r>
            <w:r w:rsidRPr="00DC010A">
              <w:rPr>
                <w:sz w:val="22"/>
                <w:szCs w:val="22"/>
                <w:shd w:val="clear" w:color="auto" w:fill="FFFFFF"/>
                <w:lang w:val="sr-Latn-CS"/>
              </w:rPr>
              <w:t xml:space="preserve"> </w:t>
            </w:r>
            <w:r w:rsidRPr="00DC010A">
              <w:rPr>
                <w:sz w:val="22"/>
                <w:szCs w:val="22"/>
                <w:shd w:val="clear" w:color="auto" w:fill="FFFFFF"/>
              </w:rPr>
              <w:t>prekid</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enja</w:t>
            </w:r>
            <w:r w:rsidRPr="00DC010A">
              <w:rPr>
                <w:sz w:val="22"/>
                <w:szCs w:val="22"/>
                <w:shd w:val="clear" w:color="auto" w:fill="FFFFFF"/>
                <w:lang w:val="sr-Latn-CS"/>
              </w:rPr>
              <w:t xml:space="preserve"> </w:t>
            </w:r>
            <w:r w:rsidRPr="00DC010A">
              <w:rPr>
                <w:sz w:val="22"/>
                <w:szCs w:val="22"/>
                <w:shd w:val="clear" w:color="auto" w:fill="FFFFFF"/>
              </w:rPr>
              <w:t>lijekom</w:t>
            </w:r>
            <w:r w:rsidRPr="00DC010A">
              <w:rPr>
                <w:sz w:val="22"/>
                <w:szCs w:val="22"/>
                <w:shd w:val="clear" w:color="auto" w:fill="FFFFFF"/>
                <w:lang w:val="sr-Latn-CS"/>
              </w:rPr>
              <w:t xml:space="preserve"> </w:t>
            </w:r>
            <w:r w:rsidRPr="00DC010A">
              <w:rPr>
                <w:sz w:val="22"/>
                <w:szCs w:val="22"/>
                <w:shd w:val="clear" w:color="auto" w:fill="FFFFFF"/>
              </w:rPr>
              <w:t>Ortanol</w:t>
            </w:r>
            <w:r w:rsidRPr="00DC010A">
              <w:rPr>
                <w:sz w:val="22"/>
                <w:szCs w:val="22"/>
                <w:shd w:val="clear" w:color="auto" w:fill="FFFFFF"/>
                <w:lang w:val="sr-Latn-CS"/>
              </w:rPr>
              <w:t xml:space="preserve">. </w:t>
            </w:r>
            <w:r w:rsidRPr="00DC010A">
              <w:rPr>
                <w:sz w:val="22"/>
                <w:szCs w:val="22"/>
                <w:shd w:val="clear" w:color="auto" w:fill="FFFFFF"/>
              </w:rPr>
              <w:t>Ako</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nakon</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enja</w:t>
            </w:r>
            <w:r w:rsidRPr="00DC010A">
              <w:rPr>
                <w:sz w:val="22"/>
                <w:szCs w:val="22"/>
                <w:shd w:val="clear" w:color="auto" w:fill="FFFFFF"/>
                <w:lang w:val="sr-Latn-CS"/>
              </w:rPr>
              <w:t xml:space="preserve"> </w:t>
            </w:r>
            <w:r w:rsidRPr="00DC010A">
              <w:rPr>
                <w:sz w:val="22"/>
                <w:szCs w:val="22"/>
                <w:shd w:val="clear" w:color="auto" w:fill="FFFFFF"/>
              </w:rPr>
              <w:t>inhibitorom</w:t>
            </w:r>
            <w:r w:rsidRPr="00DC010A">
              <w:rPr>
                <w:sz w:val="22"/>
                <w:szCs w:val="22"/>
                <w:shd w:val="clear" w:color="auto" w:fill="FFFFFF"/>
                <w:lang w:val="sr-Latn-CS"/>
              </w:rPr>
              <w:t xml:space="preserve"> </w:t>
            </w:r>
            <w:r w:rsidRPr="00DC010A">
              <w:rPr>
                <w:sz w:val="22"/>
                <w:szCs w:val="22"/>
                <w:shd w:val="clear" w:color="auto" w:fill="FFFFFF"/>
              </w:rPr>
              <w:t>protonske</w:t>
            </w:r>
            <w:r w:rsidRPr="00DC010A">
              <w:rPr>
                <w:sz w:val="22"/>
                <w:szCs w:val="22"/>
                <w:shd w:val="clear" w:color="auto" w:fill="FFFFFF"/>
                <w:lang w:val="sr-Latn-CS"/>
              </w:rPr>
              <w:t xml:space="preserve"> </w:t>
            </w:r>
            <w:r w:rsidRPr="00DC010A">
              <w:rPr>
                <w:sz w:val="22"/>
                <w:szCs w:val="22"/>
                <w:shd w:val="clear" w:color="auto" w:fill="FFFFFF"/>
              </w:rPr>
              <w:t>pumpe</w:t>
            </w:r>
            <w:r w:rsidRPr="00DC010A">
              <w:rPr>
                <w:sz w:val="22"/>
                <w:szCs w:val="22"/>
                <w:shd w:val="clear" w:color="auto" w:fill="FFFFFF"/>
                <w:lang w:val="sr-Latn-CS"/>
              </w:rPr>
              <w:t xml:space="preserve"> </w:t>
            </w:r>
            <w:r w:rsidRPr="00DC010A">
              <w:rPr>
                <w:sz w:val="22"/>
                <w:szCs w:val="22"/>
                <w:shd w:val="clear" w:color="auto" w:fill="FFFFFF"/>
              </w:rPr>
              <w:t>javi</w:t>
            </w:r>
            <w:r w:rsidRPr="00DC010A">
              <w:rPr>
                <w:sz w:val="22"/>
                <w:szCs w:val="22"/>
                <w:shd w:val="clear" w:color="auto" w:fill="FFFFFF"/>
                <w:lang w:val="sr-Latn-CS"/>
              </w:rPr>
              <w:t xml:space="preserve"> </w:t>
            </w:r>
            <w:r w:rsidRPr="00DC010A">
              <w:rPr>
                <w:sz w:val="22"/>
                <w:szCs w:val="22"/>
                <w:shd w:val="clear" w:color="auto" w:fill="FFFFFF"/>
              </w:rPr>
              <w:t>SCLE</w:t>
            </w:r>
            <w:r w:rsidRPr="00DC010A">
              <w:rPr>
                <w:sz w:val="22"/>
                <w:szCs w:val="22"/>
                <w:shd w:val="clear" w:color="auto" w:fill="FFFFFF"/>
                <w:lang w:val="sr-Latn-CS"/>
              </w:rPr>
              <w:t xml:space="preserve">, </w:t>
            </w:r>
            <w:r w:rsidRPr="00DC010A">
              <w:rPr>
                <w:sz w:val="22"/>
                <w:szCs w:val="22"/>
                <w:shd w:val="clear" w:color="auto" w:fill="FFFFFF"/>
              </w:rPr>
              <w:t>rizik</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w:t>
            </w:r>
            <w:r w:rsidRPr="00DC010A">
              <w:rPr>
                <w:sz w:val="22"/>
                <w:szCs w:val="22"/>
                <w:shd w:val="clear" w:color="auto" w:fill="FFFFFF"/>
              </w:rPr>
              <w:t>pojave</w:t>
            </w:r>
            <w:r w:rsidRPr="00DC010A">
              <w:rPr>
                <w:sz w:val="22"/>
                <w:szCs w:val="22"/>
                <w:shd w:val="clear" w:color="auto" w:fill="FFFFFF"/>
                <w:lang w:val="sr-Latn-CS"/>
              </w:rPr>
              <w:t xml:space="preserve"> </w:t>
            </w:r>
            <w:r w:rsidRPr="00DC010A">
              <w:rPr>
                <w:sz w:val="22"/>
                <w:szCs w:val="22"/>
                <w:shd w:val="clear" w:color="auto" w:fill="FFFFFF"/>
              </w:rPr>
              <w:t>SCLE</w:t>
            </w:r>
            <w:r w:rsidRPr="00DC010A">
              <w:rPr>
                <w:sz w:val="22"/>
                <w:szCs w:val="22"/>
                <w:shd w:val="clear" w:color="auto" w:fill="FFFFFF"/>
                <w:lang w:val="sr-Latn-CS"/>
              </w:rPr>
              <w:t>-</w:t>
            </w:r>
            <w:r w:rsidRPr="00DC010A">
              <w:rPr>
                <w:sz w:val="22"/>
                <w:szCs w:val="22"/>
                <w:shd w:val="clear" w:color="auto" w:fill="FFFFFF"/>
              </w:rPr>
              <w:t>a</w:t>
            </w:r>
            <w:r w:rsidRPr="00DC010A">
              <w:rPr>
                <w:sz w:val="22"/>
                <w:szCs w:val="22"/>
                <w:shd w:val="clear" w:color="auto" w:fill="FFFFFF"/>
                <w:lang w:val="sr-Latn-CS"/>
              </w:rPr>
              <w:t xml:space="preserve"> </w:t>
            </w:r>
            <w:r w:rsidRPr="00DC010A">
              <w:rPr>
                <w:sz w:val="22"/>
                <w:szCs w:val="22"/>
                <w:shd w:val="clear" w:color="auto" w:fill="FFFFFF"/>
              </w:rPr>
              <w:t>ve</w:t>
            </w:r>
            <w:r w:rsidRPr="00DC010A">
              <w:rPr>
                <w:sz w:val="22"/>
                <w:szCs w:val="22"/>
                <w:shd w:val="clear" w:color="auto" w:fill="FFFFFF"/>
                <w:lang w:val="sr-Latn-CS"/>
              </w:rPr>
              <w:t>ć</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tokom</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enja</w:t>
            </w:r>
            <w:r w:rsidRPr="00DC010A">
              <w:rPr>
                <w:sz w:val="22"/>
                <w:szCs w:val="22"/>
                <w:shd w:val="clear" w:color="auto" w:fill="FFFFFF"/>
                <w:lang w:val="sr-Latn-CS"/>
              </w:rPr>
              <w:t xml:space="preserve"> </w:t>
            </w:r>
            <w:r w:rsidRPr="00DC010A">
              <w:rPr>
                <w:sz w:val="22"/>
                <w:szCs w:val="22"/>
                <w:shd w:val="clear" w:color="auto" w:fill="FFFFFF"/>
              </w:rPr>
              <w:t>drugim</w:t>
            </w:r>
            <w:r w:rsidRPr="00DC010A">
              <w:rPr>
                <w:sz w:val="22"/>
                <w:szCs w:val="22"/>
                <w:shd w:val="clear" w:color="auto" w:fill="FFFFFF"/>
                <w:lang w:val="sr-Latn-CS"/>
              </w:rPr>
              <w:t xml:space="preserve"> </w:t>
            </w:r>
            <w:r w:rsidRPr="00DC010A">
              <w:rPr>
                <w:sz w:val="22"/>
                <w:szCs w:val="22"/>
                <w:shd w:val="clear" w:color="auto" w:fill="FFFFFF"/>
              </w:rPr>
              <w:t>inhibitorom</w:t>
            </w:r>
            <w:r w:rsidRPr="00DC010A">
              <w:rPr>
                <w:sz w:val="22"/>
                <w:szCs w:val="22"/>
                <w:shd w:val="clear" w:color="auto" w:fill="FFFFFF"/>
                <w:lang w:val="sr-Latn-CS"/>
              </w:rPr>
              <w:t xml:space="preserve"> </w:t>
            </w:r>
            <w:r w:rsidRPr="00DC010A">
              <w:rPr>
                <w:sz w:val="22"/>
                <w:szCs w:val="22"/>
                <w:shd w:val="clear" w:color="auto" w:fill="FFFFFF"/>
              </w:rPr>
              <w:t>protonske</w:t>
            </w:r>
            <w:r w:rsidRPr="00DC010A">
              <w:rPr>
                <w:sz w:val="22"/>
                <w:szCs w:val="22"/>
                <w:shd w:val="clear" w:color="auto" w:fill="FFFFFF"/>
                <w:lang w:val="sr-Latn-CS"/>
              </w:rPr>
              <w:t xml:space="preserve"> </w:t>
            </w:r>
            <w:r w:rsidRPr="00DC010A">
              <w:rPr>
                <w:sz w:val="22"/>
                <w:szCs w:val="22"/>
                <w:shd w:val="clear" w:color="auto" w:fill="FFFFFF"/>
              </w:rPr>
              <w:t>pumpe</w:t>
            </w:r>
            <w:r w:rsidRPr="00DC010A">
              <w:rPr>
                <w:sz w:val="22"/>
                <w:szCs w:val="22"/>
                <w:shd w:val="clear" w:color="auto" w:fill="FFFFFF"/>
                <w:lang w:val="sr-Latn-CS"/>
              </w:rPr>
              <w:t>.</w:t>
            </w:r>
            <w:r w:rsidRPr="00DC010A">
              <w:rPr>
                <w:sz w:val="23"/>
                <w:szCs w:val="23"/>
                <w:lang w:val="sr-Latn-CS"/>
              </w:rPr>
              <w:t xml:space="preserve"> </w:t>
            </w:r>
          </w:p>
          <w:p w:rsidR="008E31D0" w:rsidRPr="00DC010A" w:rsidRDefault="008E31D0" w:rsidP="008E31D0">
            <w:pPr>
              <w:pStyle w:val="NoSpacing"/>
              <w:rPr>
                <w:sz w:val="23"/>
                <w:szCs w:val="23"/>
                <w:lang w:val="sr-Latn-CS"/>
              </w:rPr>
            </w:pPr>
          </w:p>
          <w:p w:rsidR="008E31D0" w:rsidRPr="00DC010A" w:rsidRDefault="008E31D0" w:rsidP="008E31D0">
            <w:pPr>
              <w:pStyle w:val="NoSpacing"/>
              <w:rPr>
                <w:sz w:val="22"/>
                <w:szCs w:val="22"/>
                <w:shd w:val="clear" w:color="auto" w:fill="FFFFFF"/>
                <w:lang w:val="sr-Latn-CS"/>
              </w:rPr>
            </w:pPr>
            <w:r w:rsidRPr="00DC010A">
              <w:rPr>
                <w:sz w:val="22"/>
                <w:szCs w:val="22"/>
                <w:u w:val="single"/>
                <w:shd w:val="clear" w:color="auto" w:fill="FFFFFF"/>
              </w:rPr>
              <w:t>Interferencija</w:t>
            </w:r>
            <w:r w:rsidRPr="00DC010A">
              <w:rPr>
                <w:sz w:val="22"/>
                <w:szCs w:val="22"/>
                <w:u w:val="single"/>
                <w:shd w:val="clear" w:color="auto" w:fill="FFFFFF"/>
                <w:lang w:val="sr-Latn-CS"/>
              </w:rPr>
              <w:t xml:space="preserve"> </w:t>
            </w:r>
            <w:r w:rsidRPr="00DC010A">
              <w:rPr>
                <w:sz w:val="22"/>
                <w:szCs w:val="22"/>
                <w:u w:val="single"/>
                <w:shd w:val="clear" w:color="auto" w:fill="FFFFFF"/>
              </w:rPr>
              <w:t>sa</w:t>
            </w:r>
            <w:r w:rsidRPr="00DC010A">
              <w:rPr>
                <w:sz w:val="22"/>
                <w:szCs w:val="22"/>
                <w:u w:val="single"/>
                <w:shd w:val="clear" w:color="auto" w:fill="FFFFFF"/>
                <w:lang w:val="sr-Latn-CS"/>
              </w:rPr>
              <w:t xml:space="preserve"> </w:t>
            </w:r>
            <w:r w:rsidRPr="00DC010A">
              <w:rPr>
                <w:sz w:val="22"/>
                <w:szCs w:val="22"/>
                <w:u w:val="single"/>
                <w:shd w:val="clear" w:color="auto" w:fill="FFFFFF"/>
              </w:rPr>
              <w:t>laboratorijskim</w:t>
            </w:r>
            <w:r w:rsidRPr="00DC010A">
              <w:rPr>
                <w:sz w:val="22"/>
                <w:szCs w:val="22"/>
                <w:u w:val="single"/>
                <w:shd w:val="clear" w:color="auto" w:fill="FFFFFF"/>
                <w:lang w:val="sr-Latn-CS"/>
              </w:rPr>
              <w:t xml:space="preserve"> </w:t>
            </w:r>
            <w:r w:rsidRPr="00DC010A">
              <w:rPr>
                <w:sz w:val="22"/>
                <w:szCs w:val="22"/>
                <w:u w:val="single"/>
                <w:shd w:val="clear" w:color="auto" w:fill="FFFFFF"/>
              </w:rPr>
              <w:t>testovima</w:t>
            </w:r>
            <w:r w:rsidRPr="00DC010A">
              <w:rPr>
                <w:sz w:val="22"/>
                <w:szCs w:val="22"/>
                <w:shd w:val="clear" w:color="auto" w:fill="FFFFFF"/>
                <w:lang w:val="sr-Latn-CS"/>
              </w:rPr>
              <w:t xml:space="preserve"> </w:t>
            </w:r>
          </w:p>
          <w:p w:rsidR="008E31D0" w:rsidRPr="00DC010A" w:rsidRDefault="008E31D0" w:rsidP="008E31D0">
            <w:pPr>
              <w:pStyle w:val="NoSpacing"/>
              <w:rPr>
                <w:sz w:val="22"/>
                <w:szCs w:val="22"/>
                <w:shd w:val="clear" w:color="auto" w:fill="FFFFFF"/>
                <w:lang w:val="sr-Latn-CS"/>
              </w:rPr>
            </w:pPr>
            <w:r w:rsidRPr="00DC010A">
              <w:rPr>
                <w:sz w:val="22"/>
                <w:szCs w:val="22"/>
                <w:shd w:val="clear" w:color="auto" w:fill="FFFFFF"/>
              </w:rPr>
              <w:t>Povec</w:t>
            </w:r>
            <w:r w:rsidRPr="00DC010A">
              <w:rPr>
                <w:sz w:val="22"/>
                <w:szCs w:val="22"/>
                <w:shd w:val="clear" w:color="auto" w:fill="FFFFFF"/>
                <w:lang w:val="sr-Latn-CS"/>
              </w:rPr>
              <w:t>́</w:t>
            </w:r>
            <w:r w:rsidRPr="00DC010A">
              <w:rPr>
                <w:sz w:val="22"/>
                <w:szCs w:val="22"/>
                <w:shd w:val="clear" w:color="auto" w:fill="FFFFFF"/>
              </w:rPr>
              <w:t>ani</w:t>
            </w:r>
            <w:r w:rsidRPr="00DC010A">
              <w:rPr>
                <w:sz w:val="22"/>
                <w:szCs w:val="22"/>
                <w:shd w:val="clear" w:color="auto" w:fill="FFFFFF"/>
                <w:lang w:val="sr-Latn-CS"/>
              </w:rPr>
              <w:t xml:space="preserve"> </w:t>
            </w:r>
            <w:r w:rsidRPr="00DC010A">
              <w:rPr>
                <w:sz w:val="22"/>
                <w:szCs w:val="22"/>
                <w:shd w:val="clear" w:color="auto" w:fill="FFFFFF"/>
              </w:rPr>
              <w:t>nivo</w:t>
            </w:r>
            <w:r w:rsidRPr="00DC010A">
              <w:rPr>
                <w:sz w:val="22"/>
                <w:szCs w:val="22"/>
                <w:shd w:val="clear" w:color="auto" w:fill="FFFFFF"/>
                <w:lang w:val="sr-Latn-CS"/>
              </w:rPr>
              <w:t xml:space="preserve"> </w:t>
            </w:r>
            <w:r w:rsidRPr="00DC010A">
              <w:rPr>
                <w:sz w:val="22"/>
                <w:szCs w:val="22"/>
                <w:shd w:val="clear" w:color="auto" w:fill="FFFFFF"/>
              </w:rPr>
              <w:t>hromogranina</w:t>
            </w:r>
            <w:r w:rsidRPr="00DC010A">
              <w:rPr>
                <w:sz w:val="22"/>
                <w:szCs w:val="22"/>
                <w:shd w:val="clear" w:color="auto" w:fill="FFFFFF"/>
                <w:lang w:val="sr-Latn-CS"/>
              </w:rPr>
              <w:t xml:space="preserve"> </w:t>
            </w:r>
            <w:r w:rsidRPr="00DC010A">
              <w:rPr>
                <w:sz w:val="22"/>
                <w:szCs w:val="22"/>
                <w:shd w:val="clear" w:color="auto" w:fill="FFFFFF"/>
              </w:rPr>
              <w:t>A</w:t>
            </w:r>
            <w:r w:rsidRPr="00DC010A">
              <w:rPr>
                <w:sz w:val="22"/>
                <w:szCs w:val="22"/>
                <w:shd w:val="clear" w:color="auto" w:fill="FFFFFF"/>
                <w:lang w:val="sr-Latn-CS"/>
              </w:rPr>
              <w:t xml:space="preserve"> (</w:t>
            </w:r>
            <w:r w:rsidRPr="00DC010A">
              <w:rPr>
                <w:sz w:val="22"/>
                <w:szCs w:val="22"/>
                <w:shd w:val="clear" w:color="auto" w:fill="FFFFFF"/>
              </w:rPr>
              <w:t>CgA</w:t>
            </w:r>
            <w:r w:rsidRPr="00DC010A">
              <w:rPr>
                <w:sz w:val="22"/>
                <w:szCs w:val="22"/>
                <w:shd w:val="clear" w:color="auto" w:fill="FFFFFF"/>
                <w:lang w:val="sr-Latn-CS"/>
              </w:rPr>
              <w:t xml:space="preserve">) </w:t>
            </w:r>
            <w:r w:rsidRPr="00DC010A">
              <w:rPr>
                <w:sz w:val="22"/>
                <w:szCs w:val="22"/>
                <w:shd w:val="clear" w:color="auto" w:fill="FFFFFF"/>
              </w:rPr>
              <w:t>mo</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ometati</w:t>
            </w:r>
            <w:r w:rsidRPr="00DC010A">
              <w:rPr>
                <w:sz w:val="22"/>
                <w:szCs w:val="22"/>
                <w:shd w:val="clear" w:color="auto" w:fill="FFFFFF"/>
                <w:lang w:val="sr-Latn-CS"/>
              </w:rPr>
              <w:t xml:space="preserve"> </w:t>
            </w:r>
            <w:r w:rsidRPr="00DC010A">
              <w:rPr>
                <w:sz w:val="22"/>
                <w:szCs w:val="22"/>
                <w:shd w:val="clear" w:color="auto" w:fill="FFFFFF"/>
              </w:rPr>
              <w:t>dijagnostiku</w:t>
            </w:r>
            <w:r w:rsidRPr="00DC010A">
              <w:rPr>
                <w:sz w:val="22"/>
                <w:szCs w:val="22"/>
                <w:shd w:val="clear" w:color="auto" w:fill="FFFFFF"/>
                <w:lang w:val="sr-Latn-CS"/>
              </w:rPr>
              <w:t xml:space="preserve"> </w:t>
            </w:r>
            <w:r w:rsidRPr="00DC010A">
              <w:rPr>
                <w:sz w:val="22"/>
                <w:szCs w:val="22"/>
                <w:shd w:val="clear" w:color="auto" w:fill="FFFFFF"/>
              </w:rPr>
              <w:t>neuroendokrinih</w:t>
            </w:r>
            <w:r w:rsidRPr="00DC010A">
              <w:rPr>
                <w:sz w:val="22"/>
                <w:szCs w:val="22"/>
                <w:shd w:val="clear" w:color="auto" w:fill="FFFFFF"/>
                <w:lang w:val="sr-Latn-CS"/>
              </w:rPr>
              <w:t xml:space="preserve"> </w:t>
            </w:r>
            <w:r w:rsidRPr="00DC010A">
              <w:rPr>
                <w:sz w:val="22"/>
                <w:szCs w:val="22"/>
                <w:shd w:val="clear" w:color="auto" w:fill="FFFFFF"/>
              </w:rPr>
              <w:t>tumora</w:t>
            </w:r>
            <w:r w:rsidRPr="00DC010A">
              <w:rPr>
                <w:sz w:val="22"/>
                <w:szCs w:val="22"/>
                <w:shd w:val="clear" w:color="auto" w:fill="FFFFFF"/>
                <w:lang w:val="sr-Latn-CS"/>
              </w:rPr>
              <w:t xml:space="preserve">. </w:t>
            </w:r>
            <w:r w:rsidRPr="00DC010A">
              <w:rPr>
                <w:sz w:val="22"/>
                <w:szCs w:val="22"/>
                <w:shd w:val="clear" w:color="auto" w:fill="FFFFFF"/>
              </w:rPr>
              <w:t>Da</w:t>
            </w:r>
            <w:r w:rsidRPr="00DC010A">
              <w:rPr>
                <w:sz w:val="22"/>
                <w:szCs w:val="22"/>
                <w:shd w:val="clear" w:color="auto" w:fill="FFFFFF"/>
                <w:lang w:val="sr-Latn-CS"/>
              </w:rPr>
              <w:t xml:space="preserve"> </w:t>
            </w:r>
            <w:r w:rsidRPr="00DC010A">
              <w:rPr>
                <w:sz w:val="22"/>
                <w:szCs w:val="22"/>
                <w:shd w:val="clear" w:color="auto" w:fill="FFFFFF"/>
              </w:rPr>
              <w:t>bi</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izbjegle</w:t>
            </w:r>
            <w:r w:rsidRPr="00DC010A">
              <w:rPr>
                <w:sz w:val="22"/>
                <w:szCs w:val="22"/>
                <w:shd w:val="clear" w:color="auto" w:fill="FFFFFF"/>
                <w:lang w:val="sr-Latn-CS"/>
              </w:rPr>
              <w:t xml:space="preserve"> </w:t>
            </w:r>
            <w:r w:rsidRPr="00DC010A">
              <w:rPr>
                <w:sz w:val="22"/>
                <w:szCs w:val="22"/>
                <w:shd w:val="clear" w:color="auto" w:fill="FFFFFF"/>
              </w:rPr>
              <w:t>ove</w:t>
            </w:r>
            <w:r w:rsidRPr="00DC010A">
              <w:rPr>
                <w:sz w:val="22"/>
                <w:szCs w:val="22"/>
                <w:shd w:val="clear" w:color="auto" w:fill="FFFFFF"/>
                <w:lang w:val="sr-Latn-CS"/>
              </w:rPr>
              <w:t xml:space="preserve"> </w:t>
            </w:r>
            <w:r w:rsidRPr="00DC010A">
              <w:rPr>
                <w:sz w:val="22"/>
                <w:szCs w:val="22"/>
                <w:shd w:val="clear" w:color="auto" w:fill="FFFFFF"/>
              </w:rPr>
              <w:t>smetnje</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omeprazolom</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prekinuti</w:t>
            </w:r>
            <w:r w:rsidRPr="00DC010A">
              <w:rPr>
                <w:sz w:val="22"/>
                <w:szCs w:val="22"/>
                <w:shd w:val="clear" w:color="auto" w:fill="FFFFFF"/>
                <w:lang w:val="sr-Latn-CS"/>
              </w:rPr>
              <w:t xml:space="preserve"> </w:t>
            </w:r>
            <w:r w:rsidRPr="00DC010A">
              <w:rPr>
                <w:sz w:val="22"/>
                <w:szCs w:val="22"/>
                <w:shd w:val="clear" w:color="auto" w:fill="FFFFFF"/>
              </w:rPr>
              <w:t>najmanje</w:t>
            </w:r>
            <w:r w:rsidRPr="00DC010A">
              <w:rPr>
                <w:sz w:val="22"/>
                <w:szCs w:val="22"/>
                <w:shd w:val="clear" w:color="auto" w:fill="FFFFFF"/>
                <w:lang w:val="sr-Latn-CS"/>
              </w:rPr>
              <w:t xml:space="preserve"> 5 </w:t>
            </w:r>
            <w:r w:rsidRPr="00DC010A">
              <w:rPr>
                <w:sz w:val="22"/>
                <w:szCs w:val="22"/>
                <w:shd w:val="clear" w:color="auto" w:fill="FFFFFF"/>
              </w:rPr>
              <w:t>dana</w:t>
            </w:r>
            <w:r w:rsidRPr="00DC010A">
              <w:rPr>
                <w:sz w:val="22"/>
                <w:szCs w:val="22"/>
                <w:shd w:val="clear" w:color="auto" w:fill="FFFFFF"/>
                <w:lang w:val="sr-Latn-CS"/>
              </w:rPr>
              <w:t xml:space="preserve"> </w:t>
            </w:r>
            <w:r w:rsidRPr="00DC010A">
              <w:rPr>
                <w:sz w:val="22"/>
                <w:szCs w:val="22"/>
                <w:shd w:val="clear" w:color="auto" w:fill="FFFFFF"/>
              </w:rPr>
              <w:t>prije</w:t>
            </w:r>
            <w:r w:rsidRPr="00DC010A">
              <w:rPr>
                <w:sz w:val="22"/>
                <w:szCs w:val="22"/>
                <w:shd w:val="clear" w:color="auto" w:fill="FFFFFF"/>
                <w:lang w:val="sr-Latn-CS"/>
              </w:rPr>
              <w:t xml:space="preserve"> </w:t>
            </w:r>
            <w:r w:rsidRPr="00DC010A">
              <w:rPr>
                <w:sz w:val="22"/>
                <w:szCs w:val="22"/>
                <w:shd w:val="clear" w:color="auto" w:fill="FFFFFF"/>
              </w:rPr>
              <w:t>mjerenja</w:t>
            </w:r>
            <w:r w:rsidRPr="00DC010A">
              <w:rPr>
                <w:sz w:val="22"/>
                <w:szCs w:val="22"/>
                <w:shd w:val="clear" w:color="auto" w:fill="FFFFFF"/>
                <w:lang w:val="sr-Latn-CS"/>
              </w:rPr>
              <w:t xml:space="preserve"> </w:t>
            </w:r>
            <w:r w:rsidRPr="00DC010A">
              <w:rPr>
                <w:sz w:val="22"/>
                <w:szCs w:val="22"/>
                <w:shd w:val="clear" w:color="auto" w:fill="FFFFFF"/>
              </w:rPr>
              <w:t>CgA</w:t>
            </w:r>
            <w:r w:rsidRPr="00DC010A">
              <w:rPr>
                <w:sz w:val="22"/>
                <w:szCs w:val="22"/>
                <w:shd w:val="clear" w:color="auto" w:fill="FFFFFF"/>
                <w:lang w:val="sr-Latn-CS"/>
              </w:rPr>
              <w:t xml:space="preserve"> (</w:t>
            </w:r>
            <w:r w:rsidRPr="00DC010A">
              <w:rPr>
                <w:sz w:val="22"/>
                <w:szCs w:val="22"/>
                <w:shd w:val="clear" w:color="auto" w:fill="FFFFFF"/>
              </w:rPr>
              <w:t>vidjeti</w:t>
            </w:r>
            <w:r w:rsidRPr="00DC010A">
              <w:rPr>
                <w:sz w:val="22"/>
                <w:szCs w:val="22"/>
                <w:shd w:val="clear" w:color="auto" w:fill="FFFFFF"/>
                <w:lang w:val="sr-Latn-CS"/>
              </w:rPr>
              <w:t xml:space="preserve"> </w:t>
            </w:r>
            <w:r w:rsidRPr="00DC010A">
              <w:rPr>
                <w:sz w:val="22"/>
                <w:szCs w:val="22"/>
                <w:shd w:val="clear" w:color="auto" w:fill="FFFFFF"/>
              </w:rPr>
              <w:t>odjeljak</w:t>
            </w:r>
            <w:r w:rsidRPr="00DC010A">
              <w:rPr>
                <w:sz w:val="22"/>
                <w:szCs w:val="22"/>
                <w:shd w:val="clear" w:color="auto" w:fill="FFFFFF"/>
                <w:lang w:val="sr-Latn-CS"/>
              </w:rPr>
              <w:t xml:space="preserve"> 5.1). </w:t>
            </w:r>
            <w:r w:rsidRPr="00DC010A">
              <w:rPr>
                <w:sz w:val="22"/>
                <w:szCs w:val="22"/>
                <w:shd w:val="clear" w:color="auto" w:fill="FFFFFF"/>
              </w:rPr>
              <w:t>Ako</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w:t>
            </w:r>
            <w:r w:rsidRPr="00DC010A">
              <w:rPr>
                <w:sz w:val="22"/>
                <w:szCs w:val="22"/>
                <w:shd w:val="clear" w:color="auto" w:fill="FFFFFF"/>
              </w:rPr>
              <w:t>nivoi</w:t>
            </w:r>
            <w:r w:rsidRPr="00DC010A">
              <w:rPr>
                <w:sz w:val="22"/>
                <w:szCs w:val="22"/>
                <w:shd w:val="clear" w:color="auto" w:fill="FFFFFF"/>
                <w:lang w:val="sr-Latn-CS"/>
              </w:rPr>
              <w:t xml:space="preserve"> </w:t>
            </w:r>
            <w:r w:rsidRPr="00DC010A">
              <w:rPr>
                <w:sz w:val="22"/>
                <w:szCs w:val="22"/>
                <w:shd w:val="clear" w:color="auto" w:fill="FFFFFF"/>
              </w:rPr>
              <w:t>CgA</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gastrina</w:t>
            </w:r>
            <w:r w:rsidRPr="00DC010A">
              <w:rPr>
                <w:sz w:val="22"/>
                <w:szCs w:val="22"/>
                <w:shd w:val="clear" w:color="auto" w:fill="FFFFFF"/>
                <w:lang w:val="sr-Latn-CS"/>
              </w:rPr>
              <w:t xml:space="preserve"> </w:t>
            </w:r>
            <w:r w:rsidRPr="00DC010A">
              <w:rPr>
                <w:sz w:val="22"/>
                <w:szCs w:val="22"/>
                <w:shd w:val="clear" w:color="auto" w:fill="FFFFFF"/>
              </w:rPr>
              <w:t>ne</w:t>
            </w:r>
            <w:r w:rsidRPr="00DC010A">
              <w:rPr>
                <w:sz w:val="22"/>
                <w:szCs w:val="22"/>
                <w:shd w:val="clear" w:color="auto" w:fill="FFFFFF"/>
                <w:lang w:val="sr-Latn-CS"/>
              </w:rPr>
              <w:t xml:space="preserve"> </w:t>
            </w:r>
            <w:r w:rsidRPr="00DC010A">
              <w:rPr>
                <w:sz w:val="22"/>
                <w:szCs w:val="22"/>
                <w:shd w:val="clear" w:color="auto" w:fill="FFFFFF"/>
              </w:rPr>
              <w:t>vrate</w:t>
            </w:r>
            <w:r w:rsidRPr="00DC010A">
              <w:rPr>
                <w:sz w:val="22"/>
                <w:szCs w:val="22"/>
                <w:shd w:val="clear" w:color="auto" w:fill="FFFFFF"/>
                <w:lang w:val="sr-Latn-CS"/>
              </w:rPr>
              <w:t xml:space="preserve"> </w:t>
            </w:r>
            <w:r w:rsidRPr="00DC010A">
              <w:rPr>
                <w:sz w:val="22"/>
                <w:szCs w:val="22"/>
                <w:shd w:val="clear" w:color="auto" w:fill="FFFFFF"/>
              </w:rPr>
              <w:t>unutar</w:t>
            </w:r>
            <w:r w:rsidRPr="00DC010A">
              <w:rPr>
                <w:sz w:val="22"/>
                <w:szCs w:val="22"/>
                <w:shd w:val="clear" w:color="auto" w:fill="FFFFFF"/>
                <w:lang w:val="sr-Latn-CS"/>
              </w:rPr>
              <w:t xml:space="preserve"> </w:t>
            </w:r>
            <w:r w:rsidRPr="00DC010A">
              <w:rPr>
                <w:sz w:val="22"/>
                <w:szCs w:val="22"/>
                <w:shd w:val="clear" w:color="auto" w:fill="FFFFFF"/>
              </w:rPr>
              <w:t>referentnih</w:t>
            </w:r>
            <w:r w:rsidRPr="00DC010A">
              <w:rPr>
                <w:sz w:val="22"/>
                <w:szCs w:val="22"/>
                <w:shd w:val="clear" w:color="auto" w:fill="FFFFFF"/>
                <w:lang w:val="sr-Latn-CS"/>
              </w:rPr>
              <w:t xml:space="preserve"> </w:t>
            </w:r>
            <w:r w:rsidRPr="00DC010A">
              <w:rPr>
                <w:sz w:val="22"/>
                <w:szCs w:val="22"/>
                <w:shd w:val="clear" w:color="auto" w:fill="FFFFFF"/>
              </w:rPr>
              <w:t>vrijednosti</w:t>
            </w:r>
            <w:r w:rsidRPr="00DC010A">
              <w:rPr>
                <w:sz w:val="22"/>
                <w:szCs w:val="22"/>
                <w:shd w:val="clear" w:color="auto" w:fill="FFFFFF"/>
                <w:lang w:val="sr-Latn-CS"/>
              </w:rPr>
              <w:t xml:space="preserve"> </w:t>
            </w:r>
            <w:r w:rsidRPr="00DC010A">
              <w:rPr>
                <w:sz w:val="22"/>
                <w:szCs w:val="22"/>
                <w:shd w:val="clear" w:color="auto" w:fill="FFFFFF"/>
              </w:rPr>
              <w:t>nakon</w:t>
            </w:r>
            <w:r w:rsidRPr="00DC010A">
              <w:rPr>
                <w:sz w:val="22"/>
                <w:szCs w:val="22"/>
                <w:shd w:val="clear" w:color="auto" w:fill="FFFFFF"/>
                <w:lang w:val="sr-Latn-CS"/>
              </w:rPr>
              <w:t xml:space="preserve"> </w:t>
            </w:r>
            <w:r w:rsidRPr="00DC010A">
              <w:rPr>
                <w:sz w:val="22"/>
                <w:szCs w:val="22"/>
                <w:shd w:val="clear" w:color="auto" w:fill="FFFFFF"/>
              </w:rPr>
              <w:t>po</w:t>
            </w:r>
            <w:r w:rsidRPr="00DC010A">
              <w:rPr>
                <w:sz w:val="22"/>
                <w:szCs w:val="22"/>
                <w:shd w:val="clear" w:color="auto" w:fill="FFFFFF"/>
                <w:lang w:val="sr-Latn-CS"/>
              </w:rPr>
              <w:t>č</w:t>
            </w:r>
            <w:r w:rsidRPr="00DC010A">
              <w:rPr>
                <w:sz w:val="22"/>
                <w:szCs w:val="22"/>
                <w:shd w:val="clear" w:color="auto" w:fill="FFFFFF"/>
              </w:rPr>
              <w:t>etnog</w:t>
            </w:r>
            <w:r w:rsidRPr="00DC010A">
              <w:rPr>
                <w:sz w:val="22"/>
                <w:szCs w:val="22"/>
                <w:shd w:val="clear" w:color="auto" w:fill="FFFFFF"/>
                <w:lang w:val="sr-Latn-CS"/>
              </w:rPr>
              <w:t xml:space="preserve"> </w:t>
            </w:r>
            <w:r w:rsidRPr="00DC010A">
              <w:rPr>
                <w:sz w:val="22"/>
                <w:szCs w:val="22"/>
                <w:shd w:val="clear" w:color="auto" w:fill="FFFFFF"/>
              </w:rPr>
              <w:t>merenja</w:t>
            </w:r>
            <w:r w:rsidRPr="00DC010A">
              <w:rPr>
                <w:sz w:val="22"/>
                <w:szCs w:val="22"/>
                <w:shd w:val="clear" w:color="auto" w:fill="FFFFFF"/>
                <w:lang w:val="sr-Latn-CS"/>
              </w:rPr>
              <w:t xml:space="preserve">, </w:t>
            </w:r>
            <w:r w:rsidRPr="00DC010A">
              <w:rPr>
                <w:sz w:val="22"/>
                <w:szCs w:val="22"/>
                <w:shd w:val="clear" w:color="auto" w:fill="FFFFFF"/>
              </w:rPr>
              <w:t>mjerenje</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ponoviti</w:t>
            </w:r>
            <w:r w:rsidRPr="00DC010A">
              <w:rPr>
                <w:sz w:val="22"/>
                <w:szCs w:val="22"/>
                <w:shd w:val="clear" w:color="auto" w:fill="FFFFFF"/>
                <w:lang w:val="sr-Latn-CS"/>
              </w:rPr>
              <w:t xml:space="preserve"> 14 </w:t>
            </w:r>
            <w:r w:rsidRPr="00DC010A">
              <w:rPr>
                <w:sz w:val="22"/>
                <w:szCs w:val="22"/>
                <w:shd w:val="clear" w:color="auto" w:fill="FFFFFF"/>
              </w:rPr>
              <w:t>dana</w:t>
            </w:r>
            <w:r w:rsidRPr="00DC010A">
              <w:rPr>
                <w:sz w:val="22"/>
                <w:szCs w:val="22"/>
                <w:shd w:val="clear" w:color="auto" w:fill="FFFFFF"/>
                <w:lang w:val="sr-Latn-CS"/>
              </w:rPr>
              <w:t xml:space="preserve"> </w:t>
            </w:r>
            <w:r w:rsidRPr="00DC010A">
              <w:rPr>
                <w:sz w:val="22"/>
                <w:szCs w:val="22"/>
                <w:shd w:val="clear" w:color="auto" w:fill="FFFFFF"/>
              </w:rPr>
              <w:t>nakon</w:t>
            </w:r>
            <w:r w:rsidRPr="00DC010A">
              <w:rPr>
                <w:sz w:val="22"/>
                <w:szCs w:val="22"/>
                <w:shd w:val="clear" w:color="auto" w:fill="FFFFFF"/>
                <w:lang w:val="sr-Latn-CS"/>
              </w:rPr>
              <w:t xml:space="preserve"> </w:t>
            </w:r>
            <w:r w:rsidRPr="00DC010A">
              <w:rPr>
                <w:sz w:val="22"/>
                <w:szCs w:val="22"/>
                <w:shd w:val="clear" w:color="auto" w:fill="FFFFFF"/>
              </w:rPr>
              <w:t>pre</w:t>
            </w:r>
            <w:r w:rsidRPr="00DC010A">
              <w:rPr>
                <w:sz w:val="22"/>
                <w:szCs w:val="22"/>
                <w:shd w:val="clear" w:color="auto" w:fill="FFFFFF"/>
                <w:lang w:val="sr-Latn-CS"/>
              </w:rPr>
              <w:t xml:space="preserve">kida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enja</w:t>
            </w:r>
            <w:r w:rsidRPr="00DC010A">
              <w:rPr>
                <w:sz w:val="22"/>
                <w:szCs w:val="22"/>
                <w:shd w:val="clear" w:color="auto" w:fill="FFFFFF"/>
                <w:lang w:val="sr-Latn-CS"/>
              </w:rPr>
              <w:t xml:space="preserve"> </w:t>
            </w:r>
            <w:r w:rsidRPr="00DC010A">
              <w:rPr>
                <w:sz w:val="22"/>
                <w:szCs w:val="22"/>
                <w:shd w:val="clear" w:color="auto" w:fill="FFFFFF"/>
              </w:rPr>
              <w:t>inhibitorom</w:t>
            </w:r>
            <w:r w:rsidRPr="00DC010A">
              <w:rPr>
                <w:sz w:val="22"/>
                <w:szCs w:val="22"/>
                <w:shd w:val="clear" w:color="auto" w:fill="FFFFFF"/>
                <w:lang w:val="sr-Latn-CS"/>
              </w:rPr>
              <w:t xml:space="preserve"> </w:t>
            </w:r>
            <w:r w:rsidRPr="00DC010A">
              <w:rPr>
                <w:sz w:val="22"/>
                <w:szCs w:val="22"/>
                <w:shd w:val="clear" w:color="auto" w:fill="FFFFFF"/>
              </w:rPr>
              <w:t>protonske</w:t>
            </w:r>
            <w:r w:rsidRPr="00DC010A">
              <w:rPr>
                <w:sz w:val="22"/>
                <w:szCs w:val="22"/>
                <w:shd w:val="clear" w:color="auto" w:fill="FFFFFF"/>
                <w:lang w:val="sr-Latn-CS"/>
              </w:rPr>
              <w:t xml:space="preserve"> </w:t>
            </w:r>
            <w:r w:rsidRPr="00DC010A">
              <w:rPr>
                <w:sz w:val="22"/>
                <w:szCs w:val="22"/>
                <w:shd w:val="clear" w:color="auto" w:fill="FFFFFF"/>
              </w:rPr>
              <w:t>pumpe</w:t>
            </w:r>
            <w:r w:rsidRPr="00DC010A">
              <w:rPr>
                <w:sz w:val="22"/>
                <w:szCs w:val="22"/>
                <w:shd w:val="clear" w:color="auto" w:fill="FFFFFF"/>
                <w:lang w:val="sr-Latn-CS"/>
              </w:rPr>
              <w:t>.</w:t>
            </w:r>
          </w:p>
          <w:p w:rsidR="008E31D0" w:rsidRPr="00DC010A" w:rsidRDefault="008E31D0" w:rsidP="008E31D0">
            <w:pPr>
              <w:pStyle w:val="NoSpacing"/>
              <w:rPr>
                <w:sz w:val="22"/>
                <w:szCs w:val="22"/>
                <w:shd w:val="clear" w:color="auto" w:fill="FFFFFF"/>
                <w:lang w:val="sr-Latn-CS"/>
              </w:rPr>
            </w:pPr>
            <w:r w:rsidRPr="00DC010A">
              <w:rPr>
                <w:sz w:val="22"/>
                <w:szCs w:val="22"/>
                <w:lang w:val="sr-Latn-CS"/>
              </w:rPr>
              <w:br/>
            </w:r>
            <w:r w:rsidRPr="00DC010A">
              <w:rPr>
                <w:sz w:val="22"/>
                <w:szCs w:val="22"/>
                <w:shd w:val="clear" w:color="auto" w:fill="FFFFFF"/>
              </w:rPr>
              <w:t>Neka</w:t>
            </w:r>
            <w:r w:rsidRPr="00DC010A">
              <w:rPr>
                <w:sz w:val="22"/>
                <w:szCs w:val="22"/>
                <w:shd w:val="clear" w:color="auto" w:fill="FFFFFF"/>
                <w:lang w:val="sr-Latn-CS"/>
              </w:rPr>
              <w:t xml:space="preserve"> </w:t>
            </w:r>
            <w:r w:rsidRPr="00DC010A">
              <w:rPr>
                <w:sz w:val="22"/>
                <w:szCs w:val="22"/>
                <w:shd w:val="clear" w:color="auto" w:fill="FFFFFF"/>
              </w:rPr>
              <w:t>djeca</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hroni</w:t>
            </w:r>
            <w:r w:rsidRPr="00DC010A">
              <w:rPr>
                <w:sz w:val="22"/>
                <w:szCs w:val="22"/>
                <w:shd w:val="clear" w:color="auto" w:fill="FFFFFF"/>
                <w:lang w:val="sr-Latn-CS"/>
              </w:rPr>
              <w:t>č</w:t>
            </w:r>
            <w:r w:rsidRPr="00DC010A">
              <w:rPr>
                <w:sz w:val="22"/>
                <w:szCs w:val="22"/>
                <w:shd w:val="clear" w:color="auto" w:fill="FFFFFF"/>
              </w:rPr>
              <w:t>nim</w:t>
            </w:r>
            <w:r w:rsidRPr="00DC010A">
              <w:rPr>
                <w:sz w:val="22"/>
                <w:szCs w:val="22"/>
                <w:shd w:val="clear" w:color="auto" w:fill="FFFFFF"/>
                <w:lang w:val="sr-Latn-CS"/>
              </w:rPr>
              <w:t xml:space="preserve"> </w:t>
            </w:r>
            <w:r w:rsidRPr="00DC010A">
              <w:rPr>
                <w:sz w:val="22"/>
                <w:szCs w:val="22"/>
                <w:shd w:val="clear" w:color="auto" w:fill="FFFFFF"/>
              </w:rPr>
              <w:t>bolestima</w:t>
            </w:r>
            <w:r w:rsidRPr="00DC010A">
              <w:rPr>
                <w:sz w:val="22"/>
                <w:szCs w:val="22"/>
                <w:shd w:val="clear" w:color="auto" w:fill="FFFFFF"/>
                <w:lang w:val="sr-Latn-CS"/>
              </w:rPr>
              <w:t xml:space="preserve"> </w:t>
            </w:r>
            <w:r w:rsidRPr="00DC010A">
              <w:rPr>
                <w:sz w:val="22"/>
                <w:szCs w:val="22"/>
                <w:shd w:val="clear" w:color="auto" w:fill="FFFFFF"/>
              </w:rPr>
              <w:t>mogu</w:t>
            </w:r>
            <w:r w:rsidRPr="00DC010A">
              <w:rPr>
                <w:sz w:val="22"/>
                <w:szCs w:val="22"/>
                <w:shd w:val="clear" w:color="auto" w:fill="FFFFFF"/>
                <w:lang w:val="sr-Latn-CS"/>
              </w:rPr>
              <w:t xml:space="preserve"> </w:t>
            </w:r>
            <w:r w:rsidRPr="00DC010A">
              <w:rPr>
                <w:sz w:val="22"/>
                <w:szCs w:val="22"/>
                <w:shd w:val="clear" w:color="auto" w:fill="FFFFFF"/>
              </w:rPr>
              <w:t>zahtijevati</w:t>
            </w:r>
            <w:r w:rsidRPr="00DC010A">
              <w:rPr>
                <w:sz w:val="22"/>
                <w:szCs w:val="22"/>
                <w:shd w:val="clear" w:color="auto" w:fill="FFFFFF"/>
                <w:lang w:val="sr-Latn-CS"/>
              </w:rPr>
              <w:t xml:space="preserve"> </w:t>
            </w:r>
            <w:r w:rsidRPr="00DC010A">
              <w:rPr>
                <w:sz w:val="22"/>
                <w:szCs w:val="22"/>
                <w:shd w:val="clear" w:color="auto" w:fill="FFFFFF"/>
              </w:rPr>
              <w:t>dugotrajno</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iako</w:t>
            </w:r>
            <w:r w:rsidRPr="00DC010A">
              <w:rPr>
                <w:sz w:val="22"/>
                <w:szCs w:val="22"/>
                <w:shd w:val="clear" w:color="auto" w:fill="FFFFFF"/>
                <w:lang w:val="sr-Latn-CS"/>
              </w:rPr>
              <w:t xml:space="preserve"> </w:t>
            </w:r>
            <w:r w:rsidRPr="00DC010A">
              <w:rPr>
                <w:sz w:val="22"/>
                <w:szCs w:val="22"/>
                <w:shd w:val="clear" w:color="auto" w:fill="FFFFFF"/>
              </w:rPr>
              <w:t>se</w:t>
            </w:r>
            <w:r w:rsidRPr="00DC010A">
              <w:rPr>
                <w:sz w:val="22"/>
                <w:szCs w:val="22"/>
                <w:shd w:val="clear" w:color="auto" w:fill="FFFFFF"/>
                <w:lang w:val="sr-Latn-CS"/>
              </w:rPr>
              <w:t xml:space="preserve"> ono </w:t>
            </w:r>
            <w:r w:rsidRPr="00DC010A">
              <w:rPr>
                <w:sz w:val="22"/>
                <w:szCs w:val="22"/>
                <w:shd w:val="clear" w:color="auto" w:fill="FFFFFF"/>
              </w:rPr>
              <w:t>ne</w:t>
            </w:r>
            <w:r w:rsidRPr="00DC010A">
              <w:rPr>
                <w:sz w:val="22"/>
                <w:szCs w:val="22"/>
                <w:shd w:val="clear" w:color="auto" w:fill="FFFFFF"/>
                <w:lang w:val="sr-Latn-CS"/>
              </w:rPr>
              <w:t xml:space="preserve"> </w:t>
            </w:r>
            <w:r w:rsidRPr="00DC010A">
              <w:rPr>
                <w:sz w:val="22"/>
                <w:szCs w:val="22"/>
                <w:shd w:val="clear" w:color="auto" w:fill="FFFFFF"/>
              </w:rPr>
              <w:t>preporu</w:t>
            </w:r>
            <w:r w:rsidRPr="00DC010A">
              <w:rPr>
                <w:sz w:val="22"/>
                <w:szCs w:val="22"/>
                <w:shd w:val="clear" w:color="auto" w:fill="FFFFFF"/>
                <w:lang w:val="sr-Latn-CS"/>
              </w:rPr>
              <w:t>č</w:t>
            </w:r>
            <w:r w:rsidRPr="00DC010A">
              <w:rPr>
                <w:sz w:val="22"/>
                <w:szCs w:val="22"/>
                <w:shd w:val="clear" w:color="auto" w:fill="FFFFFF"/>
              </w:rPr>
              <w:t>uje</w:t>
            </w:r>
            <w:r w:rsidRPr="00DC010A">
              <w:rPr>
                <w:sz w:val="22"/>
                <w:szCs w:val="22"/>
                <w:shd w:val="clear" w:color="auto" w:fill="FFFFFF"/>
                <w:lang w:val="sr-Latn-CS"/>
              </w:rPr>
              <w:t>.</w:t>
            </w:r>
          </w:p>
          <w:p w:rsidR="008E31D0" w:rsidRPr="00DC010A" w:rsidRDefault="008E31D0" w:rsidP="008E31D0">
            <w:pPr>
              <w:pStyle w:val="NoSpacing"/>
              <w:rPr>
                <w:sz w:val="22"/>
                <w:szCs w:val="22"/>
                <w:shd w:val="clear" w:color="auto" w:fill="FFFFFF"/>
                <w:lang w:val="sr-Latn-CS"/>
              </w:rPr>
            </w:pPr>
            <w:r w:rsidRPr="00DC010A">
              <w:rPr>
                <w:sz w:val="22"/>
                <w:szCs w:val="22"/>
                <w:lang w:val="sr-Latn-CS"/>
              </w:rPr>
              <w:br/>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enje</w:t>
            </w:r>
            <w:r w:rsidRPr="00DC010A">
              <w:rPr>
                <w:sz w:val="22"/>
                <w:szCs w:val="22"/>
                <w:shd w:val="clear" w:color="auto" w:fill="FFFFFF"/>
                <w:lang w:val="sr-Latn-CS"/>
              </w:rPr>
              <w:t xml:space="preserve"> </w:t>
            </w:r>
            <w:r w:rsidRPr="00DC010A">
              <w:rPr>
                <w:sz w:val="22"/>
                <w:szCs w:val="22"/>
                <w:shd w:val="clear" w:color="auto" w:fill="FFFFFF"/>
              </w:rPr>
              <w:t>inhibitorima</w:t>
            </w:r>
            <w:r w:rsidRPr="00DC010A">
              <w:rPr>
                <w:sz w:val="22"/>
                <w:szCs w:val="22"/>
                <w:shd w:val="clear" w:color="auto" w:fill="FFFFFF"/>
                <w:lang w:val="sr-Latn-CS"/>
              </w:rPr>
              <w:t xml:space="preserve"> </w:t>
            </w:r>
            <w:r w:rsidRPr="00DC010A">
              <w:rPr>
                <w:sz w:val="22"/>
                <w:szCs w:val="22"/>
                <w:shd w:val="clear" w:color="auto" w:fill="FFFFFF"/>
              </w:rPr>
              <w:t>protonske</w:t>
            </w:r>
            <w:r w:rsidRPr="00DC010A">
              <w:rPr>
                <w:sz w:val="22"/>
                <w:szCs w:val="22"/>
                <w:shd w:val="clear" w:color="auto" w:fill="FFFFFF"/>
                <w:lang w:val="sr-Latn-CS"/>
              </w:rPr>
              <w:t xml:space="preserve"> </w:t>
            </w:r>
            <w:r w:rsidRPr="00DC010A">
              <w:rPr>
                <w:sz w:val="22"/>
                <w:szCs w:val="22"/>
                <w:shd w:val="clear" w:color="auto" w:fill="FFFFFF"/>
              </w:rPr>
              <w:t>pumpe</w:t>
            </w:r>
            <w:r w:rsidRPr="00DC010A">
              <w:rPr>
                <w:sz w:val="22"/>
                <w:szCs w:val="22"/>
                <w:shd w:val="clear" w:color="auto" w:fill="FFFFFF"/>
                <w:lang w:val="sr-Latn-CS"/>
              </w:rPr>
              <w:t xml:space="preserve"> </w:t>
            </w:r>
            <w:r w:rsidRPr="00DC010A">
              <w:rPr>
                <w:sz w:val="22"/>
                <w:szCs w:val="22"/>
                <w:shd w:val="clear" w:color="auto" w:fill="FFFFFF"/>
              </w:rPr>
              <w:t>mo</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dovesti</w:t>
            </w:r>
            <w:r w:rsidRPr="00DC010A">
              <w:rPr>
                <w:sz w:val="22"/>
                <w:szCs w:val="22"/>
                <w:shd w:val="clear" w:color="auto" w:fill="FFFFFF"/>
                <w:lang w:val="sr-Latn-CS"/>
              </w:rPr>
              <w:t xml:space="preserve"> </w:t>
            </w:r>
            <w:r w:rsidRPr="00DC010A">
              <w:rPr>
                <w:sz w:val="22"/>
                <w:szCs w:val="22"/>
                <w:shd w:val="clear" w:color="auto" w:fill="FFFFFF"/>
              </w:rPr>
              <w:t>do</w:t>
            </w:r>
            <w:r w:rsidRPr="00DC010A">
              <w:rPr>
                <w:sz w:val="22"/>
                <w:szCs w:val="22"/>
                <w:shd w:val="clear" w:color="auto" w:fill="FFFFFF"/>
                <w:lang w:val="sr-Latn-CS"/>
              </w:rPr>
              <w:t xml:space="preserve"> </w:t>
            </w:r>
            <w:r w:rsidRPr="00DC010A">
              <w:rPr>
                <w:sz w:val="22"/>
                <w:szCs w:val="22"/>
                <w:shd w:val="clear" w:color="auto" w:fill="FFFFFF"/>
              </w:rPr>
              <w:t>blago</w:t>
            </w:r>
            <w:r w:rsidRPr="00DC010A">
              <w:rPr>
                <w:sz w:val="22"/>
                <w:szCs w:val="22"/>
                <w:shd w:val="clear" w:color="auto" w:fill="FFFFFF"/>
                <w:lang w:val="sr-Latn-CS"/>
              </w:rPr>
              <w:t xml:space="preserve"> </w:t>
            </w:r>
            <w:r w:rsidRPr="00DC010A">
              <w:rPr>
                <w:sz w:val="22"/>
                <w:szCs w:val="22"/>
                <w:shd w:val="clear" w:color="auto" w:fill="FFFFFF"/>
              </w:rPr>
              <w:t>povec</w:t>
            </w:r>
            <w:r w:rsidRPr="00DC010A">
              <w:rPr>
                <w:sz w:val="22"/>
                <w:szCs w:val="22"/>
                <w:shd w:val="clear" w:color="auto" w:fill="FFFFFF"/>
                <w:lang w:val="sr-Latn-CS"/>
              </w:rPr>
              <w:t>́</w:t>
            </w:r>
            <w:r w:rsidRPr="00DC010A">
              <w:rPr>
                <w:sz w:val="22"/>
                <w:szCs w:val="22"/>
                <w:shd w:val="clear" w:color="auto" w:fill="FFFFFF"/>
              </w:rPr>
              <w:t>anog</w:t>
            </w:r>
            <w:r w:rsidRPr="00DC010A">
              <w:rPr>
                <w:sz w:val="22"/>
                <w:szCs w:val="22"/>
                <w:shd w:val="clear" w:color="auto" w:fill="FFFFFF"/>
                <w:lang w:val="sr-Latn-CS"/>
              </w:rPr>
              <w:t xml:space="preserve"> </w:t>
            </w:r>
            <w:r w:rsidRPr="00DC010A">
              <w:rPr>
                <w:sz w:val="22"/>
                <w:szCs w:val="22"/>
                <w:shd w:val="clear" w:color="auto" w:fill="FFFFFF"/>
              </w:rPr>
              <w:t>rizika</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w:t>
            </w:r>
            <w:r w:rsidRPr="00DC010A">
              <w:rPr>
                <w:sz w:val="22"/>
                <w:szCs w:val="22"/>
                <w:shd w:val="clear" w:color="auto" w:fill="FFFFFF"/>
              </w:rPr>
              <w:t>gastrointestinalnih</w:t>
            </w:r>
            <w:r w:rsidRPr="00DC010A">
              <w:rPr>
                <w:sz w:val="22"/>
                <w:szCs w:val="22"/>
                <w:shd w:val="clear" w:color="auto" w:fill="FFFFFF"/>
                <w:lang w:val="sr-Latn-CS"/>
              </w:rPr>
              <w:t xml:space="preserve"> </w:t>
            </w:r>
            <w:r w:rsidRPr="00DC010A">
              <w:rPr>
                <w:sz w:val="22"/>
                <w:szCs w:val="22"/>
                <w:shd w:val="clear" w:color="auto" w:fill="FFFFFF"/>
              </w:rPr>
              <w:t>infekcija</w:t>
            </w:r>
            <w:r w:rsidRPr="00DC010A">
              <w:rPr>
                <w:sz w:val="22"/>
                <w:szCs w:val="22"/>
                <w:shd w:val="clear" w:color="auto" w:fill="FFFFFF"/>
                <w:lang w:val="sr-Latn-CS"/>
              </w:rPr>
              <w:t xml:space="preserve"> </w:t>
            </w:r>
            <w:r w:rsidRPr="00DC010A">
              <w:rPr>
                <w:sz w:val="22"/>
                <w:szCs w:val="22"/>
                <w:shd w:val="clear" w:color="auto" w:fill="FFFFFF"/>
              </w:rPr>
              <w:t>kao</w:t>
            </w:r>
            <w:r w:rsidRPr="00DC010A">
              <w:rPr>
                <w:sz w:val="22"/>
                <w:szCs w:val="22"/>
                <w:shd w:val="clear" w:color="auto" w:fill="FFFFFF"/>
                <w:lang w:val="sr-Latn-CS"/>
              </w:rPr>
              <w:t xml:space="preserve"> š</w:t>
            </w:r>
            <w:r w:rsidRPr="00DC010A">
              <w:rPr>
                <w:sz w:val="22"/>
                <w:szCs w:val="22"/>
                <w:shd w:val="clear" w:color="auto" w:fill="FFFFFF"/>
              </w:rPr>
              <w:t>to</w:t>
            </w:r>
            <w:r w:rsidRPr="00DC010A">
              <w:rPr>
                <w:sz w:val="22"/>
                <w:szCs w:val="22"/>
                <w:shd w:val="clear" w:color="auto" w:fill="FFFFFF"/>
                <w:lang w:val="sr-Latn-CS"/>
              </w:rPr>
              <w:t xml:space="preserve"> </w:t>
            </w:r>
            <w:r w:rsidRPr="00DC010A">
              <w:rPr>
                <w:sz w:val="22"/>
                <w:szCs w:val="22"/>
                <w:shd w:val="clear" w:color="auto" w:fill="FFFFFF"/>
              </w:rPr>
              <w:t>su</w:t>
            </w:r>
            <w:r w:rsidRPr="00DC010A">
              <w:rPr>
                <w:sz w:val="22"/>
                <w:szCs w:val="22"/>
                <w:shd w:val="clear" w:color="auto" w:fill="FFFFFF"/>
                <w:lang w:val="sr-Latn-CS"/>
              </w:rPr>
              <w:t xml:space="preserve"> </w:t>
            </w:r>
            <w:r w:rsidRPr="00DC010A">
              <w:rPr>
                <w:i/>
                <w:sz w:val="22"/>
                <w:szCs w:val="22"/>
                <w:shd w:val="clear" w:color="auto" w:fill="FFFFFF"/>
              </w:rPr>
              <w:t>Salmonella</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i/>
                <w:sz w:val="22"/>
                <w:szCs w:val="22"/>
                <w:shd w:val="clear" w:color="auto" w:fill="FFFFFF"/>
              </w:rPr>
              <w:t>Campilobacter</w:t>
            </w:r>
            <w:r w:rsidRPr="00DC010A">
              <w:rPr>
                <w:i/>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hospitalizovanih</w:t>
            </w:r>
            <w:r w:rsidRPr="00DC010A">
              <w:rPr>
                <w:sz w:val="22"/>
                <w:szCs w:val="22"/>
                <w:shd w:val="clear" w:color="auto" w:fill="FFFFFF"/>
                <w:lang w:val="sr-Latn-CS"/>
              </w:rPr>
              <w:t xml:space="preserve">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moguc</w:t>
            </w:r>
            <w:r w:rsidRPr="00DC010A">
              <w:rPr>
                <w:sz w:val="22"/>
                <w:szCs w:val="22"/>
                <w:shd w:val="clear" w:color="auto" w:fill="FFFFFF"/>
                <w:lang w:val="sr-Latn-CS"/>
              </w:rPr>
              <w:t>́</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i/>
                <w:sz w:val="22"/>
                <w:szCs w:val="22"/>
                <w:shd w:val="clear" w:color="auto" w:fill="FFFFFF"/>
              </w:rPr>
              <w:t>Clostridium</w:t>
            </w:r>
            <w:r w:rsidRPr="00DC010A">
              <w:rPr>
                <w:i/>
                <w:sz w:val="22"/>
                <w:szCs w:val="22"/>
                <w:shd w:val="clear" w:color="auto" w:fill="FFFFFF"/>
                <w:lang w:val="sr-Latn-CS"/>
              </w:rPr>
              <w:t xml:space="preserve"> </w:t>
            </w:r>
            <w:r w:rsidRPr="00DC010A">
              <w:rPr>
                <w:i/>
                <w:sz w:val="22"/>
                <w:szCs w:val="22"/>
                <w:shd w:val="clear" w:color="auto" w:fill="FFFFFF"/>
              </w:rPr>
              <w:t>difficile</w:t>
            </w:r>
            <w:r w:rsidRPr="00DC010A">
              <w:rPr>
                <w:i/>
                <w:sz w:val="22"/>
                <w:szCs w:val="22"/>
                <w:shd w:val="clear" w:color="auto" w:fill="FFFFFF"/>
                <w:lang w:val="sr-Latn-CS"/>
              </w:rPr>
              <w:t xml:space="preserve"> </w:t>
            </w:r>
            <w:r w:rsidRPr="00DC010A">
              <w:rPr>
                <w:sz w:val="22"/>
                <w:szCs w:val="22"/>
                <w:shd w:val="clear" w:color="auto" w:fill="FFFFFF"/>
                <w:lang w:val="sr-Latn-CS"/>
              </w:rPr>
              <w:t>(</w:t>
            </w:r>
            <w:r w:rsidRPr="00DC010A">
              <w:rPr>
                <w:sz w:val="22"/>
                <w:szCs w:val="22"/>
                <w:shd w:val="clear" w:color="auto" w:fill="FFFFFF"/>
              </w:rPr>
              <w:t>vidjeti</w:t>
            </w:r>
            <w:r w:rsidRPr="00DC010A">
              <w:rPr>
                <w:sz w:val="22"/>
                <w:szCs w:val="22"/>
                <w:shd w:val="clear" w:color="auto" w:fill="FFFFFF"/>
                <w:lang w:val="sr-Latn-CS"/>
              </w:rPr>
              <w:t xml:space="preserve"> </w:t>
            </w:r>
            <w:r w:rsidRPr="00DC010A">
              <w:rPr>
                <w:sz w:val="22"/>
                <w:szCs w:val="22"/>
                <w:shd w:val="clear" w:color="auto" w:fill="FFFFFF"/>
              </w:rPr>
              <w:t>odjeljak</w:t>
            </w:r>
            <w:r w:rsidRPr="00DC010A">
              <w:rPr>
                <w:sz w:val="22"/>
                <w:szCs w:val="22"/>
                <w:shd w:val="clear" w:color="auto" w:fill="FFFFFF"/>
                <w:lang w:val="sr-Latn-CS"/>
              </w:rPr>
              <w:t xml:space="preserve"> 5.1).</w:t>
            </w:r>
          </w:p>
          <w:p w:rsidR="008E31D0" w:rsidRPr="00DC010A" w:rsidRDefault="008E31D0" w:rsidP="008E31D0">
            <w:pPr>
              <w:pStyle w:val="NoSpacing"/>
              <w:rPr>
                <w:sz w:val="22"/>
                <w:szCs w:val="22"/>
                <w:lang w:val="sr-Latn-CS"/>
              </w:rPr>
            </w:pPr>
            <w:r w:rsidRPr="00DC010A">
              <w:rPr>
                <w:sz w:val="22"/>
                <w:szCs w:val="22"/>
                <w:lang w:val="sr-Latn-CS"/>
              </w:rPr>
              <w:br/>
            </w:r>
            <w:r w:rsidRPr="00DC010A">
              <w:rPr>
                <w:sz w:val="22"/>
                <w:szCs w:val="22"/>
                <w:shd w:val="clear" w:color="auto" w:fill="FFFFFF"/>
              </w:rPr>
              <w:t>Kao</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svakog</w:t>
            </w:r>
            <w:r w:rsidRPr="00DC010A">
              <w:rPr>
                <w:sz w:val="22"/>
                <w:szCs w:val="22"/>
                <w:shd w:val="clear" w:color="auto" w:fill="FFFFFF"/>
                <w:lang w:val="sr-Latn-CS"/>
              </w:rPr>
              <w:t xml:space="preserve"> </w:t>
            </w:r>
            <w:r w:rsidRPr="00DC010A">
              <w:rPr>
                <w:sz w:val="22"/>
                <w:szCs w:val="22"/>
                <w:shd w:val="clear" w:color="auto" w:fill="FFFFFF"/>
              </w:rPr>
              <w:t>dugotrajnog</w:t>
            </w:r>
            <w:r w:rsidRPr="00DC010A">
              <w:rPr>
                <w:sz w:val="22"/>
                <w:szCs w:val="22"/>
                <w:shd w:val="clear" w:color="auto" w:fill="FFFFFF"/>
                <w:lang w:val="sr-Latn-CS"/>
              </w:rPr>
              <w:t xml:space="preserve"> </w:t>
            </w:r>
            <w:r w:rsidRPr="00DC010A">
              <w:rPr>
                <w:sz w:val="22"/>
                <w:szCs w:val="22"/>
                <w:shd w:val="clear" w:color="auto" w:fill="FFFFFF"/>
              </w:rPr>
              <w:t>lije</w:t>
            </w:r>
            <w:r w:rsidRPr="00DC010A">
              <w:rPr>
                <w:sz w:val="22"/>
                <w:szCs w:val="22"/>
                <w:shd w:val="clear" w:color="auto" w:fill="FFFFFF"/>
                <w:lang w:val="sr-Latn-CS"/>
              </w:rPr>
              <w:t>č</w:t>
            </w:r>
            <w:r w:rsidRPr="00DC010A">
              <w:rPr>
                <w:sz w:val="22"/>
                <w:szCs w:val="22"/>
                <w:shd w:val="clear" w:color="auto" w:fill="FFFFFF"/>
              </w:rPr>
              <w:t>enja</w:t>
            </w:r>
            <w:r w:rsidRPr="00DC010A">
              <w:rPr>
                <w:sz w:val="22"/>
                <w:szCs w:val="22"/>
                <w:shd w:val="clear" w:color="auto" w:fill="FFFFFF"/>
                <w:lang w:val="sr-Latn-CS"/>
              </w:rPr>
              <w:t xml:space="preserve">, </w:t>
            </w:r>
            <w:r w:rsidRPr="00DC010A">
              <w:rPr>
                <w:sz w:val="22"/>
                <w:szCs w:val="22"/>
                <w:shd w:val="clear" w:color="auto" w:fill="FFFFFF"/>
              </w:rPr>
              <w:t>naro</w:t>
            </w:r>
            <w:r w:rsidRPr="00DC010A">
              <w:rPr>
                <w:sz w:val="22"/>
                <w:szCs w:val="22"/>
                <w:shd w:val="clear" w:color="auto" w:fill="FFFFFF"/>
                <w:lang w:val="sr-Latn-CS"/>
              </w:rPr>
              <w:t>č</w:t>
            </w:r>
            <w:r w:rsidRPr="00DC010A">
              <w:rPr>
                <w:sz w:val="22"/>
                <w:szCs w:val="22"/>
                <w:shd w:val="clear" w:color="auto" w:fill="FFFFFF"/>
              </w:rPr>
              <w:t>ito</w:t>
            </w:r>
            <w:r w:rsidRPr="00DC010A">
              <w:rPr>
                <w:sz w:val="22"/>
                <w:szCs w:val="22"/>
                <w:shd w:val="clear" w:color="auto" w:fill="FFFFFF"/>
                <w:lang w:val="sr-Latn-CS"/>
              </w:rPr>
              <w:t xml:space="preserve"> onog koje traje </w:t>
            </w:r>
            <w:r w:rsidRPr="00DC010A">
              <w:rPr>
                <w:sz w:val="22"/>
                <w:szCs w:val="22"/>
                <w:shd w:val="clear" w:color="auto" w:fill="FFFFFF"/>
              </w:rPr>
              <w:t>du</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od</w:t>
            </w:r>
            <w:r w:rsidRPr="00DC010A">
              <w:rPr>
                <w:sz w:val="22"/>
                <w:szCs w:val="22"/>
                <w:shd w:val="clear" w:color="auto" w:fill="FFFFFF"/>
                <w:lang w:val="sr-Latn-CS"/>
              </w:rPr>
              <w:t xml:space="preserve"> 1 </w:t>
            </w:r>
            <w:r w:rsidRPr="00DC010A">
              <w:rPr>
                <w:sz w:val="22"/>
                <w:szCs w:val="22"/>
                <w:shd w:val="clear" w:color="auto" w:fill="FFFFFF"/>
              </w:rPr>
              <w:t>godine</w:t>
            </w:r>
            <w:r w:rsidRPr="00DC010A">
              <w:rPr>
                <w:sz w:val="22"/>
                <w:szCs w:val="22"/>
                <w:shd w:val="clear" w:color="auto" w:fill="FFFFFF"/>
                <w:lang w:val="sr-Latn-CS"/>
              </w:rPr>
              <w:t xml:space="preserve">, </w:t>
            </w:r>
            <w:r w:rsidRPr="00DC010A">
              <w:rPr>
                <w:sz w:val="22"/>
                <w:szCs w:val="22"/>
                <w:shd w:val="clear" w:color="auto" w:fill="FFFFFF"/>
              </w:rPr>
              <w:t>pacijenti</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da</w:t>
            </w:r>
            <w:r w:rsidRPr="00DC010A">
              <w:rPr>
                <w:sz w:val="22"/>
                <w:szCs w:val="22"/>
                <w:shd w:val="clear" w:color="auto" w:fill="FFFFFF"/>
                <w:lang w:val="sr-Latn-CS"/>
              </w:rPr>
              <w:t xml:space="preserve"> </w:t>
            </w:r>
            <w:r w:rsidRPr="00DC010A">
              <w:rPr>
                <w:sz w:val="22"/>
                <w:szCs w:val="22"/>
                <w:shd w:val="clear" w:color="auto" w:fill="FFFFFF"/>
              </w:rPr>
              <w:t>budu</w:t>
            </w:r>
            <w:r w:rsidRPr="00DC010A">
              <w:rPr>
                <w:sz w:val="22"/>
                <w:szCs w:val="22"/>
                <w:shd w:val="clear" w:color="auto" w:fill="FFFFFF"/>
                <w:lang w:val="sr-Latn-CS"/>
              </w:rPr>
              <w:t xml:space="preserve"> </w:t>
            </w:r>
            <w:r w:rsidRPr="00DC010A">
              <w:rPr>
                <w:sz w:val="22"/>
                <w:szCs w:val="22"/>
                <w:shd w:val="clear" w:color="auto" w:fill="FFFFFF"/>
              </w:rPr>
              <w:t>pod</w:t>
            </w:r>
            <w:r w:rsidRPr="00DC010A">
              <w:rPr>
                <w:sz w:val="22"/>
                <w:szCs w:val="22"/>
                <w:shd w:val="clear" w:color="auto" w:fill="FFFFFF"/>
                <w:lang w:val="sr-Latn-CS"/>
              </w:rPr>
              <w:t xml:space="preserve"> </w:t>
            </w:r>
            <w:r w:rsidRPr="00DC010A">
              <w:rPr>
                <w:sz w:val="22"/>
                <w:szCs w:val="22"/>
                <w:shd w:val="clear" w:color="auto" w:fill="FFFFFF"/>
              </w:rPr>
              <w:t>redovnim</w:t>
            </w:r>
            <w:r w:rsidRPr="00DC010A">
              <w:rPr>
                <w:sz w:val="22"/>
                <w:szCs w:val="22"/>
                <w:shd w:val="clear" w:color="auto" w:fill="FFFFFF"/>
                <w:lang w:val="sr-Latn-CS"/>
              </w:rPr>
              <w:t xml:space="preserve"> </w:t>
            </w:r>
            <w:r w:rsidRPr="00DC010A">
              <w:rPr>
                <w:sz w:val="22"/>
                <w:szCs w:val="22"/>
                <w:shd w:val="clear" w:color="auto" w:fill="FFFFFF"/>
              </w:rPr>
              <w:t>nadzorom</w:t>
            </w:r>
            <w:r w:rsidRPr="00DC010A">
              <w:rPr>
                <w:sz w:val="22"/>
                <w:szCs w:val="22"/>
                <w:shd w:val="clear" w:color="auto" w:fill="FFFFFF"/>
                <w:lang w:val="sr-Latn-CS"/>
              </w:rPr>
              <w:t>.</w:t>
            </w:r>
          </w:p>
          <w:p w:rsidR="008E31D0" w:rsidRPr="00DC010A" w:rsidRDefault="008E31D0" w:rsidP="008E31D0">
            <w:pPr>
              <w:pStyle w:val="NoSpacing"/>
              <w:rPr>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r w:rsidRPr="00DC010A">
              <w:rPr>
                <w:b/>
                <w:bCs/>
                <w:sz w:val="22"/>
                <w:szCs w:val="22"/>
                <w:lang w:val="sr-Latn-CS"/>
              </w:rPr>
              <w:lastRenderedPageBreak/>
              <w:t>4.5. Interakcije sa drugim ljekovima i druge vrste interakcija</w:t>
            </w:r>
          </w:p>
          <w:p w:rsidR="000474DF" w:rsidRPr="00DC010A" w:rsidRDefault="000474DF" w:rsidP="008E31D0">
            <w:pPr>
              <w:pStyle w:val="NoSpacing"/>
              <w:rPr>
                <w:b/>
                <w:bCs/>
                <w:sz w:val="22"/>
                <w:szCs w:val="22"/>
                <w:lang w:val="sr-Latn-CS"/>
              </w:rPr>
            </w:pPr>
          </w:p>
        </w:tc>
      </w:tr>
      <w:tr w:rsidR="008E31D0" w:rsidRPr="00DC010A" w:rsidTr="0089758C">
        <w:trPr>
          <w:trHeight w:val="850"/>
        </w:trPr>
        <w:tc>
          <w:tcPr>
            <w:tcW w:w="10188" w:type="dxa"/>
            <w:gridSpan w:val="4"/>
            <w:vAlign w:val="center"/>
          </w:tcPr>
          <w:p w:rsidR="008E31D0" w:rsidRPr="00DC010A" w:rsidRDefault="008E31D0" w:rsidP="008E31D0">
            <w:pPr>
              <w:pStyle w:val="NoSpacing"/>
              <w:rPr>
                <w:sz w:val="22"/>
                <w:szCs w:val="22"/>
                <w:u w:val="single"/>
                <w:lang w:val="sr-Latn-CS"/>
              </w:rPr>
            </w:pPr>
            <w:r w:rsidRPr="00DC010A">
              <w:rPr>
                <w:sz w:val="22"/>
                <w:szCs w:val="22"/>
                <w:u w:val="single"/>
                <w:lang w:val="sr-Latn-CS"/>
              </w:rPr>
              <w:t>Efekti omeprazola na farmakokinetiku ostalih aktivnih supstanci</w:t>
            </w:r>
          </w:p>
          <w:p w:rsidR="008E31D0" w:rsidRPr="00DC010A" w:rsidRDefault="008E31D0" w:rsidP="008E31D0">
            <w:pPr>
              <w:pStyle w:val="NoSpacing"/>
              <w:rPr>
                <w:sz w:val="22"/>
                <w:szCs w:val="22"/>
                <w:u w:val="single"/>
                <w:lang w:val="sr-Latn-CS"/>
              </w:rPr>
            </w:pPr>
          </w:p>
          <w:p w:rsidR="008E31D0" w:rsidRPr="00DC010A" w:rsidRDefault="008E31D0" w:rsidP="008E31D0">
            <w:pPr>
              <w:pStyle w:val="NoSpacing"/>
              <w:rPr>
                <w:i/>
                <w:sz w:val="22"/>
                <w:szCs w:val="22"/>
                <w:lang w:val="sr-Latn-CS"/>
              </w:rPr>
            </w:pPr>
            <w:r w:rsidRPr="00DC010A">
              <w:rPr>
                <w:i/>
                <w:sz w:val="22"/>
                <w:szCs w:val="22"/>
                <w:lang w:val="sr-Latn-CS"/>
              </w:rPr>
              <w:t>Aktivne supstance sa resorpcijom zavisnom od pH</w:t>
            </w:r>
          </w:p>
          <w:p w:rsidR="008E31D0" w:rsidRPr="00DC010A" w:rsidRDefault="008E31D0" w:rsidP="008E31D0">
            <w:pPr>
              <w:pStyle w:val="NoSpacing"/>
              <w:rPr>
                <w:sz w:val="22"/>
                <w:szCs w:val="22"/>
                <w:lang w:val="sr-Latn-CS"/>
              </w:rPr>
            </w:pPr>
            <w:r w:rsidRPr="00DC010A">
              <w:rPr>
                <w:sz w:val="22"/>
                <w:szCs w:val="22"/>
                <w:lang w:val="sr-Latn-CS"/>
              </w:rPr>
              <w:t>Smanjen intragastrični aciditet tokom terapije omeprazolom može povećati ili smanjiti resorpciju aktivnih supstanci čija resorpcija zavisni od pH želuca.</w:t>
            </w:r>
          </w:p>
          <w:p w:rsidR="008E31D0" w:rsidRPr="00DC010A" w:rsidRDefault="008E31D0" w:rsidP="008E31D0">
            <w:pPr>
              <w:pStyle w:val="NoSpacing"/>
              <w:rPr>
                <w:sz w:val="22"/>
                <w:szCs w:val="22"/>
                <w:lang w:val="sr-Latn-CS"/>
              </w:rPr>
            </w:pPr>
          </w:p>
          <w:p w:rsidR="008E31D0" w:rsidRPr="00DC010A" w:rsidRDefault="008E31D0" w:rsidP="008E31D0">
            <w:pPr>
              <w:pStyle w:val="NoSpacing"/>
              <w:rPr>
                <w:i/>
                <w:sz w:val="22"/>
                <w:szCs w:val="22"/>
                <w:lang w:val="sr-Latn-CS"/>
              </w:rPr>
            </w:pPr>
            <w:r w:rsidRPr="00DC010A">
              <w:rPr>
                <w:i/>
                <w:sz w:val="22"/>
                <w:szCs w:val="22"/>
                <w:lang w:val="sr-Latn-CS"/>
              </w:rPr>
              <w:t>Nelfinavir, atazanavir</w:t>
            </w:r>
          </w:p>
          <w:p w:rsidR="008E31D0" w:rsidRPr="00DC010A" w:rsidRDefault="008E31D0" w:rsidP="008E31D0">
            <w:pPr>
              <w:pStyle w:val="NoSpacing"/>
              <w:rPr>
                <w:sz w:val="22"/>
                <w:szCs w:val="22"/>
                <w:lang w:val="sr-Latn-CS"/>
              </w:rPr>
            </w:pPr>
            <w:r w:rsidRPr="00DC010A">
              <w:rPr>
                <w:sz w:val="22"/>
                <w:szCs w:val="22"/>
                <w:lang w:val="sr-Latn-CS"/>
              </w:rPr>
              <w:t>Ako se istovremeno primjenjuju sa omeprazolom, vrijednosti nelfinavira i atazanavira se smanjuju.</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 xml:space="preserve">Kontraindikovana je istovremena primjena omeprazola i nelfinavira (vidjeti odjeljak 4.3) Istovremena primjena sa omeprazolom (40 mg jednom dnevno) smanjila je prosječnu izloženost nalfinaviru za oko 40% a prosječnu izloženost farmakološki aktivnom metabolitu M8 za približno 75-90%. Interakcija može takođe uključivati inhibiciju CYP2C19. </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Istovremena primjena omeprazola sa atazanavirom se ne preporučuje (vidjeti odjeljak 4.4).</w:t>
            </w:r>
          </w:p>
          <w:p w:rsidR="008E31D0" w:rsidRPr="00DC010A" w:rsidRDefault="008E31D0" w:rsidP="008E31D0">
            <w:pPr>
              <w:pStyle w:val="NoSpacing"/>
              <w:rPr>
                <w:sz w:val="22"/>
                <w:szCs w:val="22"/>
                <w:lang w:val="sr-Latn-CS"/>
              </w:rPr>
            </w:pPr>
            <w:r w:rsidRPr="00DC010A">
              <w:rPr>
                <w:sz w:val="22"/>
                <w:szCs w:val="22"/>
                <w:lang w:val="sr-Latn-CS"/>
              </w:rPr>
              <w:t>Istovremena primjena omeprazola (40 mg jednom dnevno) i atazanavira 300 mg/ritonavirom 100 mg kod zdravih dobrovoljaca dovela je do smanjenja izloženosti atazanaviru za 75%. Povećanje doze atazanavira na 400 mg nije kompenzovala uticaj omeprazola na izloženost atazanaviru. Istovremena primjena omeprazola (20 mg  jednom dnevno) i atazanavira 400 mg/ritonavirom 100 mg kod zdravih dobrovoljaca dovela je do smanjenja izloženosti atazanaviru za oko 30% u poređenju sa atazanavirom 300 mg/ritonavirom 100 mg jednom dnevno.</w:t>
            </w:r>
          </w:p>
          <w:p w:rsidR="008E31D0" w:rsidRPr="00DC010A" w:rsidRDefault="008E31D0" w:rsidP="008E31D0">
            <w:pPr>
              <w:pStyle w:val="NoSpacing"/>
              <w:rPr>
                <w:sz w:val="22"/>
                <w:szCs w:val="22"/>
                <w:lang w:val="sr-Latn-CS"/>
              </w:rPr>
            </w:pPr>
          </w:p>
          <w:p w:rsidR="008E31D0" w:rsidRPr="00DC010A" w:rsidRDefault="008E31D0" w:rsidP="008E31D0">
            <w:pPr>
              <w:pStyle w:val="NoSpacing"/>
              <w:rPr>
                <w:i/>
                <w:sz w:val="22"/>
                <w:szCs w:val="22"/>
                <w:lang w:val="sr-Latn-CS"/>
              </w:rPr>
            </w:pPr>
            <w:r w:rsidRPr="00DC010A">
              <w:rPr>
                <w:i/>
                <w:sz w:val="22"/>
                <w:szCs w:val="22"/>
                <w:lang w:val="sr-Latn-CS"/>
              </w:rPr>
              <w:t>Digoksin</w:t>
            </w:r>
          </w:p>
          <w:p w:rsidR="008E31D0" w:rsidRPr="00DC010A" w:rsidRDefault="008E31D0" w:rsidP="008E31D0">
            <w:pPr>
              <w:pStyle w:val="NoSpacing"/>
              <w:rPr>
                <w:sz w:val="22"/>
                <w:szCs w:val="22"/>
                <w:lang w:val="sr-Latn-CS"/>
              </w:rPr>
            </w:pPr>
            <w:r w:rsidRPr="00DC010A">
              <w:rPr>
                <w:sz w:val="22"/>
                <w:szCs w:val="22"/>
                <w:lang w:val="sr-Latn-CS"/>
              </w:rPr>
              <w:t xml:space="preserve">Istovremena terapija omeprazolom i digoksinom kod zdravih volontera dovela je do povećanja bioraspoloživosti digoksina za 10% usljed povećanja pH želuca. Toksičnost digoksina je rijetko prijavljena. Međutim, potreban je oprez kada se omeprazol primjenjuje u visokim dozama kod starijih pacijenata. Tada je potrebno pojačati terapijsko praćenje digoksina. </w:t>
            </w:r>
          </w:p>
          <w:p w:rsidR="008E31D0" w:rsidRPr="00DC010A" w:rsidRDefault="008E31D0" w:rsidP="008E31D0">
            <w:pPr>
              <w:pStyle w:val="NoSpacing"/>
              <w:rPr>
                <w:sz w:val="22"/>
                <w:szCs w:val="22"/>
                <w:lang w:val="sr-Latn-CS"/>
              </w:rPr>
            </w:pPr>
          </w:p>
          <w:p w:rsidR="008E31D0" w:rsidRPr="00DC010A" w:rsidRDefault="008E31D0" w:rsidP="008E31D0">
            <w:pPr>
              <w:pStyle w:val="NoSpacing"/>
              <w:rPr>
                <w:i/>
                <w:sz w:val="22"/>
                <w:szCs w:val="22"/>
                <w:lang w:val="sr-Latn-CS"/>
              </w:rPr>
            </w:pPr>
            <w:r w:rsidRPr="00DC010A">
              <w:rPr>
                <w:i/>
                <w:sz w:val="22"/>
                <w:szCs w:val="22"/>
                <w:lang w:val="sr-Latn-CS"/>
              </w:rPr>
              <w:t>Klopidogrel</w:t>
            </w:r>
          </w:p>
          <w:p w:rsidR="008E31D0" w:rsidRPr="00DC010A" w:rsidRDefault="008E31D0" w:rsidP="008E31D0">
            <w:pPr>
              <w:pStyle w:val="NoSpacing"/>
              <w:rPr>
                <w:sz w:val="22"/>
                <w:szCs w:val="22"/>
                <w:shd w:val="clear" w:color="auto" w:fill="FFFFFF"/>
                <w:lang w:val="sr-Latn-CS"/>
              </w:rPr>
            </w:pPr>
            <w:r w:rsidRPr="00DC010A">
              <w:rPr>
                <w:sz w:val="22"/>
                <w:szCs w:val="22"/>
                <w:shd w:val="clear" w:color="auto" w:fill="FFFFFF"/>
              </w:rPr>
              <w:t>Rezultati</w:t>
            </w:r>
            <w:r w:rsidRPr="00DC010A">
              <w:rPr>
                <w:sz w:val="22"/>
                <w:szCs w:val="22"/>
                <w:shd w:val="clear" w:color="auto" w:fill="FFFFFF"/>
                <w:lang w:val="sr-Latn-CS"/>
              </w:rPr>
              <w:t xml:space="preserve"> </w:t>
            </w:r>
            <w:r w:rsidRPr="00DC010A">
              <w:rPr>
                <w:sz w:val="22"/>
                <w:szCs w:val="22"/>
                <w:shd w:val="clear" w:color="auto" w:fill="FFFFFF"/>
              </w:rPr>
              <w:t>studije</w:t>
            </w:r>
            <w:r w:rsidRPr="00DC010A">
              <w:rPr>
                <w:sz w:val="22"/>
                <w:szCs w:val="22"/>
                <w:shd w:val="clear" w:color="auto" w:fill="FFFFFF"/>
                <w:lang w:val="sr-Latn-CS"/>
              </w:rPr>
              <w:t xml:space="preserve"> </w:t>
            </w:r>
            <w:r w:rsidRPr="00DC010A">
              <w:rPr>
                <w:sz w:val="22"/>
                <w:szCs w:val="22"/>
                <w:shd w:val="clear" w:color="auto" w:fill="FFFFFF"/>
              </w:rPr>
              <w:t>kod</w:t>
            </w:r>
            <w:r w:rsidRPr="00DC010A">
              <w:rPr>
                <w:sz w:val="22"/>
                <w:szCs w:val="22"/>
                <w:shd w:val="clear" w:color="auto" w:fill="FFFFFF"/>
                <w:lang w:val="sr-Latn-CS"/>
              </w:rPr>
              <w:t xml:space="preserve"> </w:t>
            </w:r>
            <w:r w:rsidRPr="00DC010A">
              <w:rPr>
                <w:sz w:val="22"/>
                <w:szCs w:val="22"/>
                <w:shd w:val="clear" w:color="auto" w:fill="FFFFFF"/>
              </w:rPr>
              <w:t>zdravih</w:t>
            </w:r>
            <w:r w:rsidRPr="00DC010A">
              <w:rPr>
                <w:sz w:val="22"/>
                <w:szCs w:val="22"/>
                <w:shd w:val="clear" w:color="auto" w:fill="FFFFFF"/>
                <w:lang w:val="sr-Latn-CS"/>
              </w:rPr>
              <w:t xml:space="preserve"> </w:t>
            </w:r>
            <w:r w:rsidRPr="00DC010A">
              <w:rPr>
                <w:sz w:val="22"/>
                <w:szCs w:val="22"/>
                <w:shd w:val="clear" w:color="auto" w:fill="FFFFFF"/>
              </w:rPr>
              <w:t>ispitanika</w:t>
            </w:r>
            <w:r w:rsidRPr="00DC010A">
              <w:rPr>
                <w:sz w:val="22"/>
                <w:szCs w:val="22"/>
                <w:shd w:val="clear" w:color="auto" w:fill="FFFFFF"/>
                <w:lang w:val="sr-Latn-CS"/>
              </w:rPr>
              <w:t xml:space="preserve"> </w:t>
            </w:r>
            <w:r w:rsidRPr="00DC010A">
              <w:rPr>
                <w:sz w:val="22"/>
                <w:szCs w:val="22"/>
                <w:shd w:val="clear" w:color="auto" w:fill="FFFFFF"/>
              </w:rPr>
              <w:t>pokazali</w:t>
            </w:r>
            <w:r w:rsidRPr="00DC010A">
              <w:rPr>
                <w:sz w:val="22"/>
                <w:szCs w:val="22"/>
                <w:shd w:val="clear" w:color="auto" w:fill="FFFFFF"/>
                <w:lang w:val="sr-Latn-CS"/>
              </w:rPr>
              <w:t xml:space="preserve"> </w:t>
            </w:r>
            <w:r w:rsidRPr="00DC010A">
              <w:rPr>
                <w:sz w:val="22"/>
                <w:szCs w:val="22"/>
                <w:shd w:val="clear" w:color="auto" w:fill="FFFFFF"/>
              </w:rPr>
              <w:t>su</w:t>
            </w:r>
            <w:r w:rsidRPr="00DC010A">
              <w:rPr>
                <w:sz w:val="22"/>
                <w:szCs w:val="22"/>
                <w:shd w:val="clear" w:color="auto" w:fill="FFFFFF"/>
                <w:lang w:val="sr-Latn-CS"/>
              </w:rPr>
              <w:t xml:space="preserve"> </w:t>
            </w:r>
            <w:r w:rsidRPr="00DC010A">
              <w:rPr>
                <w:sz w:val="22"/>
                <w:szCs w:val="22"/>
                <w:shd w:val="clear" w:color="auto" w:fill="FFFFFF"/>
              </w:rPr>
              <w:t>farmakokineti</w:t>
            </w:r>
            <w:r w:rsidRPr="00DC010A">
              <w:rPr>
                <w:sz w:val="22"/>
                <w:szCs w:val="22"/>
                <w:shd w:val="clear" w:color="auto" w:fill="FFFFFF"/>
                <w:lang w:val="sr-Latn-CS"/>
              </w:rPr>
              <w:t>č</w:t>
            </w:r>
            <w:r w:rsidRPr="00DC010A">
              <w:rPr>
                <w:sz w:val="22"/>
                <w:szCs w:val="22"/>
                <w:shd w:val="clear" w:color="auto" w:fill="FFFFFF"/>
              </w:rPr>
              <w:t>ku</w:t>
            </w:r>
            <w:r w:rsidRPr="00DC010A">
              <w:rPr>
                <w:sz w:val="22"/>
                <w:szCs w:val="22"/>
                <w:shd w:val="clear" w:color="auto" w:fill="FFFFFF"/>
                <w:lang w:val="sr-Latn-CS"/>
              </w:rPr>
              <w:t xml:space="preserve"> (</w:t>
            </w:r>
            <w:r w:rsidRPr="00DC010A">
              <w:rPr>
                <w:sz w:val="22"/>
                <w:szCs w:val="22"/>
                <w:shd w:val="clear" w:color="auto" w:fill="FFFFFF"/>
              </w:rPr>
              <w:t>PK</w:t>
            </w:r>
            <w:r w:rsidRPr="00DC010A">
              <w:rPr>
                <w:sz w:val="22"/>
                <w:szCs w:val="22"/>
                <w:shd w:val="clear" w:color="auto" w:fill="FFFFFF"/>
                <w:lang w:val="sr-Latn-CS"/>
              </w:rPr>
              <w:t xml:space="preserve">) / </w:t>
            </w:r>
            <w:r w:rsidRPr="00DC010A">
              <w:rPr>
                <w:sz w:val="22"/>
                <w:szCs w:val="22"/>
                <w:shd w:val="clear" w:color="auto" w:fill="FFFFFF"/>
              </w:rPr>
              <w:t>farmakodinami</w:t>
            </w:r>
            <w:r w:rsidRPr="00DC010A">
              <w:rPr>
                <w:sz w:val="22"/>
                <w:szCs w:val="22"/>
                <w:shd w:val="clear" w:color="auto" w:fill="FFFFFF"/>
                <w:lang w:val="sr-Latn-CS"/>
              </w:rPr>
              <w:t>č</w:t>
            </w:r>
            <w:r w:rsidRPr="00DC010A">
              <w:rPr>
                <w:sz w:val="22"/>
                <w:szCs w:val="22"/>
                <w:shd w:val="clear" w:color="auto" w:fill="FFFFFF"/>
              </w:rPr>
              <w:t>ku</w:t>
            </w:r>
            <w:r w:rsidRPr="00DC010A">
              <w:rPr>
                <w:sz w:val="22"/>
                <w:szCs w:val="22"/>
                <w:shd w:val="clear" w:color="auto" w:fill="FFFFFF"/>
                <w:lang w:val="sr-Latn-CS"/>
              </w:rPr>
              <w:t xml:space="preserve"> (</w:t>
            </w:r>
            <w:r w:rsidRPr="00DC010A">
              <w:rPr>
                <w:sz w:val="22"/>
                <w:szCs w:val="22"/>
                <w:shd w:val="clear" w:color="auto" w:fill="FFFFFF"/>
              </w:rPr>
              <w:t>PD</w:t>
            </w:r>
            <w:r w:rsidRPr="00DC010A">
              <w:rPr>
                <w:sz w:val="22"/>
                <w:szCs w:val="22"/>
                <w:shd w:val="clear" w:color="auto" w:fill="FFFFFF"/>
                <w:lang w:val="sr-Latn-CS"/>
              </w:rPr>
              <w:t xml:space="preserve">) </w:t>
            </w:r>
            <w:r w:rsidRPr="00DC010A">
              <w:rPr>
                <w:sz w:val="22"/>
                <w:szCs w:val="22"/>
                <w:shd w:val="clear" w:color="auto" w:fill="FFFFFF"/>
              </w:rPr>
              <w:t>interakciju</w:t>
            </w:r>
            <w:r w:rsidRPr="00DC010A">
              <w:rPr>
                <w:sz w:val="22"/>
                <w:szCs w:val="22"/>
                <w:shd w:val="clear" w:color="auto" w:fill="FFFFFF"/>
                <w:lang w:val="sr-Latn-CS"/>
              </w:rPr>
              <w:t xml:space="preserve"> </w:t>
            </w:r>
            <w:r w:rsidRPr="00DC010A">
              <w:rPr>
                <w:sz w:val="22"/>
                <w:szCs w:val="22"/>
                <w:shd w:val="clear" w:color="auto" w:fill="FFFFFF"/>
              </w:rPr>
              <w:t>izme</w:t>
            </w:r>
            <w:r w:rsidRPr="00DC010A">
              <w:rPr>
                <w:sz w:val="22"/>
                <w:szCs w:val="22"/>
                <w:shd w:val="clear" w:color="auto" w:fill="FFFFFF"/>
                <w:lang w:val="sr-Latn-CS"/>
              </w:rPr>
              <w:t>đ</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klopidogrela</w:t>
            </w:r>
            <w:r w:rsidRPr="00DC010A">
              <w:rPr>
                <w:sz w:val="22"/>
                <w:szCs w:val="22"/>
                <w:shd w:val="clear" w:color="auto" w:fill="FFFFFF"/>
                <w:lang w:val="sr-Latn-CS"/>
              </w:rPr>
              <w:t xml:space="preserve"> (300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udarna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/75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dnevna</w:t>
            </w:r>
            <w:r w:rsidRPr="00DC010A">
              <w:rPr>
                <w:sz w:val="22"/>
                <w:szCs w:val="22"/>
                <w:shd w:val="clear" w:color="auto" w:fill="FFFFFF"/>
                <w:lang w:val="sr-Latn-CS"/>
              </w:rPr>
              <w:t xml:space="preserve"> </w:t>
            </w:r>
            <w:r w:rsidRPr="00DC010A">
              <w:rPr>
                <w:sz w:val="22"/>
                <w:szCs w:val="22"/>
                <w:shd w:val="clear" w:color="auto" w:fill="FFFFFF"/>
              </w:rPr>
              <w:t>doza</w:t>
            </w:r>
            <w:r w:rsidRPr="00DC010A">
              <w:rPr>
                <w:sz w:val="22"/>
                <w:szCs w:val="22"/>
                <w:shd w:val="clear" w:color="auto" w:fill="FFFFFF"/>
                <w:lang w:val="sr-Latn-CS"/>
              </w:rPr>
              <w:t xml:space="preserve"> </w:t>
            </w:r>
            <w:r w:rsidRPr="00DC010A">
              <w:rPr>
                <w:sz w:val="22"/>
                <w:szCs w:val="22"/>
                <w:shd w:val="clear" w:color="auto" w:fill="FFFFFF"/>
              </w:rPr>
              <w:t>odr</w:t>
            </w:r>
            <w:r w:rsidRPr="00DC010A">
              <w:rPr>
                <w:sz w:val="22"/>
                <w:szCs w:val="22"/>
                <w:shd w:val="clear" w:color="auto" w:fill="FFFFFF"/>
                <w:lang w:val="sr-Latn-CS"/>
              </w:rPr>
              <w:t>ž</w:t>
            </w:r>
            <w:r w:rsidRPr="00DC010A">
              <w:rPr>
                <w:sz w:val="22"/>
                <w:szCs w:val="22"/>
                <w:shd w:val="clear" w:color="auto" w:fill="FFFFFF"/>
              </w:rPr>
              <w:t>avanja</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omeprazola</w:t>
            </w:r>
            <w:r w:rsidRPr="00DC010A">
              <w:rPr>
                <w:sz w:val="22"/>
                <w:szCs w:val="22"/>
                <w:shd w:val="clear" w:color="auto" w:fill="FFFFFF"/>
                <w:lang w:val="sr-Latn-CS"/>
              </w:rPr>
              <w:t xml:space="preserve"> (80 </w:t>
            </w:r>
            <w:r w:rsidRPr="00DC010A">
              <w:rPr>
                <w:sz w:val="22"/>
                <w:szCs w:val="22"/>
                <w:shd w:val="clear" w:color="auto" w:fill="FFFFFF"/>
              </w:rPr>
              <w:t>mg</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w:t>
            </w:r>
            <w:r w:rsidRPr="00DC010A">
              <w:rPr>
                <w:sz w:val="22"/>
                <w:szCs w:val="22"/>
                <w:shd w:val="clear" w:color="auto" w:fill="FFFFFF"/>
              </w:rPr>
              <w:t>dan</w:t>
            </w:r>
            <w:r w:rsidRPr="00DC010A">
              <w:rPr>
                <w:sz w:val="22"/>
                <w:szCs w:val="22"/>
                <w:shd w:val="clear" w:color="auto" w:fill="FFFFFF"/>
                <w:lang w:val="sr-Latn-CS"/>
              </w:rPr>
              <w:t xml:space="preserve">, </w:t>
            </w:r>
            <w:r w:rsidRPr="00DC010A">
              <w:rPr>
                <w:sz w:val="22"/>
                <w:szCs w:val="22"/>
                <w:shd w:val="clear" w:color="auto" w:fill="FFFFFF"/>
              </w:rPr>
              <w:t>oralno</w:t>
            </w:r>
            <w:r w:rsidRPr="00DC010A">
              <w:rPr>
                <w:sz w:val="22"/>
                <w:szCs w:val="22"/>
                <w:shd w:val="clear" w:color="auto" w:fill="FFFFFF"/>
                <w:lang w:val="sr-Latn-CS"/>
              </w:rPr>
              <w:t>) š</w:t>
            </w:r>
            <w:r w:rsidRPr="00DC010A">
              <w:rPr>
                <w:sz w:val="22"/>
                <w:szCs w:val="22"/>
                <w:shd w:val="clear" w:color="auto" w:fill="FFFFFF"/>
              </w:rPr>
              <w:t>to</w:t>
            </w:r>
            <w:r w:rsidRPr="00DC010A">
              <w:rPr>
                <w:sz w:val="22"/>
                <w:szCs w:val="22"/>
                <w:shd w:val="clear" w:color="auto" w:fill="FFFFFF"/>
                <w:lang w:val="sr-Latn-CS"/>
              </w:rPr>
              <w:t xml:space="preserve"> </w:t>
            </w:r>
            <w:r w:rsidRPr="00DC010A">
              <w:rPr>
                <w:sz w:val="22"/>
                <w:szCs w:val="22"/>
                <w:shd w:val="clear" w:color="auto" w:fill="FFFFFF"/>
              </w:rPr>
              <w:t>je</w:t>
            </w:r>
            <w:r w:rsidRPr="00DC010A">
              <w:rPr>
                <w:sz w:val="22"/>
                <w:szCs w:val="22"/>
                <w:shd w:val="clear" w:color="auto" w:fill="FFFFFF"/>
                <w:lang w:val="sr-Latn-CS"/>
              </w:rPr>
              <w:t xml:space="preserve"> </w:t>
            </w:r>
            <w:r w:rsidRPr="00DC010A">
              <w:rPr>
                <w:sz w:val="22"/>
                <w:szCs w:val="22"/>
                <w:shd w:val="clear" w:color="auto" w:fill="FFFFFF"/>
              </w:rPr>
              <w:t>dovelo</w:t>
            </w:r>
            <w:r w:rsidRPr="00DC010A">
              <w:rPr>
                <w:sz w:val="22"/>
                <w:szCs w:val="22"/>
                <w:shd w:val="clear" w:color="auto" w:fill="FFFFFF"/>
                <w:lang w:val="sr-Latn-CS"/>
              </w:rPr>
              <w:t xml:space="preserve"> </w:t>
            </w:r>
            <w:r w:rsidRPr="00DC010A">
              <w:rPr>
                <w:sz w:val="22"/>
                <w:szCs w:val="22"/>
                <w:shd w:val="clear" w:color="auto" w:fill="FFFFFF"/>
              </w:rPr>
              <w:t>do</w:t>
            </w:r>
            <w:r w:rsidRPr="00DC010A">
              <w:rPr>
                <w:sz w:val="22"/>
                <w:szCs w:val="22"/>
                <w:shd w:val="clear" w:color="auto" w:fill="FFFFFF"/>
                <w:lang w:val="sr-Latn-CS"/>
              </w:rPr>
              <w:t xml:space="preserve"> </w:t>
            </w:r>
            <w:r w:rsidRPr="00DC010A">
              <w:rPr>
                <w:sz w:val="22"/>
                <w:szCs w:val="22"/>
                <w:shd w:val="clear" w:color="auto" w:fill="FFFFFF"/>
              </w:rPr>
              <w:t>smanjenja</w:t>
            </w:r>
            <w:r w:rsidRPr="00DC010A">
              <w:rPr>
                <w:sz w:val="22"/>
                <w:szCs w:val="22"/>
                <w:shd w:val="clear" w:color="auto" w:fill="FFFFFF"/>
                <w:lang w:val="sr-Latn-CS"/>
              </w:rPr>
              <w:t xml:space="preserve"> </w:t>
            </w:r>
            <w:r w:rsidRPr="00DC010A">
              <w:rPr>
                <w:sz w:val="22"/>
                <w:szCs w:val="22"/>
                <w:shd w:val="clear" w:color="auto" w:fill="FFFFFF"/>
              </w:rPr>
              <w:t>izlo</w:t>
            </w:r>
            <w:r w:rsidRPr="00DC010A">
              <w:rPr>
                <w:sz w:val="22"/>
                <w:szCs w:val="22"/>
                <w:shd w:val="clear" w:color="auto" w:fill="FFFFFF"/>
                <w:lang w:val="sr-Latn-CS"/>
              </w:rPr>
              <w:t>ž</w:t>
            </w:r>
            <w:r w:rsidRPr="00DC010A">
              <w:rPr>
                <w:sz w:val="22"/>
                <w:szCs w:val="22"/>
                <w:shd w:val="clear" w:color="auto" w:fill="FFFFFF"/>
              </w:rPr>
              <w:t>enosti</w:t>
            </w:r>
            <w:r w:rsidRPr="00DC010A">
              <w:rPr>
                <w:sz w:val="22"/>
                <w:szCs w:val="22"/>
                <w:shd w:val="clear" w:color="auto" w:fill="FFFFFF"/>
                <w:lang w:val="sr-Latn-CS"/>
              </w:rPr>
              <w:t xml:space="preserve"> </w:t>
            </w:r>
            <w:r w:rsidRPr="00DC010A">
              <w:rPr>
                <w:sz w:val="22"/>
                <w:szCs w:val="22"/>
                <w:shd w:val="clear" w:color="auto" w:fill="FFFFFF"/>
              </w:rPr>
              <w:t>aktivnom</w:t>
            </w:r>
            <w:r w:rsidRPr="00DC010A">
              <w:rPr>
                <w:sz w:val="22"/>
                <w:szCs w:val="22"/>
                <w:shd w:val="clear" w:color="auto" w:fill="FFFFFF"/>
                <w:lang w:val="sr-Latn-CS"/>
              </w:rPr>
              <w:t xml:space="preserve"> </w:t>
            </w:r>
            <w:r w:rsidRPr="00DC010A">
              <w:rPr>
                <w:sz w:val="22"/>
                <w:szCs w:val="22"/>
                <w:shd w:val="clear" w:color="auto" w:fill="FFFFFF"/>
              </w:rPr>
              <w:t>metabolitu</w:t>
            </w:r>
            <w:r w:rsidRPr="00DC010A">
              <w:rPr>
                <w:sz w:val="22"/>
                <w:szCs w:val="22"/>
                <w:shd w:val="clear" w:color="auto" w:fill="FFFFFF"/>
                <w:lang w:val="sr-Latn-CS"/>
              </w:rPr>
              <w:t xml:space="preserve"> </w:t>
            </w:r>
            <w:r w:rsidRPr="00DC010A">
              <w:rPr>
                <w:sz w:val="22"/>
                <w:szCs w:val="22"/>
                <w:shd w:val="clear" w:color="auto" w:fill="FFFFFF"/>
              </w:rPr>
              <w:t>klopidogrela</w:t>
            </w:r>
            <w:r w:rsidRPr="00DC010A">
              <w:rPr>
                <w:sz w:val="22"/>
                <w:szCs w:val="22"/>
                <w:shd w:val="clear" w:color="auto" w:fill="FFFFFF"/>
                <w:lang w:val="sr-Latn-CS"/>
              </w:rPr>
              <w:t xml:space="preserve"> </w:t>
            </w:r>
            <w:r w:rsidRPr="00DC010A">
              <w:rPr>
                <w:sz w:val="22"/>
                <w:szCs w:val="22"/>
                <w:shd w:val="clear" w:color="auto" w:fill="FFFFFF"/>
              </w:rPr>
              <w:t>za</w:t>
            </w:r>
            <w:r w:rsidRPr="00DC010A">
              <w:rPr>
                <w:sz w:val="22"/>
                <w:szCs w:val="22"/>
                <w:shd w:val="clear" w:color="auto" w:fill="FFFFFF"/>
                <w:lang w:val="sr-Latn-CS"/>
              </w:rPr>
              <w:t xml:space="preserve"> </w:t>
            </w:r>
            <w:r w:rsidRPr="00DC010A">
              <w:rPr>
                <w:sz w:val="22"/>
                <w:szCs w:val="22"/>
                <w:shd w:val="clear" w:color="auto" w:fill="FFFFFF"/>
              </w:rPr>
              <w:t>prosje</w:t>
            </w:r>
            <w:r w:rsidRPr="00DC010A">
              <w:rPr>
                <w:sz w:val="22"/>
                <w:szCs w:val="22"/>
                <w:shd w:val="clear" w:color="auto" w:fill="FFFFFF"/>
                <w:lang w:val="sr-Latn-CS"/>
              </w:rPr>
              <w:t>č</w:t>
            </w:r>
            <w:r w:rsidRPr="00DC010A">
              <w:rPr>
                <w:sz w:val="22"/>
                <w:szCs w:val="22"/>
                <w:shd w:val="clear" w:color="auto" w:fill="FFFFFF"/>
              </w:rPr>
              <w:t>no</w:t>
            </w:r>
            <w:r w:rsidRPr="00DC010A">
              <w:rPr>
                <w:sz w:val="22"/>
                <w:szCs w:val="22"/>
                <w:shd w:val="clear" w:color="auto" w:fill="FFFFFF"/>
                <w:lang w:val="sr-Latn-CS"/>
              </w:rPr>
              <w:t xml:space="preserve"> 46%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smanjenja</w:t>
            </w:r>
            <w:r w:rsidRPr="00DC010A">
              <w:rPr>
                <w:sz w:val="22"/>
                <w:szCs w:val="22"/>
                <w:shd w:val="clear" w:color="auto" w:fill="FFFFFF"/>
                <w:lang w:val="sr-Latn-CS"/>
              </w:rPr>
              <w:t xml:space="preserve"> </w:t>
            </w:r>
            <w:r w:rsidRPr="00DC010A">
              <w:rPr>
                <w:sz w:val="22"/>
                <w:szCs w:val="22"/>
                <w:shd w:val="clear" w:color="auto" w:fill="FFFFFF"/>
              </w:rPr>
              <w:t>maksimalne</w:t>
            </w:r>
            <w:r w:rsidRPr="00DC010A">
              <w:rPr>
                <w:sz w:val="22"/>
                <w:szCs w:val="22"/>
                <w:shd w:val="clear" w:color="auto" w:fill="FFFFFF"/>
                <w:lang w:val="sr-Latn-CS"/>
              </w:rPr>
              <w:t xml:space="preserve"> </w:t>
            </w:r>
            <w:r w:rsidRPr="00DC010A">
              <w:rPr>
                <w:sz w:val="22"/>
                <w:szCs w:val="22"/>
                <w:shd w:val="clear" w:color="auto" w:fill="FFFFFF"/>
              </w:rPr>
              <w:t>inhibicije</w:t>
            </w:r>
            <w:r w:rsidRPr="00DC010A">
              <w:rPr>
                <w:sz w:val="22"/>
                <w:szCs w:val="22"/>
                <w:shd w:val="clear" w:color="auto" w:fill="FFFFFF"/>
                <w:lang w:val="sr-Latn-CS"/>
              </w:rPr>
              <w:t xml:space="preserve"> (</w:t>
            </w:r>
            <w:r w:rsidRPr="00DC010A">
              <w:rPr>
                <w:sz w:val="22"/>
                <w:szCs w:val="22"/>
                <w:shd w:val="clear" w:color="auto" w:fill="FFFFFF"/>
              </w:rPr>
              <w:t>indukovane</w:t>
            </w:r>
            <w:r w:rsidRPr="00DC010A">
              <w:rPr>
                <w:sz w:val="22"/>
                <w:szCs w:val="22"/>
                <w:shd w:val="clear" w:color="auto" w:fill="FFFFFF"/>
                <w:lang w:val="sr-Latn-CS"/>
              </w:rPr>
              <w:t xml:space="preserve"> </w:t>
            </w:r>
            <w:r w:rsidRPr="00DC010A">
              <w:rPr>
                <w:sz w:val="22"/>
                <w:szCs w:val="22"/>
                <w:shd w:val="clear" w:color="auto" w:fill="FFFFFF"/>
              </w:rPr>
              <w:t>ADP</w:t>
            </w:r>
            <w:r w:rsidRPr="00DC010A">
              <w:rPr>
                <w:sz w:val="22"/>
                <w:szCs w:val="22"/>
                <w:shd w:val="clear" w:color="auto" w:fill="FFFFFF"/>
                <w:lang w:val="sr-Latn-CS"/>
              </w:rPr>
              <w:t>-</w:t>
            </w:r>
            <w:r w:rsidRPr="00DC010A">
              <w:rPr>
                <w:sz w:val="22"/>
                <w:szCs w:val="22"/>
                <w:shd w:val="clear" w:color="auto" w:fill="FFFFFF"/>
              </w:rPr>
              <w:t>om</w:t>
            </w:r>
            <w:r w:rsidRPr="00DC010A">
              <w:rPr>
                <w:sz w:val="22"/>
                <w:szCs w:val="22"/>
                <w:shd w:val="clear" w:color="auto" w:fill="FFFFFF"/>
                <w:lang w:val="sr-Latn-CS"/>
              </w:rPr>
              <w:t xml:space="preserve">) </w:t>
            </w:r>
            <w:r w:rsidRPr="00DC010A">
              <w:rPr>
                <w:sz w:val="22"/>
                <w:szCs w:val="22"/>
                <w:shd w:val="clear" w:color="auto" w:fill="FFFFFF"/>
              </w:rPr>
              <w:t>agregacije</w:t>
            </w:r>
            <w:r w:rsidRPr="00DC010A">
              <w:rPr>
                <w:sz w:val="22"/>
                <w:szCs w:val="22"/>
                <w:shd w:val="clear" w:color="auto" w:fill="FFFFFF"/>
                <w:lang w:val="sr-Latn-CS"/>
              </w:rPr>
              <w:t xml:space="preserve"> </w:t>
            </w:r>
            <w:r w:rsidRPr="00DC010A">
              <w:rPr>
                <w:sz w:val="22"/>
                <w:szCs w:val="22"/>
                <w:shd w:val="clear" w:color="auto" w:fill="FFFFFF"/>
              </w:rPr>
              <w:t>trombocita</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prosjeku</w:t>
            </w:r>
            <w:r w:rsidRPr="00DC010A">
              <w:rPr>
                <w:sz w:val="22"/>
                <w:szCs w:val="22"/>
                <w:shd w:val="clear" w:color="auto" w:fill="FFFFFF"/>
                <w:lang w:val="sr-Latn-CS"/>
              </w:rPr>
              <w:t xml:space="preserve"> </w:t>
            </w:r>
            <w:r w:rsidRPr="00DC010A">
              <w:rPr>
                <w:sz w:val="22"/>
                <w:szCs w:val="22"/>
                <w:shd w:val="clear" w:color="auto" w:fill="FFFFFF"/>
              </w:rPr>
              <w:t>za</w:t>
            </w:r>
            <w:r w:rsidRPr="00DC010A">
              <w:rPr>
                <w:sz w:val="22"/>
                <w:szCs w:val="22"/>
                <w:shd w:val="clear" w:color="auto" w:fill="FFFFFF"/>
                <w:lang w:val="sr-Latn-CS"/>
              </w:rPr>
              <w:t xml:space="preserve"> 16%.</w:t>
            </w:r>
          </w:p>
          <w:p w:rsidR="008E31D0" w:rsidRPr="00DC010A" w:rsidRDefault="008E31D0" w:rsidP="008E31D0">
            <w:pPr>
              <w:pStyle w:val="NoSpacing"/>
              <w:rPr>
                <w:sz w:val="22"/>
                <w:szCs w:val="22"/>
                <w:lang w:val="sr-Latn-CS"/>
              </w:rPr>
            </w:pPr>
            <w:r w:rsidRPr="00DC010A">
              <w:rPr>
                <w:sz w:val="22"/>
                <w:szCs w:val="22"/>
                <w:shd w:val="clear" w:color="auto" w:fill="FFFFFF"/>
              </w:rPr>
              <w:t>Nepostojani</w:t>
            </w:r>
            <w:r w:rsidRPr="00DC010A">
              <w:rPr>
                <w:sz w:val="22"/>
                <w:szCs w:val="22"/>
                <w:shd w:val="clear" w:color="auto" w:fill="FFFFFF"/>
                <w:lang w:val="sr-Latn-CS"/>
              </w:rPr>
              <w:t xml:space="preserve"> </w:t>
            </w:r>
            <w:r w:rsidRPr="00DC010A">
              <w:rPr>
                <w:sz w:val="22"/>
                <w:szCs w:val="22"/>
                <w:shd w:val="clear" w:color="auto" w:fill="FFFFFF"/>
              </w:rPr>
              <w:t>podaci</w:t>
            </w:r>
            <w:r w:rsidRPr="00DC010A">
              <w:rPr>
                <w:sz w:val="22"/>
                <w:szCs w:val="22"/>
                <w:shd w:val="clear" w:color="auto" w:fill="FFFFFF"/>
                <w:lang w:val="sr-Latn-CS"/>
              </w:rPr>
              <w:t xml:space="preserve"> </w:t>
            </w:r>
            <w:r w:rsidRPr="00DC010A">
              <w:rPr>
                <w:sz w:val="22"/>
                <w:szCs w:val="22"/>
                <w:shd w:val="clear" w:color="auto" w:fill="FFFFFF"/>
              </w:rPr>
              <w:t>o</w:t>
            </w:r>
            <w:r w:rsidRPr="00DC010A">
              <w:rPr>
                <w:sz w:val="22"/>
                <w:szCs w:val="22"/>
                <w:shd w:val="clear" w:color="auto" w:fill="FFFFFF"/>
                <w:lang w:val="sr-Latn-CS"/>
              </w:rPr>
              <w:t xml:space="preserve"> </w:t>
            </w:r>
            <w:r w:rsidRPr="00DC010A">
              <w:rPr>
                <w:sz w:val="22"/>
                <w:szCs w:val="22"/>
                <w:shd w:val="clear" w:color="auto" w:fill="FFFFFF"/>
              </w:rPr>
              <w:t>klini</w:t>
            </w:r>
            <w:r w:rsidRPr="00DC010A">
              <w:rPr>
                <w:sz w:val="22"/>
                <w:szCs w:val="22"/>
                <w:shd w:val="clear" w:color="auto" w:fill="FFFFFF"/>
                <w:lang w:val="sr-Latn-CS"/>
              </w:rPr>
              <w:t>č</w:t>
            </w:r>
            <w:r w:rsidRPr="00DC010A">
              <w:rPr>
                <w:sz w:val="22"/>
                <w:szCs w:val="22"/>
                <w:shd w:val="clear" w:color="auto" w:fill="FFFFFF"/>
              </w:rPr>
              <w:t>kim</w:t>
            </w:r>
            <w:r w:rsidRPr="00DC010A">
              <w:rPr>
                <w:sz w:val="22"/>
                <w:szCs w:val="22"/>
                <w:shd w:val="clear" w:color="auto" w:fill="FFFFFF"/>
                <w:lang w:val="sr-Latn-CS"/>
              </w:rPr>
              <w:t xml:space="preserve"> </w:t>
            </w:r>
            <w:r w:rsidRPr="00DC010A">
              <w:rPr>
                <w:sz w:val="22"/>
                <w:szCs w:val="22"/>
                <w:shd w:val="clear" w:color="auto" w:fill="FFFFFF"/>
              </w:rPr>
              <w:t>implikacijama</w:t>
            </w:r>
            <w:r w:rsidRPr="00DC010A">
              <w:rPr>
                <w:sz w:val="22"/>
                <w:szCs w:val="22"/>
                <w:shd w:val="clear" w:color="auto" w:fill="FFFFFF"/>
                <w:lang w:val="sr-Latn-CS"/>
              </w:rPr>
              <w:t xml:space="preserve"> ove </w:t>
            </w:r>
            <w:r w:rsidRPr="00DC010A">
              <w:rPr>
                <w:sz w:val="22"/>
                <w:szCs w:val="22"/>
                <w:shd w:val="clear" w:color="auto" w:fill="FFFFFF"/>
              </w:rPr>
              <w:t>PK</w:t>
            </w:r>
            <w:r w:rsidRPr="00DC010A">
              <w:rPr>
                <w:sz w:val="22"/>
                <w:szCs w:val="22"/>
                <w:shd w:val="clear" w:color="auto" w:fill="FFFFFF"/>
                <w:lang w:val="sr-Latn-CS"/>
              </w:rPr>
              <w:t>/</w:t>
            </w:r>
            <w:r w:rsidRPr="00DC010A">
              <w:rPr>
                <w:sz w:val="22"/>
                <w:szCs w:val="22"/>
                <w:shd w:val="clear" w:color="auto" w:fill="FFFFFF"/>
              </w:rPr>
              <w:t>PD</w:t>
            </w:r>
            <w:r w:rsidRPr="00DC010A">
              <w:rPr>
                <w:sz w:val="22"/>
                <w:szCs w:val="22"/>
                <w:shd w:val="clear" w:color="auto" w:fill="FFFFFF"/>
                <w:lang w:val="sr-Latn-CS"/>
              </w:rPr>
              <w:t xml:space="preserve"> </w:t>
            </w:r>
            <w:r w:rsidRPr="00DC010A">
              <w:rPr>
                <w:sz w:val="22"/>
                <w:szCs w:val="22"/>
                <w:shd w:val="clear" w:color="auto" w:fill="FFFFFF"/>
              </w:rPr>
              <w:t>interakcije</w:t>
            </w:r>
            <w:r w:rsidRPr="00DC010A">
              <w:rPr>
                <w:sz w:val="22"/>
                <w:szCs w:val="22"/>
                <w:shd w:val="clear" w:color="auto" w:fill="FFFFFF"/>
                <w:lang w:val="sr-Latn-CS"/>
              </w:rPr>
              <w:t xml:space="preserve"> </w:t>
            </w:r>
            <w:r w:rsidRPr="00DC010A">
              <w:rPr>
                <w:sz w:val="22"/>
                <w:szCs w:val="22"/>
                <w:shd w:val="clear" w:color="auto" w:fill="FFFFFF"/>
              </w:rPr>
              <w:t>omeprazola</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smislu</w:t>
            </w:r>
            <w:r w:rsidRPr="00DC010A">
              <w:rPr>
                <w:sz w:val="22"/>
                <w:szCs w:val="22"/>
                <w:shd w:val="clear" w:color="auto" w:fill="FFFFFF"/>
                <w:lang w:val="sr-Latn-CS"/>
              </w:rPr>
              <w:t xml:space="preserve"> </w:t>
            </w:r>
            <w:r w:rsidRPr="00DC010A">
              <w:rPr>
                <w:sz w:val="22"/>
                <w:szCs w:val="22"/>
                <w:shd w:val="clear" w:color="auto" w:fill="FFFFFF"/>
              </w:rPr>
              <w:t>velikih</w:t>
            </w:r>
            <w:r w:rsidRPr="00DC010A">
              <w:rPr>
                <w:sz w:val="22"/>
                <w:szCs w:val="22"/>
                <w:shd w:val="clear" w:color="auto" w:fill="FFFFFF"/>
                <w:lang w:val="sr-Latn-CS"/>
              </w:rPr>
              <w:t xml:space="preserve"> </w:t>
            </w:r>
            <w:r w:rsidRPr="00DC010A">
              <w:rPr>
                <w:sz w:val="22"/>
                <w:szCs w:val="22"/>
                <w:shd w:val="clear" w:color="auto" w:fill="FFFFFF"/>
              </w:rPr>
              <w:t>kardiovaskularnih</w:t>
            </w:r>
            <w:r w:rsidRPr="00DC010A">
              <w:rPr>
                <w:sz w:val="22"/>
                <w:szCs w:val="22"/>
                <w:shd w:val="clear" w:color="auto" w:fill="FFFFFF"/>
                <w:lang w:val="sr-Latn-CS"/>
              </w:rPr>
              <w:t xml:space="preserve"> </w:t>
            </w:r>
            <w:r w:rsidRPr="00DC010A">
              <w:rPr>
                <w:sz w:val="22"/>
                <w:szCs w:val="22"/>
                <w:shd w:val="clear" w:color="auto" w:fill="FFFFFF"/>
              </w:rPr>
              <w:t>doga</w:t>
            </w:r>
            <w:r w:rsidRPr="00DC010A">
              <w:rPr>
                <w:sz w:val="22"/>
                <w:szCs w:val="22"/>
                <w:shd w:val="clear" w:color="auto" w:fill="FFFFFF"/>
                <w:lang w:val="sr-Latn-CS"/>
              </w:rPr>
              <w:t>đ</w:t>
            </w:r>
            <w:r w:rsidRPr="00DC010A">
              <w:rPr>
                <w:sz w:val="22"/>
                <w:szCs w:val="22"/>
                <w:shd w:val="clear" w:color="auto" w:fill="FFFFFF"/>
              </w:rPr>
              <w:t>aja</w:t>
            </w:r>
            <w:r w:rsidRPr="00DC010A">
              <w:rPr>
                <w:sz w:val="22"/>
                <w:szCs w:val="22"/>
                <w:shd w:val="clear" w:color="auto" w:fill="FFFFFF"/>
                <w:lang w:val="sr-Latn-CS"/>
              </w:rPr>
              <w:t xml:space="preserve"> </w:t>
            </w:r>
            <w:r w:rsidRPr="00DC010A">
              <w:rPr>
                <w:sz w:val="22"/>
                <w:szCs w:val="22"/>
                <w:shd w:val="clear" w:color="auto" w:fill="FFFFFF"/>
              </w:rPr>
              <w:t>prijavljeni</w:t>
            </w:r>
            <w:r w:rsidRPr="00DC010A">
              <w:rPr>
                <w:sz w:val="22"/>
                <w:szCs w:val="22"/>
                <w:shd w:val="clear" w:color="auto" w:fill="FFFFFF"/>
                <w:lang w:val="sr-Latn-CS"/>
              </w:rPr>
              <w:t xml:space="preserve"> </w:t>
            </w:r>
            <w:r w:rsidRPr="00DC010A">
              <w:rPr>
                <w:sz w:val="22"/>
                <w:szCs w:val="22"/>
                <w:shd w:val="clear" w:color="auto" w:fill="FFFFFF"/>
              </w:rPr>
              <w:t>su</w:t>
            </w:r>
            <w:r w:rsidRPr="00DC010A">
              <w:rPr>
                <w:sz w:val="22"/>
                <w:szCs w:val="22"/>
                <w:shd w:val="clear" w:color="auto" w:fill="FFFFFF"/>
                <w:lang w:val="sr-Latn-CS"/>
              </w:rPr>
              <w:t xml:space="preserve"> </w:t>
            </w:r>
            <w:r w:rsidRPr="00DC010A">
              <w:rPr>
                <w:sz w:val="22"/>
                <w:szCs w:val="22"/>
                <w:shd w:val="clear" w:color="auto" w:fill="FFFFFF"/>
              </w:rPr>
              <w:t>iz</w:t>
            </w:r>
            <w:r w:rsidRPr="00DC010A">
              <w:rPr>
                <w:sz w:val="22"/>
                <w:szCs w:val="22"/>
                <w:shd w:val="clear" w:color="auto" w:fill="FFFFFF"/>
                <w:lang w:val="sr-Latn-CS"/>
              </w:rPr>
              <w:t xml:space="preserve"> </w:t>
            </w:r>
            <w:r w:rsidRPr="00DC010A">
              <w:rPr>
                <w:sz w:val="22"/>
                <w:szCs w:val="22"/>
                <w:shd w:val="clear" w:color="auto" w:fill="FFFFFF"/>
              </w:rPr>
              <w:t>opservacionih</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klini</w:t>
            </w:r>
            <w:r w:rsidRPr="00DC010A">
              <w:rPr>
                <w:sz w:val="22"/>
                <w:szCs w:val="22"/>
                <w:shd w:val="clear" w:color="auto" w:fill="FFFFFF"/>
                <w:lang w:val="sr-Latn-CS"/>
              </w:rPr>
              <w:t>č</w:t>
            </w:r>
            <w:r w:rsidRPr="00DC010A">
              <w:rPr>
                <w:sz w:val="22"/>
                <w:szCs w:val="22"/>
                <w:shd w:val="clear" w:color="auto" w:fill="FFFFFF"/>
              </w:rPr>
              <w:t>kih</w:t>
            </w:r>
            <w:r w:rsidRPr="00DC010A">
              <w:rPr>
                <w:sz w:val="22"/>
                <w:szCs w:val="22"/>
                <w:shd w:val="clear" w:color="auto" w:fill="FFFFFF"/>
                <w:lang w:val="sr-Latn-CS"/>
              </w:rPr>
              <w:t xml:space="preserve"> </w:t>
            </w:r>
            <w:r w:rsidRPr="00DC010A">
              <w:rPr>
                <w:sz w:val="22"/>
                <w:szCs w:val="22"/>
                <w:shd w:val="clear" w:color="auto" w:fill="FFFFFF"/>
              </w:rPr>
              <w:t>studija</w:t>
            </w:r>
            <w:r w:rsidRPr="00DC010A">
              <w:rPr>
                <w:sz w:val="22"/>
                <w:szCs w:val="22"/>
                <w:shd w:val="clear" w:color="auto" w:fill="FFFFFF"/>
                <w:lang w:val="sr-Latn-CS"/>
              </w:rPr>
              <w:t xml:space="preserve">. </w:t>
            </w:r>
            <w:r w:rsidRPr="00DC010A">
              <w:rPr>
                <w:sz w:val="22"/>
                <w:szCs w:val="22"/>
                <w:shd w:val="clear" w:color="auto" w:fill="FFFFFF"/>
              </w:rPr>
              <w:t>Radi</w:t>
            </w:r>
            <w:r w:rsidRPr="00DC010A">
              <w:rPr>
                <w:sz w:val="22"/>
                <w:szCs w:val="22"/>
                <w:shd w:val="clear" w:color="auto" w:fill="FFFFFF"/>
                <w:lang w:val="sr-Latn-CS"/>
              </w:rPr>
              <w:t xml:space="preserve"> </w:t>
            </w:r>
            <w:r w:rsidRPr="00DC010A">
              <w:rPr>
                <w:sz w:val="22"/>
                <w:szCs w:val="22"/>
                <w:shd w:val="clear" w:color="auto" w:fill="FFFFFF"/>
              </w:rPr>
              <w:t>predostro</w:t>
            </w:r>
            <w:r w:rsidRPr="00DC010A">
              <w:rPr>
                <w:sz w:val="22"/>
                <w:szCs w:val="22"/>
                <w:shd w:val="clear" w:color="auto" w:fill="FFFFFF"/>
                <w:lang w:val="sr-Latn-CS"/>
              </w:rPr>
              <w:t>ž</w:t>
            </w:r>
            <w:r w:rsidRPr="00DC010A">
              <w:rPr>
                <w:sz w:val="22"/>
                <w:szCs w:val="22"/>
                <w:shd w:val="clear" w:color="auto" w:fill="FFFFFF"/>
              </w:rPr>
              <w:t>nosti</w:t>
            </w:r>
            <w:r w:rsidRPr="00DC010A">
              <w:rPr>
                <w:sz w:val="22"/>
                <w:szCs w:val="22"/>
                <w:shd w:val="clear" w:color="auto" w:fill="FFFFFF"/>
                <w:lang w:val="sr-Latn-CS"/>
              </w:rPr>
              <w:t xml:space="preserve">, </w:t>
            </w:r>
            <w:r w:rsidRPr="00DC010A">
              <w:rPr>
                <w:sz w:val="22"/>
                <w:szCs w:val="22"/>
                <w:shd w:val="clear" w:color="auto" w:fill="FFFFFF"/>
              </w:rPr>
              <w:t>istovremenu</w:t>
            </w:r>
            <w:r w:rsidRPr="00DC010A">
              <w:rPr>
                <w:sz w:val="22"/>
                <w:szCs w:val="22"/>
                <w:shd w:val="clear" w:color="auto" w:fill="FFFFFF"/>
                <w:lang w:val="sr-Latn-CS"/>
              </w:rPr>
              <w:t xml:space="preserve"> </w:t>
            </w:r>
            <w:r w:rsidRPr="00DC010A">
              <w:rPr>
                <w:sz w:val="22"/>
                <w:szCs w:val="22"/>
                <w:shd w:val="clear" w:color="auto" w:fill="FFFFFF"/>
              </w:rPr>
              <w:t>upotrebu</w:t>
            </w:r>
            <w:r w:rsidRPr="00DC010A">
              <w:rPr>
                <w:sz w:val="22"/>
                <w:szCs w:val="22"/>
                <w:shd w:val="clear" w:color="auto" w:fill="FFFFFF"/>
                <w:lang w:val="sr-Latn-CS"/>
              </w:rPr>
              <w:t xml:space="preserve"> </w:t>
            </w:r>
            <w:r w:rsidRPr="00DC010A">
              <w:rPr>
                <w:sz w:val="22"/>
                <w:szCs w:val="22"/>
                <w:shd w:val="clear" w:color="auto" w:fill="FFFFFF"/>
              </w:rPr>
              <w:t>omeprazola</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klopidogrela</w:t>
            </w:r>
            <w:r w:rsidRPr="00DC010A">
              <w:rPr>
                <w:sz w:val="22"/>
                <w:szCs w:val="22"/>
                <w:shd w:val="clear" w:color="auto" w:fill="FFFFFF"/>
                <w:lang w:val="sr-Latn-CS"/>
              </w:rPr>
              <w:t xml:space="preserve"> </w:t>
            </w:r>
            <w:r w:rsidRPr="00DC010A">
              <w:rPr>
                <w:sz w:val="22"/>
                <w:szCs w:val="22"/>
                <w:shd w:val="clear" w:color="auto" w:fill="FFFFFF"/>
              </w:rPr>
              <w:t>treba</w:t>
            </w:r>
            <w:r w:rsidRPr="00DC010A">
              <w:rPr>
                <w:sz w:val="22"/>
                <w:szCs w:val="22"/>
                <w:shd w:val="clear" w:color="auto" w:fill="FFFFFF"/>
                <w:lang w:val="sr-Latn-CS"/>
              </w:rPr>
              <w:t xml:space="preserve"> </w:t>
            </w:r>
            <w:r w:rsidRPr="00DC010A">
              <w:rPr>
                <w:sz w:val="22"/>
                <w:szCs w:val="22"/>
                <w:shd w:val="clear" w:color="auto" w:fill="FFFFFF"/>
              </w:rPr>
              <w:t>izbjegavati</w:t>
            </w:r>
            <w:r w:rsidRPr="00DC010A">
              <w:rPr>
                <w:sz w:val="22"/>
                <w:szCs w:val="22"/>
                <w:shd w:val="clear" w:color="auto" w:fill="FFFFFF"/>
                <w:lang w:val="sr-Latn-CS"/>
              </w:rPr>
              <w:t xml:space="preserve"> (</w:t>
            </w:r>
            <w:r w:rsidRPr="00DC010A">
              <w:rPr>
                <w:sz w:val="22"/>
                <w:szCs w:val="22"/>
                <w:shd w:val="clear" w:color="auto" w:fill="FFFFFF"/>
              </w:rPr>
              <w:t>vidjeti</w:t>
            </w:r>
            <w:r w:rsidRPr="00DC010A">
              <w:rPr>
                <w:sz w:val="22"/>
                <w:szCs w:val="22"/>
                <w:shd w:val="clear" w:color="auto" w:fill="FFFFFF"/>
                <w:lang w:val="sr-Latn-CS"/>
              </w:rPr>
              <w:t xml:space="preserve"> </w:t>
            </w:r>
            <w:r w:rsidRPr="00DC010A">
              <w:rPr>
                <w:sz w:val="22"/>
                <w:szCs w:val="22"/>
                <w:shd w:val="clear" w:color="auto" w:fill="FFFFFF"/>
              </w:rPr>
              <w:t>odjeljak</w:t>
            </w:r>
            <w:r w:rsidRPr="00DC010A">
              <w:rPr>
                <w:sz w:val="22"/>
                <w:szCs w:val="22"/>
                <w:shd w:val="clear" w:color="auto" w:fill="FFFFFF"/>
                <w:lang w:val="sr-Latn-CS"/>
              </w:rPr>
              <w:t xml:space="preserve"> 4.4).</w:t>
            </w:r>
            <w:r w:rsidRPr="00DC010A">
              <w:rPr>
                <w:sz w:val="22"/>
                <w:szCs w:val="22"/>
                <w:lang w:val="sr-Latn-CS"/>
              </w:rPr>
              <w:t>.</w:t>
            </w:r>
          </w:p>
          <w:p w:rsidR="008E31D0" w:rsidRPr="00DC010A" w:rsidRDefault="008E31D0" w:rsidP="008E31D0">
            <w:pPr>
              <w:pStyle w:val="NoSpacing"/>
              <w:rPr>
                <w:sz w:val="22"/>
                <w:szCs w:val="22"/>
                <w:lang w:val="sr-Latn-CS"/>
              </w:rPr>
            </w:pPr>
          </w:p>
          <w:p w:rsidR="008E31D0" w:rsidRPr="00DC010A" w:rsidRDefault="008E31D0" w:rsidP="008E31D0">
            <w:pPr>
              <w:pStyle w:val="NoSpacing"/>
              <w:rPr>
                <w:i/>
                <w:sz w:val="22"/>
                <w:szCs w:val="22"/>
                <w:lang w:val="sr-Latn-CS"/>
              </w:rPr>
            </w:pPr>
            <w:r w:rsidRPr="00DC010A">
              <w:rPr>
                <w:i/>
                <w:sz w:val="22"/>
                <w:szCs w:val="22"/>
                <w:lang w:val="sr-Latn-CS"/>
              </w:rPr>
              <w:t>Ostale aktivne supstance</w:t>
            </w:r>
          </w:p>
          <w:p w:rsidR="008E31D0" w:rsidRPr="00DC010A" w:rsidRDefault="008E31D0" w:rsidP="008E31D0">
            <w:pPr>
              <w:pStyle w:val="NoSpacing"/>
              <w:rPr>
                <w:sz w:val="22"/>
                <w:szCs w:val="22"/>
                <w:lang w:val="sr-Latn-CS"/>
              </w:rPr>
            </w:pPr>
            <w:r w:rsidRPr="00DC010A">
              <w:rPr>
                <w:sz w:val="22"/>
                <w:szCs w:val="22"/>
                <w:lang w:val="sr-Latn-CS"/>
              </w:rPr>
              <w:t>Resorpcija posakonazola, erlotiniba, ketokonazola i itraklonazola je značajno smanjena, a time i klinička efikasnost može biti smanjena. Potrebno je izbjegavati istovremenu primjenu omeprazola sa posakonazolom i erlotinibinom.</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u w:val="single"/>
                <w:lang w:val="sr-Latn-CS"/>
              </w:rPr>
            </w:pPr>
            <w:r w:rsidRPr="00DC010A">
              <w:rPr>
                <w:sz w:val="22"/>
                <w:szCs w:val="22"/>
                <w:u w:val="single"/>
                <w:lang w:val="sr-Latn-CS"/>
              </w:rPr>
              <w:t>Aktivne supstance koje se metabolišu putem CYP2C19</w:t>
            </w:r>
          </w:p>
          <w:p w:rsidR="008E31D0" w:rsidRPr="00DC010A" w:rsidRDefault="008E31D0" w:rsidP="008E31D0">
            <w:pPr>
              <w:pStyle w:val="NoSpacing"/>
              <w:rPr>
                <w:sz w:val="22"/>
                <w:szCs w:val="22"/>
                <w:lang w:val="sr-Latn-CS"/>
              </w:rPr>
            </w:pPr>
            <w:r w:rsidRPr="00DC010A">
              <w:rPr>
                <w:sz w:val="22"/>
                <w:szCs w:val="22"/>
                <w:lang w:val="sr-Latn-CS"/>
              </w:rPr>
              <w:t>Omeprazol je umjereni inhibitor CYP2C19, glavnog enzima odgovornog za metabolizam omeprazola. Prema tome, metabolizam istovremeno primijenjenih aktivnih supstanci koje se takođe metabolišu putem enzima CYP2C19, može biti smanjen,  sistemska izloženost ovim supstancama povećana. Primjeri ovakvih ljekova su R-varfarin i ostali antagonisti vitamina K, cilostazol, diazepam i fenitoin.</w:t>
            </w:r>
          </w:p>
          <w:p w:rsidR="008E31D0" w:rsidRPr="00DC010A" w:rsidRDefault="008E31D0" w:rsidP="008E31D0">
            <w:pPr>
              <w:pStyle w:val="NoSpacing"/>
              <w:rPr>
                <w:sz w:val="22"/>
                <w:szCs w:val="22"/>
                <w:lang w:val="sr-Latn-CS"/>
              </w:rPr>
            </w:pPr>
          </w:p>
          <w:p w:rsidR="008E31D0" w:rsidRPr="00DC010A" w:rsidRDefault="008E31D0" w:rsidP="008E31D0">
            <w:pPr>
              <w:pStyle w:val="NoSpacing"/>
              <w:rPr>
                <w:i/>
                <w:sz w:val="22"/>
                <w:szCs w:val="22"/>
                <w:lang w:val="sr-Latn-CS"/>
              </w:rPr>
            </w:pPr>
            <w:r w:rsidRPr="00DC010A">
              <w:rPr>
                <w:i/>
                <w:sz w:val="22"/>
                <w:szCs w:val="22"/>
                <w:lang w:val="sr-Latn-CS"/>
              </w:rPr>
              <w:t>Cilostazol</w:t>
            </w:r>
          </w:p>
          <w:p w:rsidR="008E31D0" w:rsidRPr="00DC010A" w:rsidRDefault="008E31D0" w:rsidP="008E31D0">
            <w:pPr>
              <w:pStyle w:val="NoSpacing"/>
              <w:rPr>
                <w:sz w:val="22"/>
                <w:szCs w:val="22"/>
                <w:lang w:val="sr-Latn-CS"/>
              </w:rPr>
            </w:pPr>
            <w:r w:rsidRPr="00DC010A">
              <w:rPr>
                <w:sz w:val="22"/>
                <w:szCs w:val="22"/>
                <w:lang w:val="sr-Latn-CS"/>
              </w:rPr>
              <w:t xml:space="preserve">Omeprazol, dat u dozi od 40 mg kod zdravih ispitanika u „cross-over“ studiji, povećava Cmax i </w:t>
            </w:r>
            <w:smartTag w:uri="urn:schemas-microsoft-com:office:smarttags" w:element="stockticker">
              <w:r w:rsidRPr="00DC010A">
                <w:rPr>
                  <w:sz w:val="22"/>
                  <w:szCs w:val="22"/>
                  <w:lang w:val="sr-Latn-CS"/>
                </w:rPr>
                <w:t>PIK</w:t>
              </w:r>
            </w:smartTag>
            <w:r w:rsidRPr="00DC010A">
              <w:rPr>
                <w:sz w:val="22"/>
                <w:szCs w:val="22"/>
                <w:lang w:val="sr-Latn-CS"/>
              </w:rPr>
              <w:t xml:space="preserve"> cilostazola za 18% odnosno 26%, jednog od aktivnih metabolita za 29% odnosno 69%.</w:t>
            </w:r>
          </w:p>
          <w:p w:rsidR="008E31D0" w:rsidRPr="00DC010A" w:rsidRDefault="008E31D0" w:rsidP="008E31D0">
            <w:pPr>
              <w:pStyle w:val="NoSpacing"/>
              <w:rPr>
                <w:sz w:val="22"/>
                <w:szCs w:val="22"/>
                <w:lang w:val="sr-Latn-CS"/>
              </w:rPr>
            </w:pPr>
          </w:p>
          <w:p w:rsidR="008E31D0" w:rsidRPr="00DC010A" w:rsidRDefault="008E31D0" w:rsidP="008E31D0">
            <w:pPr>
              <w:pStyle w:val="NoSpacing"/>
              <w:rPr>
                <w:i/>
                <w:sz w:val="22"/>
                <w:szCs w:val="22"/>
                <w:lang w:val="sr-Latn-CS"/>
              </w:rPr>
            </w:pPr>
            <w:r w:rsidRPr="00DC010A">
              <w:rPr>
                <w:i/>
                <w:sz w:val="22"/>
                <w:szCs w:val="22"/>
                <w:lang w:val="sr-Latn-CS"/>
              </w:rPr>
              <w:t>Fenitoin</w:t>
            </w:r>
          </w:p>
          <w:p w:rsidR="008E31D0" w:rsidRPr="00DC010A" w:rsidRDefault="008E31D0" w:rsidP="008E31D0">
            <w:pPr>
              <w:pStyle w:val="NoSpacing"/>
              <w:rPr>
                <w:sz w:val="22"/>
                <w:szCs w:val="22"/>
                <w:lang w:val="sr-Latn-CS"/>
              </w:rPr>
            </w:pPr>
            <w:r w:rsidRPr="00DC010A">
              <w:rPr>
                <w:sz w:val="22"/>
                <w:szCs w:val="22"/>
                <w:lang w:val="sr-Latn-CS"/>
              </w:rPr>
              <w:t xml:space="preserve">Praćenje koncetracija fenitoina u plazmi se preporučuje tokom prve dvije nedjelje nakon započinjanja terapije omeprazolom i, ako se doza fenitoina prilagodi, nakon završetka liječenja omeprazolom nužno je praćenje i dalje prilagođavanje doze. </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u w:val="single"/>
                <w:lang w:val="sr-Latn-CS"/>
              </w:rPr>
            </w:pPr>
            <w:r w:rsidRPr="00DC010A">
              <w:rPr>
                <w:sz w:val="22"/>
                <w:szCs w:val="22"/>
                <w:u w:val="single"/>
                <w:lang w:val="sr-Latn-CS"/>
              </w:rPr>
              <w:t>Nepoznati mehanizam</w:t>
            </w:r>
          </w:p>
          <w:p w:rsidR="008E31D0" w:rsidRPr="00DC010A" w:rsidRDefault="008E31D0" w:rsidP="008E31D0">
            <w:pPr>
              <w:pStyle w:val="NoSpacing"/>
              <w:rPr>
                <w:sz w:val="22"/>
                <w:szCs w:val="22"/>
                <w:u w:val="single"/>
                <w:lang w:val="sr-Latn-CS"/>
              </w:rPr>
            </w:pPr>
          </w:p>
          <w:p w:rsidR="008E31D0" w:rsidRPr="00DC010A" w:rsidRDefault="008E31D0" w:rsidP="008E31D0">
            <w:pPr>
              <w:pStyle w:val="NoSpacing"/>
              <w:rPr>
                <w:i/>
                <w:sz w:val="22"/>
                <w:szCs w:val="22"/>
                <w:lang w:val="sr-Latn-CS"/>
              </w:rPr>
            </w:pPr>
            <w:r w:rsidRPr="00DC010A">
              <w:rPr>
                <w:i/>
                <w:sz w:val="22"/>
                <w:szCs w:val="22"/>
                <w:lang w:val="sr-Latn-CS"/>
              </w:rPr>
              <w:t>Sakvinavir</w:t>
            </w:r>
          </w:p>
          <w:p w:rsidR="008E31D0" w:rsidRPr="00DC010A" w:rsidRDefault="008E31D0" w:rsidP="008E31D0">
            <w:pPr>
              <w:pStyle w:val="NoSpacing"/>
              <w:rPr>
                <w:sz w:val="22"/>
                <w:szCs w:val="22"/>
                <w:lang w:val="sr-Latn-CS"/>
              </w:rPr>
            </w:pPr>
            <w:r w:rsidRPr="00DC010A">
              <w:rPr>
                <w:sz w:val="22"/>
                <w:szCs w:val="22"/>
                <w:lang w:val="sr-Latn-CS"/>
              </w:rPr>
              <w:t>Istovremena primjena omeprazola i sakvinavira/ritonavira dovodi do povećanja vrijednosti sakvinavira u plazmi do približno 70%  što je bilo povezano sa dobrom podnošljivošću kod HIV-pozitivnih pacijenata.</w:t>
            </w:r>
          </w:p>
          <w:p w:rsidR="008E31D0" w:rsidRPr="00DC010A" w:rsidRDefault="008E31D0" w:rsidP="008E31D0">
            <w:pPr>
              <w:pStyle w:val="NoSpacing"/>
              <w:rPr>
                <w:sz w:val="22"/>
                <w:szCs w:val="22"/>
                <w:lang w:val="sr-Latn-CS"/>
              </w:rPr>
            </w:pPr>
          </w:p>
          <w:p w:rsidR="008E31D0" w:rsidRPr="00DC010A" w:rsidRDefault="008E31D0" w:rsidP="008E31D0">
            <w:pPr>
              <w:pStyle w:val="NoSpacing"/>
              <w:rPr>
                <w:i/>
                <w:sz w:val="22"/>
                <w:szCs w:val="22"/>
                <w:lang w:val="sr-Latn-CS"/>
              </w:rPr>
            </w:pPr>
            <w:r w:rsidRPr="00DC010A">
              <w:rPr>
                <w:i/>
                <w:sz w:val="22"/>
                <w:szCs w:val="22"/>
                <w:lang w:val="sr-Latn-CS"/>
              </w:rPr>
              <w:t>Takrolimus</w:t>
            </w:r>
          </w:p>
          <w:p w:rsidR="008E31D0" w:rsidRPr="00DC010A" w:rsidRDefault="008E31D0" w:rsidP="008E31D0">
            <w:pPr>
              <w:pStyle w:val="NoSpacing"/>
              <w:rPr>
                <w:sz w:val="22"/>
                <w:szCs w:val="22"/>
                <w:lang w:val="sr-Latn-CS"/>
              </w:rPr>
            </w:pPr>
            <w:r w:rsidRPr="00DC010A">
              <w:rPr>
                <w:sz w:val="22"/>
                <w:szCs w:val="22"/>
                <w:lang w:val="sr-Latn-CS"/>
              </w:rPr>
              <w:t>Istovremena primjena omeprazola i takrolimusa može povećati vrijednosti takrolimusa u serumu. Potrebno je pojačati praćenje koncentracije takrolimusa kao i funkciju bubrega (klirens kreatinina), i po potrebi, prilagoditi dozu takrolimusa.</w:t>
            </w:r>
          </w:p>
          <w:p w:rsidR="008E31D0" w:rsidRPr="00DC010A" w:rsidRDefault="008E31D0" w:rsidP="008E31D0">
            <w:pPr>
              <w:pStyle w:val="NoSpacing"/>
              <w:rPr>
                <w:sz w:val="22"/>
                <w:szCs w:val="22"/>
                <w:lang w:val="sr-Latn-CS"/>
              </w:rPr>
            </w:pPr>
          </w:p>
          <w:p w:rsidR="008E31D0" w:rsidRPr="00DC010A" w:rsidRDefault="008E31D0" w:rsidP="008E31D0">
            <w:pPr>
              <w:pStyle w:val="NoSpacing"/>
              <w:rPr>
                <w:i/>
                <w:sz w:val="22"/>
                <w:szCs w:val="22"/>
                <w:lang w:val="sr-Latn-CS"/>
              </w:rPr>
            </w:pPr>
            <w:r w:rsidRPr="00DC010A">
              <w:rPr>
                <w:i/>
                <w:sz w:val="22"/>
                <w:szCs w:val="22"/>
                <w:lang w:val="sr-Latn-CS"/>
              </w:rPr>
              <w:t>Metotreksat</w:t>
            </w:r>
          </w:p>
          <w:p w:rsidR="008E31D0" w:rsidRPr="00DC010A" w:rsidRDefault="008E31D0" w:rsidP="008E31D0">
            <w:pPr>
              <w:pStyle w:val="NoSpacing"/>
              <w:rPr>
                <w:sz w:val="22"/>
                <w:szCs w:val="22"/>
                <w:lang w:val="sr-Latn-CS"/>
              </w:rPr>
            </w:pPr>
            <w:r w:rsidRPr="00DC010A">
              <w:rPr>
                <w:sz w:val="22"/>
                <w:szCs w:val="22"/>
                <w:lang w:val="sr-Latn-CS"/>
              </w:rPr>
              <w:t>Kada se metotreksat primjenjuje istovremeno sa inhibitorima protonske pumpe, vrijednosti metotreksta mogu biti povećane kod nekih pacijenata. Ako se primjenjuju visoke doze metotreksata treba razmotriti privremeni prekid terapije omprazolom.</w:t>
            </w:r>
          </w:p>
          <w:p w:rsidR="008E31D0" w:rsidRPr="00DC010A" w:rsidRDefault="008E31D0" w:rsidP="008E31D0">
            <w:pPr>
              <w:pStyle w:val="NoSpacing"/>
              <w:rPr>
                <w:sz w:val="22"/>
                <w:szCs w:val="22"/>
                <w:lang w:val="sr-Latn-CS"/>
              </w:rPr>
            </w:pPr>
          </w:p>
          <w:p w:rsidR="000474DF" w:rsidRPr="00DC010A" w:rsidRDefault="000474DF" w:rsidP="008E31D0">
            <w:pPr>
              <w:pStyle w:val="NoSpacing"/>
              <w:rPr>
                <w:sz w:val="22"/>
                <w:szCs w:val="22"/>
                <w:u w:val="single"/>
                <w:lang w:val="sr-Latn-CS"/>
              </w:rPr>
            </w:pPr>
          </w:p>
          <w:p w:rsidR="008E31D0" w:rsidRPr="00DC010A" w:rsidRDefault="008E31D0" w:rsidP="008E31D0">
            <w:pPr>
              <w:pStyle w:val="NoSpacing"/>
              <w:rPr>
                <w:sz w:val="22"/>
                <w:szCs w:val="22"/>
                <w:u w:val="single"/>
                <w:lang w:val="sr-Latn-CS"/>
              </w:rPr>
            </w:pPr>
            <w:r w:rsidRPr="00DC010A">
              <w:rPr>
                <w:sz w:val="22"/>
                <w:szCs w:val="22"/>
                <w:u w:val="single"/>
                <w:lang w:val="sr-Latn-CS"/>
              </w:rPr>
              <w:lastRenderedPageBreak/>
              <w:t>Efekti drugih aktivnih supstanci na farmakokinetiku omeprazola</w:t>
            </w:r>
          </w:p>
          <w:p w:rsidR="008E31D0" w:rsidRPr="00DC010A" w:rsidRDefault="008E31D0" w:rsidP="008E31D0">
            <w:pPr>
              <w:pStyle w:val="NoSpacing"/>
              <w:rPr>
                <w:sz w:val="22"/>
                <w:szCs w:val="22"/>
                <w:u w:val="single"/>
                <w:lang w:val="sr-Latn-CS"/>
              </w:rPr>
            </w:pPr>
          </w:p>
          <w:p w:rsidR="008E31D0" w:rsidRPr="00DC010A" w:rsidRDefault="008E31D0" w:rsidP="008E31D0">
            <w:pPr>
              <w:pStyle w:val="NoSpacing"/>
              <w:rPr>
                <w:i/>
                <w:sz w:val="22"/>
                <w:szCs w:val="22"/>
                <w:lang w:val="sr-Latn-CS"/>
              </w:rPr>
            </w:pPr>
            <w:r w:rsidRPr="00DC010A">
              <w:rPr>
                <w:i/>
                <w:sz w:val="22"/>
                <w:szCs w:val="22"/>
                <w:lang w:val="sr-Latn-CS"/>
              </w:rPr>
              <w:t>Inhibitori CYP2C19 i/ili CYP3A4</w:t>
            </w:r>
          </w:p>
          <w:p w:rsidR="008E31D0" w:rsidRPr="00DC010A" w:rsidRDefault="008E31D0" w:rsidP="008E31D0">
            <w:pPr>
              <w:pStyle w:val="NoSpacing"/>
              <w:rPr>
                <w:sz w:val="22"/>
                <w:szCs w:val="22"/>
                <w:lang w:val="sr-Latn-CS"/>
              </w:rPr>
            </w:pPr>
            <w:r w:rsidRPr="00DC010A">
              <w:rPr>
                <w:sz w:val="22"/>
                <w:szCs w:val="22"/>
                <w:lang w:val="sr-Latn-CS"/>
              </w:rPr>
              <w:t>S obzirom da se omeprazol metaboliše putem CYP2C19 i CYP3A4, aktivne supstance za koje se zna da inhibiraju CYP2C19 i CYP23A4 (kao što su klaritromicin i vorikonazol) mogu dovesti do povećanja vrijednosti omeprazola u serumu jer smanjuju brzinu metabolima omeprazola. Istovremena primjena sa vorikonazolom dovodi do više nego dvostruke izloženosti omeprazola. Kako se visoke doze omeprazola dobro podnose, generalno nije potrebno prilagođavanje doze. Međutim, treba uzeti u obzir prilagođavanje doze kod pacijenata sa teškim oštećenjem jetre i u slučaju kada je indikovana dugotrajna terapija.</w:t>
            </w:r>
          </w:p>
          <w:p w:rsidR="008E31D0" w:rsidRPr="00DC010A" w:rsidRDefault="008E31D0" w:rsidP="008E31D0">
            <w:pPr>
              <w:pStyle w:val="NoSpacing"/>
              <w:rPr>
                <w:sz w:val="22"/>
                <w:szCs w:val="22"/>
                <w:lang w:val="sr-Latn-CS"/>
              </w:rPr>
            </w:pPr>
          </w:p>
          <w:p w:rsidR="008E31D0" w:rsidRPr="00DC010A" w:rsidRDefault="008E31D0" w:rsidP="008E31D0">
            <w:pPr>
              <w:pStyle w:val="NoSpacing"/>
              <w:rPr>
                <w:i/>
                <w:sz w:val="22"/>
                <w:szCs w:val="22"/>
                <w:lang w:val="sr-Latn-CS"/>
              </w:rPr>
            </w:pPr>
            <w:r w:rsidRPr="00DC010A">
              <w:rPr>
                <w:i/>
                <w:sz w:val="22"/>
                <w:szCs w:val="22"/>
                <w:lang w:val="sr-Latn-CS"/>
              </w:rPr>
              <w:t>Induktori CYP2C19 i/ili CYP3A4</w:t>
            </w:r>
          </w:p>
          <w:p w:rsidR="008E31D0" w:rsidRPr="00DC010A" w:rsidRDefault="008E31D0" w:rsidP="008E31D0">
            <w:pPr>
              <w:pStyle w:val="NoSpacing"/>
              <w:rPr>
                <w:sz w:val="22"/>
                <w:szCs w:val="22"/>
                <w:lang w:val="sr-Latn-CS"/>
              </w:rPr>
            </w:pPr>
            <w:r w:rsidRPr="00DC010A">
              <w:rPr>
                <w:sz w:val="22"/>
                <w:szCs w:val="22"/>
                <w:lang w:val="sr-Latn-CS"/>
              </w:rPr>
              <w:t>Aktivne supstance za koje se zna da indukuju CYP2C19 ili CYP3A4 ili oba enzima (kao što su rifampicin i preparati koji sadrže kantarion) mogu dovesti do smanjenja vrijednosti omeprazola u serumu povećavajući brzinu metabolizma omeprazola.</w:t>
            </w:r>
          </w:p>
          <w:p w:rsidR="008E31D0" w:rsidRPr="00DC010A" w:rsidRDefault="008E31D0" w:rsidP="008E31D0">
            <w:pPr>
              <w:pStyle w:val="NoSpacing"/>
              <w:rPr>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r w:rsidRPr="00DC010A">
              <w:rPr>
                <w:b/>
                <w:bCs/>
                <w:sz w:val="22"/>
                <w:szCs w:val="22"/>
                <w:lang w:val="sr-Latn-CS"/>
              </w:rPr>
              <w:lastRenderedPageBreak/>
              <w:t>4.6. Primjena u periodu trudnoće i dojenja</w:t>
            </w:r>
          </w:p>
          <w:p w:rsidR="000474DF" w:rsidRPr="00DC010A" w:rsidRDefault="000474DF" w:rsidP="008E31D0">
            <w:pPr>
              <w:pStyle w:val="NoSpacing"/>
              <w:rPr>
                <w:b/>
                <w:bCs/>
                <w:sz w:val="22"/>
                <w:szCs w:val="22"/>
                <w:lang w:val="sr-Latn-CS"/>
              </w:rPr>
            </w:pPr>
          </w:p>
        </w:tc>
      </w:tr>
      <w:tr w:rsidR="008E31D0" w:rsidRPr="00DC010A" w:rsidTr="0089758C">
        <w:trPr>
          <w:trHeight w:val="540"/>
        </w:trPr>
        <w:tc>
          <w:tcPr>
            <w:tcW w:w="10188" w:type="dxa"/>
            <w:gridSpan w:val="4"/>
            <w:vAlign w:val="center"/>
          </w:tcPr>
          <w:p w:rsidR="008E31D0" w:rsidRPr="00DC010A" w:rsidRDefault="008E31D0" w:rsidP="008E31D0">
            <w:pPr>
              <w:pStyle w:val="NoSpacing"/>
              <w:rPr>
                <w:sz w:val="22"/>
                <w:szCs w:val="22"/>
                <w:lang w:val="sr-Latn-CS"/>
              </w:rPr>
            </w:pPr>
            <w:r w:rsidRPr="00DC010A">
              <w:rPr>
                <w:b/>
                <w:bCs/>
                <w:sz w:val="22"/>
                <w:szCs w:val="22"/>
                <w:lang w:val="sr-Latn-CS"/>
              </w:rPr>
              <w:t>Trudnoća</w:t>
            </w:r>
          </w:p>
          <w:p w:rsidR="008E31D0" w:rsidRPr="00DC010A" w:rsidRDefault="008E31D0" w:rsidP="008E31D0">
            <w:pPr>
              <w:pStyle w:val="NoSpacing"/>
              <w:rPr>
                <w:sz w:val="22"/>
                <w:szCs w:val="22"/>
                <w:lang w:val="sr-Latn-CS"/>
              </w:rPr>
            </w:pPr>
            <w:r w:rsidRPr="00DC010A">
              <w:rPr>
                <w:sz w:val="22"/>
                <w:szCs w:val="22"/>
                <w:lang w:val="sr-Latn-CS"/>
              </w:rPr>
              <w:t>Rezultati iz tri prospektivne epidemiološke studije (više od 1000 rezultat izloženih trudnica) ukazuju da nema neželjenih efekata omeprazola na trudnoću ili na zdravlje fetusa/novorođenčeta. Omeprazol se može primjenjivati tokom trudnoće.</w:t>
            </w:r>
          </w:p>
          <w:p w:rsidR="008E31D0" w:rsidRPr="00DC010A" w:rsidRDefault="008E31D0" w:rsidP="008E31D0">
            <w:pPr>
              <w:pStyle w:val="NoSpacing"/>
              <w:rPr>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Dojenje</w:t>
            </w:r>
          </w:p>
          <w:p w:rsidR="008E31D0" w:rsidRPr="00DC010A" w:rsidRDefault="008E31D0" w:rsidP="008E31D0">
            <w:pPr>
              <w:pStyle w:val="NoSpacing"/>
              <w:rPr>
                <w:sz w:val="22"/>
                <w:szCs w:val="22"/>
                <w:lang w:val="sr-Latn-CS"/>
              </w:rPr>
            </w:pPr>
            <w:r w:rsidRPr="00DC010A">
              <w:rPr>
                <w:sz w:val="22"/>
                <w:szCs w:val="22"/>
                <w:lang w:val="sr-Latn-CS"/>
              </w:rPr>
              <w:t>Omeprazol se izlučuje u majčino mlijeko ali je malo vjerovatno da će uticati na dijete, kada se primjenjuje u terapijskim dozama,.</w:t>
            </w:r>
          </w:p>
          <w:p w:rsidR="008E31D0" w:rsidRPr="00DC010A" w:rsidRDefault="008E31D0" w:rsidP="008E31D0">
            <w:pPr>
              <w:pStyle w:val="NoSpacing"/>
              <w:rPr>
                <w:sz w:val="22"/>
                <w:szCs w:val="22"/>
                <w:lang w:val="sr-Latn-CS"/>
              </w:rPr>
            </w:pPr>
          </w:p>
          <w:p w:rsidR="008E31D0" w:rsidRPr="00DC010A" w:rsidRDefault="008E31D0" w:rsidP="008E31D0">
            <w:pPr>
              <w:pStyle w:val="NoSpacing"/>
              <w:rPr>
                <w:b/>
                <w:sz w:val="22"/>
                <w:szCs w:val="22"/>
                <w:lang w:val="sr-Latn-CS"/>
              </w:rPr>
            </w:pPr>
            <w:r w:rsidRPr="00DC010A">
              <w:rPr>
                <w:b/>
                <w:sz w:val="22"/>
                <w:szCs w:val="22"/>
                <w:lang w:val="sr-Latn-CS"/>
              </w:rPr>
              <w:t>Plodnost</w:t>
            </w:r>
          </w:p>
          <w:p w:rsidR="008E31D0" w:rsidRPr="00DC010A" w:rsidRDefault="008E31D0" w:rsidP="008E31D0">
            <w:pPr>
              <w:pStyle w:val="NoSpacing"/>
              <w:rPr>
                <w:b/>
                <w:sz w:val="22"/>
                <w:szCs w:val="22"/>
                <w:lang w:val="sr-Latn-CS"/>
              </w:rPr>
            </w:pPr>
            <w:r w:rsidRPr="00DC010A">
              <w:rPr>
                <w:sz w:val="22"/>
                <w:szCs w:val="22"/>
                <w:shd w:val="clear" w:color="auto" w:fill="FFFFFF"/>
              </w:rPr>
              <w:t>Studije</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ž</w:t>
            </w:r>
            <w:r w:rsidRPr="00DC010A">
              <w:rPr>
                <w:sz w:val="22"/>
                <w:szCs w:val="22"/>
                <w:shd w:val="clear" w:color="auto" w:fill="FFFFFF"/>
              </w:rPr>
              <w:t>ivotinjama</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racemskom</w:t>
            </w:r>
            <w:r w:rsidRPr="00DC010A">
              <w:rPr>
                <w:sz w:val="22"/>
                <w:szCs w:val="22"/>
                <w:shd w:val="clear" w:color="auto" w:fill="FFFFFF"/>
                <w:lang w:val="sr-Latn-CS"/>
              </w:rPr>
              <w:t xml:space="preserve"> </w:t>
            </w:r>
            <w:r w:rsidRPr="00DC010A">
              <w:rPr>
                <w:sz w:val="22"/>
                <w:szCs w:val="22"/>
                <w:shd w:val="clear" w:color="auto" w:fill="FFFFFF"/>
              </w:rPr>
              <w:t>smje</w:t>
            </w:r>
            <w:r w:rsidR="00AA06C2" w:rsidRPr="00DC010A">
              <w:rPr>
                <w:sz w:val="22"/>
                <w:szCs w:val="22"/>
                <w:shd w:val="clear" w:color="auto" w:fill="FFFFFF"/>
                <w:lang w:val="sr-Latn-CS"/>
              </w:rPr>
              <w:t>š</w:t>
            </w:r>
            <w:r w:rsidRPr="00DC010A">
              <w:rPr>
                <w:sz w:val="22"/>
                <w:szCs w:val="22"/>
                <w:shd w:val="clear" w:color="auto" w:fill="FFFFFF"/>
              </w:rPr>
              <w:t>om</w:t>
            </w:r>
            <w:r w:rsidRPr="00DC010A">
              <w:rPr>
                <w:sz w:val="22"/>
                <w:szCs w:val="22"/>
                <w:shd w:val="clear" w:color="auto" w:fill="FFFFFF"/>
                <w:lang w:val="sr-Latn-CS"/>
              </w:rPr>
              <w:t xml:space="preserve"> </w:t>
            </w:r>
            <w:r w:rsidRPr="00DC010A">
              <w:rPr>
                <w:sz w:val="22"/>
                <w:szCs w:val="22"/>
                <w:shd w:val="clear" w:color="auto" w:fill="FFFFFF"/>
              </w:rPr>
              <w:t>omeprazola</w:t>
            </w:r>
            <w:r w:rsidRPr="00DC010A">
              <w:rPr>
                <w:sz w:val="22"/>
                <w:szCs w:val="22"/>
                <w:shd w:val="clear" w:color="auto" w:fill="FFFFFF"/>
                <w:lang w:val="sr-Latn-CS"/>
              </w:rPr>
              <w:t xml:space="preserve">, </w:t>
            </w:r>
            <w:r w:rsidRPr="00DC010A">
              <w:rPr>
                <w:sz w:val="22"/>
                <w:szCs w:val="22"/>
                <w:shd w:val="clear" w:color="auto" w:fill="FFFFFF"/>
              </w:rPr>
              <w:t>primijenjenom</w:t>
            </w:r>
            <w:r w:rsidRPr="00DC010A">
              <w:rPr>
                <w:sz w:val="22"/>
                <w:szCs w:val="22"/>
                <w:shd w:val="clear" w:color="auto" w:fill="FFFFFF"/>
                <w:lang w:val="sr-Latn-CS"/>
              </w:rPr>
              <w:t xml:space="preserve"> </w:t>
            </w:r>
            <w:r w:rsidRPr="00DC010A">
              <w:rPr>
                <w:sz w:val="22"/>
                <w:szCs w:val="22"/>
                <w:shd w:val="clear" w:color="auto" w:fill="FFFFFF"/>
              </w:rPr>
              <w:t>peroralno</w:t>
            </w:r>
            <w:r w:rsidRPr="00DC010A">
              <w:rPr>
                <w:sz w:val="22"/>
                <w:szCs w:val="22"/>
                <w:shd w:val="clear" w:color="auto" w:fill="FFFFFF"/>
                <w:lang w:val="sr-Latn-CS"/>
              </w:rPr>
              <w:t xml:space="preserve">, </w:t>
            </w:r>
            <w:r w:rsidRPr="00DC010A">
              <w:rPr>
                <w:sz w:val="22"/>
                <w:szCs w:val="22"/>
                <w:shd w:val="clear" w:color="auto" w:fill="FFFFFF"/>
              </w:rPr>
              <w:t>nijesu</w:t>
            </w:r>
            <w:r w:rsidRPr="00DC010A">
              <w:rPr>
                <w:sz w:val="22"/>
                <w:szCs w:val="22"/>
                <w:shd w:val="clear" w:color="auto" w:fill="FFFFFF"/>
                <w:lang w:val="sr-Latn-CS"/>
              </w:rPr>
              <w:t xml:space="preserve"> </w:t>
            </w:r>
            <w:r w:rsidRPr="00DC010A">
              <w:rPr>
                <w:sz w:val="22"/>
                <w:szCs w:val="22"/>
                <w:shd w:val="clear" w:color="auto" w:fill="FFFFFF"/>
              </w:rPr>
              <w:t>pokazale</w:t>
            </w:r>
            <w:r w:rsidRPr="00DC010A">
              <w:rPr>
                <w:sz w:val="22"/>
                <w:szCs w:val="22"/>
                <w:shd w:val="clear" w:color="auto" w:fill="FFFFFF"/>
                <w:lang w:val="sr-Latn-CS"/>
              </w:rPr>
              <w:t xml:space="preserve"> </w:t>
            </w:r>
            <w:r w:rsidRPr="00DC010A">
              <w:rPr>
                <w:sz w:val="22"/>
                <w:szCs w:val="22"/>
                <w:shd w:val="clear" w:color="auto" w:fill="FFFFFF"/>
              </w:rPr>
              <w:t>efekte</w:t>
            </w:r>
            <w:r w:rsidRPr="00DC010A">
              <w:rPr>
                <w:sz w:val="22"/>
                <w:szCs w:val="22"/>
                <w:shd w:val="clear" w:color="auto" w:fill="FFFFFF"/>
                <w:lang w:val="sr-Latn-CS"/>
              </w:rPr>
              <w:t xml:space="preserve"> </w:t>
            </w:r>
            <w:r w:rsidRPr="00DC010A">
              <w:rPr>
                <w:sz w:val="22"/>
                <w:szCs w:val="22"/>
                <w:shd w:val="clear" w:color="auto" w:fill="FFFFFF"/>
              </w:rPr>
              <w:t>na</w:t>
            </w:r>
            <w:r w:rsidRPr="00DC010A">
              <w:rPr>
                <w:sz w:val="22"/>
                <w:szCs w:val="22"/>
                <w:shd w:val="clear" w:color="auto" w:fill="FFFFFF"/>
                <w:lang w:val="sr-Latn-CS"/>
              </w:rPr>
              <w:t xml:space="preserve"> </w:t>
            </w:r>
            <w:r w:rsidRPr="00DC010A">
              <w:rPr>
                <w:sz w:val="22"/>
                <w:szCs w:val="22"/>
                <w:shd w:val="clear" w:color="auto" w:fill="FFFFFF"/>
              </w:rPr>
              <w:t>plodnost</w:t>
            </w:r>
            <w:r w:rsidRPr="00DC010A">
              <w:rPr>
                <w:sz w:val="22"/>
                <w:szCs w:val="22"/>
                <w:shd w:val="clear" w:color="auto" w:fill="FFFFFF"/>
                <w:lang w:val="sr-Latn-CS"/>
              </w:rPr>
              <w:t>.</w:t>
            </w:r>
          </w:p>
          <w:p w:rsidR="008E31D0" w:rsidRPr="00DC010A" w:rsidRDefault="008E31D0" w:rsidP="008E31D0">
            <w:pPr>
              <w:pStyle w:val="NoSpacing"/>
              <w:rPr>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pacing w:val="-8"/>
                <w:sz w:val="22"/>
                <w:szCs w:val="22"/>
                <w:lang w:val="sr-Latn-CS"/>
              </w:rPr>
            </w:pPr>
            <w:r w:rsidRPr="00DC010A">
              <w:rPr>
                <w:b/>
                <w:bCs/>
                <w:spacing w:val="-8"/>
                <w:sz w:val="22"/>
                <w:szCs w:val="22"/>
                <w:lang w:val="sr-Latn-CS"/>
              </w:rPr>
              <w:t>4.7. Uticaj na psihofizičke sposobnosti prilikom upravljanja motornim vozilom i rukovanja mašinama</w:t>
            </w:r>
          </w:p>
          <w:p w:rsidR="000474DF" w:rsidRPr="00DC010A" w:rsidRDefault="000474DF" w:rsidP="008E31D0">
            <w:pPr>
              <w:pStyle w:val="NoSpacing"/>
              <w:rPr>
                <w:b/>
                <w:bCs/>
                <w:spacing w:val="-8"/>
                <w:sz w:val="22"/>
                <w:szCs w:val="22"/>
                <w:lang w:val="sr-Latn-CS"/>
              </w:rPr>
            </w:pPr>
          </w:p>
        </w:tc>
      </w:tr>
      <w:tr w:rsidR="008E31D0" w:rsidRPr="00DC010A" w:rsidTr="0089758C">
        <w:trPr>
          <w:trHeight w:val="788"/>
        </w:trPr>
        <w:tc>
          <w:tcPr>
            <w:tcW w:w="10188" w:type="dxa"/>
            <w:gridSpan w:val="4"/>
            <w:vAlign w:val="center"/>
          </w:tcPr>
          <w:p w:rsidR="008E31D0" w:rsidRPr="00DC010A" w:rsidRDefault="008E31D0" w:rsidP="008E31D0">
            <w:pPr>
              <w:pStyle w:val="NoSpacing"/>
              <w:rPr>
                <w:sz w:val="22"/>
                <w:szCs w:val="22"/>
                <w:lang w:val="sr-Latn-CS"/>
              </w:rPr>
            </w:pPr>
            <w:r w:rsidRPr="00DC010A">
              <w:rPr>
                <w:sz w:val="22"/>
                <w:szCs w:val="22"/>
                <w:lang w:val="sr-Latn-CS"/>
              </w:rPr>
              <w:t>Malo je vjerovatno da omeprazol utiče na sposobnost upravljanja motornim vozilom ili rukovanja mašinama. Mogu se javiti neželjene reakcije kao što su ošamućenost i poremećaj vida (vidjeti odjeljak 4.8). Ako se kod pacijenta jave ova neželjene dejstva, ne bi trebalo da upravlja motornim vozilom ili rukuje mašinama.</w:t>
            </w:r>
          </w:p>
          <w:p w:rsidR="008E31D0" w:rsidRPr="00DC010A" w:rsidRDefault="008E31D0" w:rsidP="008E31D0">
            <w:pPr>
              <w:pStyle w:val="NoSpacing"/>
              <w:rPr>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r w:rsidRPr="00DC010A">
              <w:rPr>
                <w:b/>
                <w:bCs/>
                <w:sz w:val="22"/>
                <w:szCs w:val="22"/>
                <w:lang w:val="sr-Latn-CS"/>
              </w:rPr>
              <w:t>4.8. Neželjena dejstva</w:t>
            </w:r>
          </w:p>
          <w:p w:rsidR="000474DF" w:rsidRPr="00DC010A" w:rsidRDefault="000474DF" w:rsidP="008E31D0">
            <w:pPr>
              <w:pStyle w:val="NoSpacing"/>
              <w:rPr>
                <w:b/>
                <w:bCs/>
                <w:sz w:val="22"/>
                <w:szCs w:val="22"/>
                <w:lang w:val="sr-Latn-CS"/>
              </w:rPr>
            </w:pPr>
          </w:p>
          <w:p w:rsidR="008E31D0" w:rsidRPr="00DC010A" w:rsidRDefault="008E31D0" w:rsidP="008E31D0">
            <w:pPr>
              <w:pStyle w:val="NoSpacing"/>
              <w:rPr>
                <w:b/>
                <w:bCs/>
                <w:sz w:val="22"/>
                <w:szCs w:val="22"/>
                <w:lang w:val="sr-Latn-CS"/>
              </w:rPr>
            </w:pPr>
            <w:r w:rsidRPr="00DC010A">
              <w:rPr>
                <w:sz w:val="22"/>
                <w:szCs w:val="22"/>
                <w:u w:val="single"/>
                <w:shd w:val="clear" w:color="auto" w:fill="FFFFFF"/>
              </w:rPr>
              <w:t>Sa</w:t>
            </w:r>
            <w:r w:rsidRPr="00DC010A">
              <w:rPr>
                <w:sz w:val="22"/>
                <w:szCs w:val="22"/>
                <w:u w:val="single"/>
                <w:shd w:val="clear" w:color="auto" w:fill="FFFFFF"/>
                <w:lang w:val="sr-Latn-CS"/>
              </w:rPr>
              <w:t>ž</w:t>
            </w:r>
            <w:r w:rsidRPr="00DC010A">
              <w:rPr>
                <w:sz w:val="22"/>
                <w:szCs w:val="22"/>
                <w:u w:val="single"/>
                <w:shd w:val="clear" w:color="auto" w:fill="FFFFFF"/>
              </w:rPr>
              <w:t>etak</w:t>
            </w:r>
            <w:r w:rsidRPr="00DC010A">
              <w:rPr>
                <w:sz w:val="22"/>
                <w:szCs w:val="22"/>
                <w:u w:val="single"/>
                <w:shd w:val="clear" w:color="auto" w:fill="FFFFFF"/>
                <w:lang w:val="sr-Latn-CS"/>
              </w:rPr>
              <w:t xml:space="preserve"> </w:t>
            </w:r>
            <w:r w:rsidRPr="00DC010A">
              <w:rPr>
                <w:sz w:val="22"/>
                <w:szCs w:val="22"/>
                <w:u w:val="single"/>
                <w:shd w:val="clear" w:color="auto" w:fill="FFFFFF"/>
              </w:rPr>
              <w:t>bezbjednosnog</w:t>
            </w:r>
            <w:r w:rsidRPr="00DC010A">
              <w:rPr>
                <w:sz w:val="22"/>
                <w:szCs w:val="22"/>
                <w:u w:val="single"/>
                <w:shd w:val="clear" w:color="auto" w:fill="FFFFFF"/>
                <w:lang w:val="sr-Latn-CS"/>
              </w:rPr>
              <w:t xml:space="preserve"> </w:t>
            </w:r>
            <w:r w:rsidRPr="00DC010A">
              <w:rPr>
                <w:sz w:val="22"/>
                <w:szCs w:val="22"/>
                <w:u w:val="single"/>
                <w:shd w:val="clear" w:color="auto" w:fill="FFFFFF"/>
              </w:rPr>
              <w:t>profila</w:t>
            </w:r>
            <w:r w:rsidRPr="00DC010A">
              <w:rPr>
                <w:sz w:val="22"/>
                <w:szCs w:val="22"/>
                <w:lang w:val="sr-Latn-CS"/>
              </w:rPr>
              <w:br/>
            </w:r>
            <w:r w:rsidRPr="00DC010A">
              <w:rPr>
                <w:sz w:val="22"/>
                <w:szCs w:val="22"/>
                <w:shd w:val="clear" w:color="auto" w:fill="FFFFFF"/>
              </w:rPr>
              <w:t>Naj</w:t>
            </w:r>
            <w:r w:rsidRPr="00DC010A">
              <w:rPr>
                <w:sz w:val="22"/>
                <w:szCs w:val="22"/>
                <w:shd w:val="clear" w:color="auto" w:fill="FFFFFF"/>
                <w:lang w:val="sr-Latn-CS"/>
              </w:rPr>
              <w:t>č</w:t>
            </w:r>
            <w:r w:rsidRPr="00DC010A">
              <w:rPr>
                <w:sz w:val="22"/>
                <w:szCs w:val="22"/>
                <w:shd w:val="clear" w:color="auto" w:fill="FFFFFF"/>
              </w:rPr>
              <w:t>e</w:t>
            </w:r>
            <w:r w:rsidRPr="00DC010A">
              <w:rPr>
                <w:sz w:val="22"/>
                <w:szCs w:val="22"/>
                <w:shd w:val="clear" w:color="auto" w:fill="FFFFFF"/>
                <w:lang w:val="sr-Latn-CS"/>
              </w:rPr>
              <w:t>š</w:t>
            </w:r>
            <w:r w:rsidRPr="00DC010A">
              <w:rPr>
                <w:sz w:val="22"/>
                <w:szCs w:val="22"/>
                <w:shd w:val="clear" w:color="auto" w:fill="FFFFFF"/>
              </w:rPr>
              <w:t>c</w:t>
            </w:r>
            <w:r w:rsidRPr="00DC010A">
              <w:rPr>
                <w:sz w:val="22"/>
                <w:szCs w:val="22"/>
                <w:shd w:val="clear" w:color="auto" w:fill="FFFFFF"/>
                <w:lang w:val="sr-Latn-CS"/>
              </w:rPr>
              <w:t>́</w:t>
            </w:r>
            <w:r w:rsidRPr="00DC010A">
              <w:rPr>
                <w:sz w:val="22"/>
                <w:szCs w:val="22"/>
                <w:shd w:val="clear" w:color="auto" w:fill="FFFFFF"/>
              </w:rPr>
              <w:t>a</w:t>
            </w:r>
            <w:r w:rsidRPr="00DC010A">
              <w:rPr>
                <w:sz w:val="22"/>
                <w:szCs w:val="22"/>
                <w:shd w:val="clear" w:color="auto" w:fill="FFFFFF"/>
                <w:lang w:val="sr-Latn-CS"/>
              </w:rPr>
              <w:t xml:space="preserve"> </w:t>
            </w:r>
            <w:r w:rsidRPr="00DC010A">
              <w:rPr>
                <w:sz w:val="22"/>
                <w:szCs w:val="22"/>
                <w:shd w:val="clear" w:color="auto" w:fill="FFFFFF"/>
              </w:rPr>
              <w:t>ne</w:t>
            </w:r>
            <w:r w:rsidRPr="00DC010A">
              <w:rPr>
                <w:sz w:val="22"/>
                <w:szCs w:val="22"/>
                <w:shd w:val="clear" w:color="auto" w:fill="FFFFFF"/>
                <w:lang w:val="sr-Latn-CS"/>
              </w:rPr>
              <w:t>ž</w:t>
            </w:r>
            <w:r w:rsidRPr="00DC010A">
              <w:rPr>
                <w:sz w:val="22"/>
                <w:szCs w:val="22"/>
                <w:shd w:val="clear" w:color="auto" w:fill="FFFFFF"/>
              </w:rPr>
              <w:t>eljena</w:t>
            </w:r>
            <w:r w:rsidRPr="00DC010A">
              <w:rPr>
                <w:sz w:val="22"/>
                <w:szCs w:val="22"/>
                <w:shd w:val="clear" w:color="auto" w:fill="FFFFFF"/>
                <w:lang w:val="sr-Latn-CS"/>
              </w:rPr>
              <w:t xml:space="preserve"> </w:t>
            </w:r>
            <w:r w:rsidRPr="00DC010A">
              <w:rPr>
                <w:sz w:val="22"/>
                <w:szCs w:val="22"/>
                <w:shd w:val="clear" w:color="auto" w:fill="FFFFFF"/>
              </w:rPr>
              <w:t>dejstva</w:t>
            </w:r>
            <w:r w:rsidRPr="00DC010A">
              <w:rPr>
                <w:sz w:val="22"/>
                <w:szCs w:val="22"/>
                <w:shd w:val="clear" w:color="auto" w:fill="FFFFFF"/>
                <w:lang w:val="sr-Latn-CS"/>
              </w:rPr>
              <w:t xml:space="preserve"> (1-10% </w:t>
            </w:r>
            <w:r w:rsidRPr="00DC010A">
              <w:rPr>
                <w:sz w:val="22"/>
                <w:szCs w:val="22"/>
                <w:shd w:val="clear" w:color="auto" w:fill="FFFFFF"/>
              </w:rPr>
              <w:t>pacijenata</w:t>
            </w:r>
            <w:r w:rsidRPr="00DC010A">
              <w:rPr>
                <w:sz w:val="22"/>
                <w:szCs w:val="22"/>
                <w:shd w:val="clear" w:color="auto" w:fill="FFFFFF"/>
                <w:lang w:val="sr-Latn-CS"/>
              </w:rPr>
              <w:t xml:space="preserve">) </w:t>
            </w:r>
            <w:r w:rsidRPr="00DC010A">
              <w:rPr>
                <w:sz w:val="22"/>
                <w:szCs w:val="22"/>
                <w:shd w:val="clear" w:color="auto" w:fill="FFFFFF"/>
              </w:rPr>
              <w:t>su</w:t>
            </w:r>
            <w:r w:rsidRPr="00DC010A">
              <w:rPr>
                <w:sz w:val="22"/>
                <w:szCs w:val="22"/>
                <w:shd w:val="clear" w:color="auto" w:fill="FFFFFF"/>
                <w:lang w:val="sr-Latn-CS"/>
              </w:rPr>
              <w:t xml:space="preserve"> </w:t>
            </w:r>
            <w:r w:rsidRPr="00DC010A">
              <w:rPr>
                <w:sz w:val="22"/>
                <w:szCs w:val="22"/>
                <w:shd w:val="clear" w:color="auto" w:fill="FFFFFF"/>
              </w:rPr>
              <w:t>glavobolja</w:t>
            </w:r>
            <w:r w:rsidRPr="00DC010A">
              <w:rPr>
                <w:sz w:val="22"/>
                <w:szCs w:val="22"/>
                <w:shd w:val="clear" w:color="auto" w:fill="FFFFFF"/>
                <w:lang w:val="sr-Latn-CS"/>
              </w:rPr>
              <w:t xml:space="preserve">, </w:t>
            </w:r>
            <w:r w:rsidRPr="00DC010A">
              <w:rPr>
                <w:sz w:val="22"/>
                <w:szCs w:val="22"/>
                <w:shd w:val="clear" w:color="auto" w:fill="FFFFFF"/>
              </w:rPr>
              <w:t>bol</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stomaku</w:t>
            </w:r>
            <w:r w:rsidRPr="00DC010A">
              <w:rPr>
                <w:sz w:val="22"/>
                <w:szCs w:val="22"/>
                <w:shd w:val="clear" w:color="auto" w:fill="FFFFFF"/>
                <w:lang w:val="sr-Latn-CS"/>
              </w:rPr>
              <w:t xml:space="preserve">, </w:t>
            </w:r>
            <w:r w:rsidRPr="00DC010A">
              <w:rPr>
                <w:sz w:val="22"/>
                <w:szCs w:val="22"/>
                <w:shd w:val="clear" w:color="auto" w:fill="FFFFFF"/>
              </w:rPr>
              <w:t>konstipacija</w:t>
            </w:r>
            <w:r w:rsidRPr="00DC010A">
              <w:rPr>
                <w:sz w:val="22"/>
                <w:szCs w:val="22"/>
                <w:shd w:val="clear" w:color="auto" w:fill="FFFFFF"/>
                <w:lang w:val="sr-Latn-CS"/>
              </w:rPr>
              <w:t xml:space="preserve">, </w:t>
            </w:r>
            <w:r w:rsidRPr="00DC010A">
              <w:rPr>
                <w:sz w:val="22"/>
                <w:szCs w:val="22"/>
                <w:shd w:val="clear" w:color="auto" w:fill="FFFFFF"/>
              </w:rPr>
              <w:t>dijareja</w:t>
            </w:r>
            <w:r w:rsidRPr="00DC010A">
              <w:rPr>
                <w:sz w:val="22"/>
                <w:szCs w:val="22"/>
                <w:shd w:val="clear" w:color="auto" w:fill="FFFFFF"/>
                <w:lang w:val="sr-Latn-CS"/>
              </w:rPr>
              <w:t xml:space="preserve">, </w:t>
            </w:r>
            <w:r w:rsidRPr="00DC010A">
              <w:rPr>
                <w:sz w:val="22"/>
                <w:szCs w:val="22"/>
                <w:shd w:val="clear" w:color="auto" w:fill="FFFFFF"/>
              </w:rPr>
              <w:t>nadimanje</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mu</w:t>
            </w:r>
            <w:r w:rsidRPr="00DC010A">
              <w:rPr>
                <w:sz w:val="22"/>
                <w:szCs w:val="22"/>
                <w:shd w:val="clear" w:color="auto" w:fill="FFFFFF"/>
                <w:lang w:val="sr-Latn-CS"/>
              </w:rPr>
              <w:t>č</w:t>
            </w:r>
            <w:r w:rsidRPr="00DC010A">
              <w:rPr>
                <w:sz w:val="22"/>
                <w:szCs w:val="22"/>
                <w:shd w:val="clear" w:color="auto" w:fill="FFFFFF"/>
              </w:rPr>
              <w:t>nina</w:t>
            </w:r>
            <w:r w:rsidRPr="00DC010A">
              <w:rPr>
                <w:sz w:val="22"/>
                <w:szCs w:val="22"/>
                <w:shd w:val="clear" w:color="auto" w:fill="FFFFFF"/>
                <w:lang w:val="sr-Latn-CS"/>
              </w:rPr>
              <w:t>/</w:t>
            </w:r>
            <w:r w:rsidRPr="00DC010A">
              <w:rPr>
                <w:sz w:val="22"/>
                <w:szCs w:val="22"/>
                <w:shd w:val="clear" w:color="auto" w:fill="FFFFFF"/>
              </w:rPr>
              <w:t>povrac</w:t>
            </w:r>
            <w:r w:rsidRPr="00DC010A">
              <w:rPr>
                <w:sz w:val="22"/>
                <w:szCs w:val="22"/>
                <w:shd w:val="clear" w:color="auto" w:fill="FFFFFF"/>
                <w:lang w:val="sr-Latn-CS"/>
              </w:rPr>
              <w:t>́</w:t>
            </w:r>
            <w:r w:rsidRPr="00DC010A">
              <w:rPr>
                <w:sz w:val="22"/>
                <w:szCs w:val="22"/>
                <w:shd w:val="clear" w:color="auto" w:fill="FFFFFF"/>
              </w:rPr>
              <w:t>anje</w:t>
            </w:r>
            <w:r w:rsidRPr="00DC010A">
              <w:rPr>
                <w:sz w:val="22"/>
                <w:szCs w:val="22"/>
                <w:shd w:val="clear" w:color="auto" w:fill="FFFFFF"/>
                <w:lang w:val="sr-Latn-CS"/>
              </w:rPr>
              <w:t>.</w:t>
            </w:r>
          </w:p>
        </w:tc>
      </w:tr>
      <w:tr w:rsidR="008E31D0" w:rsidRPr="00DC010A" w:rsidTr="0089758C">
        <w:trPr>
          <w:trHeight w:val="899"/>
        </w:trPr>
        <w:tc>
          <w:tcPr>
            <w:tcW w:w="10188" w:type="dxa"/>
            <w:gridSpan w:val="4"/>
            <w:vAlign w:val="center"/>
          </w:tcPr>
          <w:p w:rsidR="008E31D0" w:rsidRPr="00DC010A" w:rsidRDefault="008E31D0" w:rsidP="008E31D0">
            <w:pPr>
              <w:pStyle w:val="NoSpacing"/>
              <w:rPr>
                <w:rFonts w:cs="Arial"/>
                <w:sz w:val="22"/>
                <w:szCs w:val="22"/>
                <w:lang w:val="sr-Latn-CS"/>
              </w:rPr>
            </w:pPr>
          </w:p>
          <w:p w:rsidR="008E31D0" w:rsidRPr="00DC010A" w:rsidRDefault="008E31D0" w:rsidP="008E31D0">
            <w:pPr>
              <w:pStyle w:val="NoSpacing"/>
              <w:rPr>
                <w:sz w:val="22"/>
                <w:szCs w:val="22"/>
                <w:lang w:val="sr-Latn-CS"/>
              </w:rPr>
            </w:pPr>
            <w:r w:rsidRPr="00DC010A">
              <w:rPr>
                <w:rFonts w:cs="Arial"/>
                <w:sz w:val="22"/>
                <w:szCs w:val="22"/>
                <w:lang w:val="sr-Latn-CS"/>
              </w:rPr>
              <w:t>Sljedeća neželjena dejstva vezana za omeprazol su identifikovana ili bila suspektna u kliničkim studijama i nakon stavljanja lijeka u promet. Ni za jedno nije utvrđeno da je dozno-zavisno</w:t>
            </w:r>
            <w:r w:rsidRPr="00DC010A">
              <w:rPr>
                <w:sz w:val="22"/>
                <w:szCs w:val="22"/>
                <w:lang w:val="sr-Latn-CS"/>
              </w:rPr>
              <w:t xml:space="preserve">. </w:t>
            </w:r>
            <w:r w:rsidRPr="00DC010A">
              <w:rPr>
                <w:sz w:val="22"/>
                <w:szCs w:val="22"/>
                <w:shd w:val="clear" w:color="auto" w:fill="FFFFFF"/>
              </w:rPr>
              <w:t>Ne</w:t>
            </w:r>
            <w:r w:rsidRPr="00DC010A">
              <w:rPr>
                <w:sz w:val="22"/>
                <w:szCs w:val="22"/>
                <w:shd w:val="clear" w:color="auto" w:fill="FFFFFF"/>
                <w:lang w:val="sr-Latn-CS"/>
              </w:rPr>
              <w:t>ž</w:t>
            </w:r>
            <w:r w:rsidRPr="00DC010A">
              <w:rPr>
                <w:sz w:val="22"/>
                <w:szCs w:val="22"/>
                <w:shd w:val="clear" w:color="auto" w:fill="FFFFFF"/>
              </w:rPr>
              <w:t>eljena</w:t>
            </w:r>
            <w:r w:rsidRPr="00DC010A">
              <w:rPr>
                <w:sz w:val="22"/>
                <w:szCs w:val="22"/>
                <w:shd w:val="clear" w:color="auto" w:fill="FFFFFF"/>
                <w:lang w:val="sr-Latn-CS"/>
              </w:rPr>
              <w:t xml:space="preserve"> </w:t>
            </w:r>
            <w:r w:rsidRPr="00DC010A">
              <w:rPr>
                <w:sz w:val="22"/>
                <w:szCs w:val="22"/>
                <w:shd w:val="clear" w:color="auto" w:fill="FFFFFF"/>
              </w:rPr>
              <w:t>dejstva</w:t>
            </w:r>
            <w:r w:rsidRPr="00DC010A">
              <w:rPr>
                <w:sz w:val="22"/>
                <w:szCs w:val="22"/>
                <w:shd w:val="clear" w:color="auto" w:fill="FFFFFF"/>
                <w:lang w:val="sr-Latn-CS"/>
              </w:rPr>
              <w:t xml:space="preserve"> </w:t>
            </w:r>
            <w:r w:rsidRPr="00DC010A">
              <w:rPr>
                <w:sz w:val="22"/>
                <w:szCs w:val="22"/>
                <w:shd w:val="clear" w:color="auto" w:fill="FFFFFF"/>
              </w:rPr>
              <w:t>navedena</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 xml:space="preserve"> </w:t>
            </w:r>
            <w:r w:rsidRPr="00DC010A">
              <w:rPr>
                <w:sz w:val="22"/>
                <w:szCs w:val="22"/>
                <w:shd w:val="clear" w:color="auto" w:fill="FFFFFF"/>
              </w:rPr>
              <w:t>nastavku</w:t>
            </w:r>
            <w:r w:rsidRPr="00DC010A">
              <w:rPr>
                <w:sz w:val="22"/>
                <w:szCs w:val="22"/>
                <w:shd w:val="clear" w:color="auto" w:fill="FFFFFF"/>
                <w:lang w:val="sr-Latn-CS"/>
              </w:rPr>
              <w:t xml:space="preserve"> </w:t>
            </w:r>
            <w:r w:rsidRPr="00DC010A">
              <w:rPr>
                <w:sz w:val="22"/>
                <w:szCs w:val="22"/>
                <w:shd w:val="clear" w:color="auto" w:fill="FFFFFF"/>
              </w:rPr>
              <w:t>su</w:t>
            </w:r>
            <w:r w:rsidRPr="00DC010A">
              <w:rPr>
                <w:sz w:val="22"/>
                <w:szCs w:val="22"/>
                <w:shd w:val="clear" w:color="auto" w:fill="FFFFFF"/>
                <w:lang w:val="sr-Latn-CS"/>
              </w:rPr>
              <w:t xml:space="preserve"> </w:t>
            </w:r>
            <w:r w:rsidRPr="00DC010A">
              <w:rPr>
                <w:sz w:val="22"/>
                <w:szCs w:val="22"/>
                <w:shd w:val="clear" w:color="auto" w:fill="FFFFFF"/>
              </w:rPr>
              <w:t>klasifikovana</w:t>
            </w:r>
            <w:r w:rsidRPr="00DC010A">
              <w:rPr>
                <w:sz w:val="22"/>
                <w:szCs w:val="22"/>
                <w:shd w:val="clear" w:color="auto" w:fill="FFFFFF"/>
                <w:lang w:val="sr-Latn-CS"/>
              </w:rPr>
              <w:t xml:space="preserve"> </w:t>
            </w:r>
            <w:r w:rsidRPr="00DC010A">
              <w:rPr>
                <w:sz w:val="22"/>
                <w:szCs w:val="22"/>
                <w:shd w:val="clear" w:color="auto" w:fill="FFFFFF"/>
              </w:rPr>
              <w:t>prema</w:t>
            </w:r>
            <w:r w:rsidRPr="00DC010A">
              <w:rPr>
                <w:sz w:val="22"/>
                <w:szCs w:val="22"/>
                <w:shd w:val="clear" w:color="auto" w:fill="FFFFFF"/>
                <w:lang w:val="sr-Latn-CS"/>
              </w:rPr>
              <w:t xml:space="preserve"> </w:t>
            </w:r>
            <w:r w:rsidRPr="00DC010A">
              <w:rPr>
                <w:sz w:val="22"/>
                <w:szCs w:val="22"/>
                <w:shd w:val="clear" w:color="auto" w:fill="FFFFFF"/>
              </w:rPr>
              <w:t>u</w:t>
            </w:r>
            <w:r w:rsidRPr="00DC010A">
              <w:rPr>
                <w:sz w:val="22"/>
                <w:szCs w:val="22"/>
                <w:shd w:val="clear" w:color="auto" w:fill="FFFFFF"/>
                <w:lang w:val="sr-Latn-CS"/>
              </w:rPr>
              <w:t>č</w:t>
            </w:r>
            <w:r w:rsidRPr="00DC010A">
              <w:rPr>
                <w:sz w:val="22"/>
                <w:szCs w:val="22"/>
                <w:shd w:val="clear" w:color="auto" w:fill="FFFFFF"/>
              </w:rPr>
              <w:t>estalosti</w:t>
            </w:r>
            <w:r w:rsidRPr="00DC010A">
              <w:rPr>
                <w:sz w:val="22"/>
                <w:szCs w:val="22"/>
                <w:shd w:val="clear" w:color="auto" w:fill="FFFFFF"/>
                <w:lang w:val="sr-Latn-CS"/>
              </w:rPr>
              <w:t xml:space="preserve"> </w:t>
            </w:r>
            <w:r w:rsidRPr="00DC010A">
              <w:rPr>
                <w:sz w:val="22"/>
                <w:szCs w:val="22"/>
                <w:shd w:val="clear" w:color="auto" w:fill="FFFFFF"/>
              </w:rPr>
              <w:t>ispoljavanja</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klasi</w:t>
            </w:r>
            <w:r w:rsidRPr="00DC010A">
              <w:rPr>
                <w:sz w:val="22"/>
                <w:szCs w:val="22"/>
                <w:shd w:val="clear" w:color="auto" w:fill="FFFFFF"/>
                <w:lang w:val="sr-Latn-CS"/>
              </w:rPr>
              <w:t xml:space="preserve"> sistema organa (</w:t>
            </w:r>
            <w:r w:rsidRPr="00DC010A">
              <w:rPr>
                <w:sz w:val="22"/>
                <w:szCs w:val="22"/>
                <w:shd w:val="clear" w:color="auto" w:fill="FFFFFF"/>
              </w:rPr>
              <w:t>SOC</w:t>
            </w:r>
            <w:r w:rsidRPr="00DC010A">
              <w:rPr>
                <w:sz w:val="22"/>
                <w:szCs w:val="22"/>
                <w:shd w:val="clear" w:color="auto" w:fill="FFFFFF"/>
                <w:lang w:val="sr-Latn-CS"/>
              </w:rPr>
              <w:t>).</w:t>
            </w:r>
          </w:p>
          <w:p w:rsidR="008E31D0" w:rsidRPr="00DC010A" w:rsidRDefault="008E31D0" w:rsidP="008E31D0">
            <w:pPr>
              <w:pStyle w:val="NoSpacing"/>
              <w:rPr>
                <w:rFonts w:cs="Arial"/>
                <w:sz w:val="22"/>
                <w:szCs w:val="22"/>
                <w:lang w:val="sr-Latn-CS"/>
              </w:rPr>
            </w:pPr>
          </w:p>
          <w:p w:rsidR="008E31D0" w:rsidRPr="00DC010A" w:rsidRDefault="008E31D0" w:rsidP="008E31D0">
            <w:pPr>
              <w:pStyle w:val="NoSpacing"/>
              <w:rPr>
                <w:rFonts w:cs="Arial"/>
                <w:sz w:val="22"/>
                <w:szCs w:val="22"/>
                <w:lang w:val="sr-Latn-CS"/>
              </w:rPr>
            </w:pPr>
            <w:r w:rsidRPr="00DC010A">
              <w:rPr>
                <w:rFonts w:cs="Arial"/>
                <w:sz w:val="22"/>
                <w:szCs w:val="22"/>
                <w:lang w:val="sr-Latn-CS"/>
              </w:rPr>
              <w:t>Učestalost neželjenih dejstava je definisana na sljedeći način:</w:t>
            </w:r>
          </w:p>
          <w:p w:rsidR="008E31D0" w:rsidRPr="00DC010A" w:rsidRDefault="008E31D0" w:rsidP="008E31D0">
            <w:pPr>
              <w:pStyle w:val="NoSpacing"/>
              <w:rPr>
                <w:rFonts w:cs="Arial"/>
                <w:sz w:val="22"/>
                <w:szCs w:val="22"/>
                <w:lang w:val="sr-Latn-CS"/>
              </w:rPr>
            </w:pPr>
            <w:r w:rsidRPr="00DC010A">
              <w:rPr>
                <w:rFonts w:cs="Arial"/>
                <w:sz w:val="22"/>
                <w:szCs w:val="22"/>
                <w:lang w:val="sr-Latn-CS"/>
              </w:rPr>
              <w:lastRenderedPageBreak/>
              <w:t>Veoma često (</w:t>
            </w:r>
            <w:r w:rsidRPr="00DC010A">
              <w:rPr>
                <w:rFonts w:ascii="Arial" w:hAnsi="Arial" w:cs="Arial"/>
                <w:color w:val="000000"/>
                <w:sz w:val="20"/>
                <w:szCs w:val="20"/>
                <w:shd w:val="clear" w:color="auto" w:fill="FFFFFF"/>
                <w:lang w:val="sr-Latn-CS"/>
              </w:rPr>
              <w:t>≥</w:t>
            </w:r>
            <w:r w:rsidRPr="00DC010A">
              <w:rPr>
                <w:rFonts w:ascii="Arial" w:hAnsi="Arial" w:cs="Arial"/>
                <w:color w:val="000000"/>
                <w:sz w:val="20"/>
                <w:szCs w:val="20"/>
                <w:shd w:val="clear" w:color="auto" w:fill="FFFFFF"/>
              </w:rPr>
              <w:t> </w:t>
            </w:r>
            <w:r w:rsidRPr="00DC010A">
              <w:rPr>
                <w:rFonts w:cs="Arial"/>
                <w:sz w:val="22"/>
                <w:szCs w:val="22"/>
                <w:lang w:val="sr-Latn-CS"/>
              </w:rPr>
              <w:t xml:space="preserve">1/10) </w:t>
            </w:r>
          </w:p>
          <w:p w:rsidR="008E31D0" w:rsidRPr="00DC010A" w:rsidRDefault="008E31D0" w:rsidP="008E31D0">
            <w:pPr>
              <w:pStyle w:val="NoSpacing"/>
              <w:rPr>
                <w:rFonts w:cs="Arial"/>
                <w:sz w:val="22"/>
                <w:szCs w:val="22"/>
                <w:lang w:val="sr-Latn-CS"/>
              </w:rPr>
            </w:pPr>
            <w:r w:rsidRPr="00DC010A">
              <w:rPr>
                <w:rFonts w:cs="Arial"/>
                <w:sz w:val="22"/>
                <w:szCs w:val="22"/>
                <w:lang w:val="sr-Latn-CS"/>
              </w:rPr>
              <w:t>Često (</w:t>
            </w:r>
            <w:r w:rsidRPr="00DC010A">
              <w:rPr>
                <w:rFonts w:ascii="Arial" w:hAnsi="Arial" w:cs="Arial"/>
                <w:color w:val="000000"/>
                <w:sz w:val="20"/>
                <w:szCs w:val="20"/>
                <w:shd w:val="clear" w:color="auto" w:fill="FFFFFF"/>
                <w:lang w:val="sr-Latn-CS"/>
              </w:rPr>
              <w:t>≥</w:t>
            </w:r>
            <w:r w:rsidRPr="00DC010A">
              <w:rPr>
                <w:rFonts w:ascii="Arial" w:hAnsi="Arial" w:cs="Arial"/>
                <w:color w:val="000000"/>
                <w:sz w:val="20"/>
                <w:szCs w:val="20"/>
                <w:shd w:val="clear" w:color="auto" w:fill="FFFFFF"/>
              </w:rPr>
              <w:t> </w:t>
            </w:r>
            <w:r w:rsidRPr="00DC010A">
              <w:rPr>
                <w:rFonts w:cs="Arial"/>
                <w:sz w:val="22"/>
                <w:szCs w:val="22"/>
                <w:lang w:val="sr-Latn-CS"/>
              </w:rPr>
              <w:t xml:space="preserve">1/100 do &lt;1/10) </w:t>
            </w:r>
          </w:p>
          <w:p w:rsidR="008E31D0" w:rsidRPr="00DC010A" w:rsidRDefault="008E31D0" w:rsidP="008E31D0">
            <w:pPr>
              <w:pStyle w:val="NoSpacing"/>
              <w:rPr>
                <w:rFonts w:cs="Arial"/>
                <w:sz w:val="22"/>
                <w:szCs w:val="22"/>
                <w:lang w:val="sr-Latn-CS"/>
              </w:rPr>
            </w:pPr>
            <w:r w:rsidRPr="00DC010A">
              <w:rPr>
                <w:rFonts w:cs="Arial"/>
                <w:sz w:val="22"/>
                <w:szCs w:val="22"/>
                <w:lang w:val="sr-Latn-CS"/>
              </w:rPr>
              <w:t>Povremeno (</w:t>
            </w:r>
            <w:r w:rsidRPr="00DC010A">
              <w:rPr>
                <w:rFonts w:ascii="Arial" w:hAnsi="Arial" w:cs="Arial"/>
                <w:color w:val="000000"/>
                <w:sz w:val="20"/>
                <w:szCs w:val="20"/>
                <w:shd w:val="clear" w:color="auto" w:fill="FFFFFF"/>
                <w:lang w:val="sr-Latn-CS"/>
              </w:rPr>
              <w:t>≥</w:t>
            </w:r>
            <w:r w:rsidRPr="00DC010A">
              <w:rPr>
                <w:rFonts w:ascii="Arial" w:hAnsi="Arial" w:cs="Arial"/>
                <w:color w:val="000000"/>
                <w:sz w:val="20"/>
                <w:szCs w:val="20"/>
                <w:shd w:val="clear" w:color="auto" w:fill="FFFFFF"/>
              </w:rPr>
              <w:t> </w:t>
            </w:r>
            <w:r w:rsidRPr="00DC010A">
              <w:rPr>
                <w:rFonts w:cs="Arial"/>
                <w:sz w:val="22"/>
                <w:szCs w:val="22"/>
                <w:lang w:val="sr-Latn-CS"/>
              </w:rPr>
              <w:t xml:space="preserve">1/1,000 do &lt; 1/100) </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w:t>
            </w:r>
            <w:r w:rsidRPr="00DC010A">
              <w:rPr>
                <w:rFonts w:ascii="Arial" w:hAnsi="Arial" w:cs="Arial"/>
                <w:color w:val="000000"/>
                <w:sz w:val="20"/>
                <w:szCs w:val="20"/>
                <w:shd w:val="clear" w:color="auto" w:fill="FFFFFF"/>
                <w:lang w:val="sr-Latn-CS"/>
              </w:rPr>
              <w:t>≥</w:t>
            </w:r>
            <w:r w:rsidRPr="00DC010A">
              <w:rPr>
                <w:rFonts w:ascii="Arial" w:hAnsi="Arial" w:cs="Arial"/>
                <w:color w:val="000000"/>
                <w:sz w:val="20"/>
                <w:szCs w:val="20"/>
                <w:shd w:val="clear" w:color="auto" w:fill="FFFFFF"/>
              </w:rPr>
              <w:t> </w:t>
            </w:r>
            <w:r w:rsidRPr="00DC010A">
              <w:rPr>
                <w:rFonts w:cs="Arial"/>
                <w:sz w:val="22"/>
                <w:szCs w:val="22"/>
                <w:lang w:val="sr-Latn-CS"/>
              </w:rPr>
              <w:t xml:space="preserve">1/10,000 do &lt;1/1,000) </w:t>
            </w:r>
          </w:p>
          <w:p w:rsidR="008E31D0" w:rsidRPr="00DC010A" w:rsidRDefault="008E31D0" w:rsidP="008E31D0">
            <w:pPr>
              <w:pStyle w:val="NoSpacing"/>
              <w:rPr>
                <w:rFonts w:cs="Arial"/>
                <w:sz w:val="22"/>
                <w:szCs w:val="22"/>
                <w:lang w:val="sr-Latn-CS"/>
              </w:rPr>
            </w:pPr>
            <w:r w:rsidRPr="00DC010A">
              <w:rPr>
                <w:rFonts w:cs="Arial"/>
                <w:sz w:val="22"/>
                <w:szCs w:val="22"/>
                <w:lang w:val="sr-Latn-CS"/>
              </w:rPr>
              <w:t>Veoma rijetko (</w:t>
            </w:r>
            <w:r w:rsidRPr="00DC010A">
              <w:rPr>
                <w:rFonts w:ascii="Arial" w:hAnsi="Arial" w:cs="Arial"/>
                <w:color w:val="000000"/>
                <w:sz w:val="20"/>
                <w:szCs w:val="20"/>
                <w:shd w:val="clear" w:color="auto" w:fill="FFFFFF"/>
                <w:lang w:val="sr-Latn-CS"/>
              </w:rPr>
              <w:t>≥</w:t>
            </w:r>
            <w:r w:rsidRPr="00DC010A">
              <w:rPr>
                <w:rFonts w:ascii="Arial" w:hAnsi="Arial" w:cs="Arial"/>
                <w:color w:val="000000"/>
                <w:sz w:val="20"/>
                <w:szCs w:val="20"/>
                <w:shd w:val="clear" w:color="auto" w:fill="FFFFFF"/>
              </w:rPr>
              <w:t> </w:t>
            </w:r>
            <w:r w:rsidRPr="00DC010A">
              <w:rPr>
                <w:rFonts w:cs="Arial"/>
                <w:sz w:val="22"/>
                <w:szCs w:val="22"/>
                <w:lang w:val="sr-Latn-CS"/>
              </w:rPr>
              <w:t>1/10,000)</w:t>
            </w:r>
          </w:p>
          <w:p w:rsidR="008E31D0" w:rsidRPr="00DC010A" w:rsidRDefault="008E31D0" w:rsidP="008E31D0">
            <w:pPr>
              <w:pStyle w:val="NoSpacing"/>
              <w:rPr>
                <w:rFonts w:cs="Arial"/>
                <w:sz w:val="22"/>
                <w:szCs w:val="22"/>
                <w:lang w:val="sr-Latn-CS"/>
              </w:rPr>
            </w:pPr>
            <w:r w:rsidRPr="00DC010A">
              <w:rPr>
                <w:rFonts w:cs="Arial"/>
                <w:sz w:val="22"/>
                <w:szCs w:val="22"/>
                <w:lang w:val="sr-Latn-CS"/>
              </w:rPr>
              <w:t>Nepoznato (ne može se procijeniti na osnovu raspoloživih podataka).</w:t>
            </w:r>
          </w:p>
          <w:p w:rsidR="008E31D0" w:rsidRPr="00DC010A" w:rsidRDefault="008E31D0" w:rsidP="008E31D0">
            <w:pPr>
              <w:pStyle w:val="NoSpacing"/>
              <w:rPr>
                <w:rFonts w:cs="Arial"/>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Poremećaji krvi i limfnog sistema</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leukopenija, trombocitopenija.</w:t>
            </w:r>
          </w:p>
          <w:p w:rsidR="008E31D0" w:rsidRPr="00DC010A" w:rsidRDefault="008E31D0" w:rsidP="008E31D0">
            <w:pPr>
              <w:pStyle w:val="NoSpacing"/>
              <w:rPr>
                <w:rFonts w:cs="Arial"/>
                <w:sz w:val="22"/>
                <w:szCs w:val="22"/>
                <w:lang w:val="sr-Latn-CS"/>
              </w:rPr>
            </w:pPr>
            <w:r w:rsidRPr="00DC010A">
              <w:rPr>
                <w:rFonts w:cs="Arial"/>
                <w:sz w:val="22"/>
                <w:szCs w:val="22"/>
                <w:lang w:val="sr-Latn-CS"/>
              </w:rPr>
              <w:t>Veoma rijetko: agranulocitoza i pancitopenija.</w:t>
            </w:r>
          </w:p>
          <w:p w:rsidR="008E31D0" w:rsidRPr="00DC010A" w:rsidRDefault="008E31D0" w:rsidP="008E31D0">
            <w:pPr>
              <w:pStyle w:val="NoSpacing"/>
              <w:rPr>
                <w:rFonts w:cs="Arial"/>
                <w:b/>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Imunološki poremećaji</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reakcije preosjetljivosti, npr. groznica, angioedem i anafilaktičke reakcije/šok.</w:t>
            </w:r>
          </w:p>
          <w:p w:rsidR="008E31D0" w:rsidRPr="00DC010A" w:rsidRDefault="008E31D0" w:rsidP="008E31D0">
            <w:pPr>
              <w:pStyle w:val="NoSpacing"/>
              <w:rPr>
                <w:rFonts w:cs="Arial"/>
                <w:b/>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Poremećaji metabolizma i ishrane</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hiponatrijemija.</w:t>
            </w:r>
          </w:p>
          <w:p w:rsidR="008E31D0" w:rsidRPr="00DC010A" w:rsidRDefault="008E31D0" w:rsidP="008E31D0">
            <w:pPr>
              <w:pStyle w:val="NoSpacing"/>
              <w:rPr>
                <w:rFonts w:cs="Arial"/>
                <w:sz w:val="22"/>
                <w:szCs w:val="22"/>
                <w:lang w:val="sr-Latn-CS"/>
              </w:rPr>
            </w:pPr>
            <w:r w:rsidRPr="00DC010A">
              <w:rPr>
                <w:rFonts w:cs="Arial"/>
                <w:sz w:val="22"/>
                <w:szCs w:val="22"/>
                <w:lang w:val="sr-Latn-CS"/>
              </w:rPr>
              <w:t xml:space="preserve">Nepoznato: </w:t>
            </w:r>
            <w:r w:rsidRPr="00DC010A">
              <w:rPr>
                <w:sz w:val="22"/>
                <w:szCs w:val="22"/>
                <w:shd w:val="clear" w:color="auto" w:fill="FFFFFF"/>
              </w:rPr>
              <w:t>hipomagneziemija</w:t>
            </w:r>
            <w:r w:rsidRPr="00DC010A">
              <w:rPr>
                <w:sz w:val="22"/>
                <w:szCs w:val="22"/>
                <w:shd w:val="clear" w:color="auto" w:fill="FFFFFF"/>
                <w:lang w:val="sr-Latn-CS"/>
              </w:rPr>
              <w:t xml:space="preserve">; </w:t>
            </w:r>
            <w:r w:rsidRPr="00DC010A">
              <w:rPr>
                <w:sz w:val="22"/>
                <w:szCs w:val="22"/>
                <w:shd w:val="clear" w:color="auto" w:fill="FFFFFF"/>
              </w:rPr>
              <w:t>te</w:t>
            </w:r>
            <w:r w:rsidRPr="00DC010A">
              <w:rPr>
                <w:sz w:val="22"/>
                <w:szCs w:val="22"/>
                <w:shd w:val="clear" w:color="auto" w:fill="FFFFFF"/>
                <w:lang w:val="sr-Latn-CS"/>
              </w:rPr>
              <w:t>š</w:t>
            </w:r>
            <w:r w:rsidRPr="00DC010A">
              <w:rPr>
                <w:sz w:val="22"/>
                <w:szCs w:val="22"/>
                <w:shd w:val="clear" w:color="auto" w:fill="FFFFFF"/>
              </w:rPr>
              <w:t>ka</w:t>
            </w:r>
            <w:r w:rsidRPr="00DC010A">
              <w:rPr>
                <w:sz w:val="22"/>
                <w:szCs w:val="22"/>
                <w:shd w:val="clear" w:color="auto" w:fill="FFFFFF"/>
                <w:lang w:val="sr-Latn-CS"/>
              </w:rPr>
              <w:t xml:space="preserve"> </w:t>
            </w:r>
            <w:r w:rsidRPr="00DC010A">
              <w:rPr>
                <w:sz w:val="22"/>
                <w:szCs w:val="22"/>
                <w:shd w:val="clear" w:color="auto" w:fill="FFFFFF"/>
              </w:rPr>
              <w:t>hipomagneziemija</w:t>
            </w:r>
            <w:r w:rsidRPr="00DC010A">
              <w:rPr>
                <w:sz w:val="22"/>
                <w:szCs w:val="22"/>
                <w:shd w:val="clear" w:color="auto" w:fill="FFFFFF"/>
                <w:lang w:val="sr-Latn-CS"/>
              </w:rPr>
              <w:t xml:space="preserve"> </w:t>
            </w:r>
            <w:r w:rsidRPr="00DC010A">
              <w:rPr>
                <w:sz w:val="22"/>
                <w:szCs w:val="22"/>
                <w:shd w:val="clear" w:color="auto" w:fill="FFFFFF"/>
              </w:rPr>
              <w:t>mo</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dovesti</w:t>
            </w:r>
            <w:r w:rsidRPr="00DC010A">
              <w:rPr>
                <w:sz w:val="22"/>
                <w:szCs w:val="22"/>
                <w:shd w:val="clear" w:color="auto" w:fill="FFFFFF"/>
                <w:lang w:val="sr-Latn-CS"/>
              </w:rPr>
              <w:t xml:space="preserve"> </w:t>
            </w:r>
            <w:r w:rsidRPr="00DC010A">
              <w:rPr>
                <w:sz w:val="22"/>
                <w:szCs w:val="22"/>
                <w:shd w:val="clear" w:color="auto" w:fill="FFFFFF"/>
              </w:rPr>
              <w:t>do</w:t>
            </w:r>
            <w:r w:rsidRPr="00DC010A">
              <w:rPr>
                <w:sz w:val="22"/>
                <w:szCs w:val="22"/>
                <w:shd w:val="clear" w:color="auto" w:fill="FFFFFF"/>
                <w:lang w:val="sr-Latn-CS"/>
              </w:rPr>
              <w:t xml:space="preserve"> </w:t>
            </w:r>
            <w:r w:rsidRPr="00DC010A">
              <w:rPr>
                <w:sz w:val="22"/>
                <w:szCs w:val="22"/>
                <w:shd w:val="clear" w:color="auto" w:fill="FFFFFF"/>
              </w:rPr>
              <w:t>hipokalcemije</w:t>
            </w:r>
            <w:r w:rsidRPr="00DC010A">
              <w:rPr>
                <w:sz w:val="22"/>
                <w:szCs w:val="22"/>
                <w:shd w:val="clear" w:color="auto" w:fill="FFFFFF"/>
                <w:lang w:val="sr-Latn-CS"/>
              </w:rPr>
              <w:t xml:space="preserve">. </w:t>
            </w:r>
            <w:r w:rsidRPr="00DC010A">
              <w:rPr>
                <w:sz w:val="22"/>
                <w:szCs w:val="22"/>
                <w:lang w:val="sr-Latn-CS"/>
              </w:rPr>
              <w:br/>
            </w:r>
            <w:r w:rsidRPr="00DC010A">
              <w:rPr>
                <w:sz w:val="22"/>
                <w:szCs w:val="22"/>
                <w:shd w:val="clear" w:color="auto" w:fill="FFFFFF"/>
              </w:rPr>
              <w:t>Hipomagneziemija</w:t>
            </w:r>
            <w:r w:rsidRPr="00DC010A">
              <w:rPr>
                <w:sz w:val="22"/>
                <w:szCs w:val="22"/>
                <w:shd w:val="clear" w:color="auto" w:fill="FFFFFF"/>
                <w:lang w:val="sr-Latn-CS"/>
              </w:rPr>
              <w:t xml:space="preserve"> </w:t>
            </w:r>
            <w:r w:rsidRPr="00DC010A">
              <w:rPr>
                <w:sz w:val="22"/>
                <w:szCs w:val="22"/>
                <w:shd w:val="clear" w:color="auto" w:fill="FFFFFF"/>
              </w:rPr>
              <w:t>mo</w:t>
            </w:r>
            <w:r w:rsidRPr="00DC010A">
              <w:rPr>
                <w:sz w:val="22"/>
                <w:szCs w:val="22"/>
                <w:shd w:val="clear" w:color="auto" w:fill="FFFFFF"/>
                <w:lang w:val="sr-Latn-CS"/>
              </w:rPr>
              <w:t>ž</w:t>
            </w:r>
            <w:r w:rsidRPr="00DC010A">
              <w:rPr>
                <w:sz w:val="22"/>
                <w:szCs w:val="22"/>
                <w:shd w:val="clear" w:color="auto" w:fill="FFFFFF"/>
              </w:rPr>
              <w:t>e</w:t>
            </w:r>
            <w:r w:rsidRPr="00DC010A">
              <w:rPr>
                <w:sz w:val="22"/>
                <w:szCs w:val="22"/>
                <w:shd w:val="clear" w:color="auto" w:fill="FFFFFF"/>
                <w:lang w:val="sr-Latn-CS"/>
              </w:rPr>
              <w:t xml:space="preserve"> </w:t>
            </w:r>
            <w:r w:rsidRPr="00DC010A">
              <w:rPr>
                <w:sz w:val="22"/>
                <w:szCs w:val="22"/>
                <w:shd w:val="clear" w:color="auto" w:fill="FFFFFF"/>
              </w:rPr>
              <w:t>biti</w:t>
            </w:r>
            <w:r w:rsidRPr="00DC010A">
              <w:rPr>
                <w:sz w:val="22"/>
                <w:szCs w:val="22"/>
                <w:shd w:val="clear" w:color="auto" w:fill="FFFFFF"/>
                <w:lang w:val="sr-Latn-CS"/>
              </w:rPr>
              <w:t xml:space="preserve"> </w:t>
            </w:r>
            <w:r w:rsidRPr="00DC010A">
              <w:rPr>
                <w:sz w:val="22"/>
                <w:szCs w:val="22"/>
                <w:shd w:val="clear" w:color="auto" w:fill="FFFFFF"/>
              </w:rPr>
              <w:t>povezana</w:t>
            </w:r>
            <w:r w:rsidRPr="00DC010A">
              <w:rPr>
                <w:sz w:val="22"/>
                <w:szCs w:val="22"/>
                <w:shd w:val="clear" w:color="auto" w:fill="FFFFFF"/>
                <w:lang w:val="sr-Latn-CS"/>
              </w:rPr>
              <w:t xml:space="preserve"> </w:t>
            </w:r>
            <w:r w:rsidRPr="00DC010A">
              <w:rPr>
                <w:sz w:val="22"/>
                <w:szCs w:val="22"/>
                <w:shd w:val="clear" w:color="auto" w:fill="FFFFFF"/>
              </w:rPr>
              <w:t>i</w:t>
            </w:r>
            <w:r w:rsidRPr="00DC010A">
              <w:rPr>
                <w:sz w:val="22"/>
                <w:szCs w:val="22"/>
                <w:shd w:val="clear" w:color="auto" w:fill="FFFFFF"/>
                <w:lang w:val="sr-Latn-CS"/>
              </w:rPr>
              <w:t xml:space="preserve"> </w:t>
            </w:r>
            <w:r w:rsidRPr="00DC010A">
              <w:rPr>
                <w:sz w:val="22"/>
                <w:szCs w:val="22"/>
                <w:shd w:val="clear" w:color="auto" w:fill="FFFFFF"/>
              </w:rPr>
              <w:t>sa</w:t>
            </w:r>
            <w:r w:rsidRPr="00DC010A">
              <w:rPr>
                <w:sz w:val="22"/>
                <w:szCs w:val="22"/>
                <w:shd w:val="clear" w:color="auto" w:fill="FFFFFF"/>
                <w:lang w:val="sr-Latn-CS"/>
              </w:rPr>
              <w:t xml:space="preserve"> </w:t>
            </w:r>
            <w:r w:rsidRPr="00DC010A">
              <w:rPr>
                <w:sz w:val="22"/>
                <w:szCs w:val="22"/>
                <w:shd w:val="clear" w:color="auto" w:fill="FFFFFF"/>
              </w:rPr>
              <w:t>hipokalemijom</w:t>
            </w:r>
            <w:r w:rsidRPr="00DC010A">
              <w:rPr>
                <w:sz w:val="22"/>
                <w:szCs w:val="22"/>
                <w:shd w:val="clear" w:color="auto" w:fill="FFFFFF"/>
                <w:lang w:val="sr-Latn-CS"/>
              </w:rPr>
              <w:t>.</w:t>
            </w:r>
          </w:p>
          <w:p w:rsidR="008E31D0" w:rsidRPr="00DC010A" w:rsidRDefault="008E31D0" w:rsidP="008E31D0">
            <w:pPr>
              <w:pStyle w:val="NoSpacing"/>
              <w:rPr>
                <w:rFonts w:cs="Arial"/>
                <w:b/>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Psihijatrijski poremećaji</w:t>
            </w:r>
          </w:p>
          <w:p w:rsidR="008E31D0" w:rsidRPr="00DC010A" w:rsidRDefault="008E31D0" w:rsidP="008E31D0">
            <w:pPr>
              <w:pStyle w:val="NoSpacing"/>
              <w:rPr>
                <w:rFonts w:cs="Arial"/>
                <w:sz w:val="22"/>
                <w:szCs w:val="22"/>
                <w:lang w:val="sr-Latn-CS"/>
              </w:rPr>
            </w:pPr>
            <w:r w:rsidRPr="00DC010A">
              <w:rPr>
                <w:rFonts w:cs="Arial"/>
                <w:sz w:val="22"/>
                <w:szCs w:val="22"/>
                <w:lang w:val="sr-Latn-CS"/>
              </w:rPr>
              <w:t>Povremeno: nesanica.</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agitacija, konfuzija, depresija.</w:t>
            </w:r>
          </w:p>
          <w:p w:rsidR="008E31D0" w:rsidRPr="00DC010A" w:rsidRDefault="008E31D0" w:rsidP="008E31D0">
            <w:pPr>
              <w:pStyle w:val="NoSpacing"/>
              <w:rPr>
                <w:rFonts w:cs="Arial"/>
                <w:sz w:val="22"/>
                <w:szCs w:val="22"/>
                <w:lang w:val="sr-Latn-CS"/>
              </w:rPr>
            </w:pPr>
            <w:r w:rsidRPr="00DC010A">
              <w:rPr>
                <w:rFonts w:cs="Arial"/>
                <w:sz w:val="22"/>
                <w:szCs w:val="22"/>
                <w:lang w:val="sr-Latn-CS"/>
              </w:rPr>
              <w:t>Veoma rijetko: agresija, halucinacije.</w:t>
            </w:r>
          </w:p>
          <w:p w:rsidR="008E31D0" w:rsidRPr="00DC010A" w:rsidRDefault="008E31D0" w:rsidP="008E31D0">
            <w:pPr>
              <w:pStyle w:val="NoSpacing"/>
              <w:rPr>
                <w:rFonts w:cs="Arial"/>
                <w:b/>
                <w:sz w:val="22"/>
                <w:szCs w:val="22"/>
                <w:lang w:val="sr-Latn-CS"/>
              </w:rPr>
            </w:pPr>
            <w:r w:rsidRPr="00DC010A">
              <w:rPr>
                <w:rFonts w:cs="Arial"/>
                <w:sz w:val="22"/>
                <w:szCs w:val="22"/>
                <w:lang w:val="sr-Latn-CS"/>
              </w:rPr>
              <w:t xml:space="preserve"> </w:t>
            </w:r>
          </w:p>
          <w:p w:rsidR="008E31D0" w:rsidRPr="00DC010A" w:rsidRDefault="008E31D0" w:rsidP="008E31D0">
            <w:pPr>
              <w:pStyle w:val="NoSpacing"/>
              <w:rPr>
                <w:rFonts w:cs="Arial"/>
                <w:b/>
                <w:sz w:val="22"/>
                <w:szCs w:val="22"/>
                <w:lang w:val="sr-Latn-CS"/>
              </w:rPr>
            </w:pPr>
            <w:r w:rsidRPr="00DC010A">
              <w:rPr>
                <w:rFonts w:cs="Arial"/>
                <w:b/>
                <w:sz w:val="22"/>
                <w:szCs w:val="22"/>
                <w:lang w:val="sr-Latn-CS"/>
              </w:rPr>
              <w:t>Poremećaji nervnog sistema</w:t>
            </w:r>
          </w:p>
          <w:p w:rsidR="008E31D0" w:rsidRPr="00DC010A" w:rsidRDefault="008E31D0" w:rsidP="008E31D0">
            <w:pPr>
              <w:pStyle w:val="NoSpacing"/>
              <w:rPr>
                <w:rFonts w:cs="Arial"/>
                <w:sz w:val="22"/>
                <w:szCs w:val="22"/>
                <w:lang w:val="sr-Latn-CS"/>
              </w:rPr>
            </w:pPr>
            <w:r w:rsidRPr="00DC010A">
              <w:rPr>
                <w:rFonts w:cs="Arial"/>
                <w:sz w:val="22"/>
                <w:szCs w:val="22"/>
                <w:lang w:val="sr-Latn-CS"/>
              </w:rPr>
              <w:t>Često: glavobolja.</w:t>
            </w:r>
          </w:p>
          <w:p w:rsidR="008E31D0" w:rsidRPr="00DC010A" w:rsidRDefault="008E31D0" w:rsidP="008E31D0">
            <w:pPr>
              <w:pStyle w:val="NoSpacing"/>
              <w:rPr>
                <w:rFonts w:cs="Arial"/>
                <w:sz w:val="22"/>
                <w:szCs w:val="22"/>
                <w:lang w:val="sr-Latn-CS"/>
              </w:rPr>
            </w:pPr>
            <w:r w:rsidRPr="00DC010A">
              <w:rPr>
                <w:rFonts w:cs="Arial"/>
                <w:sz w:val="22"/>
                <w:szCs w:val="22"/>
                <w:lang w:val="sr-Latn-CS"/>
              </w:rPr>
              <w:t>Povremeno: ošamućenost, parestezije, somnolencija.</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poremećaj čula ukusa.</w:t>
            </w:r>
          </w:p>
          <w:p w:rsidR="008E31D0" w:rsidRPr="00DC010A" w:rsidRDefault="008E31D0" w:rsidP="008E31D0">
            <w:pPr>
              <w:pStyle w:val="NoSpacing"/>
              <w:rPr>
                <w:rFonts w:cs="Arial"/>
                <w:b/>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Poremećaji oka</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zamućen vid.</w:t>
            </w:r>
          </w:p>
          <w:p w:rsidR="008E31D0" w:rsidRPr="00DC010A" w:rsidRDefault="008E31D0" w:rsidP="008E31D0">
            <w:pPr>
              <w:pStyle w:val="NoSpacing"/>
              <w:rPr>
                <w:rFonts w:cs="Arial"/>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Poremećaji uha i centra za ravnotežu</w:t>
            </w:r>
          </w:p>
          <w:p w:rsidR="008E31D0" w:rsidRPr="00DC010A" w:rsidRDefault="008E31D0" w:rsidP="008E31D0">
            <w:pPr>
              <w:pStyle w:val="NoSpacing"/>
              <w:rPr>
                <w:rFonts w:cs="Arial"/>
                <w:sz w:val="22"/>
                <w:szCs w:val="22"/>
                <w:lang w:val="sr-Latn-CS"/>
              </w:rPr>
            </w:pPr>
            <w:r w:rsidRPr="00DC010A">
              <w:rPr>
                <w:rFonts w:cs="Arial"/>
                <w:sz w:val="22"/>
                <w:szCs w:val="22"/>
                <w:lang w:val="sr-Latn-CS"/>
              </w:rPr>
              <w:t>Povremeno: vertigo.</w:t>
            </w:r>
          </w:p>
          <w:p w:rsidR="008E31D0" w:rsidRPr="00DC010A" w:rsidRDefault="008E31D0" w:rsidP="008E31D0">
            <w:pPr>
              <w:pStyle w:val="NoSpacing"/>
              <w:rPr>
                <w:rFonts w:cs="Arial"/>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Respiratorni, torakalni i medijastinalni poremećaji</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bronhospazam.</w:t>
            </w:r>
          </w:p>
          <w:p w:rsidR="008E31D0" w:rsidRPr="00DC010A" w:rsidRDefault="008E31D0" w:rsidP="008E31D0">
            <w:pPr>
              <w:pStyle w:val="NoSpacing"/>
              <w:rPr>
                <w:rFonts w:cs="Arial"/>
                <w:b/>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Gastrointestinalni poremećaji</w:t>
            </w:r>
          </w:p>
          <w:p w:rsidR="008E31D0" w:rsidRPr="00DC010A" w:rsidRDefault="008E31D0" w:rsidP="008E31D0">
            <w:pPr>
              <w:pStyle w:val="NoSpacing"/>
              <w:rPr>
                <w:rFonts w:cs="Arial"/>
                <w:sz w:val="22"/>
                <w:szCs w:val="22"/>
                <w:lang w:val="sr-Latn-CS"/>
              </w:rPr>
            </w:pPr>
            <w:r w:rsidRPr="00DC010A">
              <w:rPr>
                <w:rFonts w:cs="Arial"/>
                <w:sz w:val="22"/>
                <w:szCs w:val="22"/>
                <w:lang w:val="sr-Latn-CS"/>
              </w:rPr>
              <w:t xml:space="preserve">Često: abdominalni bol, konstipacija, dijareja, flatulencija, mučnina/povraćanje, </w:t>
            </w:r>
            <w:r w:rsidRPr="00DC010A">
              <w:rPr>
                <w:sz w:val="22"/>
                <w:szCs w:val="22"/>
                <w:shd w:val="clear" w:color="auto" w:fill="FFFFFF"/>
              </w:rPr>
              <w:t>fundijski</w:t>
            </w:r>
            <w:r w:rsidRPr="00DC010A">
              <w:rPr>
                <w:sz w:val="22"/>
                <w:szCs w:val="22"/>
                <w:shd w:val="clear" w:color="auto" w:fill="FFFFFF"/>
                <w:lang w:val="sr-Latn-CS"/>
              </w:rPr>
              <w:t xml:space="preserve"> </w:t>
            </w:r>
            <w:r w:rsidRPr="00DC010A">
              <w:rPr>
                <w:sz w:val="22"/>
                <w:szCs w:val="22"/>
                <w:shd w:val="clear" w:color="auto" w:fill="FFFFFF"/>
              </w:rPr>
              <w:t>polipi</w:t>
            </w:r>
            <w:r w:rsidRPr="00DC010A">
              <w:rPr>
                <w:sz w:val="22"/>
                <w:szCs w:val="22"/>
                <w:shd w:val="clear" w:color="auto" w:fill="FFFFFF"/>
                <w:lang w:val="sr-Latn-CS"/>
              </w:rPr>
              <w:t xml:space="preserve"> ž</w:t>
            </w:r>
            <w:r w:rsidRPr="00DC010A">
              <w:rPr>
                <w:sz w:val="22"/>
                <w:szCs w:val="22"/>
                <w:shd w:val="clear" w:color="auto" w:fill="FFFFFF"/>
              </w:rPr>
              <w:t>lijezda</w:t>
            </w:r>
            <w:r w:rsidRPr="00DC010A">
              <w:rPr>
                <w:sz w:val="22"/>
                <w:szCs w:val="22"/>
                <w:shd w:val="clear" w:color="auto" w:fill="FFFFFF"/>
                <w:lang w:val="sr-Latn-CS"/>
              </w:rPr>
              <w:t xml:space="preserve"> (</w:t>
            </w:r>
            <w:r w:rsidRPr="00DC010A">
              <w:rPr>
                <w:sz w:val="22"/>
                <w:szCs w:val="22"/>
                <w:shd w:val="clear" w:color="auto" w:fill="FFFFFF"/>
              </w:rPr>
              <w:t>benigni</w:t>
            </w:r>
            <w:r w:rsidRPr="00DC010A">
              <w:rPr>
                <w:sz w:val="22"/>
                <w:szCs w:val="22"/>
                <w:shd w:val="clear" w:color="auto" w:fill="FFFFFF"/>
                <w:lang w:val="sr-Latn-CS"/>
              </w:rPr>
              <w:t>).</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suva usta, stomatitis, gastrointestinalna kandidijaza.</w:t>
            </w:r>
          </w:p>
          <w:p w:rsidR="008E31D0" w:rsidRPr="00DC010A" w:rsidRDefault="008E31D0" w:rsidP="008E31D0">
            <w:pPr>
              <w:pStyle w:val="NoSpacing"/>
              <w:rPr>
                <w:rFonts w:cs="Arial"/>
                <w:sz w:val="22"/>
                <w:szCs w:val="22"/>
                <w:lang w:val="sr-Latn-CS"/>
              </w:rPr>
            </w:pPr>
            <w:r w:rsidRPr="00DC010A">
              <w:rPr>
                <w:rFonts w:cs="Arial"/>
                <w:sz w:val="22"/>
                <w:szCs w:val="22"/>
                <w:lang w:val="sr-Latn-CS"/>
              </w:rPr>
              <w:t>Nepoznato: mikroskopski kolitis.</w:t>
            </w:r>
          </w:p>
          <w:p w:rsidR="008E31D0" w:rsidRPr="00DC010A" w:rsidRDefault="008E31D0" w:rsidP="008E31D0">
            <w:pPr>
              <w:pStyle w:val="NoSpacing"/>
              <w:rPr>
                <w:rFonts w:cs="Arial"/>
                <w:b/>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Hepatobilijarni poremećaji</w:t>
            </w:r>
          </w:p>
          <w:p w:rsidR="008E31D0" w:rsidRPr="00DC010A" w:rsidRDefault="008E31D0" w:rsidP="008E31D0">
            <w:pPr>
              <w:pStyle w:val="NoSpacing"/>
              <w:rPr>
                <w:rFonts w:cs="Arial"/>
                <w:sz w:val="22"/>
                <w:szCs w:val="22"/>
                <w:lang w:val="sr-Latn-CS"/>
              </w:rPr>
            </w:pPr>
            <w:r w:rsidRPr="00DC010A">
              <w:rPr>
                <w:rFonts w:cs="Arial"/>
                <w:sz w:val="22"/>
                <w:szCs w:val="22"/>
                <w:lang w:val="sr-Latn-CS"/>
              </w:rPr>
              <w:t>Povremeno: povišene vrijednosti enzima jetre.</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hepatitis, sa ili bez žutice.</w:t>
            </w:r>
          </w:p>
          <w:p w:rsidR="008E31D0" w:rsidRPr="00DC010A" w:rsidRDefault="008E31D0" w:rsidP="008E31D0">
            <w:pPr>
              <w:pStyle w:val="NoSpacing"/>
              <w:rPr>
                <w:rFonts w:cs="Arial"/>
                <w:sz w:val="22"/>
                <w:szCs w:val="22"/>
                <w:lang w:val="sr-Latn-CS"/>
              </w:rPr>
            </w:pPr>
            <w:r w:rsidRPr="00DC010A">
              <w:rPr>
                <w:rFonts w:cs="Arial"/>
                <w:sz w:val="22"/>
                <w:szCs w:val="22"/>
                <w:lang w:val="sr-Latn-CS"/>
              </w:rPr>
              <w:lastRenderedPageBreak/>
              <w:t>Veoma rijetko: insuficijencija jetre, encefalopatija kod pacijenata sa ranijim oboljenjem jetre.</w:t>
            </w:r>
          </w:p>
          <w:p w:rsidR="008E31D0" w:rsidRPr="00DC010A" w:rsidRDefault="008E31D0" w:rsidP="008E31D0">
            <w:pPr>
              <w:pStyle w:val="NoSpacing"/>
              <w:rPr>
                <w:rFonts w:cs="Arial"/>
                <w:b/>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Poremećaji kože i potkožnog tkiva</w:t>
            </w:r>
          </w:p>
          <w:p w:rsidR="008E31D0" w:rsidRPr="00DC010A" w:rsidRDefault="008E31D0" w:rsidP="008E31D0">
            <w:pPr>
              <w:pStyle w:val="NoSpacing"/>
              <w:rPr>
                <w:rFonts w:cs="Arial"/>
                <w:sz w:val="22"/>
                <w:szCs w:val="22"/>
                <w:lang w:val="sr-Latn-CS"/>
              </w:rPr>
            </w:pPr>
            <w:r w:rsidRPr="00DC010A">
              <w:rPr>
                <w:rFonts w:cs="Arial"/>
                <w:sz w:val="22"/>
                <w:szCs w:val="22"/>
                <w:lang w:val="sr-Latn-CS"/>
              </w:rPr>
              <w:t>Povremeno: dermatitis, pruritus, osip, urtikarija.</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alopecija, fotosenzitivnost.</w:t>
            </w:r>
          </w:p>
          <w:p w:rsidR="008E31D0" w:rsidRPr="00DC010A" w:rsidRDefault="008E31D0" w:rsidP="008E31D0">
            <w:pPr>
              <w:pStyle w:val="NoSpacing"/>
              <w:rPr>
                <w:rFonts w:cs="Arial"/>
                <w:sz w:val="22"/>
                <w:szCs w:val="22"/>
                <w:lang w:val="sr-Latn-CS"/>
              </w:rPr>
            </w:pPr>
            <w:r w:rsidRPr="00DC010A">
              <w:rPr>
                <w:rFonts w:cs="Arial"/>
                <w:sz w:val="22"/>
                <w:szCs w:val="22"/>
                <w:lang w:val="sr-Latn-CS"/>
              </w:rPr>
              <w:t>Veoma rijetko: eritema multiforme, Stevens- Johnson-ov sindrom, toksična epidermalna nekroliza.</w:t>
            </w:r>
          </w:p>
          <w:p w:rsidR="008E31D0" w:rsidRPr="00DC010A" w:rsidRDefault="008E31D0" w:rsidP="008E31D0">
            <w:pPr>
              <w:pStyle w:val="NoSpacing"/>
              <w:rPr>
                <w:sz w:val="22"/>
                <w:szCs w:val="22"/>
                <w:lang w:val="sr-Latn-CS"/>
              </w:rPr>
            </w:pPr>
            <w:r w:rsidRPr="00DC010A">
              <w:rPr>
                <w:rFonts w:cs="Arial"/>
                <w:sz w:val="22"/>
                <w:szCs w:val="22"/>
                <w:lang w:val="sr-Latn-CS"/>
              </w:rPr>
              <w:t xml:space="preserve">Nepoznato: </w:t>
            </w:r>
            <w:r w:rsidRPr="00DC010A">
              <w:rPr>
                <w:sz w:val="22"/>
                <w:szCs w:val="22"/>
                <w:shd w:val="clear" w:color="auto" w:fill="FFFFFF"/>
              </w:rPr>
              <w:t>subakutni</w:t>
            </w:r>
            <w:r w:rsidRPr="00DC010A">
              <w:rPr>
                <w:sz w:val="22"/>
                <w:szCs w:val="22"/>
                <w:shd w:val="clear" w:color="auto" w:fill="FFFFFF"/>
                <w:lang w:val="sr-Latn-CS"/>
              </w:rPr>
              <w:t xml:space="preserve"> </w:t>
            </w:r>
            <w:r w:rsidRPr="00DC010A">
              <w:rPr>
                <w:sz w:val="22"/>
                <w:szCs w:val="22"/>
                <w:shd w:val="clear" w:color="auto" w:fill="FFFFFF"/>
              </w:rPr>
              <w:t>ko</w:t>
            </w:r>
            <w:r w:rsidRPr="00DC010A">
              <w:rPr>
                <w:sz w:val="22"/>
                <w:szCs w:val="22"/>
                <w:shd w:val="clear" w:color="auto" w:fill="FFFFFF"/>
                <w:lang w:val="sr-Latn-CS"/>
              </w:rPr>
              <w:t>ž</w:t>
            </w:r>
            <w:r w:rsidRPr="00DC010A">
              <w:rPr>
                <w:sz w:val="22"/>
                <w:szCs w:val="22"/>
                <w:shd w:val="clear" w:color="auto" w:fill="FFFFFF"/>
              </w:rPr>
              <w:t>ni</w:t>
            </w:r>
            <w:r w:rsidRPr="00DC010A">
              <w:rPr>
                <w:sz w:val="22"/>
                <w:szCs w:val="22"/>
                <w:shd w:val="clear" w:color="auto" w:fill="FFFFFF"/>
                <w:lang w:val="sr-Latn-CS"/>
              </w:rPr>
              <w:t xml:space="preserve"> </w:t>
            </w:r>
            <w:r w:rsidRPr="00DC010A">
              <w:rPr>
                <w:sz w:val="22"/>
                <w:szCs w:val="22"/>
                <w:shd w:val="clear" w:color="auto" w:fill="FFFFFF"/>
              </w:rPr>
              <w:t>lupus</w:t>
            </w:r>
            <w:r w:rsidRPr="00DC010A">
              <w:rPr>
                <w:sz w:val="22"/>
                <w:szCs w:val="22"/>
                <w:shd w:val="clear" w:color="auto" w:fill="FFFFFF"/>
                <w:lang w:val="sr-Latn-CS"/>
              </w:rPr>
              <w:t xml:space="preserve"> </w:t>
            </w:r>
            <w:r w:rsidRPr="00DC010A">
              <w:rPr>
                <w:sz w:val="22"/>
                <w:szCs w:val="22"/>
                <w:shd w:val="clear" w:color="auto" w:fill="FFFFFF"/>
              </w:rPr>
              <w:t>eritematozus</w:t>
            </w:r>
            <w:r w:rsidRPr="00DC010A">
              <w:rPr>
                <w:sz w:val="22"/>
                <w:szCs w:val="22"/>
                <w:shd w:val="clear" w:color="auto" w:fill="FFFFFF"/>
                <w:lang w:val="sr-Latn-CS"/>
              </w:rPr>
              <w:t xml:space="preserve"> (</w:t>
            </w:r>
            <w:r w:rsidRPr="00DC010A">
              <w:rPr>
                <w:sz w:val="22"/>
                <w:szCs w:val="22"/>
                <w:shd w:val="clear" w:color="auto" w:fill="FFFFFF"/>
              </w:rPr>
              <w:t>vidjeti</w:t>
            </w:r>
            <w:r w:rsidRPr="00DC010A">
              <w:rPr>
                <w:sz w:val="22"/>
                <w:szCs w:val="22"/>
                <w:shd w:val="clear" w:color="auto" w:fill="FFFFFF"/>
                <w:lang w:val="sr-Latn-CS"/>
              </w:rPr>
              <w:t xml:space="preserve"> </w:t>
            </w:r>
            <w:r w:rsidRPr="00DC010A">
              <w:rPr>
                <w:sz w:val="22"/>
                <w:szCs w:val="22"/>
                <w:shd w:val="clear" w:color="auto" w:fill="FFFFFF"/>
              </w:rPr>
              <w:t>odjeljak</w:t>
            </w:r>
            <w:r w:rsidRPr="00DC010A">
              <w:rPr>
                <w:sz w:val="22"/>
                <w:szCs w:val="22"/>
                <w:shd w:val="clear" w:color="auto" w:fill="FFFFFF"/>
                <w:lang w:val="sr-Latn-CS"/>
              </w:rPr>
              <w:t xml:space="preserve"> 4.4).</w:t>
            </w:r>
          </w:p>
          <w:p w:rsidR="008E31D0" w:rsidRPr="00DC010A" w:rsidRDefault="008E31D0" w:rsidP="008E31D0">
            <w:pPr>
              <w:pStyle w:val="NoSpacing"/>
              <w:rPr>
                <w:rFonts w:cs="Arial"/>
                <w:b/>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Poremećaji mišićno-skeletnog, vezivnog i koštanog sistema</w:t>
            </w:r>
          </w:p>
          <w:p w:rsidR="008E31D0" w:rsidRPr="00DC010A" w:rsidRDefault="008E31D0" w:rsidP="008E31D0">
            <w:pPr>
              <w:pStyle w:val="NoSpacing"/>
              <w:rPr>
                <w:rFonts w:cs="Arial"/>
                <w:sz w:val="22"/>
                <w:szCs w:val="22"/>
                <w:lang w:val="sr-Latn-CS"/>
              </w:rPr>
            </w:pPr>
            <w:r w:rsidRPr="00DC010A">
              <w:rPr>
                <w:rFonts w:cs="Arial"/>
                <w:sz w:val="22"/>
                <w:szCs w:val="22"/>
                <w:lang w:val="sr-Latn-CS"/>
              </w:rPr>
              <w:t xml:space="preserve">Povremeno: fraktura kuka, zgloba ili kičme. </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artralgija, mijalgija.</w:t>
            </w:r>
          </w:p>
          <w:p w:rsidR="008E31D0" w:rsidRPr="00DC010A" w:rsidRDefault="008E31D0" w:rsidP="008E31D0">
            <w:pPr>
              <w:pStyle w:val="NoSpacing"/>
              <w:rPr>
                <w:rFonts w:cs="Arial"/>
                <w:sz w:val="22"/>
                <w:szCs w:val="22"/>
                <w:lang w:val="sr-Latn-CS"/>
              </w:rPr>
            </w:pPr>
            <w:r w:rsidRPr="00DC010A">
              <w:rPr>
                <w:rFonts w:cs="Arial"/>
                <w:sz w:val="22"/>
                <w:szCs w:val="22"/>
                <w:lang w:val="sr-Latn-CS"/>
              </w:rPr>
              <w:t>Veoma rijetko: mišićna slabost.</w:t>
            </w:r>
          </w:p>
          <w:p w:rsidR="008E31D0" w:rsidRPr="00DC010A" w:rsidRDefault="008E31D0" w:rsidP="008E31D0">
            <w:pPr>
              <w:pStyle w:val="NoSpacing"/>
              <w:rPr>
                <w:rFonts w:cs="Arial"/>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Poremećaji bubrega i urinarnog sistema</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intersticijalni nefritis.</w:t>
            </w:r>
          </w:p>
          <w:p w:rsidR="008E31D0" w:rsidRPr="00DC010A" w:rsidRDefault="008E31D0" w:rsidP="008E31D0">
            <w:pPr>
              <w:pStyle w:val="NoSpacing"/>
              <w:rPr>
                <w:rFonts w:cs="Arial"/>
                <w:b/>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Poremećaji reproduktivnog sistema i dojki</w:t>
            </w:r>
          </w:p>
          <w:p w:rsidR="008E31D0" w:rsidRPr="00DC010A" w:rsidRDefault="008E31D0" w:rsidP="008E31D0">
            <w:pPr>
              <w:pStyle w:val="NoSpacing"/>
              <w:rPr>
                <w:rFonts w:cs="Arial"/>
                <w:sz w:val="22"/>
                <w:szCs w:val="22"/>
                <w:lang w:val="sr-Latn-CS"/>
              </w:rPr>
            </w:pPr>
            <w:r w:rsidRPr="00DC010A">
              <w:rPr>
                <w:rFonts w:cs="Arial"/>
                <w:sz w:val="22"/>
                <w:szCs w:val="22"/>
                <w:lang w:val="sr-Latn-CS"/>
              </w:rPr>
              <w:t>Veoma rijetko: ginekomastija.</w:t>
            </w:r>
          </w:p>
          <w:p w:rsidR="008E31D0" w:rsidRPr="00DC010A" w:rsidRDefault="008E31D0" w:rsidP="008E31D0">
            <w:pPr>
              <w:pStyle w:val="NoSpacing"/>
              <w:rPr>
                <w:rFonts w:cs="Arial"/>
                <w:b/>
                <w:sz w:val="22"/>
                <w:szCs w:val="22"/>
                <w:lang w:val="sr-Latn-CS"/>
              </w:rPr>
            </w:pPr>
          </w:p>
          <w:p w:rsidR="008E31D0" w:rsidRPr="00DC010A" w:rsidRDefault="008E31D0" w:rsidP="008E31D0">
            <w:pPr>
              <w:pStyle w:val="NoSpacing"/>
              <w:rPr>
                <w:rFonts w:cs="Arial"/>
                <w:b/>
                <w:sz w:val="22"/>
                <w:szCs w:val="22"/>
                <w:lang w:val="sr-Latn-CS"/>
              </w:rPr>
            </w:pPr>
            <w:r w:rsidRPr="00DC010A">
              <w:rPr>
                <w:rFonts w:cs="Arial"/>
                <w:b/>
                <w:sz w:val="22"/>
                <w:szCs w:val="22"/>
                <w:lang w:val="sr-Latn-CS"/>
              </w:rPr>
              <w:t>Opšti poremećaji i reakcije na mjestu primjene</w:t>
            </w:r>
          </w:p>
          <w:p w:rsidR="008E31D0" w:rsidRPr="00DC010A" w:rsidRDefault="008E31D0" w:rsidP="008E31D0">
            <w:pPr>
              <w:pStyle w:val="NoSpacing"/>
              <w:rPr>
                <w:rFonts w:cs="Arial"/>
                <w:sz w:val="22"/>
                <w:szCs w:val="22"/>
                <w:lang w:val="sr-Latn-CS"/>
              </w:rPr>
            </w:pPr>
            <w:r w:rsidRPr="00DC010A">
              <w:rPr>
                <w:rFonts w:cs="Arial"/>
                <w:sz w:val="22"/>
                <w:szCs w:val="22"/>
                <w:lang w:val="sr-Latn-CS"/>
              </w:rPr>
              <w:t>Povremeno: nelagodnost, periferni edem.</w:t>
            </w:r>
          </w:p>
          <w:p w:rsidR="008E31D0" w:rsidRPr="00DC010A" w:rsidRDefault="008E31D0" w:rsidP="008E31D0">
            <w:pPr>
              <w:pStyle w:val="NoSpacing"/>
              <w:rPr>
                <w:rFonts w:cs="Arial"/>
                <w:sz w:val="22"/>
                <w:szCs w:val="22"/>
                <w:lang w:val="sr-Latn-CS"/>
              </w:rPr>
            </w:pPr>
            <w:r w:rsidRPr="00DC010A">
              <w:rPr>
                <w:rFonts w:cs="Arial"/>
                <w:sz w:val="22"/>
                <w:szCs w:val="22"/>
                <w:lang w:val="sr-Latn-CS"/>
              </w:rPr>
              <w:t>Rijetko: pojačano znojenje.</w:t>
            </w:r>
          </w:p>
          <w:p w:rsidR="008E31D0" w:rsidRPr="00DC010A" w:rsidRDefault="008E31D0" w:rsidP="008E31D0">
            <w:pPr>
              <w:pStyle w:val="NoSpacing"/>
              <w:rPr>
                <w:rFonts w:cs="Arial"/>
                <w:sz w:val="22"/>
                <w:szCs w:val="22"/>
                <w:lang w:val="sr-Latn-CS"/>
              </w:rPr>
            </w:pPr>
          </w:p>
          <w:p w:rsidR="008E31D0" w:rsidRPr="00DC010A" w:rsidRDefault="008E31D0" w:rsidP="008E31D0">
            <w:pPr>
              <w:pStyle w:val="NoSpacing"/>
              <w:rPr>
                <w:rFonts w:cs="Arial"/>
                <w:sz w:val="22"/>
                <w:szCs w:val="22"/>
                <w:u w:val="single"/>
                <w:lang w:val="sr-Latn-CS"/>
              </w:rPr>
            </w:pPr>
            <w:r w:rsidRPr="00DC010A">
              <w:rPr>
                <w:rFonts w:cs="Arial"/>
                <w:sz w:val="22"/>
                <w:szCs w:val="22"/>
                <w:u w:val="single"/>
                <w:lang w:val="sr-Latn-CS"/>
              </w:rPr>
              <w:t>Pedijatrijska populacija</w:t>
            </w:r>
          </w:p>
          <w:p w:rsidR="008E31D0" w:rsidRPr="00DC010A" w:rsidRDefault="008E31D0" w:rsidP="008E31D0">
            <w:pPr>
              <w:pStyle w:val="NoSpacing"/>
              <w:rPr>
                <w:rFonts w:cs="Arial"/>
                <w:sz w:val="22"/>
                <w:szCs w:val="22"/>
                <w:lang w:val="sr-Latn-CS"/>
              </w:rPr>
            </w:pPr>
            <w:r w:rsidRPr="00DC010A">
              <w:rPr>
                <w:rFonts w:cs="Arial"/>
                <w:sz w:val="22"/>
                <w:szCs w:val="22"/>
                <w:lang w:val="sr-Latn-CS"/>
              </w:rPr>
              <w:t xml:space="preserve">Bezbjednost primjene omeprazola procijenjena je kod ukupno 310 djece starosti 0 do 16 godina sa oboljenjima udruženim sa poremećajem lučenja želudačne kiseline. Postoje ograničeni dugotrajni bezbjedonosni podaci kod 46 djece koja su bila na terapiji održavanja omeprazolom tokom studije kod teškog oblika erozivnog ezofagitisa u trajanju do 749 dana. Profil neželjenih dejstava bio je generalno isti kao kod odraslih pacijenata na kratkotrajnoj, kao i kod pacijenata na dugotrajnoj terapiji. Nema dugoročnih podataka koji se odnose na efekte terapije omeprazola na pubertet i rast. </w:t>
            </w:r>
          </w:p>
          <w:p w:rsidR="008E31D0" w:rsidRPr="00DC010A" w:rsidRDefault="008E31D0" w:rsidP="008E31D0">
            <w:pPr>
              <w:pStyle w:val="NoSpacing"/>
              <w:rPr>
                <w:b/>
                <w:bCs/>
                <w:sz w:val="22"/>
                <w:szCs w:val="22"/>
                <w:lang w:val="sr-Latn-CS"/>
              </w:rPr>
            </w:pPr>
          </w:p>
          <w:p w:rsidR="008E31D0" w:rsidRPr="00DC010A" w:rsidRDefault="008E31D0" w:rsidP="008E31D0">
            <w:pPr>
              <w:pStyle w:val="NoSpacing"/>
              <w:rPr>
                <w:rFonts w:eastAsia="Calibri"/>
                <w:sz w:val="22"/>
                <w:szCs w:val="22"/>
                <w:u w:val="single"/>
                <w:lang w:val="sr-Latn-RS"/>
              </w:rPr>
            </w:pPr>
            <w:r w:rsidRPr="00DC010A">
              <w:rPr>
                <w:rFonts w:eastAsia="Calibri"/>
                <w:sz w:val="22"/>
                <w:szCs w:val="22"/>
                <w:u w:val="single"/>
                <w:lang w:val="sr-Latn-RS"/>
              </w:rPr>
              <w:t>Prijavljivanje sumnji na neželjena dejstva</w:t>
            </w:r>
          </w:p>
          <w:p w:rsidR="008E31D0" w:rsidRPr="00DC010A" w:rsidRDefault="008E31D0" w:rsidP="008E31D0">
            <w:pPr>
              <w:pStyle w:val="NoSpacing"/>
              <w:rPr>
                <w:rFonts w:eastAsia="Calibri"/>
                <w:sz w:val="22"/>
                <w:szCs w:val="22"/>
                <w:lang w:val="sr-Latn-RS"/>
              </w:rPr>
            </w:pPr>
            <w:r w:rsidRPr="00DC010A">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8E31D0" w:rsidRPr="00DC010A" w:rsidRDefault="008E31D0" w:rsidP="008E31D0">
            <w:pPr>
              <w:pStyle w:val="NoSpacing"/>
              <w:rPr>
                <w:rFonts w:eastAsia="Calibri"/>
                <w:sz w:val="22"/>
                <w:lang w:val="sr-Latn-RS"/>
              </w:rPr>
            </w:pPr>
            <w:r w:rsidRPr="00DC010A">
              <w:rPr>
                <w:rFonts w:eastAsia="Calibri"/>
                <w:sz w:val="22"/>
                <w:lang w:val="sr-Latn-RS"/>
              </w:rPr>
              <w:t>Agencija za ljekove i medicinska sredstva Crne Gore</w:t>
            </w:r>
          </w:p>
          <w:p w:rsidR="008E31D0" w:rsidRPr="00DC010A" w:rsidRDefault="008E31D0" w:rsidP="008E31D0">
            <w:pPr>
              <w:pStyle w:val="NoSpacing"/>
              <w:rPr>
                <w:rFonts w:eastAsia="Calibri"/>
                <w:sz w:val="22"/>
                <w:lang w:val="sr-Latn-RS"/>
              </w:rPr>
            </w:pPr>
            <w:r w:rsidRPr="00DC010A">
              <w:rPr>
                <w:rFonts w:eastAsia="Calibri"/>
                <w:sz w:val="22"/>
                <w:lang w:val="sr-Latn-RS"/>
              </w:rPr>
              <w:t>Odjeljenje za farmakovigilancu</w:t>
            </w:r>
          </w:p>
          <w:p w:rsidR="008E31D0" w:rsidRPr="00DC010A" w:rsidRDefault="008E31D0" w:rsidP="008E31D0">
            <w:pPr>
              <w:pStyle w:val="NoSpacing"/>
              <w:rPr>
                <w:rFonts w:eastAsia="Calibri"/>
                <w:sz w:val="22"/>
                <w:lang w:val="sr-Latn-RS"/>
              </w:rPr>
            </w:pPr>
            <w:r w:rsidRPr="00DC010A">
              <w:rPr>
                <w:rFonts w:eastAsia="Calibri"/>
                <w:sz w:val="22"/>
                <w:lang w:val="sr-Latn-RS"/>
              </w:rPr>
              <w:t>Bulevar Ivana Crnojevića 64a, 81000 Podgorica</w:t>
            </w:r>
          </w:p>
          <w:p w:rsidR="008E31D0" w:rsidRPr="00DC010A" w:rsidRDefault="008E31D0" w:rsidP="008E31D0">
            <w:pPr>
              <w:pStyle w:val="NoSpacing"/>
              <w:rPr>
                <w:rFonts w:eastAsia="Calibri"/>
                <w:sz w:val="22"/>
                <w:lang w:val="sr-Latn-RS"/>
              </w:rPr>
            </w:pPr>
          </w:p>
          <w:p w:rsidR="008E31D0" w:rsidRPr="00DC010A" w:rsidRDefault="008E31D0" w:rsidP="008E31D0">
            <w:pPr>
              <w:pStyle w:val="NoSpacing"/>
              <w:rPr>
                <w:rFonts w:eastAsia="Calibri"/>
                <w:sz w:val="22"/>
                <w:lang w:val="sr-Latn-RS"/>
              </w:rPr>
            </w:pPr>
            <w:r w:rsidRPr="00DC010A">
              <w:rPr>
                <w:rFonts w:eastAsia="Calibri"/>
                <w:sz w:val="22"/>
                <w:lang w:val="sr-Latn-RS"/>
              </w:rPr>
              <w:t>tel: +382 (0) 20 310 280</w:t>
            </w:r>
          </w:p>
          <w:p w:rsidR="008E31D0" w:rsidRPr="00DC010A" w:rsidRDefault="008E31D0" w:rsidP="008E31D0">
            <w:pPr>
              <w:pStyle w:val="NoSpacing"/>
              <w:rPr>
                <w:rFonts w:eastAsia="Calibri"/>
                <w:sz w:val="22"/>
                <w:lang w:val="sr-Latn-RS"/>
              </w:rPr>
            </w:pPr>
            <w:r w:rsidRPr="00DC010A">
              <w:rPr>
                <w:rFonts w:eastAsia="Calibri"/>
                <w:sz w:val="22"/>
                <w:lang w:val="sr-Latn-RS"/>
              </w:rPr>
              <w:t>fax: +382 (0) 20 310 581</w:t>
            </w:r>
          </w:p>
          <w:p w:rsidR="008E31D0" w:rsidRPr="00DC010A" w:rsidRDefault="00F13269" w:rsidP="008E31D0">
            <w:pPr>
              <w:pStyle w:val="NoSpacing"/>
              <w:rPr>
                <w:rFonts w:eastAsia="Calibri"/>
                <w:sz w:val="22"/>
                <w:lang w:val="sr-Latn-RS"/>
              </w:rPr>
            </w:pPr>
            <w:hyperlink r:id="rId8" w:history="1">
              <w:r w:rsidR="008E31D0" w:rsidRPr="00DC010A">
                <w:rPr>
                  <w:rFonts w:eastAsia="Calibri"/>
                  <w:color w:val="0000FF"/>
                  <w:sz w:val="22"/>
                  <w:u w:val="single"/>
                  <w:lang w:val="sr-Latn-RS"/>
                </w:rPr>
                <w:t>www.calims.me</w:t>
              </w:r>
            </w:hyperlink>
          </w:p>
          <w:p w:rsidR="008E31D0" w:rsidRPr="00DC010A" w:rsidRDefault="00F13269" w:rsidP="008E31D0">
            <w:pPr>
              <w:pStyle w:val="NoSpacing"/>
              <w:rPr>
                <w:rFonts w:eastAsia="Calibri"/>
                <w:color w:val="0000FF"/>
                <w:sz w:val="22"/>
                <w:u w:val="single"/>
                <w:lang w:val="sr-Latn-RS"/>
              </w:rPr>
            </w:pPr>
            <w:hyperlink r:id="rId9" w:history="1">
              <w:r w:rsidR="008E31D0" w:rsidRPr="00DC010A">
                <w:rPr>
                  <w:rFonts w:eastAsia="Calibri"/>
                  <w:color w:val="0000FF"/>
                  <w:sz w:val="22"/>
                  <w:u w:val="single"/>
                  <w:lang w:val="sr-Latn-RS"/>
                </w:rPr>
                <w:t>nezeljenadejstva@calims.me</w:t>
              </w:r>
            </w:hyperlink>
          </w:p>
          <w:p w:rsidR="008E31D0" w:rsidRPr="00DC010A" w:rsidRDefault="008E31D0" w:rsidP="008E31D0">
            <w:pPr>
              <w:pStyle w:val="NoSpacing"/>
              <w:rPr>
                <w:rFonts w:cs="Arial"/>
                <w:sz w:val="22"/>
                <w:szCs w:val="22"/>
                <w:lang w:val="sr-Latn-CS"/>
              </w:rPr>
            </w:pPr>
            <w:r w:rsidRPr="00DC010A">
              <w:rPr>
                <w:rFonts w:eastAsia="Calibri"/>
                <w:sz w:val="22"/>
                <w:lang w:val="sr-Latn-RS"/>
              </w:rPr>
              <w:t>putem IS zdravstvene zaštite</w:t>
            </w:r>
          </w:p>
          <w:p w:rsidR="008E31D0" w:rsidRPr="00DC010A" w:rsidRDefault="008E31D0" w:rsidP="008E31D0">
            <w:pPr>
              <w:pStyle w:val="NoSpacing"/>
              <w:rPr>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it-IT"/>
              </w:rPr>
            </w:pPr>
            <w:r w:rsidRPr="00DC010A">
              <w:rPr>
                <w:b/>
                <w:bCs/>
                <w:sz w:val="22"/>
                <w:szCs w:val="22"/>
                <w:lang w:val="sr-Latn-CS"/>
              </w:rPr>
              <w:lastRenderedPageBreak/>
              <w:t xml:space="preserve">4.9. Predoziranje </w:t>
            </w:r>
            <w:r w:rsidRPr="00DC010A">
              <w:rPr>
                <w:b/>
                <w:bCs/>
                <w:sz w:val="22"/>
                <w:szCs w:val="22"/>
                <w:lang w:val="it-IT"/>
              </w:rPr>
              <w:t>i mjere koje je potrebno preduzeti</w:t>
            </w:r>
          </w:p>
        </w:tc>
      </w:tr>
      <w:tr w:rsidR="008E31D0" w:rsidRPr="00DC010A" w:rsidTr="0089758C">
        <w:trPr>
          <w:trHeight w:val="716"/>
        </w:trPr>
        <w:tc>
          <w:tcPr>
            <w:tcW w:w="10188" w:type="dxa"/>
            <w:gridSpan w:val="4"/>
            <w:vAlign w:val="center"/>
          </w:tcPr>
          <w:p w:rsidR="008E31D0" w:rsidRPr="00DC010A" w:rsidRDefault="008E31D0" w:rsidP="008E31D0">
            <w:pPr>
              <w:pStyle w:val="NoSpacing"/>
              <w:rPr>
                <w:sz w:val="22"/>
                <w:szCs w:val="22"/>
                <w:lang w:val="sr-Latn-CS"/>
              </w:rPr>
            </w:pPr>
            <w:r w:rsidRPr="00DC010A">
              <w:rPr>
                <w:sz w:val="22"/>
                <w:szCs w:val="22"/>
                <w:lang w:val="sr-Latn-CS"/>
              </w:rPr>
              <w:lastRenderedPageBreak/>
              <w:t>Prijavljeni su rijetki slučajevi predoziranja omeprazolom. Dostupne su ograničene informacije o efektima predoziranja omeprazolom kod ljudi. Prema podacima iz literature, opisana je primjena doze do 560 mg, a dobijeni su i povremeni podaci pri primjeni pojedinačnih oralnih doza do 2400 mg omeprazola (120 puta veća doza od uobičajene preporučene kliničke doze). Prilikom predoziranja omeprazolom prijavljeni su mučnina, povraćanje, vrtoglavica, abdominalni bol, dijareja i glavobolja. Takođe, u pojedinačnim slučajevima su opisani apatija, depresija i konfuzija.</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lang w:val="sr-Latn-CS"/>
              </w:rPr>
            </w:pPr>
            <w:r w:rsidRPr="00DC010A">
              <w:rPr>
                <w:sz w:val="22"/>
                <w:szCs w:val="22"/>
                <w:lang w:val="sr-Latn-CS"/>
              </w:rPr>
              <w:t>Simptomi opisani u vezi sa predoziranjem omeprazolom bili su prolazni, i nijesu prijavljene ozbiljne posljedice usljed njegove primjene. Sa povećanjem doze stepen eliminacije bio je neizmijenjen (kinetika prvog reda) i nije bilo potrebe za specifičnom terapijom. Ako je neophodna, terapija je simptomatska.</w:t>
            </w:r>
          </w:p>
          <w:p w:rsidR="000474DF" w:rsidRPr="00DC010A" w:rsidRDefault="000474DF" w:rsidP="008E31D0">
            <w:pPr>
              <w:pStyle w:val="NoSpacing"/>
              <w:rPr>
                <w:sz w:val="22"/>
                <w:szCs w:val="22"/>
                <w:lang w:val="sr-Latn-CS"/>
              </w:rPr>
            </w:pPr>
          </w:p>
          <w:p w:rsidR="008E31D0" w:rsidRPr="00DC010A" w:rsidRDefault="008E31D0" w:rsidP="008E31D0">
            <w:pPr>
              <w:pStyle w:val="NoSpacing"/>
              <w:rPr>
                <w:sz w:val="22"/>
                <w:szCs w:val="22"/>
                <w:lang w:val="sr-Latn-CS"/>
              </w:rPr>
            </w:pPr>
          </w:p>
        </w:tc>
      </w:tr>
      <w:tr w:rsidR="008E31D0" w:rsidRPr="00DC010A" w:rsidTr="0089758C">
        <w:tc>
          <w:tcPr>
            <w:tcW w:w="10188" w:type="dxa"/>
            <w:gridSpan w:val="4"/>
            <w:shd w:val="clear" w:color="auto" w:fill="E0E0E0"/>
            <w:vAlign w:val="center"/>
          </w:tcPr>
          <w:p w:rsidR="008E31D0" w:rsidRPr="00DC010A" w:rsidRDefault="008E31D0" w:rsidP="008E31D0">
            <w:pPr>
              <w:pStyle w:val="NoSpacing"/>
              <w:rPr>
                <w:b/>
                <w:bCs/>
                <w:sz w:val="22"/>
                <w:szCs w:val="22"/>
                <w:lang w:val="sr-Latn-CS"/>
              </w:rPr>
            </w:pPr>
            <w:r w:rsidRPr="00DC010A">
              <w:rPr>
                <w:b/>
                <w:bCs/>
                <w:sz w:val="22"/>
                <w:szCs w:val="22"/>
                <w:lang w:val="sr-Latn-CS"/>
              </w:rPr>
              <w:t>5. FARMAKOLOŠKI PODACI</w:t>
            </w:r>
          </w:p>
        </w:tc>
      </w:tr>
      <w:tr w:rsidR="008E31D0" w:rsidRPr="00DC010A" w:rsidTr="0089758C">
        <w:tc>
          <w:tcPr>
            <w:tcW w:w="10188" w:type="dxa"/>
            <w:gridSpan w:val="4"/>
            <w:vAlign w:val="center"/>
          </w:tcPr>
          <w:p w:rsidR="000474DF" w:rsidRPr="00DC010A" w:rsidRDefault="000474DF" w:rsidP="008E31D0">
            <w:pPr>
              <w:pStyle w:val="NoSpacing"/>
              <w:rPr>
                <w:b/>
                <w:bCs/>
                <w:sz w:val="22"/>
                <w:szCs w:val="22"/>
                <w:lang w:val="sr-Latn-CS"/>
              </w:rPr>
            </w:pPr>
          </w:p>
          <w:p w:rsidR="008E31D0" w:rsidRPr="00DC010A" w:rsidRDefault="008E31D0" w:rsidP="008E31D0">
            <w:pPr>
              <w:pStyle w:val="NoSpacing"/>
              <w:rPr>
                <w:b/>
                <w:bCs/>
                <w:sz w:val="22"/>
                <w:szCs w:val="22"/>
                <w:lang w:val="sr-Latn-CS"/>
              </w:rPr>
            </w:pPr>
            <w:r w:rsidRPr="00DC010A">
              <w:rPr>
                <w:b/>
                <w:bCs/>
                <w:sz w:val="22"/>
                <w:szCs w:val="22"/>
                <w:lang w:val="sr-Latn-CS"/>
              </w:rPr>
              <w:t>5.1. Farmakodinamski podaci</w:t>
            </w:r>
          </w:p>
        </w:tc>
      </w:tr>
      <w:tr w:rsidR="008E31D0" w:rsidRPr="00DC010A" w:rsidTr="0089758C">
        <w:trPr>
          <w:trHeight w:val="576"/>
        </w:trPr>
        <w:tc>
          <w:tcPr>
            <w:tcW w:w="2808" w:type="dxa"/>
            <w:gridSpan w:val="3"/>
            <w:vAlign w:val="center"/>
          </w:tcPr>
          <w:p w:rsidR="008E31D0" w:rsidRPr="00DC010A" w:rsidRDefault="008E31D0" w:rsidP="008E31D0">
            <w:pPr>
              <w:pStyle w:val="NoSpacing"/>
              <w:rPr>
                <w:b/>
                <w:bCs/>
                <w:sz w:val="22"/>
                <w:szCs w:val="22"/>
                <w:lang w:val="sr-Latn-CS"/>
              </w:rPr>
            </w:pPr>
            <w:r w:rsidRPr="00DC010A">
              <w:rPr>
                <w:b/>
                <w:bCs/>
                <w:sz w:val="22"/>
                <w:szCs w:val="22"/>
                <w:lang w:val="sr-Latn-CS"/>
              </w:rPr>
              <w:t>Farmakoterapijska grupa:</w:t>
            </w:r>
          </w:p>
        </w:tc>
        <w:tc>
          <w:tcPr>
            <w:tcW w:w="7380" w:type="dxa"/>
            <w:vAlign w:val="center"/>
          </w:tcPr>
          <w:p w:rsidR="008E31D0" w:rsidRPr="00DC010A" w:rsidRDefault="008E31D0" w:rsidP="008E31D0">
            <w:pPr>
              <w:pStyle w:val="NoSpacing"/>
              <w:rPr>
                <w:sz w:val="22"/>
                <w:szCs w:val="22"/>
                <w:lang w:val="sr-Latn-CS"/>
              </w:rPr>
            </w:pPr>
            <w:r w:rsidRPr="00DC010A">
              <w:rPr>
                <w:sz w:val="22"/>
                <w:szCs w:val="22"/>
                <w:lang w:val="sr-Latn-CS"/>
              </w:rPr>
              <w:t>inhibitori protonske pumpe</w:t>
            </w:r>
          </w:p>
        </w:tc>
      </w:tr>
      <w:tr w:rsidR="008E31D0" w:rsidRPr="00DC010A" w:rsidTr="0089758C">
        <w:trPr>
          <w:trHeight w:val="542"/>
        </w:trPr>
        <w:tc>
          <w:tcPr>
            <w:tcW w:w="1188" w:type="dxa"/>
            <w:gridSpan w:val="2"/>
            <w:vAlign w:val="center"/>
          </w:tcPr>
          <w:p w:rsidR="008E31D0" w:rsidRPr="00DC010A" w:rsidRDefault="008E31D0" w:rsidP="008E31D0">
            <w:pPr>
              <w:pStyle w:val="NoSpacing"/>
              <w:rPr>
                <w:b/>
                <w:bCs/>
                <w:sz w:val="22"/>
                <w:szCs w:val="22"/>
                <w:lang w:val="sr-Latn-CS"/>
              </w:rPr>
            </w:pPr>
            <w:r w:rsidRPr="00DC010A">
              <w:rPr>
                <w:b/>
                <w:bCs/>
                <w:sz w:val="22"/>
                <w:szCs w:val="22"/>
                <w:lang w:val="sr-Latn-CS"/>
              </w:rPr>
              <w:t>ATC kod:</w:t>
            </w:r>
          </w:p>
        </w:tc>
        <w:tc>
          <w:tcPr>
            <w:tcW w:w="9000" w:type="dxa"/>
            <w:gridSpan w:val="2"/>
            <w:vAlign w:val="center"/>
          </w:tcPr>
          <w:p w:rsidR="008E31D0" w:rsidRPr="00DC010A" w:rsidRDefault="008E31D0" w:rsidP="008E31D0">
            <w:pPr>
              <w:pStyle w:val="NoSpacing"/>
              <w:rPr>
                <w:sz w:val="22"/>
                <w:szCs w:val="22"/>
                <w:lang w:val="sr-Latn-CS"/>
              </w:rPr>
            </w:pPr>
            <w:r w:rsidRPr="00DC010A">
              <w:rPr>
                <w:sz w:val="22"/>
                <w:szCs w:val="22"/>
                <w:lang w:val="sr-Latn-CS"/>
              </w:rPr>
              <w:t>A02BC01</w:t>
            </w:r>
          </w:p>
        </w:tc>
      </w:tr>
      <w:tr w:rsidR="008E31D0" w:rsidRPr="00DC010A" w:rsidTr="0089758C">
        <w:trPr>
          <w:trHeight w:val="1145"/>
        </w:trPr>
        <w:tc>
          <w:tcPr>
            <w:tcW w:w="10188" w:type="dxa"/>
            <w:gridSpan w:val="4"/>
            <w:vAlign w:val="center"/>
          </w:tcPr>
          <w:p w:rsidR="008E31D0" w:rsidRPr="00DC010A" w:rsidRDefault="008E31D0" w:rsidP="008E31D0">
            <w:pPr>
              <w:pStyle w:val="NoSpacing"/>
              <w:rPr>
                <w:rFonts w:eastAsia="TimesNewRoman"/>
                <w:sz w:val="22"/>
                <w:szCs w:val="22"/>
                <w:u w:val="single"/>
                <w:lang w:val="sr-Latn-RS" w:eastAsia="zh-TW"/>
              </w:rPr>
            </w:pPr>
            <w:r w:rsidRPr="00DC010A">
              <w:rPr>
                <w:rFonts w:eastAsia="TimesNewRoman"/>
                <w:sz w:val="22"/>
                <w:szCs w:val="22"/>
                <w:u w:val="single"/>
                <w:lang w:val="sr-Latn-RS" w:eastAsia="zh-TW"/>
              </w:rPr>
              <w:t>Mehanizam dejstva</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Omeprazol, racemska smjesa dva enantiomera, smanjuje sekreciju želudačne kiseline putem visoko selektivnog  mehanizma djelovanja. Omeprazol je specifični inhibitor protonske pumpe u parijetalnim ćelijama želuca. Efekat</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omeprazola nastupa brzo i dovodi reverzibilne inhibicije sekrecije želudačne kiseline doziranjem jednom dnevno.</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Omeprazol je slaba baza koja se koncentriše i prelazi u svoj aktivni oblik u jako kiselom medijumu intracelularnih kanalića parijentalnih ćelija, gdje inhibiše aktivnost  H</w:t>
            </w:r>
            <w:r w:rsidRPr="00DC010A">
              <w:rPr>
                <w:rFonts w:eastAsia="TimesNewRoman"/>
                <w:sz w:val="22"/>
                <w:szCs w:val="22"/>
                <w:vertAlign w:val="superscript"/>
                <w:lang w:val="sr-Latn-RS" w:eastAsia="zh-TW"/>
              </w:rPr>
              <w:t>+</w:t>
            </w:r>
            <w:r w:rsidRPr="00DC010A">
              <w:rPr>
                <w:rFonts w:eastAsia="TimesNewRoman"/>
                <w:sz w:val="22"/>
                <w:szCs w:val="22"/>
                <w:lang w:val="sr-Latn-RS" w:eastAsia="zh-TW"/>
              </w:rPr>
              <w:t>, K</w:t>
            </w:r>
            <w:r w:rsidRPr="00DC010A">
              <w:rPr>
                <w:rFonts w:eastAsia="TimesNewRoman"/>
                <w:sz w:val="22"/>
                <w:szCs w:val="22"/>
                <w:vertAlign w:val="superscript"/>
                <w:lang w:val="sr-Latn-RS" w:eastAsia="zh-TW"/>
              </w:rPr>
              <w:t>+</w:t>
            </w:r>
            <w:r w:rsidRPr="00DC010A">
              <w:rPr>
                <w:rFonts w:eastAsia="TimesNewRoman"/>
                <w:sz w:val="22"/>
                <w:szCs w:val="22"/>
                <w:lang w:val="sr-Latn-RS" w:eastAsia="zh-TW"/>
              </w:rPr>
              <w:t>-ATP-aze protonske pumpe. Ovo dejstvo na finalni korak u procesu stvaranja želudačne kiseline je dozno-zavisan i omogućava visoko efikasnu inhibiciju bazalne i stimulisane sekrecije želudačne, nezavisno od stimulansa.</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u w:val="single"/>
                <w:lang w:val="sr-Latn-RS" w:eastAsia="zh-TW"/>
              </w:rPr>
            </w:pPr>
          </w:p>
          <w:p w:rsidR="008E31D0" w:rsidRPr="00DC010A" w:rsidRDefault="008E31D0" w:rsidP="008E31D0">
            <w:pPr>
              <w:pStyle w:val="NoSpacing"/>
              <w:rPr>
                <w:rFonts w:eastAsia="TimesNewRoman"/>
                <w:sz w:val="22"/>
                <w:szCs w:val="22"/>
                <w:u w:val="single"/>
                <w:lang w:val="sr-Latn-RS" w:eastAsia="zh-TW"/>
              </w:rPr>
            </w:pPr>
            <w:r w:rsidRPr="00DC010A">
              <w:rPr>
                <w:rFonts w:eastAsia="TimesNewRoman"/>
                <w:sz w:val="22"/>
                <w:szCs w:val="22"/>
                <w:u w:val="single"/>
                <w:lang w:val="sr-Latn-RS" w:eastAsia="zh-TW"/>
              </w:rPr>
              <w:t>Farmakodinamski efekti</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Svi uočeni farmakodinamski efekti se mogu objasniti dejstvom omeprazola na sekreciju kiseline.</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Italic"/>
                <w:i/>
                <w:iCs/>
                <w:sz w:val="22"/>
                <w:szCs w:val="22"/>
                <w:lang w:val="sr-Latn-RS" w:eastAsia="zh-TW"/>
              </w:rPr>
            </w:pPr>
            <w:r w:rsidRPr="00DC010A">
              <w:rPr>
                <w:rFonts w:eastAsia="TimesNewRoman,Italic"/>
                <w:i/>
                <w:iCs/>
                <w:sz w:val="22"/>
                <w:szCs w:val="22"/>
                <w:lang w:val="sr-Latn-RS" w:eastAsia="zh-TW"/>
              </w:rPr>
              <w:t>Dejstvo na sekreciju želudačne kiseline</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Oralno doziranje omeprazola jednom dnevno omogućava brzu i efikasnu inhibiciju dnevne i noćne sekrecije želudačne kiseline sa maksimalnim efektom koji se postiže tokom prva 4 dana liječenja. Sa 20 mg omeprazola kod pacijenata sa duodenalnim ulkusom, postiže se prosječno smanjenje od oko 80% unutar 24h, dok je prosječno smanjenje maksimalne produkcije želudačne kiseline nakon stimulacije pentagastrinom od oko 70%, 24h nakon primjene.</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Primjena oralne doze omeprazola od 20 mg održava želudačni pH ≥3 u prosjeku 17h tokom 24-satnog perioda kod pacijenata sa duodenalnim ulkusom.</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Kao posljedica smanjene sekrecije kiseline i intragastrične kiselosti, omeprazol zavisno od doze smanjuje/normalizuje izloženost jednjaka kiselini kod pacijenata sa gastro-ezofagealnom refluksnom bolesti.</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Inhibicija sekrecije kiseline je povezana sa površinom ispod krive (PIK) omeprazola a ne stvarnom koncentracijom u plazmi u određenom vremenu.</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Nije uočena tahifilaksija tokom liječenja omeprazolom.</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Italic"/>
                <w:i/>
                <w:iCs/>
                <w:sz w:val="22"/>
                <w:szCs w:val="22"/>
                <w:lang w:val="sr-Latn-RS" w:eastAsia="zh-TW"/>
              </w:rPr>
            </w:pPr>
            <w:r w:rsidRPr="00DC010A">
              <w:rPr>
                <w:rFonts w:eastAsia="TimesNewRoman,Italic"/>
                <w:i/>
                <w:iCs/>
                <w:sz w:val="22"/>
                <w:szCs w:val="22"/>
                <w:lang w:val="sr-Latn-RS" w:eastAsia="zh-TW"/>
              </w:rPr>
              <w:t>Dejstvo na bakteriju Helicobacter pylori</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 xml:space="preserve">Prisustvo bakterije </w:t>
            </w:r>
            <w:r w:rsidRPr="00DC010A">
              <w:rPr>
                <w:rFonts w:eastAsia="TimesNewRoman,Italic"/>
                <w:i/>
                <w:iCs/>
                <w:sz w:val="22"/>
                <w:szCs w:val="22"/>
                <w:lang w:val="sr-Latn-RS" w:eastAsia="zh-TW"/>
              </w:rPr>
              <w:t xml:space="preserve">Helicobacter pylori </w:t>
            </w:r>
            <w:r w:rsidRPr="00DC010A">
              <w:rPr>
                <w:rFonts w:eastAsia="TimesNewRoman"/>
                <w:sz w:val="22"/>
                <w:szCs w:val="22"/>
                <w:lang w:val="sr-Latn-RS" w:eastAsia="zh-TW"/>
              </w:rPr>
              <w:t xml:space="preserve">povezano je sa nastankom peptičke ulkusne bolesti, uključujući duodenalni ulkus i gastrični ulkus. Bakterija </w:t>
            </w:r>
            <w:r w:rsidRPr="00DC010A">
              <w:rPr>
                <w:rFonts w:eastAsia="TimesNewRoman,Italic"/>
                <w:i/>
                <w:iCs/>
                <w:sz w:val="22"/>
                <w:szCs w:val="22"/>
                <w:lang w:val="sr-Latn-RS" w:eastAsia="zh-TW"/>
              </w:rPr>
              <w:t xml:space="preserve">Helicobacter pylori </w:t>
            </w:r>
            <w:r w:rsidRPr="00DC010A">
              <w:rPr>
                <w:rFonts w:eastAsia="TimesNewRoman"/>
                <w:sz w:val="22"/>
                <w:szCs w:val="22"/>
                <w:lang w:val="sr-Latn-RS" w:eastAsia="zh-TW"/>
              </w:rPr>
              <w:t xml:space="preserve">zajedno sa želudačnom kiselinom predstavljaju glavne faktore koji doprinose razvoju peptičke ulkusne bolesti. Bakterija </w:t>
            </w:r>
            <w:r w:rsidRPr="00DC010A">
              <w:rPr>
                <w:rFonts w:eastAsia="TimesNewRoman,Italic"/>
                <w:i/>
                <w:iCs/>
                <w:sz w:val="22"/>
                <w:szCs w:val="22"/>
                <w:lang w:val="sr-Latn-RS" w:eastAsia="zh-TW"/>
              </w:rPr>
              <w:t xml:space="preserve">Helicobacter pylori </w:t>
            </w:r>
            <w:r w:rsidRPr="00DC010A">
              <w:rPr>
                <w:rFonts w:eastAsia="TimesNewRoman"/>
                <w:sz w:val="22"/>
                <w:szCs w:val="22"/>
                <w:lang w:val="sr-Latn-RS" w:eastAsia="zh-TW"/>
              </w:rPr>
              <w:t>je glavni faktor koji doprinosi razvoju atrofičnog gastritisa, koji je povezan sa povećanim rizikom od razvoja karcinoma želuca.</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 xml:space="preserve">Eradikacija bakterije </w:t>
            </w:r>
            <w:r w:rsidRPr="00DC010A">
              <w:rPr>
                <w:rFonts w:eastAsia="TimesNewRoman,Italic"/>
                <w:i/>
                <w:iCs/>
                <w:sz w:val="22"/>
                <w:szCs w:val="22"/>
                <w:lang w:val="sr-Latn-RS" w:eastAsia="zh-TW"/>
              </w:rPr>
              <w:t xml:space="preserve">Helicobacter pylori </w:t>
            </w:r>
            <w:r w:rsidRPr="00DC010A">
              <w:rPr>
                <w:rFonts w:eastAsia="TimesNewRoman"/>
                <w:sz w:val="22"/>
                <w:szCs w:val="22"/>
                <w:lang w:val="sr-Latn-RS" w:eastAsia="zh-TW"/>
              </w:rPr>
              <w:t>omeprazolom i antibioticima povezana je sa visokim stepenom izlječenja i dugotrajnom remisijom peptičkih ulkusa.</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Dvojni terapijski režimi pokazali su se manje efikasnim od trojnih terapijskih režima. Međutim, dvojni terapijski režimi se mogu uzeti u obzir u slučajevima kada je nemoguće primijeniti trojni terapijski režim usljed preosjetljivosti.</w:t>
            </w:r>
          </w:p>
          <w:p w:rsidR="008E31D0" w:rsidRPr="00DC010A" w:rsidRDefault="008E31D0" w:rsidP="008E31D0">
            <w:pPr>
              <w:pStyle w:val="NoSpacing"/>
              <w:rPr>
                <w:rFonts w:eastAsia="TimesNewRoman,Italic"/>
                <w:i/>
                <w:iCs/>
                <w:sz w:val="22"/>
                <w:szCs w:val="22"/>
                <w:lang w:val="sr-Latn-RS" w:eastAsia="zh-TW"/>
              </w:rPr>
            </w:pPr>
          </w:p>
          <w:p w:rsidR="008E31D0" w:rsidRPr="00DC010A" w:rsidRDefault="008E31D0" w:rsidP="008E31D0">
            <w:pPr>
              <w:pStyle w:val="NoSpacing"/>
              <w:rPr>
                <w:rFonts w:eastAsia="TimesNewRoman,Italic"/>
                <w:i/>
                <w:iCs/>
                <w:sz w:val="22"/>
                <w:szCs w:val="22"/>
                <w:lang w:val="sr-Latn-RS" w:eastAsia="zh-TW"/>
              </w:rPr>
            </w:pPr>
            <w:r w:rsidRPr="00DC010A">
              <w:rPr>
                <w:rFonts w:eastAsia="TimesNewRoman,Italic"/>
                <w:i/>
                <w:iCs/>
                <w:sz w:val="22"/>
                <w:szCs w:val="22"/>
                <w:lang w:val="sr-Latn-RS" w:eastAsia="zh-TW"/>
              </w:rPr>
              <w:t>Ostali efekti povezani sa inhibicijom lučenja kiseline</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Tokom dugotrajnog liječenja prijavljena je nešto povećana učestalost želudačnih glandularnih cista. Ove promjene su fiziološka posljedica izražene inhibicije sekrecije kiseline. Ciste su benigne i izgleda da su reverzibilne.</w:t>
            </w:r>
          </w:p>
          <w:p w:rsidR="008E31D0" w:rsidRPr="00DC010A" w:rsidRDefault="008E31D0" w:rsidP="008E31D0">
            <w:pPr>
              <w:pStyle w:val="NoSpacing"/>
              <w:rPr>
                <w:sz w:val="22"/>
                <w:szCs w:val="22"/>
                <w:shd w:val="clear" w:color="auto" w:fill="FFFFFF"/>
                <w:lang w:val="sr-Latn-RS"/>
              </w:rPr>
            </w:pPr>
            <w:r w:rsidRPr="00DC010A">
              <w:rPr>
                <w:rFonts w:eastAsia="TimesNewRoman"/>
                <w:sz w:val="22"/>
                <w:szCs w:val="22"/>
                <w:lang w:val="sr-Latn-RS" w:eastAsia="zh-TW"/>
              </w:rPr>
              <w:t>Smanjena kiselost želuca iz bilo kog razloga, uključujući inhibitore protonske pumpe, povećava broj bakterija u želucu koje su inače normalno prisutne u gastrointestinalnom traktu. Terapija ljekovima koji smanjuju kiselost želuca može dovesti do blagog povećanja rizika od javljanja gastrointestinalnih infekcija bakterijama kao što su</w:t>
            </w:r>
            <w:r w:rsidRPr="00DC010A">
              <w:rPr>
                <w:rFonts w:eastAsia="TimesNewRoman,Italic"/>
                <w:i/>
                <w:iCs/>
                <w:sz w:val="22"/>
                <w:szCs w:val="22"/>
                <w:lang w:val="sr-Latn-RS" w:eastAsia="zh-TW"/>
              </w:rPr>
              <w:t xml:space="preserve"> Salmonella </w:t>
            </w:r>
            <w:r w:rsidRPr="00DC010A">
              <w:rPr>
                <w:rFonts w:eastAsia="TimesNewRoman"/>
                <w:sz w:val="22"/>
                <w:szCs w:val="22"/>
                <w:lang w:val="sr-Latn-RS" w:eastAsia="zh-TW"/>
              </w:rPr>
              <w:t xml:space="preserve">i </w:t>
            </w:r>
            <w:r w:rsidRPr="00DC010A">
              <w:rPr>
                <w:rFonts w:eastAsia="TimesNewRoman,Italic"/>
                <w:i/>
                <w:iCs/>
                <w:sz w:val="22"/>
                <w:szCs w:val="22"/>
                <w:lang w:val="sr-Latn-RS" w:eastAsia="zh-TW"/>
              </w:rPr>
              <w:t xml:space="preserve">Campylobacter </w:t>
            </w:r>
            <w:r w:rsidRPr="00DC010A">
              <w:rPr>
                <w:sz w:val="22"/>
                <w:szCs w:val="22"/>
                <w:shd w:val="clear" w:color="auto" w:fill="FFFFFF"/>
                <w:lang w:val="sr-Latn-RS"/>
              </w:rPr>
              <w:t xml:space="preserve">i, kod hospitalizovanih pacijenata, moguće i </w:t>
            </w:r>
            <w:r w:rsidRPr="00DC010A">
              <w:rPr>
                <w:i/>
                <w:sz w:val="22"/>
                <w:szCs w:val="22"/>
                <w:shd w:val="clear" w:color="auto" w:fill="FFFFFF"/>
                <w:lang w:val="sr-Latn-RS"/>
              </w:rPr>
              <w:t>Clostridium difficile</w:t>
            </w:r>
            <w:r w:rsidRPr="00DC010A">
              <w:rPr>
                <w:sz w:val="22"/>
                <w:szCs w:val="22"/>
                <w:shd w:val="clear" w:color="auto" w:fill="FFFFFF"/>
                <w:lang w:val="sr-Latn-RS"/>
              </w:rPr>
              <w:t>.</w:t>
            </w:r>
          </w:p>
          <w:p w:rsidR="008E31D0" w:rsidRPr="00DC010A" w:rsidRDefault="008E31D0" w:rsidP="008E31D0">
            <w:pPr>
              <w:pStyle w:val="NoSpacing"/>
              <w:rPr>
                <w:sz w:val="22"/>
                <w:szCs w:val="22"/>
                <w:shd w:val="clear" w:color="auto" w:fill="FFFFFF"/>
                <w:lang w:val="sr-Latn-RS"/>
              </w:rPr>
            </w:pPr>
            <w:r w:rsidRPr="00DC010A">
              <w:rPr>
                <w:sz w:val="22"/>
                <w:szCs w:val="22"/>
                <w:lang w:val="sr-Latn-RS"/>
              </w:rPr>
              <w:br/>
            </w:r>
            <w:r w:rsidRPr="00DC010A">
              <w:rPr>
                <w:sz w:val="22"/>
                <w:szCs w:val="22"/>
                <w:shd w:val="clear" w:color="auto" w:fill="FFFFFF"/>
                <w:lang w:val="sr-Latn-RS"/>
              </w:rPr>
              <w:t xml:space="preserve">Tokom liječenja antisekretornim ljekovima, gastrin u serumu se povećava kao odgovor na smanjenu sekreciju kiseline. CgA se takođe raste zbog smanjene želudačne kiseline. Povišen nivo CgA može ometati pretragu za neuroendokrine tumore. Dostupni podaci iz literature ukazuju na to da liječenje inhibitorima protonske pumpe treba prekinuti između 5 dana i 2 nedjelje prije mjerenja CgA. Time se omogućava da se nivoi CgA koji bi mogli biti lažno povišeni nakon liječenja PPI vrate unutar referentnih vrijednosti. </w:t>
            </w:r>
          </w:p>
          <w:p w:rsidR="008E31D0" w:rsidRPr="00DC010A" w:rsidRDefault="008E31D0" w:rsidP="008E31D0">
            <w:pPr>
              <w:pStyle w:val="NoSpacing"/>
              <w:rPr>
                <w:rFonts w:eastAsia="TimesNewRoman,Italic"/>
                <w:i/>
                <w:iCs/>
                <w:sz w:val="22"/>
                <w:szCs w:val="22"/>
                <w:lang w:val="sr-Latn-RS" w:eastAsia="zh-TW"/>
              </w:rPr>
            </w:pPr>
            <w:r w:rsidRPr="00DC010A">
              <w:rPr>
                <w:sz w:val="22"/>
                <w:szCs w:val="22"/>
                <w:shd w:val="clear" w:color="auto" w:fill="FFFFFF"/>
                <w:lang w:val="sr-Latn-RS"/>
              </w:rPr>
              <w:t>Povećan broj ECL ćelija koji su možda povezani sa povećanim nivoima gastrina u serumu, primijećeni su kod nekih pacijenata (i djece i odraslih) tokom dugotrajnog tretmana omeprazolom. Nalazi nemaju klinički značaj.</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u w:val="single"/>
                <w:lang w:val="sr-Latn-RS" w:eastAsia="zh-TW"/>
              </w:rPr>
            </w:pPr>
            <w:r w:rsidRPr="00DC010A">
              <w:rPr>
                <w:rFonts w:eastAsia="TimesNewRoman"/>
                <w:sz w:val="22"/>
                <w:szCs w:val="22"/>
                <w:u w:val="single"/>
                <w:lang w:val="sr-Latn-RS" w:eastAsia="zh-TW"/>
              </w:rPr>
              <w:t>Pedijatrijska populacija</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 xml:space="preserve">U nekontrolisanoj studiji kod djece (1 do 16 godina starosti) sa teškim refluksnim ezofagitisom, omeprazol u dozama od 0,7 do 1,4 mg/kg doveo je do poboljšanja ezofagitisa u 90% slučajeva i značajno smanjio simptome refluksa. </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U jednostruko slijepoj studiji, djeca starosti 0-24 mjeseca sa klinički dijagnostikovanom gastro-ezofagealnom refluksnom bolešću liječeni su dozama od 0.5, 1 ili 1,5 mg/kg omeprazola. Učestalost epizoda povraćanja/regurgitacije smanjena je za 50% nakon 8 nedjelja terapije, nezavisno od primijenjene doze.</w:t>
            </w:r>
          </w:p>
          <w:p w:rsidR="008E31D0" w:rsidRPr="00DC010A" w:rsidRDefault="008E31D0" w:rsidP="008E31D0">
            <w:pPr>
              <w:pStyle w:val="NoSpacing"/>
              <w:rPr>
                <w:rFonts w:eastAsia="TimesNewRoman,Italic"/>
                <w:i/>
                <w:iCs/>
                <w:sz w:val="22"/>
                <w:szCs w:val="22"/>
                <w:lang w:val="sr-Latn-RS" w:eastAsia="zh-TW"/>
              </w:rPr>
            </w:pPr>
          </w:p>
          <w:p w:rsidR="008E31D0" w:rsidRPr="00DC010A" w:rsidRDefault="008E31D0" w:rsidP="008E31D0">
            <w:pPr>
              <w:pStyle w:val="NoSpacing"/>
              <w:rPr>
                <w:rFonts w:eastAsia="TimesNewRoman,Italic"/>
                <w:i/>
                <w:iCs/>
                <w:sz w:val="22"/>
                <w:szCs w:val="22"/>
                <w:lang w:val="sr-Latn-RS" w:eastAsia="zh-TW"/>
              </w:rPr>
            </w:pPr>
            <w:r w:rsidRPr="00DC010A">
              <w:rPr>
                <w:rFonts w:eastAsia="TimesNewRoman,Italic"/>
                <w:i/>
                <w:iCs/>
                <w:sz w:val="22"/>
                <w:szCs w:val="22"/>
                <w:lang w:val="sr-Latn-RS" w:eastAsia="zh-TW"/>
              </w:rPr>
              <w:t>Eradikacija bakterije H. pylori kod djece</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 xml:space="preserve">Randomizirana, dvostruko slijepa studija (Héliot studija) došla je do zaključka o efikasnosti i prihvatljivoj bezbjednosti primjene omeprazola u kombinaciji sa dva antibiotika (amoksicilin i klaritromicin) u terapiji </w:t>
            </w:r>
            <w:r w:rsidRPr="00DC010A">
              <w:rPr>
                <w:rFonts w:eastAsia="TimesNewRoman"/>
                <w:sz w:val="22"/>
                <w:szCs w:val="22"/>
                <w:lang w:val="sr-Latn-RS" w:eastAsia="zh-TW"/>
              </w:rPr>
              <w:lastRenderedPageBreak/>
              <w:t xml:space="preserve">infekcije izazvane bakterijom </w:t>
            </w:r>
            <w:r w:rsidRPr="00DC010A">
              <w:rPr>
                <w:rFonts w:eastAsia="TimesNewRoman,Italic"/>
                <w:i/>
                <w:iCs/>
                <w:sz w:val="22"/>
                <w:szCs w:val="22"/>
                <w:lang w:val="sr-Latn-RS" w:eastAsia="zh-TW"/>
              </w:rPr>
              <w:t xml:space="preserve">H. pylori </w:t>
            </w:r>
            <w:r w:rsidRPr="00DC010A">
              <w:rPr>
                <w:rFonts w:eastAsia="TimesNewRoman"/>
                <w:sz w:val="22"/>
                <w:szCs w:val="22"/>
                <w:lang w:val="sr-Latn-RS" w:eastAsia="zh-TW"/>
              </w:rPr>
              <w:t xml:space="preserve">kod djece starosti 4 godine i starijeg godišta sa gastritisom: procenat eradikacije bakterije </w:t>
            </w:r>
            <w:r w:rsidRPr="00DC010A">
              <w:rPr>
                <w:rFonts w:eastAsia="TimesNewRoman,Italic"/>
                <w:i/>
                <w:iCs/>
                <w:sz w:val="22"/>
                <w:szCs w:val="22"/>
                <w:lang w:val="sr-Latn-RS" w:eastAsia="zh-TW"/>
              </w:rPr>
              <w:t>H. pylori</w:t>
            </w:r>
            <w:r w:rsidRPr="00DC010A">
              <w:rPr>
                <w:rFonts w:eastAsia="TimesNewRoman"/>
                <w:sz w:val="22"/>
                <w:szCs w:val="22"/>
                <w:lang w:val="sr-Latn-RS" w:eastAsia="zh-TW"/>
              </w:rPr>
              <w:t>: 74, 2% (23/31 pacijenta) pri primjeni kombinacije omeprazol + amoksicilin + klaritromicin, nasuprot 9,4% (3/32 pacijenta) pri primjeni kombinacije amoksicilin + klaritromicin. Međutim, nije bilo dokaza o kliničkom poboljšanju na simptome dispepsije. Ova studija ne pruža nikakve informacije o primjeni omeprazola kod djece mlađe od 4 godine starosti.</w:t>
            </w:r>
          </w:p>
          <w:p w:rsidR="008E31D0" w:rsidRPr="00DC010A" w:rsidRDefault="008E31D0" w:rsidP="008E31D0">
            <w:pPr>
              <w:pStyle w:val="NoSpacing"/>
              <w:rPr>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r w:rsidRPr="00DC010A">
              <w:rPr>
                <w:b/>
                <w:bCs/>
                <w:sz w:val="22"/>
                <w:szCs w:val="22"/>
                <w:lang w:val="sr-Latn-CS"/>
              </w:rPr>
              <w:lastRenderedPageBreak/>
              <w:t>5.2. Farmakokinetički podaci</w:t>
            </w:r>
          </w:p>
          <w:p w:rsidR="000474DF" w:rsidRPr="00DC010A" w:rsidRDefault="000474DF" w:rsidP="008E31D0">
            <w:pPr>
              <w:pStyle w:val="NoSpacing"/>
              <w:rPr>
                <w:b/>
                <w:bCs/>
                <w:sz w:val="22"/>
                <w:szCs w:val="22"/>
                <w:lang w:val="sr-Latn-CS"/>
              </w:rPr>
            </w:pPr>
          </w:p>
        </w:tc>
      </w:tr>
      <w:tr w:rsidR="008E31D0" w:rsidRPr="00DC010A" w:rsidTr="0089758C">
        <w:trPr>
          <w:trHeight w:val="180"/>
        </w:trPr>
        <w:tc>
          <w:tcPr>
            <w:tcW w:w="10188" w:type="dxa"/>
            <w:gridSpan w:val="4"/>
            <w:vAlign w:val="center"/>
          </w:tcPr>
          <w:p w:rsidR="008E31D0" w:rsidRPr="00DC010A" w:rsidRDefault="008E31D0" w:rsidP="008E31D0">
            <w:pPr>
              <w:pStyle w:val="NoSpacing"/>
              <w:rPr>
                <w:rFonts w:eastAsia="TimesNewRoman"/>
                <w:sz w:val="22"/>
                <w:szCs w:val="22"/>
                <w:u w:val="single"/>
                <w:lang w:val="sr-Latn-RS" w:eastAsia="zh-TW"/>
              </w:rPr>
            </w:pPr>
            <w:r w:rsidRPr="00DC010A">
              <w:rPr>
                <w:rFonts w:eastAsia="TimesNewRoman"/>
                <w:sz w:val="22"/>
                <w:szCs w:val="22"/>
                <w:u w:val="single"/>
                <w:lang w:val="sr-Latn-RS" w:eastAsia="zh-TW"/>
              </w:rPr>
              <w:t>Resorpcija</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Omeprazol i omeprazol magnezijum su nestabilni u kiseloj sredini i zato se primjenjuje oralno u obliku gastrorezistentnih granula u kapsulama. Resorpcija omeprazola je brza, i maksimalne koncentracije u plazmi se ostvaruju oko 1-2h nakon primjene. Resorpcija omeprazola se odvija u tankom crijevu i obično se završava tokom 3-6 sati.</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Istovremeno uzimanje hrane nema uticaja na bioraspoloživost omeprazola. Sistemska bioraspoloživost omeprazola pri primjeni jedne doze je oko 40%. Nakon ponavljanih doza (jednom dnevno), bioraspoloživost se povećava na oko 60%.</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u w:val="single"/>
                <w:lang w:val="sr-Latn-RS" w:eastAsia="zh-TW"/>
              </w:rPr>
            </w:pPr>
            <w:r w:rsidRPr="00DC010A">
              <w:rPr>
                <w:rFonts w:eastAsia="TimesNewRoman"/>
                <w:sz w:val="22"/>
                <w:szCs w:val="22"/>
                <w:u w:val="single"/>
                <w:lang w:val="sr-Latn-RS" w:eastAsia="zh-TW"/>
              </w:rPr>
              <w:t>Distribucija</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Prividni volumen distribucije kod zdravih pojedinaca je približno 0,3 l/kg tjelesne mase. Procenat vezivanja omeprazola za proteine plazme je oko 97%.</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u w:val="single"/>
                <w:lang w:val="sr-Latn-RS" w:eastAsia="zh-TW"/>
              </w:rPr>
            </w:pPr>
            <w:r w:rsidRPr="00DC010A">
              <w:rPr>
                <w:rFonts w:eastAsia="TimesNewRoman"/>
                <w:sz w:val="22"/>
                <w:szCs w:val="22"/>
                <w:u w:val="single"/>
                <w:lang w:val="sr-Latn-RS" w:eastAsia="zh-TW"/>
              </w:rPr>
              <w:t>Metabolizam</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Omeprazol se potpuno metaboliše putem sistema citohroma P450 (CYP). Glavni dio njegovog metabolizma zavisi od polimorfne ekspresije izoforme CYP2C19, odgovorne za stvaranje hidroksiomeprazola, glavnog metabolita u plazmi. Ostali dio metaboličkog procesa zavisi od druge specifične izoforme, CYP3A4, odgovorne za stvaranje omeprazol sulfona. Kao posljedica visokog afiniteta omeprazola za CYP2C19, postoji mogućnost za kompetitivnu inhibiciju i metaboličke interakcije sa drugim supstratima za CYP2C19. Međutim, usljed niskog afiniteta za CYP3A4, omeprazol nema potencijal da inhibiše metabolizam drugih CYP3A4 supstrata. Takođe, omeprazol nema inhibitorni efekat na glavne CYP enzime.</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Približno 3% bijele populacije i 15-20% azijske populacije nemaju funkcionalan enzim CYP2C19 i nazivaju se slabi metabolizatori. Kod takvih pojedinaca metabolizam omeprazola je najvjerovatnije katalizovan uglavnom preko CYP3A4 enzima. Nakon ponovljenih doza (jednom dnevno) od 20 mg omeprazola, prosječna vrijednost PIKa je bila 5-10 puta veća kod slabih metabolizatora u odnosu na subjekte koji su imali funkcionalne CYP2C19</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enzime (ekstenzivni metabolizatori). Srednje vrijednosti maksimalnih koncentracija u plazmi su takođe bile više i to 3 do 5 puta. Ovi podaci nemaju uticaj na doziranje omeprazola.</w:t>
            </w:r>
          </w:p>
          <w:p w:rsidR="008E31D0" w:rsidRPr="00DC010A" w:rsidRDefault="008E31D0" w:rsidP="008E31D0">
            <w:pPr>
              <w:pStyle w:val="NoSpacing"/>
              <w:rPr>
                <w:rFonts w:eastAsia="TimesNewRoman"/>
                <w:sz w:val="22"/>
                <w:szCs w:val="22"/>
                <w:u w:val="single"/>
                <w:lang w:val="sr-Latn-RS" w:eastAsia="zh-TW"/>
              </w:rPr>
            </w:pPr>
          </w:p>
          <w:p w:rsidR="008E31D0" w:rsidRPr="00DC010A" w:rsidRDefault="008E31D0" w:rsidP="008E31D0">
            <w:pPr>
              <w:pStyle w:val="NoSpacing"/>
              <w:rPr>
                <w:rFonts w:eastAsia="TimesNewRoman"/>
                <w:sz w:val="22"/>
                <w:szCs w:val="22"/>
                <w:u w:val="single"/>
                <w:lang w:val="sr-Latn-RS" w:eastAsia="zh-TW"/>
              </w:rPr>
            </w:pPr>
            <w:r w:rsidRPr="00DC010A">
              <w:rPr>
                <w:rFonts w:eastAsia="TimesNewRoman"/>
                <w:sz w:val="22"/>
                <w:szCs w:val="22"/>
                <w:u w:val="single"/>
                <w:lang w:val="sr-Latn-RS" w:eastAsia="zh-TW"/>
              </w:rPr>
              <w:t>Eliminacija</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 xml:space="preserve">Poluvrijeme eliminacije omeprazola je obično kraće od 1 časa nakon primjene pojedinačne doze kao i ponovljenog doziranja (jednom dnevno). Omeprazol se u potpunosti eliminiše iz plazme između doza i nema tendenciju akumulacije tokom primjene jednom dnevno. Skoro 80% oralne doze omeprazola se izlučuje u obliku metabolita putem urina, ostatak putem fecesa, što većinom potiče od izlučivanja putem žuči. </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i/>
                <w:sz w:val="22"/>
                <w:szCs w:val="22"/>
                <w:lang w:val="sr-Latn-RS" w:eastAsia="zh-TW"/>
              </w:rPr>
            </w:pPr>
            <w:r w:rsidRPr="00DC010A">
              <w:rPr>
                <w:rFonts w:eastAsia="TimesNewRoman"/>
                <w:i/>
                <w:sz w:val="22"/>
                <w:szCs w:val="22"/>
                <w:lang w:val="sr-Latn-RS" w:eastAsia="zh-TW"/>
              </w:rPr>
              <w:t>Linearnost/nelinearnost</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 xml:space="preserve">PIK omeprazola se povećava nakon ponovljene primjene. Ovo povećanje je dozno-zavisno i rezultira nelinearnim odnosom doza-PIK nakon ponovljene primjene. Ova </w:t>
            </w:r>
            <w:r w:rsidRPr="00DC010A">
              <w:rPr>
                <w:rFonts w:eastAsia="TimesNewRoman,Italic"/>
                <w:i/>
                <w:iCs/>
                <w:sz w:val="22"/>
                <w:szCs w:val="22"/>
                <w:lang w:val="sr-Latn-RS" w:eastAsia="zh-TW"/>
              </w:rPr>
              <w:t xml:space="preserve">vrijeme-doza </w:t>
            </w:r>
            <w:r w:rsidRPr="00DC010A">
              <w:rPr>
                <w:rFonts w:eastAsia="TimesNewRoman"/>
                <w:sz w:val="22"/>
                <w:szCs w:val="22"/>
                <w:lang w:val="sr-Latn-RS" w:eastAsia="zh-TW"/>
              </w:rPr>
              <w:t xml:space="preserve">zavisnost je posljedica smanjenja metabolizma prvog prolaza i sistemskog klirensa uzrokovanim najvjerovatnije inhibicijom CYP2C19 enzima </w:t>
            </w:r>
            <w:r w:rsidRPr="00DC010A">
              <w:rPr>
                <w:rFonts w:eastAsia="TimesNewRoman"/>
                <w:sz w:val="22"/>
                <w:szCs w:val="22"/>
                <w:lang w:val="sr-Latn-RS" w:eastAsia="zh-TW"/>
              </w:rPr>
              <w:lastRenderedPageBreak/>
              <w:t>omeprazolom i/ili njegovim metabolitima (npr. sulfonom). Nijedan metabolit ne djeluje na sekreciju želudačne kiseline.</w:t>
            </w:r>
          </w:p>
          <w:p w:rsidR="008E31D0" w:rsidRPr="00DC010A" w:rsidRDefault="008E31D0" w:rsidP="008E31D0">
            <w:pPr>
              <w:pStyle w:val="NoSpacing"/>
              <w:rPr>
                <w:rFonts w:eastAsia="TimesNewRoman"/>
                <w:sz w:val="22"/>
                <w:szCs w:val="22"/>
                <w:lang w:val="sr-Latn-RS" w:eastAsia="zh-TW"/>
              </w:rPr>
            </w:pPr>
          </w:p>
          <w:p w:rsidR="008E31D0" w:rsidRPr="00DC010A" w:rsidRDefault="008E31D0" w:rsidP="008E31D0">
            <w:pPr>
              <w:pStyle w:val="NoSpacing"/>
              <w:rPr>
                <w:rFonts w:eastAsia="TimesNewRoman"/>
                <w:sz w:val="22"/>
                <w:szCs w:val="22"/>
                <w:u w:val="single"/>
                <w:lang w:val="sr-Latn-RS" w:eastAsia="zh-TW"/>
              </w:rPr>
            </w:pPr>
            <w:r w:rsidRPr="00DC010A">
              <w:rPr>
                <w:rFonts w:eastAsia="TimesNewRoman"/>
                <w:sz w:val="22"/>
                <w:szCs w:val="22"/>
                <w:u w:val="single"/>
                <w:lang w:val="sr-Latn-RS" w:eastAsia="zh-TW"/>
              </w:rPr>
              <w:t>Posebne populacije</w:t>
            </w:r>
          </w:p>
          <w:p w:rsidR="008E31D0" w:rsidRPr="00DC010A" w:rsidRDefault="008E31D0" w:rsidP="008E31D0">
            <w:pPr>
              <w:pStyle w:val="NoSpacing"/>
              <w:rPr>
                <w:rFonts w:eastAsia="TimesNewRoman"/>
                <w:sz w:val="22"/>
                <w:szCs w:val="22"/>
                <w:u w:val="single"/>
                <w:lang w:val="sr-Latn-RS" w:eastAsia="zh-TW"/>
              </w:rPr>
            </w:pPr>
          </w:p>
          <w:p w:rsidR="008E31D0" w:rsidRPr="00DC010A" w:rsidRDefault="008E31D0" w:rsidP="008E31D0">
            <w:pPr>
              <w:pStyle w:val="NoSpacing"/>
              <w:rPr>
                <w:rFonts w:eastAsia="TimesNewRoman,Italic"/>
                <w:i/>
                <w:iCs/>
                <w:sz w:val="22"/>
                <w:szCs w:val="22"/>
                <w:lang w:val="sr-Latn-RS" w:eastAsia="zh-TW"/>
              </w:rPr>
            </w:pPr>
            <w:r w:rsidRPr="00DC010A">
              <w:rPr>
                <w:rFonts w:eastAsia="TimesNewRoman,Italic"/>
                <w:i/>
                <w:iCs/>
                <w:sz w:val="22"/>
                <w:szCs w:val="22"/>
                <w:lang w:val="sr-Latn-RS" w:eastAsia="zh-TW"/>
              </w:rPr>
              <w:t>Insuficijencija jetre</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Metabolizam omeprazola kod pacijenata sa insuficijencijom jetre je smanjen i rezultira povećanjem PIK-a. Omeprazol ne pokazuje tendenciju kumulacije kod doziranja jednom dnevno.</w:t>
            </w:r>
          </w:p>
          <w:p w:rsidR="008E31D0" w:rsidRPr="00DC010A" w:rsidRDefault="008E31D0" w:rsidP="008E31D0">
            <w:pPr>
              <w:pStyle w:val="NoSpacing"/>
              <w:rPr>
                <w:rFonts w:eastAsia="TimesNewRoman,Italic"/>
                <w:i/>
                <w:iCs/>
                <w:sz w:val="22"/>
                <w:szCs w:val="22"/>
                <w:lang w:val="sr-Latn-RS" w:eastAsia="zh-TW"/>
              </w:rPr>
            </w:pPr>
          </w:p>
          <w:p w:rsidR="008E31D0" w:rsidRPr="00DC010A" w:rsidRDefault="008E31D0" w:rsidP="008E31D0">
            <w:pPr>
              <w:pStyle w:val="NoSpacing"/>
              <w:rPr>
                <w:rFonts w:eastAsia="TimesNewRoman,Italic"/>
                <w:i/>
                <w:iCs/>
                <w:sz w:val="22"/>
                <w:szCs w:val="22"/>
                <w:lang w:val="sr-Latn-RS" w:eastAsia="zh-TW"/>
              </w:rPr>
            </w:pPr>
            <w:r w:rsidRPr="00DC010A">
              <w:rPr>
                <w:rFonts w:eastAsia="TimesNewRoman,Italic"/>
                <w:i/>
                <w:iCs/>
                <w:sz w:val="22"/>
                <w:szCs w:val="22"/>
                <w:lang w:val="sr-Latn-RS" w:eastAsia="zh-TW"/>
              </w:rPr>
              <w:t>Insuficijencija bubrega</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Farmakokinetika omeprazola, uključujući i sistemsku bioraspoloživost i brzinu eliminacije, ne mijenja se kod pacijenata sa smanjenom funkcijom bubrega.</w:t>
            </w:r>
          </w:p>
          <w:p w:rsidR="008E31D0" w:rsidRPr="00DC010A" w:rsidRDefault="008E31D0" w:rsidP="008E31D0">
            <w:pPr>
              <w:pStyle w:val="NoSpacing"/>
              <w:rPr>
                <w:rFonts w:eastAsia="TimesNewRoman,Italic"/>
                <w:i/>
                <w:iCs/>
                <w:sz w:val="22"/>
                <w:szCs w:val="22"/>
                <w:lang w:val="sr-Latn-RS" w:eastAsia="zh-TW"/>
              </w:rPr>
            </w:pPr>
          </w:p>
          <w:p w:rsidR="008E31D0" w:rsidRPr="00DC010A" w:rsidRDefault="008E31D0" w:rsidP="008E31D0">
            <w:pPr>
              <w:pStyle w:val="NoSpacing"/>
              <w:rPr>
                <w:rFonts w:eastAsia="TimesNewRoman,Italic"/>
                <w:i/>
                <w:iCs/>
                <w:sz w:val="22"/>
                <w:szCs w:val="22"/>
                <w:lang w:val="sr-Latn-RS" w:eastAsia="zh-TW"/>
              </w:rPr>
            </w:pPr>
            <w:r w:rsidRPr="00DC010A">
              <w:rPr>
                <w:rFonts w:eastAsia="TimesNewRoman,Italic"/>
                <w:i/>
                <w:iCs/>
                <w:sz w:val="22"/>
                <w:szCs w:val="22"/>
                <w:lang w:val="sr-Latn-RS" w:eastAsia="zh-TW"/>
              </w:rPr>
              <w:t>Starija populacija</w:t>
            </w:r>
          </w:p>
          <w:p w:rsidR="008E31D0" w:rsidRPr="00DC010A" w:rsidRDefault="008E31D0" w:rsidP="008E31D0">
            <w:pPr>
              <w:pStyle w:val="NoSpacing"/>
              <w:rPr>
                <w:rFonts w:eastAsia="TimesNewRoman"/>
                <w:sz w:val="22"/>
                <w:szCs w:val="22"/>
                <w:lang w:val="sr-Latn-RS" w:eastAsia="zh-TW"/>
              </w:rPr>
            </w:pPr>
            <w:r w:rsidRPr="00DC010A">
              <w:rPr>
                <w:rFonts w:eastAsia="TimesNewRoman"/>
                <w:sz w:val="22"/>
                <w:szCs w:val="22"/>
                <w:lang w:val="sr-Latn-RS" w:eastAsia="zh-TW"/>
              </w:rPr>
              <w:t>Brzina metabolizma je smanjena kod starijih osoba (75-79 godina starosti).</w:t>
            </w:r>
          </w:p>
          <w:p w:rsidR="008E31D0" w:rsidRPr="00DC010A" w:rsidRDefault="008E31D0" w:rsidP="008E31D0">
            <w:pPr>
              <w:pStyle w:val="NoSpacing"/>
              <w:rPr>
                <w:rFonts w:eastAsia="TimesNewRoman,Italic"/>
                <w:i/>
                <w:iCs/>
                <w:sz w:val="22"/>
                <w:szCs w:val="22"/>
                <w:lang w:val="sr-Latn-RS" w:eastAsia="zh-TW"/>
              </w:rPr>
            </w:pPr>
          </w:p>
          <w:p w:rsidR="008E31D0" w:rsidRPr="00DC010A" w:rsidRDefault="008E31D0" w:rsidP="008E31D0">
            <w:pPr>
              <w:pStyle w:val="NoSpacing"/>
              <w:rPr>
                <w:rFonts w:eastAsia="TimesNewRoman,Italic"/>
                <w:i/>
                <w:iCs/>
                <w:sz w:val="22"/>
                <w:szCs w:val="22"/>
                <w:lang w:val="sr-Latn-RS" w:eastAsia="zh-TW"/>
              </w:rPr>
            </w:pPr>
            <w:r w:rsidRPr="00DC010A">
              <w:rPr>
                <w:rFonts w:eastAsia="TimesNewRoman,Italic"/>
                <w:i/>
                <w:iCs/>
                <w:sz w:val="22"/>
                <w:szCs w:val="22"/>
                <w:lang w:val="sr-Latn-RS" w:eastAsia="zh-TW"/>
              </w:rPr>
              <w:t>Pedijatrijska populacija</w:t>
            </w:r>
          </w:p>
          <w:p w:rsidR="008E31D0" w:rsidRPr="00DC010A" w:rsidRDefault="008E31D0" w:rsidP="008E31D0">
            <w:pPr>
              <w:pStyle w:val="NoSpacing"/>
              <w:rPr>
                <w:sz w:val="22"/>
                <w:szCs w:val="22"/>
                <w:lang w:val="sr-Latn-RS"/>
              </w:rPr>
            </w:pPr>
            <w:r w:rsidRPr="00DC010A">
              <w:rPr>
                <w:rFonts w:eastAsia="TimesNewRoman"/>
                <w:sz w:val="22"/>
                <w:szCs w:val="22"/>
                <w:lang w:val="sr-Latn-RS" w:eastAsia="zh-TW"/>
              </w:rPr>
              <w:t>Tokom terapije preporučenim dozama kod djece od 1 godine starosti, ostvarene su slične koncentracije u plazmi kao i kod odraslih. Kod djece mlađe od 6 mjeseci, klirens omeprazola je nizak usljed malog kapaciteta za metabolizam omeprazola.</w:t>
            </w:r>
            <w:r w:rsidRPr="00DC010A">
              <w:rPr>
                <w:sz w:val="22"/>
                <w:szCs w:val="22"/>
                <w:lang w:val="sr-Latn-RS"/>
              </w:rPr>
              <w:t xml:space="preserve"> </w:t>
            </w:r>
          </w:p>
          <w:p w:rsidR="008E31D0" w:rsidRPr="00DC010A" w:rsidRDefault="008E31D0" w:rsidP="008E31D0">
            <w:pPr>
              <w:pStyle w:val="NoSpacing"/>
              <w:rPr>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r w:rsidRPr="00DC010A">
              <w:rPr>
                <w:b/>
                <w:bCs/>
                <w:sz w:val="22"/>
                <w:szCs w:val="22"/>
                <w:lang w:val="sr-Latn-CS"/>
              </w:rPr>
              <w:lastRenderedPageBreak/>
              <w:t xml:space="preserve">5.3. Pretklinički podaci o bezbjednosti </w:t>
            </w:r>
          </w:p>
          <w:p w:rsidR="000474DF" w:rsidRPr="00DC010A" w:rsidRDefault="000474DF" w:rsidP="008E31D0">
            <w:pPr>
              <w:pStyle w:val="NoSpacing"/>
              <w:rPr>
                <w:b/>
                <w:bCs/>
                <w:sz w:val="22"/>
                <w:szCs w:val="22"/>
                <w:lang w:val="sr-Latn-CS"/>
              </w:rPr>
            </w:pPr>
          </w:p>
        </w:tc>
      </w:tr>
      <w:tr w:rsidR="008E31D0" w:rsidRPr="00DC010A" w:rsidTr="0089758C">
        <w:trPr>
          <w:trHeight w:val="1307"/>
        </w:trPr>
        <w:tc>
          <w:tcPr>
            <w:tcW w:w="10188" w:type="dxa"/>
            <w:gridSpan w:val="4"/>
            <w:vAlign w:val="center"/>
          </w:tcPr>
          <w:p w:rsidR="008E31D0" w:rsidRPr="00DC010A" w:rsidRDefault="008E31D0" w:rsidP="008E31D0">
            <w:pPr>
              <w:pStyle w:val="NoSpacing"/>
              <w:rPr>
                <w:sz w:val="22"/>
                <w:szCs w:val="22"/>
                <w:lang w:val="sr-Latn-RS"/>
              </w:rPr>
            </w:pPr>
            <w:r w:rsidRPr="00DC010A">
              <w:rPr>
                <w:rFonts w:eastAsia="TimesNewRoman"/>
                <w:sz w:val="22"/>
                <w:szCs w:val="22"/>
                <w:lang w:val="sr-Latn-RS" w:eastAsia="zh-TW"/>
              </w:rPr>
              <w:t xml:space="preserve">Hiperplazija želudačnih ECL ćelija (enterohromafin-slične ćelije) i karcionoidi primijećeni su u doživotnim studijama na pacovima liječenim omeprazolom. Ove promjene su posljedica neprekidne hipergastrinemije sekundarno nastale zbog inhibicije lučenja želudačne kiseline. Slični nalazi su dobijeni nakon liječenja antagonistima H2–receptora, inhibitorima protonske pumpe i nakon parcijalne fundektomije. Prema tome, ove promjene nijesu posljedica direktnog dejstva bilo koje pojedinačne aktivne supstance. </w:t>
            </w:r>
          </w:p>
          <w:p w:rsidR="008E31D0" w:rsidRPr="00DC010A" w:rsidRDefault="008E31D0" w:rsidP="008E31D0">
            <w:pPr>
              <w:pStyle w:val="NoSpacing"/>
              <w:rPr>
                <w:sz w:val="22"/>
                <w:szCs w:val="22"/>
                <w:lang w:val="sr-Latn-CS"/>
              </w:rPr>
            </w:pPr>
          </w:p>
          <w:p w:rsidR="000474DF" w:rsidRPr="00DC010A" w:rsidRDefault="000474DF" w:rsidP="008E31D0">
            <w:pPr>
              <w:pStyle w:val="NoSpacing"/>
              <w:rPr>
                <w:sz w:val="22"/>
                <w:szCs w:val="22"/>
                <w:lang w:val="sr-Latn-CS"/>
              </w:rPr>
            </w:pPr>
          </w:p>
        </w:tc>
      </w:tr>
      <w:tr w:rsidR="008E31D0" w:rsidRPr="00DC010A" w:rsidTr="0089758C">
        <w:tc>
          <w:tcPr>
            <w:tcW w:w="10188" w:type="dxa"/>
            <w:gridSpan w:val="4"/>
            <w:shd w:val="clear" w:color="auto" w:fill="E0E0E0"/>
            <w:vAlign w:val="center"/>
          </w:tcPr>
          <w:p w:rsidR="008E31D0" w:rsidRPr="00DC010A" w:rsidRDefault="008E31D0" w:rsidP="008E31D0">
            <w:pPr>
              <w:pStyle w:val="NoSpacing"/>
              <w:rPr>
                <w:b/>
                <w:bCs/>
                <w:sz w:val="22"/>
                <w:szCs w:val="22"/>
                <w:lang w:val="sr-Latn-CS"/>
              </w:rPr>
            </w:pPr>
            <w:r w:rsidRPr="00DC010A">
              <w:rPr>
                <w:b/>
                <w:bCs/>
                <w:sz w:val="22"/>
                <w:szCs w:val="22"/>
                <w:lang w:val="sr-Latn-CS"/>
              </w:rPr>
              <w:t>6. FARMACEUTSKI PODACI</w:t>
            </w:r>
          </w:p>
        </w:tc>
      </w:tr>
      <w:tr w:rsidR="008E31D0" w:rsidRPr="00DC010A" w:rsidTr="0089758C">
        <w:tc>
          <w:tcPr>
            <w:tcW w:w="10188" w:type="dxa"/>
            <w:gridSpan w:val="4"/>
            <w:vAlign w:val="center"/>
          </w:tcPr>
          <w:p w:rsidR="000474DF" w:rsidRPr="00DC010A" w:rsidRDefault="000474DF" w:rsidP="008E31D0">
            <w:pPr>
              <w:pStyle w:val="NoSpacing"/>
              <w:rPr>
                <w:b/>
                <w:bCs/>
                <w:sz w:val="22"/>
                <w:szCs w:val="22"/>
                <w:lang w:val="sr-Latn-CS"/>
              </w:rPr>
            </w:pPr>
          </w:p>
          <w:p w:rsidR="008E31D0" w:rsidRPr="00DC010A" w:rsidRDefault="008E31D0" w:rsidP="008E31D0">
            <w:pPr>
              <w:pStyle w:val="NoSpacing"/>
              <w:rPr>
                <w:b/>
                <w:bCs/>
                <w:sz w:val="22"/>
                <w:szCs w:val="22"/>
                <w:lang w:val="sr-Latn-CS"/>
              </w:rPr>
            </w:pPr>
            <w:r w:rsidRPr="00DC010A">
              <w:rPr>
                <w:b/>
                <w:bCs/>
                <w:sz w:val="22"/>
                <w:szCs w:val="22"/>
                <w:lang w:val="sr-Latn-CS"/>
              </w:rPr>
              <w:t>6.1. Lista pomoćnih supstanci</w:t>
            </w:r>
          </w:p>
          <w:p w:rsidR="000474DF" w:rsidRPr="00DC010A" w:rsidRDefault="000474DF" w:rsidP="008E31D0">
            <w:pPr>
              <w:pStyle w:val="NoSpacing"/>
              <w:rPr>
                <w:b/>
                <w:bCs/>
                <w:sz w:val="22"/>
                <w:szCs w:val="22"/>
                <w:lang w:val="sr-Latn-CS"/>
              </w:rPr>
            </w:pPr>
          </w:p>
        </w:tc>
      </w:tr>
      <w:tr w:rsidR="008E31D0" w:rsidRPr="00DC010A" w:rsidTr="0089758C">
        <w:trPr>
          <w:trHeight w:val="538"/>
        </w:trPr>
        <w:tc>
          <w:tcPr>
            <w:tcW w:w="10188" w:type="dxa"/>
            <w:gridSpan w:val="4"/>
            <w:vAlign w:val="center"/>
          </w:tcPr>
          <w:p w:rsidR="008E31D0" w:rsidRPr="00DC010A" w:rsidRDefault="008E31D0" w:rsidP="008E31D0">
            <w:pPr>
              <w:pStyle w:val="NoSpacing"/>
              <w:rPr>
                <w:sz w:val="22"/>
                <w:szCs w:val="22"/>
                <w:u w:val="single"/>
                <w:lang w:val="sr-Latn-CS"/>
              </w:rPr>
            </w:pPr>
            <w:r w:rsidRPr="00DC010A">
              <w:rPr>
                <w:sz w:val="22"/>
                <w:szCs w:val="22"/>
                <w:u w:val="single"/>
                <w:lang w:val="sr-Latn-CS"/>
              </w:rPr>
              <w:t>Sastav sadržaja kapsule:</w:t>
            </w:r>
          </w:p>
          <w:p w:rsidR="008E31D0" w:rsidRPr="00DC010A" w:rsidRDefault="008E31D0" w:rsidP="008E31D0">
            <w:pPr>
              <w:pStyle w:val="NoSpacing"/>
              <w:rPr>
                <w:sz w:val="22"/>
                <w:szCs w:val="22"/>
                <w:lang w:val="sr-Latn-CS"/>
              </w:rPr>
            </w:pPr>
            <w:r w:rsidRPr="00DC010A">
              <w:rPr>
                <w:sz w:val="22"/>
                <w:szCs w:val="22"/>
                <w:lang w:val="sr-Latn-CS"/>
              </w:rPr>
              <w:t>Šećerne sfere</w:t>
            </w:r>
          </w:p>
          <w:p w:rsidR="008E31D0" w:rsidRPr="00DC010A" w:rsidRDefault="008E31D0" w:rsidP="008E31D0">
            <w:pPr>
              <w:pStyle w:val="NoSpacing"/>
              <w:rPr>
                <w:sz w:val="22"/>
                <w:szCs w:val="22"/>
                <w:lang w:val="sr-Latn-CS"/>
              </w:rPr>
            </w:pPr>
            <w:r w:rsidRPr="00DC010A">
              <w:rPr>
                <w:sz w:val="22"/>
                <w:szCs w:val="22"/>
                <w:lang w:val="sr-Latn-CS"/>
              </w:rPr>
              <w:t>Hipromeloza</w:t>
            </w:r>
          </w:p>
          <w:p w:rsidR="008E31D0" w:rsidRPr="00DC010A" w:rsidRDefault="008E31D0" w:rsidP="008E31D0">
            <w:pPr>
              <w:pStyle w:val="NoSpacing"/>
              <w:rPr>
                <w:sz w:val="22"/>
                <w:szCs w:val="22"/>
                <w:lang w:val="sr-Latn-CS"/>
              </w:rPr>
            </w:pPr>
            <w:r w:rsidRPr="00DC010A">
              <w:rPr>
                <w:sz w:val="22"/>
                <w:szCs w:val="22"/>
                <w:lang w:val="sr-Latn-CS"/>
              </w:rPr>
              <w:t>Natrijum lauril sulfat</w:t>
            </w:r>
          </w:p>
          <w:p w:rsidR="008E31D0" w:rsidRPr="00DC010A" w:rsidRDefault="008E31D0" w:rsidP="008E31D0">
            <w:pPr>
              <w:pStyle w:val="NoSpacing"/>
              <w:rPr>
                <w:color w:val="000000"/>
                <w:sz w:val="22"/>
                <w:szCs w:val="22"/>
                <w:lang w:val="sr-Latn-CS"/>
              </w:rPr>
            </w:pPr>
            <w:r w:rsidRPr="00DC010A">
              <w:rPr>
                <w:color w:val="000000"/>
                <w:sz w:val="22"/>
                <w:szCs w:val="22"/>
              </w:rPr>
              <w:t>Povidon K25</w:t>
            </w:r>
          </w:p>
          <w:p w:rsidR="008E31D0" w:rsidRPr="00DC010A" w:rsidRDefault="008E31D0" w:rsidP="008E31D0">
            <w:pPr>
              <w:pStyle w:val="NoSpacing"/>
              <w:rPr>
                <w:color w:val="000000"/>
                <w:sz w:val="22"/>
                <w:szCs w:val="22"/>
                <w:lang w:val="sr-Latn-CS"/>
              </w:rPr>
            </w:pPr>
            <w:r w:rsidRPr="00DC010A">
              <w:rPr>
                <w:color w:val="000000"/>
                <w:sz w:val="22"/>
                <w:szCs w:val="22"/>
              </w:rPr>
              <w:t>Talk</w:t>
            </w:r>
          </w:p>
          <w:p w:rsidR="008E31D0" w:rsidRPr="00DC010A" w:rsidRDefault="008E31D0" w:rsidP="008E31D0">
            <w:pPr>
              <w:pStyle w:val="NoSpacing"/>
              <w:rPr>
                <w:color w:val="000000"/>
                <w:sz w:val="22"/>
                <w:szCs w:val="22"/>
                <w:lang w:val="sr-Latn-CS"/>
              </w:rPr>
            </w:pPr>
            <w:r w:rsidRPr="00DC010A">
              <w:rPr>
                <w:color w:val="000000"/>
                <w:sz w:val="22"/>
                <w:szCs w:val="22"/>
              </w:rPr>
              <w:t>Magnezijum</w:t>
            </w:r>
            <w:r w:rsidRPr="00DC010A">
              <w:rPr>
                <w:color w:val="000000"/>
                <w:sz w:val="22"/>
                <w:szCs w:val="22"/>
                <w:lang w:val="sr-Latn-CS"/>
              </w:rPr>
              <w:t xml:space="preserve"> </w:t>
            </w:r>
            <w:r w:rsidRPr="00DC010A">
              <w:rPr>
                <w:color w:val="000000"/>
                <w:sz w:val="22"/>
                <w:szCs w:val="22"/>
              </w:rPr>
              <w:t>oksid</w:t>
            </w:r>
            <w:r w:rsidRPr="00DC010A">
              <w:rPr>
                <w:color w:val="000000"/>
                <w:sz w:val="22"/>
                <w:szCs w:val="22"/>
                <w:lang w:val="sr-Latn-CS"/>
              </w:rPr>
              <w:t>, teški</w:t>
            </w:r>
          </w:p>
          <w:p w:rsidR="008E31D0" w:rsidRPr="00DC010A" w:rsidRDefault="008E31D0" w:rsidP="008E31D0">
            <w:pPr>
              <w:pStyle w:val="NoSpacing"/>
              <w:rPr>
                <w:color w:val="000000"/>
                <w:sz w:val="22"/>
                <w:szCs w:val="22"/>
                <w:lang w:val="sr-Latn-CS"/>
              </w:rPr>
            </w:pPr>
            <w:r w:rsidRPr="00DC010A">
              <w:rPr>
                <w:color w:val="000000"/>
                <w:sz w:val="22"/>
                <w:szCs w:val="22"/>
              </w:rPr>
              <w:t>Metakrilna</w:t>
            </w:r>
            <w:r w:rsidRPr="00DC010A">
              <w:rPr>
                <w:color w:val="000000"/>
                <w:sz w:val="22"/>
                <w:szCs w:val="22"/>
                <w:lang w:val="sr-Latn-CS"/>
              </w:rPr>
              <w:t xml:space="preserve"> </w:t>
            </w:r>
            <w:r w:rsidRPr="00DC010A">
              <w:rPr>
                <w:color w:val="000000"/>
                <w:sz w:val="22"/>
                <w:szCs w:val="22"/>
              </w:rPr>
              <w:t>kiselina</w:t>
            </w:r>
            <w:r w:rsidRPr="00DC010A">
              <w:rPr>
                <w:color w:val="000000"/>
                <w:sz w:val="22"/>
                <w:szCs w:val="22"/>
                <w:lang w:val="sr-Latn-CS"/>
              </w:rPr>
              <w:t xml:space="preserve"> : </w:t>
            </w:r>
            <w:r w:rsidRPr="00DC010A">
              <w:rPr>
                <w:color w:val="000000"/>
                <w:sz w:val="22"/>
                <w:szCs w:val="22"/>
              </w:rPr>
              <w:t>Etil</w:t>
            </w:r>
            <w:r w:rsidRPr="00DC010A">
              <w:rPr>
                <w:color w:val="000000"/>
                <w:sz w:val="22"/>
                <w:szCs w:val="22"/>
                <w:lang w:val="sr-Latn-CS"/>
              </w:rPr>
              <w:t xml:space="preserve"> </w:t>
            </w:r>
            <w:r w:rsidRPr="00DC010A">
              <w:rPr>
                <w:color w:val="000000"/>
                <w:sz w:val="22"/>
                <w:szCs w:val="22"/>
              </w:rPr>
              <w:t>akrilat</w:t>
            </w:r>
            <w:r w:rsidRPr="00DC010A">
              <w:rPr>
                <w:color w:val="000000"/>
                <w:sz w:val="22"/>
                <w:szCs w:val="22"/>
                <w:lang w:val="sr-Latn-CS"/>
              </w:rPr>
              <w:t xml:space="preserve"> </w:t>
            </w:r>
            <w:r w:rsidRPr="00DC010A">
              <w:rPr>
                <w:color w:val="000000"/>
                <w:sz w:val="22"/>
                <w:szCs w:val="22"/>
              </w:rPr>
              <w:t>kopolimer</w:t>
            </w:r>
            <w:r w:rsidRPr="00DC010A">
              <w:rPr>
                <w:color w:val="000000"/>
                <w:sz w:val="22"/>
                <w:szCs w:val="22"/>
                <w:lang w:val="sr-Latn-CS"/>
              </w:rPr>
              <w:t xml:space="preserve"> 1:1, d</w:t>
            </w:r>
            <w:r w:rsidRPr="00DC010A">
              <w:rPr>
                <w:color w:val="000000"/>
                <w:sz w:val="22"/>
                <w:szCs w:val="22"/>
              </w:rPr>
              <w:t>isperzija</w:t>
            </w:r>
            <w:r w:rsidRPr="00DC010A">
              <w:rPr>
                <w:color w:val="000000"/>
                <w:sz w:val="22"/>
                <w:szCs w:val="22"/>
                <w:lang w:val="sr-Latn-CS"/>
              </w:rPr>
              <w:t xml:space="preserve"> 30%</w:t>
            </w:r>
          </w:p>
          <w:p w:rsidR="008E31D0" w:rsidRPr="00DC010A" w:rsidRDefault="008E31D0" w:rsidP="008E31D0">
            <w:pPr>
              <w:pStyle w:val="NoSpacing"/>
              <w:rPr>
                <w:color w:val="000000"/>
                <w:sz w:val="22"/>
                <w:szCs w:val="22"/>
                <w:lang w:val="sr-Latn-CS"/>
              </w:rPr>
            </w:pPr>
            <w:r w:rsidRPr="00DC010A">
              <w:rPr>
                <w:color w:val="000000"/>
                <w:sz w:val="22"/>
                <w:szCs w:val="22"/>
                <w:lang w:val="it-IT"/>
              </w:rPr>
              <w:t>Trietil</w:t>
            </w:r>
            <w:r w:rsidRPr="00DC010A">
              <w:rPr>
                <w:color w:val="000000"/>
                <w:sz w:val="22"/>
                <w:szCs w:val="22"/>
                <w:lang w:val="sr-Latn-CS"/>
              </w:rPr>
              <w:t xml:space="preserve"> </w:t>
            </w:r>
            <w:r w:rsidRPr="00DC010A">
              <w:rPr>
                <w:color w:val="000000"/>
                <w:sz w:val="22"/>
                <w:szCs w:val="22"/>
                <w:lang w:val="it-IT"/>
              </w:rPr>
              <w:t>citrat</w:t>
            </w:r>
          </w:p>
          <w:p w:rsidR="008E31D0" w:rsidRPr="00DC010A" w:rsidRDefault="008E31D0" w:rsidP="008E31D0">
            <w:pPr>
              <w:pStyle w:val="NoSpacing"/>
              <w:rPr>
                <w:sz w:val="22"/>
                <w:szCs w:val="22"/>
                <w:lang w:val="sr-Latn-CS"/>
              </w:rPr>
            </w:pPr>
          </w:p>
          <w:p w:rsidR="008E31D0" w:rsidRPr="00DC010A" w:rsidRDefault="008E31D0" w:rsidP="008E31D0">
            <w:pPr>
              <w:pStyle w:val="NoSpacing"/>
              <w:rPr>
                <w:sz w:val="22"/>
                <w:szCs w:val="22"/>
                <w:u w:val="single"/>
                <w:lang w:val="sr-Latn-CS"/>
              </w:rPr>
            </w:pPr>
            <w:r w:rsidRPr="00DC010A">
              <w:rPr>
                <w:sz w:val="22"/>
                <w:szCs w:val="22"/>
                <w:u w:val="single"/>
                <w:lang w:val="sr-Latn-CS"/>
              </w:rPr>
              <w:t>Sastav prazne kapsule:</w:t>
            </w:r>
          </w:p>
          <w:p w:rsidR="008E31D0" w:rsidRPr="00DC010A" w:rsidRDefault="008E31D0" w:rsidP="008E31D0">
            <w:pPr>
              <w:pStyle w:val="NoSpacing"/>
              <w:rPr>
                <w:color w:val="000000"/>
                <w:sz w:val="22"/>
                <w:szCs w:val="22"/>
                <w:lang w:val="sr-Latn-CS"/>
              </w:rPr>
            </w:pPr>
            <w:r w:rsidRPr="00DC010A">
              <w:rPr>
                <w:color w:val="000000"/>
                <w:sz w:val="22"/>
                <w:szCs w:val="22"/>
                <w:lang w:val="sr-Latn-CS"/>
              </w:rPr>
              <w:t>Ž</w:t>
            </w:r>
            <w:r w:rsidRPr="00DC010A">
              <w:rPr>
                <w:color w:val="000000"/>
                <w:sz w:val="22"/>
                <w:szCs w:val="22"/>
                <w:lang w:val="it-IT"/>
              </w:rPr>
              <w:t>elatin</w:t>
            </w:r>
          </w:p>
          <w:p w:rsidR="008E31D0" w:rsidRPr="00DC010A" w:rsidRDefault="008E31D0" w:rsidP="008E31D0">
            <w:pPr>
              <w:pStyle w:val="NoSpacing"/>
              <w:rPr>
                <w:color w:val="000000"/>
                <w:sz w:val="22"/>
                <w:szCs w:val="22"/>
                <w:lang w:val="it-IT"/>
              </w:rPr>
            </w:pPr>
            <w:r w:rsidRPr="00DC010A">
              <w:rPr>
                <w:color w:val="000000"/>
                <w:sz w:val="22"/>
                <w:szCs w:val="22"/>
                <w:lang w:val="it-IT"/>
              </w:rPr>
              <w:t>Titan dioksid E171</w:t>
            </w:r>
          </w:p>
          <w:p w:rsidR="008E31D0" w:rsidRPr="00DC010A" w:rsidRDefault="008E31D0" w:rsidP="008E31D0">
            <w:pPr>
              <w:pStyle w:val="NoSpacing"/>
              <w:rPr>
                <w:color w:val="000000"/>
                <w:sz w:val="22"/>
                <w:szCs w:val="22"/>
                <w:lang w:val="it-IT"/>
              </w:rPr>
            </w:pPr>
            <w:r w:rsidRPr="00DC010A">
              <w:rPr>
                <w:color w:val="000000"/>
                <w:sz w:val="22"/>
                <w:szCs w:val="22"/>
                <w:lang w:val="it-IT"/>
              </w:rPr>
              <w:lastRenderedPageBreak/>
              <w:t>Gvožđe oksid, žuti E172</w:t>
            </w:r>
          </w:p>
          <w:p w:rsidR="008E31D0" w:rsidRPr="00DC010A" w:rsidRDefault="008E31D0" w:rsidP="008E31D0">
            <w:pPr>
              <w:pStyle w:val="NoSpacing"/>
              <w:rPr>
                <w:color w:val="000000"/>
                <w:sz w:val="22"/>
                <w:szCs w:val="22"/>
                <w:lang w:val="it-IT"/>
              </w:rPr>
            </w:pPr>
            <w:r w:rsidRPr="00DC010A">
              <w:rPr>
                <w:color w:val="000000"/>
                <w:sz w:val="22"/>
                <w:szCs w:val="22"/>
                <w:lang w:val="it-IT"/>
              </w:rPr>
              <w:t>Gvožđe oksid, crveni E172</w:t>
            </w:r>
            <w:bookmarkStart w:id="0" w:name="_GoBack"/>
            <w:bookmarkEnd w:id="0"/>
          </w:p>
          <w:p w:rsidR="008E31D0" w:rsidRPr="00DC010A" w:rsidRDefault="008E31D0" w:rsidP="008E31D0">
            <w:pPr>
              <w:pStyle w:val="NoSpacing"/>
              <w:rPr>
                <w:sz w:val="22"/>
                <w:szCs w:val="22"/>
                <w:lang w:val="it-IT"/>
              </w:rPr>
            </w:pPr>
            <w:r w:rsidRPr="00DC010A">
              <w:rPr>
                <w:color w:val="000000"/>
                <w:sz w:val="22"/>
                <w:szCs w:val="22"/>
                <w:lang w:val="it-IT"/>
              </w:rPr>
              <w:t>Gvožđe oksid, crni E172</w:t>
            </w:r>
          </w:p>
          <w:p w:rsidR="008E31D0" w:rsidRPr="00DC010A" w:rsidRDefault="008E31D0" w:rsidP="008E31D0">
            <w:pPr>
              <w:pStyle w:val="NoSpacing"/>
              <w:rPr>
                <w:sz w:val="22"/>
                <w:szCs w:val="22"/>
                <w:lang w:val="sr-Latn-CS"/>
              </w:rPr>
            </w:pP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r w:rsidRPr="00DC010A">
              <w:rPr>
                <w:b/>
                <w:bCs/>
                <w:sz w:val="22"/>
                <w:szCs w:val="22"/>
                <w:lang w:val="sr-Latn-CS"/>
              </w:rPr>
              <w:lastRenderedPageBreak/>
              <w:t>6.2. Inkompatibilnosti</w:t>
            </w:r>
          </w:p>
        </w:tc>
      </w:tr>
      <w:tr w:rsidR="008E31D0" w:rsidRPr="00DC010A" w:rsidTr="0089758C">
        <w:trPr>
          <w:trHeight w:val="833"/>
        </w:trPr>
        <w:tc>
          <w:tcPr>
            <w:tcW w:w="10188" w:type="dxa"/>
            <w:gridSpan w:val="4"/>
            <w:vAlign w:val="center"/>
          </w:tcPr>
          <w:p w:rsidR="008E31D0" w:rsidRPr="00DC010A" w:rsidRDefault="008E31D0" w:rsidP="008E31D0">
            <w:pPr>
              <w:pStyle w:val="NoSpacing"/>
              <w:rPr>
                <w:sz w:val="22"/>
                <w:szCs w:val="22"/>
                <w:lang w:val="sr-Latn-CS"/>
              </w:rPr>
            </w:pPr>
            <w:r w:rsidRPr="00DC010A">
              <w:rPr>
                <w:sz w:val="22"/>
                <w:szCs w:val="22"/>
                <w:lang w:val="sr-Latn-CS"/>
              </w:rPr>
              <w:t>Nije primjenljivo.</w:t>
            </w:r>
          </w:p>
        </w:tc>
      </w:tr>
      <w:tr w:rsidR="008E31D0" w:rsidRPr="00DC010A" w:rsidTr="0089758C">
        <w:tc>
          <w:tcPr>
            <w:tcW w:w="10188" w:type="dxa"/>
            <w:gridSpan w:val="4"/>
            <w:vAlign w:val="center"/>
          </w:tcPr>
          <w:p w:rsidR="008E31D0" w:rsidRPr="00DC010A" w:rsidRDefault="008E31D0" w:rsidP="008E31D0">
            <w:pPr>
              <w:pStyle w:val="NoSpacing"/>
              <w:rPr>
                <w:b/>
                <w:bCs/>
                <w:sz w:val="22"/>
                <w:szCs w:val="22"/>
                <w:lang w:val="sr-Latn-CS"/>
              </w:rPr>
            </w:pPr>
            <w:r w:rsidRPr="00DC010A">
              <w:rPr>
                <w:b/>
                <w:bCs/>
                <w:sz w:val="22"/>
                <w:szCs w:val="22"/>
                <w:lang w:val="sr-Latn-CS"/>
              </w:rPr>
              <w:t>6.3. Rok upotrebe</w:t>
            </w:r>
          </w:p>
        </w:tc>
      </w:tr>
      <w:tr w:rsidR="008E31D0" w:rsidRPr="00DC010A" w:rsidTr="0089758C">
        <w:trPr>
          <w:trHeight w:val="851"/>
        </w:trPr>
        <w:tc>
          <w:tcPr>
            <w:tcW w:w="10188" w:type="dxa"/>
            <w:gridSpan w:val="4"/>
            <w:vAlign w:val="center"/>
          </w:tcPr>
          <w:p w:rsidR="008E31D0" w:rsidRPr="00DC010A" w:rsidRDefault="008E31D0" w:rsidP="008E31D0">
            <w:pPr>
              <w:pStyle w:val="NoSpacing"/>
              <w:rPr>
                <w:sz w:val="22"/>
                <w:szCs w:val="22"/>
                <w:lang w:val="sr-Latn-CS"/>
              </w:rPr>
            </w:pPr>
            <w:r w:rsidRPr="00DC010A">
              <w:rPr>
                <w:sz w:val="22"/>
                <w:szCs w:val="22"/>
                <w:lang w:val="sr-Latn-CS"/>
              </w:rPr>
              <w:t>2 godine.</w:t>
            </w:r>
          </w:p>
        </w:tc>
      </w:tr>
      <w:tr w:rsidR="008E31D0" w:rsidRPr="00DC010A" w:rsidTr="0089758C">
        <w:tc>
          <w:tcPr>
            <w:tcW w:w="10188" w:type="dxa"/>
            <w:gridSpan w:val="4"/>
            <w:vAlign w:val="center"/>
          </w:tcPr>
          <w:p w:rsidR="008E31D0" w:rsidRPr="00DC010A" w:rsidRDefault="008E31D0" w:rsidP="00EF3C6C">
            <w:pPr>
              <w:pStyle w:val="NoSpacing"/>
              <w:jc w:val="both"/>
              <w:rPr>
                <w:b/>
                <w:bCs/>
                <w:sz w:val="22"/>
                <w:szCs w:val="22"/>
                <w:lang w:val="sr-Latn-CS"/>
              </w:rPr>
            </w:pPr>
            <w:r w:rsidRPr="00DC010A">
              <w:rPr>
                <w:b/>
                <w:bCs/>
                <w:sz w:val="22"/>
                <w:szCs w:val="22"/>
                <w:lang w:val="sr-Latn-CS"/>
              </w:rPr>
              <w:t>6.4. Posebne mjere upozorenja pri čuvanju lijeka</w:t>
            </w:r>
          </w:p>
        </w:tc>
      </w:tr>
      <w:tr w:rsidR="008E31D0" w:rsidRPr="00DC010A" w:rsidTr="0089758C">
        <w:trPr>
          <w:trHeight w:val="671"/>
        </w:trPr>
        <w:tc>
          <w:tcPr>
            <w:tcW w:w="10188" w:type="dxa"/>
            <w:gridSpan w:val="4"/>
            <w:vAlign w:val="center"/>
          </w:tcPr>
          <w:p w:rsidR="008E31D0" w:rsidRPr="00DC010A" w:rsidRDefault="008E31D0" w:rsidP="00EF3C6C">
            <w:pPr>
              <w:pStyle w:val="NoSpacing"/>
              <w:jc w:val="both"/>
              <w:rPr>
                <w:sz w:val="22"/>
                <w:szCs w:val="22"/>
                <w:lang w:val="sr-Latn-CS"/>
              </w:rPr>
            </w:pPr>
            <w:r w:rsidRPr="00DC010A">
              <w:rPr>
                <w:sz w:val="22"/>
                <w:szCs w:val="22"/>
                <w:lang w:val="sr-Latn-CS"/>
              </w:rPr>
              <w:t>Lijek čuvati u originalnom pakovanju, na temperaturi do 25°C, zaštićeno od svjetlosti i vlage.</w:t>
            </w:r>
          </w:p>
        </w:tc>
      </w:tr>
      <w:tr w:rsidR="008E31D0" w:rsidRPr="00DC010A" w:rsidTr="0089758C">
        <w:tc>
          <w:tcPr>
            <w:tcW w:w="10188" w:type="dxa"/>
            <w:gridSpan w:val="4"/>
            <w:vAlign w:val="center"/>
          </w:tcPr>
          <w:p w:rsidR="008E31D0" w:rsidRPr="00DC010A" w:rsidRDefault="008E31D0" w:rsidP="00EF3C6C">
            <w:pPr>
              <w:pStyle w:val="NoSpacing"/>
              <w:jc w:val="both"/>
              <w:rPr>
                <w:b/>
                <w:bCs/>
                <w:sz w:val="22"/>
                <w:szCs w:val="22"/>
                <w:lang w:val="sr-Latn-CS"/>
              </w:rPr>
            </w:pPr>
            <w:r w:rsidRPr="00DC010A">
              <w:rPr>
                <w:b/>
                <w:bCs/>
                <w:sz w:val="22"/>
                <w:szCs w:val="22"/>
                <w:lang w:val="sr-Latn-CS"/>
              </w:rPr>
              <w:t>6.5. Vrsta i sadržaj pakovanja</w:t>
            </w:r>
          </w:p>
        </w:tc>
      </w:tr>
      <w:tr w:rsidR="008E31D0" w:rsidRPr="00DC010A" w:rsidTr="0089758C">
        <w:trPr>
          <w:trHeight w:val="671"/>
        </w:trPr>
        <w:tc>
          <w:tcPr>
            <w:tcW w:w="10188" w:type="dxa"/>
            <w:gridSpan w:val="4"/>
            <w:vAlign w:val="center"/>
          </w:tcPr>
          <w:p w:rsidR="008E31D0" w:rsidRPr="00DC010A" w:rsidRDefault="008E31D0" w:rsidP="00EF3C6C">
            <w:pPr>
              <w:pStyle w:val="NoSpacing"/>
              <w:jc w:val="both"/>
              <w:rPr>
                <w:sz w:val="22"/>
                <w:szCs w:val="22"/>
                <w:lang w:val="sr-Latn-CS"/>
              </w:rPr>
            </w:pPr>
            <w:r w:rsidRPr="00DC010A">
              <w:rPr>
                <w:sz w:val="22"/>
                <w:szCs w:val="22"/>
                <w:lang w:val="sr-Latn-CS"/>
              </w:rPr>
              <w:t>U kartonskoj kutiji se nalazi 2 blistera sa po 7 kapsula.</w:t>
            </w:r>
          </w:p>
        </w:tc>
      </w:tr>
      <w:tr w:rsidR="008E31D0" w:rsidRPr="00DC010A" w:rsidTr="0089758C">
        <w:tc>
          <w:tcPr>
            <w:tcW w:w="10188" w:type="dxa"/>
            <w:gridSpan w:val="4"/>
            <w:vAlign w:val="center"/>
          </w:tcPr>
          <w:p w:rsidR="008E31D0" w:rsidRPr="00DC010A" w:rsidRDefault="008E31D0" w:rsidP="00EF3C6C">
            <w:pPr>
              <w:pStyle w:val="NoSpacing"/>
              <w:jc w:val="both"/>
              <w:rPr>
                <w:b/>
                <w:bCs/>
                <w:sz w:val="22"/>
                <w:szCs w:val="22"/>
                <w:lang w:val="sr-Latn-CS"/>
              </w:rPr>
            </w:pPr>
            <w:r w:rsidRPr="00DC010A">
              <w:rPr>
                <w:b/>
                <w:bCs/>
                <w:sz w:val="22"/>
                <w:szCs w:val="22"/>
                <w:lang w:val="sr-Latn-CS"/>
              </w:rPr>
              <w:t xml:space="preserve">6.6. Posebne mjere opreza pri odlaganju materijala koji treba odbaciti nakon primjene lijeka </w:t>
            </w:r>
          </w:p>
        </w:tc>
      </w:tr>
      <w:tr w:rsidR="008E31D0" w:rsidRPr="00DC010A" w:rsidTr="0089758C">
        <w:trPr>
          <w:trHeight w:val="1031"/>
        </w:trPr>
        <w:tc>
          <w:tcPr>
            <w:tcW w:w="10188" w:type="dxa"/>
            <w:gridSpan w:val="4"/>
            <w:vAlign w:val="center"/>
          </w:tcPr>
          <w:p w:rsidR="008E31D0" w:rsidRPr="00DC010A" w:rsidRDefault="008E31D0" w:rsidP="00EF3C6C">
            <w:pPr>
              <w:pStyle w:val="NoSpacing"/>
              <w:jc w:val="both"/>
              <w:rPr>
                <w:sz w:val="22"/>
                <w:szCs w:val="22"/>
                <w:lang w:val="sr-Latn-CS"/>
              </w:rPr>
            </w:pPr>
            <w:r w:rsidRPr="00DC010A">
              <w:rPr>
                <w:sz w:val="22"/>
                <w:szCs w:val="22"/>
                <w:lang w:val="sr-Latn-CS"/>
              </w:rPr>
              <w:t>Nema posebnih zahtjeva.</w:t>
            </w:r>
          </w:p>
          <w:p w:rsidR="008E31D0" w:rsidRPr="00DC010A" w:rsidRDefault="008E31D0" w:rsidP="00EF3C6C">
            <w:pPr>
              <w:pStyle w:val="NoSpacing"/>
              <w:jc w:val="both"/>
              <w:rPr>
                <w:sz w:val="22"/>
                <w:szCs w:val="22"/>
                <w:lang w:val="sr-Latn-CS"/>
              </w:rPr>
            </w:pPr>
          </w:p>
          <w:p w:rsidR="008E31D0" w:rsidRPr="00DC010A" w:rsidRDefault="00EF3C6C" w:rsidP="00EF3C6C">
            <w:pPr>
              <w:pStyle w:val="NoSpacing"/>
              <w:jc w:val="both"/>
              <w:rPr>
                <w:b/>
                <w:bCs/>
                <w:sz w:val="22"/>
                <w:szCs w:val="22"/>
                <w:lang w:val="sr-Latn-CS"/>
              </w:rPr>
            </w:pPr>
            <w:r w:rsidRPr="00DC010A">
              <w:rPr>
                <w:b/>
                <w:bCs/>
                <w:sz w:val="22"/>
                <w:szCs w:val="22"/>
                <w:lang w:val="sr-Latn-CS"/>
              </w:rPr>
              <w:t xml:space="preserve">6.7. </w:t>
            </w:r>
            <w:r w:rsidR="008E31D0" w:rsidRPr="00DC010A">
              <w:rPr>
                <w:b/>
                <w:bCs/>
                <w:sz w:val="22"/>
                <w:szCs w:val="22"/>
              </w:rPr>
              <w:t>Re</w:t>
            </w:r>
            <w:r w:rsidR="008E31D0" w:rsidRPr="00DC010A">
              <w:rPr>
                <w:b/>
                <w:bCs/>
                <w:sz w:val="22"/>
                <w:szCs w:val="22"/>
                <w:lang w:val="sr-Latn-CS"/>
              </w:rPr>
              <w:t>ž</w:t>
            </w:r>
            <w:r w:rsidR="008E31D0" w:rsidRPr="00DC010A">
              <w:rPr>
                <w:b/>
                <w:bCs/>
                <w:sz w:val="22"/>
                <w:szCs w:val="22"/>
              </w:rPr>
              <w:t>im</w:t>
            </w:r>
            <w:r w:rsidR="008E31D0" w:rsidRPr="00DC010A">
              <w:rPr>
                <w:b/>
                <w:bCs/>
                <w:sz w:val="22"/>
                <w:szCs w:val="22"/>
                <w:lang w:val="sr-Latn-CS"/>
              </w:rPr>
              <w:t xml:space="preserve"> </w:t>
            </w:r>
            <w:r w:rsidR="008E31D0" w:rsidRPr="00DC010A">
              <w:rPr>
                <w:b/>
                <w:bCs/>
                <w:sz w:val="22"/>
                <w:szCs w:val="22"/>
              </w:rPr>
              <w:t>izdavanja</w:t>
            </w:r>
            <w:r w:rsidR="008E31D0" w:rsidRPr="00DC010A">
              <w:rPr>
                <w:b/>
                <w:bCs/>
                <w:sz w:val="22"/>
                <w:szCs w:val="22"/>
                <w:lang w:val="sr-Latn-CS"/>
              </w:rPr>
              <w:t xml:space="preserve"> </w:t>
            </w:r>
            <w:r w:rsidR="008E31D0" w:rsidRPr="00DC010A">
              <w:rPr>
                <w:b/>
                <w:bCs/>
                <w:sz w:val="22"/>
                <w:szCs w:val="22"/>
              </w:rPr>
              <w:t>lijeka</w:t>
            </w:r>
          </w:p>
          <w:p w:rsidR="008E31D0" w:rsidRPr="00DC010A" w:rsidRDefault="008E31D0" w:rsidP="00EF3C6C">
            <w:pPr>
              <w:pStyle w:val="NoSpacing"/>
              <w:jc w:val="both"/>
              <w:rPr>
                <w:sz w:val="22"/>
                <w:szCs w:val="22"/>
                <w:lang w:val="sr-Latn-CS"/>
              </w:rPr>
            </w:pPr>
            <w:r w:rsidRPr="00DC010A">
              <w:rPr>
                <w:sz w:val="22"/>
                <w:szCs w:val="22"/>
                <w:lang w:val="sr-Latn-CS"/>
              </w:rPr>
              <w:t>Neobnovljiv (jednokratni) recept.</w:t>
            </w:r>
          </w:p>
          <w:p w:rsidR="008E31D0" w:rsidRPr="00DC010A" w:rsidRDefault="008E31D0" w:rsidP="00EF3C6C">
            <w:pPr>
              <w:pStyle w:val="NoSpacing"/>
              <w:jc w:val="both"/>
              <w:rPr>
                <w:sz w:val="22"/>
                <w:szCs w:val="22"/>
                <w:lang w:val="sr-Latn-CS"/>
              </w:rPr>
            </w:pPr>
          </w:p>
        </w:tc>
      </w:tr>
      <w:tr w:rsidR="008E31D0" w:rsidRPr="00DC010A" w:rsidTr="0089758C">
        <w:trPr>
          <w:trHeight w:val="356"/>
        </w:trPr>
        <w:tc>
          <w:tcPr>
            <w:tcW w:w="10188" w:type="dxa"/>
            <w:gridSpan w:val="4"/>
            <w:shd w:val="clear" w:color="auto" w:fill="E0E0E0"/>
            <w:vAlign w:val="center"/>
          </w:tcPr>
          <w:p w:rsidR="008E31D0" w:rsidRPr="00DC010A" w:rsidRDefault="008E31D0" w:rsidP="008E31D0">
            <w:pPr>
              <w:pStyle w:val="NoSpacing"/>
              <w:rPr>
                <w:b/>
                <w:bCs/>
                <w:sz w:val="22"/>
                <w:szCs w:val="22"/>
                <w:lang w:val="sr-Latn-CS"/>
              </w:rPr>
            </w:pPr>
            <w:r w:rsidRPr="00DC010A">
              <w:rPr>
                <w:b/>
                <w:bCs/>
                <w:sz w:val="22"/>
                <w:szCs w:val="22"/>
                <w:lang w:val="sr-Latn-CS"/>
              </w:rPr>
              <w:t xml:space="preserve">7. NOSILAC DOZVOLE </w:t>
            </w:r>
          </w:p>
        </w:tc>
      </w:tr>
      <w:tr w:rsidR="008E31D0" w:rsidRPr="00DC010A" w:rsidTr="0089758C">
        <w:trPr>
          <w:trHeight w:val="896"/>
        </w:trPr>
        <w:tc>
          <w:tcPr>
            <w:tcW w:w="10188" w:type="dxa"/>
            <w:gridSpan w:val="4"/>
            <w:vAlign w:val="center"/>
          </w:tcPr>
          <w:p w:rsidR="008E31D0" w:rsidRPr="00DC010A" w:rsidRDefault="008E31D0" w:rsidP="008E31D0">
            <w:pPr>
              <w:pStyle w:val="NoSpacing"/>
              <w:rPr>
                <w:sz w:val="22"/>
                <w:szCs w:val="22"/>
                <w:lang w:val="sr-Latn-CS"/>
              </w:rPr>
            </w:pPr>
            <w:r w:rsidRPr="00DC010A">
              <w:rPr>
                <w:sz w:val="22"/>
                <w:szCs w:val="22"/>
                <w:lang w:val="sr-Latn-CS"/>
              </w:rPr>
              <w:t>Glosarij d.o.o.</w:t>
            </w:r>
          </w:p>
          <w:p w:rsidR="008E31D0" w:rsidRPr="00DC010A" w:rsidRDefault="008E31D0" w:rsidP="008E31D0">
            <w:pPr>
              <w:pStyle w:val="NoSpacing"/>
              <w:rPr>
                <w:sz w:val="22"/>
                <w:szCs w:val="22"/>
                <w:lang w:val="sr-Latn-CS"/>
              </w:rPr>
            </w:pPr>
            <w:r w:rsidRPr="00DC010A">
              <w:rPr>
                <w:sz w:val="22"/>
                <w:szCs w:val="22"/>
                <w:lang w:val="sr-Latn-CS"/>
              </w:rPr>
              <w:t>Vojislavljevića 76, 81000 Podgorica, Crna Gora</w:t>
            </w:r>
          </w:p>
        </w:tc>
      </w:tr>
      <w:tr w:rsidR="008E31D0" w:rsidRPr="00DC010A" w:rsidTr="0089758C">
        <w:tc>
          <w:tcPr>
            <w:tcW w:w="10188" w:type="dxa"/>
            <w:gridSpan w:val="4"/>
            <w:shd w:val="clear" w:color="auto" w:fill="E0E0E0"/>
            <w:vAlign w:val="center"/>
          </w:tcPr>
          <w:p w:rsidR="008E31D0" w:rsidRPr="00DC010A" w:rsidRDefault="008E31D0" w:rsidP="008E31D0">
            <w:pPr>
              <w:pStyle w:val="NoSpacing"/>
              <w:rPr>
                <w:b/>
                <w:bCs/>
                <w:sz w:val="22"/>
                <w:szCs w:val="22"/>
                <w:lang w:val="sr-Latn-CS"/>
              </w:rPr>
            </w:pPr>
            <w:r w:rsidRPr="00DC010A">
              <w:rPr>
                <w:b/>
                <w:bCs/>
                <w:sz w:val="22"/>
                <w:szCs w:val="22"/>
                <w:lang w:val="sr-Latn-CS"/>
              </w:rPr>
              <w:t>8. BROJ PRVE DOZVOLE / OBNOVE DOZVOLE</w:t>
            </w:r>
          </w:p>
        </w:tc>
      </w:tr>
      <w:tr w:rsidR="008E31D0" w:rsidRPr="00DC010A" w:rsidTr="0089758C">
        <w:trPr>
          <w:trHeight w:val="869"/>
        </w:trPr>
        <w:tc>
          <w:tcPr>
            <w:tcW w:w="10188" w:type="dxa"/>
            <w:gridSpan w:val="4"/>
            <w:vAlign w:val="center"/>
          </w:tcPr>
          <w:p w:rsidR="008E31D0" w:rsidRPr="00DC010A" w:rsidRDefault="008E31D0" w:rsidP="008E31D0">
            <w:pPr>
              <w:pStyle w:val="NoSpacing"/>
              <w:rPr>
                <w:sz w:val="22"/>
                <w:szCs w:val="22"/>
                <w:lang w:val="sr-Latn-CS"/>
              </w:rPr>
            </w:pPr>
            <w:r w:rsidRPr="00DC010A">
              <w:rPr>
                <w:sz w:val="22"/>
                <w:szCs w:val="22"/>
                <w:lang w:val="sr-Latn-CS"/>
              </w:rPr>
              <w:t>Ortanol® gastrorezistentne kapsule, tvrde 20 mg, 14 x 20 mg</w:t>
            </w:r>
            <w:r w:rsidR="00EF3C6C" w:rsidRPr="00DC010A">
              <w:rPr>
                <w:sz w:val="22"/>
                <w:szCs w:val="22"/>
                <w:lang w:val="sr-Latn-CS"/>
              </w:rPr>
              <w:t>: 2030/17/260-3543</w:t>
            </w:r>
          </w:p>
          <w:p w:rsidR="008E31D0" w:rsidRPr="00DC010A" w:rsidRDefault="008E31D0" w:rsidP="008E31D0">
            <w:pPr>
              <w:pStyle w:val="NoSpacing"/>
              <w:rPr>
                <w:sz w:val="22"/>
                <w:szCs w:val="22"/>
                <w:lang w:val="sr-Latn-CS"/>
              </w:rPr>
            </w:pPr>
          </w:p>
        </w:tc>
      </w:tr>
      <w:tr w:rsidR="008E31D0" w:rsidRPr="00DC010A" w:rsidTr="0089758C">
        <w:tc>
          <w:tcPr>
            <w:tcW w:w="10188" w:type="dxa"/>
            <w:gridSpan w:val="4"/>
            <w:shd w:val="clear" w:color="auto" w:fill="E0E0E0"/>
            <w:vAlign w:val="center"/>
          </w:tcPr>
          <w:p w:rsidR="008E31D0" w:rsidRPr="00DC010A" w:rsidRDefault="008E31D0" w:rsidP="008E31D0">
            <w:pPr>
              <w:pStyle w:val="NoSpacing"/>
              <w:rPr>
                <w:b/>
                <w:bCs/>
                <w:sz w:val="22"/>
                <w:szCs w:val="22"/>
                <w:lang w:val="sr-Latn-CS"/>
              </w:rPr>
            </w:pPr>
            <w:r w:rsidRPr="00DC010A">
              <w:rPr>
                <w:b/>
                <w:bCs/>
                <w:sz w:val="22"/>
                <w:szCs w:val="22"/>
                <w:lang w:val="sr-Latn-CS"/>
              </w:rPr>
              <w:t>9. DATUM PRVE DOZVOLE / DATUM OBNOVE DOZVOLE</w:t>
            </w:r>
          </w:p>
        </w:tc>
      </w:tr>
      <w:tr w:rsidR="008E31D0" w:rsidRPr="00DC010A" w:rsidTr="0089758C">
        <w:trPr>
          <w:trHeight w:val="824"/>
        </w:trPr>
        <w:tc>
          <w:tcPr>
            <w:tcW w:w="10188" w:type="dxa"/>
            <w:gridSpan w:val="4"/>
            <w:vAlign w:val="center"/>
          </w:tcPr>
          <w:p w:rsidR="008E31D0" w:rsidRPr="00DC010A" w:rsidRDefault="008E31D0" w:rsidP="008E31D0">
            <w:pPr>
              <w:pStyle w:val="NoSpacing"/>
              <w:rPr>
                <w:sz w:val="22"/>
                <w:szCs w:val="22"/>
                <w:lang w:val="sr-Latn-CS"/>
              </w:rPr>
            </w:pPr>
            <w:r w:rsidRPr="00DC010A">
              <w:rPr>
                <w:sz w:val="22"/>
                <w:szCs w:val="22"/>
                <w:lang w:val="sr-Latn-CS"/>
              </w:rPr>
              <w:t>Ortanol® gastrorezistentne kapsule, tvrde 20 mg, 14 x 20 mg</w:t>
            </w:r>
            <w:r w:rsidR="00EF3C6C" w:rsidRPr="00DC010A">
              <w:rPr>
                <w:sz w:val="22"/>
                <w:szCs w:val="22"/>
                <w:lang w:val="sr-Latn-CS"/>
              </w:rPr>
              <w:t>: 28.02.2017. godine</w:t>
            </w:r>
          </w:p>
        </w:tc>
      </w:tr>
      <w:tr w:rsidR="008E31D0" w:rsidRPr="00DC010A" w:rsidTr="0089758C">
        <w:tc>
          <w:tcPr>
            <w:tcW w:w="10188" w:type="dxa"/>
            <w:gridSpan w:val="4"/>
            <w:shd w:val="clear" w:color="auto" w:fill="E0E0E0"/>
            <w:vAlign w:val="center"/>
          </w:tcPr>
          <w:p w:rsidR="008E31D0" w:rsidRPr="00DC010A" w:rsidRDefault="008E31D0" w:rsidP="008E31D0">
            <w:pPr>
              <w:pStyle w:val="NoSpacing"/>
              <w:rPr>
                <w:b/>
                <w:bCs/>
                <w:sz w:val="22"/>
                <w:szCs w:val="22"/>
                <w:lang w:val="sr-Latn-CS"/>
              </w:rPr>
            </w:pPr>
            <w:r w:rsidRPr="00DC010A">
              <w:rPr>
                <w:b/>
                <w:bCs/>
                <w:sz w:val="22"/>
                <w:szCs w:val="22"/>
                <w:lang w:val="sr-Latn-CS"/>
              </w:rPr>
              <w:t xml:space="preserve">10. </w:t>
            </w:r>
            <w:r w:rsidRPr="00DC010A">
              <w:rPr>
                <w:b/>
                <w:bCs/>
                <w:sz w:val="22"/>
                <w:szCs w:val="22"/>
              </w:rPr>
              <w:t>DATUM</w:t>
            </w:r>
            <w:r w:rsidRPr="00DC010A">
              <w:rPr>
                <w:b/>
                <w:bCs/>
                <w:sz w:val="22"/>
                <w:szCs w:val="22"/>
                <w:lang w:val="sr-Latn-CS"/>
              </w:rPr>
              <w:t xml:space="preserve"> </w:t>
            </w:r>
            <w:r w:rsidRPr="00DC010A">
              <w:rPr>
                <w:b/>
                <w:bCs/>
                <w:sz w:val="22"/>
                <w:szCs w:val="22"/>
              </w:rPr>
              <w:t>POSLEDNJE</w:t>
            </w:r>
            <w:r w:rsidRPr="00DC010A">
              <w:rPr>
                <w:b/>
                <w:bCs/>
                <w:sz w:val="22"/>
                <w:szCs w:val="22"/>
                <w:lang w:val="sr-Latn-CS"/>
              </w:rPr>
              <w:t xml:space="preserve"> </w:t>
            </w:r>
            <w:r w:rsidRPr="00DC010A">
              <w:rPr>
                <w:b/>
                <w:bCs/>
                <w:sz w:val="22"/>
                <w:szCs w:val="22"/>
              </w:rPr>
              <w:t>REVIZIJE</w:t>
            </w:r>
            <w:r w:rsidRPr="00DC010A">
              <w:rPr>
                <w:b/>
                <w:bCs/>
                <w:sz w:val="22"/>
                <w:szCs w:val="22"/>
                <w:lang w:val="sr-Latn-CS"/>
              </w:rPr>
              <w:t xml:space="preserve"> </w:t>
            </w:r>
            <w:r w:rsidRPr="00DC010A">
              <w:rPr>
                <w:b/>
                <w:bCs/>
                <w:sz w:val="22"/>
                <w:szCs w:val="22"/>
              </w:rPr>
              <w:t>TEKSTA</w:t>
            </w:r>
            <w:r w:rsidRPr="00DC010A">
              <w:rPr>
                <w:b/>
                <w:bCs/>
                <w:sz w:val="22"/>
                <w:szCs w:val="22"/>
                <w:lang w:val="sr-Latn-CS"/>
              </w:rPr>
              <w:t xml:space="preserve"> </w:t>
            </w:r>
            <w:r w:rsidRPr="00DC010A">
              <w:rPr>
                <w:b/>
                <w:bCs/>
                <w:sz w:val="22"/>
                <w:szCs w:val="22"/>
              </w:rPr>
              <w:t>SA</w:t>
            </w:r>
            <w:r w:rsidRPr="00DC010A">
              <w:rPr>
                <w:b/>
                <w:bCs/>
                <w:sz w:val="22"/>
                <w:szCs w:val="22"/>
                <w:lang w:val="sr-Latn-CS"/>
              </w:rPr>
              <w:t>Ž</w:t>
            </w:r>
            <w:r w:rsidRPr="00DC010A">
              <w:rPr>
                <w:b/>
                <w:bCs/>
                <w:sz w:val="22"/>
                <w:szCs w:val="22"/>
              </w:rPr>
              <w:t>ETKA</w:t>
            </w:r>
            <w:r w:rsidRPr="00DC010A">
              <w:rPr>
                <w:b/>
                <w:bCs/>
                <w:sz w:val="22"/>
                <w:szCs w:val="22"/>
                <w:lang w:val="sr-Latn-CS"/>
              </w:rPr>
              <w:t xml:space="preserve"> </w:t>
            </w:r>
            <w:r w:rsidRPr="00DC010A">
              <w:rPr>
                <w:b/>
                <w:bCs/>
                <w:sz w:val="22"/>
                <w:szCs w:val="22"/>
              </w:rPr>
              <w:t>OSNOVNIH</w:t>
            </w:r>
            <w:r w:rsidRPr="00DC010A">
              <w:rPr>
                <w:b/>
                <w:bCs/>
                <w:sz w:val="22"/>
                <w:szCs w:val="22"/>
                <w:lang w:val="sr-Latn-CS"/>
              </w:rPr>
              <w:t xml:space="preserve"> </w:t>
            </w:r>
            <w:r w:rsidRPr="00DC010A">
              <w:rPr>
                <w:b/>
                <w:bCs/>
                <w:sz w:val="22"/>
                <w:szCs w:val="22"/>
              </w:rPr>
              <w:t>KARAKTERISTIKA</w:t>
            </w:r>
            <w:r w:rsidRPr="00DC010A">
              <w:rPr>
                <w:b/>
                <w:bCs/>
                <w:sz w:val="22"/>
                <w:szCs w:val="22"/>
                <w:lang w:val="sr-Latn-CS"/>
              </w:rPr>
              <w:t xml:space="preserve"> </w:t>
            </w:r>
            <w:r w:rsidRPr="00DC010A">
              <w:rPr>
                <w:b/>
                <w:bCs/>
                <w:sz w:val="22"/>
                <w:szCs w:val="22"/>
              </w:rPr>
              <w:t>LIJEKA</w:t>
            </w:r>
          </w:p>
        </w:tc>
      </w:tr>
      <w:tr w:rsidR="008E31D0" w:rsidRPr="00B41C70" w:rsidTr="0089758C">
        <w:trPr>
          <w:trHeight w:val="824"/>
        </w:trPr>
        <w:tc>
          <w:tcPr>
            <w:tcW w:w="10188" w:type="dxa"/>
            <w:gridSpan w:val="4"/>
            <w:vAlign w:val="center"/>
          </w:tcPr>
          <w:p w:rsidR="008E31D0" w:rsidRPr="00E12700" w:rsidRDefault="00EF3C6C" w:rsidP="008E31D0">
            <w:pPr>
              <w:pStyle w:val="NoSpacing"/>
              <w:rPr>
                <w:sz w:val="22"/>
                <w:szCs w:val="22"/>
                <w:lang w:val="sr-Latn-CS"/>
              </w:rPr>
            </w:pPr>
            <w:r w:rsidRPr="00DC010A">
              <w:rPr>
                <w:sz w:val="22"/>
                <w:szCs w:val="22"/>
                <w:lang w:val="sr-Latn-CS"/>
              </w:rPr>
              <w:t>Februar, 2017. godine</w:t>
            </w:r>
          </w:p>
        </w:tc>
      </w:tr>
    </w:tbl>
    <w:p w:rsidR="009318B4" w:rsidRPr="00747C4B" w:rsidRDefault="009318B4" w:rsidP="008E31D0">
      <w:pPr>
        <w:pStyle w:val="NoSpacing"/>
      </w:pPr>
    </w:p>
    <w:sectPr w:rsidR="009318B4" w:rsidRPr="00747C4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269" w:rsidRDefault="00F13269" w:rsidP="00FF2B5A">
      <w:pPr>
        <w:spacing w:after="0" w:line="240" w:lineRule="auto"/>
      </w:pPr>
      <w:r>
        <w:separator/>
      </w:r>
    </w:p>
  </w:endnote>
  <w:endnote w:type="continuationSeparator" w:id="0">
    <w:p w:rsidR="00F13269" w:rsidRDefault="00F1326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87" w:usb1="08070000" w:usb2="00000010" w:usb3="00000000" w:csb0="0002000B"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8C" w:rsidRPr="00F1527C" w:rsidRDefault="0089758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89758C" w:rsidRPr="00F1527C" w:rsidRDefault="0089758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89758C" w:rsidRPr="00F1527C" w:rsidRDefault="0089758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89758C" w:rsidRPr="00F1527C" w:rsidRDefault="0089758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89758C" w:rsidRPr="00F1527C" w:rsidRDefault="0089758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89758C" w:rsidRPr="009318B4" w:rsidRDefault="0089758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C010A">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C010A">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8C" w:rsidRPr="00F1527C" w:rsidRDefault="0089758C"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89758C" w:rsidRPr="00F1527C" w:rsidRDefault="0089758C"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89758C" w:rsidRPr="00F1527C" w:rsidRDefault="0089758C"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89758C" w:rsidRPr="00F1527C" w:rsidRDefault="0089758C"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89758C" w:rsidRPr="00F1527C" w:rsidRDefault="0089758C"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89758C" w:rsidRPr="009318B4" w:rsidRDefault="0089758C"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269" w:rsidRDefault="00F13269" w:rsidP="00FF2B5A">
      <w:pPr>
        <w:spacing w:after="0" w:line="240" w:lineRule="auto"/>
      </w:pPr>
      <w:r>
        <w:separator/>
      </w:r>
    </w:p>
  </w:footnote>
  <w:footnote w:type="continuationSeparator" w:id="0">
    <w:p w:rsidR="00F13269" w:rsidRDefault="00F1326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8C" w:rsidRDefault="0089758C" w:rsidP="009318B4">
    <w:pPr>
      <w:pStyle w:val="Header"/>
      <w:rPr>
        <w:sz w:val="16"/>
        <w:szCs w:val="16"/>
      </w:rPr>
    </w:pPr>
  </w:p>
  <w:p w:rsidR="0089758C" w:rsidRDefault="0089758C"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89758C" w:rsidRDefault="00897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8C" w:rsidRDefault="0089758C" w:rsidP="009318B4">
    <w:pPr>
      <w:pStyle w:val="Header"/>
      <w:rPr>
        <w:sz w:val="16"/>
        <w:szCs w:val="16"/>
      </w:rPr>
    </w:pPr>
  </w:p>
  <w:p w:rsidR="0089758C" w:rsidRDefault="0089758C"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89758C" w:rsidRDefault="008975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25C05"/>
    <w:multiLevelType w:val="hybridMultilevel"/>
    <w:tmpl w:val="9B0CC3BE"/>
    <w:lvl w:ilvl="0" w:tplc="A5E00B6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A149D"/>
    <w:multiLevelType w:val="hybridMultilevel"/>
    <w:tmpl w:val="18446786"/>
    <w:lvl w:ilvl="0" w:tplc="DE8647B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A7E29"/>
    <w:multiLevelType w:val="hybridMultilevel"/>
    <w:tmpl w:val="B5367E4C"/>
    <w:lvl w:ilvl="0" w:tplc="E012C3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738A4"/>
    <w:multiLevelType w:val="hybridMultilevel"/>
    <w:tmpl w:val="E5A6A854"/>
    <w:lvl w:ilvl="0" w:tplc="65B4460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E8125A"/>
    <w:multiLevelType w:val="hybridMultilevel"/>
    <w:tmpl w:val="CF1017EE"/>
    <w:lvl w:ilvl="0" w:tplc="5B7C41CE">
      <w:start w:val="4"/>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74DF"/>
    <w:rsid w:val="00116FE6"/>
    <w:rsid w:val="001A6B95"/>
    <w:rsid w:val="00461135"/>
    <w:rsid w:val="0051198D"/>
    <w:rsid w:val="00747C4B"/>
    <w:rsid w:val="00883AF2"/>
    <w:rsid w:val="0089758C"/>
    <w:rsid w:val="008E31D0"/>
    <w:rsid w:val="009318B4"/>
    <w:rsid w:val="00934541"/>
    <w:rsid w:val="00995AC6"/>
    <w:rsid w:val="00A06058"/>
    <w:rsid w:val="00AA06C2"/>
    <w:rsid w:val="00B16218"/>
    <w:rsid w:val="00B234CE"/>
    <w:rsid w:val="00B34AF2"/>
    <w:rsid w:val="00C4240B"/>
    <w:rsid w:val="00D45AFE"/>
    <w:rsid w:val="00DC010A"/>
    <w:rsid w:val="00E0627A"/>
    <w:rsid w:val="00EB2A93"/>
    <w:rsid w:val="00EE54A6"/>
    <w:rsid w:val="00EF3C6C"/>
    <w:rsid w:val="00F13269"/>
    <w:rsid w:val="00F1527C"/>
    <w:rsid w:val="00FA143E"/>
    <w:rsid w:val="00FB6025"/>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E31D0"/>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8E31D0"/>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8E31D0"/>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8E31D0"/>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8E31D0"/>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8E31D0"/>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8E31D0"/>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8E31D0"/>
    <w:rPr>
      <w:rFonts w:ascii="Arial" w:eastAsia="Times New Roman" w:hAnsi="Arial" w:cs="Arial"/>
      <w:i/>
      <w:iCs/>
      <w:color w:val="999999"/>
      <w:sz w:val="16"/>
      <w:szCs w:val="24"/>
    </w:rPr>
  </w:style>
  <w:style w:type="character" w:styleId="PageNumber">
    <w:name w:val="page number"/>
    <w:basedOn w:val="DefaultParagraphFont"/>
    <w:rsid w:val="008E31D0"/>
  </w:style>
  <w:style w:type="character" w:styleId="CommentReference">
    <w:name w:val="annotation reference"/>
    <w:semiHidden/>
    <w:rsid w:val="008E31D0"/>
    <w:rPr>
      <w:sz w:val="16"/>
      <w:szCs w:val="16"/>
    </w:rPr>
  </w:style>
  <w:style w:type="paragraph" w:styleId="CommentText">
    <w:name w:val="annotation text"/>
    <w:basedOn w:val="Normal"/>
    <w:link w:val="CommentTextChar"/>
    <w:semiHidden/>
    <w:rsid w:val="008E31D0"/>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8E31D0"/>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8E31D0"/>
    <w:rPr>
      <w:b/>
      <w:bCs/>
    </w:rPr>
  </w:style>
  <w:style w:type="character" w:customStyle="1" w:styleId="CommentSubjectChar">
    <w:name w:val="Comment Subject Char"/>
    <w:basedOn w:val="CommentTextChar"/>
    <w:link w:val="CommentSubject"/>
    <w:semiHidden/>
    <w:rsid w:val="008E31D0"/>
    <w:rPr>
      <w:rFonts w:ascii="Humanist777" w:eastAsia="Times New Roman" w:hAnsi="Humanist777" w:cs="Times New Roman"/>
      <w:b/>
      <w:bCs/>
      <w:sz w:val="20"/>
      <w:szCs w:val="20"/>
    </w:rPr>
  </w:style>
  <w:style w:type="paragraph" w:styleId="BalloonText">
    <w:name w:val="Balloon Text"/>
    <w:basedOn w:val="Normal"/>
    <w:link w:val="BalloonTextChar"/>
    <w:semiHidden/>
    <w:rsid w:val="008E31D0"/>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E31D0"/>
    <w:rPr>
      <w:rFonts w:ascii="Tahoma" w:eastAsia="Times New Roman" w:hAnsi="Tahoma" w:cs="Tahoma"/>
      <w:sz w:val="16"/>
      <w:szCs w:val="16"/>
    </w:rPr>
  </w:style>
  <w:style w:type="paragraph" w:styleId="NoSpacing">
    <w:name w:val="No Spacing"/>
    <w:uiPriority w:val="1"/>
    <w:qFormat/>
    <w:rsid w:val="008E31D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E31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E31D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750A2-17BC-4DA2-93A4-054A4FFB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16</Pages>
  <Words>5568</Words>
  <Characters>31741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12</cp:revision>
  <dcterms:created xsi:type="dcterms:W3CDTF">2017-06-23T08:04:00Z</dcterms:created>
  <dcterms:modified xsi:type="dcterms:W3CDTF">2017-09-08T08:55:00Z</dcterms:modified>
</cp:coreProperties>
</file>