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39F" w:rsidRPr="00A72C5E" w:rsidRDefault="0097639F" w:rsidP="00B947F2">
      <w:pPr>
        <w:pStyle w:val="NoSpacing"/>
        <w:jc w:val="both"/>
        <w:rPr>
          <w:noProof/>
          <w:sz w:val="22"/>
          <w:szCs w:val="22"/>
          <w:lang w:val="hr-HR"/>
        </w:rPr>
      </w:pPr>
    </w:p>
    <w:tbl>
      <w:tblPr>
        <w:tblW w:w="9360" w:type="dxa"/>
        <w:jc w:val="center"/>
        <w:tblLayout w:type="fixed"/>
        <w:tblLook w:val="0000" w:firstRow="0" w:lastRow="0" w:firstColumn="0" w:lastColumn="0" w:noHBand="0" w:noVBand="0"/>
      </w:tblPr>
      <w:tblGrid>
        <w:gridCol w:w="2160"/>
        <w:gridCol w:w="7200"/>
      </w:tblGrid>
      <w:tr w:rsidR="0097639F" w:rsidRPr="0083017F" w:rsidTr="00EC4B06">
        <w:trPr>
          <w:trHeight w:val="530"/>
          <w:jc w:val="center"/>
        </w:trPr>
        <w:tc>
          <w:tcPr>
            <w:tcW w:w="9360" w:type="dxa"/>
            <w:gridSpan w:val="2"/>
            <w:vAlign w:val="center"/>
          </w:tcPr>
          <w:p w:rsidR="00493F1E" w:rsidRPr="00A72C5E" w:rsidRDefault="00493F1E" w:rsidP="00B947F2">
            <w:pPr>
              <w:pStyle w:val="NoSpacing"/>
              <w:jc w:val="both"/>
              <w:rPr>
                <w:noProof/>
                <w:sz w:val="22"/>
                <w:szCs w:val="22"/>
              </w:rPr>
            </w:pPr>
            <w:r w:rsidRPr="00A72C5E">
              <w:rPr>
                <w:noProof/>
                <w:sz w:val="22"/>
                <w:szCs w:val="22"/>
              </w:rPr>
              <w:t xml:space="preserve">                                     </w:t>
            </w:r>
          </w:p>
          <w:p w:rsidR="00493F1E" w:rsidRPr="00A72C5E" w:rsidRDefault="00493F1E" w:rsidP="00B947F2">
            <w:pPr>
              <w:pStyle w:val="NoSpacing"/>
              <w:jc w:val="both"/>
              <w:rPr>
                <w:noProof/>
                <w:sz w:val="22"/>
                <w:szCs w:val="22"/>
              </w:rPr>
            </w:pPr>
          </w:p>
          <w:p w:rsidR="00493F1E" w:rsidRPr="00A72C5E" w:rsidRDefault="00493F1E" w:rsidP="00B947F2">
            <w:pPr>
              <w:pStyle w:val="NoSpacing"/>
              <w:jc w:val="both"/>
              <w:rPr>
                <w:noProof/>
                <w:sz w:val="22"/>
                <w:szCs w:val="22"/>
              </w:rPr>
            </w:pPr>
          </w:p>
          <w:p w:rsidR="00A72C5E" w:rsidRDefault="00493F1E" w:rsidP="00B947F2">
            <w:pPr>
              <w:pStyle w:val="NoSpacing"/>
              <w:jc w:val="both"/>
              <w:rPr>
                <w:noProof/>
                <w:sz w:val="22"/>
                <w:szCs w:val="22"/>
              </w:rPr>
            </w:pPr>
            <w:r w:rsidRPr="00A72C5E">
              <w:rPr>
                <w:noProof/>
                <w:sz w:val="22"/>
                <w:szCs w:val="22"/>
              </w:rPr>
              <w:t xml:space="preserve">                                       </w:t>
            </w:r>
          </w:p>
          <w:p w:rsidR="0097639F" w:rsidRPr="0083017F" w:rsidRDefault="0097639F" w:rsidP="00A72C5E">
            <w:pPr>
              <w:pStyle w:val="NoSpacing"/>
              <w:jc w:val="center"/>
              <w:rPr>
                <w:b/>
                <w:noProof/>
                <w:sz w:val="22"/>
                <w:szCs w:val="22"/>
                <w:u w:val="single"/>
              </w:rPr>
            </w:pPr>
            <w:r w:rsidRPr="0083017F">
              <w:rPr>
                <w:b/>
                <w:noProof/>
                <w:sz w:val="22"/>
                <w:szCs w:val="22"/>
                <w:u w:val="single"/>
              </w:rPr>
              <w:t>SAŽETAK KARAKTERISTIKA LIJEKA</w:t>
            </w:r>
          </w:p>
        </w:tc>
      </w:tr>
      <w:tr w:rsidR="0097639F" w:rsidRPr="0083017F" w:rsidTr="00EC4B06">
        <w:trPr>
          <w:trHeight w:val="1467"/>
          <w:jc w:val="center"/>
        </w:trPr>
        <w:tc>
          <w:tcPr>
            <w:tcW w:w="9360" w:type="dxa"/>
            <w:gridSpan w:val="2"/>
            <w:vAlign w:val="bottom"/>
          </w:tcPr>
          <w:p w:rsidR="0097639F" w:rsidRPr="0083017F" w:rsidRDefault="0097639F" w:rsidP="00B947F2">
            <w:pPr>
              <w:pStyle w:val="NoSpacing"/>
              <w:jc w:val="both"/>
              <w:rPr>
                <w:bCs/>
                <w:noProof/>
                <w:sz w:val="22"/>
                <w:szCs w:val="22"/>
                <w:u w:val="single"/>
              </w:rPr>
            </w:pPr>
          </w:p>
        </w:tc>
      </w:tr>
      <w:tr w:rsidR="0097639F" w:rsidRPr="0083017F" w:rsidTr="00EC4B06">
        <w:trPr>
          <w:trHeight w:val="1225"/>
          <w:jc w:val="center"/>
        </w:trPr>
        <w:tc>
          <w:tcPr>
            <w:tcW w:w="9360" w:type="dxa"/>
            <w:gridSpan w:val="2"/>
          </w:tcPr>
          <w:p w:rsidR="00493F1E" w:rsidRPr="0083017F" w:rsidRDefault="00493F1E" w:rsidP="00B947F2">
            <w:pPr>
              <w:pStyle w:val="NoSpacing"/>
              <w:jc w:val="both"/>
              <w:rPr>
                <w:color w:val="000000"/>
                <w:sz w:val="22"/>
                <w:szCs w:val="22"/>
                <w:lang w:val="sr-Latn-ME"/>
              </w:rPr>
            </w:pPr>
          </w:p>
          <w:p w:rsidR="00493F1E" w:rsidRPr="0083017F" w:rsidRDefault="00493F1E" w:rsidP="00B947F2">
            <w:pPr>
              <w:pStyle w:val="NoSpacing"/>
              <w:jc w:val="both"/>
              <w:rPr>
                <w:color w:val="000000"/>
                <w:sz w:val="22"/>
                <w:szCs w:val="22"/>
                <w:lang w:val="sr-Latn-ME"/>
              </w:rPr>
            </w:pPr>
          </w:p>
          <w:p w:rsidR="00493F1E" w:rsidRPr="0083017F" w:rsidRDefault="00493F1E" w:rsidP="00B947F2">
            <w:pPr>
              <w:pStyle w:val="NoSpacing"/>
              <w:jc w:val="both"/>
              <w:rPr>
                <w:color w:val="000000"/>
                <w:sz w:val="22"/>
                <w:szCs w:val="22"/>
                <w:lang w:val="sr-Latn-ME"/>
              </w:rPr>
            </w:pPr>
          </w:p>
          <w:p w:rsidR="0097639F" w:rsidRPr="0083017F" w:rsidRDefault="0097639F" w:rsidP="00A72C5E">
            <w:pPr>
              <w:pStyle w:val="NoSpacing"/>
              <w:jc w:val="center"/>
              <w:rPr>
                <w:noProof/>
                <w:sz w:val="22"/>
                <w:szCs w:val="22"/>
              </w:rPr>
            </w:pPr>
            <w:r w:rsidRPr="0083017F">
              <w:rPr>
                <w:color w:val="000000"/>
                <w:sz w:val="22"/>
                <w:szCs w:val="22"/>
                <w:lang w:val="sr-Latn-ME"/>
              </w:rPr>
              <w:t>Δ</w:t>
            </w:r>
            <w:r w:rsidRPr="0083017F">
              <w:rPr>
                <w:noProof/>
                <w:sz w:val="22"/>
                <w:szCs w:val="22"/>
                <w:lang w:val="hr-HR"/>
              </w:rPr>
              <w:t xml:space="preserve"> </w:t>
            </w:r>
            <w:r w:rsidRPr="0083017F">
              <w:rPr>
                <w:b/>
                <w:noProof/>
                <w:sz w:val="22"/>
                <w:szCs w:val="22"/>
                <w:lang w:val="hr-HR"/>
              </w:rPr>
              <w:t>Moloxin</w:t>
            </w:r>
            <w:r w:rsidRPr="0083017F">
              <w:rPr>
                <w:noProof/>
                <w:sz w:val="22"/>
                <w:szCs w:val="22"/>
                <w:vertAlign w:val="superscript"/>
              </w:rPr>
              <w:t>®</w:t>
            </w:r>
            <w:r w:rsidR="0028126A" w:rsidRPr="0083017F">
              <w:rPr>
                <w:noProof/>
                <w:sz w:val="22"/>
                <w:szCs w:val="22"/>
              </w:rPr>
              <w:t xml:space="preserve">, film tableta, </w:t>
            </w:r>
            <w:r w:rsidR="005B249E" w:rsidRPr="0083017F">
              <w:rPr>
                <w:noProof/>
                <w:sz w:val="22"/>
                <w:szCs w:val="22"/>
              </w:rPr>
              <w:t>400 mg</w:t>
            </w:r>
            <w:r w:rsidRPr="0083017F">
              <w:rPr>
                <w:noProof/>
                <w:sz w:val="22"/>
                <w:szCs w:val="22"/>
              </w:rPr>
              <w:t>,</w:t>
            </w:r>
          </w:p>
          <w:p w:rsidR="0097639F" w:rsidRPr="0083017F" w:rsidRDefault="0028126A" w:rsidP="00A72C5E">
            <w:pPr>
              <w:pStyle w:val="NoSpacing"/>
              <w:jc w:val="center"/>
              <w:rPr>
                <w:noProof/>
                <w:sz w:val="22"/>
                <w:szCs w:val="22"/>
              </w:rPr>
            </w:pPr>
            <w:r w:rsidRPr="0083017F">
              <w:rPr>
                <w:noProof/>
                <w:sz w:val="22"/>
                <w:szCs w:val="22"/>
              </w:rPr>
              <w:t>blister, 1x</w:t>
            </w:r>
            <w:r w:rsidR="0097639F" w:rsidRPr="0083017F">
              <w:rPr>
                <w:noProof/>
                <w:sz w:val="22"/>
                <w:szCs w:val="22"/>
              </w:rPr>
              <w:t>5 film tableta</w:t>
            </w:r>
          </w:p>
          <w:p w:rsidR="0097639F" w:rsidRPr="0083017F" w:rsidRDefault="0097639F" w:rsidP="00A72C5E">
            <w:pPr>
              <w:pStyle w:val="NoSpacing"/>
              <w:jc w:val="center"/>
              <w:rPr>
                <w:noProof/>
                <w:sz w:val="22"/>
                <w:szCs w:val="22"/>
              </w:rPr>
            </w:pPr>
          </w:p>
          <w:p w:rsidR="0097639F" w:rsidRPr="0083017F" w:rsidRDefault="0097639F" w:rsidP="00A72C5E">
            <w:pPr>
              <w:pStyle w:val="NoSpacing"/>
              <w:jc w:val="center"/>
              <w:rPr>
                <w:noProof/>
                <w:sz w:val="22"/>
                <w:szCs w:val="22"/>
              </w:rPr>
            </w:pPr>
            <w:r w:rsidRPr="0083017F">
              <w:rPr>
                <w:color w:val="000000"/>
                <w:sz w:val="22"/>
                <w:szCs w:val="22"/>
                <w:lang w:val="sr-Latn-ME"/>
              </w:rPr>
              <w:t>Δ</w:t>
            </w:r>
            <w:r w:rsidRPr="0083017F">
              <w:rPr>
                <w:noProof/>
                <w:sz w:val="22"/>
                <w:szCs w:val="22"/>
                <w:lang w:val="hr-HR"/>
              </w:rPr>
              <w:t xml:space="preserve"> </w:t>
            </w:r>
            <w:r w:rsidRPr="0083017F">
              <w:rPr>
                <w:b/>
                <w:noProof/>
                <w:sz w:val="22"/>
                <w:szCs w:val="22"/>
                <w:lang w:val="hr-HR"/>
              </w:rPr>
              <w:t>Moloxin</w:t>
            </w:r>
            <w:r w:rsidRPr="0083017F">
              <w:rPr>
                <w:noProof/>
                <w:sz w:val="22"/>
                <w:szCs w:val="22"/>
                <w:vertAlign w:val="superscript"/>
              </w:rPr>
              <w:t>®</w:t>
            </w:r>
            <w:r w:rsidR="0028126A" w:rsidRPr="0083017F">
              <w:rPr>
                <w:noProof/>
                <w:sz w:val="22"/>
                <w:szCs w:val="22"/>
              </w:rPr>
              <w:t xml:space="preserve">, film tableta, </w:t>
            </w:r>
            <w:r w:rsidR="005B249E" w:rsidRPr="0083017F">
              <w:rPr>
                <w:noProof/>
                <w:sz w:val="22"/>
                <w:szCs w:val="22"/>
              </w:rPr>
              <w:t>400 mg</w:t>
            </w:r>
            <w:r w:rsidRPr="0083017F">
              <w:rPr>
                <w:noProof/>
                <w:sz w:val="22"/>
                <w:szCs w:val="22"/>
              </w:rPr>
              <w:t>,</w:t>
            </w:r>
          </w:p>
          <w:p w:rsidR="0097639F" w:rsidRPr="0083017F" w:rsidRDefault="0028126A" w:rsidP="00A72C5E">
            <w:pPr>
              <w:pStyle w:val="NoSpacing"/>
              <w:jc w:val="center"/>
              <w:rPr>
                <w:noProof/>
                <w:sz w:val="22"/>
                <w:szCs w:val="22"/>
              </w:rPr>
            </w:pPr>
            <w:r w:rsidRPr="0083017F">
              <w:rPr>
                <w:noProof/>
                <w:sz w:val="22"/>
                <w:szCs w:val="22"/>
              </w:rPr>
              <w:t>blister, 1x</w:t>
            </w:r>
            <w:r w:rsidR="0097639F" w:rsidRPr="0083017F">
              <w:rPr>
                <w:noProof/>
                <w:sz w:val="22"/>
                <w:szCs w:val="22"/>
              </w:rPr>
              <w:t>7 film tableta</w:t>
            </w:r>
          </w:p>
          <w:p w:rsidR="0097639F" w:rsidRPr="0083017F" w:rsidRDefault="0097639F" w:rsidP="00B947F2">
            <w:pPr>
              <w:pStyle w:val="NoSpacing"/>
              <w:jc w:val="both"/>
              <w:rPr>
                <w:noProof/>
                <w:sz w:val="22"/>
                <w:szCs w:val="22"/>
              </w:rPr>
            </w:pPr>
          </w:p>
          <w:p w:rsidR="0097639F" w:rsidRPr="0083017F" w:rsidRDefault="0097639F" w:rsidP="00B947F2">
            <w:pPr>
              <w:pStyle w:val="NoSpacing"/>
              <w:jc w:val="both"/>
              <w:rPr>
                <w:noProof/>
                <w:sz w:val="22"/>
                <w:szCs w:val="22"/>
              </w:rPr>
            </w:pPr>
          </w:p>
          <w:p w:rsidR="0097639F" w:rsidRPr="0083017F" w:rsidRDefault="0097639F" w:rsidP="00B947F2">
            <w:pPr>
              <w:pStyle w:val="NoSpacing"/>
              <w:jc w:val="both"/>
              <w:rPr>
                <w:noProof/>
                <w:sz w:val="22"/>
                <w:szCs w:val="22"/>
              </w:rPr>
            </w:pPr>
          </w:p>
          <w:p w:rsidR="0097639F" w:rsidRPr="0083017F" w:rsidRDefault="0097639F" w:rsidP="00B947F2">
            <w:pPr>
              <w:pStyle w:val="NoSpacing"/>
              <w:jc w:val="both"/>
              <w:rPr>
                <w:noProof/>
                <w:sz w:val="22"/>
                <w:szCs w:val="22"/>
              </w:rPr>
            </w:pPr>
          </w:p>
          <w:p w:rsidR="0097639F" w:rsidRPr="0083017F" w:rsidRDefault="0097639F" w:rsidP="00B947F2">
            <w:pPr>
              <w:pStyle w:val="NoSpacing"/>
              <w:jc w:val="both"/>
              <w:rPr>
                <w:noProof/>
                <w:sz w:val="22"/>
                <w:szCs w:val="22"/>
              </w:rPr>
            </w:pPr>
          </w:p>
          <w:p w:rsidR="00493F1E" w:rsidRPr="0083017F" w:rsidRDefault="00493F1E" w:rsidP="00B947F2">
            <w:pPr>
              <w:pStyle w:val="NoSpacing"/>
              <w:jc w:val="both"/>
              <w:rPr>
                <w:noProof/>
                <w:sz w:val="22"/>
                <w:szCs w:val="22"/>
              </w:rPr>
            </w:pPr>
          </w:p>
          <w:p w:rsidR="00493F1E" w:rsidRPr="0083017F" w:rsidRDefault="00493F1E" w:rsidP="00B947F2">
            <w:pPr>
              <w:pStyle w:val="NoSpacing"/>
              <w:jc w:val="both"/>
              <w:rPr>
                <w:noProof/>
                <w:sz w:val="22"/>
                <w:szCs w:val="22"/>
              </w:rPr>
            </w:pPr>
          </w:p>
        </w:tc>
      </w:tr>
      <w:tr w:rsidR="0097639F" w:rsidRPr="0083017F" w:rsidTr="00EC4B06">
        <w:trPr>
          <w:trHeight w:val="1130"/>
          <w:jc w:val="center"/>
        </w:trPr>
        <w:tc>
          <w:tcPr>
            <w:tcW w:w="2160" w:type="dxa"/>
          </w:tcPr>
          <w:p w:rsidR="0097639F" w:rsidRPr="0083017F" w:rsidRDefault="0097639F" w:rsidP="00B947F2">
            <w:pPr>
              <w:pStyle w:val="NoSpacing"/>
              <w:jc w:val="both"/>
              <w:rPr>
                <w:noProof/>
                <w:sz w:val="22"/>
                <w:szCs w:val="22"/>
              </w:rPr>
            </w:pPr>
            <w:r w:rsidRPr="0083017F">
              <w:rPr>
                <w:noProof/>
                <w:sz w:val="22"/>
                <w:szCs w:val="22"/>
                <w:lang w:val="sr-Latn-CS"/>
              </w:rPr>
              <w:t>Proizvođač:</w:t>
            </w:r>
          </w:p>
        </w:tc>
        <w:tc>
          <w:tcPr>
            <w:tcW w:w="7200" w:type="dxa"/>
          </w:tcPr>
          <w:p w:rsidR="0097639F" w:rsidRPr="0083017F" w:rsidRDefault="0097639F" w:rsidP="00B947F2">
            <w:pPr>
              <w:pStyle w:val="NoSpacing"/>
              <w:jc w:val="both"/>
              <w:rPr>
                <w:noProof/>
                <w:sz w:val="22"/>
                <w:szCs w:val="22"/>
              </w:rPr>
            </w:pPr>
            <w:r w:rsidRPr="0083017F">
              <w:rPr>
                <w:noProof/>
                <w:sz w:val="22"/>
                <w:szCs w:val="22"/>
              </w:rPr>
              <w:t>KRKA, d.d., Novo mesto</w:t>
            </w:r>
          </w:p>
          <w:p w:rsidR="0097639F" w:rsidRPr="0083017F" w:rsidRDefault="0097639F" w:rsidP="00B947F2">
            <w:pPr>
              <w:pStyle w:val="NoSpacing"/>
              <w:jc w:val="both"/>
              <w:rPr>
                <w:noProof/>
                <w:sz w:val="22"/>
                <w:szCs w:val="22"/>
              </w:rPr>
            </w:pPr>
            <w:r w:rsidRPr="0083017F">
              <w:rPr>
                <w:noProof/>
                <w:sz w:val="22"/>
                <w:szCs w:val="22"/>
              </w:rPr>
              <w:t>TAD Pharma GmbH</w:t>
            </w:r>
          </w:p>
          <w:p w:rsidR="0097639F" w:rsidRPr="0083017F" w:rsidRDefault="0097639F" w:rsidP="00B947F2">
            <w:pPr>
              <w:pStyle w:val="NoSpacing"/>
              <w:jc w:val="both"/>
              <w:rPr>
                <w:sz w:val="22"/>
                <w:szCs w:val="22"/>
              </w:rPr>
            </w:pPr>
            <w:r w:rsidRPr="0083017F">
              <w:rPr>
                <w:sz w:val="22"/>
                <w:szCs w:val="22"/>
              </w:rPr>
              <w:t>KRKA-FARMA d.o.o.</w:t>
            </w:r>
          </w:p>
        </w:tc>
      </w:tr>
      <w:tr w:rsidR="0097639F" w:rsidRPr="0083017F" w:rsidTr="00EC4B06">
        <w:trPr>
          <w:trHeight w:val="624"/>
          <w:jc w:val="center"/>
        </w:trPr>
        <w:tc>
          <w:tcPr>
            <w:tcW w:w="2160" w:type="dxa"/>
          </w:tcPr>
          <w:p w:rsidR="0097639F" w:rsidRPr="0083017F" w:rsidRDefault="0097639F" w:rsidP="00B947F2">
            <w:pPr>
              <w:pStyle w:val="NoSpacing"/>
              <w:jc w:val="both"/>
              <w:rPr>
                <w:noProof/>
                <w:sz w:val="22"/>
                <w:szCs w:val="22"/>
              </w:rPr>
            </w:pPr>
            <w:r w:rsidRPr="0083017F">
              <w:rPr>
                <w:noProof/>
                <w:sz w:val="22"/>
                <w:szCs w:val="22"/>
              </w:rPr>
              <w:t>Adresa:</w:t>
            </w:r>
          </w:p>
        </w:tc>
        <w:tc>
          <w:tcPr>
            <w:tcW w:w="7200" w:type="dxa"/>
          </w:tcPr>
          <w:p w:rsidR="0097639F" w:rsidRPr="0083017F" w:rsidRDefault="0097639F" w:rsidP="00B947F2">
            <w:pPr>
              <w:pStyle w:val="NoSpacing"/>
              <w:jc w:val="both"/>
              <w:rPr>
                <w:noProof/>
                <w:sz w:val="22"/>
                <w:szCs w:val="22"/>
              </w:rPr>
            </w:pPr>
            <w:r w:rsidRPr="0083017F">
              <w:rPr>
                <w:noProof/>
                <w:sz w:val="22"/>
                <w:szCs w:val="22"/>
              </w:rPr>
              <w:t>Šmarješka cesta 6, 8501 Novo mesto, Slovenija</w:t>
            </w:r>
          </w:p>
          <w:p w:rsidR="0097639F" w:rsidRPr="0083017F" w:rsidRDefault="0097639F" w:rsidP="00B947F2">
            <w:pPr>
              <w:pStyle w:val="NoSpacing"/>
              <w:jc w:val="both"/>
              <w:rPr>
                <w:noProof/>
                <w:sz w:val="22"/>
                <w:szCs w:val="22"/>
              </w:rPr>
            </w:pPr>
            <w:r w:rsidRPr="0083017F">
              <w:rPr>
                <w:noProof/>
                <w:sz w:val="22"/>
                <w:szCs w:val="22"/>
              </w:rPr>
              <w:t>Heinz-Lohmann-Strasse 5, 27472 Cuxhaven, Njemačka</w:t>
            </w:r>
          </w:p>
          <w:p w:rsidR="0097639F" w:rsidRPr="0083017F" w:rsidRDefault="0097639F" w:rsidP="00B947F2">
            <w:pPr>
              <w:pStyle w:val="NoSpacing"/>
              <w:jc w:val="both"/>
              <w:rPr>
                <w:noProof/>
                <w:sz w:val="22"/>
                <w:szCs w:val="22"/>
              </w:rPr>
            </w:pPr>
            <w:r w:rsidRPr="0083017F">
              <w:rPr>
                <w:sz w:val="22"/>
                <w:szCs w:val="22"/>
                <w:lang w:val="hu-HU"/>
              </w:rPr>
              <w:t>V. Holjevca 20/E</w:t>
            </w:r>
            <w:r w:rsidRPr="0083017F">
              <w:rPr>
                <w:sz w:val="22"/>
                <w:szCs w:val="22"/>
              </w:rPr>
              <w:t xml:space="preserve">, </w:t>
            </w:r>
            <w:r w:rsidRPr="0083017F">
              <w:rPr>
                <w:color w:val="000000"/>
                <w:sz w:val="22"/>
                <w:szCs w:val="22"/>
              </w:rPr>
              <w:t xml:space="preserve">10450 </w:t>
            </w:r>
            <w:r w:rsidRPr="0083017F">
              <w:rPr>
                <w:sz w:val="22"/>
                <w:szCs w:val="22"/>
              </w:rPr>
              <w:t xml:space="preserve">Jastrebarsko, </w:t>
            </w:r>
            <w:r w:rsidRPr="0083017F">
              <w:rPr>
                <w:color w:val="000000"/>
                <w:sz w:val="22"/>
                <w:szCs w:val="22"/>
              </w:rPr>
              <w:t>Hrvatska</w:t>
            </w:r>
          </w:p>
        </w:tc>
      </w:tr>
      <w:tr w:rsidR="0097639F" w:rsidRPr="0083017F" w:rsidTr="00EC4B06">
        <w:trPr>
          <w:trHeight w:val="624"/>
          <w:jc w:val="center"/>
        </w:trPr>
        <w:tc>
          <w:tcPr>
            <w:tcW w:w="2160" w:type="dxa"/>
            <w:vAlign w:val="center"/>
          </w:tcPr>
          <w:p w:rsidR="0097639F" w:rsidRPr="0083017F" w:rsidRDefault="0097639F" w:rsidP="00B947F2">
            <w:pPr>
              <w:pStyle w:val="NoSpacing"/>
              <w:jc w:val="both"/>
              <w:rPr>
                <w:noProof/>
                <w:sz w:val="22"/>
                <w:szCs w:val="22"/>
              </w:rPr>
            </w:pPr>
            <w:r w:rsidRPr="0083017F">
              <w:rPr>
                <w:noProof/>
                <w:sz w:val="22"/>
                <w:szCs w:val="22"/>
                <w:lang w:val="sr-Latn-CS"/>
              </w:rPr>
              <w:t>Podnosilac zahtjeva</w:t>
            </w:r>
            <w:r w:rsidRPr="0083017F">
              <w:rPr>
                <w:noProof/>
                <w:sz w:val="22"/>
                <w:szCs w:val="22"/>
              </w:rPr>
              <w:t>:</w:t>
            </w:r>
          </w:p>
        </w:tc>
        <w:tc>
          <w:tcPr>
            <w:tcW w:w="7200" w:type="dxa"/>
            <w:vAlign w:val="center"/>
          </w:tcPr>
          <w:p w:rsidR="0097639F" w:rsidRPr="0083017F" w:rsidRDefault="0097639F" w:rsidP="00B947F2">
            <w:pPr>
              <w:pStyle w:val="NoSpacing"/>
              <w:jc w:val="both"/>
              <w:rPr>
                <w:noProof/>
                <w:sz w:val="22"/>
                <w:szCs w:val="22"/>
                <w:lang w:val="hr-HR"/>
              </w:rPr>
            </w:pPr>
            <w:r w:rsidRPr="0083017F">
              <w:rPr>
                <w:noProof/>
                <w:sz w:val="22"/>
                <w:szCs w:val="22"/>
                <w:lang w:val="hr-HR"/>
              </w:rPr>
              <w:t>DSD „KRKA, d.d., Novo mesto“ - predstavništvo Podgorica</w:t>
            </w:r>
          </w:p>
        </w:tc>
      </w:tr>
      <w:tr w:rsidR="0097639F" w:rsidRPr="0083017F" w:rsidTr="00EC4B06">
        <w:trPr>
          <w:trHeight w:val="624"/>
          <w:jc w:val="center"/>
        </w:trPr>
        <w:tc>
          <w:tcPr>
            <w:tcW w:w="2160" w:type="dxa"/>
            <w:vAlign w:val="center"/>
          </w:tcPr>
          <w:p w:rsidR="0097639F" w:rsidRPr="0083017F" w:rsidRDefault="0097639F" w:rsidP="00B947F2">
            <w:pPr>
              <w:pStyle w:val="NoSpacing"/>
              <w:jc w:val="both"/>
              <w:rPr>
                <w:noProof/>
                <w:sz w:val="22"/>
                <w:szCs w:val="22"/>
              </w:rPr>
            </w:pPr>
            <w:r w:rsidRPr="0083017F">
              <w:rPr>
                <w:noProof/>
                <w:sz w:val="22"/>
                <w:szCs w:val="22"/>
                <w:lang w:val="sr-Latn-CS"/>
              </w:rPr>
              <w:t>Adresa:</w:t>
            </w:r>
          </w:p>
        </w:tc>
        <w:tc>
          <w:tcPr>
            <w:tcW w:w="7200" w:type="dxa"/>
            <w:vAlign w:val="center"/>
          </w:tcPr>
          <w:p w:rsidR="0097639F" w:rsidRPr="0083017F" w:rsidRDefault="0097639F" w:rsidP="00B947F2">
            <w:pPr>
              <w:pStyle w:val="NoSpacing"/>
              <w:jc w:val="both"/>
              <w:rPr>
                <w:noProof/>
                <w:sz w:val="22"/>
                <w:szCs w:val="22"/>
              </w:rPr>
            </w:pPr>
            <w:r w:rsidRPr="0083017F">
              <w:rPr>
                <w:noProof/>
                <w:sz w:val="22"/>
                <w:szCs w:val="22"/>
              </w:rPr>
              <w:t>Svetlane Kane Radević br. 3, 81000 Podgorica, Crna Gora</w:t>
            </w:r>
          </w:p>
        </w:tc>
      </w:tr>
    </w:tbl>
    <w:p w:rsidR="00493F1E" w:rsidRPr="0083017F" w:rsidRDefault="00493F1E" w:rsidP="00B947F2">
      <w:pPr>
        <w:jc w:val="both"/>
        <w:rPr>
          <w:rFonts w:ascii="Times New Roman" w:eastAsia="Times New Roman" w:hAnsi="Times New Roman" w:cs="Times New Roman"/>
          <w:noProof/>
        </w:rPr>
      </w:pPr>
      <w:bookmarkStart w:id="0" w:name="Tab"/>
      <w:bookmarkEnd w:id="0"/>
    </w:p>
    <w:p w:rsidR="00A72C5E" w:rsidRPr="0083017F" w:rsidRDefault="00A72C5E" w:rsidP="00B947F2">
      <w:pPr>
        <w:jc w:val="both"/>
        <w:rPr>
          <w:rFonts w:ascii="Times New Roman" w:eastAsia="Times New Roman" w:hAnsi="Times New Roman" w:cs="Times New Roman"/>
          <w:noProof/>
        </w:rPr>
      </w:pPr>
    </w:p>
    <w:p w:rsidR="00A72C5E" w:rsidRPr="0083017F" w:rsidRDefault="00A72C5E" w:rsidP="00B947F2">
      <w:pPr>
        <w:jc w:val="both"/>
        <w:rPr>
          <w:rFonts w:ascii="Times New Roman" w:eastAsia="Times New Roman" w:hAnsi="Times New Roman" w:cs="Times New Roman"/>
          <w:noProof/>
        </w:rPr>
      </w:pPr>
    </w:p>
    <w:p w:rsidR="00A72C5E" w:rsidRPr="0083017F" w:rsidRDefault="00A72C5E" w:rsidP="00B947F2">
      <w:pPr>
        <w:jc w:val="both"/>
        <w:rPr>
          <w:rFonts w:ascii="Times New Roman" w:eastAsia="Times New Roman" w:hAnsi="Times New Roman" w:cs="Times New Roman"/>
          <w:noProof/>
        </w:rPr>
      </w:pPr>
    </w:p>
    <w:p w:rsidR="00A72C5E" w:rsidRPr="0083017F" w:rsidRDefault="00A72C5E" w:rsidP="00B947F2">
      <w:pPr>
        <w:jc w:val="both"/>
        <w:rPr>
          <w:rFonts w:ascii="Times New Roman" w:eastAsia="Times New Roman" w:hAnsi="Times New Roman" w:cs="Times New Roman"/>
          <w:noProof/>
        </w:rPr>
      </w:pPr>
    </w:p>
    <w:p w:rsidR="0097639F" w:rsidRPr="0083017F" w:rsidRDefault="0028126A" w:rsidP="00B947F2">
      <w:pPr>
        <w:pStyle w:val="NoSpacing"/>
        <w:jc w:val="both"/>
        <w:rPr>
          <w:b/>
          <w:sz w:val="22"/>
          <w:szCs w:val="22"/>
          <w:lang w:val="hr-HR"/>
        </w:rPr>
      </w:pPr>
      <w:r w:rsidRPr="0083017F">
        <w:rPr>
          <w:b/>
          <w:bCs/>
          <w:iCs/>
          <w:noProof/>
          <w:sz w:val="22"/>
          <w:szCs w:val="22"/>
          <w:lang w:val="hr-HR"/>
        </w:rPr>
        <w:lastRenderedPageBreak/>
        <w:t xml:space="preserve">1. </w:t>
      </w:r>
      <w:r w:rsidR="0097639F" w:rsidRPr="0083017F">
        <w:rPr>
          <w:b/>
          <w:sz w:val="22"/>
          <w:szCs w:val="22"/>
          <w:lang w:val="hr-HR"/>
        </w:rPr>
        <w:t>NAZIV LIJEKA</w:t>
      </w:r>
    </w:p>
    <w:p w:rsidR="0097639F" w:rsidRPr="0083017F" w:rsidRDefault="0097639F" w:rsidP="00B947F2">
      <w:pPr>
        <w:pStyle w:val="NoSpacing"/>
        <w:jc w:val="both"/>
        <w:rPr>
          <w:iCs/>
          <w:sz w:val="22"/>
          <w:szCs w:val="22"/>
          <w:lang w:val="hr-HR"/>
        </w:rPr>
      </w:pPr>
    </w:p>
    <w:p w:rsidR="0097639F" w:rsidRPr="0083017F" w:rsidRDefault="0097639F" w:rsidP="00B947F2">
      <w:pPr>
        <w:pStyle w:val="NoSpacing"/>
        <w:jc w:val="both"/>
        <w:rPr>
          <w:noProof/>
          <w:sz w:val="22"/>
          <w:szCs w:val="22"/>
          <w:lang w:val="hr-HR"/>
        </w:rPr>
      </w:pPr>
      <w:r w:rsidRPr="0083017F">
        <w:rPr>
          <w:color w:val="000000"/>
          <w:sz w:val="22"/>
          <w:szCs w:val="22"/>
          <w:lang w:val="sr-Latn-ME"/>
        </w:rPr>
        <w:t>Δ</w:t>
      </w:r>
      <w:r w:rsidRPr="0083017F">
        <w:rPr>
          <w:noProof/>
          <w:sz w:val="22"/>
          <w:szCs w:val="22"/>
          <w:lang w:val="hr-HR"/>
        </w:rPr>
        <w:t xml:space="preserve"> Moloxin</w:t>
      </w:r>
      <w:r w:rsidRPr="0083017F">
        <w:rPr>
          <w:noProof/>
          <w:sz w:val="22"/>
          <w:szCs w:val="22"/>
          <w:vertAlign w:val="superscript"/>
          <w:lang w:val="hr-HR"/>
        </w:rPr>
        <w:t>®</w:t>
      </w:r>
      <w:r w:rsidR="0028126A" w:rsidRPr="0083017F">
        <w:rPr>
          <w:noProof/>
          <w:sz w:val="22"/>
          <w:szCs w:val="22"/>
          <w:lang w:val="hr-HR"/>
        </w:rPr>
        <w:t xml:space="preserve"> </w:t>
      </w:r>
      <w:r w:rsidR="005B249E" w:rsidRPr="0083017F">
        <w:rPr>
          <w:noProof/>
          <w:sz w:val="22"/>
          <w:szCs w:val="22"/>
          <w:lang w:val="hr-HR"/>
        </w:rPr>
        <w:t>400 mg</w:t>
      </w:r>
      <w:r w:rsidRPr="0083017F">
        <w:rPr>
          <w:noProof/>
          <w:sz w:val="22"/>
          <w:szCs w:val="22"/>
          <w:lang w:val="hr-HR"/>
        </w:rPr>
        <w:t xml:space="preserve"> film tableta</w:t>
      </w:r>
    </w:p>
    <w:p w:rsidR="0097639F" w:rsidRPr="0083017F" w:rsidRDefault="0097639F" w:rsidP="00B947F2">
      <w:pPr>
        <w:pStyle w:val="NoSpacing"/>
        <w:jc w:val="both"/>
        <w:rPr>
          <w:noProof/>
          <w:sz w:val="22"/>
          <w:szCs w:val="22"/>
          <w:lang w:val="hr-HR"/>
        </w:rPr>
      </w:pPr>
    </w:p>
    <w:p w:rsidR="0097639F" w:rsidRPr="0083017F" w:rsidRDefault="0097639F" w:rsidP="00B947F2">
      <w:pPr>
        <w:pStyle w:val="NoSpacing"/>
        <w:jc w:val="both"/>
        <w:rPr>
          <w:noProof/>
          <w:sz w:val="22"/>
          <w:szCs w:val="22"/>
          <w:lang w:val="hr-HR"/>
        </w:rPr>
      </w:pPr>
      <w:r w:rsidRPr="0083017F">
        <w:rPr>
          <w:noProof/>
          <w:sz w:val="22"/>
          <w:szCs w:val="22"/>
          <w:lang w:val="hr-HR"/>
        </w:rPr>
        <w:t>INN: moksifloksacin</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p>
    <w:p w:rsidR="0097639F" w:rsidRPr="0083017F" w:rsidRDefault="0028126A" w:rsidP="00B947F2">
      <w:pPr>
        <w:pStyle w:val="NoSpacing"/>
        <w:jc w:val="both"/>
        <w:rPr>
          <w:sz w:val="22"/>
          <w:szCs w:val="22"/>
          <w:lang w:val="hr-HR"/>
        </w:rPr>
      </w:pPr>
      <w:r w:rsidRPr="0083017F">
        <w:rPr>
          <w:b/>
          <w:sz w:val="22"/>
          <w:szCs w:val="22"/>
          <w:lang w:val="hr-HR"/>
        </w:rPr>
        <w:t>2</w:t>
      </w:r>
      <w:r w:rsidRPr="0083017F">
        <w:rPr>
          <w:sz w:val="22"/>
          <w:szCs w:val="22"/>
          <w:lang w:val="hr-HR"/>
        </w:rPr>
        <w:t xml:space="preserve">. </w:t>
      </w:r>
      <w:r w:rsidR="0097639F" w:rsidRPr="0083017F">
        <w:rPr>
          <w:b/>
          <w:sz w:val="22"/>
          <w:szCs w:val="22"/>
          <w:lang w:val="hr-HR"/>
        </w:rPr>
        <w:t>KVALITATIVNI I KVANTITATIVNI SASTAV</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Jedna film tableta</w:t>
      </w:r>
      <w:r w:rsidR="0028126A" w:rsidRPr="0083017F">
        <w:rPr>
          <w:sz w:val="22"/>
          <w:szCs w:val="22"/>
          <w:lang w:val="hr-HR"/>
        </w:rPr>
        <w:t xml:space="preserve"> sadrži </w:t>
      </w:r>
      <w:r w:rsidR="005B249E" w:rsidRPr="0083017F">
        <w:rPr>
          <w:sz w:val="22"/>
          <w:szCs w:val="22"/>
          <w:lang w:val="hr-HR"/>
        </w:rPr>
        <w:t>400 mg</w:t>
      </w:r>
      <w:r w:rsidRPr="0083017F">
        <w:rPr>
          <w:sz w:val="22"/>
          <w:szCs w:val="22"/>
          <w:lang w:val="hr-HR"/>
        </w:rPr>
        <w:t xml:space="preserve"> moksifloksacina u obliku moksifloksacin hidrohlorida.</w:t>
      </w:r>
    </w:p>
    <w:p w:rsidR="0097639F" w:rsidRPr="0083017F" w:rsidRDefault="0097639F" w:rsidP="00B947F2">
      <w:pPr>
        <w:pStyle w:val="NoSpacing"/>
        <w:jc w:val="both"/>
        <w:rPr>
          <w:bCs/>
          <w:noProof/>
          <w:sz w:val="22"/>
          <w:szCs w:val="22"/>
          <w:lang w:val="hr-HR"/>
        </w:rPr>
      </w:pPr>
    </w:p>
    <w:p w:rsidR="0097639F" w:rsidRPr="0083017F" w:rsidRDefault="0097639F" w:rsidP="00B947F2">
      <w:pPr>
        <w:pStyle w:val="NoSpacing"/>
        <w:jc w:val="both"/>
        <w:rPr>
          <w:noProof/>
          <w:sz w:val="22"/>
          <w:szCs w:val="22"/>
          <w:lang w:val="hr-HR"/>
        </w:rPr>
      </w:pPr>
      <w:r w:rsidRPr="0083017F">
        <w:rPr>
          <w:noProof/>
          <w:sz w:val="22"/>
          <w:szCs w:val="22"/>
          <w:lang w:val="hr-HR"/>
        </w:rPr>
        <w:t>Za kompletan spisak pomoćnih supstanci vidjeti odjeljak 6.1.</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p>
    <w:p w:rsidR="0097639F" w:rsidRPr="0083017F" w:rsidRDefault="0028126A" w:rsidP="00B947F2">
      <w:pPr>
        <w:pStyle w:val="NoSpacing"/>
        <w:jc w:val="both"/>
        <w:rPr>
          <w:b/>
          <w:caps/>
          <w:sz w:val="22"/>
          <w:szCs w:val="22"/>
          <w:lang w:val="hr-HR"/>
        </w:rPr>
      </w:pPr>
      <w:r w:rsidRPr="0083017F">
        <w:rPr>
          <w:b/>
          <w:sz w:val="22"/>
          <w:szCs w:val="22"/>
          <w:lang w:val="hr-HR"/>
        </w:rPr>
        <w:t xml:space="preserve">3. </w:t>
      </w:r>
      <w:r w:rsidR="0097639F" w:rsidRPr="0083017F">
        <w:rPr>
          <w:b/>
          <w:sz w:val="22"/>
          <w:szCs w:val="22"/>
          <w:lang w:val="hr-HR"/>
        </w:rPr>
        <w:t>FARMACEUTSKI OBLIK</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noProof/>
          <w:sz w:val="22"/>
          <w:szCs w:val="22"/>
          <w:lang w:val="hr-HR"/>
        </w:rPr>
      </w:pPr>
      <w:r w:rsidRPr="0083017F">
        <w:rPr>
          <w:noProof/>
          <w:sz w:val="22"/>
          <w:szCs w:val="22"/>
          <w:lang w:val="hr-HR"/>
        </w:rPr>
        <w:t>Film tableta.</w:t>
      </w:r>
    </w:p>
    <w:p w:rsidR="0097639F" w:rsidRPr="0083017F" w:rsidRDefault="0097639F" w:rsidP="00B947F2">
      <w:pPr>
        <w:pStyle w:val="NoSpacing"/>
        <w:jc w:val="both"/>
        <w:rPr>
          <w:noProof/>
          <w:sz w:val="22"/>
          <w:szCs w:val="22"/>
          <w:lang w:val="hr-HR"/>
        </w:rPr>
      </w:pPr>
    </w:p>
    <w:p w:rsidR="0097639F" w:rsidRPr="0083017F" w:rsidRDefault="0097639F" w:rsidP="00B947F2">
      <w:pPr>
        <w:pStyle w:val="NoSpacing"/>
        <w:jc w:val="both"/>
        <w:rPr>
          <w:noProof/>
          <w:sz w:val="22"/>
          <w:szCs w:val="22"/>
          <w:lang w:val="hr-HR"/>
        </w:rPr>
      </w:pPr>
      <w:r w:rsidRPr="0083017F">
        <w:rPr>
          <w:sz w:val="22"/>
          <w:szCs w:val="22"/>
          <w:lang w:val="hr-HR"/>
        </w:rPr>
        <w:t>Film tablete su tamno ružičaste, bikonveksne, tablete oblika kapsule dimenzija: duž</w:t>
      </w:r>
      <w:r w:rsidR="0028126A" w:rsidRPr="0083017F">
        <w:rPr>
          <w:sz w:val="22"/>
          <w:szCs w:val="22"/>
          <w:lang w:val="hr-HR"/>
        </w:rPr>
        <w:t>ina 15,9</w:t>
      </w:r>
      <w:r w:rsidR="005B249E" w:rsidRPr="0083017F">
        <w:rPr>
          <w:sz w:val="22"/>
          <w:szCs w:val="22"/>
          <w:lang w:val="hr-HR"/>
        </w:rPr>
        <w:t xml:space="preserve"> </w:t>
      </w:r>
      <w:r w:rsidRPr="0083017F">
        <w:rPr>
          <w:sz w:val="22"/>
          <w:szCs w:val="22"/>
          <w:lang w:val="hr-HR"/>
        </w:rPr>
        <w:t xml:space="preserve">mm – </w:t>
      </w:r>
      <w:r w:rsidR="0028126A" w:rsidRPr="0083017F">
        <w:rPr>
          <w:sz w:val="22"/>
          <w:szCs w:val="22"/>
          <w:lang w:val="hr-HR"/>
        </w:rPr>
        <w:t>16,6</w:t>
      </w:r>
      <w:r w:rsidR="005B249E" w:rsidRPr="0083017F">
        <w:rPr>
          <w:sz w:val="22"/>
          <w:szCs w:val="22"/>
          <w:lang w:val="hr-HR"/>
        </w:rPr>
        <w:t xml:space="preserve"> </w:t>
      </w:r>
      <w:r w:rsidR="0028126A" w:rsidRPr="0083017F">
        <w:rPr>
          <w:sz w:val="22"/>
          <w:szCs w:val="22"/>
          <w:lang w:val="hr-HR"/>
        </w:rPr>
        <w:t>mm i debljina 5,8</w:t>
      </w:r>
      <w:r w:rsidR="005B249E" w:rsidRPr="0083017F">
        <w:rPr>
          <w:sz w:val="22"/>
          <w:szCs w:val="22"/>
          <w:lang w:val="hr-HR"/>
        </w:rPr>
        <w:t xml:space="preserve"> </w:t>
      </w:r>
      <w:r w:rsidR="0028126A" w:rsidRPr="0083017F">
        <w:rPr>
          <w:sz w:val="22"/>
          <w:szCs w:val="22"/>
          <w:lang w:val="hr-HR"/>
        </w:rPr>
        <w:t>mm – 7,0</w:t>
      </w:r>
      <w:r w:rsidR="005B249E" w:rsidRPr="0083017F">
        <w:rPr>
          <w:sz w:val="22"/>
          <w:szCs w:val="22"/>
          <w:lang w:val="hr-HR"/>
        </w:rPr>
        <w:t xml:space="preserve"> </w:t>
      </w:r>
      <w:r w:rsidRPr="0083017F">
        <w:rPr>
          <w:sz w:val="22"/>
          <w:szCs w:val="22"/>
          <w:lang w:val="hr-HR"/>
        </w:rPr>
        <w:t>mm.</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i/>
          <w:sz w:val="22"/>
          <w:szCs w:val="22"/>
          <w:lang w:val="hr-HR"/>
        </w:rPr>
      </w:pPr>
    </w:p>
    <w:p w:rsidR="0097639F" w:rsidRPr="0083017F" w:rsidRDefault="0028126A" w:rsidP="00B947F2">
      <w:pPr>
        <w:pStyle w:val="NoSpacing"/>
        <w:jc w:val="both"/>
        <w:rPr>
          <w:b/>
          <w:caps/>
          <w:sz w:val="22"/>
          <w:szCs w:val="22"/>
          <w:lang w:val="hr-HR"/>
        </w:rPr>
      </w:pPr>
      <w:r w:rsidRPr="0083017F">
        <w:rPr>
          <w:b/>
          <w:caps/>
          <w:sz w:val="22"/>
          <w:szCs w:val="22"/>
          <w:lang w:val="hr-HR"/>
        </w:rPr>
        <w:t xml:space="preserve">4. </w:t>
      </w:r>
      <w:r w:rsidR="0097639F" w:rsidRPr="0083017F">
        <w:rPr>
          <w:b/>
          <w:caps/>
          <w:sz w:val="22"/>
          <w:szCs w:val="22"/>
          <w:lang w:val="hr-HR"/>
        </w:rPr>
        <w:t>KLINIČKI PODACI</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b/>
          <w:sz w:val="22"/>
          <w:szCs w:val="22"/>
          <w:lang w:val="hr-HR"/>
        </w:rPr>
      </w:pPr>
      <w:r w:rsidRPr="0083017F">
        <w:rPr>
          <w:b/>
          <w:sz w:val="22"/>
          <w:szCs w:val="22"/>
          <w:lang w:val="hr-HR"/>
        </w:rPr>
        <w:t>4.1.</w:t>
      </w:r>
      <w:r w:rsidR="0028126A" w:rsidRPr="0083017F">
        <w:rPr>
          <w:b/>
          <w:sz w:val="22"/>
          <w:szCs w:val="22"/>
          <w:lang w:val="hr-HR"/>
        </w:rPr>
        <w:t xml:space="preserve"> </w:t>
      </w:r>
      <w:r w:rsidRPr="0083017F">
        <w:rPr>
          <w:b/>
          <w:sz w:val="22"/>
          <w:szCs w:val="22"/>
          <w:lang w:val="hr-HR"/>
        </w:rPr>
        <w:t>Terapijske indikacije</w:t>
      </w:r>
    </w:p>
    <w:p w:rsidR="0097639F" w:rsidRPr="0083017F" w:rsidRDefault="0097639F" w:rsidP="00B947F2">
      <w:pPr>
        <w:pStyle w:val="NoSpacing"/>
        <w:jc w:val="both"/>
        <w:rPr>
          <w:sz w:val="22"/>
          <w:szCs w:val="22"/>
          <w:lang w:val="hr-HR"/>
        </w:rPr>
      </w:pPr>
    </w:p>
    <w:p w:rsidR="005B249E" w:rsidRPr="0083017F" w:rsidRDefault="0097639F" w:rsidP="00B947F2">
      <w:pPr>
        <w:pStyle w:val="NoSpacing"/>
        <w:jc w:val="both"/>
        <w:rPr>
          <w:sz w:val="22"/>
          <w:szCs w:val="22"/>
          <w:lang w:val="hr-HR"/>
        </w:rPr>
      </w:pPr>
      <w:r w:rsidRPr="0083017F">
        <w:rPr>
          <w:sz w:val="22"/>
          <w:szCs w:val="22"/>
          <w:lang w:val="hr-HR"/>
        </w:rPr>
        <w:t>Mo</w:t>
      </w:r>
      <w:r w:rsidR="0028126A" w:rsidRPr="0083017F">
        <w:rPr>
          <w:sz w:val="22"/>
          <w:szCs w:val="22"/>
          <w:lang w:val="hr-HR"/>
        </w:rPr>
        <w:t xml:space="preserve">loxin </w:t>
      </w:r>
      <w:r w:rsidR="005B249E" w:rsidRPr="0083017F">
        <w:rPr>
          <w:sz w:val="22"/>
          <w:szCs w:val="22"/>
          <w:lang w:val="hr-HR"/>
        </w:rPr>
        <w:t>400 mg</w:t>
      </w:r>
      <w:r w:rsidRPr="0083017F">
        <w:rPr>
          <w:sz w:val="22"/>
          <w:szCs w:val="22"/>
          <w:lang w:val="hr-HR"/>
        </w:rPr>
        <w:t xml:space="preserve"> film tablete namijenjene su za liječenje sljedećih bakte</w:t>
      </w:r>
      <w:r w:rsidR="0028126A" w:rsidRPr="0083017F">
        <w:rPr>
          <w:sz w:val="22"/>
          <w:szCs w:val="22"/>
          <w:lang w:val="hr-HR"/>
        </w:rPr>
        <w:t>rijskih infekcija kod pacijenata</w:t>
      </w:r>
      <w:r w:rsidRPr="0083017F">
        <w:rPr>
          <w:sz w:val="22"/>
          <w:szCs w:val="22"/>
          <w:lang w:val="hr-HR"/>
        </w:rPr>
        <w:t xml:space="preserve"> od 18 godina i starijih uzrokovanih bakterijama osjetljivim na moksifloksacin (vidjeti djelove 4.4, 4.8 i 5.1). Moksifloksacin se mora primijeniti samo onda kada se primjena antibakterijskih ljekova koji se uobičajeno preporučuju za početno liječenje ovih infekcija smatra neprikladnom ili kad takvo liječenje nije bilo efikasno:</w:t>
      </w:r>
    </w:p>
    <w:p w:rsidR="0097639F" w:rsidRPr="0083017F" w:rsidRDefault="0097639F" w:rsidP="00B947F2">
      <w:pPr>
        <w:pStyle w:val="NoSpacing"/>
        <w:numPr>
          <w:ilvl w:val="0"/>
          <w:numId w:val="18"/>
        </w:numPr>
        <w:jc w:val="both"/>
        <w:rPr>
          <w:sz w:val="22"/>
          <w:szCs w:val="22"/>
          <w:lang w:val="hr-HR"/>
        </w:rPr>
      </w:pPr>
      <w:r w:rsidRPr="0083017F">
        <w:rPr>
          <w:sz w:val="22"/>
          <w:szCs w:val="22"/>
          <w:lang w:val="hr-HR"/>
        </w:rPr>
        <w:t>akutni bakterijski sinusitis (dijagnostikovan na odgovarajući način)</w:t>
      </w:r>
    </w:p>
    <w:p w:rsidR="0028126A" w:rsidRPr="0083017F" w:rsidRDefault="0097639F" w:rsidP="00B947F2">
      <w:pPr>
        <w:pStyle w:val="NoSpacing"/>
        <w:numPr>
          <w:ilvl w:val="0"/>
          <w:numId w:val="18"/>
        </w:numPr>
        <w:jc w:val="both"/>
        <w:rPr>
          <w:sz w:val="22"/>
          <w:szCs w:val="22"/>
          <w:lang w:val="hr-HR"/>
        </w:rPr>
      </w:pPr>
      <w:r w:rsidRPr="0083017F">
        <w:rPr>
          <w:sz w:val="22"/>
          <w:szCs w:val="22"/>
          <w:lang w:val="hr-HR"/>
        </w:rPr>
        <w:t>akutna egzacerbacija hroničnog bronhitisa (dijagnostikovana na odgovarajući način)</w:t>
      </w:r>
    </w:p>
    <w:p w:rsidR="0028126A" w:rsidRPr="0083017F" w:rsidRDefault="0097639F" w:rsidP="00B947F2">
      <w:pPr>
        <w:pStyle w:val="NoSpacing"/>
        <w:numPr>
          <w:ilvl w:val="0"/>
          <w:numId w:val="18"/>
        </w:numPr>
        <w:jc w:val="both"/>
        <w:rPr>
          <w:sz w:val="22"/>
          <w:szCs w:val="22"/>
          <w:lang w:val="hr-HR"/>
        </w:rPr>
      </w:pPr>
      <w:r w:rsidRPr="0083017F">
        <w:rPr>
          <w:sz w:val="22"/>
          <w:szCs w:val="22"/>
          <w:lang w:val="hr-HR"/>
        </w:rPr>
        <w:t>vanbolnička pneumonija, osim teških slučajeva</w:t>
      </w:r>
    </w:p>
    <w:p w:rsidR="0097639F" w:rsidRPr="0083017F" w:rsidRDefault="0097639F" w:rsidP="00B947F2">
      <w:pPr>
        <w:pStyle w:val="NoSpacing"/>
        <w:numPr>
          <w:ilvl w:val="0"/>
          <w:numId w:val="18"/>
        </w:numPr>
        <w:jc w:val="both"/>
        <w:rPr>
          <w:sz w:val="22"/>
          <w:szCs w:val="22"/>
          <w:lang w:val="hr-HR"/>
        </w:rPr>
      </w:pPr>
      <w:r w:rsidRPr="0083017F">
        <w:rPr>
          <w:sz w:val="22"/>
          <w:szCs w:val="22"/>
          <w:lang w:val="hr-HR"/>
        </w:rPr>
        <w:t>blaga do umjerena inflamatorna bolest karlice (tj. infekcije gornjeg genitalnog trakta kod  žena, uključujući salpingitis i endometritis), bez udruženog tubo-ovarijskog ili karličnog apscesa.</w:t>
      </w:r>
    </w:p>
    <w:p w:rsidR="005B249E" w:rsidRPr="0083017F" w:rsidRDefault="005B249E" w:rsidP="00B947F2">
      <w:pPr>
        <w:pStyle w:val="NoSpacing"/>
        <w:jc w:val="both"/>
        <w:rPr>
          <w:sz w:val="22"/>
          <w:szCs w:val="22"/>
          <w:lang w:val="hr-HR"/>
        </w:rPr>
      </w:pPr>
    </w:p>
    <w:p w:rsidR="0097639F" w:rsidRPr="0083017F" w:rsidRDefault="000A7820" w:rsidP="00B947F2">
      <w:pPr>
        <w:pStyle w:val="NoSpacing"/>
        <w:jc w:val="both"/>
        <w:rPr>
          <w:sz w:val="22"/>
          <w:szCs w:val="22"/>
          <w:lang w:val="hr-HR"/>
        </w:rPr>
      </w:pPr>
      <w:r w:rsidRPr="0083017F">
        <w:rPr>
          <w:sz w:val="22"/>
          <w:szCs w:val="22"/>
          <w:lang w:val="hr-HR"/>
        </w:rPr>
        <w:t xml:space="preserve">Moloxin </w:t>
      </w:r>
      <w:r w:rsidR="005B249E" w:rsidRPr="0083017F">
        <w:rPr>
          <w:sz w:val="22"/>
          <w:szCs w:val="22"/>
          <w:lang w:val="hr-HR"/>
        </w:rPr>
        <w:t>400 mg</w:t>
      </w:r>
      <w:r w:rsidR="0097639F" w:rsidRPr="0083017F">
        <w:rPr>
          <w:sz w:val="22"/>
          <w:szCs w:val="22"/>
          <w:lang w:val="hr-HR"/>
        </w:rPr>
        <w:t xml:space="preserve"> film tablete se ne preporučuju kao monoterapija kod blage do umjerene inflamatorne bolesti karlice, već se moraju davati u kombinaciji s drugim odgovarajućim antibakterijskim ljekovima (npr. cefalosporinom) zbog povećane rezistencije </w:t>
      </w:r>
      <w:r w:rsidR="0097639F" w:rsidRPr="0083017F">
        <w:rPr>
          <w:i/>
          <w:sz w:val="22"/>
          <w:szCs w:val="22"/>
          <w:lang w:val="hr-HR"/>
        </w:rPr>
        <w:t>Neisseria gonorrhoeae</w:t>
      </w:r>
      <w:r w:rsidR="0097639F" w:rsidRPr="0083017F">
        <w:rPr>
          <w:sz w:val="22"/>
          <w:szCs w:val="22"/>
          <w:lang w:val="hr-HR"/>
        </w:rPr>
        <w:t xml:space="preserve"> na moksifloksacin, osim ako se </w:t>
      </w:r>
      <w:r w:rsidR="0097639F" w:rsidRPr="0083017F">
        <w:rPr>
          <w:i/>
          <w:sz w:val="22"/>
          <w:szCs w:val="22"/>
          <w:lang w:val="hr-HR"/>
        </w:rPr>
        <w:t>Neisseria gonorrhoeae</w:t>
      </w:r>
      <w:r w:rsidR="0097639F" w:rsidRPr="0083017F">
        <w:rPr>
          <w:sz w:val="22"/>
          <w:szCs w:val="22"/>
          <w:lang w:val="hr-HR"/>
        </w:rPr>
        <w:t xml:space="preserve"> rezistentna na moksifloksacin može isključiti (vidjeti djelove 4.4 i 5.1).</w:t>
      </w:r>
    </w:p>
    <w:p w:rsidR="00A72C5E" w:rsidRPr="0083017F" w:rsidRDefault="00A72C5E" w:rsidP="00B947F2">
      <w:pPr>
        <w:pStyle w:val="NoSpacing"/>
        <w:jc w:val="both"/>
        <w:rPr>
          <w:sz w:val="22"/>
          <w:szCs w:val="22"/>
          <w:lang w:val="hr-HR"/>
        </w:rPr>
      </w:pPr>
    </w:p>
    <w:p w:rsidR="0097639F" w:rsidRPr="0083017F" w:rsidRDefault="0028126A" w:rsidP="00B947F2">
      <w:pPr>
        <w:pStyle w:val="NoSpacing"/>
        <w:jc w:val="both"/>
        <w:rPr>
          <w:sz w:val="22"/>
          <w:szCs w:val="22"/>
          <w:lang w:val="hr-HR"/>
        </w:rPr>
      </w:pPr>
      <w:r w:rsidRPr="0083017F">
        <w:rPr>
          <w:sz w:val="22"/>
          <w:szCs w:val="22"/>
          <w:lang w:val="hr-HR"/>
        </w:rPr>
        <w:t xml:space="preserve">Moloxin </w:t>
      </w:r>
      <w:r w:rsidR="005B249E" w:rsidRPr="0083017F">
        <w:rPr>
          <w:sz w:val="22"/>
          <w:szCs w:val="22"/>
          <w:lang w:val="hr-HR"/>
        </w:rPr>
        <w:t>400 mg</w:t>
      </w:r>
      <w:r w:rsidR="0097639F" w:rsidRPr="0083017F">
        <w:rPr>
          <w:sz w:val="22"/>
          <w:szCs w:val="22"/>
          <w:lang w:val="hr-HR"/>
        </w:rPr>
        <w:t xml:space="preserve"> film tablete mogu se takođe primjenjivati za nastavak  terapije kod pacijenata koji su pokazali poboljšanje za vrijeme početnog liječenja intravenskim moksifloksacinom kod sljedećih indikacija:</w:t>
      </w:r>
    </w:p>
    <w:p w:rsidR="0097639F" w:rsidRPr="0083017F" w:rsidRDefault="0097639F" w:rsidP="00B947F2">
      <w:pPr>
        <w:pStyle w:val="NoSpacing"/>
        <w:numPr>
          <w:ilvl w:val="0"/>
          <w:numId w:val="18"/>
        </w:numPr>
        <w:jc w:val="both"/>
        <w:rPr>
          <w:sz w:val="22"/>
          <w:szCs w:val="22"/>
          <w:lang w:val="hr-HR"/>
        </w:rPr>
      </w:pPr>
      <w:r w:rsidRPr="0083017F">
        <w:rPr>
          <w:sz w:val="22"/>
          <w:szCs w:val="22"/>
          <w:lang w:val="hr-HR"/>
        </w:rPr>
        <w:t>vanbolničke pneumonije</w:t>
      </w:r>
    </w:p>
    <w:p w:rsidR="0097639F" w:rsidRPr="0083017F" w:rsidRDefault="0097639F" w:rsidP="00B947F2">
      <w:pPr>
        <w:pStyle w:val="NoSpacing"/>
        <w:numPr>
          <w:ilvl w:val="0"/>
          <w:numId w:val="18"/>
        </w:numPr>
        <w:jc w:val="both"/>
        <w:rPr>
          <w:sz w:val="22"/>
          <w:szCs w:val="22"/>
          <w:lang w:val="hr-HR"/>
        </w:rPr>
      </w:pPr>
      <w:r w:rsidRPr="0083017F">
        <w:rPr>
          <w:sz w:val="22"/>
          <w:szCs w:val="22"/>
          <w:lang w:val="hr-HR"/>
        </w:rPr>
        <w:t>komplikovane infekcije kože i potkožnog tkiva.</w:t>
      </w:r>
    </w:p>
    <w:p w:rsidR="0097639F" w:rsidRPr="0083017F" w:rsidRDefault="0097639F" w:rsidP="00B947F2">
      <w:pPr>
        <w:pStyle w:val="NoSpacing"/>
        <w:jc w:val="both"/>
        <w:rPr>
          <w:sz w:val="22"/>
          <w:szCs w:val="22"/>
          <w:lang w:val="hr-HR"/>
        </w:rPr>
      </w:pPr>
    </w:p>
    <w:p w:rsidR="0097639F" w:rsidRPr="0083017F" w:rsidRDefault="0028126A" w:rsidP="00B947F2">
      <w:pPr>
        <w:pStyle w:val="NoSpacing"/>
        <w:jc w:val="both"/>
        <w:rPr>
          <w:sz w:val="22"/>
          <w:szCs w:val="22"/>
          <w:lang w:val="hr-HR"/>
        </w:rPr>
      </w:pPr>
      <w:r w:rsidRPr="0083017F">
        <w:rPr>
          <w:sz w:val="22"/>
          <w:szCs w:val="22"/>
          <w:lang w:val="hr-HR"/>
        </w:rPr>
        <w:lastRenderedPageBreak/>
        <w:t xml:space="preserve">Moloxin </w:t>
      </w:r>
      <w:r w:rsidR="005B249E" w:rsidRPr="0083017F">
        <w:rPr>
          <w:sz w:val="22"/>
          <w:szCs w:val="22"/>
          <w:lang w:val="hr-HR"/>
        </w:rPr>
        <w:t>400 mg</w:t>
      </w:r>
      <w:r w:rsidR="0097639F" w:rsidRPr="0083017F">
        <w:rPr>
          <w:sz w:val="22"/>
          <w:szCs w:val="22"/>
          <w:lang w:val="hr-HR"/>
        </w:rPr>
        <w:t xml:space="preserve"> film tablete se ne smiju primjenjivati za početnu terapiju bilo kojeg oblika infekcija kože i potkožnog tkiva ili teških oblika vanbolničke pneumonije.</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 xml:space="preserve">Potrebno </w:t>
      </w:r>
      <w:r w:rsidR="00B947F2" w:rsidRPr="0083017F">
        <w:rPr>
          <w:sz w:val="22"/>
          <w:szCs w:val="22"/>
          <w:lang w:val="hr-HR"/>
        </w:rPr>
        <w:t>je</w:t>
      </w:r>
      <w:r w:rsidRPr="0083017F">
        <w:rPr>
          <w:sz w:val="22"/>
          <w:szCs w:val="22"/>
          <w:lang w:val="hr-HR"/>
        </w:rPr>
        <w:t xml:space="preserve"> pridržavati se službenih smjernica o pravilnoj primjeni antibakterijskih ljekova.</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b/>
          <w:sz w:val="22"/>
          <w:szCs w:val="22"/>
          <w:lang w:val="hr-HR"/>
        </w:rPr>
      </w:pPr>
      <w:r w:rsidRPr="0083017F">
        <w:rPr>
          <w:b/>
          <w:sz w:val="22"/>
          <w:szCs w:val="22"/>
          <w:lang w:val="hr-HR"/>
        </w:rPr>
        <w:t>4.2.</w:t>
      </w:r>
      <w:r w:rsidR="0028126A" w:rsidRPr="0083017F">
        <w:rPr>
          <w:b/>
          <w:sz w:val="22"/>
          <w:szCs w:val="22"/>
          <w:lang w:val="hr-HR"/>
        </w:rPr>
        <w:t xml:space="preserve"> </w:t>
      </w:r>
      <w:r w:rsidRPr="0083017F">
        <w:rPr>
          <w:b/>
          <w:sz w:val="22"/>
          <w:szCs w:val="22"/>
          <w:lang w:val="hr-HR"/>
        </w:rPr>
        <w:t>Doziranje i način primjene</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sz w:val="22"/>
          <w:szCs w:val="22"/>
          <w:u w:val="single"/>
          <w:lang w:val="hr-HR"/>
        </w:rPr>
        <w:t>Doziranje</w:t>
      </w:r>
    </w:p>
    <w:p w:rsidR="0097639F" w:rsidRPr="0083017F" w:rsidRDefault="0097639F" w:rsidP="00B947F2">
      <w:pPr>
        <w:pStyle w:val="NoSpacing"/>
        <w:jc w:val="both"/>
        <w:rPr>
          <w:sz w:val="22"/>
          <w:szCs w:val="22"/>
          <w:lang w:val="hr-HR"/>
        </w:rPr>
      </w:pPr>
      <w:r w:rsidRPr="0083017F">
        <w:rPr>
          <w:sz w:val="22"/>
          <w:szCs w:val="22"/>
          <w:lang w:val="hr-HR"/>
        </w:rPr>
        <w:t>Preporučena do</w:t>
      </w:r>
      <w:r w:rsidR="0028126A" w:rsidRPr="0083017F">
        <w:rPr>
          <w:sz w:val="22"/>
          <w:szCs w:val="22"/>
          <w:lang w:val="hr-HR"/>
        </w:rPr>
        <w:t xml:space="preserve">za je jedna film tableta od </w:t>
      </w:r>
      <w:r w:rsidR="005B249E" w:rsidRPr="0083017F">
        <w:rPr>
          <w:sz w:val="22"/>
          <w:szCs w:val="22"/>
          <w:lang w:val="hr-HR"/>
        </w:rPr>
        <w:t>400 mg</w:t>
      </w:r>
      <w:r w:rsidRPr="0083017F">
        <w:rPr>
          <w:sz w:val="22"/>
          <w:szCs w:val="22"/>
          <w:lang w:val="hr-HR"/>
        </w:rPr>
        <w:t xml:space="preserve"> jedanput na dan.</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iCs/>
          <w:sz w:val="22"/>
          <w:szCs w:val="22"/>
          <w:lang w:val="hr-HR"/>
        </w:rPr>
      </w:pPr>
      <w:r w:rsidRPr="0083017F">
        <w:rPr>
          <w:iCs/>
          <w:sz w:val="22"/>
          <w:szCs w:val="22"/>
          <w:u w:val="single"/>
          <w:lang w:val="hr-HR"/>
        </w:rPr>
        <w:t>Pacijenti s oštećenjem funkcije bubrega/jetre</w:t>
      </w:r>
    </w:p>
    <w:p w:rsidR="0097639F" w:rsidRPr="0083017F" w:rsidRDefault="0097639F" w:rsidP="00B947F2">
      <w:pPr>
        <w:pStyle w:val="NoSpacing"/>
        <w:jc w:val="both"/>
        <w:rPr>
          <w:sz w:val="22"/>
          <w:szCs w:val="22"/>
          <w:lang w:val="hr-HR"/>
        </w:rPr>
      </w:pPr>
      <w:r w:rsidRPr="0083017F">
        <w:rPr>
          <w:sz w:val="22"/>
          <w:szCs w:val="22"/>
          <w:lang w:val="hr-HR"/>
        </w:rPr>
        <w:t xml:space="preserve">Pacijentima sa blago do teško oštećenom funkcijom bubrega ili pacijentima na hroničnoj dijalizi tj. hemodijalizi i kontinuiranoj ambulantnoj peritonealnoj dijalizi, nije potrebno prilagođavanje doze </w:t>
      </w:r>
      <w:r w:rsidRPr="0083017F">
        <w:rPr>
          <w:iCs/>
          <w:sz w:val="22"/>
          <w:szCs w:val="22"/>
          <w:lang w:val="hr-HR"/>
        </w:rPr>
        <w:t>(vidjeti odjeljak 5.2 za više detalja).</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 xml:space="preserve">Nema dovoljno podataka za pacijente sa oštećenom funkcijom jetre </w:t>
      </w:r>
      <w:r w:rsidRPr="0083017F">
        <w:rPr>
          <w:iCs/>
          <w:sz w:val="22"/>
          <w:szCs w:val="22"/>
          <w:lang w:val="hr-HR"/>
        </w:rPr>
        <w:t>(vidjeti odjeljak 4.3).</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iCs/>
          <w:sz w:val="22"/>
          <w:szCs w:val="22"/>
          <w:u w:val="single"/>
          <w:lang w:val="hr-HR"/>
        </w:rPr>
      </w:pPr>
      <w:r w:rsidRPr="0083017F">
        <w:rPr>
          <w:iCs/>
          <w:sz w:val="22"/>
          <w:szCs w:val="22"/>
          <w:u w:val="single"/>
          <w:lang w:val="hr-HR"/>
        </w:rPr>
        <w:t>Stariji pacijenti i druge posebne populacije</w:t>
      </w:r>
    </w:p>
    <w:p w:rsidR="0097639F" w:rsidRPr="0083017F" w:rsidRDefault="0097639F" w:rsidP="00B947F2">
      <w:pPr>
        <w:pStyle w:val="NoSpacing"/>
        <w:jc w:val="both"/>
        <w:rPr>
          <w:iCs/>
          <w:sz w:val="22"/>
          <w:szCs w:val="22"/>
          <w:lang w:val="hr-HR"/>
        </w:rPr>
      </w:pPr>
      <w:r w:rsidRPr="0083017F">
        <w:rPr>
          <w:iCs/>
          <w:sz w:val="22"/>
          <w:szCs w:val="22"/>
          <w:lang w:val="hr-HR"/>
        </w:rPr>
        <w:t>Kod starijih osoba i pacijenata sa niskom tjelesnom težinom nije potrebno prilagođavanje doze.</w:t>
      </w:r>
    </w:p>
    <w:p w:rsidR="0097639F" w:rsidRPr="0083017F" w:rsidRDefault="0097639F" w:rsidP="00B947F2">
      <w:pPr>
        <w:pStyle w:val="NoSpacing"/>
        <w:jc w:val="both"/>
        <w:rPr>
          <w:i/>
          <w:iCs/>
          <w:sz w:val="22"/>
          <w:szCs w:val="22"/>
          <w:lang w:val="hr-HR"/>
        </w:rPr>
      </w:pPr>
    </w:p>
    <w:p w:rsidR="0097639F" w:rsidRPr="0083017F" w:rsidRDefault="0097639F" w:rsidP="00B947F2">
      <w:pPr>
        <w:pStyle w:val="NoSpacing"/>
        <w:jc w:val="both"/>
        <w:rPr>
          <w:iCs/>
          <w:sz w:val="22"/>
          <w:szCs w:val="22"/>
          <w:u w:val="single"/>
          <w:lang w:val="hr-HR"/>
        </w:rPr>
      </w:pPr>
      <w:r w:rsidRPr="0083017F">
        <w:rPr>
          <w:iCs/>
          <w:sz w:val="22"/>
          <w:szCs w:val="22"/>
          <w:u w:val="single"/>
          <w:lang w:val="hr-HR"/>
        </w:rPr>
        <w:t>Pedijatrijska populacija</w:t>
      </w:r>
    </w:p>
    <w:p w:rsidR="0097639F" w:rsidRPr="0083017F" w:rsidRDefault="0097639F" w:rsidP="00B947F2">
      <w:pPr>
        <w:pStyle w:val="NoSpacing"/>
        <w:jc w:val="both"/>
        <w:rPr>
          <w:sz w:val="22"/>
          <w:szCs w:val="22"/>
          <w:lang w:val="hr-HR"/>
        </w:rPr>
      </w:pPr>
      <w:r w:rsidRPr="0083017F">
        <w:rPr>
          <w:sz w:val="22"/>
          <w:szCs w:val="22"/>
          <w:lang w:val="hr-HR"/>
        </w:rPr>
        <w:t>Moksifloksacin je kontraindikovan kod djece i adolescen</w:t>
      </w:r>
      <w:r w:rsidR="000A7820" w:rsidRPr="0083017F">
        <w:rPr>
          <w:sz w:val="22"/>
          <w:szCs w:val="22"/>
          <w:lang w:val="hr-HR"/>
        </w:rPr>
        <w:t>ata (&lt;</w:t>
      </w:r>
      <w:r w:rsidRPr="0083017F">
        <w:rPr>
          <w:sz w:val="22"/>
          <w:szCs w:val="22"/>
          <w:lang w:val="hr-HR"/>
        </w:rPr>
        <w:t>18 godina). Efikasnost i bezbjednost primjene moksifloksacina nijesu utvrđeni kod djece i adolescenata (vidjeti odjeljak 4.3).</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sz w:val="22"/>
          <w:szCs w:val="22"/>
          <w:u w:val="single"/>
          <w:lang w:val="hr-HR"/>
        </w:rPr>
        <w:t>Način primjene</w:t>
      </w:r>
    </w:p>
    <w:p w:rsidR="0097639F" w:rsidRPr="0083017F" w:rsidRDefault="0097639F" w:rsidP="00B947F2">
      <w:pPr>
        <w:pStyle w:val="NoSpacing"/>
        <w:jc w:val="both"/>
        <w:rPr>
          <w:iCs/>
          <w:sz w:val="22"/>
          <w:szCs w:val="22"/>
          <w:lang w:val="hr-HR"/>
        </w:rPr>
      </w:pPr>
      <w:r w:rsidRPr="0083017F">
        <w:rPr>
          <w:iCs/>
          <w:sz w:val="22"/>
          <w:szCs w:val="22"/>
          <w:lang w:val="hr-HR"/>
        </w:rPr>
        <w:t>Film tabletu treba progutati cijelu sa dovoljno tečnosti, a može se uzimati nezavisno od obroka.</w:t>
      </w:r>
    </w:p>
    <w:p w:rsidR="0097639F" w:rsidRPr="0083017F" w:rsidRDefault="0097639F" w:rsidP="00B947F2">
      <w:pPr>
        <w:pStyle w:val="NoSpacing"/>
        <w:jc w:val="both"/>
        <w:rPr>
          <w:i/>
          <w:iCs/>
          <w:sz w:val="22"/>
          <w:szCs w:val="22"/>
          <w:lang w:val="hr-HR"/>
        </w:rPr>
      </w:pPr>
    </w:p>
    <w:p w:rsidR="0097639F" w:rsidRPr="0083017F" w:rsidRDefault="0097639F" w:rsidP="00B947F2">
      <w:pPr>
        <w:pStyle w:val="NoSpacing"/>
        <w:jc w:val="both"/>
        <w:rPr>
          <w:iCs/>
          <w:sz w:val="22"/>
          <w:szCs w:val="22"/>
          <w:u w:val="single"/>
          <w:lang w:val="hr-HR"/>
        </w:rPr>
      </w:pPr>
      <w:r w:rsidRPr="0083017F">
        <w:rPr>
          <w:iCs/>
          <w:sz w:val="22"/>
          <w:szCs w:val="22"/>
          <w:u w:val="single"/>
          <w:lang w:val="hr-HR"/>
        </w:rPr>
        <w:t>Trajanje terapije</w:t>
      </w:r>
    </w:p>
    <w:p w:rsidR="0097639F" w:rsidRPr="0083017F" w:rsidRDefault="0097639F" w:rsidP="00B947F2">
      <w:pPr>
        <w:pStyle w:val="NoSpacing"/>
        <w:jc w:val="both"/>
        <w:rPr>
          <w:iCs/>
          <w:sz w:val="22"/>
          <w:szCs w:val="22"/>
          <w:lang w:val="hr-HR"/>
        </w:rPr>
      </w:pPr>
      <w:r w:rsidRPr="0083017F">
        <w:rPr>
          <w:iCs/>
          <w:sz w:val="22"/>
          <w:szCs w:val="22"/>
          <w:lang w:val="hr-HR"/>
        </w:rPr>
        <w:t xml:space="preserve">Trajanje terapije Moloxin 400 mg film tabletama mora trajati kao što je navedeno: </w:t>
      </w:r>
    </w:p>
    <w:p w:rsidR="00A72C5E" w:rsidRPr="0083017F" w:rsidRDefault="00A72C5E" w:rsidP="00B947F2">
      <w:pPr>
        <w:pStyle w:val="NoSpacing"/>
        <w:jc w:val="both"/>
        <w:rPr>
          <w:iCs/>
          <w:sz w:val="22"/>
          <w:szCs w:val="22"/>
          <w:lang w:val="hr-HR"/>
        </w:rPr>
      </w:pPr>
    </w:p>
    <w:p w:rsidR="0097639F" w:rsidRPr="0083017F" w:rsidRDefault="0097639F" w:rsidP="00B947F2">
      <w:pPr>
        <w:pStyle w:val="NoSpacing"/>
        <w:numPr>
          <w:ilvl w:val="0"/>
          <w:numId w:val="18"/>
        </w:numPr>
        <w:jc w:val="both"/>
        <w:rPr>
          <w:sz w:val="22"/>
          <w:szCs w:val="22"/>
          <w:lang w:val="hr-HR"/>
        </w:rPr>
      </w:pPr>
      <w:r w:rsidRPr="0083017F">
        <w:rPr>
          <w:sz w:val="22"/>
          <w:szCs w:val="22"/>
          <w:lang w:val="hr-HR"/>
        </w:rPr>
        <w:t>akutna egzacerbacija hroničnog bronhitisa</w:t>
      </w:r>
      <w:r w:rsidRPr="0083017F">
        <w:rPr>
          <w:sz w:val="22"/>
          <w:szCs w:val="22"/>
          <w:lang w:val="hr-HR"/>
        </w:rPr>
        <w:tab/>
      </w:r>
      <w:r w:rsidRPr="0083017F">
        <w:rPr>
          <w:sz w:val="22"/>
          <w:szCs w:val="22"/>
          <w:lang w:val="hr-HR"/>
        </w:rPr>
        <w:tab/>
      </w:r>
      <w:r w:rsidR="000A7820" w:rsidRPr="0083017F">
        <w:rPr>
          <w:sz w:val="22"/>
          <w:szCs w:val="22"/>
          <w:lang w:val="hr-HR"/>
        </w:rPr>
        <w:t>5-</w:t>
      </w:r>
      <w:r w:rsidRPr="0083017F">
        <w:rPr>
          <w:sz w:val="22"/>
          <w:szCs w:val="22"/>
          <w:lang w:val="hr-HR"/>
        </w:rPr>
        <w:t>10 dana</w:t>
      </w:r>
    </w:p>
    <w:p w:rsidR="0097639F" w:rsidRPr="0083017F" w:rsidRDefault="0097639F" w:rsidP="00B947F2">
      <w:pPr>
        <w:pStyle w:val="NoSpacing"/>
        <w:numPr>
          <w:ilvl w:val="0"/>
          <w:numId w:val="18"/>
        </w:numPr>
        <w:jc w:val="both"/>
        <w:rPr>
          <w:sz w:val="22"/>
          <w:szCs w:val="22"/>
          <w:lang w:val="hr-HR"/>
        </w:rPr>
      </w:pPr>
      <w:r w:rsidRPr="0083017F">
        <w:rPr>
          <w:sz w:val="22"/>
          <w:szCs w:val="22"/>
          <w:lang w:val="hr-HR"/>
        </w:rPr>
        <w:t>vanbolnička pneumonija</w:t>
      </w:r>
      <w:r w:rsidRPr="0083017F">
        <w:rPr>
          <w:sz w:val="22"/>
          <w:szCs w:val="22"/>
          <w:lang w:val="hr-HR"/>
        </w:rPr>
        <w:tab/>
      </w:r>
      <w:r w:rsidRPr="0083017F">
        <w:rPr>
          <w:sz w:val="22"/>
          <w:szCs w:val="22"/>
          <w:lang w:val="hr-HR"/>
        </w:rPr>
        <w:tab/>
      </w:r>
      <w:r w:rsidRPr="0083017F">
        <w:rPr>
          <w:sz w:val="22"/>
          <w:szCs w:val="22"/>
          <w:lang w:val="hr-HR"/>
        </w:rPr>
        <w:tab/>
      </w:r>
      <w:r w:rsidRPr="0083017F">
        <w:rPr>
          <w:sz w:val="22"/>
          <w:szCs w:val="22"/>
          <w:lang w:val="hr-HR"/>
        </w:rPr>
        <w:tab/>
        <w:t>10 dana</w:t>
      </w:r>
    </w:p>
    <w:p w:rsidR="0097639F" w:rsidRPr="0083017F" w:rsidRDefault="0097639F" w:rsidP="00B947F2">
      <w:pPr>
        <w:pStyle w:val="NoSpacing"/>
        <w:numPr>
          <w:ilvl w:val="0"/>
          <w:numId w:val="18"/>
        </w:numPr>
        <w:jc w:val="both"/>
        <w:rPr>
          <w:sz w:val="22"/>
          <w:szCs w:val="22"/>
          <w:lang w:val="hr-HR"/>
        </w:rPr>
      </w:pPr>
      <w:r w:rsidRPr="0083017F">
        <w:rPr>
          <w:sz w:val="22"/>
          <w:szCs w:val="22"/>
          <w:lang w:val="hr-HR"/>
        </w:rPr>
        <w:t>akutni bakterijski sinusitis</w:t>
      </w:r>
      <w:r w:rsidRPr="0083017F">
        <w:rPr>
          <w:sz w:val="22"/>
          <w:szCs w:val="22"/>
          <w:lang w:val="hr-HR"/>
        </w:rPr>
        <w:tab/>
      </w:r>
      <w:r w:rsidRPr="0083017F">
        <w:rPr>
          <w:sz w:val="22"/>
          <w:szCs w:val="22"/>
          <w:lang w:val="hr-HR"/>
        </w:rPr>
        <w:tab/>
      </w:r>
      <w:r w:rsidRPr="0083017F">
        <w:rPr>
          <w:sz w:val="22"/>
          <w:szCs w:val="22"/>
          <w:lang w:val="hr-HR"/>
        </w:rPr>
        <w:tab/>
      </w:r>
      <w:r w:rsidRPr="0083017F">
        <w:rPr>
          <w:sz w:val="22"/>
          <w:szCs w:val="22"/>
          <w:lang w:val="hr-HR"/>
        </w:rPr>
        <w:tab/>
        <w:t>7 dana</w:t>
      </w:r>
    </w:p>
    <w:p w:rsidR="0097639F" w:rsidRPr="0083017F" w:rsidRDefault="0097639F" w:rsidP="00B947F2">
      <w:pPr>
        <w:pStyle w:val="NoSpacing"/>
        <w:numPr>
          <w:ilvl w:val="0"/>
          <w:numId w:val="18"/>
        </w:numPr>
        <w:jc w:val="both"/>
        <w:rPr>
          <w:sz w:val="22"/>
          <w:szCs w:val="22"/>
          <w:lang w:val="hr-HR"/>
        </w:rPr>
      </w:pPr>
      <w:r w:rsidRPr="0083017F">
        <w:rPr>
          <w:sz w:val="22"/>
          <w:szCs w:val="22"/>
          <w:lang w:val="hr-HR"/>
        </w:rPr>
        <w:t>blaga do umjerena inflamatorna bolest karlice</w:t>
      </w:r>
      <w:r w:rsidR="000A7820" w:rsidRPr="0083017F">
        <w:rPr>
          <w:sz w:val="22"/>
          <w:szCs w:val="22"/>
          <w:lang w:val="hr-HR"/>
        </w:rPr>
        <w:tab/>
      </w:r>
      <w:r w:rsidRPr="0083017F">
        <w:rPr>
          <w:sz w:val="22"/>
          <w:szCs w:val="22"/>
          <w:lang w:val="hr-HR"/>
        </w:rPr>
        <w:t>14 dana</w:t>
      </w:r>
    </w:p>
    <w:p w:rsidR="0097639F" w:rsidRPr="0083017F" w:rsidRDefault="0097639F" w:rsidP="00B947F2">
      <w:pPr>
        <w:pStyle w:val="NoSpacing"/>
        <w:ind w:left="720"/>
        <w:jc w:val="both"/>
        <w:rPr>
          <w:sz w:val="22"/>
          <w:szCs w:val="22"/>
          <w:lang w:val="hr-HR"/>
        </w:rPr>
      </w:pPr>
    </w:p>
    <w:p w:rsidR="0097639F" w:rsidRPr="0083017F" w:rsidRDefault="00B947F2" w:rsidP="00B947F2">
      <w:pPr>
        <w:pStyle w:val="NoSpacing"/>
        <w:jc w:val="both"/>
        <w:rPr>
          <w:iCs/>
          <w:sz w:val="22"/>
          <w:szCs w:val="22"/>
          <w:lang w:val="hr-HR"/>
        </w:rPr>
      </w:pPr>
      <w:r w:rsidRPr="0083017F">
        <w:rPr>
          <w:iCs/>
          <w:sz w:val="22"/>
          <w:szCs w:val="22"/>
          <w:lang w:val="hr-HR"/>
        </w:rPr>
        <w:t xml:space="preserve">Film tablete sa </w:t>
      </w:r>
      <w:r w:rsidR="005B249E" w:rsidRPr="0083017F">
        <w:rPr>
          <w:iCs/>
          <w:sz w:val="22"/>
          <w:szCs w:val="22"/>
          <w:lang w:val="hr-HR"/>
        </w:rPr>
        <w:t>400 mg</w:t>
      </w:r>
      <w:r w:rsidR="0097639F" w:rsidRPr="0083017F">
        <w:rPr>
          <w:iCs/>
          <w:sz w:val="22"/>
          <w:szCs w:val="22"/>
          <w:lang w:val="hr-HR"/>
        </w:rPr>
        <w:t xml:space="preserve"> moksifloksacina ispitivane su u kliničkim ispitivanjima do najviše 14 dana liječenja.</w:t>
      </w:r>
    </w:p>
    <w:p w:rsidR="0097639F" w:rsidRPr="0083017F" w:rsidRDefault="0097639F" w:rsidP="00B947F2">
      <w:pPr>
        <w:pStyle w:val="NoSpacing"/>
        <w:jc w:val="both"/>
        <w:rPr>
          <w:iCs/>
          <w:sz w:val="22"/>
          <w:szCs w:val="22"/>
          <w:lang w:val="hr-HR"/>
        </w:rPr>
      </w:pPr>
    </w:p>
    <w:p w:rsidR="0097639F" w:rsidRPr="0083017F" w:rsidRDefault="0097639F" w:rsidP="00B947F2">
      <w:pPr>
        <w:pStyle w:val="NoSpacing"/>
        <w:jc w:val="both"/>
        <w:rPr>
          <w:i/>
          <w:iCs/>
          <w:sz w:val="22"/>
          <w:szCs w:val="22"/>
          <w:lang w:val="hr-HR"/>
        </w:rPr>
      </w:pPr>
      <w:r w:rsidRPr="0083017F">
        <w:rPr>
          <w:i/>
          <w:iCs/>
          <w:sz w:val="22"/>
          <w:szCs w:val="22"/>
          <w:lang w:val="hr-HR"/>
        </w:rPr>
        <w:t>Sekvencijalna (peroralna primjena nakon intravenske primjene) terapija</w:t>
      </w:r>
    </w:p>
    <w:p w:rsidR="0097639F" w:rsidRPr="0083017F" w:rsidRDefault="0097639F" w:rsidP="00B947F2">
      <w:pPr>
        <w:pStyle w:val="NoSpacing"/>
        <w:jc w:val="both"/>
        <w:rPr>
          <w:iCs/>
          <w:sz w:val="22"/>
          <w:szCs w:val="22"/>
          <w:lang w:val="hr-HR"/>
        </w:rPr>
      </w:pPr>
      <w:r w:rsidRPr="0083017F">
        <w:rPr>
          <w:iCs/>
          <w:sz w:val="22"/>
          <w:szCs w:val="22"/>
          <w:lang w:val="hr-HR"/>
        </w:rPr>
        <w:t xml:space="preserve">U kliničkim ispitivanjima sa sekvencijalnom terapijom, većina pacijenata prešla je s intravenske na peroralnu terapiju u roku od 4 dana (vanbolnička pneumonija) ili 6 dana (komplikovana infekcija kože i potkožnog tkiva). Preporučeno ukupno trajanje intravenske i peroralne terapije je 7-14 dana za liječenje vanbolničke pneumonije i 7-21 dan za liječenje komplikovanih infekcija kože i potkožnog tkiva. </w:t>
      </w:r>
    </w:p>
    <w:p w:rsidR="0097639F" w:rsidRPr="0083017F" w:rsidRDefault="0097639F" w:rsidP="00B947F2">
      <w:pPr>
        <w:pStyle w:val="NoSpacing"/>
        <w:jc w:val="both"/>
        <w:rPr>
          <w:iCs/>
          <w:sz w:val="22"/>
          <w:szCs w:val="22"/>
          <w:lang w:val="hr-HR"/>
        </w:rPr>
      </w:pPr>
    </w:p>
    <w:p w:rsidR="0097639F" w:rsidRPr="0083017F" w:rsidRDefault="0097639F" w:rsidP="00B947F2">
      <w:pPr>
        <w:pStyle w:val="NoSpacing"/>
        <w:jc w:val="both"/>
        <w:rPr>
          <w:iCs/>
          <w:sz w:val="22"/>
          <w:szCs w:val="22"/>
          <w:lang w:val="hr-HR"/>
        </w:rPr>
      </w:pPr>
      <w:r w:rsidRPr="0083017F">
        <w:rPr>
          <w:iCs/>
          <w:sz w:val="22"/>
          <w:szCs w:val="22"/>
          <w:lang w:val="hr-HR"/>
        </w:rPr>
        <w:t>Preporučena doza</w:t>
      </w:r>
      <w:r w:rsidR="00B947F2" w:rsidRPr="0083017F">
        <w:rPr>
          <w:iCs/>
          <w:sz w:val="22"/>
          <w:szCs w:val="22"/>
          <w:lang w:val="hr-HR"/>
        </w:rPr>
        <w:t xml:space="preserve"> (</w:t>
      </w:r>
      <w:r w:rsidR="005B249E" w:rsidRPr="0083017F">
        <w:rPr>
          <w:iCs/>
          <w:sz w:val="22"/>
          <w:szCs w:val="22"/>
          <w:lang w:val="hr-HR"/>
        </w:rPr>
        <w:t>400 mg</w:t>
      </w:r>
      <w:r w:rsidRPr="0083017F">
        <w:rPr>
          <w:iCs/>
          <w:sz w:val="22"/>
          <w:szCs w:val="22"/>
          <w:lang w:val="hr-HR"/>
        </w:rPr>
        <w:t xml:space="preserve"> jedanput dnevno) i trajanje terapije za odgovarajuću indikaciju ne smije se prekoračiti.</w:t>
      </w:r>
    </w:p>
    <w:p w:rsidR="0097639F" w:rsidRPr="0083017F" w:rsidRDefault="0097639F" w:rsidP="00B947F2">
      <w:pPr>
        <w:pStyle w:val="NoSpacing"/>
        <w:jc w:val="both"/>
        <w:rPr>
          <w:sz w:val="22"/>
          <w:szCs w:val="22"/>
          <w:lang w:val="hr-HR"/>
        </w:rPr>
      </w:pPr>
    </w:p>
    <w:p w:rsidR="00A72C5E" w:rsidRPr="0083017F" w:rsidRDefault="00A72C5E" w:rsidP="00B947F2">
      <w:pPr>
        <w:pStyle w:val="NoSpacing"/>
        <w:jc w:val="both"/>
        <w:rPr>
          <w:b/>
          <w:sz w:val="22"/>
          <w:szCs w:val="22"/>
          <w:lang w:val="hr-HR"/>
        </w:rPr>
      </w:pPr>
    </w:p>
    <w:p w:rsidR="0097639F" w:rsidRPr="0083017F" w:rsidRDefault="0097639F" w:rsidP="00B947F2">
      <w:pPr>
        <w:pStyle w:val="NoSpacing"/>
        <w:jc w:val="both"/>
        <w:rPr>
          <w:b/>
          <w:sz w:val="22"/>
          <w:szCs w:val="22"/>
          <w:lang w:val="hr-HR"/>
        </w:rPr>
      </w:pPr>
      <w:r w:rsidRPr="0083017F">
        <w:rPr>
          <w:b/>
          <w:sz w:val="22"/>
          <w:szCs w:val="22"/>
          <w:lang w:val="hr-HR"/>
        </w:rPr>
        <w:lastRenderedPageBreak/>
        <w:t>4.3.</w:t>
      </w:r>
      <w:r w:rsidR="00B947F2" w:rsidRPr="0083017F">
        <w:rPr>
          <w:b/>
          <w:sz w:val="22"/>
          <w:szCs w:val="22"/>
          <w:lang w:val="hr-HR"/>
        </w:rPr>
        <w:t xml:space="preserve"> </w:t>
      </w:r>
      <w:r w:rsidRPr="0083017F">
        <w:rPr>
          <w:b/>
          <w:sz w:val="22"/>
          <w:szCs w:val="22"/>
          <w:lang w:val="hr-HR"/>
        </w:rPr>
        <w:t>Kontraindikacije</w:t>
      </w:r>
    </w:p>
    <w:p w:rsidR="0097639F" w:rsidRPr="0083017F" w:rsidRDefault="0097639F" w:rsidP="00B947F2">
      <w:pPr>
        <w:pStyle w:val="NoSpacing"/>
        <w:jc w:val="both"/>
        <w:rPr>
          <w:b/>
          <w:sz w:val="22"/>
          <w:szCs w:val="22"/>
          <w:lang w:val="hr-HR"/>
        </w:rPr>
      </w:pPr>
    </w:p>
    <w:p w:rsidR="0097639F" w:rsidRPr="0083017F" w:rsidRDefault="0097639F" w:rsidP="00B947F2">
      <w:pPr>
        <w:pStyle w:val="NoSpacing"/>
        <w:numPr>
          <w:ilvl w:val="0"/>
          <w:numId w:val="18"/>
        </w:numPr>
        <w:jc w:val="both"/>
        <w:rPr>
          <w:sz w:val="22"/>
          <w:szCs w:val="22"/>
          <w:lang w:val="hr-HR"/>
        </w:rPr>
      </w:pPr>
      <w:r w:rsidRPr="0083017F">
        <w:rPr>
          <w:sz w:val="22"/>
          <w:szCs w:val="22"/>
          <w:lang w:val="hr-HR"/>
        </w:rPr>
        <w:t>Preosjetljivost na moksifloksacin, druge hinolone ili bilo koju od pomoćnih supstanci navedenih u dijelu 6.1.</w:t>
      </w:r>
    </w:p>
    <w:p w:rsidR="0097639F" w:rsidRPr="0083017F" w:rsidRDefault="0097639F" w:rsidP="00B947F2">
      <w:pPr>
        <w:pStyle w:val="NoSpacing"/>
        <w:numPr>
          <w:ilvl w:val="0"/>
          <w:numId w:val="18"/>
        </w:numPr>
        <w:jc w:val="both"/>
        <w:rPr>
          <w:sz w:val="22"/>
          <w:szCs w:val="22"/>
          <w:lang w:val="hr-HR"/>
        </w:rPr>
      </w:pPr>
      <w:r w:rsidRPr="0083017F">
        <w:rPr>
          <w:sz w:val="22"/>
          <w:szCs w:val="22"/>
          <w:lang w:val="hr-HR"/>
        </w:rPr>
        <w:t>trudnoća i dojenje (vidjeti odjeljak 4.6)</w:t>
      </w:r>
    </w:p>
    <w:p w:rsidR="0097639F" w:rsidRPr="0083017F" w:rsidRDefault="0097639F" w:rsidP="00B947F2">
      <w:pPr>
        <w:pStyle w:val="NoSpacing"/>
        <w:numPr>
          <w:ilvl w:val="0"/>
          <w:numId w:val="18"/>
        </w:numPr>
        <w:jc w:val="both"/>
        <w:rPr>
          <w:sz w:val="22"/>
          <w:szCs w:val="22"/>
          <w:lang w:val="hr-HR"/>
        </w:rPr>
      </w:pPr>
      <w:r w:rsidRPr="0083017F">
        <w:rPr>
          <w:sz w:val="22"/>
          <w:szCs w:val="22"/>
          <w:lang w:val="hr-HR"/>
        </w:rPr>
        <w:t>pacijenti mlađi od 18 godina</w:t>
      </w:r>
    </w:p>
    <w:p w:rsidR="0097639F" w:rsidRPr="0083017F" w:rsidRDefault="0097639F" w:rsidP="00B947F2">
      <w:pPr>
        <w:pStyle w:val="NoSpacing"/>
        <w:numPr>
          <w:ilvl w:val="0"/>
          <w:numId w:val="18"/>
        </w:numPr>
        <w:jc w:val="both"/>
        <w:rPr>
          <w:sz w:val="22"/>
          <w:szCs w:val="22"/>
          <w:lang w:val="hr-HR"/>
        </w:rPr>
      </w:pPr>
      <w:r w:rsidRPr="0083017F">
        <w:rPr>
          <w:sz w:val="22"/>
          <w:szCs w:val="22"/>
          <w:lang w:val="hr-HR"/>
        </w:rPr>
        <w:t>pacijenti koji u anamnezi imaju oboljenje/poremećaj tetiva vezano za terapiju hinolonima</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I u pretkliničkim i u kliničkim ispitivanjima, uočene su promjene elektrofiziologije srca nakon izlaganja moksifloksacinu, u obliku produženja QT intervala. Zbog toga, iz bezbjedonosnih razloga, moksifloksacin je kontraindikovan kod pacijenata sa:</w:t>
      </w:r>
    </w:p>
    <w:p w:rsidR="0097639F" w:rsidRPr="0083017F" w:rsidRDefault="0097639F" w:rsidP="00B947F2">
      <w:pPr>
        <w:pStyle w:val="NoSpacing"/>
        <w:numPr>
          <w:ilvl w:val="0"/>
          <w:numId w:val="18"/>
        </w:numPr>
        <w:jc w:val="both"/>
        <w:rPr>
          <w:sz w:val="22"/>
          <w:szCs w:val="22"/>
          <w:lang w:val="hr-HR"/>
        </w:rPr>
      </w:pPr>
      <w:r w:rsidRPr="0083017F">
        <w:rPr>
          <w:sz w:val="22"/>
          <w:szCs w:val="22"/>
          <w:lang w:val="hr-HR"/>
        </w:rPr>
        <w:t xml:space="preserve">urođenim ili dijagnostifikovanim stečenim produženjem QT-intervala </w:t>
      </w:r>
    </w:p>
    <w:p w:rsidR="0097639F" w:rsidRPr="0083017F" w:rsidRDefault="0097639F" w:rsidP="00B947F2">
      <w:pPr>
        <w:pStyle w:val="NoSpacing"/>
        <w:numPr>
          <w:ilvl w:val="0"/>
          <w:numId w:val="18"/>
        </w:numPr>
        <w:jc w:val="both"/>
        <w:rPr>
          <w:sz w:val="22"/>
          <w:szCs w:val="22"/>
          <w:lang w:val="hr-HR"/>
        </w:rPr>
      </w:pPr>
      <w:r w:rsidRPr="0083017F">
        <w:rPr>
          <w:sz w:val="22"/>
          <w:szCs w:val="22"/>
          <w:lang w:val="hr-HR"/>
        </w:rPr>
        <w:t>poremećajima ravnoteže elektrolita, posebno kod  nekorigovane hipokalijemije</w:t>
      </w:r>
    </w:p>
    <w:p w:rsidR="0097639F" w:rsidRPr="0083017F" w:rsidRDefault="0097639F" w:rsidP="00B947F2">
      <w:pPr>
        <w:pStyle w:val="NoSpacing"/>
        <w:numPr>
          <w:ilvl w:val="0"/>
          <w:numId w:val="18"/>
        </w:numPr>
        <w:jc w:val="both"/>
        <w:rPr>
          <w:sz w:val="22"/>
          <w:szCs w:val="22"/>
          <w:lang w:val="hr-HR"/>
        </w:rPr>
      </w:pPr>
      <w:r w:rsidRPr="0083017F">
        <w:rPr>
          <w:sz w:val="22"/>
          <w:szCs w:val="22"/>
          <w:lang w:val="hr-HR"/>
        </w:rPr>
        <w:t>klinički značajnom bradikardijom</w:t>
      </w:r>
    </w:p>
    <w:p w:rsidR="0097639F" w:rsidRPr="0083017F" w:rsidRDefault="0097639F" w:rsidP="00B947F2">
      <w:pPr>
        <w:pStyle w:val="NoSpacing"/>
        <w:numPr>
          <w:ilvl w:val="0"/>
          <w:numId w:val="18"/>
        </w:numPr>
        <w:jc w:val="both"/>
        <w:rPr>
          <w:sz w:val="22"/>
          <w:szCs w:val="22"/>
          <w:lang w:val="hr-HR"/>
        </w:rPr>
      </w:pPr>
      <w:r w:rsidRPr="0083017F">
        <w:rPr>
          <w:sz w:val="22"/>
          <w:szCs w:val="22"/>
          <w:lang w:val="hr-HR"/>
        </w:rPr>
        <w:t>klinički značajnom insuficijencijom srca sa smanjenom istisnom (ejekcionom) frakcijom lijeve komore</w:t>
      </w:r>
    </w:p>
    <w:p w:rsidR="0097639F" w:rsidRPr="0083017F" w:rsidRDefault="0097639F" w:rsidP="00B947F2">
      <w:pPr>
        <w:pStyle w:val="NoSpacing"/>
        <w:numPr>
          <w:ilvl w:val="0"/>
          <w:numId w:val="18"/>
        </w:numPr>
        <w:jc w:val="both"/>
        <w:rPr>
          <w:sz w:val="22"/>
          <w:szCs w:val="22"/>
          <w:lang w:val="hr-HR"/>
        </w:rPr>
      </w:pPr>
      <w:r w:rsidRPr="0083017F">
        <w:rPr>
          <w:sz w:val="22"/>
          <w:szCs w:val="22"/>
          <w:lang w:val="hr-HR"/>
        </w:rPr>
        <w:t>prethodnom anamnezom simptomatskih aritmija</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Moksifloksacin se ne smije istovremeno primjenjivati sa drugim ljekovima koji produžavaju QT interval (takođe vidjeti odjeljak 4.5).</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Zbog ograničenih kliničkih podataka, moksifloksacin je kontraindikovan i kod pacijenata sa oštećenom funkcijom jetre (Child Pugh C) i kod pacijenata čije vrijednosti transaminaza premašuju gornju granicu referentnih vrijednosti za više od 5 puta.</w:t>
      </w:r>
    </w:p>
    <w:p w:rsidR="0097639F" w:rsidRPr="0083017F" w:rsidRDefault="0097639F" w:rsidP="00B947F2">
      <w:pPr>
        <w:pStyle w:val="NoSpacing"/>
        <w:jc w:val="both"/>
        <w:rPr>
          <w:sz w:val="22"/>
          <w:szCs w:val="22"/>
          <w:lang w:val="hr-HR"/>
        </w:rPr>
      </w:pPr>
      <w:r w:rsidRPr="0083017F">
        <w:rPr>
          <w:sz w:val="22"/>
          <w:szCs w:val="22"/>
          <w:lang w:val="hr-HR"/>
        </w:rPr>
        <w:t xml:space="preserve"> </w:t>
      </w:r>
    </w:p>
    <w:p w:rsidR="0097639F" w:rsidRPr="0083017F" w:rsidRDefault="0097639F" w:rsidP="00B947F2">
      <w:pPr>
        <w:pStyle w:val="NoSpacing"/>
        <w:jc w:val="both"/>
        <w:rPr>
          <w:b/>
          <w:sz w:val="22"/>
          <w:szCs w:val="22"/>
          <w:lang w:val="hr-HR"/>
        </w:rPr>
      </w:pPr>
      <w:r w:rsidRPr="0083017F">
        <w:rPr>
          <w:b/>
          <w:sz w:val="22"/>
          <w:szCs w:val="22"/>
          <w:lang w:val="hr-HR"/>
        </w:rPr>
        <w:t>4.4.Posebna upozorenja i mjere opreza pri upotrebi lijeka</w:t>
      </w:r>
    </w:p>
    <w:p w:rsidR="00B947F2" w:rsidRPr="0083017F" w:rsidRDefault="00B947F2" w:rsidP="00B947F2">
      <w:pPr>
        <w:pStyle w:val="NoSpacing"/>
        <w:jc w:val="both"/>
        <w:rPr>
          <w:b/>
          <w:sz w:val="22"/>
          <w:szCs w:val="22"/>
          <w:lang w:val="hr-HR"/>
        </w:rPr>
      </w:pPr>
    </w:p>
    <w:p w:rsidR="00B947F2" w:rsidRPr="0083017F" w:rsidRDefault="0097639F" w:rsidP="00B947F2">
      <w:pPr>
        <w:pStyle w:val="NoSpacing"/>
        <w:jc w:val="both"/>
        <w:rPr>
          <w:sz w:val="22"/>
          <w:szCs w:val="22"/>
          <w:lang w:val="hr-HR"/>
        </w:rPr>
      </w:pPr>
      <w:r w:rsidRPr="0083017F">
        <w:rPr>
          <w:sz w:val="22"/>
          <w:szCs w:val="22"/>
          <w:lang w:val="hr-HR"/>
        </w:rPr>
        <w:t>Korist od terapije moksifloksacinom, posebno kod infekcija koje nijesu ozbiljne, treba procijeniti u zavisnosti od podataka sadržanih u dijelu Upozorenja i mjere opreza.</w:t>
      </w:r>
    </w:p>
    <w:p w:rsidR="002B3664" w:rsidRPr="0083017F" w:rsidRDefault="002B3664" w:rsidP="00B947F2">
      <w:pPr>
        <w:pStyle w:val="NoSpacing"/>
        <w:jc w:val="both"/>
        <w:rPr>
          <w:sz w:val="22"/>
          <w:szCs w:val="22"/>
          <w:u w:val="single"/>
          <w:lang w:val="hr-HR"/>
        </w:rPr>
      </w:pPr>
    </w:p>
    <w:p w:rsidR="0097639F" w:rsidRPr="0083017F" w:rsidRDefault="0097639F" w:rsidP="00B947F2">
      <w:pPr>
        <w:pStyle w:val="NoSpacing"/>
        <w:jc w:val="both"/>
        <w:rPr>
          <w:sz w:val="22"/>
          <w:szCs w:val="22"/>
          <w:u w:val="single"/>
          <w:lang w:val="hr-HR"/>
        </w:rPr>
      </w:pPr>
      <w:r w:rsidRPr="0083017F">
        <w:rPr>
          <w:sz w:val="22"/>
          <w:szCs w:val="22"/>
          <w:u w:val="single"/>
          <w:lang w:val="hr-HR"/>
        </w:rPr>
        <w:t>Produženje QTc intervala i kliničke situacije u kojima može doći do produženja QTc intervala</w:t>
      </w:r>
    </w:p>
    <w:p w:rsidR="0097639F" w:rsidRPr="0083017F" w:rsidRDefault="0097639F" w:rsidP="00B947F2">
      <w:pPr>
        <w:pStyle w:val="NoSpacing"/>
        <w:jc w:val="both"/>
        <w:rPr>
          <w:sz w:val="22"/>
          <w:szCs w:val="22"/>
          <w:lang w:val="hr-HR"/>
        </w:rPr>
      </w:pPr>
      <w:r w:rsidRPr="0083017F">
        <w:rPr>
          <w:sz w:val="22"/>
          <w:szCs w:val="22"/>
          <w:lang w:val="hr-HR"/>
        </w:rPr>
        <w:t>Pokazalo se da moksifloksacin kod nekih pacijenata uzrokuje produženje QTc intervala na elektrokardiogramu. Analiza elektrokardiograma u okviru programa kliničkih ispitivanja pokazala je produženje QTc intervala tokom te</w:t>
      </w:r>
      <w:r w:rsidR="00B947F2" w:rsidRPr="0083017F">
        <w:rPr>
          <w:sz w:val="22"/>
          <w:szCs w:val="22"/>
          <w:lang w:val="hr-HR"/>
        </w:rPr>
        <w:t>rapije moksifloksacinom od 6ms ± 26</w:t>
      </w:r>
      <w:r w:rsidRPr="0083017F">
        <w:rPr>
          <w:sz w:val="22"/>
          <w:szCs w:val="22"/>
          <w:lang w:val="hr-HR"/>
        </w:rPr>
        <w:t>ms, 1,4% od osnovne vrijednosti. S obzirom da kod žena postoji tendencija dužeg osnovnog QTc intervala u poređenju sa muškarcima, one mogu biti osjetljivije na ljekove koji produžavaju QTc interval. Stariji pacijenti takođe mogu biti osjetljiviji na promjene QT intervala izazvane ljekovima.</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 xml:space="preserve">Kod pacijenata koji uzimaju moksifloksacin treba oprezno davati ljekove koji mogu smanjiti nivo kalijuma u organizmu </w:t>
      </w:r>
      <w:r w:rsidRPr="0083017F">
        <w:rPr>
          <w:iCs/>
          <w:sz w:val="22"/>
          <w:szCs w:val="22"/>
          <w:lang w:val="hr-HR"/>
        </w:rPr>
        <w:t>(vidjeti takođe djelove 4.3 i 4.5).</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 xml:space="preserve">Kod pacijenata koji imaju predispoziciju za razvoj aritmija (posebno žene i stariji pacijenti) kao što su akutna ishemija miokarda ili produženje QT intervala, treba oprezno davati moksifloksacin, jer to može povećati rizik od ventrikularnih aritmija (uključujući </w:t>
      </w:r>
      <w:r w:rsidRPr="0083017F">
        <w:rPr>
          <w:i/>
          <w:iCs/>
          <w:sz w:val="22"/>
          <w:szCs w:val="22"/>
          <w:lang w:val="hr-HR"/>
        </w:rPr>
        <w:t>torsade de pointes</w:t>
      </w:r>
      <w:r w:rsidRPr="0083017F">
        <w:rPr>
          <w:sz w:val="22"/>
          <w:szCs w:val="22"/>
          <w:lang w:val="hr-HR"/>
        </w:rPr>
        <w:t xml:space="preserve">) i srčani zastoj </w:t>
      </w:r>
      <w:r w:rsidRPr="0083017F">
        <w:rPr>
          <w:iCs/>
          <w:sz w:val="22"/>
          <w:szCs w:val="22"/>
          <w:lang w:val="hr-HR"/>
        </w:rPr>
        <w:t>(vidjeti takođe odjeljak 4.3)</w:t>
      </w:r>
      <w:r w:rsidRPr="0083017F">
        <w:rPr>
          <w:sz w:val="22"/>
          <w:szCs w:val="22"/>
          <w:lang w:val="hr-HR"/>
        </w:rPr>
        <w:t>. S obzirom da se produženje QT intervala može povećati sa povećanjem koncentracije lijeka, preporučena doza se ne smije prekoračiti.</w:t>
      </w:r>
      <w:r w:rsidR="00976066" w:rsidRPr="0083017F">
        <w:rPr>
          <w:sz w:val="22"/>
          <w:szCs w:val="22"/>
          <w:lang w:val="hr-HR"/>
        </w:rPr>
        <w:t xml:space="preserve"> </w:t>
      </w:r>
      <w:r w:rsidRPr="0083017F">
        <w:rPr>
          <w:sz w:val="22"/>
          <w:szCs w:val="22"/>
          <w:lang w:val="hr-HR"/>
        </w:rPr>
        <w:t>Ukoliko se tokom liječenja moksifloksacinom pojave znakovi srčane aritmije, liječenje treba prekinuti i uraditi EKG.</w:t>
      </w:r>
    </w:p>
    <w:p w:rsidR="0097639F" w:rsidRPr="0083017F" w:rsidRDefault="0097639F" w:rsidP="00B947F2">
      <w:pPr>
        <w:pStyle w:val="NoSpacing"/>
        <w:jc w:val="both"/>
        <w:rPr>
          <w:sz w:val="22"/>
          <w:szCs w:val="22"/>
          <w:u w:val="single"/>
          <w:lang w:val="hr-HR"/>
        </w:rPr>
      </w:pPr>
      <w:r w:rsidRPr="0083017F">
        <w:rPr>
          <w:sz w:val="22"/>
          <w:szCs w:val="22"/>
          <w:u w:val="single"/>
          <w:lang w:val="hr-HR"/>
        </w:rPr>
        <w:lastRenderedPageBreak/>
        <w:t>Reakcije preosjetljivosti/alergijske reakcije</w:t>
      </w:r>
    </w:p>
    <w:p w:rsidR="0097639F" w:rsidRPr="0083017F" w:rsidRDefault="0097639F" w:rsidP="00B947F2">
      <w:pPr>
        <w:pStyle w:val="NoSpacing"/>
        <w:jc w:val="both"/>
        <w:rPr>
          <w:sz w:val="22"/>
          <w:szCs w:val="22"/>
          <w:lang w:val="hr-HR"/>
        </w:rPr>
      </w:pPr>
      <w:r w:rsidRPr="0083017F">
        <w:rPr>
          <w:sz w:val="22"/>
          <w:szCs w:val="22"/>
          <w:lang w:val="hr-HR"/>
        </w:rPr>
        <w:t>Nakon prve primjene fluorohinolona, uključujući moksifloksacin, zabilježene su reakcije preosjetljivosti i alergijske reakcije. Čak i nakon prve primjene lijeka, anafilaktičke reakcije mogu da se razviju do stadijuma šoka koji ugrozava život. U takvim slučajevima liječenje moksifloksacinom treba obustaviti i započeti odgovarajuću terapiju (npr. anti-šok terapiju).</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iCs/>
          <w:sz w:val="22"/>
          <w:szCs w:val="22"/>
          <w:u w:val="single"/>
          <w:lang w:val="hr-HR"/>
        </w:rPr>
        <w:t>Teško oštećenje jetre</w:t>
      </w:r>
    </w:p>
    <w:p w:rsidR="0097639F" w:rsidRPr="0083017F" w:rsidRDefault="0097639F" w:rsidP="00B947F2">
      <w:pPr>
        <w:pStyle w:val="NoSpacing"/>
        <w:jc w:val="both"/>
        <w:rPr>
          <w:sz w:val="22"/>
          <w:szCs w:val="22"/>
          <w:lang w:val="hr-HR"/>
        </w:rPr>
      </w:pPr>
      <w:r w:rsidRPr="0083017F">
        <w:rPr>
          <w:sz w:val="22"/>
          <w:szCs w:val="22"/>
          <w:lang w:val="hr-HR"/>
        </w:rPr>
        <w:t xml:space="preserve">Prijavljeni su slučajevi fulminantnog hepatitisa koji može da izazove insuficijenciju jetre (uključujući i smrtne slučajeve) tokom primjene moksifloksacina </w:t>
      </w:r>
      <w:r w:rsidRPr="0083017F">
        <w:rPr>
          <w:iCs/>
          <w:sz w:val="22"/>
          <w:szCs w:val="22"/>
          <w:lang w:val="hr-HR"/>
        </w:rPr>
        <w:t xml:space="preserve">(vidjeti odjeljak 4.8). </w:t>
      </w:r>
      <w:r w:rsidRPr="0083017F">
        <w:rPr>
          <w:sz w:val="22"/>
          <w:szCs w:val="22"/>
          <w:lang w:val="hr-HR"/>
        </w:rPr>
        <w:t>Pacijentima treba savjetovati da se prije nastavka liječenja obrate svom ljekaru ako se razviju simptomi fulminantne bolesti jetre kao što je npr. brzi razvoj astenije praćene žuticom, tamnim urinom, sklonošću ka krvarenju ili hepatičkom encefalopatijom.</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U slučaju naznake poremećaja funkcije jetre, potrebno je uraditi testove/pretrage funkcije jetre.</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iCs/>
          <w:sz w:val="22"/>
          <w:szCs w:val="22"/>
          <w:u w:val="single"/>
          <w:lang w:val="hr-HR"/>
        </w:rPr>
        <w:t>Teške bulozne kožne reakcije</w:t>
      </w:r>
    </w:p>
    <w:p w:rsidR="0097639F" w:rsidRPr="0083017F" w:rsidRDefault="0097639F" w:rsidP="00B947F2">
      <w:pPr>
        <w:pStyle w:val="NoSpacing"/>
        <w:jc w:val="both"/>
        <w:rPr>
          <w:sz w:val="22"/>
          <w:szCs w:val="22"/>
          <w:lang w:val="hr-HR"/>
        </w:rPr>
      </w:pPr>
      <w:r w:rsidRPr="0083017F">
        <w:rPr>
          <w:sz w:val="22"/>
          <w:szCs w:val="22"/>
          <w:lang w:val="hr-HR"/>
        </w:rPr>
        <w:t xml:space="preserve">Zabilježeni su slučajevi buloznih kožnih reakcija kao što su Stevens-Johnsonovog sindrom ili toksične epidermalne nekrolize tokom terapije moksifloksacinom </w:t>
      </w:r>
      <w:r w:rsidRPr="0083017F">
        <w:rPr>
          <w:iCs/>
          <w:sz w:val="22"/>
          <w:szCs w:val="22"/>
          <w:lang w:val="hr-HR"/>
        </w:rPr>
        <w:t>(vidjeti odjeljak 4.8).</w:t>
      </w:r>
      <w:r w:rsidRPr="0083017F">
        <w:rPr>
          <w:i/>
          <w:iCs/>
          <w:sz w:val="22"/>
          <w:szCs w:val="22"/>
          <w:lang w:val="hr-HR"/>
        </w:rPr>
        <w:t xml:space="preserve"> </w:t>
      </w:r>
      <w:r w:rsidRPr="0083017F">
        <w:rPr>
          <w:sz w:val="22"/>
          <w:szCs w:val="22"/>
          <w:lang w:val="hr-HR"/>
        </w:rPr>
        <w:t>U slučaju pojave reakcija na koži i/ili sluzokoži, pacijentima treba savjetovati da se odmah obrate svom ljekaru  prije nastavka liječenja.</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iCs/>
          <w:sz w:val="22"/>
          <w:szCs w:val="22"/>
          <w:u w:val="single"/>
          <w:lang w:val="hr-HR"/>
        </w:rPr>
        <w:t>Pacijenti sa predispozicijom za epileptičke napade</w:t>
      </w:r>
    </w:p>
    <w:p w:rsidR="0097639F" w:rsidRPr="0083017F" w:rsidRDefault="0097639F" w:rsidP="00B947F2">
      <w:pPr>
        <w:pStyle w:val="NoSpacing"/>
        <w:jc w:val="both"/>
        <w:rPr>
          <w:sz w:val="22"/>
          <w:szCs w:val="22"/>
          <w:lang w:val="sr-Latn-ME"/>
        </w:rPr>
      </w:pPr>
      <w:r w:rsidRPr="0083017F">
        <w:rPr>
          <w:sz w:val="22"/>
          <w:szCs w:val="22"/>
          <w:lang w:val="hr-HR"/>
        </w:rPr>
        <w:t xml:space="preserve">Poznato je da hinoloni mogu </w:t>
      </w:r>
      <w:r w:rsidRPr="0083017F">
        <w:rPr>
          <w:sz w:val="22"/>
          <w:szCs w:val="22"/>
          <w:lang w:val="sr-Latn-ME"/>
        </w:rPr>
        <w:t>da podstaknu epileptičke napade</w:t>
      </w:r>
      <w:r w:rsidRPr="0083017F">
        <w:rPr>
          <w:sz w:val="22"/>
          <w:szCs w:val="22"/>
          <w:lang w:val="hr-HR"/>
        </w:rPr>
        <w:t>. Zbog toga ove ljekove treba oprezno koristiti kod pacijenata sa oštećenjima CNS, koji mogu da stvore predispoziciju za pojavu epileptičkih napada ili da snize prag za njihov nastanak. U slučaju epileptičkih napada, liječenje moksifloksacinom se mora prekinuti i primjeniti odgovarajuće mjere.</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iCs/>
          <w:sz w:val="22"/>
          <w:szCs w:val="22"/>
          <w:u w:val="single"/>
          <w:lang w:val="hr-HR"/>
        </w:rPr>
        <w:t>Periferna neuropatija</w:t>
      </w:r>
    </w:p>
    <w:p w:rsidR="0097639F" w:rsidRPr="0083017F" w:rsidRDefault="0097639F" w:rsidP="00B947F2">
      <w:pPr>
        <w:pStyle w:val="NoSpacing"/>
        <w:jc w:val="both"/>
        <w:rPr>
          <w:sz w:val="22"/>
          <w:szCs w:val="22"/>
          <w:lang w:val="hr-HR"/>
        </w:rPr>
      </w:pPr>
      <w:r w:rsidRPr="0083017F">
        <w:rPr>
          <w:sz w:val="22"/>
          <w:szCs w:val="22"/>
          <w:lang w:val="hr-HR"/>
        </w:rPr>
        <w:t xml:space="preserve">Kod pacijenata koji su primjenjivali hinolone, uključujući moksifloksacin, zabilježeni su slučajevi senzorne ili senzomotorne polineuropatije u vidu parestezija, hipoestezija, dizestezija ili slabosti. Pacijente koji se liječe moksifloksacinom treba savjetovati da prije nastavka liječenja obavijeste svog ljekara u slučaju pojave simptoma neuropatije, kao što su bol, pečenje, trnci, utrnulost ili slabost kako bi se spriječila pojava ireverzibilnog stanja </w:t>
      </w:r>
      <w:r w:rsidRPr="0083017F">
        <w:rPr>
          <w:iCs/>
          <w:sz w:val="22"/>
          <w:szCs w:val="22"/>
          <w:lang w:val="hr-HR"/>
        </w:rPr>
        <w:t>(vidjeti odjeljak 4.8).</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iCs/>
          <w:sz w:val="22"/>
          <w:szCs w:val="22"/>
          <w:u w:val="single"/>
          <w:lang w:val="hr-HR"/>
        </w:rPr>
        <w:t>Psihijatrijske reakcije</w:t>
      </w:r>
    </w:p>
    <w:p w:rsidR="0097639F" w:rsidRPr="0083017F" w:rsidRDefault="0097639F" w:rsidP="00B947F2">
      <w:pPr>
        <w:pStyle w:val="NoSpacing"/>
        <w:jc w:val="both"/>
        <w:rPr>
          <w:sz w:val="22"/>
          <w:szCs w:val="22"/>
          <w:lang w:val="hr-HR"/>
        </w:rPr>
      </w:pPr>
      <w:r w:rsidRPr="0083017F">
        <w:rPr>
          <w:sz w:val="22"/>
          <w:szCs w:val="22"/>
          <w:lang w:val="hr-HR"/>
        </w:rPr>
        <w:t xml:space="preserve">Psihijatrijske reakcije mogu se pojaviti već nakon prve primjene hinolona, uključujući moksifloksacin. U vrlo rijetkim slučajevima, depresija ili psihotične reakcije mogu da progrediraju do suicidalnih misli i samo-povrjeđujućeg ponašanja kao što je pokušaj samoubistva </w:t>
      </w:r>
      <w:r w:rsidRPr="0083017F">
        <w:rPr>
          <w:iCs/>
          <w:sz w:val="22"/>
          <w:szCs w:val="22"/>
          <w:lang w:val="hr-HR"/>
        </w:rPr>
        <w:t>(vidjeti odjeljak 4.8).</w:t>
      </w:r>
      <w:r w:rsidRPr="0083017F">
        <w:rPr>
          <w:i/>
          <w:iCs/>
          <w:sz w:val="22"/>
          <w:szCs w:val="22"/>
          <w:lang w:val="hr-HR"/>
        </w:rPr>
        <w:t xml:space="preserve"> </w:t>
      </w:r>
      <w:r w:rsidRPr="0083017F">
        <w:rPr>
          <w:sz w:val="22"/>
          <w:szCs w:val="22"/>
          <w:lang w:val="hr-HR"/>
        </w:rPr>
        <w:t>U slučaju pojave ovakvih reakcija kod pacijenata, treba prestati s primjenom moksifloksacina i preduzeti odgovarajuće mjere. Potreban je oprez u slučaju primjene moksifloksacina kod psihotičnih pacijenata ili pacijenata s psihičkim oboljenjem u anamnezi.</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iCs/>
          <w:sz w:val="22"/>
          <w:szCs w:val="22"/>
          <w:u w:val="single"/>
          <w:lang w:val="hr-HR"/>
        </w:rPr>
        <w:t>Dijareja povezana sa primjenom antibiotika, uključujući kolitis</w:t>
      </w:r>
    </w:p>
    <w:p w:rsidR="0097639F" w:rsidRPr="0083017F" w:rsidRDefault="0097639F" w:rsidP="00B947F2">
      <w:pPr>
        <w:pStyle w:val="NoSpacing"/>
        <w:jc w:val="both"/>
        <w:rPr>
          <w:sz w:val="22"/>
          <w:szCs w:val="22"/>
          <w:lang w:val="hr-HR"/>
        </w:rPr>
      </w:pPr>
      <w:r w:rsidRPr="0083017F">
        <w:rPr>
          <w:sz w:val="22"/>
          <w:szCs w:val="22"/>
          <w:lang w:val="hr-HR"/>
        </w:rPr>
        <w:t xml:space="preserve">Tokom primjene antibiotika širokog spektra, uključujući moksifloksacin, zabilježena je pojava dijareje povezane sa primjenom antibiotika </w:t>
      </w:r>
      <w:r w:rsidRPr="0083017F">
        <w:rPr>
          <w:sz w:val="22"/>
          <w:szCs w:val="22"/>
        </w:rPr>
        <w:t xml:space="preserve">(AAD = </w:t>
      </w:r>
      <w:r w:rsidRPr="0083017F">
        <w:rPr>
          <w:i/>
          <w:iCs/>
          <w:sz w:val="22"/>
          <w:szCs w:val="22"/>
        </w:rPr>
        <w:t>Antibiotic Associated Diarrhoea</w:t>
      </w:r>
      <w:r w:rsidRPr="0083017F">
        <w:rPr>
          <w:sz w:val="22"/>
          <w:szCs w:val="22"/>
        </w:rPr>
        <w:t xml:space="preserve">) </w:t>
      </w:r>
      <w:r w:rsidRPr="0083017F">
        <w:rPr>
          <w:sz w:val="22"/>
          <w:szCs w:val="22"/>
          <w:lang w:val="hr-HR"/>
        </w:rPr>
        <w:t xml:space="preserve">i kolitisa povezanog sa primjenom antibiotika </w:t>
      </w:r>
      <w:r w:rsidRPr="0083017F">
        <w:rPr>
          <w:sz w:val="22"/>
          <w:szCs w:val="22"/>
        </w:rPr>
        <w:t xml:space="preserve">(AAC = </w:t>
      </w:r>
      <w:r w:rsidRPr="0083017F">
        <w:rPr>
          <w:i/>
          <w:iCs/>
          <w:sz w:val="22"/>
          <w:szCs w:val="22"/>
        </w:rPr>
        <w:t>Antibiotic Associated Colitis</w:t>
      </w:r>
      <w:r w:rsidRPr="0083017F">
        <w:rPr>
          <w:sz w:val="22"/>
          <w:szCs w:val="22"/>
        </w:rPr>
        <w:t>)</w:t>
      </w:r>
      <w:r w:rsidRPr="0083017F">
        <w:rPr>
          <w:sz w:val="22"/>
          <w:szCs w:val="22"/>
          <w:lang w:val="hr-HR"/>
        </w:rPr>
        <w:t xml:space="preserve">, uključujući pseudomembranozni kolitis i dijareju zbog infekcije s </w:t>
      </w:r>
      <w:r w:rsidRPr="0083017F">
        <w:rPr>
          <w:i/>
          <w:iCs/>
          <w:sz w:val="22"/>
          <w:szCs w:val="22"/>
          <w:lang w:val="hr-HR"/>
        </w:rPr>
        <w:t xml:space="preserve">Clostridium difficile, </w:t>
      </w:r>
      <w:r w:rsidRPr="0083017F">
        <w:rPr>
          <w:sz w:val="22"/>
          <w:szCs w:val="22"/>
          <w:lang w:val="hr-HR"/>
        </w:rPr>
        <w:t xml:space="preserve">koje mogu da se kreću u rasponu od blagih dijareja do fatalnog kolitisa. Zato je važno uzeti u obzir ovu dijagnozu kod pacijenata kod kojih se razvije ozbiljna dijareja tokom ili nakon primjene moksifloksacina. Ako postoji sumnja da je dijareja povezana sa primjenom antibiotika ili </w:t>
      </w:r>
      <w:r w:rsidRPr="0083017F">
        <w:rPr>
          <w:sz w:val="22"/>
          <w:szCs w:val="22"/>
          <w:lang w:val="hr-HR"/>
        </w:rPr>
        <w:lastRenderedPageBreak/>
        <w:t>kolitis povezan sa primjenom antibiotika, ili je dijagnoza potvrđena, liječenje antibioticima, uključujući moksifloksacin, treba prekinuti i odmah poduzeti odgovarajuće terapijske mjere. Osim toga, potrebno je sprovesti adekvatne mjere kontrole infekcije u cilju smanjenja rizika od transmisije. Ljekovi koji inhibišu peristaltiku kontraindikovani su kod pacijenata sa ozbiljnom dijarejom.</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iCs/>
          <w:sz w:val="22"/>
          <w:szCs w:val="22"/>
          <w:u w:val="single"/>
          <w:lang w:val="hr-HR"/>
        </w:rPr>
        <w:t>Pacijenti sa miastenijom gravis</w:t>
      </w:r>
    </w:p>
    <w:p w:rsidR="0097639F" w:rsidRPr="0083017F" w:rsidRDefault="0097639F" w:rsidP="00B947F2">
      <w:pPr>
        <w:pStyle w:val="NoSpacing"/>
        <w:jc w:val="both"/>
        <w:rPr>
          <w:sz w:val="22"/>
          <w:szCs w:val="22"/>
          <w:lang w:val="hr-HR"/>
        </w:rPr>
      </w:pPr>
      <w:r w:rsidRPr="0083017F">
        <w:rPr>
          <w:sz w:val="22"/>
          <w:szCs w:val="22"/>
          <w:lang w:val="hr-HR"/>
        </w:rPr>
        <w:t>Zbog mogućnosti pogoršanja simptoma, moksifloksacin treba davati s oprezom pacijentima koji boluju od miastenije gravis.</w:t>
      </w:r>
    </w:p>
    <w:p w:rsidR="0097639F" w:rsidRPr="0083017F" w:rsidRDefault="0097639F" w:rsidP="00B947F2">
      <w:pPr>
        <w:pStyle w:val="NoSpacing"/>
        <w:jc w:val="both"/>
        <w:rPr>
          <w:iCs/>
          <w:sz w:val="22"/>
          <w:szCs w:val="22"/>
          <w:u w:val="single"/>
          <w:lang w:val="hr-HR"/>
        </w:rPr>
      </w:pPr>
    </w:p>
    <w:p w:rsidR="0097639F" w:rsidRPr="0083017F" w:rsidRDefault="0097639F" w:rsidP="00B947F2">
      <w:pPr>
        <w:pStyle w:val="NoSpacing"/>
        <w:jc w:val="both"/>
        <w:rPr>
          <w:sz w:val="22"/>
          <w:szCs w:val="22"/>
          <w:u w:val="single"/>
          <w:lang w:val="hr-HR"/>
        </w:rPr>
      </w:pPr>
      <w:r w:rsidRPr="0083017F">
        <w:rPr>
          <w:iCs/>
          <w:sz w:val="22"/>
          <w:szCs w:val="22"/>
          <w:u w:val="single"/>
          <w:lang w:val="hr-HR"/>
        </w:rPr>
        <w:t>Zapaljenje tetiva, ruptura tetiva</w:t>
      </w:r>
    </w:p>
    <w:p w:rsidR="0097639F" w:rsidRPr="0083017F" w:rsidRDefault="0097639F" w:rsidP="00B947F2">
      <w:pPr>
        <w:pStyle w:val="NoSpacing"/>
        <w:jc w:val="both"/>
        <w:rPr>
          <w:sz w:val="22"/>
          <w:szCs w:val="22"/>
          <w:lang w:val="sr-Latn-ME"/>
        </w:rPr>
      </w:pPr>
      <w:r w:rsidRPr="0083017F">
        <w:rPr>
          <w:sz w:val="22"/>
          <w:szCs w:val="22"/>
          <w:lang w:val="hr-HR"/>
        </w:rPr>
        <w:t xml:space="preserve">Tokom terapije hinolonima, uključujući moksifloksacin, može doći do pojave zapaljenja i rupture tetiva (posebno Ahilove tetive), ponekad bilateralno, čak i u prvih 48 sati od početka terapije, ali i do nekoliko mjeseci nakon prestanka terapije. Rizik od zapaljenja i rupture tetiva povećan je kod starijih pacijenata, kao i kod onih koji istovremeno uzimaju kortikosteroide. Na prvi znak bola ili zapaljenja, pacijenti treba da prekinu terapiju moksifloksacinom, odmore zahvaćeni(e) ekstremitet(e) i da se odmah obrate svom </w:t>
      </w:r>
      <w:r w:rsidRPr="0083017F">
        <w:rPr>
          <w:sz w:val="22"/>
          <w:szCs w:val="22"/>
          <w:lang w:val="sr-Latn-ME"/>
        </w:rPr>
        <w:t xml:space="preserve">ljekaru </w:t>
      </w:r>
      <w:r w:rsidRPr="0083017F">
        <w:rPr>
          <w:sz w:val="22"/>
          <w:szCs w:val="22"/>
          <w:lang w:val="hr-HR"/>
        </w:rPr>
        <w:t xml:space="preserve">kako bi započeli odgovarajuće liječenje (npr. imobilizacija) zahvaćene tetive </w:t>
      </w:r>
      <w:r w:rsidRPr="0083017F">
        <w:rPr>
          <w:iCs/>
          <w:sz w:val="22"/>
          <w:szCs w:val="22"/>
          <w:lang w:val="hr-HR"/>
        </w:rPr>
        <w:t>(vidjeti djelove 4.3 i 4.8)</w:t>
      </w:r>
      <w:r w:rsidRPr="0083017F">
        <w:rPr>
          <w:sz w:val="22"/>
          <w:szCs w:val="22"/>
          <w:lang w:val="hr-HR"/>
        </w:rPr>
        <w:t>.</w:t>
      </w:r>
    </w:p>
    <w:p w:rsidR="00B66F64" w:rsidRPr="0083017F" w:rsidRDefault="00B66F64" w:rsidP="00B947F2">
      <w:pPr>
        <w:pStyle w:val="NoSpacing"/>
        <w:jc w:val="both"/>
        <w:rPr>
          <w:sz w:val="22"/>
          <w:szCs w:val="22"/>
          <w:u w:val="single"/>
          <w:lang w:val="hr-HR"/>
        </w:rPr>
      </w:pPr>
    </w:p>
    <w:p w:rsidR="0097639F" w:rsidRPr="0083017F" w:rsidRDefault="0097639F" w:rsidP="00B947F2">
      <w:pPr>
        <w:pStyle w:val="NoSpacing"/>
        <w:jc w:val="both"/>
        <w:rPr>
          <w:sz w:val="22"/>
          <w:szCs w:val="22"/>
          <w:u w:val="single"/>
          <w:lang w:val="hr-HR"/>
        </w:rPr>
      </w:pPr>
      <w:r w:rsidRPr="0083017F">
        <w:rPr>
          <w:sz w:val="22"/>
          <w:szCs w:val="22"/>
          <w:u w:val="single"/>
          <w:lang w:val="hr-HR"/>
        </w:rPr>
        <w:t>Pacijenti sa oštećenjem bubrežne funkcije</w:t>
      </w:r>
    </w:p>
    <w:p w:rsidR="0097639F" w:rsidRPr="0083017F" w:rsidRDefault="0097639F" w:rsidP="00B947F2">
      <w:pPr>
        <w:pStyle w:val="NoSpacing"/>
        <w:jc w:val="both"/>
        <w:rPr>
          <w:sz w:val="22"/>
          <w:szCs w:val="22"/>
          <w:lang w:val="hr-HR"/>
        </w:rPr>
      </w:pPr>
      <w:r w:rsidRPr="0083017F">
        <w:rPr>
          <w:sz w:val="22"/>
          <w:szCs w:val="22"/>
          <w:lang w:val="hr-HR"/>
        </w:rPr>
        <w:t>Moksifloksacin treba oprezno koristiti kod starijih pacijenata sa bubrežnim poremećajima, kod kojih je unos tečnosti neadekvatan, jer dehidratacija može povećati rizik od bubrežne insuficijencije.</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iCs/>
          <w:sz w:val="22"/>
          <w:szCs w:val="22"/>
          <w:u w:val="single"/>
          <w:lang w:val="hr-HR"/>
        </w:rPr>
        <w:t>Poremećaj vida</w:t>
      </w:r>
    </w:p>
    <w:p w:rsidR="0097639F" w:rsidRPr="0083017F" w:rsidRDefault="0097639F" w:rsidP="00B947F2">
      <w:pPr>
        <w:pStyle w:val="NoSpacing"/>
        <w:jc w:val="both"/>
        <w:rPr>
          <w:iCs/>
          <w:sz w:val="22"/>
          <w:szCs w:val="22"/>
          <w:lang w:val="hr-HR"/>
        </w:rPr>
      </w:pPr>
      <w:r w:rsidRPr="0083017F">
        <w:rPr>
          <w:sz w:val="22"/>
          <w:szCs w:val="22"/>
          <w:lang w:val="hr-HR"/>
        </w:rPr>
        <w:t xml:space="preserve">Ako dođe do poremećaja vida ili se ispolji neki drugi efekat na očima, odmah treba konsultovati oftamologa </w:t>
      </w:r>
      <w:r w:rsidRPr="0083017F">
        <w:rPr>
          <w:iCs/>
          <w:spacing w:val="-1"/>
          <w:sz w:val="22"/>
          <w:szCs w:val="22"/>
          <w:lang w:val="hr-HR"/>
        </w:rPr>
        <w:t>(v</w:t>
      </w:r>
      <w:r w:rsidRPr="0083017F">
        <w:rPr>
          <w:iCs/>
          <w:sz w:val="22"/>
          <w:szCs w:val="22"/>
          <w:lang w:val="hr-HR"/>
        </w:rPr>
        <w:t>id</w:t>
      </w:r>
      <w:r w:rsidRPr="0083017F">
        <w:rPr>
          <w:iCs/>
          <w:spacing w:val="1"/>
          <w:sz w:val="22"/>
          <w:szCs w:val="22"/>
          <w:lang w:val="hr-HR"/>
        </w:rPr>
        <w:t>j</w:t>
      </w:r>
      <w:r w:rsidRPr="0083017F">
        <w:rPr>
          <w:iCs/>
          <w:spacing w:val="-1"/>
          <w:sz w:val="22"/>
          <w:szCs w:val="22"/>
          <w:lang w:val="hr-HR"/>
        </w:rPr>
        <w:t>e</w:t>
      </w:r>
      <w:r w:rsidRPr="0083017F">
        <w:rPr>
          <w:iCs/>
          <w:sz w:val="22"/>
          <w:szCs w:val="22"/>
          <w:lang w:val="hr-HR"/>
        </w:rPr>
        <w:t>ti</w:t>
      </w:r>
      <w:r w:rsidRPr="0083017F">
        <w:rPr>
          <w:iCs/>
          <w:spacing w:val="1"/>
          <w:sz w:val="22"/>
          <w:szCs w:val="22"/>
          <w:lang w:val="hr-HR"/>
        </w:rPr>
        <w:t xml:space="preserve"> </w:t>
      </w:r>
      <w:r w:rsidRPr="0083017F">
        <w:rPr>
          <w:iCs/>
          <w:sz w:val="22"/>
          <w:szCs w:val="22"/>
          <w:lang w:val="hr-HR"/>
        </w:rPr>
        <w:t>djelove</w:t>
      </w:r>
      <w:r w:rsidRPr="0083017F">
        <w:rPr>
          <w:iCs/>
          <w:spacing w:val="2"/>
          <w:sz w:val="22"/>
          <w:szCs w:val="22"/>
          <w:lang w:val="hr-HR"/>
        </w:rPr>
        <w:t xml:space="preserve"> </w:t>
      </w:r>
      <w:r w:rsidRPr="0083017F">
        <w:rPr>
          <w:iCs/>
          <w:sz w:val="22"/>
          <w:szCs w:val="22"/>
          <w:lang w:val="hr-HR"/>
        </w:rPr>
        <w:t>4.7 i 4.8</w:t>
      </w:r>
      <w:r w:rsidRPr="0083017F">
        <w:rPr>
          <w:iCs/>
          <w:spacing w:val="-3"/>
          <w:sz w:val="22"/>
          <w:szCs w:val="22"/>
          <w:lang w:val="hr-HR"/>
        </w:rPr>
        <w:t>)</w:t>
      </w:r>
      <w:r w:rsidRPr="0083017F">
        <w:rPr>
          <w:iCs/>
          <w:sz w:val="22"/>
          <w:szCs w:val="22"/>
          <w:lang w:val="hr-HR"/>
        </w:rPr>
        <w:t>.</w:t>
      </w:r>
    </w:p>
    <w:p w:rsidR="0097639F" w:rsidRPr="0083017F" w:rsidRDefault="0097639F" w:rsidP="00B947F2">
      <w:pPr>
        <w:pStyle w:val="NoSpacing"/>
        <w:jc w:val="both"/>
        <w:rPr>
          <w:iCs/>
          <w:sz w:val="22"/>
          <w:szCs w:val="22"/>
          <w:lang w:val="hr-HR"/>
        </w:rPr>
      </w:pPr>
    </w:p>
    <w:p w:rsidR="0097639F" w:rsidRPr="0083017F" w:rsidRDefault="0097639F" w:rsidP="00B947F2">
      <w:pPr>
        <w:pStyle w:val="NoSpacing"/>
        <w:jc w:val="both"/>
        <w:rPr>
          <w:sz w:val="22"/>
          <w:szCs w:val="22"/>
          <w:u w:val="single"/>
          <w:lang w:val="hr-HR"/>
        </w:rPr>
      </w:pPr>
      <w:r w:rsidRPr="0083017F">
        <w:rPr>
          <w:sz w:val="22"/>
          <w:szCs w:val="22"/>
          <w:u w:val="single"/>
          <w:lang w:val="hr-HR"/>
        </w:rPr>
        <w:t xml:space="preserve">Disglikemija </w:t>
      </w:r>
    </w:p>
    <w:p w:rsidR="0097639F" w:rsidRPr="0083017F" w:rsidRDefault="000255B9" w:rsidP="00B947F2">
      <w:pPr>
        <w:pStyle w:val="NoSpacing"/>
        <w:jc w:val="both"/>
        <w:rPr>
          <w:sz w:val="22"/>
          <w:szCs w:val="22"/>
          <w:lang w:val="hr-HR"/>
        </w:rPr>
      </w:pPr>
      <w:r w:rsidRPr="0083017F">
        <w:rPr>
          <w:sz w:val="22"/>
          <w:szCs w:val="22"/>
          <w:lang w:val="hr-HR"/>
        </w:rPr>
        <w:t xml:space="preserve">Kao </w:t>
      </w:r>
      <w:r w:rsidR="0097639F" w:rsidRPr="0083017F">
        <w:rPr>
          <w:sz w:val="22"/>
          <w:szCs w:val="22"/>
          <w:lang w:val="hr-HR"/>
        </w:rPr>
        <w:t>i s ostalim fluorokinolonima, poremećaji glukoze u krvi, uključujući i hipoglikemiju i hiperglikemiju, prijavljeni su s moksifloksacinom. U pacijenata liječenih moksifloksacinom, disglikemija se uglavnom javila u starijih bolesnika sa dijabetesom koji su istovremeno liječeni oralnim hipoglikemikom (npr. sulfonilureja) ili insulinom. U pacijenata sa dijabetesom, preporučuje se pažljivo praćenje glukoze u krvi (vidjeti dio 4.8).</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iCs/>
          <w:sz w:val="22"/>
          <w:szCs w:val="22"/>
          <w:u w:val="single"/>
          <w:lang w:val="hr-HR"/>
        </w:rPr>
        <w:t>Prevencija fotosenzitivnih reakcija</w:t>
      </w:r>
    </w:p>
    <w:p w:rsidR="0097639F" w:rsidRPr="0083017F" w:rsidRDefault="0097639F" w:rsidP="00B947F2">
      <w:pPr>
        <w:pStyle w:val="NoSpacing"/>
        <w:jc w:val="both"/>
        <w:rPr>
          <w:sz w:val="22"/>
          <w:szCs w:val="22"/>
          <w:lang w:val="hr-HR"/>
        </w:rPr>
      </w:pPr>
      <w:r w:rsidRPr="0083017F">
        <w:rPr>
          <w:sz w:val="22"/>
          <w:szCs w:val="22"/>
          <w:lang w:val="hr-HR"/>
        </w:rPr>
        <w:t>Hinoloni kod pacijenata mogu uzrokovati fotosenzitivne reakcije. Međutim, u kliničkim studijama je pokazano da je kod primjene moksifloksacina, rizik od pojave fotosenzitivnih reakcija manji. Međutim, pacijente treba savjetovati da tokom liječenja moksifloksacinom izbjegavaju izlaganje UV-zračenju ili produženo izlaganje i/ili izlaganje jakoj sunčevoj svjetlosti.</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sz w:val="22"/>
          <w:szCs w:val="22"/>
          <w:u w:val="single"/>
          <w:lang w:val="hr-HR"/>
        </w:rPr>
        <w:t>Pacijenti sa deficitom glukoza-6-fosfat dehidrogenaze</w:t>
      </w:r>
    </w:p>
    <w:p w:rsidR="0097639F" w:rsidRPr="0083017F" w:rsidRDefault="0097639F" w:rsidP="00B947F2">
      <w:pPr>
        <w:pStyle w:val="NoSpacing"/>
        <w:jc w:val="both"/>
        <w:rPr>
          <w:sz w:val="22"/>
          <w:szCs w:val="22"/>
          <w:lang w:val="hr-HR"/>
        </w:rPr>
      </w:pPr>
      <w:r w:rsidRPr="0083017F">
        <w:rPr>
          <w:sz w:val="22"/>
          <w:szCs w:val="22"/>
          <w:lang w:val="hr-HR"/>
        </w:rPr>
        <w:t>Pacijenti sa porodičnom anamnezom ili stvarnim deficitom glukoza-6-fosfat dehidrogenaze skloni su hemolitičkim reakcijama u toku primjene hinolona. Stoga se moksifloksacin mora oprezno primjenjivati kod ovih pacijenata.</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sz w:val="22"/>
          <w:szCs w:val="22"/>
          <w:u w:val="single"/>
          <w:lang w:val="hr-HR"/>
        </w:rPr>
        <w:t>Pacijenti sa inflamatorno</w:t>
      </w:r>
      <w:r w:rsidR="000255B9" w:rsidRPr="0083017F">
        <w:rPr>
          <w:sz w:val="22"/>
          <w:szCs w:val="22"/>
          <w:u w:val="single"/>
          <w:lang w:val="hr-HR"/>
        </w:rPr>
        <w:t>m</w:t>
      </w:r>
      <w:r w:rsidRPr="0083017F">
        <w:rPr>
          <w:sz w:val="22"/>
          <w:szCs w:val="22"/>
          <w:u w:val="single"/>
          <w:lang w:val="hr-HR"/>
        </w:rPr>
        <w:t xml:space="preserve"> bolešću karlice</w:t>
      </w:r>
    </w:p>
    <w:p w:rsidR="0097639F" w:rsidRPr="0083017F" w:rsidRDefault="0097639F" w:rsidP="00B947F2">
      <w:pPr>
        <w:pStyle w:val="NoSpacing"/>
        <w:jc w:val="both"/>
        <w:rPr>
          <w:sz w:val="22"/>
          <w:szCs w:val="22"/>
          <w:lang w:val="hr-HR"/>
        </w:rPr>
      </w:pPr>
      <w:r w:rsidRPr="0083017F">
        <w:rPr>
          <w:sz w:val="22"/>
          <w:szCs w:val="22"/>
          <w:lang w:val="hr-HR"/>
        </w:rPr>
        <w:t>Za pacijente sa komplikovanom inflamatornom bolešću karlice (npr. povezanom sa tubo-ovarijalnim ili karličnim apscesom), za koju se smatra da je potrebno intravensko liječenje, liječenje Moloxin 400 mg film tabletama se ne preporučuje.</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lastRenderedPageBreak/>
        <w:t xml:space="preserve">Inflamatornu bolest karlice može uzrokovati </w:t>
      </w:r>
      <w:r w:rsidRPr="0083017F">
        <w:rPr>
          <w:i/>
          <w:sz w:val="22"/>
          <w:szCs w:val="22"/>
          <w:lang w:val="hr-HR"/>
        </w:rPr>
        <w:t>Neisseria gonorrhoeae</w:t>
      </w:r>
      <w:r w:rsidRPr="0083017F">
        <w:rPr>
          <w:sz w:val="22"/>
          <w:szCs w:val="22"/>
          <w:lang w:val="hr-HR"/>
        </w:rPr>
        <w:t xml:space="preserve"> rezistentna na fluorohinolone. U ovim slučajevima empirijsko liječenje moksif</w:t>
      </w:r>
      <w:r w:rsidR="000255B9" w:rsidRPr="0083017F">
        <w:rPr>
          <w:sz w:val="22"/>
          <w:szCs w:val="22"/>
          <w:lang w:val="hr-HR"/>
        </w:rPr>
        <w:t xml:space="preserve">loksacinom mora se istovremeno </w:t>
      </w:r>
      <w:r w:rsidRPr="0083017F">
        <w:rPr>
          <w:sz w:val="22"/>
          <w:szCs w:val="22"/>
          <w:lang w:val="hr-HR"/>
        </w:rPr>
        <w:t xml:space="preserve">primjenjivati sa drugim odgovarajućim antibiotikom (npr. cefalosporinom), osim u situacijama kada se može isključiti postojanje moksifloksacin-rezistentne </w:t>
      </w:r>
      <w:r w:rsidRPr="0083017F">
        <w:rPr>
          <w:i/>
          <w:sz w:val="22"/>
          <w:szCs w:val="22"/>
          <w:lang w:val="hr-HR"/>
        </w:rPr>
        <w:t>Neisseria gonorrhoeae</w:t>
      </w:r>
      <w:r w:rsidRPr="0083017F">
        <w:rPr>
          <w:sz w:val="22"/>
          <w:szCs w:val="22"/>
          <w:lang w:val="hr-HR"/>
        </w:rPr>
        <w:t>. Ako se kliničko poboljšanje ne postigne nakon 3 dana liječenja, terapija se mora ponovno razmotriti.</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sz w:val="22"/>
          <w:szCs w:val="22"/>
          <w:u w:val="single"/>
          <w:lang w:val="hr-HR"/>
        </w:rPr>
        <w:t>Pacijenti sa komplikovanim infekcijama kože i potkožnog tkiva</w:t>
      </w:r>
    </w:p>
    <w:p w:rsidR="0097639F" w:rsidRPr="0083017F" w:rsidRDefault="0097639F" w:rsidP="00B947F2">
      <w:pPr>
        <w:pStyle w:val="NoSpacing"/>
        <w:jc w:val="both"/>
        <w:rPr>
          <w:sz w:val="22"/>
          <w:szCs w:val="22"/>
          <w:lang w:val="hr-HR"/>
        </w:rPr>
      </w:pPr>
      <w:r w:rsidRPr="0083017F">
        <w:rPr>
          <w:sz w:val="22"/>
          <w:szCs w:val="22"/>
          <w:lang w:val="hr-HR"/>
        </w:rPr>
        <w:t>Klinička efikasnost intravenske primijene moksifloksacina u liječenju infekcija teških opekotina, fascitisa i infekcija dijabetskog stopala sa osteomijelitisom nije utvrđena.</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sz w:val="22"/>
          <w:szCs w:val="22"/>
          <w:u w:val="single"/>
          <w:lang w:val="hr-HR"/>
        </w:rPr>
        <w:t>Interferencija sa biološkim testovima</w:t>
      </w:r>
    </w:p>
    <w:p w:rsidR="0097639F" w:rsidRPr="0083017F" w:rsidRDefault="0097639F" w:rsidP="00B947F2">
      <w:pPr>
        <w:pStyle w:val="NoSpacing"/>
        <w:jc w:val="both"/>
        <w:rPr>
          <w:sz w:val="22"/>
          <w:szCs w:val="22"/>
          <w:lang w:val="hr-HR"/>
        </w:rPr>
      </w:pPr>
      <w:r w:rsidRPr="0083017F">
        <w:rPr>
          <w:sz w:val="22"/>
          <w:szCs w:val="22"/>
          <w:lang w:val="hr-HR"/>
        </w:rPr>
        <w:t xml:space="preserve">Terapija moksifloksacinom može interferirati s nalazom uzgoja kulture </w:t>
      </w:r>
      <w:r w:rsidRPr="0083017F">
        <w:rPr>
          <w:i/>
          <w:sz w:val="22"/>
          <w:szCs w:val="22"/>
          <w:lang w:val="hr-HR"/>
        </w:rPr>
        <w:t>Mycobacterium spp</w:t>
      </w:r>
      <w:r w:rsidRPr="0083017F">
        <w:rPr>
          <w:sz w:val="22"/>
          <w:szCs w:val="22"/>
          <w:lang w:val="hr-HR"/>
        </w:rPr>
        <w:t>. supresijom rasta mikobakterija, uzrokujući lažno negativne nalaze uzoraka uzetih od pacijenata koji se trenutno liječe moksifloksacinom.</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sz w:val="22"/>
          <w:szCs w:val="22"/>
          <w:u w:val="single"/>
          <w:lang w:val="hr-HR"/>
        </w:rPr>
        <w:t>Pacijenti sa MRSA infekcijama</w:t>
      </w:r>
    </w:p>
    <w:p w:rsidR="0097639F" w:rsidRPr="0083017F" w:rsidRDefault="0097639F" w:rsidP="00B947F2">
      <w:pPr>
        <w:pStyle w:val="NoSpacing"/>
        <w:jc w:val="both"/>
        <w:rPr>
          <w:sz w:val="22"/>
          <w:szCs w:val="22"/>
          <w:lang w:val="hr-HR"/>
        </w:rPr>
      </w:pPr>
      <w:r w:rsidRPr="0083017F">
        <w:rPr>
          <w:sz w:val="22"/>
          <w:szCs w:val="22"/>
          <w:lang w:val="hr-HR"/>
        </w:rPr>
        <w:t>Moksifloksacin se ne preporučuje za liječenje MRSA infekcija. U slučaju suspektne ili potvrđene MRSA infekcije, treba započeti liječenje odgovarajućim antibiotikom (vidjeti odjeljak 5.1).</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sz w:val="22"/>
          <w:szCs w:val="22"/>
          <w:u w:val="single"/>
          <w:lang w:val="hr-HR"/>
        </w:rPr>
        <w:t>Pedijatrijska populacija</w:t>
      </w:r>
    </w:p>
    <w:p w:rsidR="0097639F" w:rsidRPr="0083017F" w:rsidRDefault="0097639F" w:rsidP="00B947F2">
      <w:pPr>
        <w:pStyle w:val="NoSpacing"/>
        <w:jc w:val="both"/>
        <w:rPr>
          <w:sz w:val="22"/>
          <w:szCs w:val="22"/>
          <w:lang w:val="hr-HR"/>
        </w:rPr>
      </w:pPr>
      <w:r w:rsidRPr="0083017F">
        <w:rPr>
          <w:sz w:val="22"/>
          <w:szCs w:val="22"/>
          <w:lang w:val="hr-HR"/>
        </w:rPr>
        <w:t>Zbog negativnog djelovanja na hrskavicu mladih životinja (vidjeti odjeljak 5.3), primjena moksifloksacina kod djece i adolescenata mlađih od 18 godina je kontraindikovana (vidjeti odjeljak 4.3).</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b/>
          <w:sz w:val="22"/>
          <w:szCs w:val="22"/>
          <w:lang w:val="hr-HR"/>
        </w:rPr>
      </w:pPr>
      <w:r w:rsidRPr="0083017F">
        <w:rPr>
          <w:b/>
          <w:sz w:val="22"/>
          <w:szCs w:val="22"/>
          <w:lang w:val="hr-HR"/>
        </w:rPr>
        <w:t>4.5.</w:t>
      </w:r>
      <w:r w:rsidR="000255B9" w:rsidRPr="0083017F">
        <w:rPr>
          <w:b/>
          <w:sz w:val="22"/>
          <w:szCs w:val="22"/>
          <w:lang w:val="hr-HR"/>
        </w:rPr>
        <w:t xml:space="preserve"> </w:t>
      </w:r>
      <w:r w:rsidRPr="0083017F">
        <w:rPr>
          <w:b/>
          <w:sz w:val="22"/>
          <w:szCs w:val="22"/>
          <w:lang w:val="hr-HR"/>
        </w:rPr>
        <w:t>Interakcije sa drugim ljekovima i druge vrste interakcija</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sz w:val="22"/>
          <w:szCs w:val="22"/>
          <w:u w:val="single"/>
          <w:lang w:val="hr-HR"/>
        </w:rPr>
        <w:t>Interakcije sa ljekovima</w:t>
      </w:r>
    </w:p>
    <w:p w:rsidR="0097639F" w:rsidRPr="0083017F" w:rsidRDefault="0097639F" w:rsidP="00B947F2">
      <w:pPr>
        <w:pStyle w:val="NoSpacing"/>
        <w:jc w:val="both"/>
        <w:rPr>
          <w:sz w:val="22"/>
          <w:szCs w:val="22"/>
          <w:lang w:val="hr-HR"/>
        </w:rPr>
      </w:pPr>
      <w:r w:rsidRPr="0083017F">
        <w:rPr>
          <w:sz w:val="22"/>
          <w:szCs w:val="22"/>
          <w:lang w:val="hr-HR"/>
        </w:rPr>
        <w:t xml:space="preserve">Aditivni efekat moksifloksacina i drugih ljekova koji mogu produžiti QTc interval na produženje QT intervala ne može se isključiti. To može dovesti do povećanog rizika od nastanka ventrikularnih aritmija, uključujući </w:t>
      </w:r>
      <w:r w:rsidRPr="0083017F">
        <w:rPr>
          <w:i/>
          <w:sz w:val="22"/>
          <w:szCs w:val="22"/>
          <w:lang w:val="hr-HR"/>
        </w:rPr>
        <w:t>torsade de pointes</w:t>
      </w:r>
      <w:r w:rsidRPr="0083017F">
        <w:rPr>
          <w:sz w:val="22"/>
          <w:szCs w:val="22"/>
          <w:lang w:val="hr-HR"/>
        </w:rPr>
        <w:t>. Zbog toga je istovremena primjena moksifloksacina i sljedećih ljekova kontraindikovana (takođe vidjeti odjeljak 4.3):</w:t>
      </w:r>
    </w:p>
    <w:p w:rsidR="0097639F" w:rsidRPr="0083017F" w:rsidRDefault="0097639F" w:rsidP="000255B9">
      <w:pPr>
        <w:pStyle w:val="NoSpacing"/>
        <w:numPr>
          <w:ilvl w:val="0"/>
          <w:numId w:val="18"/>
        </w:numPr>
        <w:jc w:val="both"/>
        <w:rPr>
          <w:sz w:val="22"/>
          <w:szCs w:val="22"/>
          <w:lang w:val="hr-HR"/>
        </w:rPr>
      </w:pPr>
      <w:r w:rsidRPr="0083017F">
        <w:rPr>
          <w:sz w:val="22"/>
          <w:szCs w:val="22"/>
          <w:lang w:val="hr-HR"/>
        </w:rPr>
        <w:t>antiaritmici klase IA (npr. hinidin, hidrohinidin, dizopiramid)</w:t>
      </w:r>
    </w:p>
    <w:p w:rsidR="0097639F" w:rsidRPr="0083017F" w:rsidRDefault="0097639F" w:rsidP="000255B9">
      <w:pPr>
        <w:pStyle w:val="NoSpacing"/>
        <w:numPr>
          <w:ilvl w:val="0"/>
          <w:numId w:val="18"/>
        </w:numPr>
        <w:jc w:val="both"/>
        <w:rPr>
          <w:sz w:val="22"/>
          <w:szCs w:val="22"/>
          <w:lang w:val="hr-HR"/>
        </w:rPr>
      </w:pPr>
      <w:r w:rsidRPr="0083017F">
        <w:rPr>
          <w:sz w:val="22"/>
          <w:szCs w:val="22"/>
          <w:lang w:val="hr-HR"/>
        </w:rPr>
        <w:t>antiaritmici klase III (npr. amiodaron, sotalol, dofetilid, ibutilid)</w:t>
      </w:r>
    </w:p>
    <w:p w:rsidR="0097639F" w:rsidRPr="0083017F" w:rsidRDefault="0097639F" w:rsidP="000255B9">
      <w:pPr>
        <w:pStyle w:val="NoSpacing"/>
        <w:numPr>
          <w:ilvl w:val="0"/>
          <w:numId w:val="18"/>
        </w:numPr>
        <w:jc w:val="both"/>
        <w:rPr>
          <w:sz w:val="22"/>
          <w:szCs w:val="22"/>
          <w:lang w:val="hr-HR"/>
        </w:rPr>
      </w:pPr>
      <w:r w:rsidRPr="0083017F">
        <w:rPr>
          <w:sz w:val="22"/>
          <w:szCs w:val="22"/>
          <w:lang w:val="hr-HR"/>
        </w:rPr>
        <w:t>antipsihotici (npr. fenotiazini, pimozid, sertindol, haloperidol, sultoprid)</w:t>
      </w:r>
    </w:p>
    <w:p w:rsidR="0097639F" w:rsidRPr="0083017F" w:rsidRDefault="0097639F" w:rsidP="000255B9">
      <w:pPr>
        <w:pStyle w:val="NoSpacing"/>
        <w:numPr>
          <w:ilvl w:val="0"/>
          <w:numId w:val="18"/>
        </w:numPr>
        <w:jc w:val="both"/>
        <w:rPr>
          <w:sz w:val="22"/>
          <w:szCs w:val="22"/>
          <w:lang w:val="hr-HR"/>
        </w:rPr>
      </w:pPr>
      <w:r w:rsidRPr="0083017F">
        <w:rPr>
          <w:sz w:val="22"/>
          <w:szCs w:val="22"/>
          <w:lang w:val="hr-HR"/>
        </w:rPr>
        <w:t>triciklički antidepresivi</w:t>
      </w:r>
    </w:p>
    <w:p w:rsidR="0097639F" w:rsidRPr="0083017F" w:rsidRDefault="0097639F" w:rsidP="000255B9">
      <w:pPr>
        <w:pStyle w:val="NoSpacing"/>
        <w:numPr>
          <w:ilvl w:val="0"/>
          <w:numId w:val="18"/>
        </w:numPr>
        <w:jc w:val="both"/>
        <w:rPr>
          <w:sz w:val="22"/>
          <w:szCs w:val="22"/>
          <w:lang w:val="hr-HR"/>
        </w:rPr>
      </w:pPr>
      <w:r w:rsidRPr="0083017F">
        <w:rPr>
          <w:sz w:val="22"/>
          <w:szCs w:val="22"/>
          <w:lang w:val="hr-HR"/>
        </w:rPr>
        <w:t>neki antimikrobni ljekovi (sakvinavir, sparfloksacin, eritromicin i.v., pentamidin, antimalarici posebno halofantrin)</w:t>
      </w:r>
    </w:p>
    <w:p w:rsidR="0097639F" w:rsidRPr="0083017F" w:rsidRDefault="0097639F" w:rsidP="000255B9">
      <w:pPr>
        <w:pStyle w:val="NoSpacing"/>
        <w:numPr>
          <w:ilvl w:val="0"/>
          <w:numId w:val="18"/>
        </w:numPr>
        <w:jc w:val="both"/>
        <w:rPr>
          <w:sz w:val="22"/>
          <w:szCs w:val="22"/>
          <w:lang w:val="hr-HR"/>
        </w:rPr>
      </w:pPr>
      <w:r w:rsidRPr="0083017F">
        <w:rPr>
          <w:sz w:val="22"/>
          <w:szCs w:val="22"/>
          <w:lang w:val="hr-HR"/>
        </w:rPr>
        <w:t>neki antihistaminici (terfenadin, astemizol, mizolastin)</w:t>
      </w:r>
    </w:p>
    <w:p w:rsidR="0097639F" w:rsidRPr="0083017F" w:rsidRDefault="0097639F" w:rsidP="000255B9">
      <w:pPr>
        <w:pStyle w:val="NoSpacing"/>
        <w:numPr>
          <w:ilvl w:val="0"/>
          <w:numId w:val="18"/>
        </w:numPr>
        <w:jc w:val="both"/>
        <w:rPr>
          <w:sz w:val="22"/>
          <w:szCs w:val="22"/>
          <w:lang w:val="hr-HR"/>
        </w:rPr>
      </w:pPr>
      <w:r w:rsidRPr="0083017F">
        <w:rPr>
          <w:sz w:val="22"/>
          <w:szCs w:val="22"/>
          <w:lang w:val="hr-HR"/>
        </w:rPr>
        <w:t>drugi (cisaprid, vinkamin i.v., bepridil, difemanil).</w:t>
      </w:r>
    </w:p>
    <w:p w:rsidR="0097639F" w:rsidRPr="0083017F" w:rsidRDefault="0097639F" w:rsidP="000255B9">
      <w:pPr>
        <w:pStyle w:val="NoSpacing"/>
        <w:ind w:left="720"/>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Moksifloksacin treba pažljivo primjenjivati kod pacijenata koji uzimaju ljekove koji mogu da smanje nivo kalijuma (npr. diuretike Henleove petlje i tiazidne diuretike, laksative i klizme [u velikim dozama], kortikosteroide, amfotericin B) ili ljekove koji su udruženi sa pojavom klinički značajne bradikardije.</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Između primjene moksifloksacina i ljekova koji sadrže dvovalentne ili trovalentne katjone (npr. antacidi koji sadrže magnezijum ili aluminijum, tablete didanozina, sukralfat, ljekovi koji sadrže gvožđe ili cink) potrebno je napraviti pauzu od oko 6 sati.</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lastRenderedPageBreak/>
        <w:t xml:space="preserve">Istovremena primjena aktivnog uglja i peroralne doze </w:t>
      </w:r>
      <w:r w:rsidR="000255B9" w:rsidRPr="0083017F">
        <w:rPr>
          <w:sz w:val="22"/>
          <w:szCs w:val="22"/>
          <w:lang w:val="hr-HR"/>
        </w:rPr>
        <w:t xml:space="preserve">od </w:t>
      </w:r>
      <w:r w:rsidR="005B249E" w:rsidRPr="0083017F">
        <w:rPr>
          <w:sz w:val="22"/>
          <w:szCs w:val="22"/>
          <w:lang w:val="hr-HR"/>
        </w:rPr>
        <w:t>400 mg</w:t>
      </w:r>
      <w:r w:rsidRPr="0083017F">
        <w:rPr>
          <w:sz w:val="22"/>
          <w:szCs w:val="22"/>
          <w:lang w:val="hr-HR"/>
        </w:rPr>
        <w:t xml:space="preserve"> moksifloksacina dovodi do izrazito smanjene resorpcije lijeka i sistemske bioraspoloživosti lijeka za preko 80%. Zbog toga se ne preporučuje istovremena primjena ova dva lijeka (osim u slučaju predoziranja, vidjeti takođe odjeljak 4.9).</w:t>
      </w:r>
    </w:p>
    <w:p w:rsidR="00976066" w:rsidRPr="0083017F" w:rsidRDefault="00976066"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 xml:space="preserve">Nakon ponovljenog doziranja kod zdravih dobrovoljaca, moksifloksacin je povećao maksimalne koncentracije digoksina (Cmax) za približno 30% bez uticaja na povšinu ispod krive (PIK) ili bazalne vrijednosti. Nijesu potrebne mjere predostrožnosti za primjenu s digoksinom. </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U ispitivanjima sprovedenim na dobrovoljcima sa dijabetesom, istovremena primjena peroralnog moksifloksacina i glibenklamida rezultirala je smanjenjem maksimalne koncetracije glibenklamida u krvi za oko 21%. Kombinacija glibenklamida i moksifloksacina bi teoretski mogla da dovede do blage i prolazne hiperglikemije. Međutim, primjećene farmakokinetske promjene glibenklamida nijesu rezultovale promjenom farmakodinamičkih parametara (glikemija, insulinemija). Zbog toga, ne postoji klinički značajna interakcija između moksifloksacina i glibenklamida.</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u w:val="single"/>
          <w:lang w:val="hr-HR"/>
        </w:rPr>
      </w:pPr>
      <w:r w:rsidRPr="0083017F">
        <w:rPr>
          <w:sz w:val="22"/>
          <w:szCs w:val="22"/>
          <w:u w:val="single"/>
          <w:lang w:val="hr-HR"/>
        </w:rPr>
        <w:t>Promjene vrijednosti INR-a</w:t>
      </w:r>
    </w:p>
    <w:p w:rsidR="0097639F" w:rsidRPr="0083017F" w:rsidRDefault="0097639F" w:rsidP="00B947F2">
      <w:pPr>
        <w:pStyle w:val="NoSpacing"/>
        <w:jc w:val="both"/>
        <w:rPr>
          <w:sz w:val="22"/>
          <w:szCs w:val="22"/>
          <w:lang w:val="hr-HR"/>
        </w:rPr>
      </w:pPr>
      <w:r w:rsidRPr="0083017F">
        <w:rPr>
          <w:sz w:val="22"/>
          <w:szCs w:val="22"/>
          <w:lang w:val="hr-HR"/>
        </w:rPr>
        <w:t>U velikom broju slučajeva opisano je povećanje aktivnosti peroralnog antikoagulansa kod pacijenata koji primaju antibiotike, naročito fluorohinolone, makrolide, tetracikline, kotrimoksazol i neke cefalosporine. Stanja infekcije i inflamacije, starost i opšte stanje pacijenta, predstavljaju faktore rizika. U ovim okolnostima teško je odrediti da li su poremećaj INR-a (</w:t>
      </w:r>
      <w:r w:rsidRPr="0083017F">
        <w:rPr>
          <w:i/>
          <w:sz w:val="22"/>
          <w:szCs w:val="22"/>
          <w:lang w:val="hr-HR"/>
        </w:rPr>
        <w:t>international normalised ratio</w:t>
      </w:r>
      <w:r w:rsidRPr="0083017F">
        <w:rPr>
          <w:sz w:val="22"/>
          <w:szCs w:val="22"/>
          <w:lang w:val="hr-HR"/>
        </w:rPr>
        <w:t>) uzrokovali infekcija ili liječenje. Kao mjera predostroznosti preporučuje se češće praćenje INR. Ako je neophodno, mora se prilagoditi doza peroralnog antikoagulansa.</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Klinička ispitivanja su pokazala da ne postoje interakcije kod istovremene primjene ranitidina, probenecida, oralnih kontraceptiva, suplemenata kalcijuma, parenteralno primijenjenog morfina, teofilina, ciklosporina ili itrakonazola s moksifloksacinom.</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i/>
          <w:sz w:val="22"/>
          <w:szCs w:val="22"/>
          <w:lang w:val="hr-HR"/>
        </w:rPr>
        <w:t>In vitro</w:t>
      </w:r>
      <w:r w:rsidRPr="0083017F">
        <w:rPr>
          <w:sz w:val="22"/>
          <w:szCs w:val="22"/>
          <w:lang w:val="hr-HR"/>
        </w:rPr>
        <w:t xml:space="preserve"> ispitivanja sa humanim enzimima citohroma P450 potvrdila su ove nalaze. Imajući u vidu ove rezultate, malo su vjerovatne metaboličke interakcije preko enzima citohroma P450.</w:t>
      </w:r>
    </w:p>
    <w:p w:rsidR="0097639F" w:rsidRPr="0083017F" w:rsidRDefault="0097639F" w:rsidP="00B947F2">
      <w:pPr>
        <w:pStyle w:val="NoSpacing"/>
        <w:jc w:val="both"/>
        <w:rPr>
          <w:sz w:val="22"/>
          <w:szCs w:val="22"/>
          <w:u w:val="single"/>
          <w:lang w:val="hr-HR"/>
        </w:rPr>
      </w:pPr>
    </w:p>
    <w:p w:rsidR="0097639F" w:rsidRPr="0083017F" w:rsidRDefault="0097639F" w:rsidP="00B947F2">
      <w:pPr>
        <w:pStyle w:val="NoSpacing"/>
        <w:jc w:val="both"/>
        <w:rPr>
          <w:sz w:val="22"/>
          <w:szCs w:val="22"/>
          <w:u w:val="single"/>
          <w:lang w:val="hr-HR"/>
        </w:rPr>
      </w:pPr>
      <w:r w:rsidRPr="0083017F">
        <w:rPr>
          <w:sz w:val="22"/>
          <w:szCs w:val="22"/>
          <w:u w:val="single"/>
          <w:lang w:val="hr-HR"/>
        </w:rPr>
        <w:t>Interakcija s hranom</w:t>
      </w:r>
    </w:p>
    <w:p w:rsidR="0097639F" w:rsidRPr="0083017F" w:rsidRDefault="0097639F" w:rsidP="00B947F2">
      <w:pPr>
        <w:pStyle w:val="NoSpacing"/>
        <w:jc w:val="both"/>
        <w:rPr>
          <w:sz w:val="22"/>
          <w:szCs w:val="22"/>
          <w:lang w:val="hr-HR"/>
        </w:rPr>
      </w:pPr>
      <w:r w:rsidRPr="0083017F">
        <w:rPr>
          <w:sz w:val="22"/>
          <w:szCs w:val="22"/>
          <w:lang w:val="hr-HR"/>
        </w:rPr>
        <w:t>Nema klinički značajnih interakcija moksifloksacina sa hranom, uključujući i mliječne proizvode.</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b/>
          <w:sz w:val="22"/>
          <w:szCs w:val="22"/>
          <w:lang w:val="hr-HR"/>
        </w:rPr>
      </w:pPr>
      <w:r w:rsidRPr="0083017F">
        <w:rPr>
          <w:b/>
          <w:sz w:val="22"/>
          <w:szCs w:val="22"/>
          <w:lang w:val="hr-HR"/>
        </w:rPr>
        <w:t>4.6.</w:t>
      </w:r>
      <w:r w:rsidR="000255B9" w:rsidRPr="0083017F">
        <w:rPr>
          <w:b/>
          <w:sz w:val="22"/>
          <w:szCs w:val="22"/>
          <w:lang w:val="hr-HR"/>
        </w:rPr>
        <w:t xml:space="preserve"> </w:t>
      </w:r>
      <w:r w:rsidRPr="0083017F">
        <w:rPr>
          <w:b/>
          <w:bCs/>
          <w:sz w:val="22"/>
          <w:szCs w:val="22"/>
          <w:lang w:val="hr-HR"/>
        </w:rPr>
        <w:t>Primjena u periodu trudnoće i dojenja</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color w:val="000000"/>
          <w:sz w:val="22"/>
          <w:szCs w:val="22"/>
          <w:u w:val="single"/>
          <w:lang w:val="hr-HR"/>
        </w:rPr>
      </w:pPr>
      <w:r w:rsidRPr="0083017F">
        <w:rPr>
          <w:color w:val="000000"/>
          <w:sz w:val="22"/>
          <w:szCs w:val="22"/>
          <w:u w:val="single"/>
          <w:lang w:val="hr-HR"/>
        </w:rPr>
        <w:t>Trudnoća</w:t>
      </w:r>
    </w:p>
    <w:p w:rsidR="0097639F" w:rsidRPr="0083017F" w:rsidRDefault="0097639F" w:rsidP="00B947F2">
      <w:pPr>
        <w:pStyle w:val="NoSpacing"/>
        <w:jc w:val="both"/>
        <w:rPr>
          <w:sz w:val="22"/>
          <w:szCs w:val="22"/>
          <w:lang w:val="hr-HR"/>
        </w:rPr>
      </w:pPr>
      <w:r w:rsidRPr="0083017F">
        <w:rPr>
          <w:sz w:val="22"/>
          <w:szCs w:val="22"/>
          <w:lang w:val="hr-HR"/>
        </w:rPr>
        <w:t>Bezbjednost primjene moksifloksacina kod trudnica nije ispitana. Studije na životinjama su pokazale postojanje reproduktivne toksičnosti (vidjeti odjeljak 5.3). Potencijalni rizik za ljude nije poznat. Zbog eksperimentalno pokazanog rizika da fluorohinoloni izazovu oštećenje hrskavice zglobova koji nose težinu tijela kod nezrelih životinja i reverzibilnih oštećenja zglobova kod djece koja su dobijala neke hinolone, moksifloksacin se ne smije koristiti tokom trudnoće (vidjeti odjeljak 4.3).</w:t>
      </w:r>
    </w:p>
    <w:p w:rsidR="0097639F" w:rsidRPr="0083017F" w:rsidRDefault="0097639F" w:rsidP="00B947F2">
      <w:pPr>
        <w:pStyle w:val="NoSpacing"/>
        <w:jc w:val="both"/>
        <w:rPr>
          <w:color w:val="000000"/>
          <w:sz w:val="22"/>
          <w:szCs w:val="22"/>
          <w:u w:val="single"/>
          <w:lang w:val="hr-HR"/>
        </w:rPr>
      </w:pPr>
    </w:p>
    <w:p w:rsidR="0097639F" w:rsidRPr="0083017F" w:rsidRDefault="0097639F" w:rsidP="00B947F2">
      <w:pPr>
        <w:pStyle w:val="NoSpacing"/>
        <w:jc w:val="both"/>
        <w:rPr>
          <w:color w:val="000000"/>
          <w:sz w:val="22"/>
          <w:szCs w:val="22"/>
          <w:u w:val="single"/>
          <w:lang w:val="hr-HR"/>
        </w:rPr>
      </w:pPr>
      <w:r w:rsidRPr="0083017F">
        <w:rPr>
          <w:color w:val="000000"/>
          <w:sz w:val="22"/>
          <w:szCs w:val="22"/>
          <w:u w:val="single"/>
          <w:lang w:val="hr-HR"/>
        </w:rPr>
        <w:t>Dojenje</w:t>
      </w:r>
    </w:p>
    <w:p w:rsidR="0097639F" w:rsidRPr="0083017F" w:rsidRDefault="0097639F" w:rsidP="00B947F2">
      <w:pPr>
        <w:pStyle w:val="NoSpacing"/>
        <w:jc w:val="both"/>
        <w:rPr>
          <w:sz w:val="22"/>
          <w:szCs w:val="22"/>
          <w:lang w:val="hr-HR"/>
        </w:rPr>
      </w:pPr>
      <w:r w:rsidRPr="0083017F">
        <w:rPr>
          <w:sz w:val="22"/>
          <w:szCs w:val="22"/>
          <w:lang w:val="hr-HR"/>
        </w:rPr>
        <w:t xml:space="preserve">Nema dostupnih podataka o primjeni lijeka kod dojilja. Pretklinički podaci ukazuju da se mala količina moksifloksacina izlučuje u mlijeko. U odsustvu podataka kod ljudi, a na osnovu eksperimentalnih podataka da fluorohinoloni oštećuju hrskavicu zglobova koji nose težinu tijela kod nezrelih životinja, dojenje je kontraindikovano u toku terapije moksifloksacinom (vidjeti odjeljak 4.3). </w:t>
      </w:r>
    </w:p>
    <w:p w:rsidR="0097639F" w:rsidRPr="0083017F" w:rsidRDefault="0097639F" w:rsidP="00B947F2">
      <w:pPr>
        <w:pStyle w:val="NoSpacing"/>
        <w:jc w:val="both"/>
        <w:rPr>
          <w:color w:val="000000"/>
          <w:sz w:val="22"/>
          <w:szCs w:val="22"/>
          <w:u w:val="single"/>
          <w:lang w:val="hr-HR"/>
        </w:rPr>
      </w:pPr>
      <w:r w:rsidRPr="0083017F">
        <w:rPr>
          <w:color w:val="000000"/>
          <w:sz w:val="22"/>
          <w:szCs w:val="22"/>
          <w:u w:val="single"/>
          <w:lang w:val="hr-HR"/>
        </w:rPr>
        <w:lastRenderedPageBreak/>
        <w:t>Plodnost</w:t>
      </w:r>
    </w:p>
    <w:p w:rsidR="0097639F" w:rsidRPr="0083017F" w:rsidRDefault="0097639F" w:rsidP="00B947F2">
      <w:pPr>
        <w:pStyle w:val="NoSpacing"/>
        <w:jc w:val="both"/>
        <w:rPr>
          <w:color w:val="000000"/>
          <w:sz w:val="22"/>
          <w:szCs w:val="22"/>
          <w:lang w:val="hr-HR"/>
        </w:rPr>
      </w:pPr>
      <w:r w:rsidRPr="0083017F">
        <w:rPr>
          <w:color w:val="000000"/>
          <w:sz w:val="22"/>
          <w:szCs w:val="22"/>
          <w:lang w:val="hr-HR"/>
        </w:rPr>
        <w:t>Ispitivanja na životinjama ne ukazuju na smanjenje plodnosti (vidjeti odjeljak 5.3).</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b/>
          <w:sz w:val="22"/>
          <w:szCs w:val="22"/>
          <w:lang w:val="hr-HR"/>
        </w:rPr>
      </w:pPr>
      <w:r w:rsidRPr="0083017F">
        <w:rPr>
          <w:b/>
          <w:sz w:val="22"/>
          <w:szCs w:val="22"/>
          <w:lang w:val="hr-HR"/>
        </w:rPr>
        <w:t>4.7.</w:t>
      </w:r>
      <w:r w:rsidR="000255B9" w:rsidRPr="0083017F">
        <w:rPr>
          <w:b/>
          <w:sz w:val="22"/>
          <w:szCs w:val="22"/>
          <w:lang w:val="hr-HR"/>
        </w:rPr>
        <w:t xml:space="preserve"> </w:t>
      </w:r>
      <w:r w:rsidRPr="0083017F">
        <w:rPr>
          <w:b/>
          <w:sz w:val="22"/>
          <w:szCs w:val="22"/>
          <w:lang w:val="hr-HR"/>
        </w:rPr>
        <w:t>Uticaj na psihofizičke sposobnosti prilikom upravljanja motornim vozilima i rukovanja mašinama</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Nijesu sprovedena ispitivanja uticaja moksifloksacina na sposobnost upravljanja vozilima i rukovanja mašinama. Međutim, fluorohinoloni, uključujući moksifloksacin, mogu da smanje sposobnost pacijenta da upravlja vozilima ili rukuje mašinama usljed efekata na CNS (npr. vrtoglavica, akutni, tranzitorni</w:t>
      </w:r>
      <w:r w:rsidRPr="0083017F">
        <w:rPr>
          <w:spacing w:val="1"/>
          <w:sz w:val="22"/>
          <w:szCs w:val="22"/>
          <w:lang w:val="hr-HR"/>
        </w:rPr>
        <w:t xml:space="preserve"> </w:t>
      </w:r>
      <w:r w:rsidRPr="0083017F">
        <w:rPr>
          <w:spacing w:val="-2"/>
          <w:sz w:val="22"/>
          <w:szCs w:val="22"/>
          <w:lang w:val="hr-HR"/>
        </w:rPr>
        <w:t>g</w:t>
      </w:r>
      <w:r w:rsidRPr="0083017F">
        <w:rPr>
          <w:sz w:val="22"/>
          <w:szCs w:val="22"/>
          <w:lang w:val="hr-HR"/>
        </w:rPr>
        <w:t>ubi</w:t>
      </w:r>
      <w:r w:rsidRPr="0083017F">
        <w:rPr>
          <w:spacing w:val="1"/>
          <w:sz w:val="22"/>
          <w:szCs w:val="22"/>
          <w:lang w:val="hr-HR"/>
        </w:rPr>
        <w:t>t</w:t>
      </w:r>
      <w:r w:rsidRPr="0083017F">
        <w:rPr>
          <w:sz w:val="22"/>
          <w:szCs w:val="22"/>
          <w:lang w:val="hr-HR"/>
        </w:rPr>
        <w:t>ak vida, vidjeti odjeljak 4.8) ili akutnog i kratkotrajnog gubitka svijesti (sinkopa, vidjeti odjeljak 4.8). Pacijente treba savjetovati da prije upravljanja vozilima ili rukovanja mašinama provjere kako reaguju na moksifloksacin.</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b/>
          <w:bCs/>
          <w:sz w:val="22"/>
          <w:szCs w:val="22"/>
          <w:lang w:val="hr-HR"/>
        </w:rPr>
      </w:pPr>
      <w:r w:rsidRPr="0083017F">
        <w:rPr>
          <w:b/>
          <w:bCs/>
          <w:sz w:val="22"/>
          <w:szCs w:val="22"/>
          <w:lang w:val="hr-HR"/>
        </w:rPr>
        <w:t>4.8.</w:t>
      </w:r>
      <w:r w:rsidR="000255B9" w:rsidRPr="0083017F">
        <w:rPr>
          <w:b/>
          <w:bCs/>
          <w:sz w:val="22"/>
          <w:szCs w:val="22"/>
          <w:lang w:val="hr-HR"/>
        </w:rPr>
        <w:t xml:space="preserve"> </w:t>
      </w:r>
      <w:r w:rsidRPr="0083017F">
        <w:rPr>
          <w:b/>
          <w:bCs/>
          <w:sz w:val="22"/>
          <w:szCs w:val="22"/>
          <w:lang w:val="hr-HR"/>
        </w:rPr>
        <w:t>Neželjena dejstva</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Neželjena dejstva iz svih kliničkih ispitivanja i postmarketinškog perioda sa</w:t>
      </w:r>
      <w:r w:rsidR="000255B9" w:rsidRPr="0083017F">
        <w:rPr>
          <w:sz w:val="22"/>
          <w:szCs w:val="22"/>
          <w:lang w:val="hr-HR"/>
        </w:rPr>
        <w:t xml:space="preserve"> moksifloksacinom od </w:t>
      </w:r>
      <w:r w:rsidR="005B249E" w:rsidRPr="0083017F">
        <w:rPr>
          <w:sz w:val="22"/>
          <w:szCs w:val="22"/>
          <w:lang w:val="hr-HR"/>
        </w:rPr>
        <w:t>400 mg</w:t>
      </w:r>
      <w:r w:rsidRPr="0083017F">
        <w:rPr>
          <w:sz w:val="22"/>
          <w:szCs w:val="22"/>
          <w:lang w:val="hr-HR"/>
        </w:rPr>
        <w:t xml:space="preserve"> (peroralna i sekvencijalna terapija) razvrstana su prema učestalosti i navedena niže u tekstu:</w:t>
      </w:r>
    </w:p>
    <w:p w:rsidR="0097639F" w:rsidRPr="0083017F" w:rsidRDefault="0097639F" w:rsidP="00B947F2">
      <w:pPr>
        <w:pStyle w:val="NoSpacing"/>
        <w:jc w:val="both"/>
        <w:rPr>
          <w:sz w:val="22"/>
          <w:szCs w:val="22"/>
          <w:lang w:val="hr-HR"/>
        </w:rPr>
      </w:pPr>
      <w:r w:rsidRPr="0083017F">
        <w:rPr>
          <w:sz w:val="22"/>
          <w:szCs w:val="22"/>
          <w:lang w:val="hr-HR"/>
        </w:rPr>
        <w:t>Osim mučnine i dijareje, učestalost svih neželjenih dejstava bila je manja od 3%.</w:t>
      </w:r>
    </w:p>
    <w:p w:rsidR="0097639F" w:rsidRPr="0083017F" w:rsidRDefault="0097639F" w:rsidP="00B947F2">
      <w:pPr>
        <w:pStyle w:val="NoSpacing"/>
        <w:jc w:val="both"/>
        <w:rPr>
          <w:sz w:val="22"/>
          <w:szCs w:val="22"/>
          <w:lang w:val="hr-HR"/>
        </w:rPr>
      </w:pPr>
      <w:r w:rsidRPr="0083017F">
        <w:rPr>
          <w:sz w:val="22"/>
          <w:szCs w:val="22"/>
          <w:lang w:val="hr-HR"/>
        </w:rPr>
        <w:t xml:space="preserve">U okviru svake grupe učestalosti, neželjena dejstva su prikazana u opadajućem nizu po ozbiljnosti. </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Učestalosti su definisane kao:</w:t>
      </w:r>
    </w:p>
    <w:p w:rsidR="0097639F" w:rsidRPr="0083017F" w:rsidRDefault="0097639F" w:rsidP="00B947F2">
      <w:pPr>
        <w:pStyle w:val="NoSpacing"/>
        <w:jc w:val="both"/>
        <w:rPr>
          <w:sz w:val="22"/>
          <w:szCs w:val="22"/>
          <w:lang w:val="hr-HR"/>
        </w:rPr>
      </w:pPr>
      <w:r w:rsidRPr="0083017F">
        <w:rPr>
          <w:noProof/>
          <w:sz w:val="22"/>
          <w:szCs w:val="22"/>
          <w:lang w:val="hr-HR"/>
        </w:rPr>
        <w:t>Veoma česta (</w:t>
      </w:r>
      <w:r w:rsidRPr="0083017F">
        <w:rPr>
          <w:noProof/>
          <w:sz w:val="22"/>
          <w:szCs w:val="22"/>
          <w:lang w:val="hr-HR"/>
        </w:rPr>
        <w:sym w:font="Symbol" w:char="F0B3"/>
      </w:r>
      <w:r w:rsidRPr="0083017F">
        <w:rPr>
          <w:noProof/>
          <w:sz w:val="22"/>
          <w:szCs w:val="22"/>
          <w:lang w:val="hr-HR"/>
        </w:rPr>
        <w:t xml:space="preserve"> 1/10)</w:t>
      </w:r>
    </w:p>
    <w:p w:rsidR="0097639F" w:rsidRPr="0083017F" w:rsidRDefault="0097639F" w:rsidP="00B947F2">
      <w:pPr>
        <w:pStyle w:val="NoSpacing"/>
        <w:jc w:val="both"/>
        <w:rPr>
          <w:noProof/>
          <w:sz w:val="22"/>
          <w:szCs w:val="22"/>
          <w:lang w:val="hr-HR"/>
        </w:rPr>
      </w:pPr>
      <w:r w:rsidRPr="0083017F">
        <w:rPr>
          <w:noProof/>
          <w:sz w:val="22"/>
          <w:szCs w:val="22"/>
          <w:lang w:val="hr-HR"/>
        </w:rPr>
        <w:t>Česta (</w:t>
      </w:r>
      <w:r w:rsidRPr="0083017F">
        <w:rPr>
          <w:noProof/>
          <w:sz w:val="22"/>
          <w:szCs w:val="22"/>
          <w:lang w:val="hr-HR"/>
        </w:rPr>
        <w:sym w:font="Symbol" w:char="F0B3"/>
      </w:r>
      <w:r w:rsidRPr="0083017F">
        <w:rPr>
          <w:noProof/>
          <w:sz w:val="22"/>
          <w:szCs w:val="22"/>
          <w:lang w:val="hr-HR"/>
        </w:rPr>
        <w:t xml:space="preserve"> 1/100 do &lt; 1/10)</w:t>
      </w:r>
    </w:p>
    <w:p w:rsidR="0097639F" w:rsidRPr="0083017F" w:rsidRDefault="0097639F" w:rsidP="00B947F2">
      <w:pPr>
        <w:pStyle w:val="NoSpacing"/>
        <w:jc w:val="both"/>
        <w:rPr>
          <w:noProof/>
          <w:sz w:val="22"/>
          <w:szCs w:val="22"/>
          <w:lang w:val="hr-HR"/>
        </w:rPr>
      </w:pPr>
      <w:r w:rsidRPr="0083017F">
        <w:rPr>
          <w:noProof/>
          <w:sz w:val="22"/>
          <w:szCs w:val="22"/>
          <w:lang w:val="hr-HR"/>
        </w:rPr>
        <w:t>Povremena  (</w:t>
      </w:r>
      <w:r w:rsidRPr="0083017F">
        <w:rPr>
          <w:noProof/>
          <w:sz w:val="22"/>
          <w:szCs w:val="22"/>
          <w:lang w:val="hr-HR"/>
        </w:rPr>
        <w:sym w:font="Symbol" w:char="F0B3"/>
      </w:r>
      <w:r w:rsidRPr="0083017F">
        <w:rPr>
          <w:noProof/>
          <w:sz w:val="22"/>
          <w:szCs w:val="22"/>
          <w:lang w:val="hr-HR"/>
        </w:rPr>
        <w:t xml:space="preserve"> 1/1000 do &lt; 1/100)</w:t>
      </w:r>
    </w:p>
    <w:p w:rsidR="0097639F" w:rsidRPr="0083017F" w:rsidRDefault="0097639F" w:rsidP="00B947F2">
      <w:pPr>
        <w:pStyle w:val="NoSpacing"/>
        <w:jc w:val="both"/>
        <w:rPr>
          <w:noProof/>
          <w:sz w:val="22"/>
          <w:szCs w:val="22"/>
          <w:lang w:val="hr-HR"/>
        </w:rPr>
      </w:pPr>
      <w:r w:rsidRPr="0083017F">
        <w:rPr>
          <w:noProof/>
          <w:sz w:val="22"/>
          <w:szCs w:val="22"/>
          <w:lang w:val="hr-HR"/>
        </w:rPr>
        <w:t>Rijetka (</w:t>
      </w:r>
      <w:r w:rsidRPr="0083017F">
        <w:rPr>
          <w:noProof/>
          <w:sz w:val="22"/>
          <w:szCs w:val="22"/>
          <w:lang w:val="hr-HR"/>
        </w:rPr>
        <w:sym w:font="Symbol" w:char="F0B3"/>
      </w:r>
      <w:r w:rsidRPr="0083017F">
        <w:rPr>
          <w:noProof/>
          <w:sz w:val="22"/>
          <w:szCs w:val="22"/>
          <w:lang w:val="hr-HR"/>
        </w:rPr>
        <w:t xml:space="preserve"> 1/10 000 do &lt; 1/1000)</w:t>
      </w:r>
    </w:p>
    <w:p w:rsidR="0097639F" w:rsidRPr="0083017F" w:rsidRDefault="0097639F" w:rsidP="00B947F2">
      <w:pPr>
        <w:pStyle w:val="NoSpacing"/>
        <w:jc w:val="both"/>
        <w:rPr>
          <w:noProof/>
          <w:sz w:val="22"/>
          <w:szCs w:val="22"/>
          <w:lang w:val="hr-HR"/>
        </w:rPr>
      </w:pPr>
      <w:r w:rsidRPr="0083017F">
        <w:rPr>
          <w:noProof/>
          <w:sz w:val="22"/>
          <w:szCs w:val="22"/>
          <w:lang w:val="hr-HR"/>
        </w:rPr>
        <w:t>Veoma rijetka (&lt; 1/10 000)</w:t>
      </w:r>
    </w:p>
    <w:p w:rsidR="0097639F" w:rsidRPr="0083017F" w:rsidRDefault="0097639F" w:rsidP="00B947F2">
      <w:pPr>
        <w:pStyle w:val="NoSpacing"/>
        <w:jc w:val="both"/>
        <w:rPr>
          <w:noProof/>
          <w:sz w:val="22"/>
          <w:szCs w:val="22"/>
          <w:lang w:val="hr-HR"/>
        </w:rPr>
      </w:pPr>
      <w:r w:rsidRPr="0083017F">
        <w:rPr>
          <w:noProof/>
          <w:sz w:val="22"/>
          <w:szCs w:val="22"/>
          <w:lang w:val="hr-HR"/>
        </w:rPr>
        <w:t>Nije poznato (ne može se procijeniti iz dostupnih podataka)</w:t>
      </w:r>
    </w:p>
    <w:p w:rsidR="0097639F" w:rsidRPr="0083017F" w:rsidRDefault="0097639F" w:rsidP="00B947F2">
      <w:pPr>
        <w:pStyle w:val="NoSpacing"/>
        <w:jc w:val="both"/>
        <w:rPr>
          <w:noProof/>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054"/>
        <w:gridCol w:w="2202"/>
        <w:gridCol w:w="1908"/>
        <w:gridCol w:w="1725"/>
      </w:tblGrid>
      <w:tr w:rsidR="0097639F" w:rsidRPr="0083017F" w:rsidTr="005B249E">
        <w:tc>
          <w:tcPr>
            <w:tcW w:w="898" w:type="pct"/>
            <w:tcBorders>
              <w:top w:val="single" w:sz="4" w:space="0" w:color="auto"/>
              <w:left w:val="single" w:sz="4" w:space="0" w:color="auto"/>
              <w:bottom w:val="single" w:sz="4" w:space="0" w:color="auto"/>
              <w:right w:val="single" w:sz="4" w:space="0" w:color="auto"/>
            </w:tcBorders>
          </w:tcPr>
          <w:p w:rsidR="0097639F" w:rsidRPr="0083017F" w:rsidRDefault="0097639F" w:rsidP="00976066">
            <w:pPr>
              <w:pStyle w:val="NoSpacing"/>
              <w:jc w:val="center"/>
              <w:rPr>
                <w:sz w:val="22"/>
                <w:szCs w:val="22"/>
                <w:lang w:val="hr-HR"/>
              </w:rPr>
            </w:pPr>
            <w:r w:rsidRPr="0083017F">
              <w:rPr>
                <w:sz w:val="22"/>
                <w:szCs w:val="22"/>
                <w:lang w:val="hr-HR"/>
              </w:rPr>
              <w:t>Sistem organa (MedDRA)</w:t>
            </w:r>
          </w:p>
        </w:tc>
        <w:tc>
          <w:tcPr>
            <w:tcW w:w="106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976066">
            <w:pPr>
              <w:pStyle w:val="NoSpacing"/>
              <w:jc w:val="center"/>
              <w:rPr>
                <w:sz w:val="22"/>
                <w:szCs w:val="22"/>
                <w:lang w:val="hr-HR"/>
              </w:rPr>
            </w:pPr>
            <w:r w:rsidRPr="0083017F">
              <w:rPr>
                <w:noProof/>
                <w:sz w:val="22"/>
                <w:szCs w:val="22"/>
                <w:lang w:val="hr-HR"/>
              </w:rPr>
              <w:t>Često</w:t>
            </w:r>
          </w:p>
        </w:tc>
        <w:tc>
          <w:tcPr>
            <w:tcW w:w="1145" w:type="pct"/>
            <w:tcBorders>
              <w:top w:val="single" w:sz="4" w:space="0" w:color="auto"/>
              <w:left w:val="single" w:sz="4" w:space="0" w:color="auto"/>
              <w:bottom w:val="single" w:sz="4" w:space="0" w:color="auto"/>
              <w:right w:val="single" w:sz="4" w:space="0" w:color="auto"/>
            </w:tcBorders>
            <w:hideMark/>
          </w:tcPr>
          <w:p w:rsidR="0097639F" w:rsidRPr="0083017F" w:rsidRDefault="0097639F" w:rsidP="00976066">
            <w:pPr>
              <w:pStyle w:val="NoSpacing"/>
              <w:jc w:val="center"/>
              <w:rPr>
                <w:sz w:val="22"/>
                <w:szCs w:val="22"/>
                <w:lang w:val="hr-HR"/>
              </w:rPr>
            </w:pPr>
            <w:r w:rsidRPr="0083017F">
              <w:rPr>
                <w:noProof/>
                <w:sz w:val="22"/>
                <w:szCs w:val="22"/>
                <w:lang w:val="hr-HR"/>
              </w:rPr>
              <w:t>Povremeno</w:t>
            </w:r>
          </w:p>
        </w:tc>
        <w:tc>
          <w:tcPr>
            <w:tcW w:w="992" w:type="pct"/>
            <w:tcBorders>
              <w:top w:val="single" w:sz="4" w:space="0" w:color="auto"/>
              <w:left w:val="single" w:sz="4" w:space="0" w:color="auto"/>
              <w:bottom w:val="single" w:sz="4" w:space="0" w:color="auto"/>
              <w:right w:val="single" w:sz="4" w:space="0" w:color="auto"/>
            </w:tcBorders>
            <w:hideMark/>
          </w:tcPr>
          <w:p w:rsidR="0097639F" w:rsidRPr="0083017F" w:rsidRDefault="0097639F" w:rsidP="00976066">
            <w:pPr>
              <w:pStyle w:val="NoSpacing"/>
              <w:jc w:val="center"/>
              <w:rPr>
                <w:sz w:val="22"/>
                <w:szCs w:val="22"/>
                <w:lang w:val="hr-HR"/>
              </w:rPr>
            </w:pPr>
            <w:r w:rsidRPr="0083017F">
              <w:rPr>
                <w:sz w:val="22"/>
                <w:szCs w:val="22"/>
                <w:lang w:val="hr-HR"/>
              </w:rPr>
              <w:t>Rijetko</w:t>
            </w:r>
          </w:p>
        </w:tc>
        <w:tc>
          <w:tcPr>
            <w:tcW w:w="897" w:type="pct"/>
            <w:tcBorders>
              <w:top w:val="single" w:sz="4" w:space="0" w:color="auto"/>
              <w:left w:val="single" w:sz="4" w:space="0" w:color="auto"/>
              <w:bottom w:val="single" w:sz="4" w:space="0" w:color="auto"/>
              <w:right w:val="single" w:sz="4" w:space="0" w:color="auto"/>
            </w:tcBorders>
            <w:hideMark/>
          </w:tcPr>
          <w:p w:rsidR="0097639F" w:rsidRPr="0083017F" w:rsidRDefault="0097639F" w:rsidP="00976066">
            <w:pPr>
              <w:pStyle w:val="NoSpacing"/>
              <w:jc w:val="center"/>
              <w:rPr>
                <w:sz w:val="22"/>
                <w:szCs w:val="22"/>
                <w:lang w:val="hr-HR"/>
              </w:rPr>
            </w:pPr>
            <w:r w:rsidRPr="0083017F">
              <w:rPr>
                <w:noProof/>
                <w:sz w:val="22"/>
                <w:szCs w:val="22"/>
                <w:lang w:val="hr-HR"/>
              </w:rPr>
              <w:t>Veoma rijetko</w:t>
            </w:r>
          </w:p>
        </w:tc>
      </w:tr>
      <w:tr w:rsidR="0097639F" w:rsidRPr="0083017F" w:rsidTr="005B249E">
        <w:tc>
          <w:tcPr>
            <w:tcW w:w="89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5165DE">
            <w:pPr>
              <w:pStyle w:val="NoSpacing"/>
              <w:rPr>
                <w:noProof/>
                <w:sz w:val="22"/>
                <w:szCs w:val="22"/>
                <w:lang w:val="hr-HR"/>
              </w:rPr>
            </w:pPr>
            <w:r w:rsidRPr="0083017F">
              <w:rPr>
                <w:iCs/>
                <w:noProof/>
                <w:sz w:val="22"/>
                <w:szCs w:val="22"/>
                <w:lang w:val="hr-HR"/>
              </w:rPr>
              <w:t>Infekcije i infestacije</w:t>
            </w:r>
          </w:p>
        </w:tc>
        <w:tc>
          <w:tcPr>
            <w:tcW w:w="106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66F64">
            <w:pPr>
              <w:pStyle w:val="NoSpacing"/>
              <w:rPr>
                <w:sz w:val="22"/>
                <w:szCs w:val="22"/>
                <w:lang w:val="hr-HR"/>
              </w:rPr>
            </w:pPr>
            <w:r w:rsidRPr="0083017F">
              <w:rPr>
                <w:sz w:val="22"/>
                <w:szCs w:val="22"/>
                <w:lang w:val="hr-HR"/>
              </w:rPr>
              <w:t>Superinfekcije uzrokovane rezistentnim bakterijama ili gljivicama</w:t>
            </w:r>
          </w:p>
          <w:p w:rsidR="0097639F" w:rsidRPr="0083017F" w:rsidRDefault="0097639F" w:rsidP="00B66F64">
            <w:pPr>
              <w:pStyle w:val="NoSpacing"/>
              <w:rPr>
                <w:sz w:val="22"/>
                <w:szCs w:val="22"/>
                <w:lang w:val="hr-HR"/>
              </w:rPr>
            </w:pPr>
            <w:r w:rsidRPr="0083017F">
              <w:rPr>
                <w:sz w:val="22"/>
                <w:szCs w:val="22"/>
                <w:lang w:val="hr-HR"/>
              </w:rPr>
              <w:t>(npr. oralna i vaginalna kandidijaza)</w:t>
            </w:r>
          </w:p>
        </w:tc>
        <w:tc>
          <w:tcPr>
            <w:tcW w:w="1145"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992"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897"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r>
      <w:tr w:rsidR="0097639F" w:rsidRPr="0083017F" w:rsidTr="005B249E">
        <w:tc>
          <w:tcPr>
            <w:tcW w:w="89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5165DE">
            <w:pPr>
              <w:pStyle w:val="NoSpacing"/>
              <w:rPr>
                <w:noProof/>
                <w:sz w:val="22"/>
                <w:szCs w:val="22"/>
                <w:lang w:val="hr-HR"/>
              </w:rPr>
            </w:pPr>
            <w:r w:rsidRPr="0083017F">
              <w:rPr>
                <w:iCs/>
                <w:noProof/>
                <w:sz w:val="22"/>
                <w:szCs w:val="22"/>
                <w:lang w:val="hr-HR"/>
              </w:rPr>
              <w:t>Poremećaji na nivou krvi i limfnog sistema</w:t>
            </w:r>
          </w:p>
        </w:tc>
        <w:tc>
          <w:tcPr>
            <w:tcW w:w="1068"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1145"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66F64">
            <w:pPr>
              <w:pStyle w:val="NoSpacing"/>
              <w:rPr>
                <w:sz w:val="22"/>
                <w:szCs w:val="22"/>
                <w:lang w:val="hr-HR"/>
              </w:rPr>
            </w:pPr>
            <w:r w:rsidRPr="0083017F">
              <w:rPr>
                <w:sz w:val="22"/>
                <w:szCs w:val="22"/>
                <w:lang w:val="hr-HR"/>
              </w:rPr>
              <w:t>Anemija, Leukopenija, Neutropenija, Trombocitopenija, Trombocitemija, Eozinofilija krvi, Produženo protrombinsko vrijeme/povećane vrijednosti INR</w:t>
            </w:r>
          </w:p>
        </w:tc>
        <w:tc>
          <w:tcPr>
            <w:tcW w:w="992"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897"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66F64">
            <w:pPr>
              <w:pStyle w:val="NoSpacing"/>
              <w:rPr>
                <w:sz w:val="22"/>
                <w:szCs w:val="22"/>
                <w:lang w:val="hr-HR"/>
              </w:rPr>
            </w:pPr>
            <w:r w:rsidRPr="0083017F">
              <w:rPr>
                <w:sz w:val="22"/>
                <w:szCs w:val="22"/>
                <w:lang w:val="hr-HR"/>
              </w:rPr>
              <w:t>Povišen nivo protrombina/ snižene vrijednosti INR, Agranuloci</w:t>
            </w:r>
          </w:p>
          <w:p w:rsidR="0097639F" w:rsidRPr="0083017F" w:rsidRDefault="0097639F" w:rsidP="00B66F64">
            <w:pPr>
              <w:pStyle w:val="NoSpacing"/>
              <w:rPr>
                <w:sz w:val="22"/>
                <w:szCs w:val="22"/>
                <w:lang w:val="hr-HR"/>
              </w:rPr>
            </w:pPr>
            <w:r w:rsidRPr="0083017F">
              <w:rPr>
                <w:sz w:val="22"/>
                <w:szCs w:val="22"/>
                <w:lang w:val="hr-HR"/>
              </w:rPr>
              <w:t>toza</w:t>
            </w:r>
          </w:p>
        </w:tc>
      </w:tr>
      <w:tr w:rsidR="0097639F" w:rsidRPr="0083017F" w:rsidTr="005B249E">
        <w:tc>
          <w:tcPr>
            <w:tcW w:w="89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noProof/>
                <w:sz w:val="22"/>
                <w:szCs w:val="22"/>
                <w:lang w:val="hr-HR"/>
              </w:rPr>
            </w:pPr>
            <w:r w:rsidRPr="0083017F">
              <w:rPr>
                <w:iCs/>
                <w:noProof/>
                <w:sz w:val="22"/>
                <w:szCs w:val="22"/>
                <w:lang w:val="hr-HR"/>
              </w:rPr>
              <w:lastRenderedPageBreak/>
              <w:t>Imunološki poremećaji</w:t>
            </w:r>
          </w:p>
        </w:tc>
        <w:tc>
          <w:tcPr>
            <w:tcW w:w="1068"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1145" w:type="pct"/>
            <w:tcBorders>
              <w:top w:val="single" w:sz="4" w:space="0" w:color="auto"/>
              <w:left w:val="single" w:sz="4" w:space="0" w:color="auto"/>
              <w:bottom w:val="single" w:sz="4" w:space="0" w:color="auto"/>
              <w:right w:val="single" w:sz="4" w:space="0" w:color="auto"/>
            </w:tcBorders>
            <w:hideMark/>
          </w:tcPr>
          <w:p w:rsidR="0097639F" w:rsidRPr="0083017F" w:rsidRDefault="0097639F" w:rsidP="00932BE6">
            <w:pPr>
              <w:pStyle w:val="NoSpacing"/>
              <w:rPr>
                <w:sz w:val="22"/>
                <w:szCs w:val="22"/>
                <w:lang w:val="hr-HR"/>
              </w:rPr>
            </w:pPr>
            <w:r w:rsidRPr="0083017F">
              <w:rPr>
                <w:sz w:val="22"/>
                <w:szCs w:val="22"/>
                <w:lang w:val="hr-HR"/>
              </w:rPr>
              <w:t>Alergijska reakcija (vidjeti odjeljak  4.4)</w:t>
            </w:r>
          </w:p>
        </w:tc>
        <w:tc>
          <w:tcPr>
            <w:tcW w:w="992" w:type="pct"/>
            <w:tcBorders>
              <w:top w:val="single" w:sz="4" w:space="0" w:color="auto"/>
              <w:left w:val="single" w:sz="4" w:space="0" w:color="auto"/>
              <w:bottom w:val="single" w:sz="4" w:space="0" w:color="auto"/>
              <w:right w:val="single" w:sz="4" w:space="0" w:color="auto"/>
            </w:tcBorders>
            <w:hideMark/>
          </w:tcPr>
          <w:p w:rsidR="0097639F" w:rsidRPr="0083017F" w:rsidRDefault="0097639F" w:rsidP="000255B9">
            <w:pPr>
              <w:pStyle w:val="NoSpacing"/>
              <w:rPr>
                <w:sz w:val="22"/>
                <w:szCs w:val="22"/>
                <w:lang w:val="hr-HR"/>
              </w:rPr>
            </w:pPr>
            <w:r w:rsidRPr="0083017F">
              <w:rPr>
                <w:sz w:val="22"/>
                <w:szCs w:val="22"/>
                <w:lang w:val="hr-HR"/>
              </w:rPr>
              <w:t>Anafilaksa, veoma rijetko uključujući po život opasan šok (vidjeti odjeljak 4.4)</w:t>
            </w:r>
          </w:p>
          <w:p w:rsidR="0097639F" w:rsidRPr="0083017F" w:rsidRDefault="0097639F" w:rsidP="000255B9">
            <w:pPr>
              <w:pStyle w:val="NoSpacing"/>
              <w:rPr>
                <w:sz w:val="22"/>
                <w:szCs w:val="22"/>
                <w:lang w:val="hr-HR"/>
              </w:rPr>
            </w:pPr>
            <w:r w:rsidRPr="0083017F">
              <w:rPr>
                <w:sz w:val="22"/>
                <w:szCs w:val="22"/>
                <w:lang w:val="hr-HR"/>
              </w:rPr>
              <w:t>Alergijski edem/angio</w:t>
            </w:r>
          </w:p>
          <w:p w:rsidR="0097639F" w:rsidRPr="0083017F" w:rsidRDefault="0097639F" w:rsidP="000255B9">
            <w:pPr>
              <w:pStyle w:val="NoSpacing"/>
              <w:rPr>
                <w:sz w:val="22"/>
                <w:szCs w:val="22"/>
                <w:lang w:val="hr-HR"/>
              </w:rPr>
            </w:pPr>
            <w:r w:rsidRPr="0083017F">
              <w:rPr>
                <w:sz w:val="22"/>
                <w:szCs w:val="22"/>
                <w:lang w:val="hr-HR"/>
              </w:rPr>
              <w:t>edem (uključ. edem larinksa potencijalno opasnog po život, vidjeti odjeljak 4.4)</w:t>
            </w:r>
          </w:p>
        </w:tc>
        <w:tc>
          <w:tcPr>
            <w:tcW w:w="897"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r>
      <w:tr w:rsidR="0097639F" w:rsidRPr="0083017F" w:rsidTr="005B249E">
        <w:tc>
          <w:tcPr>
            <w:tcW w:w="89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5165DE">
            <w:pPr>
              <w:pStyle w:val="NoSpacing"/>
              <w:rPr>
                <w:noProof/>
                <w:sz w:val="22"/>
                <w:szCs w:val="22"/>
                <w:lang w:val="hr-HR"/>
              </w:rPr>
            </w:pPr>
            <w:r w:rsidRPr="0083017F">
              <w:rPr>
                <w:iCs/>
                <w:noProof/>
                <w:sz w:val="22"/>
                <w:szCs w:val="22"/>
                <w:lang w:val="hr-HR"/>
              </w:rPr>
              <w:t>Poremećaji metabolizma i ishrane</w:t>
            </w:r>
          </w:p>
        </w:tc>
        <w:tc>
          <w:tcPr>
            <w:tcW w:w="1068"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1145"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sz w:val="22"/>
                <w:szCs w:val="22"/>
                <w:lang w:val="hr-HR"/>
              </w:rPr>
            </w:pPr>
            <w:r w:rsidRPr="0083017F">
              <w:rPr>
                <w:sz w:val="22"/>
                <w:szCs w:val="22"/>
                <w:lang w:val="hr-HR"/>
              </w:rPr>
              <w:t>Hiperlipidemija</w:t>
            </w:r>
          </w:p>
        </w:tc>
        <w:tc>
          <w:tcPr>
            <w:tcW w:w="992"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66F64">
            <w:pPr>
              <w:pStyle w:val="NoSpacing"/>
              <w:rPr>
                <w:sz w:val="22"/>
                <w:szCs w:val="22"/>
                <w:lang w:val="hr-HR"/>
              </w:rPr>
            </w:pPr>
            <w:r w:rsidRPr="0083017F">
              <w:rPr>
                <w:sz w:val="22"/>
                <w:szCs w:val="22"/>
                <w:lang w:val="hr-HR"/>
              </w:rPr>
              <w:t>Hiperglikemija, Hiperurikemija</w:t>
            </w:r>
          </w:p>
        </w:tc>
        <w:tc>
          <w:tcPr>
            <w:tcW w:w="897" w:type="pct"/>
            <w:tcBorders>
              <w:top w:val="single" w:sz="4" w:space="0" w:color="auto"/>
              <w:left w:val="single" w:sz="4" w:space="0" w:color="auto"/>
              <w:bottom w:val="single" w:sz="4" w:space="0" w:color="auto"/>
              <w:right w:val="single" w:sz="4" w:space="0" w:color="auto"/>
            </w:tcBorders>
            <w:shd w:val="clear" w:color="auto" w:fill="auto"/>
          </w:tcPr>
          <w:p w:rsidR="0097639F" w:rsidRPr="0083017F" w:rsidRDefault="0097639F" w:rsidP="00B947F2">
            <w:pPr>
              <w:pStyle w:val="NoSpacing"/>
              <w:jc w:val="both"/>
              <w:rPr>
                <w:sz w:val="22"/>
                <w:szCs w:val="22"/>
                <w:lang w:val="hr-HR"/>
              </w:rPr>
            </w:pPr>
            <w:r w:rsidRPr="0083017F">
              <w:rPr>
                <w:sz w:val="22"/>
                <w:szCs w:val="22"/>
                <w:lang w:val="hr-HR"/>
              </w:rPr>
              <w:t>Hipoglikemija</w:t>
            </w:r>
          </w:p>
        </w:tc>
      </w:tr>
      <w:tr w:rsidR="0097639F" w:rsidRPr="0083017F" w:rsidTr="005B249E">
        <w:tc>
          <w:tcPr>
            <w:tcW w:w="89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noProof/>
                <w:sz w:val="22"/>
                <w:szCs w:val="22"/>
                <w:lang w:val="hr-HR"/>
              </w:rPr>
            </w:pPr>
            <w:r w:rsidRPr="0083017F">
              <w:rPr>
                <w:iCs/>
                <w:noProof/>
                <w:sz w:val="22"/>
                <w:szCs w:val="22"/>
                <w:lang w:val="hr-HR"/>
              </w:rPr>
              <w:t>Psihijatrijski poremećaji</w:t>
            </w:r>
          </w:p>
        </w:tc>
        <w:tc>
          <w:tcPr>
            <w:tcW w:w="1068"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1145"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sz w:val="22"/>
                <w:szCs w:val="22"/>
                <w:lang w:val="hr-HR"/>
              </w:rPr>
            </w:pPr>
            <w:r w:rsidRPr="0083017F">
              <w:rPr>
                <w:sz w:val="22"/>
                <w:szCs w:val="22"/>
                <w:lang w:val="hr-HR"/>
              </w:rPr>
              <w:t>Anksioznost</w:t>
            </w:r>
          </w:p>
          <w:p w:rsidR="0097639F" w:rsidRPr="0083017F" w:rsidRDefault="0097639F" w:rsidP="00B947F2">
            <w:pPr>
              <w:pStyle w:val="NoSpacing"/>
              <w:jc w:val="both"/>
              <w:rPr>
                <w:sz w:val="22"/>
                <w:szCs w:val="22"/>
                <w:lang w:val="hr-HR"/>
              </w:rPr>
            </w:pPr>
            <w:r w:rsidRPr="0083017F">
              <w:rPr>
                <w:sz w:val="22"/>
                <w:szCs w:val="22"/>
                <w:lang w:val="hr-HR"/>
              </w:rPr>
              <w:t>Psihomotorna hiperaktivnost/ agitacija</w:t>
            </w:r>
          </w:p>
        </w:tc>
        <w:tc>
          <w:tcPr>
            <w:tcW w:w="992" w:type="pct"/>
            <w:tcBorders>
              <w:top w:val="single" w:sz="4" w:space="0" w:color="auto"/>
              <w:left w:val="single" w:sz="4" w:space="0" w:color="auto"/>
              <w:bottom w:val="single" w:sz="4" w:space="0" w:color="auto"/>
              <w:right w:val="single" w:sz="4" w:space="0" w:color="auto"/>
            </w:tcBorders>
            <w:hideMark/>
          </w:tcPr>
          <w:p w:rsidR="0097639F" w:rsidRPr="0083017F" w:rsidRDefault="0097639F" w:rsidP="00932BE6">
            <w:pPr>
              <w:pStyle w:val="NoSpacing"/>
              <w:rPr>
                <w:sz w:val="22"/>
                <w:szCs w:val="22"/>
                <w:lang w:val="hr-HR"/>
              </w:rPr>
            </w:pPr>
            <w:r w:rsidRPr="0083017F">
              <w:rPr>
                <w:sz w:val="22"/>
                <w:szCs w:val="22"/>
                <w:lang w:val="hr-HR"/>
              </w:rPr>
              <w:t>Emotivna labilnost Depresija (u veoma rijetkim sluča</w:t>
            </w:r>
            <w:r w:rsidR="000255B9" w:rsidRPr="0083017F">
              <w:rPr>
                <w:sz w:val="22"/>
                <w:szCs w:val="22"/>
                <w:lang w:val="hr-HR"/>
              </w:rPr>
              <w:t xml:space="preserve">jevima može </w:t>
            </w:r>
            <w:r w:rsidRPr="0083017F">
              <w:rPr>
                <w:sz w:val="22"/>
                <w:szCs w:val="22"/>
                <w:lang w:val="hr-HR"/>
              </w:rPr>
              <w:t>da progredira do ponašanja koje vodi samopovrjeđivanju kao što su suicidalne ideje/misli ili pokušaji samoubistva, vidjeti odjeljak 4.4), Halucinacije</w:t>
            </w:r>
          </w:p>
        </w:tc>
        <w:tc>
          <w:tcPr>
            <w:tcW w:w="897" w:type="pct"/>
            <w:tcBorders>
              <w:top w:val="single" w:sz="4" w:space="0" w:color="auto"/>
              <w:left w:val="single" w:sz="4" w:space="0" w:color="auto"/>
              <w:bottom w:val="single" w:sz="4" w:space="0" w:color="auto"/>
              <w:right w:val="single" w:sz="4" w:space="0" w:color="auto"/>
            </w:tcBorders>
            <w:hideMark/>
          </w:tcPr>
          <w:p w:rsidR="0097639F" w:rsidRPr="0083017F" w:rsidRDefault="0097639F" w:rsidP="000255B9">
            <w:pPr>
              <w:pStyle w:val="NoSpacing"/>
              <w:rPr>
                <w:sz w:val="21"/>
                <w:szCs w:val="21"/>
                <w:lang w:val="hr-HR"/>
              </w:rPr>
            </w:pPr>
            <w:r w:rsidRPr="0083017F">
              <w:rPr>
                <w:sz w:val="21"/>
                <w:szCs w:val="21"/>
                <w:lang w:val="hr-HR"/>
              </w:rPr>
              <w:t xml:space="preserve">Depersonalizacija </w:t>
            </w:r>
          </w:p>
          <w:p w:rsidR="0097639F" w:rsidRPr="0083017F" w:rsidRDefault="0097639F" w:rsidP="000255B9">
            <w:pPr>
              <w:pStyle w:val="NoSpacing"/>
              <w:rPr>
                <w:sz w:val="22"/>
                <w:szCs w:val="22"/>
                <w:lang w:val="hr-HR"/>
              </w:rPr>
            </w:pPr>
            <w:r w:rsidRPr="0083017F">
              <w:rPr>
                <w:sz w:val="22"/>
                <w:szCs w:val="22"/>
                <w:lang w:val="hr-HR"/>
              </w:rPr>
              <w:t>Psihotične reakcije (</w:t>
            </w:r>
            <w:r w:rsidR="000255B9" w:rsidRPr="0083017F">
              <w:rPr>
                <w:sz w:val="22"/>
                <w:szCs w:val="22"/>
                <w:lang w:val="hr-HR"/>
              </w:rPr>
              <w:t xml:space="preserve">koje mogu </w:t>
            </w:r>
            <w:r w:rsidRPr="0083017F">
              <w:rPr>
                <w:sz w:val="22"/>
                <w:szCs w:val="22"/>
                <w:lang w:val="hr-HR"/>
              </w:rPr>
              <w:t>da progrediraju do ponašanja koje vodi samopovr</w:t>
            </w:r>
            <w:r w:rsidR="00932BE6" w:rsidRPr="0083017F">
              <w:rPr>
                <w:sz w:val="22"/>
                <w:szCs w:val="22"/>
                <w:lang w:val="hr-HR"/>
              </w:rPr>
              <w:t>j</w:t>
            </w:r>
            <w:r w:rsidRPr="0083017F">
              <w:rPr>
                <w:sz w:val="22"/>
                <w:szCs w:val="22"/>
                <w:lang w:val="hr-HR"/>
              </w:rPr>
              <w:t>eđi</w:t>
            </w:r>
          </w:p>
          <w:p w:rsidR="0097639F" w:rsidRPr="0083017F" w:rsidRDefault="0097639F" w:rsidP="000255B9">
            <w:pPr>
              <w:pStyle w:val="NoSpacing"/>
              <w:rPr>
                <w:sz w:val="22"/>
                <w:szCs w:val="22"/>
                <w:lang w:val="hr-HR"/>
              </w:rPr>
            </w:pPr>
            <w:r w:rsidRPr="0083017F">
              <w:rPr>
                <w:sz w:val="22"/>
                <w:szCs w:val="22"/>
                <w:lang w:val="hr-HR"/>
              </w:rPr>
              <w:t>vanju, kao što su suicidalne ideje/misli ili pokušaji samoubistva, vidjeti odjeljak 4.4)</w:t>
            </w:r>
          </w:p>
        </w:tc>
      </w:tr>
      <w:tr w:rsidR="0097639F" w:rsidRPr="0083017F" w:rsidTr="005B249E">
        <w:tc>
          <w:tcPr>
            <w:tcW w:w="89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noProof/>
                <w:sz w:val="22"/>
                <w:szCs w:val="22"/>
                <w:lang w:val="hr-HR"/>
              </w:rPr>
            </w:pPr>
            <w:r w:rsidRPr="0083017F">
              <w:rPr>
                <w:iCs/>
                <w:noProof/>
                <w:sz w:val="22"/>
                <w:szCs w:val="22"/>
                <w:lang w:val="hr-HR"/>
              </w:rPr>
              <w:t>Poremećaji nervnog sistema</w:t>
            </w:r>
          </w:p>
        </w:tc>
        <w:tc>
          <w:tcPr>
            <w:tcW w:w="106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sz w:val="22"/>
                <w:szCs w:val="22"/>
                <w:lang w:val="hr-HR"/>
              </w:rPr>
            </w:pPr>
            <w:r w:rsidRPr="0083017F">
              <w:rPr>
                <w:sz w:val="22"/>
                <w:szCs w:val="22"/>
                <w:lang w:val="hr-HR"/>
              </w:rPr>
              <w:t>Glavobolja, vrtoglavica</w:t>
            </w:r>
          </w:p>
        </w:tc>
        <w:tc>
          <w:tcPr>
            <w:tcW w:w="1145" w:type="pct"/>
            <w:tcBorders>
              <w:top w:val="single" w:sz="4" w:space="0" w:color="auto"/>
              <w:left w:val="single" w:sz="4" w:space="0" w:color="auto"/>
              <w:bottom w:val="single" w:sz="4" w:space="0" w:color="auto"/>
              <w:right w:val="single" w:sz="4" w:space="0" w:color="auto"/>
            </w:tcBorders>
            <w:hideMark/>
          </w:tcPr>
          <w:p w:rsidR="00932BE6" w:rsidRPr="0083017F" w:rsidRDefault="0097639F" w:rsidP="00932BE6">
            <w:pPr>
              <w:pStyle w:val="NoSpacing"/>
              <w:rPr>
                <w:sz w:val="22"/>
                <w:szCs w:val="22"/>
                <w:lang w:val="hr-HR"/>
              </w:rPr>
            </w:pPr>
            <w:r w:rsidRPr="0083017F">
              <w:rPr>
                <w:sz w:val="22"/>
                <w:szCs w:val="22"/>
                <w:lang w:val="hr-HR"/>
              </w:rPr>
              <w:t xml:space="preserve">Parestezija </w:t>
            </w:r>
          </w:p>
          <w:p w:rsidR="0097639F" w:rsidRPr="0083017F" w:rsidRDefault="0097639F" w:rsidP="00932BE6">
            <w:pPr>
              <w:pStyle w:val="NoSpacing"/>
              <w:rPr>
                <w:sz w:val="22"/>
                <w:szCs w:val="22"/>
                <w:lang w:val="hr-HR"/>
              </w:rPr>
            </w:pPr>
            <w:r w:rsidRPr="0083017F">
              <w:rPr>
                <w:sz w:val="22"/>
                <w:szCs w:val="22"/>
                <w:lang w:val="hr-HR"/>
              </w:rPr>
              <w:t xml:space="preserve">Dizestezija </w:t>
            </w:r>
          </w:p>
          <w:p w:rsidR="00932BE6" w:rsidRPr="0083017F" w:rsidRDefault="0097639F" w:rsidP="00932BE6">
            <w:pPr>
              <w:pStyle w:val="NoSpacing"/>
              <w:rPr>
                <w:sz w:val="22"/>
                <w:szCs w:val="22"/>
                <w:lang w:val="hr-HR"/>
              </w:rPr>
            </w:pPr>
            <w:r w:rsidRPr="0083017F">
              <w:rPr>
                <w:sz w:val="22"/>
                <w:szCs w:val="22"/>
                <w:lang w:val="hr-HR"/>
              </w:rPr>
              <w:t xml:space="preserve">Poremećaj ukusa </w:t>
            </w:r>
          </w:p>
          <w:p w:rsidR="0097639F" w:rsidRPr="0083017F" w:rsidRDefault="0097639F" w:rsidP="00932BE6">
            <w:pPr>
              <w:pStyle w:val="NoSpacing"/>
              <w:rPr>
                <w:sz w:val="22"/>
                <w:szCs w:val="22"/>
                <w:lang w:val="hr-HR"/>
              </w:rPr>
            </w:pPr>
            <w:r w:rsidRPr="0083017F">
              <w:rPr>
                <w:sz w:val="22"/>
                <w:szCs w:val="22"/>
                <w:lang w:val="hr-HR"/>
              </w:rPr>
              <w:t>(vrlo rijetko uključujući ageuziju) Konfuzija i dezorijentacija</w:t>
            </w:r>
          </w:p>
          <w:p w:rsidR="0097639F" w:rsidRPr="0083017F" w:rsidRDefault="0097639F" w:rsidP="00932BE6">
            <w:pPr>
              <w:pStyle w:val="NoSpacing"/>
              <w:rPr>
                <w:sz w:val="22"/>
                <w:szCs w:val="22"/>
                <w:lang w:val="hr-HR"/>
              </w:rPr>
            </w:pPr>
            <w:r w:rsidRPr="0083017F">
              <w:rPr>
                <w:sz w:val="22"/>
                <w:szCs w:val="22"/>
                <w:lang w:val="hr-HR"/>
              </w:rPr>
              <w:t xml:space="preserve">Poremećaj sna (pretežno  nesanica), </w:t>
            </w:r>
          </w:p>
          <w:p w:rsidR="0097639F" w:rsidRPr="0083017F" w:rsidRDefault="0097639F" w:rsidP="00932BE6">
            <w:pPr>
              <w:pStyle w:val="NoSpacing"/>
              <w:rPr>
                <w:sz w:val="22"/>
                <w:szCs w:val="22"/>
                <w:lang w:val="hr-HR"/>
              </w:rPr>
            </w:pPr>
            <w:r w:rsidRPr="0083017F">
              <w:rPr>
                <w:sz w:val="22"/>
                <w:szCs w:val="22"/>
                <w:lang w:val="hr-HR"/>
              </w:rPr>
              <w:t>Tremor</w:t>
            </w:r>
          </w:p>
          <w:p w:rsidR="0097639F" w:rsidRPr="0083017F" w:rsidRDefault="0097639F" w:rsidP="00932BE6">
            <w:pPr>
              <w:pStyle w:val="NoSpacing"/>
              <w:rPr>
                <w:sz w:val="22"/>
                <w:szCs w:val="22"/>
                <w:lang w:val="hr-HR"/>
              </w:rPr>
            </w:pPr>
            <w:r w:rsidRPr="0083017F">
              <w:rPr>
                <w:sz w:val="22"/>
                <w:szCs w:val="22"/>
                <w:lang w:val="hr-HR"/>
              </w:rPr>
              <w:t>Vertigo</w:t>
            </w:r>
          </w:p>
          <w:p w:rsidR="0097639F" w:rsidRPr="0083017F" w:rsidRDefault="0097639F" w:rsidP="00932BE6">
            <w:pPr>
              <w:pStyle w:val="NoSpacing"/>
              <w:rPr>
                <w:sz w:val="22"/>
                <w:szCs w:val="22"/>
                <w:lang w:val="hr-HR"/>
              </w:rPr>
            </w:pPr>
            <w:r w:rsidRPr="0083017F">
              <w:rPr>
                <w:sz w:val="22"/>
                <w:szCs w:val="22"/>
                <w:lang w:val="hr-HR"/>
              </w:rPr>
              <w:t>Somnolencija</w:t>
            </w:r>
          </w:p>
        </w:tc>
        <w:tc>
          <w:tcPr>
            <w:tcW w:w="992" w:type="pct"/>
            <w:tcBorders>
              <w:top w:val="single" w:sz="4" w:space="0" w:color="auto"/>
              <w:left w:val="single" w:sz="4" w:space="0" w:color="auto"/>
              <w:bottom w:val="single" w:sz="4" w:space="0" w:color="auto"/>
              <w:right w:val="single" w:sz="4" w:space="0" w:color="auto"/>
            </w:tcBorders>
            <w:hideMark/>
          </w:tcPr>
          <w:p w:rsidR="0097639F" w:rsidRPr="0083017F" w:rsidRDefault="0097639F" w:rsidP="000255B9">
            <w:pPr>
              <w:pStyle w:val="NoSpacing"/>
              <w:rPr>
                <w:sz w:val="22"/>
                <w:szCs w:val="22"/>
                <w:lang w:val="hr-HR"/>
              </w:rPr>
            </w:pPr>
            <w:r w:rsidRPr="0083017F">
              <w:rPr>
                <w:sz w:val="22"/>
                <w:szCs w:val="22"/>
                <w:lang w:val="hr-HR"/>
              </w:rPr>
              <w:t>Hipoestezija, Poremećaj mirisa</w:t>
            </w:r>
            <w:r w:rsidR="00932BE6" w:rsidRPr="0083017F">
              <w:rPr>
                <w:sz w:val="22"/>
                <w:szCs w:val="22"/>
                <w:lang w:val="hr-HR"/>
              </w:rPr>
              <w:t xml:space="preserve"> </w:t>
            </w:r>
            <w:r w:rsidRPr="0083017F">
              <w:rPr>
                <w:sz w:val="22"/>
                <w:szCs w:val="22"/>
                <w:lang w:val="hr-HR"/>
              </w:rPr>
              <w:t>(uključ. anosmiju)</w:t>
            </w:r>
          </w:p>
          <w:p w:rsidR="0097639F" w:rsidRPr="0083017F" w:rsidRDefault="0097639F" w:rsidP="000255B9">
            <w:pPr>
              <w:pStyle w:val="NoSpacing"/>
              <w:rPr>
                <w:sz w:val="22"/>
                <w:szCs w:val="22"/>
                <w:lang w:val="hr-HR"/>
              </w:rPr>
            </w:pPr>
            <w:r w:rsidRPr="0083017F">
              <w:rPr>
                <w:sz w:val="22"/>
                <w:szCs w:val="22"/>
                <w:lang w:val="hr-HR"/>
              </w:rPr>
              <w:t>Noćne more Poremećaj koordinacije (uključujući poremećaj hoda zbog vrtoglavice ili vertiga)</w:t>
            </w:r>
          </w:p>
          <w:p w:rsidR="0097639F" w:rsidRPr="0083017F" w:rsidRDefault="0097639F" w:rsidP="000255B9">
            <w:pPr>
              <w:pStyle w:val="NoSpacing"/>
              <w:rPr>
                <w:sz w:val="22"/>
                <w:szCs w:val="22"/>
                <w:lang w:val="hr-HR"/>
              </w:rPr>
            </w:pPr>
            <w:r w:rsidRPr="0083017F">
              <w:rPr>
                <w:sz w:val="22"/>
                <w:szCs w:val="22"/>
                <w:lang w:val="hr-HR"/>
              </w:rPr>
              <w:t xml:space="preserve">Konvulzije uključ. “grand mal” konvulzije (vidjeti odjeljak 4.4), </w:t>
            </w:r>
          </w:p>
          <w:p w:rsidR="0097639F" w:rsidRPr="0083017F" w:rsidRDefault="0097639F" w:rsidP="000255B9">
            <w:pPr>
              <w:pStyle w:val="NoSpacing"/>
              <w:rPr>
                <w:sz w:val="22"/>
                <w:szCs w:val="22"/>
                <w:lang w:val="hr-HR"/>
              </w:rPr>
            </w:pPr>
            <w:r w:rsidRPr="0083017F">
              <w:rPr>
                <w:sz w:val="22"/>
                <w:szCs w:val="22"/>
                <w:lang w:val="hr-HR"/>
              </w:rPr>
              <w:lastRenderedPageBreak/>
              <w:t>Poremećaj pažnje, Poremećaj govora, Amnezija</w:t>
            </w:r>
          </w:p>
          <w:p w:rsidR="0097639F" w:rsidRPr="0083017F" w:rsidRDefault="0097639F" w:rsidP="000255B9">
            <w:pPr>
              <w:pStyle w:val="NoSpacing"/>
              <w:rPr>
                <w:sz w:val="22"/>
                <w:szCs w:val="22"/>
                <w:lang w:val="hr-HR"/>
              </w:rPr>
            </w:pPr>
            <w:r w:rsidRPr="0083017F">
              <w:rPr>
                <w:sz w:val="22"/>
                <w:szCs w:val="22"/>
                <w:lang w:val="hr-HR"/>
              </w:rPr>
              <w:t>Periferna neuropatija i polineuropatija</w:t>
            </w:r>
          </w:p>
        </w:tc>
        <w:tc>
          <w:tcPr>
            <w:tcW w:w="897"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sz w:val="22"/>
                <w:szCs w:val="22"/>
                <w:lang w:val="hr-HR"/>
              </w:rPr>
            </w:pPr>
            <w:r w:rsidRPr="0083017F">
              <w:rPr>
                <w:sz w:val="22"/>
                <w:szCs w:val="22"/>
                <w:lang w:val="hr-HR"/>
              </w:rPr>
              <w:lastRenderedPageBreak/>
              <w:t xml:space="preserve">Hiperestezija </w:t>
            </w:r>
          </w:p>
        </w:tc>
      </w:tr>
      <w:tr w:rsidR="0097639F" w:rsidRPr="0083017F" w:rsidTr="005B249E">
        <w:tc>
          <w:tcPr>
            <w:tcW w:w="89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932BE6">
            <w:pPr>
              <w:pStyle w:val="NoSpacing"/>
              <w:rPr>
                <w:noProof/>
                <w:sz w:val="22"/>
                <w:szCs w:val="22"/>
                <w:lang w:val="hr-HR"/>
              </w:rPr>
            </w:pPr>
            <w:r w:rsidRPr="0083017F">
              <w:rPr>
                <w:noProof/>
                <w:sz w:val="22"/>
                <w:szCs w:val="22"/>
                <w:lang w:val="hr-HR"/>
              </w:rPr>
              <w:t>Poremećaji na nivou oka</w:t>
            </w:r>
          </w:p>
        </w:tc>
        <w:tc>
          <w:tcPr>
            <w:tcW w:w="1068"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1145" w:type="pct"/>
            <w:tcBorders>
              <w:top w:val="single" w:sz="4" w:space="0" w:color="auto"/>
              <w:left w:val="single" w:sz="4" w:space="0" w:color="auto"/>
              <w:bottom w:val="single" w:sz="4" w:space="0" w:color="auto"/>
              <w:right w:val="single" w:sz="4" w:space="0" w:color="auto"/>
            </w:tcBorders>
            <w:hideMark/>
          </w:tcPr>
          <w:p w:rsidR="0097639F" w:rsidRPr="0083017F" w:rsidRDefault="0097639F" w:rsidP="005165DE">
            <w:pPr>
              <w:pStyle w:val="NoSpacing"/>
              <w:rPr>
                <w:sz w:val="22"/>
                <w:szCs w:val="22"/>
                <w:lang w:val="hr-HR"/>
              </w:rPr>
            </w:pPr>
            <w:r w:rsidRPr="0083017F">
              <w:rPr>
                <w:sz w:val="22"/>
                <w:szCs w:val="22"/>
                <w:lang w:val="hr-HR"/>
              </w:rPr>
              <w:t xml:space="preserve">Poremećaj vida, uključ. diplopiju i zamućen vid (posebno zbog CNS reakcije, vidjeti odjeljak 4.4) </w:t>
            </w:r>
          </w:p>
        </w:tc>
        <w:tc>
          <w:tcPr>
            <w:tcW w:w="992"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897" w:type="pct"/>
            <w:tcBorders>
              <w:top w:val="single" w:sz="4" w:space="0" w:color="auto"/>
              <w:left w:val="single" w:sz="4" w:space="0" w:color="auto"/>
              <w:bottom w:val="single" w:sz="4" w:space="0" w:color="auto"/>
              <w:right w:val="single" w:sz="4" w:space="0" w:color="auto"/>
            </w:tcBorders>
            <w:hideMark/>
          </w:tcPr>
          <w:p w:rsidR="00932BE6" w:rsidRPr="0083017F" w:rsidRDefault="0097639F" w:rsidP="005165DE">
            <w:pPr>
              <w:pStyle w:val="NoSpacing"/>
              <w:rPr>
                <w:sz w:val="22"/>
                <w:szCs w:val="22"/>
                <w:lang w:val="hr-HR"/>
              </w:rPr>
            </w:pPr>
            <w:r w:rsidRPr="0083017F">
              <w:rPr>
                <w:sz w:val="22"/>
                <w:szCs w:val="22"/>
                <w:lang w:val="hr-HR"/>
              </w:rPr>
              <w:t>P</w:t>
            </w:r>
            <w:r w:rsidRPr="0083017F">
              <w:rPr>
                <w:spacing w:val="-1"/>
                <w:sz w:val="22"/>
                <w:szCs w:val="22"/>
                <w:lang w:val="hr-HR"/>
              </w:rPr>
              <w:t>r</w:t>
            </w:r>
            <w:r w:rsidRPr="0083017F">
              <w:rPr>
                <w:sz w:val="22"/>
                <w:szCs w:val="22"/>
                <w:lang w:val="hr-HR"/>
              </w:rPr>
              <w:t>ola</w:t>
            </w:r>
            <w:r w:rsidRPr="0083017F">
              <w:rPr>
                <w:spacing w:val="1"/>
                <w:sz w:val="22"/>
                <w:szCs w:val="22"/>
                <w:lang w:val="hr-HR"/>
              </w:rPr>
              <w:t>z</w:t>
            </w:r>
            <w:r w:rsidRPr="0083017F">
              <w:rPr>
                <w:sz w:val="22"/>
                <w:szCs w:val="22"/>
                <w:lang w:val="hr-HR"/>
              </w:rPr>
              <w:t>ni</w:t>
            </w:r>
            <w:r w:rsidRPr="0083017F">
              <w:rPr>
                <w:spacing w:val="3"/>
                <w:sz w:val="22"/>
                <w:szCs w:val="22"/>
                <w:lang w:val="hr-HR"/>
              </w:rPr>
              <w:t xml:space="preserve"> </w:t>
            </w:r>
            <w:r w:rsidRPr="0083017F">
              <w:rPr>
                <w:spacing w:val="-2"/>
                <w:sz w:val="22"/>
                <w:szCs w:val="22"/>
                <w:lang w:val="hr-HR"/>
              </w:rPr>
              <w:t>g</w:t>
            </w:r>
            <w:r w:rsidRPr="0083017F">
              <w:rPr>
                <w:spacing w:val="2"/>
                <w:sz w:val="22"/>
                <w:szCs w:val="22"/>
                <w:lang w:val="hr-HR"/>
              </w:rPr>
              <w:t>u</w:t>
            </w:r>
            <w:r w:rsidRPr="0083017F">
              <w:rPr>
                <w:sz w:val="22"/>
                <w:szCs w:val="22"/>
                <w:lang w:val="hr-HR"/>
              </w:rPr>
              <w:t>bi</w:t>
            </w:r>
            <w:r w:rsidRPr="0083017F">
              <w:rPr>
                <w:spacing w:val="1"/>
                <w:sz w:val="22"/>
                <w:szCs w:val="22"/>
                <w:lang w:val="hr-HR"/>
              </w:rPr>
              <w:t>t</w:t>
            </w:r>
            <w:r w:rsidRPr="0083017F">
              <w:rPr>
                <w:spacing w:val="-1"/>
                <w:sz w:val="22"/>
                <w:szCs w:val="22"/>
                <w:lang w:val="hr-HR"/>
              </w:rPr>
              <w:t>a</w:t>
            </w:r>
            <w:r w:rsidRPr="0083017F">
              <w:rPr>
                <w:sz w:val="22"/>
                <w:szCs w:val="22"/>
                <w:lang w:val="hr-HR"/>
              </w:rPr>
              <w:t>k</w:t>
            </w:r>
            <w:r w:rsidRPr="0083017F">
              <w:rPr>
                <w:spacing w:val="3"/>
                <w:sz w:val="22"/>
                <w:szCs w:val="22"/>
                <w:lang w:val="hr-HR"/>
              </w:rPr>
              <w:t xml:space="preserve"> </w:t>
            </w:r>
            <w:r w:rsidRPr="0083017F">
              <w:rPr>
                <w:sz w:val="22"/>
                <w:szCs w:val="22"/>
                <w:lang w:val="hr-HR"/>
              </w:rPr>
              <w:t>vida</w:t>
            </w:r>
            <w:r w:rsidRPr="0083017F">
              <w:rPr>
                <w:spacing w:val="2"/>
                <w:sz w:val="22"/>
                <w:szCs w:val="22"/>
                <w:lang w:val="hr-HR"/>
              </w:rPr>
              <w:t xml:space="preserve"> </w:t>
            </w:r>
            <w:r w:rsidRPr="0083017F">
              <w:rPr>
                <w:sz w:val="22"/>
                <w:szCs w:val="22"/>
                <w:lang w:val="hr-HR"/>
              </w:rPr>
              <w:t xml:space="preserve">(posebno vezan za reakcije u </w:t>
            </w:r>
          </w:p>
          <w:p w:rsidR="0097639F" w:rsidRPr="0083017F" w:rsidRDefault="0097639F" w:rsidP="005165DE">
            <w:pPr>
              <w:pStyle w:val="NoSpacing"/>
              <w:rPr>
                <w:sz w:val="22"/>
                <w:szCs w:val="22"/>
                <w:lang w:val="hr-HR"/>
              </w:rPr>
            </w:pPr>
            <w:r w:rsidRPr="0083017F">
              <w:rPr>
                <w:sz w:val="22"/>
                <w:szCs w:val="22"/>
                <w:lang w:val="hr-HR"/>
              </w:rPr>
              <w:t>CNS-u, vidjeti odjeljke 4.4 i 4.7)</w:t>
            </w:r>
          </w:p>
        </w:tc>
      </w:tr>
      <w:tr w:rsidR="0097639F" w:rsidRPr="0083017F" w:rsidTr="005B249E">
        <w:tc>
          <w:tcPr>
            <w:tcW w:w="89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5165DE">
            <w:pPr>
              <w:pStyle w:val="NoSpacing"/>
              <w:rPr>
                <w:noProof/>
                <w:sz w:val="22"/>
                <w:szCs w:val="22"/>
                <w:lang w:val="hr-HR"/>
              </w:rPr>
            </w:pPr>
            <w:r w:rsidRPr="0083017F">
              <w:rPr>
                <w:iCs/>
                <w:noProof/>
                <w:sz w:val="22"/>
                <w:szCs w:val="22"/>
                <w:lang w:val="hr-HR"/>
              </w:rPr>
              <w:t>Poremećaji na nivou uha i centra za ravnotezu</w:t>
            </w:r>
          </w:p>
        </w:tc>
        <w:tc>
          <w:tcPr>
            <w:tcW w:w="1068"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1145"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992" w:type="pct"/>
            <w:tcBorders>
              <w:top w:val="single" w:sz="4" w:space="0" w:color="auto"/>
              <w:left w:val="single" w:sz="4" w:space="0" w:color="auto"/>
              <w:bottom w:val="single" w:sz="4" w:space="0" w:color="auto"/>
              <w:right w:val="single" w:sz="4" w:space="0" w:color="auto"/>
            </w:tcBorders>
            <w:hideMark/>
          </w:tcPr>
          <w:p w:rsidR="0097639F" w:rsidRPr="0083017F" w:rsidRDefault="0097639F" w:rsidP="005165DE">
            <w:pPr>
              <w:pStyle w:val="NoSpacing"/>
              <w:rPr>
                <w:sz w:val="22"/>
                <w:szCs w:val="22"/>
                <w:lang w:val="hr-HR"/>
              </w:rPr>
            </w:pPr>
            <w:r w:rsidRPr="0083017F">
              <w:rPr>
                <w:sz w:val="22"/>
                <w:szCs w:val="22"/>
                <w:lang w:val="hr-HR"/>
              </w:rPr>
              <w:t>Tinitus</w:t>
            </w:r>
          </w:p>
          <w:p w:rsidR="0097639F" w:rsidRPr="0083017F" w:rsidRDefault="0097639F" w:rsidP="005165DE">
            <w:pPr>
              <w:pStyle w:val="NoSpacing"/>
              <w:rPr>
                <w:sz w:val="22"/>
                <w:szCs w:val="22"/>
                <w:lang w:val="hr-HR"/>
              </w:rPr>
            </w:pPr>
            <w:r w:rsidRPr="0083017F">
              <w:rPr>
                <w:sz w:val="22"/>
                <w:szCs w:val="22"/>
                <w:lang w:val="hr-HR"/>
              </w:rPr>
              <w:t>Poremećaj sluha uključ. gubitak sluha (uglavnom reverzibilan)</w:t>
            </w:r>
          </w:p>
        </w:tc>
        <w:tc>
          <w:tcPr>
            <w:tcW w:w="897"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r>
      <w:tr w:rsidR="0097639F" w:rsidRPr="0083017F" w:rsidTr="005B249E">
        <w:tc>
          <w:tcPr>
            <w:tcW w:w="89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noProof/>
                <w:sz w:val="22"/>
                <w:szCs w:val="22"/>
                <w:lang w:val="hr-HR"/>
              </w:rPr>
            </w:pPr>
            <w:r w:rsidRPr="0083017F">
              <w:rPr>
                <w:iCs/>
                <w:noProof/>
                <w:sz w:val="22"/>
                <w:szCs w:val="22"/>
                <w:lang w:val="hr-HR"/>
              </w:rPr>
              <w:t>Kardiološki  poremećaji</w:t>
            </w:r>
          </w:p>
        </w:tc>
        <w:tc>
          <w:tcPr>
            <w:tcW w:w="106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5165DE">
            <w:pPr>
              <w:pStyle w:val="NoSpacing"/>
              <w:rPr>
                <w:sz w:val="22"/>
                <w:szCs w:val="22"/>
                <w:lang w:val="hr-HR"/>
              </w:rPr>
            </w:pPr>
            <w:r w:rsidRPr="0083017F">
              <w:rPr>
                <w:sz w:val="22"/>
                <w:szCs w:val="22"/>
                <w:lang w:val="hr-HR"/>
              </w:rPr>
              <w:t>Produženje QT intervala kod pacijenata sa hipokalijemijom (vidjeti odjeljke 4.3 i 4.4)</w:t>
            </w:r>
          </w:p>
        </w:tc>
        <w:tc>
          <w:tcPr>
            <w:tcW w:w="1145" w:type="pct"/>
            <w:tcBorders>
              <w:top w:val="single" w:sz="4" w:space="0" w:color="auto"/>
              <w:left w:val="single" w:sz="4" w:space="0" w:color="auto"/>
              <w:bottom w:val="single" w:sz="4" w:space="0" w:color="auto"/>
              <w:right w:val="single" w:sz="4" w:space="0" w:color="auto"/>
            </w:tcBorders>
            <w:hideMark/>
          </w:tcPr>
          <w:p w:rsidR="0097639F" w:rsidRPr="0083017F" w:rsidRDefault="0097639F" w:rsidP="00932BE6">
            <w:pPr>
              <w:pStyle w:val="NoSpacing"/>
              <w:rPr>
                <w:sz w:val="22"/>
                <w:szCs w:val="22"/>
                <w:lang w:val="hr-HR"/>
              </w:rPr>
            </w:pPr>
            <w:r w:rsidRPr="0083017F">
              <w:rPr>
                <w:sz w:val="22"/>
                <w:szCs w:val="22"/>
                <w:lang w:val="hr-HR"/>
              </w:rPr>
              <w:t>Produženje QT intervala (vidjeti odjeljak 4.4)</w:t>
            </w:r>
          </w:p>
          <w:p w:rsidR="00932BE6" w:rsidRPr="0083017F" w:rsidRDefault="0097639F" w:rsidP="00932BE6">
            <w:pPr>
              <w:pStyle w:val="NoSpacing"/>
              <w:rPr>
                <w:sz w:val="22"/>
                <w:szCs w:val="22"/>
                <w:lang w:val="hr-HR"/>
              </w:rPr>
            </w:pPr>
            <w:r w:rsidRPr="0083017F">
              <w:rPr>
                <w:sz w:val="22"/>
                <w:szCs w:val="22"/>
                <w:lang w:val="hr-HR"/>
              </w:rPr>
              <w:t xml:space="preserve">Palpitacije </w:t>
            </w:r>
          </w:p>
          <w:p w:rsidR="0097639F" w:rsidRPr="0083017F" w:rsidRDefault="0097639F" w:rsidP="00932BE6">
            <w:pPr>
              <w:pStyle w:val="NoSpacing"/>
              <w:rPr>
                <w:sz w:val="22"/>
                <w:szCs w:val="22"/>
                <w:lang w:val="hr-HR"/>
              </w:rPr>
            </w:pPr>
            <w:r w:rsidRPr="0083017F">
              <w:rPr>
                <w:sz w:val="22"/>
                <w:szCs w:val="22"/>
                <w:lang w:val="hr-HR"/>
              </w:rPr>
              <w:t xml:space="preserve">Tahikardija </w:t>
            </w:r>
          </w:p>
          <w:p w:rsidR="0097639F" w:rsidRPr="0083017F" w:rsidRDefault="0097639F" w:rsidP="00932BE6">
            <w:pPr>
              <w:pStyle w:val="NoSpacing"/>
              <w:rPr>
                <w:sz w:val="22"/>
                <w:szCs w:val="22"/>
                <w:lang w:val="hr-HR"/>
              </w:rPr>
            </w:pPr>
            <w:r w:rsidRPr="0083017F">
              <w:rPr>
                <w:sz w:val="22"/>
                <w:szCs w:val="22"/>
                <w:lang w:val="hr-HR"/>
              </w:rPr>
              <w:t>Atrijalna fibrilacija Angina pectoris</w:t>
            </w:r>
          </w:p>
        </w:tc>
        <w:tc>
          <w:tcPr>
            <w:tcW w:w="992" w:type="pct"/>
            <w:tcBorders>
              <w:top w:val="single" w:sz="4" w:space="0" w:color="auto"/>
              <w:left w:val="single" w:sz="4" w:space="0" w:color="auto"/>
              <w:bottom w:val="single" w:sz="4" w:space="0" w:color="auto"/>
              <w:right w:val="single" w:sz="4" w:space="0" w:color="auto"/>
            </w:tcBorders>
            <w:hideMark/>
          </w:tcPr>
          <w:p w:rsidR="0097639F" w:rsidRPr="0083017F" w:rsidRDefault="0097639F" w:rsidP="005165DE">
            <w:pPr>
              <w:pStyle w:val="NoSpacing"/>
              <w:rPr>
                <w:sz w:val="22"/>
                <w:szCs w:val="22"/>
                <w:lang w:val="hr-HR"/>
              </w:rPr>
            </w:pPr>
            <w:r w:rsidRPr="0083017F">
              <w:rPr>
                <w:sz w:val="22"/>
                <w:szCs w:val="22"/>
                <w:lang w:val="hr-HR"/>
              </w:rPr>
              <w:t>Ventrikularne tahiaritmije</w:t>
            </w:r>
          </w:p>
          <w:p w:rsidR="0097639F" w:rsidRPr="0083017F" w:rsidRDefault="0097639F" w:rsidP="005165DE">
            <w:pPr>
              <w:pStyle w:val="NoSpacing"/>
              <w:rPr>
                <w:sz w:val="22"/>
                <w:szCs w:val="22"/>
                <w:lang w:val="hr-HR"/>
              </w:rPr>
            </w:pPr>
            <w:r w:rsidRPr="0083017F">
              <w:rPr>
                <w:sz w:val="22"/>
                <w:szCs w:val="22"/>
                <w:lang w:val="hr-HR"/>
              </w:rPr>
              <w:t>Sinkopa (tj.akutni i kratkotrajni gubitak svijesti)</w:t>
            </w:r>
          </w:p>
        </w:tc>
        <w:tc>
          <w:tcPr>
            <w:tcW w:w="897" w:type="pct"/>
            <w:tcBorders>
              <w:top w:val="single" w:sz="4" w:space="0" w:color="auto"/>
              <w:left w:val="single" w:sz="4" w:space="0" w:color="auto"/>
              <w:bottom w:val="single" w:sz="4" w:space="0" w:color="auto"/>
              <w:right w:val="single" w:sz="4" w:space="0" w:color="auto"/>
            </w:tcBorders>
            <w:hideMark/>
          </w:tcPr>
          <w:p w:rsidR="00932BE6" w:rsidRPr="0083017F" w:rsidRDefault="0097639F" w:rsidP="00932BE6">
            <w:pPr>
              <w:pStyle w:val="NoSpacing"/>
              <w:rPr>
                <w:i/>
                <w:sz w:val="22"/>
                <w:szCs w:val="22"/>
                <w:lang w:val="hr-HR"/>
              </w:rPr>
            </w:pPr>
            <w:r w:rsidRPr="0083017F">
              <w:rPr>
                <w:sz w:val="22"/>
                <w:szCs w:val="22"/>
                <w:lang w:val="hr-HR"/>
              </w:rPr>
              <w:t xml:space="preserve">Nespecifične aritmije, </w:t>
            </w:r>
            <w:r w:rsidRPr="0083017F">
              <w:rPr>
                <w:i/>
                <w:sz w:val="22"/>
                <w:szCs w:val="22"/>
                <w:lang w:val="hr-HR"/>
              </w:rPr>
              <w:t xml:space="preserve">Torsade de Pointes </w:t>
            </w:r>
          </w:p>
          <w:p w:rsidR="0097639F" w:rsidRPr="0083017F" w:rsidRDefault="0097639F" w:rsidP="00932BE6">
            <w:pPr>
              <w:pStyle w:val="NoSpacing"/>
              <w:rPr>
                <w:sz w:val="22"/>
                <w:szCs w:val="22"/>
                <w:lang w:val="hr-HR"/>
              </w:rPr>
            </w:pPr>
            <w:r w:rsidRPr="0083017F">
              <w:rPr>
                <w:sz w:val="22"/>
                <w:szCs w:val="22"/>
                <w:lang w:val="hr-HR"/>
              </w:rPr>
              <w:t>(vidjeti odjeljak 4.4)</w:t>
            </w:r>
          </w:p>
          <w:p w:rsidR="0097639F" w:rsidRPr="0083017F" w:rsidRDefault="0097639F" w:rsidP="00932BE6">
            <w:pPr>
              <w:pStyle w:val="NoSpacing"/>
              <w:rPr>
                <w:sz w:val="22"/>
                <w:szCs w:val="22"/>
                <w:lang w:val="hr-HR"/>
              </w:rPr>
            </w:pPr>
            <w:r w:rsidRPr="0083017F">
              <w:rPr>
                <w:sz w:val="22"/>
                <w:szCs w:val="22"/>
                <w:lang w:val="hr-HR"/>
              </w:rPr>
              <w:t xml:space="preserve">Srčani zastoj (vidjeti odjeljak 4.4) </w:t>
            </w:r>
          </w:p>
        </w:tc>
      </w:tr>
      <w:tr w:rsidR="0097639F" w:rsidRPr="0083017F" w:rsidTr="005B249E">
        <w:tc>
          <w:tcPr>
            <w:tcW w:w="898"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noProof/>
                <w:sz w:val="22"/>
                <w:szCs w:val="22"/>
                <w:lang w:val="sr-Latn-ME"/>
              </w:rPr>
            </w:pPr>
            <w:r w:rsidRPr="0083017F">
              <w:rPr>
                <w:noProof/>
                <w:sz w:val="22"/>
                <w:szCs w:val="22"/>
                <w:lang w:val="sr-Latn-ME"/>
              </w:rPr>
              <w:t>Vaskularni poremećaji</w:t>
            </w:r>
          </w:p>
          <w:p w:rsidR="0097639F" w:rsidRPr="0083017F" w:rsidRDefault="0097639F" w:rsidP="00B947F2">
            <w:pPr>
              <w:pStyle w:val="NoSpacing"/>
              <w:jc w:val="both"/>
              <w:rPr>
                <w:noProof/>
                <w:sz w:val="22"/>
                <w:szCs w:val="22"/>
                <w:lang w:val="hr-HR"/>
              </w:rPr>
            </w:pPr>
          </w:p>
        </w:tc>
        <w:tc>
          <w:tcPr>
            <w:tcW w:w="1068"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1145"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sz w:val="22"/>
                <w:szCs w:val="22"/>
                <w:lang w:val="hr-HR"/>
              </w:rPr>
            </w:pPr>
            <w:r w:rsidRPr="0083017F">
              <w:rPr>
                <w:sz w:val="22"/>
                <w:szCs w:val="22"/>
                <w:lang w:val="hr-HR"/>
              </w:rPr>
              <w:t>Vazodilatacija</w:t>
            </w:r>
          </w:p>
        </w:tc>
        <w:tc>
          <w:tcPr>
            <w:tcW w:w="992"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sz w:val="22"/>
                <w:szCs w:val="22"/>
                <w:lang w:val="hr-HR"/>
              </w:rPr>
            </w:pPr>
            <w:r w:rsidRPr="0083017F">
              <w:rPr>
                <w:sz w:val="22"/>
                <w:szCs w:val="22"/>
                <w:lang w:val="hr-HR"/>
              </w:rPr>
              <w:t>Hipertenzija</w:t>
            </w:r>
          </w:p>
          <w:p w:rsidR="0097639F" w:rsidRPr="0083017F" w:rsidRDefault="0097639F" w:rsidP="00B947F2">
            <w:pPr>
              <w:pStyle w:val="NoSpacing"/>
              <w:jc w:val="both"/>
              <w:rPr>
                <w:sz w:val="22"/>
                <w:szCs w:val="22"/>
                <w:lang w:val="hr-HR"/>
              </w:rPr>
            </w:pPr>
            <w:r w:rsidRPr="0083017F">
              <w:rPr>
                <w:sz w:val="22"/>
                <w:szCs w:val="22"/>
                <w:lang w:val="hr-HR"/>
              </w:rPr>
              <w:t>Hipotenzija</w:t>
            </w:r>
          </w:p>
        </w:tc>
        <w:tc>
          <w:tcPr>
            <w:tcW w:w="897"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r w:rsidRPr="0083017F">
              <w:rPr>
                <w:sz w:val="22"/>
                <w:szCs w:val="22"/>
                <w:lang w:val="hr-HR"/>
              </w:rPr>
              <w:t>Vaskulitis</w:t>
            </w:r>
          </w:p>
        </w:tc>
      </w:tr>
      <w:tr w:rsidR="0097639F" w:rsidRPr="0083017F" w:rsidTr="005B249E">
        <w:tc>
          <w:tcPr>
            <w:tcW w:w="89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932BE6">
            <w:pPr>
              <w:pStyle w:val="NoSpacing"/>
              <w:rPr>
                <w:noProof/>
                <w:sz w:val="22"/>
                <w:szCs w:val="22"/>
                <w:lang w:val="hr-HR"/>
              </w:rPr>
            </w:pPr>
            <w:r w:rsidRPr="0083017F">
              <w:rPr>
                <w:noProof/>
                <w:sz w:val="22"/>
                <w:szCs w:val="22"/>
                <w:lang w:val="hr-HR"/>
              </w:rPr>
              <w:t>Respiratorni torakalni i medijastinalni poremećaji</w:t>
            </w:r>
          </w:p>
        </w:tc>
        <w:tc>
          <w:tcPr>
            <w:tcW w:w="1068"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1145" w:type="pct"/>
            <w:tcBorders>
              <w:top w:val="single" w:sz="4" w:space="0" w:color="auto"/>
              <w:left w:val="single" w:sz="4" w:space="0" w:color="auto"/>
              <w:bottom w:val="single" w:sz="4" w:space="0" w:color="auto"/>
              <w:right w:val="single" w:sz="4" w:space="0" w:color="auto"/>
            </w:tcBorders>
            <w:hideMark/>
          </w:tcPr>
          <w:p w:rsidR="00932BE6" w:rsidRPr="0083017F" w:rsidRDefault="0097639F" w:rsidP="00B947F2">
            <w:pPr>
              <w:pStyle w:val="NoSpacing"/>
              <w:jc w:val="both"/>
              <w:rPr>
                <w:sz w:val="22"/>
                <w:szCs w:val="22"/>
                <w:lang w:val="hr-HR"/>
              </w:rPr>
            </w:pPr>
            <w:r w:rsidRPr="0083017F">
              <w:rPr>
                <w:sz w:val="22"/>
                <w:szCs w:val="22"/>
                <w:lang w:val="hr-HR"/>
              </w:rPr>
              <w:t xml:space="preserve">Dispneja </w:t>
            </w:r>
          </w:p>
          <w:p w:rsidR="0097639F" w:rsidRPr="0083017F" w:rsidRDefault="0097639F" w:rsidP="00B947F2">
            <w:pPr>
              <w:pStyle w:val="NoSpacing"/>
              <w:jc w:val="both"/>
              <w:rPr>
                <w:sz w:val="22"/>
                <w:szCs w:val="22"/>
                <w:lang w:val="hr-HR"/>
              </w:rPr>
            </w:pPr>
            <w:r w:rsidRPr="0083017F">
              <w:rPr>
                <w:sz w:val="22"/>
                <w:szCs w:val="22"/>
                <w:lang w:val="hr-HR"/>
              </w:rPr>
              <w:t xml:space="preserve">(uključujući astmatična stanja) </w:t>
            </w:r>
          </w:p>
        </w:tc>
        <w:tc>
          <w:tcPr>
            <w:tcW w:w="992"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897"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r>
      <w:tr w:rsidR="0097639F" w:rsidRPr="0083017F" w:rsidTr="005B249E">
        <w:tc>
          <w:tcPr>
            <w:tcW w:w="89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noProof/>
                <w:sz w:val="22"/>
                <w:szCs w:val="22"/>
                <w:lang w:val="hr-HR"/>
              </w:rPr>
            </w:pPr>
            <w:r w:rsidRPr="0083017F">
              <w:rPr>
                <w:noProof/>
                <w:sz w:val="22"/>
                <w:szCs w:val="22"/>
                <w:lang w:val="hr-HR"/>
              </w:rPr>
              <w:t>Gastrointesti</w:t>
            </w:r>
          </w:p>
          <w:p w:rsidR="0097639F" w:rsidRPr="0083017F" w:rsidRDefault="0097639F" w:rsidP="00B947F2">
            <w:pPr>
              <w:pStyle w:val="NoSpacing"/>
              <w:jc w:val="both"/>
              <w:rPr>
                <w:noProof/>
                <w:sz w:val="22"/>
                <w:szCs w:val="22"/>
                <w:lang w:val="hr-HR"/>
              </w:rPr>
            </w:pPr>
            <w:r w:rsidRPr="0083017F">
              <w:rPr>
                <w:noProof/>
                <w:sz w:val="22"/>
                <w:szCs w:val="22"/>
                <w:lang w:val="hr-HR"/>
              </w:rPr>
              <w:t>nalni poremećaji</w:t>
            </w:r>
          </w:p>
        </w:tc>
        <w:tc>
          <w:tcPr>
            <w:tcW w:w="106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5165DE">
            <w:pPr>
              <w:pStyle w:val="NoSpacing"/>
              <w:rPr>
                <w:sz w:val="22"/>
                <w:szCs w:val="22"/>
                <w:lang w:val="hr-HR"/>
              </w:rPr>
            </w:pPr>
            <w:r w:rsidRPr="0083017F">
              <w:rPr>
                <w:sz w:val="22"/>
                <w:szCs w:val="22"/>
                <w:lang w:val="hr-HR"/>
              </w:rPr>
              <w:t>Mučnina</w:t>
            </w:r>
          </w:p>
          <w:p w:rsidR="0097639F" w:rsidRPr="0083017F" w:rsidRDefault="0097639F" w:rsidP="005165DE">
            <w:pPr>
              <w:pStyle w:val="NoSpacing"/>
              <w:rPr>
                <w:sz w:val="22"/>
                <w:szCs w:val="22"/>
                <w:lang w:val="hr-HR"/>
              </w:rPr>
            </w:pPr>
            <w:r w:rsidRPr="0083017F">
              <w:rPr>
                <w:sz w:val="22"/>
                <w:szCs w:val="22"/>
                <w:lang w:val="hr-HR"/>
              </w:rPr>
              <w:t>Povraćanje</w:t>
            </w:r>
          </w:p>
          <w:p w:rsidR="0097639F" w:rsidRPr="0083017F" w:rsidRDefault="0097639F" w:rsidP="005165DE">
            <w:pPr>
              <w:pStyle w:val="NoSpacing"/>
              <w:rPr>
                <w:sz w:val="22"/>
                <w:szCs w:val="22"/>
                <w:lang w:val="hr-HR"/>
              </w:rPr>
            </w:pPr>
            <w:r w:rsidRPr="0083017F">
              <w:rPr>
                <w:sz w:val="22"/>
                <w:szCs w:val="22"/>
                <w:lang w:val="hr-HR"/>
              </w:rPr>
              <w:t>Gastrointestina</w:t>
            </w:r>
          </w:p>
          <w:p w:rsidR="0097639F" w:rsidRPr="0083017F" w:rsidRDefault="0097639F" w:rsidP="005165DE">
            <w:pPr>
              <w:pStyle w:val="NoSpacing"/>
              <w:rPr>
                <w:sz w:val="22"/>
                <w:szCs w:val="22"/>
                <w:lang w:val="hr-HR"/>
              </w:rPr>
            </w:pPr>
            <w:r w:rsidRPr="0083017F">
              <w:rPr>
                <w:sz w:val="22"/>
                <w:szCs w:val="22"/>
                <w:lang w:val="hr-HR"/>
              </w:rPr>
              <w:t>lni i abdominalni bol</w:t>
            </w:r>
          </w:p>
          <w:p w:rsidR="0097639F" w:rsidRPr="0083017F" w:rsidRDefault="0097639F" w:rsidP="005165DE">
            <w:pPr>
              <w:pStyle w:val="NoSpacing"/>
              <w:rPr>
                <w:sz w:val="22"/>
                <w:szCs w:val="22"/>
                <w:lang w:val="hr-HR"/>
              </w:rPr>
            </w:pPr>
            <w:r w:rsidRPr="0083017F">
              <w:rPr>
                <w:sz w:val="22"/>
                <w:szCs w:val="22"/>
                <w:lang w:val="hr-HR"/>
              </w:rPr>
              <w:t xml:space="preserve">Dijareja </w:t>
            </w:r>
          </w:p>
        </w:tc>
        <w:tc>
          <w:tcPr>
            <w:tcW w:w="1145" w:type="pct"/>
            <w:tcBorders>
              <w:top w:val="single" w:sz="4" w:space="0" w:color="auto"/>
              <w:left w:val="single" w:sz="4" w:space="0" w:color="auto"/>
              <w:bottom w:val="single" w:sz="4" w:space="0" w:color="auto"/>
              <w:right w:val="single" w:sz="4" w:space="0" w:color="auto"/>
            </w:tcBorders>
            <w:hideMark/>
          </w:tcPr>
          <w:p w:rsidR="0097639F" w:rsidRPr="0083017F" w:rsidRDefault="0097639F" w:rsidP="00932BE6">
            <w:pPr>
              <w:pStyle w:val="NoSpacing"/>
              <w:rPr>
                <w:sz w:val="22"/>
                <w:szCs w:val="22"/>
                <w:lang w:val="hr-HR"/>
              </w:rPr>
            </w:pPr>
            <w:r w:rsidRPr="0083017F">
              <w:rPr>
                <w:sz w:val="22"/>
                <w:szCs w:val="22"/>
                <w:lang w:val="hr-HR"/>
              </w:rPr>
              <w:t>Smanjen apetit i unos hrane</w:t>
            </w:r>
          </w:p>
          <w:p w:rsidR="00932BE6" w:rsidRPr="0083017F" w:rsidRDefault="0097639F" w:rsidP="00932BE6">
            <w:pPr>
              <w:pStyle w:val="NoSpacing"/>
              <w:rPr>
                <w:sz w:val="22"/>
                <w:szCs w:val="22"/>
                <w:lang w:val="hr-HR"/>
              </w:rPr>
            </w:pPr>
            <w:r w:rsidRPr="0083017F">
              <w:rPr>
                <w:sz w:val="22"/>
                <w:szCs w:val="22"/>
                <w:lang w:val="hr-HR"/>
              </w:rPr>
              <w:t xml:space="preserve">Opstipacija </w:t>
            </w:r>
          </w:p>
          <w:p w:rsidR="0097639F" w:rsidRPr="0083017F" w:rsidRDefault="0097639F" w:rsidP="00932BE6">
            <w:pPr>
              <w:pStyle w:val="NoSpacing"/>
              <w:rPr>
                <w:sz w:val="22"/>
                <w:szCs w:val="22"/>
                <w:lang w:val="hr-HR"/>
              </w:rPr>
            </w:pPr>
            <w:r w:rsidRPr="0083017F">
              <w:rPr>
                <w:sz w:val="22"/>
                <w:szCs w:val="22"/>
                <w:lang w:val="hr-HR"/>
              </w:rPr>
              <w:t>Dispepsija</w:t>
            </w:r>
          </w:p>
          <w:p w:rsidR="00932BE6" w:rsidRPr="0083017F" w:rsidRDefault="0097639F" w:rsidP="00932BE6">
            <w:pPr>
              <w:pStyle w:val="NoSpacing"/>
              <w:rPr>
                <w:sz w:val="22"/>
                <w:szCs w:val="22"/>
                <w:lang w:val="hr-HR"/>
              </w:rPr>
            </w:pPr>
            <w:r w:rsidRPr="0083017F">
              <w:rPr>
                <w:sz w:val="22"/>
                <w:szCs w:val="22"/>
                <w:lang w:val="hr-HR"/>
              </w:rPr>
              <w:t xml:space="preserve">Flatulencija </w:t>
            </w:r>
          </w:p>
          <w:p w:rsidR="0097639F" w:rsidRPr="0083017F" w:rsidRDefault="0097639F" w:rsidP="00932BE6">
            <w:pPr>
              <w:pStyle w:val="NoSpacing"/>
              <w:rPr>
                <w:sz w:val="22"/>
                <w:szCs w:val="22"/>
                <w:lang w:val="hr-HR"/>
              </w:rPr>
            </w:pPr>
            <w:r w:rsidRPr="0083017F">
              <w:rPr>
                <w:sz w:val="22"/>
                <w:szCs w:val="22"/>
                <w:lang w:val="hr-HR"/>
              </w:rPr>
              <w:t>Gastritis</w:t>
            </w:r>
          </w:p>
          <w:p w:rsidR="0097639F" w:rsidRPr="0083017F" w:rsidRDefault="0097639F" w:rsidP="00932BE6">
            <w:pPr>
              <w:pStyle w:val="NoSpacing"/>
              <w:rPr>
                <w:sz w:val="22"/>
                <w:szCs w:val="22"/>
                <w:lang w:val="hr-HR"/>
              </w:rPr>
            </w:pPr>
            <w:r w:rsidRPr="0083017F">
              <w:rPr>
                <w:sz w:val="22"/>
                <w:szCs w:val="22"/>
                <w:lang w:val="hr-HR"/>
              </w:rPr>
              <w:t>Povišene vrijednosti amilaze</w:t>
            </w:r>
          </w:p>
        </w:tc>
        <w:tc>
          <w:tcPr>
            <w:tcW w:w="992"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77B1E">
            <w:pPr>
              <w:pStyle w:val="NoSpacing"/>
              <w:rPr>
                <w:sz w:val="22"/>
                <w:szCs w:val="22"/>
                <w:lang w:val="hr-HR"/>
              </w:rPr>
            </w:pPr>
            <w:r w:rsidRPr="0083017F">
              <w:rPr>
                <w:sz w:val="22"/>
                <w:szCs w:val="22"/>
                <w:lang w:val="hr-HR"/>
              </w:rPr>
              <w:t>Disfagija</w:t>
            </w:r>
          </w:p>
          <w:p w:rsidR="0097639F" w:rsidRPr="0083017F" w:rsidRDefault="0097639F" w:rsidP="00B77B1E">
            <w:pPr>
              <w:pStyle w:val="NoSpacing"/>
              <w:rPr>
                <w:sz w:val="22"/>
                <w:szCs w:val="22"/>
                <w:lang w:val="hr-HR"/>
              </w:rPr>
            </w:pPr>
            <w:r w:rsidRPr="0083017F">
              <w:rPr>
                <w:sz w:val="22"/>
                <w:szCs w:val="22"/>
                <w:lang w:val="hr-HR"/>
              </w:rPr>
              <w:t>Stomatitis</w:t>
            </w:r>
          </w:p>
          <w:p w:rsidR="0097639F" w:rsidRPr="0083017F" w:rsidRDefault="0097639F" w:rsidP="00B77B1E">
            <w:pPr>
              <w:pStyle w:val="NoSpacing"/>
              <w:rPr>
                <w:sz w:val="22"/>
                <w:szCs w:val="22"/>
                <w:lang w:val="hr-HR"/>
              </w:rPr>
            </w:pPr>
            <w:r w:rsidRPr="0083017F">
              <w:rPr>
                <w:sz w:val="22"/>
                <w:szCs w:val="22"/>
                <w:lang w:val="hr-HR"/>
              </w:rPr>
              <w:t>Kolitis povezan sa primjenom antibiotika (uključujući pseudomembra</w:t>
            </w:r>
          </w:p>
          <w:p w:rsidR="0097639F" w:rsidRPr="0083017F" w:rsidRDefault="0097639F" w:rsidP="00B77B1E">
            <w:pPr>
              <w:pStyle w:val="NoSpacing"/>
              <w:rPr>
                <w:sz w:val="22"/>
                <w:szCs w:val="22"/>
                <w:lang w:val="hr-HR"/>
              </w:rPr>
            </w:pPr>
            <w:r w:rsidRPr="0083017F">
              <w:rPr>
                <w:sz w:val="22"/>
                <w:szCs w:val="22"/>
                <w:lang w:val="hr-HR"/>
              </w:rPr>
              <w:t xml:space="preserve">nozni kolitis, u veoma rijetkim slučajevima povezan sa komplikacijama </w:t>
            </w:r>
            <w:r w:rsidRPr="0083017F">
              <w:rPr>
                <w:sz w:val="22"/>
                <w:szCs w:val="22"/>
                <w:lang w:val="hr-HR"/>
              </w:rPr>
              <w:lastRenderedPageBreak/>
              <w:t>koje mogu da ugroze život, vidjeti odjeljak 4.4)</w:t>
            </w:r>
          </w:p>
        </w:tc>
        <w:tc>
          <w:tcPr>
            <w:tcW w:w="897"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r>
      <w:tr w:rsidR="0097639F" w:rsidRPr="0083017F" w:rsidTr="005B249E">
        <w:tc>
          <w:tcPr>
            <w:tcW w:w="89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noProof/>
                <w:sz w:val="22"/>
                <w:szCs w:val="22"/>
                <w:lang w:val="hr-HR"/>
              </w:rPr>
            </w:pPr>
            <w:r w:rsidRPr="0083017F">
              <w:rPr>
                <w:noProof/>
                <w:sz w:val="22"/>
                <w:szCs w:val="22"/>
                <w:lang w:val="hr-HR"/>
              </w:rPr>
              <w:t>Hepatobilija</w:t>
            </w:r>
          </w:p>
          <w:p w:rsidR="0097639F" w:rsidRPr="0083017F" w:rsidRDefault="0097639F" w:rsidP="00B947F2">
            <w:pPr>
              <w:pStyle w:val="NoSpacing"/>
              <w:jc w:val="both"/>
              <w:rPr>
                <w:noProof/>
                <w:sz w:val="22"/>
                <w:szCs w:val="22"/>
                <w:lang w:val="hr-HR"/>
              </w:rPr>
            </w:pPr>
            <w:r w:rsidRPr="0083017F">
              <w:rPr>
                <w:noProof/>
                <w:sz w:val="22"/>
                <w:szCs w:val="22"/>
                <w:lang w:val="hr-HR"/>
              </w:rPr>
              <w:t>rni poremećaji</w:t>
            </w:r>
          </w:p>
        </w:tc>
        <w:tc>
          <w:tcPr>
            <w:tcW w:w="106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sz w:val="22"/>
                <w:szCs w:val="22"/>
                <w:lang w:val="hr-HR"/>
              </w:rPr>
            </w:pPr>
            <w:r w:rsidRPr="0083017F">
              <w:rPr>
                <w:sz w:val="22"/>
                <w:szCs w:val="22"/>
                <w:lang w:val="hr-HR"/>
              </w:rPr>
              <w:t xml:space="preserve">Porast transaminaza </w:t>
            </w:r>
          </w:p>
        </w:tc>
        <w:tc>
          <w:tcPr>
            <w:tcW w:w="1145" w:type="pct"/>
            <w:tcBorders>
              <w:top w:val="single" w:sz="4" w:space="0" w:color="auto"/>
              <w:left w:val="single" w:sz="4" w:space="0" w:color="auto"/>
              <w:bottom w:val="single" w:sz="4" w:space="0" w:color="auto"/>
              <w:right w:val="single" w:sz="4" w:space="0" w:color="auto"/>
            </w:tcBorders>
            <w:hideMark/>
          </w:tcPr>
          <w:p w:rsidR="0097639F" w:rsidRPr="0083017F" w:rsidRDefault="0097639F" w:rsidP="005165DE">
            <w:pPr>
              <w:pStyle w:val="NoSpacing"/>
              <w:rPr>
                <w:sz w:val="22"/>
                <w:szCs w:val="22"/>
                <w:lang w:val="hr-HR"/>
              </w:rPr>
            </w:pPr>
            <w:r w:rsidRPr="0083017F">
              <w:rPr>
                <w:sz w:val="22"/>
                <w:szCs w:val="22"/>
                <w:lang w:val="hr-HR"/>
              </w:rPr>
              <w:t>Poremećaj funkcije jetre (uključ. porast LDH)</w:t>
            </w:r>
          </w:p>
          <w:p w:rsidR="000B49E9" w:rsidRPr="0083017F" w:rsidRDefault="0097639F" w:rsidP="005165DE">
            <w:pPr>
              <w:pStyle w:val="NoSpacing"/>
              <w:rPr>
                <w:sz w:val="22"/>
                <w:szCs w:val="22"/>
                <w:lang w:val="hr-HR"/>
              </w:rPr>
            </w:pPr>
            <w:r w:rsidRPr="0083017F">
              <w:rPr>
                <w:sz w:val="22"/>
                <w:szCs w:val="22"/>
                <w:lang w:val="hr-HR"/>
              </w:rPr>
              <w:t xml:space="preserve">Porast bilirubina Porast gama </w:t>
            </w:r>
          </w:p>
          <w:p w:rsidR="0097639F" w:rsidRPr="0083017F" w:rsidRDefault="0097639F" w:rsidP="005165DE">
            <w:pPr>
              <w:pStyle w:val="NoSpacing"/>
              <w:rPr>
                <w:sz w:val="22"/>
                <w:szCs w:val="22"/>
                <w:lang w:val="hr-HR"/>
              </w:rPr>
            </w:pPr>
            <w:r w:rsidRPr="0083017F">
              <w:rPr>
                <w:sz w:val="22"/>
                <w:szCs w:val="22"/>
                <w:lang w:val="hr-HR"/>
              </w:rPr>
              <w:t xml:space="preserve">glutamil-transferaze </w:t>
            </w:r>
          </w:p>
          <w:p w:rsidR="0097639F" w:rsidRPr="0083017F" w:rsidRDefault="0097639F" w:rsidP="005165DE">
            <w:pPr>
              <w:pStyle w:val="NoSpacing"/>
              <w:rPr>
                <w:sz w:val="22"/>
                <w:szCs w:val="22"/>
                <w:lang w:val="hr-HR"/>
              </w:rPr>
            </w:pPr>
            <w:r w:rsidRPr="0083017F">
              <w:rPr>
                <w:sz w:val="22"/>
                <w:szCs w:val="22"/>
                <w:lang w:val="hr-HR"/>
              </w:rPr>
              <w:t>Porast alkalne fosfataze u krvi</w:t>
            </w:r>
          </w:p>
        </w:tc>
        <w:tc>
          <w:tcPr>
            <w:tcW w:w="992" w:type="pct"/>
            <w:tcBorders>
              <w:top w:val="single" w:sz="4" w:space="0" w:color="auto"/>
              <w:left w:val="single" w:sz="4" w:space="0" w:color="auto"/>
              <w:bottom w:val="single" w:sz="4" w:space="0" w:color="auto"/>
              <w:right w:val="single" w:sz="4" w:space="0" w:color="auto"/>
            </w:tcBorders>
            <w:hideMark/>
          </w:tcPr>
          <w:p w:rsidR="0097639F" w:rsidRPr="0083017F" w:rsidRDefault="0097639F" w:rsidP="005165DE">
            <w:pPr>
              <w:pStyle w:val="NoSpacing"/>
              <w:rPr>
                <w:sz w:val="22"/>
                <w:szCs w:val="22"/>
                <w:lang w:val="hr-HR"/>
              </w:rPr>
            </w:pPr>
            <w:r w:rsidRPr="0083017F">
              <w:rPr>
                <w:sz w:val="22"/>
                <w:szCs w:val="22"/>
                <w:lang w:val="hr-HR"/>
              </w:rPr>
              <w:t>Žutica, hepatitis (pretežno holestatski)</w:t>
            </w:r>
          </w:p>
        </w:tc>
        <w:tc>
          <w:tcPr>
            <w:tcW w:w="897" w:type="pct"/>
            <w:tcBorders>
              <w:top w:val="single" w:sz="4" w:space="0" w:color="auto"/>
              <w:left w:val="single" w:sz="4" w:space="0" w:color="auto"/>
              <w:bottom w:val="single" w:sz="4" w:space="0" w:color="auto"/>
              <w:right w:val="single" w:sz="4" w:space="0" w:color="auto"/>
            </w:tcBorders>
            <w:hideMark/>
          </w:tcPr>
          <w:p w:rsidR="0097639F" w:rsidRPr="0083017F" w:rsidRDefault="0097639F" w:rsidP="005165DE">
            <w:pPr>
              <w:pStyle w:val="NoSpacing"/>
              <w:rPr>
                <w:sz w:val="22"/>
                <w:szCs w:val="22"/>
                <w:lang w:val="hr-HR"/>
              </w:rPr>
            </w:pPr>
            <w:r w:rsidRPr="0083017F">
              <w:rPr>
                <w:sz w:val="22"/>
                <w:szCs w:val="22"/>
                <w:lang w:val="hr-HR"/>
              </w:rPr>
              <w:t>Fulminantni hepatitis koji potencijalno može da dovede do, po život opasne insuficijencije jetre (uključujući smrtne slučajeve, vidjeti odjeljak 4.4)</w:t>
            </w:r>
          </w:p>
        </w:tc>
      </w:tr>
      <w:tr w:rsidR="0097639F" w:rsidRPr="0083017F" w:rsidTr="005B249E">
        <w:tc>
          <w:tcPr>
            <w:tcW w:w="89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5165DE">
            <w:pPr>
              <w:pStyle w:val="NoSpacing"/>
              <w:rPr>
                <w:noProof/>
                <w:sz w:val="22"/>
                <w:szCs w:val="22"/>
                <w:lang w:val="hr-HR"/>
              </w:rPr>
            </w:pPr>
            <w:r w:rsidRPr="0083017F">
              <w:rPr>
                <w:noProof/>
                <w:sz w:val="22"/>
                <w:szCs w:val="22"/>
                <w:lang w:val="hr-HR"/>
              </w:rPr>
              <w:t>Poremećaji na nivou kože i potkožnog tkiva</w:t>
            </w:r>
          </w:p>
        </w:tc>
        <w:tc>
          <w:tcPr>
            <w:tcW w:w="1068"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1145"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sz w:val="22"/>
                <w:szCs w:val="22"/>
                <w:lang w:val="hr-HR"/>
              </w:rPr>
            </w:pPr>
            <w:r w:rsidRPr="0083017F">
              <w:rPr>
                <w:sz w:val="22"/>
                <w:szCs w:val="22"/>
                <w:lang w:val="hr-HR"/>
              </w:rPr>
              <w:t>Pruritus</w:t>
            </w:r>
          </w:p>
          <w:p w:rsidR="0097639F" w:rsidRPr="0083017F" w:rsidRDefault="0097639F" w:rsidP="00B947F2">
            <w:pPr>
              <w:pStyle w:val="NoSpacing"/>
              <w:jc w:val="both"/>
              <w:rPr>
                <w:sz w:val="22"/>
                <w:szCs w:val="22"/>
                <w:lang w:val="hr-HR"/>
              </w:rPr>
            </w:pPr>
            <w:r w:rsidRPr="0083017F">
              <w:rPr>
                <w:sz w:val="22"/>
                <w:szCs w:val="22"/>
                <w:lang w:val="hr-HR"/>
              </w:rPr>
              <w:t>Osip</w:t>
            </w:r>
          </w:p>
          <w:p w:rsidR="0097639F" w:rsidRPr="0083017F" w:rsidRDefault="0097639F" w:rsidP="00B947F2">
            <w:pPr>
              <w:pStyle w:val="NoSpacing"/>
              <w:jc w:val="both"/>
              <w:rPr>
                <w:sz w:val="22"/>
                <w:szCs w:val="22"/>
                <w:lang w:val="hr-HR"/>
              </w:rPr>
            </w:pPr>
            <w:r w:rsidRPr="0083017F">
              <w:rPr>
                <w:sz w:val="22"/>
                <w:szCs w:val="22"/>
                <w:lang w:val="hr-HR"/>
              </w:rPr>
              <w:t>Urtikarija</w:t>
            </w:r>
          </w:p>
          <w:p w:rsidR="0097639F" w:rsidRPr="0083017F" w:rsidRDefault="0097639F" w:rsidP="00B947F2">
            <w:pPr>
              <w:pStyle w:val="NoSpacing"/>
              <w:jc w:val="both"/>
              <w:rPr>
                <w:sz w:val="22"/>
                <w:szCs w:val="22"/>
                <w:lang w:val="hr-HR"/>
              </w:rPr>
            </w:pPr>
            <w:r w:rsidRPr="0083017F">
              <w:rPr>
                <w:sz w:val="22"/>
                <w:szCs w:val="22"/>
                <w:lang w:val="hr-HR"/>
              </w:rPr>
              <w:t>Suvoća kože</w:t>
            </w:r>
          </w:p>
        </w:tc>
        <w:tc>
          <w:tcPr>
            <w:tcW w:w="992"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897" w:type="pct"/>
            <w:tcBorders>
              <w:top w:val="single" w:sz="4" w:space="0" w:color="auto"/>
              <w:left w:val="single" w:sz="4" w:space="0" w:color="auto"/>
              <w:bottom w:val="single" w:sz="4" w:space="0" w:color="auto"/>
              <w:right w:val="single" w:sz="4" w:space="0" w:color="auto"/>
            </w:tcBorders>
            <w:hideMark/>
          </w:tcPr>
          <w:p w:rsidR="0097639F" w:rsidRPr="0083017F" w:rsidRDefault="0097639F" w:rsidP="005165DE">
            <w:pPr>
              <w:pStyle w:val="NoSpacing"/>
              <w:rPr>
                <w:sz w:val="22"/>
                <w:szCs w:val="22"/>
                <w:lang w:val="hr-HR"/>
              </w:rPr>
            </w:pPr>
            <w:r w:rsidRPr="0083017F">
              <w:rPr>
                <w:sz w:val="22"/>
                <w:szCs w:val="22"/>
                <w:lang w:val="hr-HR"/>
              </w:rPr>
              <w:t>Bulozne kožne reakcije kao što su Stevens-Johnsonov sindrom ili toksična epidermalna nekroliza (potencijalno opasna po život, vidjeti odjeljak 4.4)</w:t>
            </w:r>
          </w:p>
        </w:tc>
      </w:tr>
      <w:tr w:rsidR="0097639F" w:rsidRPr="0083017F" w:rsidTr="005B249E">
        <w:tc>
          <w:tcPr>
            <w:tcW w:w="89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0B49E9">
            <w:pPr>
              <w:pStyle w:val="NoSpacing"/>
              <w:rPr>
                <w:noProof/>
                <w:sz w:val="22"/>
                <w:szCs w:val="22"/>
                <w:lang w:val="hr-HR"/>
              </w:rPr>
            </w:pPr>
            <w:r w:rsidRPr="0083017F">
              <w:rPr>
                <w:noProof/>
                <w:sz w:val="22"/>
                <w:szCs w:val="22"/>
                <w:lang w:val="hr-HR"/>
              </w:rPr>
              <w:t>Poremećaji mišićno-skeletnog,  vezivnog i koštanog tkiva</w:t>
            </w:r>
          </w:p>
        </w:tc>
        <w:tc>
          <w:tcPr>
            <w:tcW w:w="1068"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1145"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sz w:val="22"/>
                <w:szCs w:val="22"/>
                <w:lang w:val="hr-HR"/>
              </w:rPr>
            </w:pPr>
            <w:r w:rsidRPr="0083017F">
              <w:rPr>
                <w:sz w:val="22"/>
                <w:szCs w:val="22"/>
                <w:lang w:val="hr-HR"/>
              </w:rPr>
              <w:t>Artralgija</w:t>
            </w:r>
          </w:p>
          <w:p w:rsidR="0097639F" w:rsidRPr="0083017F" w:rsidRDefault="0097639F" w:rsidP="00B947F2">
            <w:pPr>
              <w:pStyle w:val="NoSpacing"/>
              <w:jc w:val="both"/>
              <w:rPr>
                <w:sz w:val="22"/>
                <w:szCs w:val="22"/>
                <w:lang w:val="hr-HR"/>
              </w:rPr>
            </w:pPr>
            <w:r w:rsidRPr="0083017F">
              <w:rPr>
                <w:sz w:val="22"/>
                <w:szCs w:val="22"/>
                <w:lang w:val="hr-HR"/>
              </w:rPr>
              <w:t xml:space="preserve">Mijalgija </w:t>
            </w:r>
          </w:p>
        </w:tc>
        <w:tc>
          <w:tcPr>
            <w:tcW w:w="992"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sz w:val="22"/>
                <w:szCs w:val="22"/>
                <w:lang w:val="hr-HR"/>
              </w:rPr>
            </w:pPr>
            <w:r w:rsidRPr="0083017F">
              <w:rPr>
                <w:sz w:val="22"/>
                <w:szCs w:val="22"/>
                <w:lang w:val="hr-HR"/>
              </w:rPr>
              <w:t>Tendonitis (vidjeti odjeljak 4.4)</w:t>
            </w:r>
          </w:p>
          <w:p w:rsidR="0097639F" w:rsidRPr="0083017F" w:rsidRDefault="0097639F" w:rsidP="00B947F2">
            <w:pPr>
              <w:pStyle w:val="NoSpacing"/>
              <w:jc w:val="both"/>
              <w:rPr>
                <w:sz w:val="22"/>
                <w:szCs w:val="22"/>
                <w:lang w:val="hr-HR"/>
              </w:rPr>
            </w:pPr>
            <w:r w:rsidRPr="0083017F">
              <w:rPr>
                <w:sz w:val="22"/>
                <w:szCs w:val="22"/>
                <w:lang w:val="hr-HR"/>
              </w:rPr>
              <w:t>Grčevi u mišićima Trzanje mišića</w:t>
            </w:r>
          </w:p>
          <w:p w:rsidR="0097639F" w:rsidRPr="0083017F" w:rsidRDefault="0097639F" w:rsidP="00B947F2">
            <w:pPr>
              <w:pStyle w:val="NoSpacing"/>
              <w:jc w:val="both"/>
              <w:rPr>
                <w:sz w:val="22"/>
                <w:szCs w:val="22"/>
                <w:lang w:val="hr-HR"/>
              </w:rPr>
            </w:pPr>
            <w:r w:rsidRPr="0083017F">
              <w:rPr>
                <w:sz w:val="22"/>
                <w:szCs w:val="22"/>
                <w:lang w:val="hr-HR"/>
              </w:rPr>
              <w:t>Mišićna slabost</w:t>
            </w:r>
          </w:p>
        </w:tc>
        <w:tc>
          <w:tcPr>
            <w:tcW w:w="897"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sz w:val="22"/>
                <w:szCs w:val="22"/>
                <w:lang w:val="hr-HR"/>
              </w:rPr>
            </w:pPr>
            <w:r w:rsidRPr="0083017F">
              <w:rPr>
                <w:sz w:val="22"/>
                <w:szCs w:val="22"/>
                <w:lang w:val="hr-HR"/>
              </w:rPr>
              <w:t>Ruptura tetive (vidjeti odjeljak 4.4)</w:t>
            </w:r>
          </w:p>
          <w:p w:rsidR="0097639F" w:rsidRPr="0083017F" w:rsidRDefault="0097639F" w:rsidP="00B947F2">
            <w:pPr>
              <w:pStyle w:val="NoSpacing"/>
              <w:jc w:val="both"/>
              <w:rPr>
                <w:sz w:val="22"/>
                <w:szCs w:val="22"/>
                <w:lang w:val="hr-HR"/>
              </w:rPr>
            </w:pPr>
            <w:r w:rsidRPr="0083017F">
              <w:rPr>
                <w:sz w:val="22"/>
                <w:szCs w:val="22"/>
                <w:lang w:val="hr-HR"/>
              </w:rPr>
              <w:t>Artritis</w:t>
            </w:r>
          </w:p>
          <w:p w:rsidR="0097639F" w:rsidRPr="0083017F" w:rsidRDefault="0097639F" w:rsidP="00B947F2">
            <w:pPr>
              <w:pStyle w:val="NoSpacing"/>
              <w:jc w:val="both"/>
              <w:rPr>
                <w:sz w:val="22"/>
                <w:szCs w:val="22"/>
                <w:lang w:val="hr-HR"/>
              </w:rPr>
            </w:pPr>
            <w:r w:rsidRPr="0083017F">
              <w:rPr>
                <w:sz w:val="22"/>
                <w:szCs w:val="22"/>
                <w:lang w:val="hr-HR"/>
              </w:rPr>
              <w:t>Rigiditet mišića Pogoršanje simptoma miastenije gravis (vidjeti odjeljak 4.4)</w:t>
            </w:r>
          </w:p>
        </w:tc>
      </w:tr>
      <w:tr w:rsidR="0097639F" w:rsidRPr="0083017F" w:rsidTr="005B249E">
        <w:tc>
          <w:tcPr>
            <w:tcW w:w="89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noProof/>
                <w:sz w:val="22"/>
                <w:szCs w:val="22"/>
                <w:lang w:val="hr-HR"/>
              </w:rPr>
            </w:pPr>
            <w:r w:rsidRPr="0083017F">
              <w:rPr>
                <w:noProof/>
                <w:sz w:val="22"/>
                <w:szCs w:val="22"/>
                <w:lang w:val="hr-HR"/>
              </w:rPr>
              <w:t>Poremećaji na nivou bubrega i urinarnog sistema</w:t>
            </w:r>
          </w:p>
        </w:tc>
        <w:tc>
          <w:tcPr>
            <w:tcW w:w="1068"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1145"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sz w:val="22"/>
                <w:szCs w:val="22"/>
                <w:lang w:val="hr-HR"/>
              </w:rPr>
            </w:pPr>
            <w:r w:rsidRPr="0083017F">
              <w:rPr>
                <w:sz w:val="22"/>
                <w:szCs w:val="22"/>
                <w:lang w:val="hr-HR"/>
              </w:rPr>
              <w:t xml:space="preserve">Dehidracija </w:t>
            </w:r>
          </w:p>
        </w:tc>
        <w:tc>
          <w:tcPr>
            <w:tcW w:w="992" w:type="pct"/>
            <w:tcBorders>
              <w:top w:val="single" w:sz="4" w:space="0" w:color="auto"/>
              <w:left w:val="single" w:sz="4" w:space="0" w:color="auto"/>
              <w:bottom w:val="single" w:sz="4" w:space="0" w:color="auto"/>
              <w:right w:val="single" w:sz="4" w:space="0" w:color="auto"/>
            </w:tcBorders>
            <w:hideMark/>
          </w:tcPr>
          <w:p w:rsidR="0097639F" w:rsidRPr="0083017F" w:rsidRDefault="0097639F" w:rsidP="005165DE">
            <w:pPr>
              <w:pStyle w:val="NoSpacing"/>
              <w:rPr>
                <w:sz w:val="22"/>
                <w:szCs w:val="22"/>
                <w:lang w:val="hr-HR"/>
              </w:rPr>
            </w:pPr>
            <w:r w:rsidRPr="0083017F">
              <w:rPr>
                <w:sz w:val="22"/>
                <w:szCs w:val="22"/>
                <w:lang w:val="hr-HR"/>
              </w:rPr>
              <w:t xml:space="preserve">Poremećaj funkcije bubrega (uključujući porast vrijednosti BUN (azot iz ureje u krvi) i kreatinina), Bubrežna insuficijencija </w:t>
            </w:r>
            <w:r w:rsidRPr="0083017F">
              <w:rPr>
                <w:sz w:val="22"/>
                <w:szCs w:val="22"/>
                <w:lang w:val="hr-HR"/>
              </w:rPr>
              <w:lastRenderedPageBreak/>
              <w:t>(vidjeti odjeljak 4.4)</w:t>
            </w:r>
          </w:p>
        </w:tc>
        <w:tc>
          <w:tcPr>
            <w:tcW w:w="897"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r>
      <w:tr w:rsidR="0097639F" w:rsidRPr="0083017F" w:rsidTr="005B249E">
        <w:tc>
          <w:tcPr>
            <w:tcW w:w="898" w:type="pct"/>
            <w:tcBorders>
              <w:top w:val="single" w:sz="4" w:space="0" w:color="auto"/>
              <w:left w:val="single" w:sz="4" w:space="0" w:color="auto"/>
              <w:bottom w:val="single" w:sz="4" w:space="0" w:color="auto"/>
              <w:right w:val="single" w:sz="4" w:space="0" w:color="auto"/>
            </w:tcBorders>
            <w:hideMark/>
          </w:tcPr>
          <w:p w:rsidR="0097639F" w:rsidRPr="0083017F" w:rsidRDefault="0097639F" w:rsidP="005165DE">
            <w:pPr>
              <w:pStyle w:val="NoSpacing"/>
              <w:rPr>
                <w:noProof/>
                <w:sz w:val="22"/>
                <w:szCs w:val="22"/>
                <w:lang w:val="hr-HR"/>
              </w:rPr>
            </w:pPr>
            <w:r w:rsidRPr="0083017F">
              <w:rPr>
                <w:noProof/>
                <w:sz w:val="22"/>
                <w:szCs w:val="22"/>
                <w:lang w:val="hr-HR"/>
              </w:rPr>
              <w:t>Opšti poremećaji i reakcije na mjestu primjene</w:t>
            </w:r>
          </w:p>
        </w:tc>
        <w:tc>
          <w:tcPr>
            <w:tcW w:w="1068"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c>
          <w:tcPr>
            <w:tcW w:w="1145" w:type="pct"/>
            <w:tcBorders>
              <w:top w:val="single" w:sz="4" w:space="0" w:color="auto"/>
              <w:left w:val="single" w:sz="4" w:space="0" w:color="auto"/>
              <w:bottom w:val="single" w:sz="4" w:space="0" w:color="auto"/>
              <w:right w:val="single" w:sz="4" w:space="0" w:color="auto"/>
            </w:tcBorders>
            <w:hideMark/>
          </w:tcPr>
          <w:p w:rsidR="0097639F" w:rsidRPr="0083017F" w:rsidRDefault="0097639F" w:rsidP="005165DE">
            <w:pPr>
              <w:pStyle w:val="NoSpacing"/>
              <w:rPr>
                <w:sz w:val="22"/>
                <w:szCs w:val="22"/>
                <w:lang w:val="hr-HR"/>
              </w:rPr>
            </w:pPr>
            <w:r w:rsidRPr="0083017F">
              <w:rPr>
                <w:sz w:val="22"/>
                <w:szCs w:val="22"/>
                <w:lang w:val="hr-HR"/>
              </w:rPr>
              <w:t>Opšta slabost (uglavnom astenija ili umor)</w:t>
            </w:r>
          </w:p>
          <w:p w:rsidR="0097639F" w:rsidRPr="0083017F" w:rsidRDefault="0097639F" w:rsidP="005165DE">
            <w:pPr>
              <w:pStyle w:val="NoSpacing"/>
              <w:rPr>
                <w:sz w:val="22"/>
                <w:szCs w:val="22"/>
                <w:lang w:val="hr-HR"/>
              </w:rPr>
            </w:pPr>
            <w:r w:rsidRPr="0083017F">
              <w:rPr>
                <w:sz w:val="22"/>
                <w:szCs w:val="22"/>
                <w:lang w:val="hr-HR"/>
              </w:rPr>
              <w:t>Bolna stanja (uključ. bol u leđima, grudima, karlici i ekstremitetima) Znojenje</w:t>
            </w:r>
          </w:p>
        </w:tc>
        <w:tc>
          <w:tcPr>
            <w:tcW w:w="992"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sz w:val="22"/>
                <w:szCs w:val="22"/>
                <w:lang w:val="hr-HR"/>
              </w:rPr>
            </w:pPr>
            <w:r w:rsidRPr="0083017F">
              <w:rPr>
                <w:sz w:val="22"/>
                <w:szCs w:val="22"/>
                <w:lang w:val="hr-HR"/>
              </w:rPr>
              <w:t>Edem</w:t>
            </w:r>
          </w:p>
        </w:tc>
        <w:tc>
          <w:tcPr>
            <w:tcW w:w="897" w:type="pct"/>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sz w:val="22"/>
                <w:szCs w:val="22"/>
                <w:lang w:val="hr-HR"/>
              </w:rPr>
            </w:pPr>
          </w:p>
        </w:tc>
      </w:tr>
    </w:tbl>
    <w:p w:rsidR="0097639F" w:rsidRPr="0083017F" w:rsidRDefault="0097639F" w:rsidP="00B947F2">
      <w:pPr>
        <w:pStyle w:val="NoSpacing"/>
        <w:jc w:val="both"/>
        <w:rPr>
          <w:sz w:val="22"/>
          <w:szCs w:val="22"/>
          <w:lang w:val="hr-HR"/>
        </w:rPr>
      </w:pPr>
      <w:r w:rsidRPr="0083017F">
        <w:rPr>
          <w:sz w:val="22"/>
          <w:szCs w:val="22"/>
          <w:lang w:val="hr-HR"/>
        </w:rPr>
        <w:t>U toku primjene fluorohinolona prijavljena su sljedeća, veoma rijetka neželjena dejstva, koja se takođe mogu javiti nakon liječenja moksifloksacinom: hipernatrijemija, hiperkalcemija, hemolitička anemija, rabdomioliza, fotosenzitivne reakcije (vidjeti odjeljak 4.4).</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rFonts w:eastAsia="Calibri"/>
          <w:sz w:val="22"/>
          <w:szCs w:val="22"/>
          <w:u w:val="single"/>
          <w:lang w:val="sr-Latn-RS"/>
        </w:rPr>
      </w:pPr>
      <w:r w:rsidRPr="0083017F">
        <w:rPr>
          <w:rFonts w:eastAsia="Calibri"/>
          <w:sz w:val="22"/>
          <w:szCs w:val="22"/>
          <w:u w:val="single"/>
          <w:lang w:val="sr-Latn-RS"/>
        </w:rPr>
        <w:t>Prijavljivanje sumnji na neželjena dejstva</w:t>
      </w:r>
    </w:p>
    <w:p w:rsidR="000B49E9" w:rsidRPr="0083017F" w:rsidRDefault="000B49E9" w:rsidP="00B947F2">
      <w:pPr>
        <w:pStyle w:val="NoSpacing"/>
        <w:jc w:val="both"/>
        <w:rPr>
          <w:rFonts w:eastAsia="Calibri"/>
          <w:sz w:val="22"/>
          <w:szCs w:val="22"/>
          <w:lang w:val="sr-Latn-RS"/>
        </w:rPr>
      </w:pPr>
    </w:p>
    <w:p w:rsidR="0097639F" w:rsidRPr="0083017F" w:rsidRDefault="0097639F" w:rsidP="00B947F2">
      <w:pPr>
        <w:pStyle w:val="NoSpacing"/>
        <w:jc w:val="both"/>
        <w:rPr>
          <w:rFonts w:eastAsia="Calibri"/>
          <w:sz w:val="22"/>
          <w:szCs w:val="22"/>
          <w:lang w:val="sr-Latn-RS"/>
        </w:rPr>
      </w:pPr>
      <w:r w:rsidRPr="0083017F">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97639F" w:rsidRPr="0083017F" w:rsidRDefault="0097639F" w:rsidP="00B947F2">
      <w:pPr>
        <w:pStyle w:val="NoSpacing"/>
        <w:jc w:val="both"/>
        <w:rPr>
          <w:rFonts w:eastAsia="Calibri"/>
          <w:sz w:val="22"/>
          <w:szCs w:val="22"/>
          <w:lang w:val="sr-Latn-RS"/>
        </w:rPr>
      </w:pPr>
      <w:r w:rsidRPr="0083017F">
        <w:rPr>
          <w:rFonts w:eastAsia="Calibri"/>
          <w:sz w:val="22"/>
          <w:szCs w:val="22"/>
          <w:lang w:val="sr-Latn-RS"/>
        </w:rPr>
        <w:t>Agencija za ljekove i medicinska sredstva Crne Gore</w:t>
      </w:r>
    </w:p>
    <w:p w:rsidR="0097639F" w:rsidRPr="0083017F" w:rsidRDefault="0097639F" w:rsidP="00B947F2">
      <w:pPr>
        <w:pStyle w:val="NoSpacing"/>
        <w:jc w:val="both"/>
        <w:rPr>
          <w:rFonts w:eastAsia="Calibri"/>
          <w:sz w:val="22"/>
          <w:szCs w:val="22"/>
          <w:lang w:val="sr-Latn-RS"/>
        </w:rPr>
      </w:pPr>
      <w:r w:rsidRPr="0083017F">
        <w:rPr>
          <w:rFonts w:eastAsia="Calibri"/>
          <w:sz w:val="22"/>
          <w:szCs w:val="22"/>
          <w:lang w:val="sr-Latn-RS"/>
        </w:rPr>
        <w:t>Odjeljenje za farmakovigilancu</w:t>
      </w:r>
    </w:p>
    <w:p w:rsidR="0097639F" w:rsidRPr="0083017F" w:rsidRDefault="0097639F" w:rsidP="00B947F2">
      <w:pPr>
        <w:pStyle w:val="NoSpacing"/>
        <w:jc w:val="both"/>
        <w:rPr>
          <w:rFonts w:eastAsia="Calibri"/>
          <w:sz w:val="22"/>
          <w:szCs w:val="22"/>
          <w:lang w:val="sr-Latn-RS"/>
        </w:rPr>
      </w:pPr>
      <w:r w:rsidRPr="0083017F">
        <w:rPr>
          <w:rFonts w:eastAsia="Calibri"/>
          <w:sz w:val="22"/>
          <w:szCs w:val="22"/>
          <w:lang w:val="sr-Latn-RS"/>
        </w:rPr>
        <w:t>Bulevar Ivana Crnojevića 64a, 81000 Podgorica</w:t>
      </w:r>
    </w:p>
    <w:p w:rsidR="0097639F" w:rsidRPr="0083017F" w:rsidRDefault="0097639F" w:rsidP="00B947F2">
      <w:pPr>
        <w:pStyle w:val="NoSpacing"/>
        <w:jc w:val="both"/>
        <w:rPr>
          <w:rFonts w:eastAsia="Calibri"/>
          <w:sz w:val="22"/>
          <w:szCs w:val="22"/>
          <w:lang w:val="sr-Latn-RS"/>
        </w:rPr>
      </w:pPr>
    </w:p>
    <w:p w:rsidR="0097639F" w:rsidRPr="0083017F" w:rsidRDefault="0097639F" w:rsidP="00B947F2">
      <w:pPr>
        <w:pStyle w:val="NoSpacing"/>
        <w:jc w:val="both"/>
        <w:rPr>
          <w:rFonts w:eastAsia="Calibri"/>
          <w:sz w:val="22"/>
          <w:szCs w:val="22"/>
          <w:lang w:val="sr-Latn-RS"/>
        </w:rPr>
      </w:pPr>
      <w:r w:rsidRPr="0083017F">
        <w:rPr>
          <w:rFonts w:eastAsia="Calibri"/>
          <w:sz w:val="22"/>
          <w:szCs w:val="22"/>
          <w:lang w:val="sr-Latn-RS"/>
        </w:rPr>
        <w:t>tel: +382 (0) 20 310 280</w:t>
      </w:r>
    </w:p>
    <w:p w:rsidR="0097639F" w:rsidRPr="0083017F" w:rsidRDefault="0097639F" w:rsidP="00B947F2">
      <w:pPr>
        <w:pStyle w:val="NoSpacing"/>
        <w:jc w:val="both"/>
        <w:rPr>
          <w:rFonts w:eastAsia="Calibri"/>
          <w:sz w:val="22"/>
          <w:szCs w:val="22"/>
          <w:lang w:val="sr-Latn-RS"/>
        </w:rPr>
      </w:pPr>
      <w:r w:rsidRPr="0083017F">
        <w:rPr>
          <w:rFonts w:eastAsia="Calibri"/>
          <w:sz w:val="22"/>
          <w:szCs w:val="22"/>
          <w:lang w:val="sr-Latn-RS"/>
        </w:rPr>
        <w:t>fax: +382 (0) 20 310 581</w:t>
      </w:r>
    </w:p>
    <w:p w:rsidR="0097639F" w:rsidRPr="0083017F" w:rsidRDefault="00480829" w:rsidP="00B947F2">
      <w:pPr>
        <w:pStyle w:val="NoSpacing"/>
        <w:jc w:val="both"/>
        <w:rPr>
          <w:rFonts w:eastAsia="Calibri"/>
          <w:sz w:val="22"/>
          <w:szCs w:val="22"/>
          <w:lang w:val="sr-Latn-RS"/>
        </w:rPr>
      </w:pPr>
      <w:hyperlink r:id="rId8" w:history="1">
        <w:r w:rsidR="0097639F" w:rsidRPr="0083017F">
          <w:rPr>
            <w:rFonts w:eastAsia="Calibri"/>
            <w:color w:val="0000FF"/>
            <w:sz w:val="22"/>
            <w:szCs w:val="22"/>
            <w:u w:val="single"/>
            <w:lang w:val="sr-Latn-RS"/>
          </w:rPr>
          <w:t>www.calims.me</w:t>
        </w:r>
      </w:hyperlink>
    </w:p>
    <w:p w:rsidR="0097639F" w:rsidRPr="0083017F" w:rsidRDefault="00480829" w:rsidP="00B947F2">
      <w:pPr>
        <w:pStyle w:val="NoSpacing"/>
        <w:jc w:val="both"/>
        <w:rPr>
          <w:rFonts w:eastAsia="Calibri"/>
          <w:color w:val="0000FF"/>
          <w:sz w:val="22"/>
          <w:szCs w:val="22"/>
          <w:u w:val="single"/>
          <w:lang w:val="sr-Latn-RS"/>
        </w:rPr>
      </w:pPr>
      <w:hyperlink r:id="rId9" w:history="1">
        <w:r w:rsidR="0097639F" w:rsidRPr="0083017F">
          <w:rPr>
            <w:rFonts w:eastAsia="Calibri"/>
            <w:color w:val="0000FF"/>
            <w:sz w:val="22"/>
            <w:szCs w:val="22"/>
            <w:u w:val="single"/>
            <w:lang w:val="sr-Latn-RS"/>
          </w:rPr>
          <w:t>nezeljenadejstva@calims.me</w:t>
        </w:r>
      </w:hyperlink>
    </w:p>
    <w:p w:rsidR="0097639F" w:rsidRPr="0083017F" w:rsidRDefault="0097639F" w:rsidP="00B947F2">
      <w:pPr>
        <w:pStyle w:val="NoSpacing"/>
        <w:jc w:val="both"/>
        <w:rPr>
          <w:rFonts w:eastAsia="Calibri"/>
          <w:sz w:val="22"/>
          <w:szCs w:val="22"/>
          <w:lang w:val="sr-Latn-RS"/>
        </w:rPr>
      </w:pPr>
      <w:r w:rsidRPr="0083017F">
        <w:rPr>
          <w:rFonts w:eastAsia="Calibri"/>
          <w:sz w:val="22"/>
          <w:szCs w:val="22"/>
          <w:lang w:val="sr-Latn-RS"/>
        </w:rPr>
        <w:t>putem IS zdravstvene zaštite</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b/>
          <w:bCs/>
          <w:sz w:val="22"/>
          <w:szCs w:val="22"/>
          <w:lang w:val="sr-Latn-ME"/>
        </w:rPr>
      </w:pPr>
      <w:r w:rsidRPr="0083017F">
        <w:rPr>
          <w:b/>
          <w:bCs/>
          <w:sz w:val="22"/>
          <w:szCs w:val="22"/>
          <w:lang w:val="sr-Latn-ME"/>
        </w:rPr>
        <w:t>4.9.</w:t>
      </w:r>
      <w:r w:rsidR="005165DE" w:rsidRPr="0083017F">
        <w:rPr>
          <w:b/>
          <w:bCs/>
          <w:sz w:val="22"/>
          <w:szCs w:val="22"/>
          <w:lang w:val="sr-Latn-ME"/>
        </w:rPr>
        <w:t xml:space="preserve"> </w:t>
      </w:r>
      <w:r w:rsidRPr="0083017F">
        <w:rPr>
          <w:b/>
          <w:sz w:val="22"/>
          <w:szCs w:val="22"/>
          <w:lang w:val="hr-HR"/>
        </w:rPr>
        <w:t>Predoziranje i mjere koje je potrebno preduzeti</w:t>
      </w:r>
    </w:p>
    <w:p w:rsidR="0097639F" w:rsidRPr="0083017F" w:rsidRDefault="0097639F" w:rsidP="00B947F2">
      <w:pPr>
        <w:pStyle w:val="NoSpacing"/>
        <w:jc w:val="both"/>
        <w:rPr>
          <w:b/>
          <w:sz w:val="22"/>
          <w:szCs w:val="22"/>
          <w:lang w:val="sr-Latn-ME"/>
        </w:rPr>
      </w:pPr>
    </w:p>
    <w:p w:rsidR="0097639F" w:rsidRPr="0083017F" w:rsidRDefault="0097639F" w:rsidP="00B947F2">
      <w:pPr>
        <w:pStyle w:val="NoSpacing"/>
        <w:jc w:val="both"/>
        <w:rPr>
          <w:sz w:val="22"/>
          <w:szCs w:val="22"/>
          <w:lang w:val="hr-HR"/>
        </w:rPr>
      </w:pPr>
      <w:r w:rsidRPr="0083017F">
        <w:rPr>
          <w:iCs/>
          <w:sz w:val="22"/>
          <w:szCs w:val="22"/>
          <w:lang w:val="hr-HR"/>
        </w:rPr>
        <w:t xml:space="preserve">Nakon slučajnog predoziranja ne preporučuju se nikakve posebne mjere. U slučaju predoziranja, treba započeti simptomatsko liječenje. Preporučuje se praćenje EKG-a, s obzirom na mogućnost produženja QT intervala. Istovremena primjena medicinskog uglja sa peroralnom dozom moksifloksacina od 400 mg smanjuje sistemsku raspoloživost lijeka za više od 80%. Upotreba medicinskog uglja u ranoj fazi resorpcije može biti korisna za sprečavanje prekomjernog povećanja sistemske koncetracije moksifloksacinu u slučaju oralnog predoziranja. </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p>
    <w:p w:rsidR="0097639F" w:rsidRPr="0083017F" w:rsidRDefault="005165DE" w:rsidP="00B947F2">
      <w:pPr>
        <w:pStyle w:val="NoSpacing"/>
        <w:jc w:val="both"/>
        <w:rPr>
          <w:b/>
          <w:sz w:val="22"/>
          <w:szCs w:val="22"/>
          <w:lang w:val="hr-HR"/>
        </w:rPr>
      </w:pPr>
      <w:r w:rsidRPr="0083017F">
        <w:rPr>
          <w:b/>
          <w:sz w:val="22"/>
          <w:szCs w:val="22"/>
          <w:lang w:val="hr-HR"/>
        </w:rPr>
        <w:t xml:space="preserve">5. </w:t>
      </w:r>
      <w:r w:rsidR="0097639F" w:rsidRPr="0083017F">
        <w:rPr>
          <w:b/>
          <w:sz w:val="22"/>
          <w:szCs w:val="22"/>
          <w:lang w:val="hr-HR"/>
        </w:rPr>
        <w:t>FARMAKOLOŠKI PODACI</w:t>
      </w:r>
    </w:p>
    <w:p w:rsidR="0097639F" w:rsidRPr="0083017F" w:rsidRDefault="0097639F" w:rsidP="00B947F2">
      <w:pPr>
        <w:pStyle w:val="NoSpacing"/>
        <w:jc w:val="both"/>
        <w:rPr>
          <w:b/>
          <w:sz w:val="22"/>
          <w:szCs w:val="22"/>
          <w:lang w:val="hr-HR"/>
        </w:rPr>
      </w:pPr>
    </w:p>
    <w:p w:rsidR="0097639F" w:rsidRPr="0083017F" w:rsidRDefault="0097639F" w:rsidP="00B947F2">
      <w:pPr>
        <w:pStyle w:val="NoSpacing"/>
        <w:jc w:val="both"/>
        <w:rPr>
          <w:b/>
          <w:sz w:val="22"/>
          <w:szCs w:val="22"/>
          <w:lang w:val="hr-HR"/>
        </w:rPr>
      </w:pPr>
      <w:r w:rsidRPr="0083017F">
        <w:rPr>
          <w:b/>
          <w:sz w:val="22"/>
          <w:szCs w:val="22"/>
          <w:lang w:val="hr-HR"/>
        </w:rPr>
        <w:t>5.1.</w:t>
      </w:r>
      <w:r w:rsidR="005165DE" w:rsidRPr="0083017F">
        <w:rPr>
          <w:b/>
          <w:sz w:val="22"/>
          <w:szCs w:val="22"/>
          <w:lang w:val="hr-HR"/>
        </w:rPr>
        <w:t xml:space="preserve"> </w:t>
      </w:r>
      <w:r w:rsidRPr="0083017F">
        <w:rPr>
          <w:b/>
          <w:sz w:val="22"/>
          <w:szCs w:val="22"/>
          <w:lang w:val="hr-HR"/>
        </w:rPr>
        <w:t>Farmakodinamski podaci</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noProof/>
          <w:sz w:val="22"/>
          <w:szCs w:val="22"/>
          <w:lang w:val="hr-HR"/>
        </w:rPr>
      </w:pPr>
      <w:r w:rsidRPr="0083017F">
        <w:rPr>
          <w:b/>
          <w:sz w:val="22"/>
          <w:szCs w:val="22"/>
          <w:lang w:val="hr-HR"/>
        </w:rPr>
        <w:t>Farmakoterapijska grupa</w:t>
      </w:r>
      <w:r w:rsidR="005165DE" w:rsidRPr="0083017F">
        <w:rPr>
          <w:b/>
          <w:sz w:val="22"/>
          <w:szCs w:val="22"/>
          <w:lang w:val="hr-HR"/>
        </w:rPr>
        <w:t>:</w:t>
      </w:r>
      <w:r w:rsidRPr="0083017F">
        <w:rPr>
          <w:sz w:val="22"/>
          <w:szCs w:val="22"/>
          <w:lang w:val="hr-HR"/>
        </w:rPr>
        <w:t xml:space="preserve"> </w:t>
      </w:r>
      <w:r w:rsidRPr="0083017F">
        <w:rPr>
          <w:noProof/>
          <w:sz w:val="22"/>
          <w:szCs w:val="22"/>
          <w:lang w:val="hr-HR"/>
        </w:rPr>
        <w:t>Hinolonski antibakterijski ljekovi; Fluorohinoloni</w:t>
      </w:r>
    </w:p>
    <w:p w:rsidR="0097639F" w:rsidRPr="0083017F" w:rsidRDefault="0097639F" w:rsidP="00B947F2">
      <w:pPr>
        <w:pStyle w:val="NoSpacing"/>
        <w:jc w:val="both"/>
        <w:rPr>
          <w:noProof/>
          <w:sz w:val="22"/>
          <w:szCs w:val="22"/>
          <w:lang w:val="hr-HR"/>
        </w:rPr>
      </w:pPr>
    </w:p>
    <w:p w:rsidR="0097639F" w:rsidRPr="0083017F" w:rsidRDefault="0097639F" w:rsidP="00B947F2">
      <w:pPr>
        <w:pStyle w:val="NoSpacing"/>
        <w:jc w:val="both"/>
        <w:rPr>
          <w:b/>
          <w:noProof/>
          <w:sz w:val="22"/>
          <w:szCs w:val="22"/>
          <w:lang w:val="hr-HR"/>
        </w:rPr>
      </w:pPr>
      <w:r w:rsidRPr="0083017F">
        <w:rPr>
          <w:b/>
          <w:noProof/>
          <w:sz w:val="22"/>
          <w:szCs w:val="22"/>
          <w:lang w:val="hr-HR"/>
        </w:rPr>
        <w:t>ATC kod</w:t>
      </w:r>
      <w:r w:rsidRPr="0083017F">
        <w:rPr>
          <w:sz w:val="22"/>
          <w:szCs w:val="22"/>
          <w:lang w:val="hr-HR"/>
        </w:rPr>
        <w:t xml:space="preserve">: J01MA14 </w:t>
      </w:r>
    </w:p>
    <w:p w:rsidR="0097639F" w:rsidRPr="0083017F" w:rsidRDefault="0097639F" w:rsidP="00B947F2">
      <w:pPr>
        <w:pStyle w:val="NoSpacing"/>
        <w:jc w:val="both"/>
        <w:rPr>
          <w:noProof/>
          <w:sz w:val="22"/>
          <w:szCs w:val="22"/>
          <w:lang w:val="hr-HR"/>
        </w:rPr>
      </w:pPr>
    </w:p>
    <w:p w:rsidR="0097639F" w:rsidRPr="0083017F" w:rsidRDefault="0097639F" w:rsidP="00B947F2">
      <w:pPr>
        <w:pStyle w:val="NoSpacing"/>
        <w:jc w:val="both"/>
        <w:rPr>
          <w:color w:val="000000"/>
          <w:sz w:val="22"/>
          <w:szCs w:val="22"/>
          <w:u w:val="single"/>
          <w:lang w:val="hr-HR"/>
        </w:rPr>
      </w:pPr>
      <w:r w:rsidRPr="0083017F">
        <w:rPr>
          <w:color w:val="000000"/>
          <w:sz w:val="22"/>
          <w:szCs w:val="22"/>
          <w:u w:val="single"/>
          <w:lang w:val="hr-HR"/>
        </w:rPr>
        <w:lastRenderedPageBreak/>
        <w:t>Mehanizam djelovanja</w:t>
      </w:r>
    </w:p>
    <w:p w:rsidR="0097639F" w:rsidRPr="0083017F" w:rsidRDefault="0097639F" w:rsidP="00B947F2">
      <w:pPr>
        <w:pStyle w:val="NoSpacing"/>
        <w:jc w:val="both"/>
        <w:rPr>
          <w:color w:val="000000"/>
          <w:sz w:val="22"/>
          <w:szCs w:val="22"/>
          <w:lang w:val="hr-HR"/>
        </w:rPr>
      </w:pPr>
      <w:r w:rsidRPr="0083017F">
        <w:rPr>
          <w:color w:val="000000"/>
          <w:sz w:val="22"/>
          <w:szCs w:val="22"/>
          <w:lang w:val="hr-HR"/>
        </w:rPr>
        <w:t xml:space="preserve">Moksifloksacin </w:t>
      </w:r>
      <w:r w:rsidRPr="0083017F">
        <w:rPr>
          <w:i/>
          <w:color w:val="000000"/>
          <w:sz w:val="22"/>
          <w:szCs w:val="22"/>
          <w:lang w:val="hr-HR"/>
        </w:rPr>
        <w:t>in vitro</w:t>
      </w:r>
      <w:r w:rsidRPr="0083017F">
        <w:rPr>
          <w:color w:val="000000"/>
          <w:sz w:val="22"/>
          <w:szCs w:val="22"/>
          <w:lang w:val="hr-HR"/>
        </w:rPr>
        <w:t xml:space="preserve"> djeluje na širok spektar Gram-pozitivnih i Gram-negativnih patogena.</w:t>
      </w:r>
    </w:p>
    <w:p w:rsidR="0097639F" w:rsidRPr="0083017F" w:rsidRDefault="0097639F" w:rsidP="00B947F2">
      <w:pPr>
        <w:pStyle w:val="NoSpacing"/>
        <w:jc w:val="both"/>
        <w:rPr>
          <w:color w:val="000000"/>
          <w:sz w:val="22"/>
          <w:szCs w:val="22"/>
          <w:lang w:val="hr-HR"/>
        </w:rPr>
      </w:pPr>
      <w:r w:rsidRPr="0083017F">
        <w:rPr>
          <w:color w:val="000000"/>
          <w:sz w:val="22"/>
          <w:szCs w:val="22"/>
          <w:lang w:val="hr-HR"/>
        </w:rPr>
        <w:t xml:space="preserve">Baktericidno djelovanje moksifloksacina posljedica je inhibicije obje topoizomeraze tipa II (DNK giraze i topoizomeraze IV), koje su potrebne za replikaciju, transkripciju i reparaciju bakterijske DNK. Izgleda da C8-metoksi grupa doprinosi poboljšavanju aktivnosti i smanjuje selekciju rezistentnih mutanata Gram-pozitivnih bakterija u poređenju sa C8-H grupom. Prisustvo velike bicikloaminskog supstituenta na poziciji C7, sprečava aktivni efluks antibiotika iz bakterijskih ćelija, povezano sa genima nor A, odnosno pmr A, koji su primjećeni kod nekih Gram-pozitivnih bakterija. </w:t>
      </w:r>
    </w:p>
    <w:p w:rsidR="0097639F" w:rsidRPr="0083017F" w:rsidRDefault="0097639F" w:rsidP="00B947F2">
      <w:pPr>
        <w:pStyle w:val="NoSpacing"/>
        <w:jc w:val="both"/>
        <w:rPr>
          <w:color w:val="000000"/>
          <w:sz w:val="22"/>
          <w:szCs w:val="22"/>
          <w:lang w:val="hr-HR"/>
        </w:rPr>
      </w:pPr>
    </w:p>
    <w:p w:rsidR="0097639F" w:rsidRPr="0083017F" w:rsidRDefault="0097639F" w:rsidP="00B947F2">
      <w:pPr>
        <w:pStyle w:val="NoSpacing"/>
        <w:jc w:val="both"/>
        <w:rPr>
          <w:color w:val="000000"/>
          <w:sz w:val="22"/>
          <w:szCs w:val="22"/>
          <w:lang w:val="hr-HR"/>
        </w:rPr>
      </w:pPr>
      <w:r w:rsidRPr="0083017F">
        <w:rPr>
          <w:color w:val="000000"/>
          <w:sz w:val="22"/>
          <w:szCs w:val="22"/>
          <w:lang w:val="hr-HR"/>
        </w:rPr>
        <w:t>Farmakodinamička ispitivanja pokazuju da moksifloksacin ima koncentracijski zavisno baktericidno djelovanje. Utvrđeno je da se minimalne baktericidne koncentracije (MBK) nalaze u istom opsegu kao i minimalne inhibitorne koncentracije (MIK).</w:t>
      </w:r>
    </w:p>
    <w:p w:rsidR="0097639F" w:rsidRPr="0083017F" w:rsidRDefault="0097639F" w:rsidP="00B947F2">
      <w:pPr>
        <w:pStyle w:val="NoSpacing"/>
        <w:jc w:val="both"/>
        <w:rPr>
          <w:color w:val="000000"/>
          <w:sz w:val="22"/>
          <w:szCs w:val="22"/>
          <w:lang w:val="hr-HR"/>
        </w:rPr>
      </w:pPr>
    </w:p>
    <w:p w:rsidR="0097639F" w:rsidRPr="0083017F" w:rsidRDefault="0097639F" w:rsidP="00B947F2">
      <w:pPr>
        <w:pStyle w:val="NoSpacing"/>
        <w:jc w:val="both"/>
        <w:rPr>
          <w:color w:val="000000"/>
          <w:sz w:val="22"/>
          <w:szCs w:val="22"/>
          <w:u w:val="single"/>
          <w:lang w:val="hr-HR"/>
        </w:rPr>
      </w:pPr>
      <w:r w:rsidRPr="0083017F">
        <w:rPr>
          <w:color w:val="000000"/>
          <w:sz w:val="22"/>
          <w:szCs w:val="22"/>
          <w:u w:val="single"/>
          <w:lang w:val="hr-HR"/>
        </w:rPr>
        <w:t>Efekat na interstinalnu floru kod ljudi</w:t>
      </w:r>
    </w:p>
    <w:p w:rsidR="0097639F" w:rsidRPr="0083017F" w:rsidRDefault="0097639F" w:rsidP="00B947F2">
      <w:pPr>
        <w:pStyle w:val="NoSpacing"/>
        <w:jc w:val="both"/>
        <w:rPr>
          <w:color w:val="000000"/>
          <w:sz w:val="22"/>
          <w:szCs w:val="22"/>
          <w:lang w:val="hr-HR"/>
        </w:rPr>
      </w:pPr>
      <w:r w:rsidRPr="0083017F">
        <w:rPr>
          <w:color w:val="000000"/>
          <w:sz w:val="22"/>
          <w:szCs w:val="22"/>
          <w:lang w:val="hr-HR"/>
        </w:rPr>
        <w:t xml:space="preserve">Nakon peroralne primjene moksifloksacina kod dobrovoljaca, zabilježene su sljedeće promjene u intestinalnoj flori: smanjen broj </w:t>
      </w:r>
      <w:r w:rsidRPr="0083017F">
        <w:rPr>
          <w:i/>
          <w:color w:val="000000"/>
          <w:sz w:val="22"/>
          <w:szCs w:val="22"/>
          <w:lang w:val="hr-HR"/>
        </w:rPr>
        <w:t>Escherichia coli</w:t>
      </w:r>
      <w:r w:rsidRPr="0083017F">
        <w:rPr>
          <w:color w:val="000000"/>
          <w:sz w:val="22"/>
          <w:szCs w:val="22"/>
          <w:lang w:val="hr-HR"/>
        </w:rPr>
        <w:t xml:space="preserve">, </w:t>
      </w:r>
      <w:r w:rsidRPr="0083017F">
        <w:rPr>
          <w:i/>
          <w:color w:val="000000"/>
          <w:sz w:val="22"/>
          <w:szCs w:val="22"/>
          <w:lang w:val="hr-HR"/>
        </w:rPr>
        <w:t>Bacillus spp</w:t>
      </w:r>
      <w:r w:rsidRPr="0083017F">
        <w:rPr>
          <w:color w:val="000000"/>
          <w:sz w:val="22"/>
          <w:szCs w:val="22"/>
          <w:lang w:val="hr-HR"/>
        </w:rPr>
        <w:t xml:space="preserve">., </w:t>
      </w:r>
      <w:r w:rsidRPr="0083017F">
        <w:rPr>
          <w:i/>
          <w:color w:val="000000"/>
          <w:sz w:val="22"/>
          <w:szCs w:val="22"/>
          <w:lang w:val="hr-HR"/>
        </w:rPr>
        <w:t>Enterococcus spp</w:t>
      </w:r>
      <w:r w:rsidRPr="0083017F">
        <w:rPr>
          <w:color w:val="000000"/>
          <w:sz w:val="22"/>
          <w:szCs w:val="22"/>
          <w:lang w:val="hr-HR"/>
        </w:rPr>
        <w:t xml:space="preserve">., </w:t>
      </w:r>
      <w:r w:rsidRPr="0083017F">
        <w:rPr>
          <w:i/>
          <w:color w:val="000000"/>
          <w:sz w:val="22"/>
          <w:szCs w:val="22"/>
          <w:lang w:val="hr-HR"/>
        </w:rPr>
        <w:t>Klebsiella spp</w:t>
      </w:r>
      <w:r w:rsidRPr="0083017F">
        <w:rPr>
          <w:color w:val="000000"/>
          <w:sz w:val="22"/>
          <w:szCs w:val="22"/>
          <w:lang w:val="hr-HR"/>
        </w:rPr>
        <w:t xml:space="preserve">., a takođe i broj anaeroba </w:t>
      </w:r>
      <w:r w:rsidRPr="0083017F">
        <w:rPr>
          <w:i/>
          <w:color w:val="000000"/>
          <w:sz w:val="22"/>
          <w:szCs w:val="22"/>
          <w:lang w:val="hr-HR"/>
        </w:rPr>
        <w:t>Bacteroides vulgatus</w:t>
      </w:r>
      <w:r w:rsidRPr="0083017F">
        <w:rPr>
          <w:color w:val="000000"/>
          <w:sz w:val="22"/>
          <w:szCs w:val="22"/>
          <w:lang w:val="hr-HR"/>
        </w:rPr>
        <w:t xml:space="preserve">, </w:t>
      </w:r>
      <w:r w:rsidRPr="0083017F">
        <w:rPr>
          <w:i/>
          <w:color w:val="000000"/>
          <w:sz w:val="22"/>
          <w:szCs w:val="22"/>
          <w:lang w:val="hr-HR"/>
        </w:rPr>
        <w:t>Bifidobacterium spp</w:t>
      </w:r>
      <w:r w:rsidRPr="0083017F">
        <w:rPr>
          <w:color w:val="000000"/>
          <w:sz w:val="22"/>
          <w:szCs w:val="22"/>
          <w:lang w:val="hr-HR"/>
        </w:rPr>
        <w:t xml:space="preserve">., </w:t>
      </w:r>
      <w:r w:rsidRPr="0083017F">
        <w:rPr>
          <w:i/>
          <w:color w:val="000000"/>
          <w:sz w:val="22"/>
          <w:szCs w:val="22"/>
          <w:lang w:val="hr-HR"/>
        </w:rPr>
        <w:t>Eubacterium spp</w:t>
      </w:r>
      <w:r w:rsidRPr="0083017F">
        <w:rPr>
          <w:color w:val="000000"/>
          <w:sz w:val="22"/>
          <w:szCs w:val="22"/>
          <w:lang w:val="hr-HR"/>
        </w:rPr>
        <w:t xml:space="preserve">. i </w:t>
      </w:r>
      <w:r w:rsidRPr="0083017F">
        <w:rPr>
          <w:i/>
          <w:color w:val="000000"/>
          <w:sz w:val="22"/>
          <w:szCs w:val="22"/>
          <w:lang w:val="hr-HR"/>
        </w:rPr>
        <w:t>Peptostreptococcus spp</w:t>
      </w:r>
      <w:r w:rsidRPr="0083017F">
        <w:rPr>
          <w:color w:val="000000"/>
          <w:sz w:val="22"/>
          <w:szCs w:val="22"/>
          <w:lang w:val="hr-HR"/>
        </w:rPr>
        <w:t xml:space="preserve">. Broj </w:t>
      </w:r>
      <w:r w:rsidRPr="0083017F">
        <w:rPr>
          <w:i/>
          <w:color w:val="000000"/>
          <w:sz w:val="22"/>
          <w:szCs w:val="22"/>
          <w:lang w:val="hr-HR"/>
        </w:rPr>
        <w:t>Bacteroides fragilis</w:t>
      </w:r>
      <w:r w:rsidRPr="0083017F">
        <w:rPr>
          <w:color w:val="000000"/>
          <w:sz w:val="22"/>
          <w:szCs w:val="22"/>
          <w:lang w:val="hr-HR"/>
        </w:rPr>
        <w:t xml:space="preserve"> se povećao. Ove promjene su se normalizovale u toku dvije nedjelje.</w:t>
      </w:r>
    </w:p>
    <w:p w:rsidR="0097639F" w:rsidRPr="0083017F" w:rsidRDefault="0097639F" w:rsidP="00B947F2">
      <w:pPr>
        <w:pStyle w:val="NoSpacing"/>
        <w:jc w:val="both"/>
        <w:rPr>
          <w:color w:val="000000"/>
          <w:sz w:val="22"/>
          <w:szCs w:val="22"/>
          <w:lang w:val="hr-HR"/>
        </w:rPr>
      </w:pPr>
    </w:p>
    <w:p w:rsidR="0097639F" w:rsidRPr="0083017F" w:rsidRDefault="0097639F" w:rsidP="00B947F2">
      <w:pPr>
        <w:pStyle w:val="NoSpacing"/>
        <w:jc w:val="both"/>
        <w:rPr>
          <w:color w:val="000000"/>
          <w:sz w:val="22"/>
          <w:szCs w:val="22"/>
          <w:u w:val="single"/>
          <w:lang w:val="hr-HR"/>
        </w:rPr>
      </w:pPr>
      <w:r w:rsidRPr="0083017F">
        <w:rPr>
          <w:color w:val="000000"/>
          <w:sz w:val="22"/>
          <w:szCs w:val="22"/>
          <w:u w:val="single"/>
          <w:lang w:val="hr-HR"/>
        </w:rPr>
        <w:t>Mehanizmi rezistencije</w:t>
      </w:r>
    </w:p>
    <w:p w:rsidR="0097639F" w:rsidRPr="0083017F" w:rsidRDefault="0097639F" w:rsidP="00B947F2">
      <w:pPr>
        <w:pStyle w:val="NoSpacing"/>
        <w:jc w:val="both"/>
        <w:rPr>
          <w:color w:val="000000"/>
          <w:sz w:val="22"/>
          <w:szCs w:val="22"/>
          <w:lang w:val="hr-HR"/>
        </w:rPr>
      </w:pPr>
      <w:r w:rsidRPr="0083017F">
        <w:rPr>
          <w:color w:val="000000"/>
          <w:sz w:val="22"/>
          <w:szCs w:val="22"/>
          <w:lang w:val="hr-HR"/>
        </w:rPr>
        <w:t>Mehanizmi rezistencije koji inaktiviraju peniciline, cefalosporine, aminoglikozide, makrolide i tetracikline, ne utiču na antibakterijsko djelovanje moksifloksacina.</w:t>
      </w:r>
    </w:p>
    <w:p w:rsidR="0097639F" w:rsidRPr="0083017F" w:rsidRDefault="0097639F" w:rsidP="00B947F2">
      <w:pPr>
        <w:pStyle w:val="NoSpacing"/>
        <w:jc w:val="both"/>
        <w:rPr>
          <w:color w:val="000000"/>
          <w:sz w:val="22"/>
          <w:szCs w:val="22"/>
          <w:lang w:val="hr-HR"/>
        </w:rPr>
      </w:pPr>
      <w:r w:rsidRPr="0083017F">
        <w:rPr>
          <w:color w:val="000000"/>
          <w:sz w:val="22"/>
          <w:szCs w:val="22"/>
          <w:lang w:val="hr-HR"/>
        </w:rPr>
        <w:t xml:space="preserve">Drugi mehanizmi rezistencije, kao što su barijere koje onemogućavaju prodor lijeka (svojstveno za </w:t>
      </w:r>
      <w:r w:rsidRPr="0083017F">
        <w:rPr>
          <w:i/>
          <w:color w:val="000000"/>
          <w:sz w:val="22"/>
          <w:szCs w:val="22"/>
          <w:lang w:val="hr-HR"/>
        </w:rPr>
        <w:t>Pseudomonas aeruginosa</w:t>
      </w:r>
      <w:r w:rsidRPr="0083017F">
        <w:rPr>
          <w:color w:val="000000"/>
          <w:sz w:val="22"/>
          <w:szCs w:val="22"/>
          <w:lang w:val="hr-HR"/>
        </w:rPr>
        <w:t>) i mehanizmi efluksa iz ćelije, mogu uticati na osjetljivost na moksifloksacin.</w:t>
      </w:r>
    </w:p>
    <w:p w:rsidR="0097639F" w:rsidRPr="0083017F" w:rsidRDefault="0097639F" w:rsidP="00B947F2">
      <w:pPr>
        <w:pStyle w:val="NoSpacing"/>
        <w:jc w:val="both"/>
        <w:rPr>
          <w:color w:val="000000"/>
          <w:sz w:val="22"/>
          <w:szCs w:val="22"/>
          <w:lang w:val="hr-HR"/>
        </w:rPr>
      </w:pPr>
    </w:p>
    <w:p w:rsidR="0097639F" w:rsidRPr="0083017F" w:rsidRDefault="0097639F" w:rsidP="00B947F2">
      <w:pPr>
        <w:pStyle w:val="NoSpacing"/>
        <w:jc w:val="both"/>
        <w:rPr>
          <w:color w:val="000000"/>
          <w:sz w:val="22"/>
          <w:szCs w:val="22"/>
          <w:lang w:val="hr-HR"/>
        </w:rPr>
      </w:pPr>
      <w:r w:rsidRPr="0083017F">
        <w:rPr>
          <w:i/>
          <w:iCs/>
          <w:sz w:val="22"/>
          <w:szCs w:val="22"/>
          <w:lang w:val="hr-HR"/>
        </w:rPr>
        <w:t>In</w:t>
      </w:r>
      <w:r w:rsidRPr="0083017F">
        <w:rPr>
          <w:i/>
          <w:iCs/>
          <w:spacing w:val="23"/>
          <w:sz w:val="22"/>
          <w:szCs w:val="22"/>
          <w:lang w:val="hr-HR"/>
        </w:rPr>
        <w:t xml:space="preserve"> </w:t>
      </w:r>
      <w:r w:rsidRPr="0083017F">
        <w:rPr>
          <w:i/>
          <w:iCs/>
          <w:spacing w:val="-1"/>
          <w:sz w:val="22"/>
          <w:szCs w:val="22"/>
          <w:lang w:val="hr-HR"/>
        </w:rPr>
        <w:t>v</w:t>
      </w:r>
      <w:r w:rsidRPr="0083017F">
        <w:rPr>
          <w:i/>
          <w:iCs/>
          <w:sz w:val="22"/>
          <w:szCs w:val="22"/>
          <w:lang w:val="hr-HR"/>
        </w:rPr>
        <w:t>i</w:t>
      </w:r>
      <w:r w:rsidRPr="0083017F">
        <w:rPr>
          <w:i/>
          <w:iCs/>
          <w:spacing w:val="1"/>
          <w:sz w:val="22"/>
          <w:szCs w:val="22"/>
          <w:lang w:val="hr-HR"/>
        </w:rPr>
        <w:t>t</w:t>
      </w:r>
      <w:r w:rsidRPr="0083017F">
        <w:rPr>
          <w:i/>
          <w:iCs/>
          <w:sz w:val="22"/>
          <w:szCs w:val="22"/>
          <w:lang w:val="hr-HR"/>
        </w:rPr>
        <w:t>ro</w:t>
      </w:r>
      <w:r w:rsidRPr="0083017F">
        <w:rPr>
          <w:i/>
          <w:iCs/>
          <w:spacing w:val="25"/>
          <w:sz w:val="22"/>
          <w:szCs w:val="22"/>
          <w:lang w:val="hr-HR"/>
        </w:rPr>
        <w:t xml:space="preserve"> </w:t>
      </w:r>
      <w:r w:rsidRPr="0083017F">
        <w:rPr>
          <w:sz w:val="22"/>
          <w:szCs w:val="22"/>
          <w:lang w:val="hr-HR"/>
        </w:rPr>
        <w:t>rezistencija</w:t>
      </w:r>
      <w:r w:rsidRPr="0083017F">
        <w:rPr>
          <w:spacing w:val="24"/>
          <w:sz w:val="22"/>
          <w:szCs w:val="22"/>
          <w:lang w:val="hr-HR"/>
        </w:rPr>
        <w:t xml:space="preserve"> </w:t>
      </w:r>
      <w:r w:rsidRPr="0083017F">
        <w:rPr>
          <w:sz w:val="22"/>
          <w:szCs w:val="22"/>
          <w:lang w:val="hr-HR"/>
        </w:rPr>
        <w:t>na</w:t>
      </w:r>
      <w:r w:rsidRPr="0083017F">
        <w:rPr>
          <w:spacing w:val="23"/>
          <w:sz w:val="22"/>
          <w:szCs w:val="22"/>
          <w:lang w:val="hr-HR"/>
        </w:rPr>
        <w:t xml:space="preserve"> </w:t>
      </w:r>
      <w:r w:rsidRPr="0083017F">
        <w:rPr>
          <w:sz w:val="22"/>
          <w:szCs w:val="22"/>
          <w:lang w:val="hr-HR"/>
        </w:rPr>
        <w:t>m</w:t>
      </w:r>
      <w:r w:rsidRPr="0083017F">
        <w:rPr>
          <w:spacing w:val="-2"/>
          <w:sz w:val="22"/>
          <w:szCs w:val="22"/>
          <w:lang w:val="hr-HR"/>
        </w:rPr>
        <w:t>o</w:t>
      </w:r>
      <w:r w:rsidRPr="0083017F">
        <w:rPr>
          <w:sz w:val="22"/>
          <w:szCs w:val="22"/>
          <w:lang w:val="hr-HR"/>
        </w:rPr>
        <w:t>ksifloks</w:t>
      </w:r>
      <w:r w:rsidRPr="0083017F">
        <w:rPr>
          <w:spacing w:val="-1"/>
          <w:sz w:val="22"/>
          <w:szCs w:val="22"/>
          <w:lang w:val="hr-HR"/>
        </w:rPr>
        <w:t>ac</w:t>
      </w:r>
      <w:r w:rsidRPr="0083017F">
        <w:rPr>
          <w:sz w:val="22"/>
          <w:szCs w:val="22"/>
          <w:lang w:val="hr-HR"/>
        </w:rPr>
        <w:t>in st</w:t>
      </w:r>
      <w:r w:rsidRPr="0083017F">
        <w:rPr>
          <w:spacing w:val="1"/>
          <w:sz w:val="22"/>
          <w:szCs w:val="22"/>
          <w:lang w:val="hr-HR"/>
        </w:rPr>
        <w:t>i</w:t>
      </w:r>
      <w:r w:rsidRPr="0083017F">
        <w:rPr>
          <w:spacing w:val="-1"/>
          <w:sz w:val="22"/>
          <w:szCs w:val="22"/>
          <w:lang w:val="hr-HR"/>
        </w:rPr>
        <w:t>č</w:t>
      </w:r>
      <w:r w:rsidRPr="0083017F">
        <w:rPr>
          <w:sz w:val="22"/>
          <w:szCs w:val="22"/>
          <w:lang w:val="hr-HR"/>
        </w:rPr>
        <w:t>e se</w:t>
      </w:r>
      <w:r w:rsidRPr="0083017F">
        <w:rPr>
          <w:spacing w:val="23"/>
          <w:sz w:val="22"/>
          <w:szCs w:val="22"/>
          <w:lang w:val="hr-HR"/>
        </w:rPr>
        <w:t xml:space="preserve"> </w:t>
      </w:r>
      <w:r w:rsidRPr="0083017F">
        <w:rPr>
          <w:sz w:val="22"/>
          <w:szCs w:val="22"/>
          <w:lang w:val="hr-HR"/>
        </w:rPr>
        <w:t>postupnim</w:t>
      </w:r>
      <w:r w:rsidRPr="0083017F">
        <w:rPr>
          <w:spacing w:val="24"/>
          <w:sz w:val="22"/>
          <w:szCs w:val="22"/>
          <w:lang w:val="hr-HR"/>
        </w:rPr>
        <w:t xml:space="preserve"> </w:t>
      </w:r>
      <w:r w:rsidRPr="0083017F">
        <w:rPr>
          <w:sz w:val="22"/>
          <w:szCs w:val="22"/>
          <w:lang w:val="hr-HR"/>
        </w:rPr>
        <w:t>p</w:t>
      </w:r>
      <w:r w:rsidRPr="0083017F">
        <w:rPr>
          <w:spacing w:val="-1"/>
          <w:sz w:val="22"/>
          <w:szCs w:val="22"/>
          <w:lang w:val="hr-HR"/>
        </w:rPr>
        <w:t>r</w:t>
      </w:r>
      <w:r w:rsidRPr="0083017F">
        <w:rPr>
          <w:sz w:val="22"/>
          <w:szCs w:val="22"/>
          <w:lang w:val="hr-HR"/>
        </w:rPr>
        <w:t>o</w:t>
      </w:r>
      <w:r w:rsidRPr="0083017F">
        <w:rPr>
          <w:spacing w:val="-1"/>
          <w:sz w:val="22"/>
          <w:szCs w:val="22"/>
          <w:lang w:val="hr-HR"/>
        </w:rPr>
        <w:t>ce</w:t>
      </w:r>
      <w:r w:rsidRPr="0083017F">
        <w:rPr>
          <w:sz w:val="22"/>
          <w:szCs w:val="22"/>
          <w:lang w:val="hr-HR"/>
        </w:rPr>
        <w:t>som</w:t>
      </w:r>
      <w:r w:rsidRPr="0083017F">
        <w:rPr>
          <w:spacing w:val="24"/>
          <w:sz w:val="22"/>
          <w:szCs w:val="22"/>
          <w:lang w:val="hr-HR"/>
        </w:rPr>
        <w:t xml:space="preserve"> </w:t>
      </w:r>
      <w:r w:rsidRPr="0083017F">
        <w:rPr>
          <w:sz w:val="22"/>
          <w:szCs w:val="22"/>
          <w:lang w:val="hr-HR"/>
        </w:rPr>
        <w:t>mu</w:t>
      </w:r>
      <w:r w:rsidRPr="0083017F">
        <w:rPr>
          <w:spacing w:val="1"/>
          <w:sz w:val="22"/>
          <w:szCs w:val="22"/>
          <w:lang w:val="hr-HR"/>
        </w:rPr>
        <w:t>t</w:t>
      </w:r>
      <w:r w:rsidRPr="0083017F">
        <w:rPr>
          <w:spacing w:val="-3"/>
          <w:sz w:val="22"/>
          <w:szCs w:val="22"/>
          <w:lang w:val="hr-HR"/>
        </w:rPr>
        <w:t>a</w:t>
      </w:r>
      <w:r w:rsidRPr="0083017F">
        <w:rPr>
          <w:spacing w:val="-1"/>
          <w:sz w:val="22"/>
          <w:szCs w:val="22"/>
          <w:lang w:val="hr-HR"/>
        </w:rPr>
        <w:t>c</w:t>
      </w:r>
      <w:r w:rsidRPr="0083017F">
        <w:rPr>
          <w:sz w:val="22"/>
          <w:szCs w:val="22"/>
          <w:lang w:val="hr-HR"/>
        </w:rPr>
        <w:t>i</w:t>
      </w:r>
      <w:r w:rsidRPr="0083017F">
        <w:rPr>
          <w:spacing w:val="1"/>
          <w:sz w:val="22"/>
          <w:szCs w:val="22"/>
          <w:lang w:val="hr-HR"/>
        </w:rPr>
        <w:t>j</w:t>
      </w:r>
      <w:r w:rsidRPr="0083017F">
        <w:rPr>
          <w:sz w:val="22"/>
          <w:szCs w:val="22"/>
          <w:lang w:val="hr-HR"/>
        </w:rPr>
        <w:t>e</w:t>
      </w:r>
      <w:r w:rsidRPr="0083017F">
        <w:rPr>
          <w:spacing w:val="23"/>
          <w:sz w:val="22"/>
          <w:szCs w:val="22"/>
          <w:lang w:val="hr-HR"/>
        </w:rPr>
        <w:t xml:space="preserve"> </w:t>
      </w:r>
      <w:r w:rsidRPr="0083017F">
        <w:rPr>
          <w:spacing w:val="-1"/>
          <w:sz w:val="22"/>
          <w:szCs w:val="22"/>
          <w:lang w:val="hr-HR"/>
        </w:rPr>
        <w:t>c</w:t>
      </w:r>
      <w:r w:rsidRPr="0083017F">
        <w:rPr>
          <w:sz w:val="22"/>
          <w:szCs w:val="22"/>
          <w:lang w:val="hr-HR"/>
        </w:rPr>
        <w:t>i</w:t>
      </w:r>
      <w:r w:rsidRPr="0083017F">
        <w:rPr>
          <w:spacing w:val="1"/>
          <w:sz w:val="22"/>
          <w:szCs w:val="22"/>
          <w:lang w:val="hr-HR"/>
        </w:rPr>
        <w:t>l</w:t>
      </w:r>
      <w:r w:rsidRPr="0083017F">
        <w:rPr>
          <w:sz w:val="22"/>
          <w:szCs w:val="22"/>
          <w:lang w:val="hr-HR"/>
        </w:rPr>
        <w:t>jn</w:t>
      </w:r>
      <w:r w:rsidRPr="0083017F">
        <w:rPr>
          <w:spacing w:val="1"/>
          <w:sz w:val="22"/>
          <w:szCs w:val="22"/>
          <w:lang w:val="hr-HR"/>
        </w:rPr>
        <w:t>i</w:t>
      </w:r>
      <w:r w:rsidRPr="0083017F">
        <w:rPr>
          <w:sz w:val="22"/>
          <w:szCs w:val="22"/>
          <w:lang w:val="hr-HR"/>
        </w:rPr>
        <w:t>h</w:t>
      </w:r>
      <w:r w:rsidRPr="0083017F">
        <w:rPr>
          <w:spacing w:val="24"/>
          <w:sz w:val="22"/>
          <w:szCs w:val="22"/>
          <w:lang w:val="hr-HR"/>
        </w:rPr>
        <w:t xml:space="preserve"> </w:t>
      </w:r>
      <w:r w:rsidRPr="0083017F">
        <w:rPr>
          <w:sz w:val="22"/>
          <w:szCs w:val="22"/>
          <w:lang w:val="hr-HR"/>
        </w:rPr>
        <w:t>m</w:t>
      </w:r>
      <w:r w:rsidRPr="0083017F">
        <w:rPr>
          <w:spacing w:val="1"/>
          <w:sz w:val="22"/>
          <w:szCs w:val="22"/>
          <w:lang w:val="hr-HR"/>
        </w:rPr>
        <w:t>j</w:t>
      </w:r>
      <w:r w:rsidRPr="0083017F">
        <w:rPr>
          <w:spacing w:val="-1"/>
          <w:sz w:val="22"/>
          <w:szCs w:val="22"/>
          <w:lang w:val="hr-HR"/>
        </w:rPr>
        <w:t>e</w:t>
      </w:r>
      <w:r w:rsidRPr="0083017F">
        <w:rPr>
          <w:sz w:val="22"/>
          <w:szCs w:val="22"/>
          <w:lang w:val="hr-HR"/>
        </w:rPr>
        <w:t>sta na obje topo</w:t>
      </w:r>
      <w:r w:rsidRPr="0083017F">
        <w:rPr>
          <w:spacing w:val="1"/>
          <w:sz w:val="22"/>
          <w:szCs w:val="22"/>
          <w:lang w:val="hr-HR"/>
        </w:rPr>
        <w:t>iz</w:t>
      </w:r>
      <w:r w:rsidRPr="0083017F">
        <w:rPr>
          <w:sz w:val="22"/>
          <w:szCs w:val="22"/>
          <w:lang w:val="hr-HR"/>
        </w:rPr>
        <w:t>ome</w:t>
      </w:r>
      <w:r w:rsidRPr="0083017F">
        <w:rPr>
          <w:spacing w:val="-1"/>
          <w:sz w:val="22"/>
          <w:szCs w:val="22"/>
          <w:lang w:val="hr-HR"/>
        </w:rPr>
        <w:t>ra</w:t>
      </w:r>
      <w:r w:rsidRPr="0083017F">
        <w:rPr>
          <w:spacing w:val="1"/>
          <w:sz w:val="22"/>
          <w:szCs w:val="22"/>
          <w:lang w:val="hr-HR"/>
        </w:rPr>
        <w:t>z</w:t>
      </w:r>
      <w:r w:rsidRPr="0083017F">
        <w:rPr>
          <w:sz w:val="22"/>
          <w:szCs w:val="22"/>
          <w:lang w:val="hr-HR"/>
        </w:rPr>
        <w:t>e</w:t>
      </w:r>
      <w:r w:rsidRPr="0083017F">
        <w:rPr>
          <w:spacing w:val="1"/>
          <w:sz w:val="22"/>
          <w:szCs w:val="22"/>
          <w:lang w:val="hr-HR"/>
        </w:rPr>
        <w:t xml:space="preserve"> </w:t>
      </w:r>
      <w:r w:rsidRPr="0083017F">
        <w:rPr>
          <w:sz w:val="22"/>
          <w:szCs w:val="22"/>
          <w:lang w:val="hr-HR"/>
        </w:rPr>
        <w:t>t</w:t>
      </w:r>
      <w:r w:rsidRPr="0083017F">
        <w:rPr>
          <w:spacing w:val="-1"/>
          <w:sz w:val="22"/>
          <w:szCs w:val="22"/>
          <w:lang w:val="hr-HR"/>
        </w:rPr>
        <w:t>i</w:t>
      </w:r>
      <w:r w:rsidRPr="0083017F">
        <w:rPr>
          <w:sz w:val="22"/>
          <w:szCs w:val="22"/>
          <w:lang w:val="hr-HR"/>
        </w:rPr>
        <w:t>pa</w:t>
      </w:r>
      <w:r w:rsidRPr="0083017F">
        <w:rPr>
          <w:spacing w:val="3"/>
          <w:sz w:val="22"/>
          <w:szCs w:val="22"/>
          <w:lang w:val="hr-HR"/>
        </w:rPr>
        <w:t xml:space="preserve"> </w:t>
      </w:r>
      <w:r w:rsidRPr="0083017F">
        <w:rPr>
          <w:sz w:val="22"/>
          <w:szCs w:val="22"/>
          <w:lang w:val="hr-HR"/>
        </w:rPr>
        <w:t>I</w:t>
      </w:r>
      <w:r w:rsidRPr="0083017F">
        <w:rPr>
          <w:spacing w:val="-4"/>
          <w:sz w:val="22"/>
          <w:szCs w:val="22"/>
          <w:lang w:val="hr-HR"/>
        </w:rPr>
        <w:t>I</w:t>
      </w:r>
      <w:r w:rsidRPr="0083017F">
        <w:rPr>
          <w:sz w:val="22"/>
          <w:szCs w:val="22"/>
          <w:lang w:val="hr-HR"/>
        </w:rPr>
        <w:t xml:space="preserve"> (D</w:t>
      </w:r>
      <w:r w:rsidRPr="0083017F">
        <w:rPr>
          <w:spacing w:val="-1"/>
          <w:sz w:val="22"/>
          <w:szCs w:val="22"/>
          <w:lang w:val="hr-HR"/>
        </w:rPr>
        <w:t>N</w:t>
      </w:r>
      <w:r w:rsidRPr="0083017F">
        <w:rPr>
          <w:sz w:val="22"/>
          <w:szCs w:val="22"/>
          <w:lang w:val="hr-HR"/>
        </w:rPr>
        <w:t>K</w:t>
      </w:r>
      <w:r w:rsidRPr="0083017F">
        <w:rPr>
          <w:spacing w:val="3"/>
          <w:sz w:val="22"/>
          <w:szCs w:val="22"/>
          <w:lang w:val="hr-HR"/>
        </w:rPr>
        <w:t xml:space="preserve"> </w:t>
      </w:r>
      <w:r w:rsidRPr="0083017F">
        <w:rPr>
          <w:spacing w:val="-2"/>
          <w:sz w:val="22"/>
          <w:szCs w:val="22"/>
          <w:lang w:val="hr-HR"/>
        </w:rPr>
        <w:t>g</w:t>
      </w:r>
      <w:r w:rsidRPr="0083017F">
        <w:rPr>
          <w:sz w:val="22"/>
          <w:szCs w:val="22"/>
          <w:lang w:val="hr-HR"/>
        </w:rPr>
        <w:t>ir</w:t>
      </w:r>
      <w:r w:rsidRPr="0083017F">
        <w:rPr>
          <w:spacing w:val="-1"/>
          <w:sz w:val="22"/>
          <w:szCs w:val="22"/>
          <w:lang w:val="hr-HR"/>
        </w:rPr>
        <w:t>a</w:t>
      </w:r>
      <w:r w:rsidRPr="0083017F">
        <w:rPr>
          <w:spacing w:val="1"/>
          <w:sz w:val="22"/>
          <w:szCs w:val="22"/>
          <w:lang w:val="hr-HR"/>
        </w:rPr>
        <w:t>z</w:t>
      </w:r>
      <w:r w:rsidRPr="0083017F">
        <w:rPr>
          <w:sz w:val="22"/>
          <w:szCs w:val="22"/>
          <w:lang w:val="hr-HR"/>
        </w:rPr>
        <w:t>i</w:t>
      </w:r>
      <w:r w:rsidRPr="0083017F">
        <w:rPr>
          <w:spacing w:val="2"/>
          <w:sz w:val="22"/>
          <w:szCs w:val="22"/>
          <w:lang w:val="hr-HR"/>
        </w:rPr>
        <w:t xml:space="preserve"> </w:t>
      </w:r>
      <w:r w:rsidRPr="0083017F">
        <w:rPr>
          <w:sz w:val="22"/>
          <w:szCs w:val="22"/>
          <w:lang w:val="hr-HR"/>
        </w:rPr>
        <w:t>i</w:t>
      </w:r>
      <w:r w:rsidRPr="0083017F">
        <w:rPr>
          <w:spacing w:val="2"/>
          <w:sz w:val="22"/>
          <w:szCs w:val="22"/>
          <w:lang w:val="hr-HR"/>
        </w:rPr>
        <w:t xml:space="preserve"> </w:t>
      </w:r>
      <w:r w:rsidRPr="0083017F">
        <w:rPr>
          <w:spacing w:val="-2"/>
          <w:sz w:val="22"/>
          <w:szCs w:val="22"/>
          <w:lang w:val="hr-HR"/>
        </w:rPr>
        <w:t>t</w:t>
      </w:r>
      <w:r w:rsidRPr="0083017F">
        <w:rPr>
          <w:sz w:val="22"/>
          <w:szCs w:val="22"/>
          <w:lang w:val="hr-HR"/>
        </w:rPr>
        <w:t>opoi</w:t>
      </w:r>
      <w:r w:rsidRPr="0083017F">
        <w:rPr>
          <w:spacing w:val="2"/>
          <w:sz w:val="22"/>
          <w:szCs w:val="22"/>
          <w:lang w:val="hr-HR"/>
        </w:rPr>
        <w:t>z</w:t>
      </w:r>
      <w:r w:rsidRPr="0083017F">
        <w:rPr>
          <w:sz w:val="22"/>
          <w:szCs w:val="22"/>
          <w:lang w:val="hr-HR"/>
        </w:rPr>
        <w:t>ome</w:t>
      </w:r>
      <w:r w:rsidRPr="0083017F">
        <w:rPr>
          <w:spacing w:val="-1"/>
          <w:sz w:val="22"/>
          <w:szCs w:val="22"/>
          <w:lang w:val="hr-HR"/>
        </w:rPr>
        <w:t>ra</w:t>
      </w:r>
      <w:r w:rsidRPr="0083017F">
        <w:rPr>
          <w:spacing w:val="1"/>
          <w:sz w:val="22"/>
          <w:szCs w:val="22"/>
          <w:lang w:val="hr-HR"/>
        </w:rPr>
        <w:t>z</w:t>
      </w:r>
      <w:r w:rsidRPr="0083017F">
        <w:rPr>
          <w:sz w:val="22"/>
          <w:szCs w:val="22"/>
          <w:lang w:val="hr-HR"/>
        </w:rPr>
        <w:t>i</w:t>
      </w:r>
      <w:r w:rsidRPr="0083017F">
        <w:rPr>
          <w:spacing w:val="2"/>
          <w:sz w:val="22"/>
          <w:szCs w:val="22"/>
          <w:lang w:val="hr-HR"/>
        </w:rPr>
        <w:t xml:space="preserve"> </w:t>
      </w:r>
      <w:r w:rsidRPr="0083017F">
        <w:rPr>
          <w:spacing w:val="-6"/>
          <w:sz w:val="22"/>
          <w:szCs w:val="22"/>
          <w:lang w:val="hr-HR"/>
        </w:rPr>
        <w:t>I</w:t>
      </w:r>
      <w:r w:rsidRPr="0083017F">
        <w:rPr>
          <w:sz w:val="22"/>
          <w:szCs w:val="22"/>
          <w:lang w:val="hr-HR"/>
        </w:rPr>
        <w:t>V).</w:t>
      </w:r>
      <w:r w:rsidRPr="0083017F">
        <w:rPr>
          <w:spacing w:val="1"/>
          <w:sz w:val="22"/>
          <w:szCs w:val="22"/>
          <w:lang w:val="hr-HR"/>
        </w:rPr>
        <w:t xml:space="preserve"> </w:t>
      </w:r>
      <w:r w:rsidRPr="0083017F">
        <w:rPr>
          <w:color w:val="000000"/>
          <w:sz w:val="22"/>
          <w:szCs w:val="22"/>
          <w:lang w:val="hr-HR"/>
        </w:rPr>
        <w:t xml:space="preserve">Moksifloksacin slabo podliježe mehanizmu aktivnog efluksa iz ćelije u Gram-pozitivnim mikroorganizmima. </w:t>
      </w:r>
    </w:p>
    <w:p w:rsidR="0097639F" w:rsidRPr="0083017F" w:rsidRDefault="0097639F" w:rsidP="00B947F2">
      <w:pPr>
        <w:pStyle w:val="NoSpacing"/>
        <w:jc w:val="both"/>
        <w:rPr>
          <w:color w:val="000000"/>
          <w:sz w:val="22"/>
          <w:szCs w:val="22"/>
          <w:lang w:val="hr-HR"/>
        </w:rPr>
      </w:pPr>
    </w:p>
    <w:p w:rsidR="0097639F" w:rsidRPr="0083017F" w:rsidRDefault="0097639F" w:rsidP="00B947F2">
      <w:pPr>
        <w:pStyle w:val="NoSpacing"/>
        <w:jc w:val="both"/>
        <w:rPr>
          <w:color w:val="000000"/>
          <w:sz w:val="22"/>
          <w:szCs w:val="22"/>
          <w:lang w:val="hr-HR"/>
        </w:rPr>
      </w:pPr>
      <w:r w:rsidRPr="0083017F">
        <w:rPr>
          <w:color w:val="000000"/>
          <w:sz w:val="22"/>
          <w:szCs w:val="22"/>
          <w:lang w:val="hr-HR"/>
        </w:rPr>
        <w:t>Uočena je unakrsna rezistencija sa drugim fluorohinolonima. Međutim, pošto moksifloksacin podjednako efikasno inhibiše topoizomerazu II i IV u nekim Gram-pozitivnim bakterijama,</w:t>
      </w:r>
      <w:r w:rsidRPr="0083017F">
        <w:rPr>
          <w:sz w:val="22"/>
          <w:szCs w:val="22"/>
          <w:lang w:val="hr-HR"/>
        </w:rPr>
        <w:t xml:space="preserve"> </w:t>
      </w:r>
      <w:r w:rsidRPr="0083017F">
        <w:rPr>
          <w:color w:val="000000"/>
          <w:sz w:val="22"/>
          <w:szCs w:val="22"/>
          <w:lang w:val="hr-HR"/>
        </w:rPr>
        <w:t>ove bakterije mogu biti rezistentne na druge hinolone, a osjetljive na moksifloksacin.</w:t>
      </w:r>
    </w:p>
    <w:p w:rsidR="000B49E9" w:rsidRPr="0083017F" w:rsidRDefault="000B49E9" w:rsidP="00B947F2">
      <w:pPr>
        <w:pStyle w:val="NoSpacing"/>
        <w:jc w:val="both"/>
        <w:rPr>
          <w:color w:val="000000"/>
          <w:sz w:val="22"/>
          <w:szCs w:val="22"/>
          <w:u w:val="single"/>
          <w:lang w:val="hr-HR"/>
        </w:rPr>
      </w:pPr>
    </w:p>
    <w:p w:rsidR="0097639F" w:rsidRPr="0083017F" w:rsidRDefault="0097639F" w:rsidP="00B947F2">
      <w:pPr>
        <w:pStyle w:val="NoSpacing"/>
        <w:jc w:val="both"/>
        <w:rPr>
          <w:color w:val="000000"/>
          <w:sz w:val="22"/>
          <w:szCs w:val="22"/>
          <w:u w:val="single"/>
          <w:lang w:val="hr-HR"/>
        </w:rPr>
      </w:pPr>
      <w:r w:rsidRPr="0083017F">
        <w:rPr>
          <w:color w:val="000000"/>
          <w:sz w:val="22"/>
          <w:szCs w:val="22"/>
          <w:u w:val="single"/>
          <w:lang w:val="hr-HR"/>
        </w:rPr>
        <w:t>Granične vrijednosti</w:t>
      </w:r>
    </w:p>
    <w:p w:rsidR="000B49E9" w:rsidRPr="0083017F" w:rsidRDefault="000B49E9" w:rsidP="00B947F2">
      <w:pPr>
        <w:pStyle w:val="NoSpacing"/>
        <w:jc w:val="both"/>
        <w:rPr>
          <w:color w:val="000000"/>
          <w:sz w:val="22"/>
          <w:szCs w:val="22"/>
          <w:lang w:val="hr-HR"/>
        </w:rPr>
      </w:pPr>
    </w:p>
    <w:p w:rsidR="0097639F" w:rsidRPr="0083017F" w:rsidRDefault="0097639F" w:rsidP="00B947F2">
      <w:pPr>
        <w:pStyle w:val="NoSpacing"/>
        <w:jc w:val="both"/>
        <w:rPr>
          <w:i/>
          <w:iCs/>
          <w:sz w:val="22"/>
          <w:szCs w:val="22"/>
          <w:lang w:val="hr-HR"/>
        </w:rPr>
      </w:pPr>
      <w:r w:rsidRPr="0083017F">
        <w:rPr>
          <w:color w:val="000000"/>
          <w:sz w:val="22"/>
          <w:szCs w:val="22"/>
          <w:lang w:val="hr-HR"/>
        </w:rPr>
        <w:t xml:space="preserve">Granične vrijednosti kliničkog MIK-a i disk difuzijske metode za moksifloksacin prema preporukama EUCAST </w:t>
      </w:r>
      <w:r w:rsidRPr="0083017F">
        <w:rPr>
          <w:spacing w:val="-1"/>
          <w:sz w:val="22"/>
          <w:szCs w:val="22"/>
          <w:lang w:val="hr-HR"/>
        </w:rPr>
        <w:t>(engl.</w:t>
      </w:r>
      <w:r w:rsidRPr="0083017F">
        <w:rPr>
          <w:i/>
          <w:spacing w:val="-1"/>
          <w:sz w:val="22"/>
          <w:szCs w:val="22"/>
          <w:lang w:val="hr-HR"/>
        </w:rPr>
        <w:t xml:space="preserve"> </w:t>
      </w:r>
      <w:r w:rsidRPr="0083017F">
        <w:rPr>
          <w:i/>
          <w:iCs/>
          <w:sz w:val="22"/>
          <w:szCs w:val="22"/>
          <w:lang w:val="hr-HR"/>
        </w:rPr>
        <w:t>European Committee for Antimicrobial Sensitivity Testing</w:t>
      </w:r>
      <w:r w:rsidRPr="0083017F">
        <w:rPr>
          <w:sz w:val="22"/>
          <w:szCs w:val="22"/>
          <w:lang w:val="hr-HR"/>
        </w:rPr>
        <w:t xml:space="preserve">) </w:t>
      </w:r>
      <w:r w:rsidRPr="0083017F">
        <w:rPr>
          <w:color w:val="000000"/>
          <w:sz w:val="22"/>
          <w:szCs w:val="22"/>
          <w:lang w:val="hr-HR"/>
        </w:rPr>
        <w:t>(01.01.2011):</w:t>
      </w:r>
    </w:p>
    <w:p w:rsidR="0097639F" w:rsidRPr="0083017F" w:rsidRDefault="0097639F" w:rsidP="00B947F2">
      <w:pPr>
        <w:pStyle w:val="NoSpacing"/>
        <w:jc w:val="both"/>
        <w:rPr>
          <w:color w:val="000000"/>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496"/>
        <w:gridCol w:w="2496"/>
      </w:tblGrid>
      <w:tr w:rsidR="0097639F" w:rsidRPr="0083017F" w:rsidTr="005B249E">
        <w:trPr>
          <w:trHeight w:val="496"/>
        </w:trPr>
        <w:tc>
          <w:tcPr>
            <w:tcW w:w="4219"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b/>
                <w:iCs/>
                <w:sz w:val="22"/>
                <w:szCs w:val="22"/>
                <w:lang w:val="hr-HR"/>
              </w:rPr>
            </w:pPr>
            <w:r w:rsidRPr="0083017F">
              <w:rPr>
                <w:b/>
                <w:iCs/>
                <w:sz w:val="22"/>
                <w:szCs w:val="22"/>
                <w:lang w:val="hr-HR"/>
              </w:rPr>
              <w:t>Organizam</w:t>
            </w:r>
          </w:p>
        </w:tc>
        <w:tc>
          <w:tcPr>
            <w:tcW w:w="2496"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b/>
                <w:iCs/>
                <w:sz w:val="22"/>
                <w:szCs w:val="22"/>
                <w:lang w:val="hr-HR"/>
              </w:rPr>
            </w:pPr>
            <w:r w:rsidRPr="0083017F">
              <w:rPr>
                <w:b/>
                <w:iCs/>
                <w:sz w:val="22"/>
                <w:szCs w:val="22"/>
                <w:lang w:val="hr-HR"/>
              </w:rPr>
              <w:t>Osjetljiv</w:t>
            </w:r>
          </w:p>
        </w:tc>
        <w:tc>
          <w:tcPr>
            <w:tcW w:w="2496"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b/>
                <w:iCs/>
                <w:sz w:val="22"/>
                <w:szCs w:val="22"/>
                <w:lang w:val="hr-HR"/>
              </w:rPr>
            </w:pPr>
            <w:r w:rsidRPr="0083017F">
              <w:rPr>
                <w:b/>
                <w:iCs/>
                <w:sz w:val="22"/>
                <w:szCs w:val="22"/>
                <w:lang w:val="hr-HR"/>
              </w:rPr>
              <w:t>Rezistentan</w:t>
            </w:r>
          </w:p>
        </w:tc>
      </w:tr>
      <w:tr w:rsidR="0097639F" w:rsidRPr="0083017F" w:rsidTr="005B249E">
        <w:tc>
          <w:tcPr>
            <w:tcW w:w="4219"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
                <w:iCs/>
                <w:sz w:val="22"/>
                <w:szCs w:val="22"/>
                <w:lang w:val="hr-HR"/>
              </w:rPr>
              <w:t>Staphylococcus spp</w:t>
            </w:r>
            <w:r w:rsidRPr="0083017F">
              <w:rPr>
                <w:iCs/>
                <w:sz w:val="22"/>
                <w:szCs w:val="22"/>
                <w:lang w:val="hr-HR"/>
              </w:rPr>
              <w:t>.</w:t>
            </w:r>
          </w:p>
        </w:tc>
        <w:tc>
          <w:tcPr>
            <w:tcW w:w="2496" w:type="dxa"/>
            <w:tcBorders>
              <w:top w:val="single" w:sz="4" w:space="0" w:color="auto"/>
              <w:left w:val="single" w:sz="4" w:space="0" w:color="auto"/>
              <w:bottom w:val="single" w:sz="4" w:space="0" w:color="auto"/>
              <w:right w:val="single" w:sz="4" w:space="0" w:color="auto"/>
            </w:tcBorders>
          </w:tcPr>
          <w:p w:rsidR="0097639F" w:rsidRPr="0083017F" w:rsidRDefault="006C0EE1" w:rsidP="00B947F2">
            <w:pPr>
              <w:pStyle w:val="NoSpacing"/>
              <w:jc w:val="both"/>
              <w:rPr>
                <w:iCs/>
                <w:sz w:val="22"/>
                <w:szCs w:val="22"/>
                <w:lang w:val="hr-HR"/>
              </w:rPr>
            </w:pPr>
            <w:r w:rsidRPr="0083017F">
              <w:rPr>
                <w:iCs/>
                <w:sz w:val="22"/>
                <w:szCs w:val="22"/>
                <w:lang w:val="hr-HR"/>
              </w:rPr>
              <w:t>≤ 0,5</w:t>
            </w:r>
            <w:r w:rsidR="0097639F" w:rsidRPr="0083017F">
              <w:rPr>
                <w:iCs/>
                <w:sz w:val="22"/>
                <w:szCs w:val="22"/>
                <w:lang w:val="hr-HR"/>
              </w:rPr>
              <w:t>mg/l</w:t>
            </w:r>
          </w:p>
          <w:p w:rsidR="0097639F" w:rsidRPr="0083017F" w:rsidRDefault="0097639F" w:rsidP="00B947F2">
            <w:pPr>
              <w:pStyle w:val="NoSpacing"/>
              <w:jc w:val="both"/>
              <w:rPr>
                <w:iCs/>
                <w:sz w:val="22"/>
                <w:szCs w:val="22"/>
                <w:lang w:val="hr-HR"/>
              </w:rPr>
            </w:pPr>
          </w:p>
          <w:p w:rsidR="0097639F" w:rsidRPr="0083017F" w:rsidRDefault="006C0EE1" w:rsidP="00B947F2">
            <w:pPr>
              <w:pStyle w:val="NoSpacing"/>
              <w:jc w:val="both"/>
              <w:rPr>
                <w:iCs/>
                <w:sz w:val="22"/>
                <w:szCs w:val="22"/>
                <w:lang w:val="hr-HR"/>
              </w:rPr>
            </w:pPr>
            <w:r w:rsidRPr="0083017F">
              <w:rPr>
                <w:iCs/>
                <w:sz w:val="22"/>
                <w:szCs w:val="22"/>
                <w:lang w:val="hr-HR"/>
              </w:rPr>
              <w:t>≥ 24</w:t>
            </w:r>
            <w:r w:rsidR="0097639F" w:rsidRPr="0083017F">
              <w:rPr>
                <w:iCs/>
                <w:sz w:val="22"/>
                <w:szCs w:val="22"/>
                <w:lang w:val="hr-HR"/>
              </w:rPr>
              <w:t>mm</w:t>
            </w:r>
          </w:p>
        </w:tc>
        <w:tc>
          <w:tcPr>
            <w:tcW w:w="2496" w:type="dxa"/>
            <w:tcBorders>
              <w:top w:val="single" w:sz="4" w:space="0" w:color="auto"/>
              <w:left w:val="single" w:sz="4" w:space="0" w:color="auto"/>
              <w:bottom w:val="single" w:sz="4" w:space="0" w:color="auto"/>
              <w:right w:val="single" w:sz="4" w:space="0" w:color="auto"/>
            </w:tcBorders>
          </w:tcPr>
          <w:p w:rsidR="0097639F" w:rsidRPr="0083017F" w:rsidRDefault="006C0EE1" w:rsidP="00B947F2">
            <w:pPr>
              <w:pStyle w:val="NoSpacing"/>
              <w:jc w:val="both"/>
              <w:rPr>
                <w:iCs/>
                <w:sz w:val="22"/>
                <w:szCs w:val="22"/>
                <w:lang w:val="hr-HR"/>
              </w:rPr>
            </w:pPr>
            <w:r w:rsidRPr="0083017F">
              <w:rPr>
                <w:iCs/>
                <w:sz w:val="22"/>
                <w:szCs w:val="22"/>
                <w:lang w:val="hr-HR"/>
              </w:rPr>
              <w:t>&gt; 1</w:t>
            </w:r>
            <w:r w:rsidR="0097639F" w:rsidRPr="0083017F">
              <w:rPr>
                <w:iCs/>
                <w:sz w:val="22"/>
                <w:szCs w:val="22"/>
                <w:lang w:val="hr-HR"/>
              </w:rPr>
              <w:t>mg/l</w:t>
            </w:r>
          </w:p>
          <w:p w:rsidR="0097639F" w:rsidRPr="0083017F" w:rsidRDefault="0097639F" w:rsidP="00B947F2">
            <w:pPr>
              <w:pStyle w:val="NoSpacing"/>
              <w:jc w:val="both"/>
              <w:rPr>
                <w:iCs/>
                <w:sz w:val="22"/>
                <w:szCs w:val="22"/>
                <w:lang w:val="hr-HR"/>
              </w:rPr>
            </w:pPr>
          </w:p>
          <w:p w:rsidR="0097639F" w:rsidRPr="0083017F" w:rsidRDefault="006C0EE1" w:rsidP="00B947F2">
            <w:pPr>
              <w:pStyle w:val="NoSpacing"/>
              <w:jc w:val="both"/>
              <w:rPr>
                <w:iCs/>
                <w:sz w:val="22"/>
                <w:szCs w:val="22"/>
                <w:lang w:val="hr-HR"/>
              </w:rPr>
            </w:pPr>
            <w:r w:rsidRPr="0083017F">
              <w:rPr>
                <w:iCs/>
                <w:sz w:val="22"/>
                <w:szCs w:val="22"/>
                <w:lang w:val="hr-HR"/>
              </w:rPr>
              <w:t>&lt; 21</w:t>
            </w:r>
            <w:r w:rsidR="0097639F" w:rsidRPr="0083017F">
              <w:rPr>
                <w:iCs/>
                <w:sz w:val="22"/>
                <w:szCs w:val="22"/>
                <w:lang w:val="hr-HR"/>
              </w:rPr>
              <w:t>mm</w:t>
            </w:r>
          </w:p>
        </w:tc>
      </w:tr>
      <w:tr w:rsidR="0097639F" w:rsidRPr="0083017F" w:rsidTr="005B249E">
        <w:tc>
          <w:tcPr>
            <w:tcW w:w="4219"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
                <w:iCs/>
                <w:sz w:val="22"/>
                <w:szCs w:val="22"/>
                <w:lang w:val="hr-HR"/>
              </w:rPr>
            </w:pPr>
            <w:r w:rsidRPr="0083017F">
              <w:rPr>
                <w:i/>
                <w:iCs/>
                <w:sz w:val="22"/>
                <w:szCs w:val="22"/>
                <w:lang w:val="hr-HR"/>
              </w:rPr>
              <w:t>S. pneumoniae</w:t>
            </w:r>
          </w:p>
        </w:tc>
        <w:tc>
          <w:tcPr>
            <w:tcW w:w="2496" w:type="dxa"/>
            <w:tcBorders>
              <w:top w:val="single" w:sz="4" w:space="0" w:color="auto"/>
              <w:left w:val="single" w:sz="4" w:space="0" w:color="auto"/>
              <w:bottom w:val="single" w:sz="4" w:space="0" w:color="auto"/>
              <w:right w:val="single" w:sz="4" w:space="0" w:color="auto"/>
            </w:tcBorders>
          </w:tcPr>
          <w:p w:rsidR="0097639F" w:rsidRPr="0083017F" w:rsidRDefault="006C0EE1" w:rsidP="00B947F2">
            <w:pPr>
              <w:pStyle w:val="NoSpacing"/>
              <w:jc w:val="both"/>
              <w:rPr>
                <w:iCs/>
                <w:sz w:val="22"/>
                <w:szCs w:val="22"/>
                <w:lang w:val="hr-HR"/>
              </w:rPr>
            </w:pPr>
            <w:r w:rsidRPr="0083017F">
              <w:rPr>
                <w:iCs/>
                <w:sz w:val="22"/>
                <w:szCs w:val="22"/>
                <w:lang w:val="hr-HR"/>
              </w:rPr>
              <w:t>≤ 0,5</w:t>
            </w:r>
            <w:r w:rsidR="0097639F" w:rsidRPr="0083017F">
              <w:rPr>
                <w:iCs/>
                <w:sz w:val="22"/>
                <w:szCs w:val="22"/>
                <w:lang w:val="hr-HR"/>
              </w:rPr>
              <w:t>mg/l</w:t>
            </w:r>
          </w:p>
          <w:p w:rsidR="0097639F" w:rsidRPr="0083017F" w:rsidRDefault="0097639F" w:rsidP="00B947F2">
            <w:pPr>
              <w:pStyle w:val="NoSpacing"/>
              <w:jc w:val="both"/>
              <w:rPr>
                <w:iCs/>
                <w:sz w:val="22"/>
                <w:szCs w:val="22"/>
                <w:lang w:val="hr-HR"/>
              </w:rPr>
            </w:pPr>
          </w:p>
          <w:p w:rsidR="0097639F" w:rsidRPr="0083017F" w:rsidRDefault="006C0EE1" w:rsidP="00B947F2">
            <w:pPr>
              <w:pStyle w:val="NoSpacing"/>
              <w:jc w:val="both"/>
              <w:rPr>
                <w:iCs/>
                <w:sz w:val="22"/>
                <w:szCs w:val="22"/>
                <w:lang w:val="hr-HR"/>
              </w:rPr>
            </w:pPr>
            <w:r w:rsidRPr="0083017F">
              <w:rPr>
                <w:iCs/>
                <w:sz w:val="22"/>
                <w:szCs w:val="22"/>
                <w:lang w:val="hr-HR"/>
              </w:rPr>
              <w:t>≥ 22</w:t>
            </w:r>
            <w:r w:rsidR="0097639F" w:rsidRPr="0083017F">
              <w:rPr>
                <w:iCs/>
                <w:sz w:val="22"/>
                <w:szCs w:val="22"/>
                <w:lang w:val="hr-HR"/>
              </w:rPr>
              <w:t>mm</w:t>
            </w:r>
          </w:p>
        </w:tc>
        <w:tc>
          <w:tcPr>
            <w:tcW w:w="2496" w:type="dxa"/>
            <w:tcBorders>
              <w:top w:val="single" w:sz="4" w:space="0" w:color="auto"/>
              <w:left w:val="single" w:sz="4" w:space="0" w:color="auto"/>
              <w:bottom w:val="single" w:sz="4" w:space="0" w:color="auto"/>
              <w:right w:val="single" w:sz="4" w:space="0" w:color="auto"/>
            </w:tcBorders>
          </w:tcPr>
          <w:p w:rsidR="0097639F" w:rsidRPr="0083017F" w:rsidRDefault="006C0EE1" w:rsidP="00B947F2">
            <w:pPr>
              <w:pStyle w:val="NoSpacing"/>
              <w:jc w:val="both"/>
              <w:rPr>
                <w:iCs/>
                <w:sz w:val="22"/>
                <w:szCs w:val="22"/>
                <w:lang w:val="hr-HR"/>
              </w:rPr>
            </w:pPr>
            <w:r w:rsidRPr="0083017F">
              <w:rPr>
                <w:iCs/>
                <w:sz w:val="22"/>
                <w:szCs w:val="22"/>
                <w:lang w:val="hr-HR"/>
              </w:rPr>
              <w:t>&gt; 0,5</w:t>
            </w:r>
            <w:r w:rsidR="0097639F" w:rsidRPr="0083017F">
              <w:rPr>
                <w:iCs/>
                <w:sz w:val="22"/>
                <w:szCs w:val="22"/>
                <w:lang w:val="hr-HR"/>
              </w:rPr>
              <w:t>mg/l</w:t>
            </w:r>
          </w:p>
          <w:p w:rsidR="0097639F" w:rsidRPr="0083017F" w:rsidRDefault="0097639F" w:rsidP="00B947F2">
            <w:pPr>
              <w:pStyle w:val="NoSpacing"/>
              <w:jc w:val="both"/>
              <w:rPr>
                <w:iCs/>
                <w:sz w:val="22"/>
                <w:szCs w:val="22"/>
                <w:lang w:val="hr-HR"/>
              </w:rPr>
            </w:pPr>
          </w:p>
          <w:p w:rsidR="0097639F" w:rsidRPr="0083017F" w:rsidRDefault="006C0EE1" w:rsidP="00B947F2">
            <w:pPr>
              <w:pStyle w:val="NoSpacing"/>
              <w:jc w:val="both"/>
              <w:rPr>
                <w:iCs/>
                <w:sz w:val="22"/>
                <w:szCs w:val="22"/>
                <w:lang w:val="hr-HR"/>
              </w:rPr>
            </w:pPr>
            <w:r w:rsidRPr="0083017F">
              <w:rPr>
                <w:iCs/>
                <w:sz w:val="22"/>
                <w:szCs w:val="22"/>
                <w:lang w:val="hr-HR"/>
              </w:rPr>
              <w:t>≤ 22</w:t>
            </w:r>
            <w:r w:rsidR="0097639F" w:rsidRPr="0083017F">
              <w:rPr>
                <w:iCs/>
                <w:sz w:val="22"/>
                <w:szCs w:val="22"/>
                <w:lang w:val="hr-HR"/>
              </w:rPr>
              <w:t>mm</w:t>
            </w:r>
          </w:p>
        </w:tc>
      </w:tr>
      <w:tr w:rsidR="0097639F" w:rsidRPr="0083017F" w:rsidTr="005B249E">
        <w:tc>
          <w:tcPr>
            <w:tcW w:w="4219"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
                <w:iCs/>
                <w:sz w:val="22"/>
                <w:szCs w:val="22"/>
                <w:lang w:val="hr-HR"/>
              </w:rPr>
              <w:lastRenderedPageBreak/>
              <w:t>Streptococcus</w:t>
            </w:r>
            <w:r w:rsidRPr="0083017F">
              <w:rPr>
                <w:iCs/>
                <w:sz w:val="22"/>
                <w:szCs w:val="22"/>
                <w:lang w:val="hr-HR"/>
              </w:rPr>
              <w:t xml:space="preserve"> grupe A, B, C, G</w:t>
            </w:r>
          </w:p>
        </w:tc>
        <w:tc>
          <w:tcPr>
            <w:tcW w:w="2496" w:type="dxa"/>
            <w:tcBorders>
              <w:top w:val="single" w:sz="4" w:space="0" w:color="auto"/>
              <w:left w:val="single" w:sz="4" w:space="0" w:color="auto"/>
              <w:bottom w:val="single" w:sz="4" w:space="0" w:color="auto"/>
              <w:right w:val="single" w:sz="4" w:space="0" w:color="auto"/>
            </w:tcBorders>
          </w:tcPr>
          <w:p w:rsidR="0097639F" w:rsidRPr="0083017F" w:rsidRDefault="006C0EE1" w:rsidP="00B947F2">
            <w:pPr>
              <w:pStyle w:val="NoSpacing"/>
              <w:jc w:val="both"/>
              <w:rPr>
                <w:iCs/>
                <w:sz w:val="22"/>
                <w:szCs w:val="22"/>
                <w:lang w:val="hr-HR"/>
              </w:rPr>
            </w:pPr>
            <w:r w:rsidRPr="0083017F">
              <w:rPr>
                <w:iCs/>
                <w:sz w:val="22"/>
                <w:szCs w:val="22"/>
                <w:lang w:val="hr-HR"/>
              </w:rPr>
              <w:t>≤ 0,5</w:t>
            </w:r>
            <w:r w:rsidR="0097639F" w:rsidRPr="0083017F">
              <w:rPr>
                <w:iCs/>
                <w:sz w:val="22"/>
                <w:szCs w:val="22"/>
                <w:lang w:val="hr-HR"/>
              </w:rPr>
              <w:t>mg/l</w:t>
            </w:r>
          </w:p>
          <w:p w:rsidR="0097639F" w:rsidRPr="0083017F" w:rsidRDefault="0097639F" w:rsidP="00B947F2">
            <w:pPr>
              <w:pStyle w:val="NoSpacing"/>
              <w:jc w:val="both"/>
              <w:rPr>
                <w:iCs/>
                <w:sz w:val="22"/>
                <w:szCs w:val="22"/>
                <w:lang w:val="hr-HR"/>
              </w:rPr>
            </w:pPr>
          </w:p>
          <w:p w:rsidR="0097639F" w:rsidRPr="0083017F" w:rsidRDefault="006C0EE1" w:rsidP="00B947F2">
            <w:pPr>
              <w:pStyle w:val="NoSpacing"/>
              <w:jc w:val="both"/>
              <w:rPr>
                <w:iCs/>
                <w:sz w:val="22"/>
                <w:szCs w:val="22"/>
                <w:lang w:val="hr-HR"/>
              </w:rPr>
            </w:pPr>
            <w:r w:rsidRPr="0083017F">
              <w:rPr>
                <w:iCs/>
                <w:sz w:val="22"/>
                <w:szCs w:val="22"/>
                <w:lang w:val="hr-HR"/>
              </w:rPr>
              <w:t>≥ 18</w:t>
            </w:r>
            <w:r w:rsidR="0097639F" w:rsidRPr="0083017F">
              <w:rPr>
                <w:iCs/>
                <w:sz w:val="22"/>
                <w:szCs w:val="22"/>
                <w:lang w:val="hr-HR"/>
              </w:rPr>
              <w:t>mm</w:t>
            </w:r>
          </w:p>
        </w:tc>
        <w:tc>
          <w:tcPr>
            <w:tcW w:w="2496" w:type="dxa"/>
            <w:tcBorders>
              <w:top w:val="single" w:sz="4" w:space="0" w:color="auto"/>
              <w:left w:val="single" w:sz="4" w:space="0" w:color="auto"/>
              <w:bottom w:val="single" w:sz="4" w:space="0" w:color="auto"/>
              <w:right w:val="single" w:sz="4" w:space="0" w:color="auto"/>
            </w:tcBorders>
          </w:tcPr>
          <w:p w:rsidR="0097639F" w:rsidRPr="0083017F" w:rsidRDefault="006C0EE1" w:rsidP="00B947F2">
            <w:pPr>
              <w:pStyle w:val="NoSpacing"/>
              <w:jc w:val="both"/>
              <w:rPr>
                <w:iCs/>
                <w:sz w:val="22"/>
                <w:szCs w:val="22"/>
                <w:lang w:val="hr-HR"/>
              </w:rPr>
            </w:pPr>
            <w:r w:rsidRPr="0083017F">
              <w:rPr>
                <w:iCs/>
                <w:sz w:val="22"/>
                <w:szCs w:val="22"/>
                <w:lang w:val="hr-HR"/>
              </w:rPr>
              <w:t>&gt; 1</w:t>
            </w:r>
            <w:r w:rsidR="0097639F" w:rsidRPr="0083017F">
              <w:rPr>
                <w:iCs/>
                <w:sz w:val="22"/>
                <w:szCs w:val="22"/>
                <w:lang w:val="hr-HR"/>
              </w:rPr>
              <w:t>mg/l</w:t>
            </w:r>
          </w:p>
          <w:p w:rsidR="0097639F" w:rsidRPr="0083017F" w:rsidRDefault="0097639F" w:rsidP="00B947F2">
            <w:pPr>
              <w:pStyle w:val="NoSpacing"/>
              <w:jc w:val="both"/>
              <w:rPr>
                <w:iCs/>
                <w:sz w:val="22"/>
                <w:szCs w:val="22"/>
                <w:lang w:val="hr-HR"/>
              </w:rPr>
            </w:pPr>
          </w:p>
          <w:p w:rsidR="0097639F" w:rsidRPr="0083017F" w:rsidRDefault="006C0EE1" w:rsidP="00B947F2">
            <w:pPr>
              <w:pStyle w:val="NoSpacing"/>
              <w:jc w:val="both"/>
              <w:rPr>
                <w:iCs/>
                <w:sz w:val="22"/>
                <w:szCs w:val="22"/>
                <w:lang w:val="hr-HR"/>
              </w:rPr>
            </w:pPr>
            <w:r w:rsidRPr="0083017F">
              <w:rPr>
                <w:iCs/>
                <w:sz w:val="22"/>
                <w:szCs w:val="22"/>
                <w:lang w:val="hr-HR"/>
              </w:rPr>
              <w:t>&lt; 15</w:t>
            </w:r>
            <w:r w:rsidR="0097639F" w:rsidRPr="0083017F">
              <w:rPr>
                <w:iCs/>
                <w:sz w:val="22"/>
                <w:szCs w:val="22"/>
                <w:lang w:val="hr-HR"/>
              </w:rPr>
              <w:t>mm</w:t>
            </w:r>
          </w:p>
        </w:tc>
      </w:tr>
      <w:tr w:rsidR="0097639F" w:rsidRPr="0083017F" w:rsidTr="005B249E">
        <w:tc>
          <w:tcPr>
            <w:tcW w:w="4219"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
                <w:iCs/>
                <w:sz w:val="22"/>
                <w:szCs w:val="22"/>
                <w:lang w:val="hr-HR"/>
              </w:rPr>
            </w:pPr>
            <w:r w:rsidRPr="0083017F">
              <w:rPr>
                <w:i/>
                <w:iCs/>
                <w:sz w:val="22"/>
                <w:szCs w:val="22"/>
                <w:lang w:val="hr-HR"/>
              </w:rPr>
              <w:t>H. influenzae</w:t>
            </w:r>
          </w:p>
        </w:tc>
        <w:tc>
          <w:tcPr>
            <w:tcW w:w="2496" w:type="dxa"/>
            <w:tcBorders>
              <w:top w:val="single" w:sz="4" w:space="0" w:color="auto"/>
              <w:left w:val="single" w:sz="4" w:space="0" w:color="auto"/>
              <w:bottom w:val="single" w:sz="4" w:space="0" w:color="auto"/>
              <w:right w:val="single" w:sz="4" w:space="0" w:color="auto"/>
            </w:tcBorders>
          </w:tcPr>
          <w:p w:rsidR="0097639F" w:rsidRPr="0083017F" w:rsidRDefault="006C0EE1" w:rsidP="00B947F2">
            <w:pPr>
              <w:pStyle w:val="NoSpacing"/>
              <w:jc w:val="both"/>
              <w:rPr>
                <w:iCs/>
                <w:sz w:val="22"/>
                <w:szCs w:val="22"/>
                <w:lang w:val="hr-HR"/>
              </w:rPr>
            </w:pPr>
            <w:r w:rsidRPr="0083017F">
              <w:rPr>
                <w:iCs/>
                <w:sz w:val="22"/>
                <w:szCs w:val="22"/>
                <w:lang w:val="hr-HR"/>
              </w:rPr>
              <w:t>≤ 0,5</w:t>
            </w:r>
            <w:r w:rsidR="0097639F" w:rsidRPr="0083017F">
              <w:rPr>
                <w:iCs/>
                <w:sz w:val="22"/>
                <w:szCs w:val="22"/>
                <w:lang w:val="hr-HR"/>
              </w:rPr>
              <w:t>mg/l</w:t>
            </w:r>
          </w:p>
          <w:p w:rsidR="0097639F" w:rsidRPr="0083017F" w:rsidRDefault="0097639F" w:rsidP="00B947F2">
            <w:pPr>
              <w:pStyle w:val="NoSpacing"/>
              <w:jc w:val="both"/>
              <w:rPr>
                <w:iCs/>
                <w:sz w:val="22"/>
                <w:szCs w:val="22"/>
                <w:lang w:val="hr-HR"/>
              </w:rPr>
            </w:pPr>
          </w:p>
          <w:p w:rsidR="0097639F" w:rsidRPr="0083017F" w:rsidRDefault="006C0EE1" w:rsidP="00B947F2">
            <w:pPr>
              <w:pStyle w:val="NoSpacing"/>
              <w:jc w:val="both"/>
              <w:rPr>
                <w:iCs/>
                <w:sz w:val="22"/>
                <w:szCs w:val="22"/>
                <w:lang w:val="hr-HR"/>
              </w:rPr>
            </w:pPr>
            <w:r w:rsidRPr="0083017F">
              <w:rPr>
                <w:iCs/>
                <w:sz w:val="22"/>
                <w:szCs w:val="22"/>
                <w:lang w:val="hr-HR"/>
              </w:rPr>
              <w:t>≥ 25</w:t>
            </w:r>
            <w:r w:rsidR="0097639F" w:rsidRPr="0083017F">
              <w:rPr>
                <w:iCs/>
                <w:sz w:val="22"/>
                <w:szCs w:val="22"/>
                <w:lang w:val="hr-HR"/>
              </w:rPr>
              <w:t>mm</w:t>
            </w:r>
          </w:p>
        </w:tc>
        <w:tc>
          <w:tcPr>
            <w:tcW w:w="2496" w:type="dxa"/>
            <w:tcBorders>
              <w:top w:val="single" w:sz="4" w:space="0" w:color="auto"/>
              <w:left w:val="single" w:sz="4" w:space="0" w:color="auto"/>
              <w:bottom w:val="single" w:sz="4" w:space="0" w:color="auto"/>
              <w:right w:val="single" w:sz="4" w:space="0" w:color="auto"/>
            </w:tcBorders>
          </w:tcPr>
          <w:p w:rsidR="0097639F" w:rsidRPr="0083017F" w:rsidRDefault="0097639F" w:rsidP="00B947F2">
            <w:pPr>
              <w:pStyle w:val="NoSpacing"/>
              <w:jc w:val="both"/>
              <w:rPr>
                <w:iCs/>
                <w:sz w:val="22"/>
                <w:szCs w:val="22"/>
                <w:lang w:val="hr-HR"/>
              </w:rPr>
            </w:pPr>
            <w:r w:rsidRPr="0083017F">
              <w:rPr>
                <w:sz w:val="22"/>
                <w:szCs w:val="22"/>
              </w:rPr>
              <w:t>≤</w:t>
            </w:r>
            <w:r w:rsidRPr="0083017F">
              <w:rPr>
                <w:iCs/>
                <w:sz w:val="22"/>
                <w:szCs w:val="22"/>
                <w:lang w:val="hr-HR"/>
              </w:rPr>
              <w:t xml:space="preserve"> 0,5mg/l</w:t>
            </w:r>
          </w:p>
          <w:p w:rsidR="0097639F" w:rsidRPr="0083017F" w:rsidRDefault="0097639F" w:rsidP="00B947F2">
            <w:pPr>
              <w:pStyle w:val="NoSpacing"/>
              <w:jc w:val="both"/>
              <w:rPr>
                <w:iCs/>
                <w:sz w:val="22"/>
                <w:szCs w:val="22"/>
                <w:lang w:val="hr-HR"/>
              </w:rPr>
            </w:pPr>
          </w:p>
          <w:p w:rsidR="0097639F" w:rsidRPr="0083017F" w:rsidRDefault="0097639F" w:rsidP="00B947F2">
            <w:pPr>
              <w:pStyle w:val="NoSpacing"/>
              <w:jc w:val="both"/>
              <w:rPr>
                <w:iCs/>
                <w:sz w:val="22"/>
                <w:szCs w:val="22"/>
                <w:lang w:val="hr-HR"/>
              </w:rPr>
            </w:pPr>
            <w:r w:rsidRPr="0083017F">
              <w:rPr>
                <w:sz w:val="22"/>
                <w:szCs w:val="22"/>
              </w:rPr>
              <w:t>≥</w:t>
            </w:r>
            <w:r w:rsidR="006C0EE1" w:rsidRPr="0083017F">
              <w:rPr>
                <w:iCs/>
                <w:sz w:val="22"/>
                <w:szCs w:val="22"/>
                <w:lang w:val="hr-HR"/>
              </w:rPr>
              <w:t xml:space="preserve"> 25</w:t>
            </w:r>
            <w:r w:rsidRPr="0083017F">
              <w:rPr>
                <w:iCs/>
                <w:sz w:val="22"/>
                <w:szCs w:val="22"/>
                <w:lang w:val="hr-HR"/>
              </w:rPr>
              <w:t>mm</w:t>
            </w:r>
          </w:p>
        </w:tc>
      </w:tr>
      <w:tr w:rsidR="0097639F" w:rsidRPr="0083017F" w:rsidTr="005B249E">
        <w:tc>
          <w:tcPr>
            <w:tcW w:w="4219"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
                <w:iCs/>
                <w:sz w:val="22"/>
                <w:szCs w:val="22"/>
                <w:lang w:val="hr-HR"/>
              </w:rPr>
            </w:pPr>
            <w:r w:rsidRPr="0083017F">
              <w:rPr>
                <w:i/>
                <w:iCs/>
                <w:sz w:val="22"/>
                <w:szCs w:val="22"/>
                <w:lang w:val="hr-HR"/>
              </w:rPr>
              <w:t>M. catarrhalis</w:t>
            </w:r>
          </w:p>
        </w:tc>
        <w:tc>
          <w:tcPr>
            <w:tcW w:w="2496" w:type="dxa"/>
            <w:tcBorders>
              <w:top w:val="single" w:sz="4" w:space="0" w:color="auto"/>
              <w:left w:val="single" w:sz="4" w:space="0" w:color="auto"/>
              <w:bottom w:val="single" w:sz="4" w:space="0" w:color="auto"/>
              <w:right w:val="single" w:sz="4" w:space="0" w:color="auto"/>
            </w:tcBorders>
          </w:tcPr>
          <w:p w:rsidR="0097639F" w:rsidRPr="0083017F" w:rsidRDefault="006C0EE1" w:rsidP="00B947F2">
            <w:pPr>
              <w:pStyle w:val="NoSpacing"/>
              <w:jc w:val="both"/>
              <w:rPr>
                <w:iCs/>
                <w:sz w:val="22"/>
                <w:szCs w:val="22"/>
                <w:lang w:val="hr-HR"/>
              </w:rPr>
            </w:pPr>
            <w:r w:rsidRPr="0083017F">
              <w:rPr>
                <w:iCs/>
                <w:sz w:val="22"/>
                <w:szCs w:val="22"/>
                <w:lang w:val="hr-HR"/>
              </w:rPr>
              <w:t>≤ 0,5</w:t>
            </w:r>
            <w:r w:rsidR="0097639F" w:rsidRPr="0083017F">
              <w:rPr>
                <w:iCs/>
                <w:sz w:val="22"/>
                <w:szCs w:val="22"/>
                <w:lang w:val="hr-HR"/>
              </w:rPr>
              <w:t>mg/l</w:t>
            </w:r>
          </w:p>
          <w:p w:rsidR="0097639F" w:rsidRPr="0083017F" w:rsidRDefault="0097639F" w:rsidP="00B947F2">
            <w:pPr>
              <w:pStyle w:val="NoSpacing"/>
              <w:jc w:val="both"/>
              <w:rPr>
                <w:iCs/>
                <w:sz w:val="22"/>
                <w:szCs w:val="22"/>
                <w:lang w:val="hr-HR"/>
              </w:rPr>
            </w:pPr>
          </w:p>
          <w:p w:rsidR="0097639F" w:rsidRPr="0083017F" w:rsidRDefault="006C0EE1" w:rsidP="00B947F2">
            <w:pPr>
              <w:pStyle w:val="NoSpacing"/>
              <w:jc w:val="both"/>
              <w:rPr>
                <w:iCs/>
                <w:sz w:val="22"/>
                <w:szCs w:val="22"/>
                <w:lang w:val="hr-HR"/>
              </w:rPr>
            </w:pPr>
            <w:r w:rsidRPr="0083017F">
              <w:rPr>
                <w:iCs/>
                <w:sz w:val="22"/>
                <w:szCs w:val="22"/>
                <w:lang w:val="hr-HR"/>
              </w:rPr>
              <w:t>≥ 23</w:t>
            </w:r>
            <w:r w:rsidR="0097639F" w:rsidRPr="0083017F">
              <w:rPr>
                <w:iCs/>
                <w:sz w:val="22"/>
                <w:szCs w:val="22"/>
                <w:lang w:val="hr-HR"/>
              </w:rPr>
              <w:t>mm</w:t>
            </w:r>
          </w:p>
        </w:tc>
        <w:tc>
          <w:tcPr>
            <w:tcW w:w="2496" w:type="dxa"/>
            <w:tcBorders>
              <w:top w:val="single" w:sz="4" w:space="0" w:color="auto"/>
              <w:left w:val="single" w:sz="4" w:space="0" w:color="auto"/>
              <w:bottom w:val="single" w:sz="4" w:space="0" w:color="auto"/>
              <w:right w:val="single" w:sz="4" w:space="0" w:color="auto"/>
            </w:tcBorders>
          </w:tcPr>
          <w:p w:rsidR="0097639F" w:rsidRPr="0083017F" w:rsidRDefault="006C0EE1" w:rsidP="00B947F2">
            <w:pPr>
              <w:pStyle w:val="NoSpacing"/>
              <w:jc w:val="both"/>
              <w:rPr>
                <w:iCs/>
                <w:sz w:val="22"/>
                <w:szCs w:val="22"/>
                <w:lang w:val="hr-HR"/>
              </w:rPr>
            </w:pPr>
            <w:r w:rsidRPr="0083017F">
              <w:rPr>
                <w:iCs/>
                <w:sz w:val="22"/>
                <w:szCs w:val="22"/>
                <w:lang w:val="hr-HR"/>
              </w:rPr>
              <w:t>&gt; 0,5</w:t>
            </w:r>
            <w:r w:rsidR="0097639F" w:rsidRPr="0083017F">
              <w:rPr>
                <w:iCs/>
                <w:sz w:val="22"/>
                <w:szCs w:val="22"/>
                <w:lang w:val="hr-HR"/>
              </w:rPr>
              <w:t>mg/l</w:t>
            </w:r>
          </w:p>
          <w:p w:rsidR="0097639F" w:rsidRPr="0083017F" w:rsidRDefault="0097639F" w:rsidP="00B947F2">
            <w:pPr>
              <w:pStyle w:val="NoSpacing"/>
              <w:jc w:val="both"/>
              <w:rPr>
                <w:iCs/>
                <w:sz w:val="22"/>
                <w:szCs w:val="22"/>
                <w:lang w:val="hr-HR"/>
              </w:rPr>
            </w:pPr>
          </w:p>
          <w:p w:rsidR="0097639F" w:rsidRPr="0083017F" w:rsidRDefault="006C0EE1" w:rsidP="00B947F2">
            <w:pPr>
              <w:pStyle w:val="NoSpacing"/>
              <w:jc w:val="both"/>
              <w:rPr>
                <w:iCs/>
                <w:sz w:val="22"/>
                <w:szCs w:val="22"/>
                <w:lang w:val="hr-HR"/>
              </w:rPr>
            </w:pPr>
            <w:r w:rsidRPr="0083017F">
              <w:rPr>
                <w:iCs/>
                <w:sz w:val="22"/>
                <w:szCs w:val="22"/>
                <w:lang w:val="hr-HR"/>
              </w:rPr>
              <w:t>&lt; 23</w:t>
            </w:r>
            <w:r w:rsidR="0097639F" w:rsidRPr="0083017F">
              <w:rPr>
                <w:iCs/>
                <w:sz w:val="22"/>
                <w:szCs w:val="22"/>
                <w:lang w:val="hr-HR"/>
              </w:rPr>
              <w:t>mm</w:t>
            </w:r>
          </w:p>
        </w:tc>
      </w:tr>
      <w:tr w:rsidR="0097639F" w:rsidRPr="0083017F" w:rsidTr="005B249E">
        <w:tc>
          <w:tcPr>
            <w:tcW w:w="4219"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
                <w:iCs/>
                <w:sz w:val="22"/>
                <w:szCs w:val="22"/>
                <w:lang w:val="hr-HR"/>
              </w:rPr>
            </w:pPr>
            <w:r w:rsidRPr="0083017F">
              <w:rPr>
                <w:i/>
                <w:iCs/>
                <w:sz w:val="22"/>
                <w:szCs w:val="22"/>
                <w:lang w:val="hr-HR"/>
              </w:rPr>
              <w:t>Enterobacteriaceae</w:t>
            </w:r>
          </w:p>
        </w:tc>
        <w:tc>
          <w:tcPr>
            <w:tcW w:w="2496" w:type="dxa"/>
            <w:tcBorders>
              <w:top w:val="single" w:sz="4" w:space="0" w:color="auto"/>
              <w:left w:val="single" w:sz="4" w:space="0" w:color="auto"/>
              <w:bottom w:val="single" w:sz="4" w:space="0" w:color="auto"/>
              <w:right w:val="single" w:sz="4" w:space="0" w:color="auto"/>
            </w:tcBorders>
          </w:tcPr>
          <w:p w:rsidR="0097639F" w:rsidRPr="0083017F" w:rsidRDefault="006C0EE1" w:rsidP="00B947F2">
            <w:pPr>
              <w:pStyle w:val="NoSpacing"/>
              <w:jc w:val="both"/>
              <w:rPr>
                <w:iCs/>
                <w:sz w:val="22"/>
                <w:szCs w:val="22"/>
                <w:lang w:val="hr-HR"/>
              </w:rPr>
            </w:pPr>
            <w:r w:rsidRPr="0083017F">
              <w:rPr>
                <w:iCs/>
                <w:sz w:val="22"/>
                <w:szCs w:val="22"/>
                <w:lang w:val="hr-HR"/>
              </w:rPr>
              <w:t>≤ 0,5</w:t>
            </w:r>
            <w:r w:rsidR="0097639F" w:rsidRPr="0083017F">
              <w:rPr>
                <w:iCs/>
                <w:sz w:val="22"/>
                <w:szCs w:val="22"/>
                <w:lang w:val="hr-HR"/>
              </w:rPr>
              <w:t>mg/l</w:t>
            </w:r>
          </w:p>
          <w:p w:rsidR="0097639F" w:rsidRPr="0083017F" w:rsidRDefault="0097639F" w:rsidP="00B947F2">
            <w:pPr>
              <w:pStyle w:val="NoSpacing"/>
              <w:jc w:val="both"/>
              <w:rPr>
                <w:iCs/>
                <w:sz w:val="22"/>
                <w:szCs w:val="22"/>
                <w:lang w:val="hr-HR"/>
              </w:rPr>
            </w:pPr>
          </w:p>
          <w:p w:rsidR="0097639F" w:rsidRPr="0083017F" w:rsidRDefault="006C0EE1" w:rsidP="00B947F2">
            <w:pPr>
              <w:pStyle w:val="NoSpacing"/>
              <w:jc w:val="both"/>
              <w:rPr>
                <w:iCs/>
                <w:sz w:val="22"/>
                <w:szCs w:val="22"/>
                <w:lang w:val="hr-HR"/>
              </w:rPr>
            </w:pPr>
            <w:r w:rsidRPr="0083017F">
              <w:rPr>
                <w:iCs/>
                <w:sz w:val="22"/>
                <w:szCs w:val="22"/>
                <w:lang w:val="hr-HR"/>
              </w:rPr>
              <w:t>≥ 20</w:t>
            </w:r>
            <w:r w:rsidR="0097639F" w:rsidRPr="0083017F">
              <w:rPr>
                <w:iCs/>
                <w:sz w:val="22"/>
                <w:szCs w:val="22"/>
                <w:lang w:val="hr-HR"/>
              </w:rPr>
              <w:t>mm</w:t>
            </w:r>
          </w:p>
        </w:tc>
        <w:tc>
          <w:tcPr>
            <w:tcW w:w="2496" w:type="dxa"/>
            <w:tcBorders>
              <w:top w:val="single" w:sz="4" w:space="0" w:color="auto"/>
              <w:left w:val="single" w:sz="4" w:space="0" w:color="auto"/>
              <w:bottom w:val="single" w:sz="4" w:space="0" w:color="auto"/>
              <w:right w:val="single" w:sz="4" w:space="0" w:color="auto"/>
            </w:tcBorders>
          </w:tcPr>
          <w:p w:rsidR="0097639F" w:rsidRPr="0083017F" w:rsidRDefault="006C0EE1" w:rsidP="00B947F2">
            <w:pPr>
              <w:pStyle w:val="NoSpacing"/>
              <w:jc w:val="both"/>
              <w:rPr>
                <w:iCs/>
                <w:sz w:val="22"/>
                <w:szCs w:val="22"/>
                <w:lang w:val="hr-HR"/>
              </w:rPr>
            </w:pPr>
            <w:r w:rsidRPr="0083017F">
              <w:rPr>
                <w:iCs/>
                <w:sz w:val="22"/>
                <w:szCs w:val="22"/>
                <w:lang w:val="hr-HR"/>
              </w:rPr>
              <w:t>&gt; 1</w:t>
            </w:r>
            <w:r w:rsidR="0097639F" w:rsidRPr="0083017F">
              <w:rPr>
                <w:iCs/>
                <w:sz w:val="22"/>
                <w:szCs w:val="22"/>
                <w:lang w:val="hr-HR"/>
              </w:rPr>
              <w:t>mg/l</w:t>
            </w:r>
          </w:p>
          <w:p w:rsidR="0097639F" w:rsidRPr="0083017F" w:rsidRDefault="0097639F" w:rsidP="00B947F2">
            <w:pPr>
              <w:pStyle w:val="NoSpacing"/>
              <w:jc w:val="both"/>
              <w:rPr>
                <w:iCs/>
                <w:sz w:val="22"/>
                <w:szCs w:val="22"/>
                <w:lang w:val="hr-HR"/>
              </w:rPr>
            </w:pPr>
          </w:p>
          <w:p w:rsidR="0097639F" w:rsidRPr="0083017F" w:rsidRDefault="006C0EE1" w:rsidP="00B947F2">
            <w:pPr>
              <w:pStyle w:val="NoSpacing"/>
              <w:jc w:val="both"/>
              <w:rPr>
                <w:iCs/>
                <w:sz w:val="22"/>
                <w:szCs w:val="22"/>
                <w:lang w:val="hr-HR"/>
              </w:rPr>
            </w:pPr>
            <w:r w:rsidRPr="0083017F">
              <w:rPr>
                <w:iCs/>
                <w:sz w:val="22"/>
                <w:szCs w:val="22"/>
                <w:lang w:val="hr-HR"/>
              </w:rPr>
              <w:t>&lt; 17</w:t>
            </w:r>
            <w:r w:rsidR="0097639F" w:rsidRPr="0083017F">
              <w:rPr>
                <w:iCs/>
                <w:sz w:val="22"/>
                <w:szCs w:val="22"/>
                <w:lang w:val="hr-HR"/>
              </w:rPr>
              <w:t>mm</w:t>
            </w:r>
          </w:p>
        </w:tc>
      </w:tr>
      <w:tr w:rsidR="0097639F" w:rsidRPr="0083017F" w:rsidTr="005B249E">
        <w:tc>
          <w:tcPr>
            <w:tcW w:w="4219"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Granične vrijednosti nezavisno od vrste bakterije*</w:t>
            </w:r>
          </w:p>
        </w:tc>
        <w:tc>
          <w:tcPr>
            <w:tcW w:w="2496" w:type="dxa"/>
            <w:tcBorders>
              <w:top w:val="single" w:sz="4" w:space="0" w:color="auto"/>
              <w:left w:val="single" w:sz="4" w:space="0" w:color="auto"/>
              <w:bottom w:val="single" w:sz="4" w:space="0" w:color="auto"/>
              <w:right w:val="single" w:sz="4" w:space="0" w:color="auto"/>
            </w:tcBorders>
            <w:hideMark/>
          </w:tcPr>
          <w:p w:rsidR="0097639F" w:rsidRPr="0083017F" w:rsidRDefault="006C0EE1" w:rsidP="00B947F2">
            <w:pPr>
              <w:pStyle w:val="NoSpacing"/>
              <w:jc w:val="both"/>
              <w:rPr>
                <w:iCs/>
                <w:sz w:val="22"/>
                <w:szCs w:val="22"/>
                <w:lang w:val="hr-HR"/>
              </w:rPr>
            </w:pPr>
            <w:r w:rsidRPr="0083017F">
              <w:rPr>
                <w:iCs/>
                <w:sz w:val="22"/>
                <w:szCs w:val="22"/>
                <w:lang w:val="hr-HR"/>
              </w:rPr>
              <w:t>≤ 0,5</w:t>
            </w:r>
            <w:r w:rsidR="0097639F" w:rsidRPr="0083017F">
              <w:rPr>
                <w:iCs/>
                <w:sz w:val="22"/>
                <w:szCs w:val="22"/>
                <w:lang w:val="hr-HR"/>
              </w:rPr>
              <w:t>mg/l</w:t>
            </w:r>
          </w:p>
        </w:tc>
        <w:tc>
          <w:tcPr>
            <w:tcW w:w="2496" w:type="dxa"/>
            <w:tcBorders>
              <w:top w:val="single" w:sz="4" w:space="0" w:color="auto"/>
              <w:left w:val="single" w:sz="4" w:space="0" w:color="auto"/>
              <w:bottom w:val="single" w:sz="4" w:space="0" w:color="auto"/>
              <w:right w:val="single" w:sz="4" w:space="0" w:color="auto"/>
            </w:tcBorders>
            <w:hideMark/>
          </w:tcPr>
          <w:p w:rsidR="0097639F" w:rsidRPr="0083017F" w:rsidRDefault="006C0EE1" w:rsidP="00B947F2">
            <w:pPr>
              <w:pStyle w:val="NoSpacing"/>
              <w:jc w:val="both"/>
              <w:rPr>
                <w:iCs/>
                <w:sz w:val="22"/>
                <w:szCs w:val="22"/>
                <w:lang w:val="hr-HR"/>
              </w:rPr>
            </w:pPr>
            <w:r w:rsidRPr="0083017F">
              <w:rPr>
                <w:iCs/>
                <w:sz w:val="22"/>
                <w:szCs w:val="22"/>
                <w:lang w:val="hr-HR"/>
              </w:rPr>
              <w:t>&gt; 1</w:t>
            </w:r>
            <w:r w:rsidR="0097639F" w:rsidRPr="0083017F">
              <w:rPr>
                <w:iCs/>
                <w:sz w:val="22"/>
                <w:szCs w:val="22"/>
                <w:lang w:val="hr-HR"/>
              </w:rPr>
              <w:t>mg/l</w:t>
            </w:r>
          </w:p>
        </w:tc>
      </w:tr>
      <w:tr w:rsidR="0097639F" w:rsidRPr="0083017F" w:rsidTr="005B249E">
        <w:tc>
          <w:tcPr>
            <w:tcW w:w="9211" w:type="dxa"/>
            <w:gridSpan w:val="3"/>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 Granične vrijednosti koje ne zavise od vrste bakterije uglavnom su utvrđene na osnovu farmakokinetičkih/farmakodinamiskih podataka i nijesu zavisne od MIK za specifične vrste. Treba ih koristi samo za one vrste za koje ne postoje definisane granične vrijednosti i ne treba ih koristiti za one vrste za koje predstoji određivanje kriterijuma za interpretaciju.</w:t>
            </w:r>
          </w:p>
        </w:tc>
      </w:tr>
    </w:tbl>
    <w:p w:rsidR="0097639F" w:rsidRPr="0083017F" w:rsidRDefault="0097639F" w:rsidP="00B947F2">
      <w:pPr>
        <w:pStyle w:val="NoSpacing"/>
        <w:jc w:val="both"/>
        <w:rPr>
          <w:iCs/>
          <w:sz w:val="22"/>
          <w:szCs w:val="22"/>
          <w:lang w:val="hr-HR"/>
        </w:rPr>
      </w:pPr>
    </w:p>
    <w:p w:rsidR="0097639F" w:rsidRPr="0083017F" w:rsidRDefault="0097639F" w:rsidP="00B947F2">
      <w:pPr>
        <w:pStyle w:val="NoSpacing"/>
        <w:jc w:val="both"/>
        <w:rPr>
          <w:iCs/>
          <w:sz w:val="22"/>
          <w:szCs w:val="22"/>
          <w:u w:val="single"/>
          <w:lang w:val="hr-HR"/>
        </w:rPr>
      </w:pPr>
      <w:r w:rsidRPr="0083017F">
        <w:rPr>
          <w:iCs/>
          <w:sz w:val="22"/>
          <w:szCs w:val="22"/>
          <w:u w:val="single"/>
          <w:lang w:val="hr-HR"/>
        </w:rPr>
        <w:t>Mikrobiološka osjetljivost</w:t>
      </w:r>
    </w:p>
    <w:p w:rsidR="0097639F" w:rsidRPr="0083017F" w:rsidRDefault="0097639F" w:rsidP="00B947F2">
      <w:pPr>
        <w:pStyle w:val="NoSpacing"/>
        <w:jc w:val="both"/>
        <w:rPr>
          <w:iCs/>
          <w:sz w:val="22"/>
          <w:szCs w:val="22"/>
          <w:lang w:val="hr-HR"/>
        </w:rPr>
      </w:pPr>
      <w:r w:rsidRPr="0083017F">
        <w:rPr>
          <w:iCs/>
          <w:sz w:val="22"/>
          <w:szCs w:val="22"/>
          <w:lang w:val="hr-HR"/>
        </w:rPr>
        <w:t>Prevalenca stečene rezistencije određenih vrsta mikroorganizama može varirati geografski i vremenski, te su zbog toga poželjni lokalni podaci o retistenciji, naročito kada se radi o liječenju teških infekcija. Ukoliko je lokalna prevalenca rezistencije takva da je korist od liječenja nekih infekcija dovedena u pitanje, treba zatražiti savjet stručnjaka.</w:t>
      </w:r>
    </w:p>
    <w:p w:rsidR="0097639F" w:rsidRPr="0083017F" w:rsidRDefault="0097639F" w:rsidP="00B947F2">
      <w:pPr>
        <w:pStyle w:val="NoSpacing"/>
        <w:jc w:val="both"/>
        <w:rPr>
          <w:iCs/>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97639F" w:rsidRPr="0083017F" w:rsidTr="005B249E">
        <w:tc>
          <w:tcPr>
            <w:tcW w:w="9211"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b/>
                <w:iCs/>
                <w:sz w:val="22"/>
                <w:szCs w:val="22"/>
                <w:lang w:val="hr-HR"/>
              </w:rPr>
            </w:pPr>
            <w:r w:rsidRPr="0083017F">
              <w:rPr>
                <w:b/>
                <w:iCs/>
                <w:sz w:val="22"/>
                <w:szCs w:val="22"/>
                <w:lang w:val="hr-HR"/>
              </w:rPr>
              <w:t>Vrste mikroorganizama koje su obično osjetljive</w:t>
            </w:r>
          </w:p>
        </w:tc>
      </w:tr>
      <w:tr w:rsidR="0097639F" w:rsidRPr="0083017F" w:rsidTr="005B249E">
        <w:tc>
          <w:tcPr>
            <w:tcW w:w="9211"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u w:val="single"/>
                <w:lang w:val="hr-HR"/>
              </w:rPr>
            </w:pPr>
            <w:r w:rsidRPr="0083017F">
              <w:rPr>
                <w:iCs/>
                <w:sz w:val="22"/>
                <w:szCs w:val="22"/>
                <w:u w:val="single"/>
                <w:lang w:val="hr-HR"/>
              </w:rPr>
              <w:t>Aerobni Gram-pozitivni mikroorganizmi</w:t>
            </w:r>
          </w:p>
          <w:p w:rsidR="0097639F" w:rsidRPr="0083017F" w:rsidRDefault="0097639F" w:rsidP="00B947F2">
            <w:pPr>
              <w:pStyle w:val="NoSpacing"/>
              <w:jc w:val="both"/>
              <w:rPr>
                <w:i/>
                <w:iCs/>
                <w:sz w:val="22"/>
                <w:szCs w:val="22"/>
                <w:lang w:val="hr-HR"/>
              </w:rPr>
            </w:pPr>
            <w:r w:rsidRPr="0083017F">
              <w:rPr>
                <w:i/>
                <w:iCs/>
                <w:sz w:val="22"/>
                <w:szCs w:val="22"/>
                <w:lang w:val="hr-HR"/>
              </w:rPr>
              <w:t>Gardnerella vaginalis</w:t>
            </w:r>
          </w:p>
          <w:p w:rsidR="0097639F" w:rsidRPr="0083017F" w:rsidRDefault="0097639F" w:rsidP="00B947F2">
            <w:pPr>
              <w:pStyle w:val="NoSpacing"/>
              <w:jc w:val="both"/>
              <w:rPr>
                <w:iCs/>
                <w:sz w:val="22"/>
                <w:szCs w:val="22"/>
                <w:lang w:val="hr-HR"/>
              </w:rPr>
            </w:pPr>
            <w:r w:rsidRPr="0083017F">
              <w:rPr>
                <w:i/>
                <w:iCs/>
                <w:sz w:val="22"/>
                <w:szCs w:val="22"/>
                <w:lang w:val="hr-HR"/>
              </w:rPr>
              <w:t>Staphylococcus aureus</w:t>
            </w:r>
            <w:r w:rsidRPr="0083017F">
              <w:rPr>
                <w:iCs/>
                <w:sz w:val="22"/>
                <w:szCs w:val="22"/>
                <w:lang w:val="hr-HR"/>
              </w:rPr>
              <w:t>* (osjetljiv na meticilin)</w:t>
            </w:r>
          </w:p>
          <w:p w:rsidR="0097639F" w:rsidRPr="0083017F" w:rsidRDefault="0097639F" w:rsidP="00B947F2">
            <w:pPr>
              <w:pStyle w:val="NoSpacing"/>
              <w:jc w:val="both"/>
              <w:rPr>
                <w:iCs/>
                <w:sz w:val="22"/>
                <w:szCs w:val="22"/>
                <w:lang w:val="hr-HR"/>
              </w:rPr>
            </w:pPr>
            <w:r w:rsidRPr="0083017F">
              <w:rPr>
                <w:i/>
                <w:iCs/>
                <w:sz w:val="22"/>
                <w:szCs w:val="22"/>
                <w:lang w:val="hr-HR"/>
              </w:rPr>
              <w:t>Streptococcus agalactiae</w:t>
            </w:r>
            <w:r w:rsidRPr="0083017F">
              <w:rPr>
                <w:iCs/>
                <w:sz w:val="22"/>
                <w:szCs w:val="22"/>
                <w:lang w:val="hr-HR"/>
              </w:rPr>
              <w:t xml:space="preserve"> (grupa B)</w:t>
            </w:r>
          </w:p>
          <w:p w:rsidR="0097639F" w:rsidRPr="0083017F" w:rsidRDefault="0097639F" w:rsidP="00B947F2">
            <w:pPr>
              <w:pStyle w:val="NoSpacing"/>
              <w:jc w:val="both"/>
              <w:rPr>
                <w:iCs/>
                <w:sz w:val="22"/>
                <w:szCs w:val="22"/>
                <w:lang w:val="hr-HR"/>
              </w:rPr>
            </w:pPr>
            <w:r w:rsidRPr="0083017F">
              <w:rPr>
                <w:i/>
                <w:iCs/>
                <w:sz w:val="22"/>
                <w:szCs w:val="22"/>
                <w:lang w:val="hr-HR"/>
              </w:rPr>
              <w:t>Streptococcus milleri group</w:t>
            </w:r>
            <w:r w:rsidRPr="0083017F">
              <w:rPr>
                <w:iCs/>
                <w:sz w:val="22"/>
                <w:szCs w:val="22"/>
                <w:lang w:val="hr-HR"/>
              </w:rPr>
              <w:t>* (</w:t>
            </w:r>
            <w:r w:rsidRPr="0083017F">
              <w:rPr>
                <w:i/>
                <w:iCs/>
                <w:sz w:val="22"/>
                <w:szCs w:val="22"/>
                <w:lang w:val="hr-HR"/>
              </w:rPr>
              <w:t>S. anginosus, S. constellatus and S. intermedius</w:t>
            </w:r>
            <w:r w:rsidRPr="0083017F">
              <w:rPr>
                <w:iCs/>
                <w:sz w:val="22"/>
                <w:szCs w:val="22"/>
                <w:lang w:val="hr-HR"/>
              </w:rPr>
              <w:t>)</w:t>
            </w:r>
          </w:p>
          <w:p w:rsidR="0097639F" w:rsidRPr="0083017F" w:rsidRDefault="0097639F" w:rsidP="00B947F2">
            <w:pPr>
              <w:pStyle w:val="NoSpacing"/>
              <w:jc w:val="both"/>
              <w:rPr>
                <w:iCs/>
                <w:sz w:val="22"/>
                <w:szCs w:val="22"/>
                <w:lang w:val="hr-HR"/>
              </w:rPr>
            </w:pPr>
            <w:r w:rsidRPr="0083017F">
              <w:rPr>
                <w:i/>
                <w:iCs/>
                <w:sz w:val="22"/>
                <w:szCs w:val="22"/>
                <w:lang w:val="hr-HR"/>
              </w:rPr>
              <w:t>Streptococcus pneumoniae</w:t>
            </w:r>
            <w:r w:rsidRPr="0083017F">
              <w:rPr>
                <w:iCs/>
                <w:sz w:val="22"/>
                <w:szCs w:val="22"/>
                <w:lang w:val="hr-HR"/>
              </w:rPr>
              <w:t>*</w:t>
            </w:r>
          </w:p>
          <w:p w:rsidR="0097639F" w:rsidRPr="0083017F" w:rsidRDefault="0097639F" w:rsidP="00B947F2">
            <w:pPr>
              <w:pStyle w:val="NoSpacing"/>
              <w:jc w:val="both"/>
              <w:rPr>
                <w:iCs/>
                <w:sz w:val="22"/>
                <w:szCs w:val="22"/>
                <w:lang w:val="hr-HR"/>
              </w:rPr>
            </w:pPr>
            <w:r w:rsidRPr="0083017F">
              <w:rPr>
                <w:i/>
                <w:iCs/>
                <w:sz w:val="22"/>
                <w:szCs w:val="22"/>
                <w:lang w:val="hr-HR"/>
              </w:rPr>
              <w:t>Streptococcus pyogenes</w:t>
            </w:r>
            <w:r w:rsidRPr="0083017F">
              <w:rPr>
                <w:iCs/>
                <w:sz w:val="22"/>
                <w:szCs w:val="22"/>
                <w:lang w:val="hr-HR"/>
              </w:rPr>
              <w:t>* (</w:t>
            </w:r>
            <w:r w:rsidRPr="0083017F">
              <w:rPr>
                <w:spacing w:val="-2"/>
                <w:sz w:val="22"/>
                <w:szCs w:val="22"/>
                <w:lang w:val="hr-HR"/>
              </w:rPr>
              <w:t>grupa</w:t>
            </w:r>
            <w:r w:rsidRPr="0083017F">
              <w:rPr>
                <w:sz w:val="22"/>
                <w:szCs w:val="22"/>
                <w:lang w:val="hr-HR"/>
              </w:rPr>
              <w:t xml:space="preserve"> </w:t>
            </w:r>
            <w:r w:rsidRPr="0083017F">
              <w:rPr>
                <w:iCs/>
                <w:sz w:val="22"/>
                <w:szCs w:val="22"/>
                <w:lang w:val="hr-HR"/>
              </w:rPr>
              <w:t>A)</w:t>
            </w:r>
          </w:p>
          <w:p w:rsidR="0097639F" w:rsidRPr="0083017F" w:rsidRDefault="0097639F" w:rsidP="00B947F2">
            <w:pPr>
              <w:pStyle w:val="NoSpacing"/>
              <w:jc w:val="both"/>
              <w:rPr>
                <w:iCs/>
                <w:sz w:val="22"/>
                <w:szCs w:val="22"/>
                <w:lang w:val="hr-HR"/>
              </w:rPr>
            </w:pPr>
            <w:r w:rsidRPr="0083017F">
              <w:rPr>
                <w:i/>
                <w:iCs/>
                <w:sz w:val="22"/>
                <w:szCs w:val="22"/>
                <w:lang w:val="hr-HR"/>
              </w:rPr>
              <w:t>Streptococcus viridans</w:t>
            </w:r>
            <w:r w:rsidRPr="0083017F">
              <w:rPr>
                <w:iCs/>
                <w:sz w:val="22"/>
                <w:szCs w:val="22"/>
                <w:lang w:val="hr-HR"/>
              </w:rPr>
              <w:t xml:space="preserve"> grupa (</w:t>
            </w:r>
            <w:r w:rsidRPr="0083017F">
              <w:rPr>
                <w:i/>
                <w:iCs/>
                <w:sz w:val="22"/>
                <w:szCs w:val="22"/>
                <w:lang w:val="hr-HR"/>
              </w:rPr>
              <w:t>S. viridans, S. mutans, S. mitis, S. sanguinis, S. salivarius, S. thermophilus</w:t>
            </w:r>
            <w:r w:rsidRPr="0083017F">
              <w:rPr>
                <w:iCs/>
                <w:sz w:val="22"/>
                <w:szCs w:val="22"/>
                <w:lang w:val="hr-HR"/>
              </w:rPr>
              <w:t xml:space="preserve">) </w:t>
            </w:r>
          </w:p>
          <w:p w:rsidR="000B49E9" w:rsidRPr="0083017F" w:rsidRDefault="000B49E9" w:rsidP="00B947F2">
            <w:pPr>
              <w:pStyle w:val="NoSpacing"/>
              <w:jc w:val="both"/>
              <w:rPr>
                <w:iCs/>
                <w:sz w:val="22"/>
                <w:szCs w:val="22"/>
                <w:lang w:val="hr-HR"/>
              </w:rPr>
            </w:pPr>
          </w:p>
        </w:tc>
      </w:tr>
      <w:tr w:rsidR="0097639F" w:rsidRPr="0083017F" w:rsidTr="005B249E">
        <w:tc>
          <w:tcPr>
            <w:tcW w:w="9211"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u w:val="single"/>
                <w:lang w:val="hr-HR"/>
              </w:rPr>
            </w:pPr>
            <w:r w:rsidRPr="0083017F">
              <w:rPr>
                <w:iCs/>
                <w:sz w:val="22"/>
                <w:szCs w:val="22"/>
                <w:u w:val="single"/>
                <w:lang w:val="hr-HR"/>
              </w:rPr>
              <w:t>Aerobni Gram-negativni mikroorganizmi</w:t>
            </w:r>
          </w:p>
          <w:p w:rsidR="0097639F" w:rsidRPr="0083017F" w:rsidRDefault="0097639F" w:rsidP="00B947F2">
            <w:pPr>
              <w:pStyle w:val="NoSpacing"/>
              <w:jc w:val="both"/>
              <w:rPr>
                <w:i/>
                <w:iCs/>
                <w:sz w:val="22"/>
                <w:szCs w:val="22"/>
                <w:lang w:val="hr-HR"/>
              </w:rPr>
            </w:pPr>
            <w:r w:rsidRPr="0083017F">
              <w:rPr>
                <w:i/>
                <w:iCs/>
                <w:sz w:val="22"/>
                <w:szCs w:val="22"/>
                <w:lang w:val="hr-HR"/>
              </w:rPr>
              <w:t>Acinetobacter baumanii</w:t>
            </w:r>
          </w:p>
          <w:p w:rsidR="0097639F" w:rsidRPr="0083017F" w:rsidRDefault="0097639F" w:rsidP="00B947F2">
            <w:pPr>
              <w:pStyle w:val="NoSpacing"/>
              <w:jc w:val="both"/>
              <w:rPr>
                <w:iCs/>
                <w:sz w:val="22"/>
                <w:szCs w:val="22"/>
                <w:lang w:val="hr-HR"/>
              </w:rPr>
            </w:pPr>
            <w:r w:rsidRPr="0083017F">
              <w:rPr>
                <w:i/>
                <w:iCs/>
                <w:sz w:val="22"/>
                <w:szCs w:val="22"/>
                <w:lang w:val="hr-HR"/>
              </w:rPr>
              <w:t>Haemophilus influenzae</w:t>
            </w:r>
            <w:r w:rsidRPr="0083017F">
              <w:rPr>
                <w:iCs/>
                <w:sz w:val="22"/>
                <w:szCs w:val="22"/>
                <w:lang w:val="hr-HR"/>
              </w:rPr>
              <w:t>*</w:t>
            </w:r>
          </w:p>
          <w:p w:rsidR="0097639F" w:rsidRPr="0083017F" w:rsidRDefault="0097639F" w:rsidP="00B947F2">
            <w:pPr>
              <w:pStyle w:val="NoSpacing"/>
              <w:jc w:val="both"/>
              <w:rPr>
                <w:iCs/>
                <w:sz w:val="22"/>
                <w:szCs w:val="22"/>
                <w:lang w:val="hr-HR"/>
              </w:rPr>
            </w:pPr>
            <w:r w:rsidRPr="0083017F">
              <w:rPr>
                <w:i/>
                <w:iCs/>
                <w:sz w:val="22"/>
                <w:szCs w:val="22"/>
                <w:lang w:val="hr-HR"/>
              </w:rPr>
              <w:t>Haemophilus parainfluenzae</w:t>
            </w:r>
            <w:r w:rsidRPr="0083017F">
              <w:rPr>
                <w:iCs/>
                <w:sz w:val="22"/>
                <w:szCs w:val="22"/>
                <w:lang w:val="hr-HR"/>
              </w:rPr>
              <w:t>*</w:t>
            </w:r>
          </w:p>
          <w:p w:rsidR="0097639F" w:rsidRPr="0083017F" w:rsidRDefault="0097639F" w:rsidP="00B947F2">
            <w:pPr>
              <w:pStyle w:val="NoSpacing"/>
              <w:jc w:val="both"/>
              <w:rPr>
                <w:iCs/>
                <w:sz w:val="22"/>
                <w:szCs w:val="22"/>
                <w:lang w:val="hr-HR"/>
              </w:rPr>
            </w:pPr>
            <w:r w:rsidRPr="0083017F">
              <w:rPr>
                <w:i/>
                <w:iCs/>
                <w:sz w:val="22"/>
                <w:szCs w:val="22"/>
                <w:lang w:val="hr-HR"/>
              </w:rPr>
              <w:t>Legionella pneumophila</w:t>
            </w:r>
          </w:p>
          <w:p w:rsidR="0097639F" w:rsidRPr="0083017F" w:rsidRDefault="0097639F" w:rsidP="00B947F2">
            <w:pPr>
              <w:pStyle w:val="NoSpacing"/>
              <w:jc w:val="both"/>
              <w:rPr>
                <w:iCs/>
                <w:sz w:val="22"/>
                <w:szCs w:val="22"/>
                <w:lang w:val="hr-HR"/>
              </w:rPr>
            </w:pPr>
            <w:r w:rsidRPr="0083017F">
              <w:rPr>
                <w:i/>
                <w:iCs/>
                <w:sz w:val="22"/>
                <w:szCs w:val="22"/>
                <w:lang w:val="hr-HR"/>
              </w:rPr>
              <w:t>Moraxella (Branhamella) catarrhalis</w:t>
            </w:r>
            <w:r w:rsidRPr="0083017F">
              <w:rPr>
                <w:iCs/>
                <w:sz w:val="22"/>
                <w:szCs w:val="22"/>
                <w:lang w:val="hr-HR"/>
              </w:rPr>
              <w:t xml:space="preserve">* </w:t>
            </w:r>
          </w:p>
          <w:p w:rsidR="000B49E9" w:rsidRPr="0083017F" w:rsidRDefault="000B49E9" w:rsidP="00B947F2">
            <w:pPr>
              <w:pStyle w:val="NoSpacing"/>
              <w:jc w:val="both"/>
              <w:rPr>
                <w:iCs/>
                <w:sz w:val="22"/>
                <w:szCs w:val="22"/>
                <w:lang w:val="hr-HR"/>
              </w:rPr>
            </w:pPr>
          </w:p>
        </w:tc>
      </w:tr>
      <w:tr w:rsidR="0097639F" w:rsidRPr="0083017F" w:rsidTr="005B249E">
        <w:tc>
          <w:tcPr>
            <w:tcW w:w="9211"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u w:val="single"/>
                <w:lang w:val="hr-HR"/>
              </w:rPr>
            </w:pPr>
            <w:r w:rsidRPr="0083017F">
              <w:rPr>
                <w:iCs/>
                <w:sz w:val="22"/>
                <w:szCs w:val="22"/>
                <w:u w:val="single"/>
                <w:lang w:val="hr-HR"/>
              </w:rPr>
              <w:t>Anaerobni mikroorganizmi</w:t>
            </w:r>
          </w:p>
          <w:p w:rsidR="0097639F" w:rsidRPr="0083017F" w:rsidRDefault="0097639F" w:rsidP="00B947F2">
            <w:pPr>
              <w:pStyle w:val="NoSpacing"/>
              <w:jc w:val="both"/>
              <w:rPr>
                <w:iCs/>
                <w:sz w:val="22"/>
                <w:szCs w:val="22"/>
                <w:lang w:val="hr-HR"/>
              </w:rPr>
            </w:pPr>
            <w:r w:rsidRPr="0083017F">
              <w:rPr>
                <w:i/>
                <w:iCs/>
                <w:sz w:val="22"/>
                <w:szCs w:val="22"/>
                <w:lang w:val="hr-HR"/>
              </w:rPr>
              <w:t>Fusobacterium</w:t>
            </w:r>
            <w:r w:rsidRPr="0083017F">
              <w:rPr>
                <w:iCs/>
                <w:sz w:val="22"/>
                <w:szCs w:val="22"/>
                <w:lang w:val="hr-HR"/>
              </w:rPr>
              <w:t xml:space="preserve"> spp.</w:t>
            </w:r>
          </w:p>
          <w:p w:rsidR="0097639F" w:rsidRPr="0083017F" w:rsidRDefault="0097639F" w:rsidP="00B947F2">
            <w:pPr>
              <w:pStyle w:val="NoSpacing"/>
              <w:jc w:val="both"/>
              <w:rPr>
                <w:iCs/>
                <w:sz w:val="22"/>
                <w:szCs w:val="22"/>
                <w:lang w:val="hr-HR"/>
              </w:rPr>
            </w:pPr>
            <w:r w:rsidRPr="0083017F">
              <w:rPr>
                <w:i/>
                <w:iCs/>
                <w:sz w:val="22"/>
                <w:szCs w:val="22"/>
                <w:lang w:val="hr-HR"/>
              </w:rPr>
              <w:t>Prevotella</w:t>
            </w:r>
            <w:r w:rsidRPr="0083017F">
              <w:rPr>
                <w:iCs/>
                <w:sz w:val="22"/>
                <w:szCs w:val="22"/>
                <w:lang w:val="hr-HR"/>
              </w:rPr>
              <w:t xml:space="preserve"> spp. </w:t>
            </w:r>
          </w:p>
        </w:tc>
      </w:tr>
      <w:tr w:rsidR="0097639F" w:rsidRPr="0083017F" w:rsidTr="005B249E">
        <w:tc>
          <w:tcPr>
            <w:tcW w:w="9211"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u w:val="single"/>
                <w:lang w:val="hr-HR"/>
              </w:rPr>
              <w:lastRenderedPageBreak/>
              <w:t>“Drugi” mikroorganizmi</w:t>
            </w:r>
          </w:p>
          <w:p w:rsidR="0097639F" w:rsidRPr="0083017F" w:rsidRDefault="0097639F" w:rsidP="00B947F2">
            <w:pPr>
              <w:pStyle w:val="NoSpacing"/>
              <w:jc w:val="both"/>
              <w:rPr>
                <w:iCs/>
                <w:sz w:val="22"/>
                <w:szCs w:val="22"/>
                <w:lang w:val="hr-HR"/>
              </w:rPr>
            </w:pPr>
            <w:r w:rsidRPr="0083017F">
              <w:rPr>
                <w:i/>
                <w:iCs/>
                <w:sz w:val="22"/>
                <w:szCs w:val="22"/>
                <w:lang w:val="hr-HR"/>
              </w:rPr>
              <w:t>Chlamydophila (Chlamydia) pneumoniae</w:t>
            </w:r>
            <w:r w:rsidRPr="0083017F">
              <w:rPr>
                <w:iCs/>
                <w:sz w:val="22"/>
                <w:szCs w:val="22"/>
                <w:lang w:val="hr-HR"/>
              </w:rPr>
              <w:t>*</w:t>
            </w:r>
          </w:p>
          <w:p w:rsidR="0097639F" w:rsidRPr="0083017F" w:rsidRDefault="0097639F" w:rsidP="00B947F2">
            <w:pPr>
              <w:pStyle w:val="NoSpacing"/>
              <w:jc w:val="both"/>
              <w:rPr>
                <w:iCs/>
                <w:sz w:val="22"/>
                <w:szCs w:val="22"/>
                <w:lang w:val="hr-HR"/>
              </w:rPr>
            </w:pPr>
            <w:r w:rsidRPr="0083017F">
              <w:rPr>
                <w:i/>
                <w:iCs/>
                <w:sz w:val="22"/>
                <w:szCs w:val="22"/>
                <w:lang w:val="hr-HR"/>
              </w:rPr>
              <w:t>Chlamydia trachomatis*</w:t>
            </w:r>
          </w:p>
          <w:p w:rsidR="0097639F" w:rsidRPr="0083017F" w:rsidRDefault="0097639F" w:rsidP="00B947F2">
            <w:pPr>
              <w:pStyle w:val="NoSpacing"/>
              <w:jc w:val="both"/>
              <w:rPr>
                <w:iCs/>
                <w:sz w:val="22"/>
                <w:szCs w:val="22"/>
                <w:lang w:val="hr-HR"/>
              </w:rPr>
            </w:pPr>
            <w:r w:rsidRPr="0083017F">
              <w:rPr>
                <w:i/>
                <w:iCs/>
                <w:sz w:val="22"/>
                <w:szCs w:val="22"/>
                <w:lang w:val="hr-HR"/>
              </w:rPr>
              <w:t>Coxiella burnetii</w:t>
            </w:r>
          </w:p>
          <w:p w:rsidR="0097639F" w:rsidRPr="0083017F" w:rsidRDefault="0097639F" w:rsidP="00B947F2">
            <w:pPr>
              <w:pStyle w:val="NoSpacing"/>
              <w:jc w:val="both"/>
              <w:rPr>
                <w:iCs/>
                <w:sz w:val="22"/>
                <w:szCs w:val="22"/>
                <w:lang w:val="hr-HR"/>
              </w:rPr>
            </w:pPr>
            <w:r w:rsidRPr="0083017F">
              <w:rPr>
                <w:i/>
                <w:iCs/>
                <w:sz w:val="22"/>
                <w:szCs w:val="22"/>
                <w:lang w:val="hr-HR"/>
              </w:rPr>
              <w:t>Mycoplasma genitalium</w:t>
            </w:r>
          </w:p>
          <w:p w:rsidR="0097639F" w:rsidRPr="0083017F" w:rsidRDefault="0097639F" w:rsidP="00B947F2">
            <w:pPr>
              <w:pStyle w:val="NoSpacing"/>
              <w:jc w:val="both"/>
              <w:rPr>
                <w:iCs/>
                <w:sz w:val="22"/>
                <w:szCs w:val="22"/>
                <w:lang w:val="hr-HR"/>
              </w:rPr>
            </w:pPr>
            <w:r w:rsidRPr="0083017F">
              <w:rPr>
                <w:i/>
                <w:iCs/>
                <w:sz w:val="22"/>
                <w:szCs w:val="22"/>
                <w:lang w:val="hr-HR"/>
              </w:rPr>
              <w:t>Mycoplasma hominis</w:t>
            </w:r>
          </w:p>
          <w:p w:rsidR="0097639F" w:rsidRPr="0083017F" w:rsidRDefault="0097639F" w:rsidP="00B947F2">
            <w:pPr>
              <w:pStyle w:val="NoSpacing"/>
              <w:jc w:val="both"/>
              <w:rPr>
                <w:iCs/>
                <w:sz w:val="22"/>
                <w:szCs w:val="22"/>
                <w:lang w:val="hr-HR"/>
              </w:rPr>
            </w:pPr>
            <w:r w:rsidRPr="0083017F">
              <w:rPr>
                <w:i/>
                <w:iCs/>
                <w:sz w:val="22"/>
                <w:szCs w:val="22"/>
                <w:lang w:val="hr-HR"/>
              </w:rPr>
              <w:t>Mycoplasma pneumoniae</w:t>
            </w:r>
            <w:r w:rsidRPr="0083017F">
              <w:rPr>
                <w:iCs/>
                <w:sz w:val="22"/>
                <w:szCs w:val="22"/>
                <w:lang w:val="hr-HR"/>
              </w:rPr>
              <w:t xml:space="preserve">* </w:t>
            </w:r>
          </w:p>
        </w:tc>
      </w:tr>
      <w:tr w:rsidR="0097639F" w:rsidRPr="0083017F" w:rsidTr="005B249E">
        <w:tc>
          <w:tcPr>
            <w:tcW w:w="9211"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b/>
                <w:iCs/>
                <w:sz w:val="22"/>
                <w:szCs w:val="22"/>
                <w:lang w:val="hr-HR"/>
              </w:rPr>
            </w:pPr>
            <w:r w:rsidRPr="0083017F">
              <w:rPr>
                <w:b/>
                <w:bCs/>
                <w:iCs/>
                <w:sz w:val="22"/>
                <w:szCs w:val="22"/>
                <w:lang w:val="hr-HR"/>
              </w:rPr>
              <w:t>Vrste kod kojih stečena rezistencija može biti problem</w:t>
            </w:r>
          </w:p>
        </w:tc>
      </w:tr>
      <w:tr w:rsidR="0097639F" w:rsidRPr="0083017F" w:rsidTr="005B249E">
        <w:tc>
          <w:tcPr>
            <w:tcW w:w="9211"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u w:val="single"/>
                <w:lang w:val="hr-HR"/>
              </w:rPr>
            </w:pPr>
            <w:r w:rsidRPr="0083017F">
              <w:rPr>
                <w:iCs/>
                <w:sz w:val="22"/>
                <w:szCs w:val="22"/>
                <w:u w:val="single"/>
                <w:lang w:val="hr-HR"/>
              </w:rPr>
              <w:t>Aerobni Gram-pozitivni mikroorganizmi</w:t>
            </w:r>
          </w:p>
          <w:p w:rsidR="0097639F" w:rsidRPr="0083017F" w:rsidRDefault="0097639F" w:rsidP="00B947F2">
            <w:pPr>
              <w:pStyle w:val="NoSpacing"/>
              <w:jc w:val="both"/>
              <w:rPr>
                <w:iCs/>
                <w:sz w:val="22"/>
                <w:szCs w:val="22"/>
                <w:lang w:val="hr-HR"/>
              </w:rPr>
            </w:pPr>
            <w:r w:rsidRPr="0083017F">
              <w:rPr>
                <w:i/>
                <w:iCs/>
                <w:sz w:val="22"/>
                <w:szCs w:val="22"/>
                <w:lang w:val="hr-HR"/>
              </w:rPr>
              <w:t>Enterococcus faecalis*</w:t>
            </w:r>
          </w:p>
          <w:p w:rsidR="0097639F" w:rsidRPr="0083017F" w:rsidRDefault="0097639F" w:rsidP="00B947F2">
            <w:pPr>
              <w:pStyle w:val="NoSpacing"/>
              <w:jc w:val="both"/>
              <w:rPr>
                <w:i/>
                <w:iCs/>
                <w:sz w:val="22"/>
                <w:szCs w:val="22"/>
                <w:lang w:val="hr-HR"/>
              </w:rPr>
            </w:pPr>
            <w:r w:rsidRPr="0083017F">
              <w:rPr>
                <w:i/>
                <w:iCs/>
                <w:sz w:val="22"/>
                <w:szCs w:val="22"/>
                <w:lang w:val="hr-HR"/>
              </w:rPr>
              <w:t>Enterococcus faecium*</w:t>
            </w:r>
          </w:p>
          <w:p w:rsidR="0097639F" w:rsidRPr="0083017F" w:rsidRDefault="0097639F" w:rsidP="00B947F2">
            <w:pPr>
              <w:pStyle w:val="NoSpacing"/>
              <w:jc w:val="both"/>
              <w:rPr>
                <w:iCs/>
                <w:sz w:val="22"/>
                <w:szCs w:val="22"/>
                <w:lang w:val="hr-HR"/>
              </w:rPr>
            </w:pPr>
            <w:r w:rsidRPr="0083017F">
              <w:rPr>
                <w:i/>
                <w:iCs/>
                <w:sz w:val="22"/>
                <w:szCs w:val="22"/>
                <w:lang w:val="hr-HR"/>
              </w:rPr>
              <w:t>Staphylococcus aureus</w:t>
            </w:r>
            <w:r w:rsidRPr="0083017F">
              <w:rPr>
                <w:iCs/>
                <w:sz w:val="22"/>
                <w:szCs w:val="22"/>
                <w:lang w:val="hr-HR"/>
              </w:rPr>
              <w:t xml:space="preserve"> (rezistentan na meticilin)</w:t>
            </w:r>
            <w:r w:rsidRPr="0083017F">
              <w:rPr>
                <w:iCs/>
                <w:sz w:val="22"/>
                <w:szCs w:val="22"/>
                <w:vertAlign w:val="superscript"/>
                <w:lang w:val="hr-HR"/>
              </w:rPr>
              <w:t xml:space="preserve">+ </w:t>
            </w:r>
          </w:p>
        </w:tc>
      </w:tr>
      <w:tr w:rsidR="0097639F" w:rsidRPr="0083017F" w:rsidTr="005B249E">
        <w:tc>
          <w:tcPr>
            <w:tcW w:w="9211"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u w:val="single"/>
                <w:lang w:val="hr-HR"/>
              </w:rPr>
            </w:pPr>
            <w:r w:rsidRPr="0083017F">
              <w:rPr>
                <w:iCs/>
                <w:sz w:val="22"/>
                <w:szCs w:val="22"/>
                <w:u w:val="single"/>
                <w:lang w:val="hr-HR"/>
              </w:rPr>
              <w:t>Aerobni Gram-negativni mikroorganizmi</w:t>
            </w:r>
          </w:p>
          <w:p w:rsidR="0097639F" w:rsidRPr="0083017F" w:rsidRDefault="0097639F" w:rsidP="00B947F2">
            <w:pPr>
              <w:pStyle w:val="NoSpacing"/>
              <w:jc w:val="both"/>
              <w:rPr>
                <w:iCs/>
                <w:sz w:val="22"/>
                <w:szCs w:val="22"/>
                <w:lang w:val="hr-HR"/>
              </w:rPr>
            </w:pPr>
            <w:r w:rsidRPr="0083017F">
              <w:rPr>
                <w:i/>
                <w:iCs/>
                <w:sz w:val="22"/>
                <w:szCs w:val="22"/>
                <w:lang w:val="hr-HR"/>
              </w:rPr>
              <w:t>Enterobacter cloacae</w:t>
            </w:r>
            <w:r w:rsidRPr="0083017F">
              <w:rPr>
                <w:iCs/>
                <w:sz w:val="22"/>
                <w:szCs w:val="22"/>
                <w:lang w:val="hr-HR"/>
              </w:rPr>
              <w:t>*</w:t>
            </w:r>
          </w:p>
          <w:p w:rsidR="0097639F" w:rsidRPr="0083017F" w:rsidRDefault="0097639F" w:rsidP="00B947F2">
            <w:pPr>
              <w:pStyle w:val="NoSpacing"/>
              <w:jc w:val="both"/>
              <w:rPr>
                <w:iCs/>
                <w:sz w:val="22"/>
                <w:szCs w:val="22"/>
                <w:lang w:val="hr-HR"/>
              </w:rPr>
            </w:pPr>
            <w:r w:rsidRPr="0083017F">
              <w:rPr>
                <w:i/>
                <w:iCs/>
                <w:sz w:val="22"/>
                <w:szCs w:val="22"/>
                <w:lang w:val="hr-HR"/>
              </w:rPr>
              <w:t>Escherichia coli</w:t>
            </w:r>
            <w:r w:rsidRPr="0083017F">
              <w:rPr>
                <w:iCs/>
                <w:sz w:val="22"/>
                <w:szCs w:val="22"/>
                <w:lang w:val="hr-HR"/>
              </w:rPr>
              <w:t>*</w:t>
            </w:r>
            <w:r w:rsidRPr="0083017F">
              <w:rPr>
                <w:iCs/>
                <w:sz w:val="22"/>
                <w:szCs w:val="22"/>
                <w:vertAlign w:val="superscript"/>
                <w:lang w:val="hr-HR"/>
              </w:rPr>
              <w:t>#</w:t>
            </w:r>
          </w:p>
          <w:p w:rsidR="0097639F" w:rsidRPr="0083017F" w:rsidRDefault="0097639F" w:rsidP="00B947F2">
            <w:pPr>
              <w:pStyle w:val="NoSpacing"/>
              <w:jc w:val="both"/>
              <w:rPr>
                <w:iCs/>
                <w:sz w:val="22"/>
                <w:szCs w:val="22"/>
                <w:lang w:val="hr-HR"/>
              </w:rPr>
            </w:pPr>
            <w:r w:rsidRPr="0083017F">
              <w:rPr>
                <w:i/>
                <w:iCs/>
                <w:sz w:val="22"/>
                <w:szCs w:val="22"/>
                <w:lang w:val="hr-HR"/>
              </w:rPr>
              <w:t>Klebsiella pneumoniae</w:t>
            </w:r>
            <w:r w:rsidRPr="0083017F">
              <w:rPr>
                <w:iCs/>
                <w:sz w:val="22"/>
                <w:szCs w:val="22"/>
                <w:lang w:val="hr-HR"/>
              </w:rPr>
              <w:t>*</w:t>
            </w:r>
            <w:r w:rsidRPr="0083017F">
              <w:rPr>
                <w:iCs/>
                <w:sz w:val="22"/>
                <w:szCs w:val="22"/>
                <w:vertAlign w:val="superscript"/>
                <w:lang w:val="hr-HR"/>
              </w:rPr>
              <w:t>#</w:t>
            </w:r>
          </w:p>
          <w:p w:rsidR="0097639F" w:rsidRPr="0083017F" w:rsidRDefault="0097639F" w:rsidP="00B947F2">
            <w:pPr>
              <w:pStyle w:val="NoSpacing"/>
              <w:jc w:val="both"/>
              <w:rPr>
                <w:i/>
                <w:iCs/>
                <w:sz w:val="22"/>
                <w:szCs w:val="22"/>
                <w:lang w:val="hr-HR"/>
              </w:rPr>
            </w:pPr>
            <w:r w:rsidRPr="0083017F">
              <w:rPr>
                <w:i/>
                <w:iCs/>
                <w:sz w:val="22"/>
                <w:szCs w:val="22"/>
                <w:lang w:val="hr-HR"/>
              </w:rPr>
              <w:t>Klebsiella oxytoca</w:t>
            </w:r>
          </w:p>
          <w:p w:rsidR="0097639F" w:rsidRPr="0083017F" w:rsidRDefault="0097639F" w:rsidP="00B947F2">
            <w:pPr>
              <w:pStyle w:val="NoSpacing"/>
              <w:jc w:val="both"/>
              <w:rPr>
                <w:iCs/>
                <w:sz w:val="22"/>
                <w:szCs w:val="22"/>
                <w:lang w:val="hr-HR"/>
              </w:rPr>
            </w:pPr>
            <w:r w:rsidRPr="0083017F">
              <w:rPr>
                <w:i/>
                <w:iCs/>
                <w:sz w:val="22"/>
                <w:szCs w:val="22"/>
                <w:lang w:val="hr-HR"/>
              </w:rPr>
              <w:t>Neisseria gonorrhoeae*</w:t>
            </w:r>
            <w:r w:rsidRPr="0083017F">
              <w:rPr>
                <w:iCs/>
                <w:sz w:val="22"/>
                <w:szCs w:val="22"/>
                <w:vertAlign w:val="superscript"/>
                <w:lang w:val="hr-HR"/>
              </w:rPr>
              <w:t>+</w:t>
            </w:r>
          </w:p>
          <w:p w:rsidR="0097639F" w:rsidRPr="0083017F" w:rsidRDefault="0097639F" w:rsidP="00B947F2">
            <w:pPr>
              <w:pStyle w:val="NoSpacing"/>
              <w:jc w:val="both"/>
              <w:rPr>
                <w:iCs/>
                <w:sz w:val="22"/>
                <w:szCs w:val="22"/>
                <w:lang w:val="hr-HR"/>
              </w:rPr>
            </w:pPr>
            <w:r w:rsidRPr="0083017F">
              <w:rPr>
                <w:i/>
                <w:iCs/>
                <w:sz w:val="22"/>
                <w:szCs w:val="22"/>
                <w:lang w:val="hr-HR"/>
              </w:rPr>
              <w:t>Proteus mirabilis</w:t>
            </w:r>
            <w:r w:rsidRPr="0083017F">
              <w:rPr>
                <w:iCs/>
                <w:sz w:val="22"/>
                <w:szCs w:val="22"/>
                <w:lang w:val="hr-HR"/>
              </w:rPr>
              <w:t xml:space="preserve">* </w:t>
            </w:r>
          </w:p>
        </w:tc>
      </w:tr>
      <w:tr w:rsidR="0097639F" w:rsidRPr="0083017F" w:rsidTr="005B249E">
        <w:tc>
          <w:tcPr>
            <w:tcW w:w="9211"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u w:val="single"/>
                <w:lang w:val="hr-HR"/>
              </w:rPr>
            </w:pPr>
            <w:r w:rsidRPr="0083017F">
              <w:rPr>
                <w:iCs/>
                <w:sz w:val="22"/>
                <w:szCs w:val="22"/>
                <w:u w:val="single"/>
                <w:lang w:val="hr-HR"/>
              </w:rPr>
              <w:t>Anaerobni mikroorganizmi</w:t>
            </w:r>
          </w:p>
          <w:p w:rsidR="0097639F" w:rsidRPr="0083017F" w:rsidRDefault="0097639F" w:rsidP="00B947F2">
            <w:pPr>
              <w:pStyle w:val="NoSpacing"/>
              <w:jc w:val="both"/>
              <w:rPr>
                <w:iCs/>
                <w:sz w:val="22"/>
                <w:szCs w:val="22"/>
                <w:lang w:val="hr-HR"/>
              </w:rPr>
            </w:pPr>
            <w:r w:rsidRPr="0083017F">
              <w:rPr>
                <w:i/>
                <w:iCs/>
                <w:sz w:val="22"/>
                <w:szCs w:val="22"/>
                <w:lang w:val="hr-HR"/>
              </w:rPr>
              <w:t>Bacteroides fragilis*</w:t>
            </w:r>
          </w:p>
          <w:p w:rsidR="0097639F" w:rsidRPr="0083017F" w:rsidRDefault="0097639F" w:rsidP="00B947F2">
            <w:pPr>
              <w:pStyle w:val="NoSpacing"/>
              <w:jc w:val="both"/>
              <w:rPr>
                <w:iCs/>
                <w:sz w:val="22"/>
                <w:szCs w:val="22"/>
                <w:lang w:val="hr-HR"/>
              </w:rPr>
            </w:pPr>
            <w:r w:rsidRPr="0083017F">
              <w:rPr>
                <w:i/>
                <w:iCs/>
                <w:sz w:val="22"/>
                <w:szCs w:val="22"/>
                <w:lang w:val="hr-HR"/>
              </w:rPr>
              <w:t>Peptostreptococcus</w:t>
            </w:r>
            <w:r w:rsidRPr="0083017F">
              <w:rPr>
                <w:iCs/>
                <w:sz w:val="22"/>
                <w:szCs w:val="22"/>
                <w:lang w:val="hr-HR"/>
              </w:rPr>
              <w:t xml:space="preserve"> spp.*</w:t>
            </w:r>
          </w:p>
        </w:tc>
      </w:tr>
      <w:tr w:rsidR="0097639F" w:rsidRPr="0083017F" w:rsidTr="005B249E">
        <w:tc>
          <w:tcPr>
            <w:tcW w:w="9211"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b/>
                <w:iCs/>
                <w:sz w:val="22"/>
                <w:szCs w:val="22"/>
                <w:lang w:val="hr-HR"/>
              </w:rPr>
            </w:pPr>
            <w:r w:rsidRPr="0083017F">
              <w:rPr>
                <w:b/>
                <w:bCs/>
                <w:iCs/>
                <w:sz w:val="22"/>
                <w:szCs w:val="22"/>
                <w:lang w:val="hr-HR"/>
              </w:rPr>
              <w:t>Mikroorganizmi kojima je rezistencija svojstvena</w:t>
            </w:r>
          </w:p>
        </w:tc>
      </w:tr>
      <w:tr w:rsidR="0097639F" w:rsidRPr="0083017F" w:rsidTr="005B249E">
        <w:tc>
          <w:tcPr>
            <w:tcW w:w="9211"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u w:val="single"/>
                <w:lang w:val="hr-HR"/>
              </w:rPr>
            </w:pPr>
            <w:r w:rsidRPr="0083017F">
              <w:rPr>
                <w:iCs/>
                <w:sz w:val="22"/>
                <w:szCs w:val="22"/>
                <w:u w:val="single"/>
                <w:lang w:val="hr-HR"/>
              </w:rPr>
              <w:t>Aerobni Gram-negativni mikroorganizmi</w:t>
            </w:r>
          </w:p>
          <w:p w:rsidR="0097639F" w:rsidRPr="0083017F" w:rsidRDefault="0097639F" w:rsidP="00B947F2">
            <w:pPr>
              <w:pStyle w:val="NoSpacing"/>
              <w:jc w:val="both"/>
              <w:rPr>
                <w:iCs/>
                <w:sz w:val="22"/>
                <w:szCs w:val="22"/>
                <w:lang w:val="hr-HR"/>
              </w:rPr>
            </w:pPr>
            <w:r w:rsidRPr="0083017F">
              <w:rPr>
                <w:i/>
                <w:iCs/>
                <w:sz w:val="22"/>
                <w:szCs w:val="22"/>
                <w:lang w:val="hr-HR"/>
              </w:rPr>
              <w:t>Pseudomonas aeruginosa</w:t>
            </w:r>
          </w:p>
        </w:tc>
      </w:tr>
      <w:tr w:rsidR="0097639F" w:rsidRPr="0083017F" w:rsidTr="005B249E">
        <w:tc>
          <w:tcPr>
            <w:tcW w:w="9211" w:type="dxa"/>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w:t>
            </w:r>
            <w:r w:rsidRPr="0083017F">
              <w:rPr>
                <w:sz w:val="22"/>
                <w:szCs w:val="22"/>
                <w:lang w:val="hr-HR"/>
              </w:rPr>
              <w:t xml:space="preserve"> </w:t>
            </w:r>
            <w:r w:rsidRPr="0083017F">
              <w:rPr>
                <w:iCs/>
                <w:sz w:val="22"/>
                <w:szCs w:val="22"/>
                <w:lang w:val="hr-HR"/>
              </w:rPr>
              <w:t>Klinička ispitivanja u odobrenim indikacijama pokazala su da je efikasnost lijeka na osjetljive sojeve zadovoljavajuća.</w:t>
            </w:r>
          </w:p>
          <w:p w:rsidR="0097639F" w:rsidRPr="0083017F" w:rsidRDefault="0097639F" w:rsidP="00B947F2">
            <w:pPr>
              <w:pStyle w:val="NoSpacing"/>
              <w:jc w:val="both"/>
              <w:rPr>
                <w:iCs/>
                <w:sz w:val="22"/>
                <w:szCs w:val="22"/>
                <w:lang w:val="hr-HR"/>
              </w:rPr>
            </w:pPr>
            <w:r w:rsidRPr="0083017F">
              <w:rPr>
                <w:iCs/>
                <w:sz w:val="22"/>
                <w:szCs w:val="22"/>
                <w:vertAlign w:val="superscript"/>
                <w:lang w:val="hr-HR"/>
              </w:rPr>
              <w:t>#</w:t>
            </w:r>
            <w:r w:rsidRPr="0083017F">
              <w:rPr>
                <w:iCs/>
                <w:sz w:val="22"/>
                <w:szCs w:val="22"/>
                <w:lang w:val="hr-HR"/>
              </w:rPr>
              <w:t xml:space="preserve">Sojevi koji proizvode beta-laktamazu proširenog spektra (ESBL, engl. </w:t>
            </w:r>
            <w:r w:rsidRPr="0083017F">
              <w:rPr>
                <w:i/>
                <w:iCs/>
                <w:sz w:val="22"/>
                <w:szCs w:val="22"/>
                <w:lang w:val="hr-HR"/>
              </w:rPr>
              <w:t>expanded spectrum beta-lactamase</w:t>
            </w:r>
            <w:r w:rsidRPr="0083017F">
              <w:rPr>
                <w:iCs/>
                <w:sz w:val="22"/>
                <w:szCs w:val="22"/>
                <w:lang w:val="hr-HR"/>
              </w:rPr>
              <w:t>) obično su rezistentni na fluorohinolone)</w:t>
            </w:r>
          </w:p>
          <w:p w:rsidR="0097639F" w:rsidRPr="0083017F" w:rsidRDefault="0097639F" w:rsidP="00B947F2">
            <w:pPr>
              <w:pStyle w:val="NoSpacing"/>
              <w:jc w:val="both"/>
              <w:rPr>
                <w:iCs/>
                <w:sz w:val="22"/>
                <w:szCs w:val="22"/>
                <w:lang w:val="hr-HR"/>
              </w:rPr>
            </w:pPr>
            <w:r w:rsidRPr="0083017F">
              <w:rPr>
                <w:iCs/>
                <w:sz w:val="22"/>
                <w:szCs w:val="22"/>
                <w:vertAlign w:val="superscript"/>
                <w:lang w:val="hr-HR"/>
              </w:rPr>
              <w:t>+</w:t>
            </w:r>
            <w:r w:rsidRPr="0083017F">
              <w:rPr>
                <w:iCs/>
                <w:sz w:val="22"/>
                <w:szCs w:val="22"/>
                <w:lang w:val="hr-HR"/>
              </w:rPr>
              <w:t>Stopa rezistencije &gt; 50% u jednoj ili više zemalja</w:t>
            </w:r>
          </w:p>
        </w:tc>
      </w:tr>
    </w:tbl>
    <w:p w:rsidR="0097639F" w:rsidRPr="0083017F" w:rsidRDefault="0097639F" w:rsidP="00B947F2">
      <w:pPr>
        <w:pStyle w:val="NoSpacing"/>
        <w:jc w:val="both"/>
        <w:rPr>
          <w:iCs/>
          <w:sz w:val="22"/>
          <w:szCs w:val="22"/>
          <w:lang w:val="hr-HR"/>
        </w:rPr>
      </w:pPr>
    </w:p>
    <w:p w:rsidR="0097639F" w:rsidRPr="0083017F" w:rsidRDefault="0097639F" w:rsidP="00B947F2">
      <w:pPr>
        <w:pStyle w:val="NoSpacing"/>
        <w:jc w:val="both"/>
        <w:rPr>
          <w:b/>
          <w:sz w:val="22"/>
          <w:szCs w:val="22"/>
          <w:lang w:val="hr-HR"/>
        </w:rPr>
      </w:pPr>
      <w:r w:rsidRPr="0083017F">
        <w:rPr>
          <w:b/>
          <w:sz w:val="22"/>
          <w:szCs w:val="22"/>
          <w:lang w:val="hr-HR"/>
        </w:rPr>
        <w:t>5.2.</w:t>
      </w:r>
      <w:r w:rsidR="006C0EE1" w:rsidRPr="0083017F">
        <w:rPr>
          <w:b/>
          <w:sz w:val="22"/>
          <w:szCs w:val="22"/>
          <w:lang w:val="hr-HR"/>
        </w:rPr>
        <w:t xml:space="preserve"> </w:t>
      </w:r>
      <w:r w:rsidRPr="0083017F">
        <w:rPr>
          <w:b/>
          <w:sz w:val="22"/>
          <w:szCs w:val="22"/>
          <w:lang w:val="hr-HR"/>
        </w:rPr>
        <w:t>Farmakokinetički podaci</w:t>
      </w:r>
    </w:p>
    <w:p w:rsidR="0097639F" w:rsidRPr="0083017F" w:rsidRDefault="0097639F" w:rsidP="00B947F2">
      <w:pPr>
        <w:pStyle w:val="NoSpacing"/>
        <w:jc w:val="both"/>
        <w:rPr>
          <w:b/>
          <w:sz w:val="22"/>
          <w:szCs w:val="22"/>
          <w:lang w:val="hr-HR"/>
        </w:rPr>
      </w:pPr>
    </w:p>
    <w:p w:rsidR="0097639F" w:rsidRPr="0083017F" w:rsidRDefault="0097639F" w:rsidP="00B947F2">
      <w:pPr>
        <w:pStyle w:val="NoSpacing"/>
        <w:jc w:val="both"/>
        <w:rPr>
          <w:iCs/>
          <w:sz w:val="22"/>
          <w:szCs w:val="22"/>
          <w:u w:val="single"/>
          <w:lang w:val="hr-HR"/>
        </w:rPr>
      </w:pPr>
      <w:r w:rsidRPr="0083017F">
        <w:rPr>
          <w:iCs/>
          <w:sz w:val="22"/>
          <w:szCs w:val="22"/>
          <w:u w:val="single"/>
          <w:lang w:val="hr-HR"/>
        </w:rPr>
        <w:t>Resorpcija i bioraspoloživost</w:t>
      </w:r>
    </w:p>
    <w:p w:rsidR="0097639F" w:rsidRPr="0083017F" w:rsidRDefault="0097639F" w:rsidP="00B947F2">
      <w:pPr>
        <w:pStyle w:val="NoSpacing"/>
        <w:jc w:val="both"/>
        <w:rPr>
          <w:iCs/>
          <w:sz w:val="22"/>
          <w:szCs w:val="22"/>
          <w:lang w:val="hr-HR"/>
        </w:rPr>
      </w:pPr>
      <w:r w:rsidRPr="0083017F">
        <w:rPr>
          <w:iCs/>
          <w:sz w:val="22"/>
          <w:szCs w:val="22"/>
          <w:lang w:val="hr-HR"/>
        </w:rPr>
        <w:t xml:space="preserve">Moksifloksacin se nakon oralne primjene brzo i gotovo potpuno resorbuje. Apsolutna bioraspoloživost je približno 91%. </w:t>
      </w:r>
    </w:p>
    <w:p w:rsidR="0097639F" w:rsidRPr="0083017F" w:rsidRDefault="0097639F" w:rsidP="00B947F2">
      <w:pPr>
        <w:pStyle w:val="NoSpacing"/>
        <w:jc w:val="both"/>
        <w:rPr>
          <w:iCs/>
          <w:sz w:val="22"/>
          <w:szCs w:val="22"/>
          <w:lang w:val="hr-HR"/>
        </w:rPr>
      </w:pPr>
    </w:p>
    <w:p w:rsidR="0097639F" w:rsidRPr="0083017F" w:rsidRDefault="0097639F" w:rsidP="00B947F2">
      <w:pPr>
        <w:pStyle w:val="NoSpacing"/>
        <w:jc w:val="both"/>
        <w:rPr>
          <w:iCs/>
          <w:sz w:val="22"/>
          <w:szCs w:val="22"/>
          <w:lang w:val="hr-HR"/>
        </w:rPr>
      </w:pPr>
      <w:r w:rsidRPr="0083017F">
        <w:rPr>
          <w:iCs/>
          <w:sz w:val="22"/>
          <w:szCs w:val="22"/>
          <w:lang w:val="hr-HR"/>
        </w:rPr>
        <w:t>Farmakokinetika je linearna u rasponu od 50 - 800 mg nakon primjene jedne doze i do 600 mg kada se daje jednom dnevno tokom 10 dana. Nakon peroralne doze od 400 mg, maksimalne koncentracije od 3,1 mg/l dostižu se 0,5 - 4 h nakon primjene. Maksimalne i minimalne koncentracije u plazmi u stanju dinamičke ravnoteže (400 mg jednom dnevno) bile su 3,2 odnosno 0,6 mg/l. U stanju dinamičke ravnoteže koncentracije lijeka u plazmi (u okviru doznog intrvala) su za oko 30% veće nego nakon prve doze.</w:t>
      </w:r>
    </w:p>
    <w:p w:rsidR="000B49E9" w:rsidRPr="0083017F" w:rsidRDefault="000B49E9" w:rsidP="00B947F2">
      <w:pPr>
        <w:pStyle w:val="NoSpacing"/>
        <w:jc w:val="both"/>
        <w:rPr>
          <w:iCs/>
          <w:sz w:val="22"/>
          <w:szCs w:val="22"/>
          <w:u w:val="single"/>
          <w:lang w:val="hr-HR"/>
        </w:rPr>
      </w:pPr>
    </w:p>
    <w:p w:rsidR="0097639F" w:rsidRPr="0083017F" w:rsidRDefault="0097639F" w:rsidP="00B947F2">
      <w:pPr>
        <w:pStyle w:val="NoSpacing"/>
        <w:jc w:val="both"/>
        <w:rPr>
          <w:iCs/>
          <w:sz w:val="22"/>
          <w:szCs w:val="22"/>
          <w:u w:val="single"/>
          <w:lang w:val="hr-HR"/>
        </w:rPr>
      </w:pPr>
      <w:r w:rsidRPr="0083017F">
        <w:rPr>
          <w:iCs/>
          <w:sz w:val="22"/>
          <w:szCs w:val="22"/>
          <w:u w:val="single"/>
          <w:lang w:val="hr-HR"/>
        </w:rPr>
        <w:t xml:space="preserve">Distribucija </w:t>
      </w:r>
    </w:p>
    <w:p w:rsidR="0097639F" w:rsidRPr="0083017F" w:rsidRDefault="0097639F" w:rsidP="00B947F2">
      <w:pPr>
        <w:pStyle w:val="NoSpacing"/>
        <w:jc w:val="both"/>
        <w:rPr>
          <w:iCs/>
          <w:sz w:val="22"/>
          <w:szCs w:val="22"/>
          <w:lang w:val="hr-HR"/>
        </w:rPr>
      </w:pPr>
      <w:r w:rsidRPr="0083017F">
        <w:rPr>
          <w:iCs/>
          <w:sz w:val="22"/>
          <w:szCs w:val="22"/>
          <w:lang w:val="hr-HR"/>
        </w:rPr>
        <w:t xml:space="preserve">Moksifloksacin se brzo distribuira u ekstravaskularni prostor; nakon doze od 400 mg PIC je 35 mgh/l. </w:t>
      </w:r>
      <w:r w:rsidRPr="0083017F">
        <w:rPr>
          <w:sz w:val="22"/>
          <w:szCs w:val="22"/>
          <w:lang w:val="hr-HR"/>
        </w:rPr>
        <w:t>Volu</w:t>
      </w:r>
      <w:r w:rsidRPr="0083017F">
        <w:rPr>
          <w:spacing w:val="-2"/>
          <w:sz w:val="22"/>
          <w:szCs w:val="22"/>
          <w:lang w:val="hr-HR"/>
        </w:rPr>
        <w:t>m</w:t>
      </w:r>
      <w:r w:rsidRPr="0083017F">
        <w:rPr>
          <w:spacing w:val="-1"/>
          <w:sz w:val="22"/>
          <w:szCs w:val="22"/>
          <w:lang w:val="hr-HR"/>
        </w:rPr>
        <w:t>e</w:t>
      </w:r>
      <w:r w:rsidRPr="0083017F">
        <w:rPr>
          <w:sz w:val="22"/>
          <w:szCs w:val="22"/>
          <w:lang w:val="hr-HR"/>
        </w:rPr>
        <w:t>n</w:t>
      </w:r>
      <w:r w:rsidRPr="0083017F">
        <w:rPr>
          <w:spacing w:val="3"/>
          <w:sz w:val="22"/>
          <w:szCs w:val="22"/>
          <w:lang w:val="hr-HR"/>
        </w:rPr>
        <w:t xml:space="preserve"> </w:t>
      </w:r>
      <w:r w:rsidRPr="0083017F">
        <w:rPr>
          <w:iCs/>
          <w:sz w:val="22"/>
          <w:szCs w:val="22"/>
          <w:lang w:val="hr-HR"/>
        </w:rPr>
        <w:t xml:space="preserve">distribucije u stanju dinamičke ravnoteže (Vss) približno je 2 l/kg. </w:t>
      </w:r>
      <w:r w:rsidRPr="0083017F">
        <w:rPr>
          <w:i/>
          <w:iCs/>
          <w:sz w:val="22"/>
          <w:szCs w:val="22"/>
          <w:lang w:val="hr-HR"/>
        </w:rPr>
        <w:t>In vitro</w:t>
      </w:r>
      <w:r w:rsidRPr="0083017F">
        <w:rPr>
          <w:iCs/>
          <w:sz w:val="22"/>
          <w:szCs w:val="22"/>
          <w:lang w:val="hr-HR"/>
        </w:rPr>
        <w:t xml:space="preserve"> i </w:t>
      </w:r>
      <w:r w:rsidRPr="0083017F">
        <w:rPr>
          <w:i/>
          <w:iCs/>
          <w:sz w:val="22"/>
          <w:szCs w:val="22"/>
          <w:lang w:val="hr-HR"/>
        </w:rPr>
        <w:t>ex vivo</w:t>
      </w:r>
      <w:r w:rsidRPr="0083017F">
        <w:rPr>
          <w:iCs/>
          <w:sz w:val="22"/>
          <w:szCs w:val="22"/>
          <w:lang w:val="hr-HR"/>
        </w:rPr>
        <w:t xml:space="preserve"> ispitivanja </w:t>
      </w:r>
      <w:r w:rsidRPr="0083017F">
        <w:rPr>
          <w:iCs/>
          <w:sz w:val="22"/>
          <w:szCs w:val="22"/>
          <w:lang w:val="hr-HR"/>
        </w:rPr>
        <w:lastRenderedPageBreak/>
        <w:t xml:space="preserve">pokazala su da je vezivanje za proteine 40 - 42% bez obzira na koncentraciju lijeka. Moksifloksacin se uglavnom vezuje za albumine seruma. </w:t>
      </w:r>
    </w:p>
    <w:p w:rsidR="0097639F" w:rsidRPr="0083017F" w:rsidRDefault="0097639F" w:rsidP="00B947F2">
      <w:pPr>
        <w:pStyle w:val="NoSpacing"/>
        <w:jc w:val="both"/>
        <w:rPr>
          <w:iCs/>
          <w:sz w:val="22"/>
          <w:szCs w:val="22"/>
          <w:lang w:val="hr-HR"/>
        </w:rPr>
      </w:pPr>
    </w:p>
    <w:p w:rsidR="0097639F" w:rsidRPr="0083017F" w:rsidRDefault="0097639F" w:rsidP="00B947F2">
      <w:pPr>
        <w:pStyle w:val="NoSpacing"/>
        <w:jc w:val="both"/>
        <w:rPr>
          <w:iCs/>
          <w:sz w:val="22"/>
          <w:szCs w:val="22"/>
          <w:lang w:val="hr-HR"/>
        </w:rPr>
      </w:pPr>
      <w:r w:rsidRPr="0083017F">
        <w:rPr>
          <w:iCs/>
          <w:sz w:val="22"/>
          <w:szCs w:val="22"/>
          <w:lang w:val="hr-HR"/>
        </w:rPr>
        <w:t xml:space="preserve">Nakon peroralne primjene jedne doze moksifloksacina od 400 mg, utvrđene su sljedeće maksimalne koncentracije (geometrijska sredina): </w:t>
      </w:r>
    </w:p>
    <w:p w:rsidR="0097639F" w:rsidRPr="0083017F" w:rsidRDefault="0097639F" w:rsidP="00B947F2">
      <w:pPr>
        <w:pStyle w:val="NoSpacing"/>
        <w:jc w:val="both"/>
        <w:rPr>
          <w:iCs/>
          <w:sz w:val="22"/>
          <w:szCs w:val="22"/>
          <w:u w:val="single"/>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174"/>
        <w:gridCol w:w="3270"/>
      </w:tblGrid>
      <w:tr w:rsidR="0097639F" w:rsidRPr="0083017F" w:rsidTr="005B249E">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b/>
                <w:iCs/>
                <w:sz w:val="22"/>
                <w:szCs w:val="22"/>
                <w:lang w:val="hr-HR"/>
              </w:rPr>
            </w:pPr>
            <w:r w:rsidRPr="0083017F">
              <w:rPr>
                <w:b/>
                <w:bCs/>
                <w:iCs/>
                <w:sz w:val="22"/>
                <w:szCs w:val="22"/>
                <w:lang w:val="hr-HR"/>
              </w:rPr>
              <w:t>Tkivo</w:t>
            </w:r>
          </w:p>
        </w:tc>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b/>
                <w:iCs/>
                <w:sz w:val="22"/>
                <w:szCs w:val="22"/>
                <w:lang w:val="hr-HR"/>
              </w:rPr>
            </w:pPr>
            <w:r w:rsidRPr="0083017F">
              <w:rPr>
                <w:b/>
                <w:bCs/>
                <w:iCs/>
                <w:sz w:val="22"/>
                <w:szCs w:val="22"/>
                <w:lang w:val="hr-HR"/>
              </w:rPr>
              <w:t>Koncentracija</w:t>
            </w:r>
          </w:p>
        </w:tc>
        <w:tc>
          <w:tcPr>
            <w:tcW w:w="170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b/>
                <w:iCs/>
                <w:sz w:val="22"/>
                <w:szCs w:val="22"/>
                <w:lang w:val="hr-HR"/>
              </w:rPr>
            </w:pPr>
            <w:r w:rsidRPr="0083017F">
              <w:rPr>
                <w:b/>
                <w:bCs/>
                <w:iCs/>
                <w:sz w:val="22"/>
                <w:szCs w:val="22"/>
                <w:lang w:val="hr-HR"/>
              </w:rPr>
              <w:t>Odnos tkivo:plazma</w:t>
            </w:r>
          </w:p>
        </w:tc>
      </w:tr>
      <w:tr w:rsidR="0097639F" w:rsidRPr="0083017F" w:rsidTr="005B249E">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Plazma</w:t>
            </w:r>
          </w:p>
        </w:tc>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6C0EE1" w:rsidP="00B947F2">
            <w:pPr>
              <w:pStyle w:val="NoSpacing"/>
              <w:jc w:val="both"/>
              <w:rPr>
                <w:iCs/>
                <w:sz w:val="22"/>
                <w:szCs w:val="22"/>
                <w:lang w:val="hr-HR"/>
              </w:rPr>
            </w:pPr>
            <w:r w:rsidRPr="0083017F">
              <w:rPr>
                <w:iCs/>
                <w:sz w:val="22"/>
                <w:szCs w:val="22"/>
                <w:lang w:val="hr-HR"/>
              </w:rPr>
              <w:t>3,1</w:t>
            </w:r>
            <w:r w:rsidR="000B49E9" w:rsidRPr="0083017F">
              <w:rPr>
                <w:iCs/>
                <w:sz w:val="22"/>
                <w:szCs w:val="22"/>
                <w:lang w:val="hr-HR"/>
              </w:rPr>
              <w:t xml:space="preserve"> </w:t>
            </w:r>
            <w:r w:rsidR="0097639F" w:rsidRPr="0083017F">
              <w:rPr>
                <w:iCs/>
                <w:sz w:val="22"/>
                <w:szCs w:val="22"/>
                <w:lang w:val="hr-HR"/>
              </w:rPr>
              <w:t xml:space="preserve">mg/l </w:t>
            </w:r>
          </w:p>
        </w:tc>
        <w:tc>
          <w:tcPr>
            <w:tcW w:w="170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w:t>
            </w:r>
          </w:p>
        </w:tc>
      </w:tr>
      <w:tr w:rsidR="0097639F" w:rsidRPr="0083017F" w:rsidTr="005B249E">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Pljuvačka</w:t>
            </w:r>
          </w:p>
        </w:tc>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6C0EE1" w:rsidP="00B947F2">
            <w:pPr>
              <w:pStyle w:val="NoSpacing"/>
              <w:jc w:val="both"/>
              <w:rPr>
                <w:iCs/>
                <w:sz w:val="22"/>
                <w:szCs w:val="22"/>
                <w:lang w:val="hr-HR"/>
              </w:rPr>
            </w:pPr>
            <w:r w:rsidRPr="0083017F">
              <w:rPr>
                <w:iCs/>
                <w:sz w:val="22"/>
                <w:szCs w:val="22"/>
                <w:lang w:val="hr-HR"/>
              </w:rPr>
              <w:t>3,6</w:t>
            </w:r>
            <w:r w:rsidR="000B49E9" w:rsidRPr="0083017F">
              <w:rPr>
                <w:iCs/>
                <w:sz w:val="22"/>
                <w:szCs w:val="22"/>
                <w:lang w:val="hr-HR"/>
              </w:rPr>
              <w:t xml:space="preserve"> </w:t>
            </w:r>
            <w:r w:rsidR="0097639F" w:rsidRPr="0083017F">
              <w:rPr>
                <w:iCs/>
                <w:sz w:val="22"/>
                <w:szCs w:val="22"/>
                <w:lang w:val="hr-HR"/>
              </w:rPr>
              <w:t xml:space="preserve">mg/l </w:t>
            </w:r>
          </w:p>
        </w:tc>
        <w:tc>
          <w:tcPr>
            <w:tcW w:w="170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0,75 – 1,3</w:t>
            </w:r>
          </w:p>
        </w:tc>
      </w:tr>
      <w:tr w:rsidR="0097639F" w:rsidRPr="0083017F" w:rsidTr="005B249E">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Tečnost u pliku</w:t>
            </w:r>
          </w:p>
        </w:tc>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1,6</w:t>
            </w:r>
            <w:r w:rsidRPr="0083017F">
              <w:rPr>
                <w:iCs/>
                <w:sz w:val="22"/>
                <w:szCs w:val="22"/>
                <w:vertAlign w:val="superscript"/>
                <w:lang w:val="hr-HR"/>
              </w:rPr>
              <w:t>1</w:t>
            </w:r>
            <w:r w:rsidR="000B49E9" w:rsidRPr="0083017F">
              <w:rPr>
                <w:iCs/>
                <w:sz w:val="22"/>
                <w:szCs w:val="22"/>
                <w:vertAlign w:val="superscript"/>
                <w:lang w:val="hr-HR"/>
              </w:rPr>
              <w:t xml:space="preserve"> </w:t>
            </w:r>
            <w:r w:rsidRPr="0083017F">
              <w:rPr>
                <w:iCs/>
                <w:sz w:val="22"/>
                <w:szCs w:val="22"/>
                <w:lang w:val="hr-HR"/>
              </w:rPr>
              <w:t xml:space="preserve">mg/l </w:t>
            </w:r>
          </w:p>
        </w:tc>
        <w:tc>
          <w:tcPr>
            <w:tcW w:w="170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1,7</w:t>
            </w:r>
            <w:r w:rsidRPr="0083017F">
              <w:rPr>
                <w:iCs/>
                <w:sz w:val="22"/>
                <w:szCs w:val="22"/>
                <w:vertAlign w:val="superscript"/>
                <w:lang w:val="hr-HR"/>
              </w:rPr>
              <w:t>1</w:t>
            </w:r>
          </w:p>
        </w:tc>
      </w:tr>
      <w:tr w:rsidR="0097639F" w:rsidRPr="0083017F" w:rsidTr="005B249E">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Bronhijalna mukoza</w:t>
            </w:r>
          </w:p>
        </w:tc>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6C0EE1" w:rsidP="00B947F2">
            <w:pPr>
              <w:pStyle w:val="NoSpacing"/>
              <w:jc w:val="both"/>
              <w:rPr>
                <w:iCs/>
                <w:sz w:val="22"/>
                <w:szCs w:val="22"/>
                <w:lang w:val="hr-HR"/>
              </w:rPr>
            </w:pPr>
            <w:r w:rsidRPr="0083017F">
              <w:rPr>
                <w:iCs/>
                <w:sz w:val="22"/>
                <w:szCs w:val="22"/>
                <w:lang w:val="hr-HR"/>
              </w:rPr>
              <w:t>5,4</w:t>
            </w:r>
            <w:r w:rsidR="000B49E9" w:rsidRPr="0083017F">
              <w:rPr>
                <w:iCs/>
                <w:sz w:val="22"/>
                <w:szCs w:val="22"/>
                <w:lang w:val="hr-HR"/>
              </w:rPr>
              <w:t xml:space="preserve"> </w:t>
            </w:r>
            <w:r w:rsidR="0097639F" w:rsidRPr="0083017F">
              <w:rPr>
                <w:iCs/>
                <w:sz w:val="22"/>
                <w:szCs w:val="22"/>
                <w:lang w:val="hr-HR"/>
              </w:rPr>
              <w:t xml:space="preserve">mg/kg </w:t>
            </w:r>
          </w:p>
        </w:tc>
        <w:tc>
          <w:tcPr>
            <w:tcW w:w="170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1,7 – 2,1</w:t>
            </w:r>
          </w:p>
        </w:tc>
      </w:tr>
      <w:tr w:rsidR="0097639F" w:rsidRPr="0083017F" w:rsidTr="005B249E">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Alveolarni makrofagi</w:t>
            </w:r>
          </w:p>
        </w:tc>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6C0EE1" w:rsidP="00B947F2">
            <w:pPr>
              <w:pStyle w:val="NoSpacing"/>
              <w:jc w:val="both"/>
              <w:rPr>
                <w:iCs/>
                <w:sz w:val="22"/>
                <w:szCs w:val="22"/>
                <w:lang w:val="hr-HR"/>
              </w:rPr>
            </w:pPr>
            <w:r w:rsidRPr="0083017F">
              <w:rPr>
                <w:iCs/>
                <w:sz w:val="22"/>
                <w:szCs w:val="22"/>
                <w:lang w:val="hr-HR"/>
              </w:rPr>
              <w:t>56,7</w:t>
            </w:r>
            <w:r w:rsidR="000B49E9" w:rsidRPr="0083017F">
              <w:rPr>
                <w:iCs/>
                <w:sz w:val="22"/>
                <w:szCs w:val="22"/>
                <w:lang w:val="hr-HR"/>
              </w:rPr>
              <w:t xml:space="preserve"> </w:t>
            </w:r>
            <w:r w:rsidR="0097639F" w:rsidRPr="0083017F">
              <w:rPr>
                <w:iCs/>
                <w:sz w:val="22"/>
                <w:szCs w:val="22"/>
                <w:lang w:val="hr-HR"/>
              </w:rPr>
              <w:t xml:space="preserve">mg/kg </w:t>
            </w:r>
          </w:p>
        </w:tc>
        <w:tc>
          <w:tcPr>
            <w:tcW w:w="170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18,6 – 70,0</w:t>
            </w:r>
          </w:p>
        </w:tc>
      </w:tr>
      <w:tr w:rsidR="0097639F" w:rsidRPr="0083017F" w:rsidTr="005B249E">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Tečnost koja oblaže epitel</w:t>
            </w:r>
          </w:p>
        </w:tc>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6C0EE1" w:rsidP="00B947F2">
            <w:pPr>
              <w:pStyle w:val="NoSpacing"/>
              <w:jc w:val="both"/>
              <w:rPr>
                <w:iCs/>
                <w:sz w:val="22"/>
                <w:szCs w:val="22"/>
                <w:lang w:val="hr-HR"/>
              </w:rPr>
            </w:pPr>
            <w:r w:rsidRPr="0083017F">
              <w:rPr>
                <w:iCs/>
                <w:sz w:val="22"/>
                <w:szCs w:val="22"/>
                <w:lang w:val="hr-HR"/>
              </w:rPr>
              <w:t>20,7</w:t>
            </w:r>
            <w:r w:rsidR="000B49E9" w:rsidRPr="0083017F">
              <w:rPr>
                <w:iCs/>
                <w:sz w:val="22"/>
                <w:szCs w:val="22"/>
                <w:lang w:val="hr-HR"/>
              </w:rPr>
              <w:t xml:space="preserve"> </w:t>
            </w:r>
            <w:r w:rsidR="0097639F" w:rsidRPr="0083017F">
              <w:rPr>
                <w:iCs/>
                <w:sz w:val="22"/>
                <w:szCs w:val="22"/>
                <w:lang w:val="hr-HR"/>
              </w:rPr>
              <w:t xml:space="preserve">mg/l </w:t>
            </w:r>
          </w:p>
        </w:tc>
        <w:tc>
          <w:tcPr>
            <w:tcW w:w="170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5 - 7</w:t>
            </w:r>
          </w:p>
        </w:tc>
      </w:tr>
      <w:tr w:rsidR="0097639F" w:rsidRPr="0083017F" w:rsidTr="005B249E">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Maksilarni sinus</w:t>
            </w:r>
          </w:p>
        </w:tc>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6C0EE1" w:rsidP="00B947F2">
            <w:pPr>
              <w:pStyle w:val="NoSpacing"/>
              <w:jc w:val="both"/>
              <w:rPr>
                <w:iCs/>
                <w:sz w:val="22"/>
                <w:szCs w:val="22"/>
                <w:lang w:val="hr-HR"/>
              </w:rPr>
            </w:pPr>
            <w:r w:rsidRPr="0083017F">
              <w:rPr>
                <w:iCs/>
                <w:sz w:val="22"/>
                <w:szCs w:val="22"/>
                <w:lang w:val="hr-HR"/>
              </w:rPr>
              <w:t>7,5</w:t>
            </w:r>
            <w:r w:rsidR="000B49E9" w:rsidRPr="0083017F">
              <w:rPr>
                <w:iCs/>
                <w:sz w:val="22"/>
                <w:szCs w:val="22"/>
                <w:lang w:val="hr-HR"/>
              </w:rPr>
              <w:t xml:space="preserve"> </w:t>
            </w:r>
            <w:r w:rsidR="0097639F" w:rsidRPr="0083017F">
              <w:rPr>
                <w:iCs/>
                <w:sz w:val="22"/>
                <w:szCs w:val="22"/>
                <w:lang w:val="hr-HR"/>
              </w:rPr>
              <w:t>mg/kg</w:t>
            </w:r>
          </w:p>
        </w:tc>
        <w:tc>
          <w:tcPr>
            <w:tcW w:w="170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2,0</w:t>
            </w:r>
          </w:p>
        </w:tc>
      </w:tr>
      <w:tr w:rsidR="0097639F" w:rsidRPr="0083017F" w:rsidTr="005B249E">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Etmoidni sinus</w:t>
            </w:r>
          </w:p>
        </w:tc>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6C0EE1" w:rsidP="00B947F2">
            <w:pPr>
              <w:pStyle w:val="NoSpacing"/>
              <w:jc w:val="both"/>
              <w:rPr>
                <w:iCs/>
                <w:sz w:val="22"/>
                <w:szCs w:val="22"/>
                <w:lang w:val="hr-HR"/>
              </w:rPr>
            </w:pPr>
            <w:r w:rsidRPr="0083017F">
              <w:rPr>
                <w:iCs/>
                <w:sz w:val="22"/>
                <w:szCs w:val="22"/>
                <w:lang w:val="hr-HR"/>
              </w:rPr>
              <w:t>8,2</w:t>
            </w:r>
            <w:r w:rsidR="000B49E9" w:rsidRPr="0083017F">
              <w:rPr>
                <w:iCs/>
                <w:sz w:val="22"/>
                <w:szCs w:val="22"/>
                <w:lang w:val="hr-HR"/>
              </w:rPr>
              <w:t xml:space="preserve"> </w:t>
            </w:r>
            <w:r w:rsidR="0097639F" w:rsidRPr="0083017F">
              <w:rPr>
                <w:iCs/>
                <w:sz w:val="22"/>
                <w:szCs w:val="22"/>
                <w:lang w:val="hr-HR"/>
              </w:rPr>
              <w:t>mg/kg</w:t>
            </w:r>
          </w:p>
        </w:tc>
        <w:tc>
          <w:tcPr>
            <w:tcW w:w="170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2,1</w:t>
            </w:r>
          </w:p>
        </w:tc>
      </w:tr>
      <w:tr w:rsidR="0097639F" w:rsidRPr="0083017F" w:rsidTr="005B249E">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Nazalni polipi</w:t>
            </w:r>
          </w:p>
        </w:tc>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6C0EE1" w:rsidP="00B947F2">
            <w:pPr>
              <w:pStyle w:val="NoSpacing"/>
              <w:jc w:val="both"/>
              <w:rPr>
                <w:iCs/>
                <w:sz w:val="22"/>
                <w:szCs w:val="22"/>
                <w:lang w:val="hr-HR"/>
              </w:rPr>
            </w:pPr>
            <w:r w:rsidRPr="0083017F">
              <w:rPr>
                <w:iCs/>
                <w:sz w:val="22"/>
                <w:szCs w:val="22"/>
                <w:lang w:val="hr-HR"/>
              </w:rPr>
              <w:t>9,1</w:t>
            </w:r>
            <w:r w:rsidR="000B49E9" w:rsidRPr="0083017F">
              <w:rPr>
                <w:iCs/>
                <w:sz w:val="22"/>
                <w:szCs w:val="22"/>
                <w:lang w:val="hr-HR"/>
              </w:rPr>
              <w:t xml:space="preserve"> </w:t>
            </w:r>
            <w:r w:rsidR="0097639F" w:rsidRPr="0083017F">
              <w:rPr>
                <w:iCs/>
                <w:sz w:val="22"/>
                <w:szCs w:val="22"/>
                <w:lang w:val="hr-HR"/>
              </w:rPr>
              <w:t>mg/kg</w:t>
            </w:r>
          </w:p>
        </w:tc>
        <w:tc>
          <w:tcPr>
            <w:tcW w:w="170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2,6</w:t>
            </w:r>
          </w:p>
        </w:tc>
      </w:tr>
      <w:tr w:rsidR="0097639F" w:rsidRPr="0083017F" w:rsidTr="005B249E">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Intersticijalna tečnost</w:t>
            </w:r>
          </w:p>
        </w:tc>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1,0</w:t>
            </w:r>
            <w:r w:rsidRPr="0083017F">
              <w:rPr>
                <w:iCs/>
                <w:sz w:val="22"/>
                <w:szCs w:val="22"/>
                <w:vertAlign w:val="superscript"/>
                <w:lang w:val="hr-HR"/>
              </w:rPr>
              <w:t>2</w:t>
            </w:r>
            <w:r w:rsidR="000B49E9" w:rsidRPr="0083017F">
              <w:rPr>
                <w:iCs/>
                <w:sz w:val="22"/>
                <w:szCs w:val="22"/>
                <w:vertAlign w:val="superscript"/>
                <w:lang w:val="hr-HR"/>
              </w:rPr>
              <w:t xml:space="preserve"> </w:t>
            </w:r>
            <w:r w:rsidRPr="0083017F">
              <w:rPr>
                <w:iCs/>
                <w:sz w:val="22"/>
                <w:szCs w:val="22"/>
                <w:lang w:val="hr-HR"/>
              </w:rPr>
              <w:t>mg/l</w:t>
            </w:r>
          </w:p>
        </w:tc>
        <w:tc>
          <w:tcPr>
            <w:tcW w:w="170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0,8 – 1,4</w:t>
            </w:r>
            <w:r w:rsidRPr="0083017F">
              <w:rPr>
                <w:iCs/>
                <w:sz w:val="22"/>
                <w:szCs w:val="22"/>
                <w:vertAlign w:val="superscript"/>
                <w:lang w:val="hr-HR"/>
              </w:rPr>
              <w:t>2,3</w:t>
            </w:r>
          </w:p>
        </w:tc>
      </w:tr>
      <w:tr w:rsidR="0097639F" w:rsidRPr="0083017F" w:rsidTr="005B249E">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Ženski genitalni trakt*</w:t>
            </w:r>
          </w:p>
        </w:tc>
        <w:tc>
          <w:tcPr>
            <w:tcW w:w="165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10,2</w:t>
            </w:r>
            <w:r w:rsidRPr="0083017F">
              <w:rPr>
                <w:iCs/>
                <w:sz w:val="22"/>
                <w:szCs w:val="22"/>
                <w:vertAlign w:val="superscript"/>
                <w:lang w:val="hr-HR"/>
              </w:rPr>
              <w:t>4</w:t>
            </w:r>
            <w:r w:rsidR="000B49E9" w:rsidRPr="0083017F">
              <w:rPr>
                <w:iCs/>
                <w:sz w:val="22"/>
                <w:szCs w:val="22"/>
                <w:vertAlign w:val="superscript"/>
                <w:lang w:val="hr-HR"/>
              </w:rPr>
              <w:t xml:space="preserve"> </w:t>
            </w:r>
            <w:r w:rsidRPr="0083017F">
              <w:rPr>
                <w:iCs/>
                <w:sz w:val="22"/>
                <w:szCs w:val="22"/>
                <w:lang w:val="hr-HR"/>
              </w:rPr>
              <w:t>mg/kg</w:t>
            </w:r>
          </w:p>
        </w:tc>
        <w:tc>
          <w:tcPr>
            <w:tcW w:w="1700" w:type="pct"/>
            <w:tcBorders>
              <w:top w:val="single" w:sz="4" w:space="0" w:color="auto"/>
              <w:left w:val="single" w:sz="4" w:space="0" w:color="auto"/>
              <w:bottom w:val="single" w:sz="4" w:space="0" w:color="auto"/>
              <w:right w:val="single" w:sz="4" w:space="0" w:color="auto"/>
            </w:tcBorders>
            <w:hideMark/>
          </w:tcPr>
          <w:p w:rsidR="0097639F" w:rsidRPr="0083017F" w:rsidRDefault="0097639F" w:rsidP="00B947F2">
            <w:pPr>
              <w:pStyle w:val="NoSpacing"/>
              <w:jc w:val="both"/>
              <w:rPr>
                <w:iCs/>
                <w:sz w:val="22"/>
                <w:szCs w:val="22"/>
                <w:lang w:val="hr-HR"/>
              </w:rPr>
            </w:pPr>
            <w:r w:rsidRPr="0083017F">
              <w:rPr>
                <w:iCs/>
                <w:sz w:val="22"/>
                <w:szCs w:val="22"/>
                <w:lang w:val="hr-HR"/>
              </w:rPr>
              <w:t>1,72</w:t>
            </w:r>
            <w:r w:rsidRPr="0083017F">
              <w:rPr>
                <w:iCs/>
                <w:sz w:val="22"/>
                <w:szCs w:val="22"/>
                <w:vertAlign w:val="superscript"/>
                <w:lang w:val="hr-HR"/>
              </w:rPr>
              <w:t>4</w:t>
            </w:r>
          </w:p>
        </w:tc>
      </w:tr>
    </w:tbl>
    <w:p w:rsidR="0097639F" w:rsidRPr="0083017F" w:rsidRDefault="0097639F" w:rsidP="00B947F2">
      <w:pPr>
        <w:pStyle w:val="NoSpacing"/>
        <w:jc w:val="both"/>
        <w:rPr>
          <w:iCs/>
          <w:sz w:val="22"/>
          <w:szCs w:val="22"/>
          <w:lang w:val="hr-HR"/>
        </w:rPr>
      </w:pPr>
      <w:r w:rsidRPr="0083017F">
        <w:rPr>
          <w:iCs/>
          <w:sz w:val="22"/>
          <w:szCs w:val="22"/>
          <w:lang w:val="hr-HR"/>
        </w:rPr>
        <w:t xml:space="preserve">* intravenska primjena pojedinačne </w:t>
      </w:r>
      <w:r w:rsidR="006C0EE1" w:rsidRPr="0083017F">
        <w:rPr>
          <w:iCs/>
          <w:sz w:val="22"/>
          <w:szCs w:val="22"/>
          <w:lang w:val="hr-HR"/>
        </w:rPr>
        <w:t xml:space="preserve">doze od </w:t>
      </w:r>
      <w:r w:rsidR="005B249E" w:rsidRPr="0083017F">
        <w:rPr>
          <w:iCs/>
          <w:sz w:val="22"/>
          <w:szCs w:val="22"/>
          <w:lang w:val="hr-HR"/>
        </w:rPr>
        <w:t>400 mg</w:t>
      </w:r>
    </w:p>
    <w:p w:rsidR="0097639F" w:rsidRPr="0083017F" w:rsidRDefault="0097639F" w:rsidP="00B947F2">
      <w:pPr>
        <w:pStyle w:val="NoSpacing"/>
        <w:jc w:val="both"/>
        <w:rPr>
          <w:iCs/>
          <w:sz w:val="22"/>
          <w:szCs w:val="22"/>
          <w:lang w:val="hr-HR"/>
        </w:rPr>
      </w:pPr>
      <w:r w:rsidRPr="0083017F">
        <w:rPr>
          <w:iCs/>
          <w:sz w:val="22"/>
          <w:szCs w:val="22"/>
          <w:vertAlign w:val="superscript"/>
          <w:lang w:val="hr-HR"/>
        </w:rPr>
        <w:t>1</w:t>
      </w:r>
      <w:r w:rsidRPr="0083017F">
        <w:rPr>
          <w:iCs/>
          <w:sz w:val="22"/>
          <w:szCs w:val="22"/>
          <w:lang w:val="hr-HR"/>
        </w:rPr>
        <w:t xml:space="preserve"> 10 sati nakon primjene</w:t>
      </w:r>
    </w:p>
    <w:p w:rsidR="0097639F" w:rsidRPr="0083017F" w:rsidRDefault="0097639F" w:rsidP="00B947F2">
      <w:pPr>
        <w:pStyle w:val="NoSpacing"/>
        <w:jc w:val="both"/>
        <w:rPr>
          <w:iCs/>
          <w:sz w:val="22"/>
          <w:szCs w:val="22"/>
          <w:lang w:val="hr-HR"/>
        </w:rPr>
      </w:pPr>
      <w:r w:rsidRPr="0083017F">
        <w:rPr>
          <w:iCs/>
          <w:sz w:val="22"/>
          <w:szCs w:val="22"/>
          <w:vertAlign w:val="superscript"/>
          <w:lang w:val="hr-HR"/>
        </w:rPr>
        <w:t>2</w:t>
      </w:r>
      <w:r w:rsidRPr="0083017F">
        <w:rPr>
          <w:iCs/>
          <w:sz w:val="22"/>
          <w:szCs w:val="22"/>
          <w:lang w:val="hr-HR"/>
        </w:rPr>
        <w:t xml:space="preserve"> koncentracija slobodne frakcije lijeka</w:t>
      </w:r>
    </w:p>
    <w:p w:rsidR="0097639F" w:rsidRPr="0083017F" w:rsidRDefault="0097639F" w:rsidP="00B947F2">
      <w:pPr>
        <w:pStyle w:val="NoSpacing"/>
        <w:jc w:val="both"/>
        <w:rPr>
          <w:iCs/>
          <w:sz w:val="22"/>
          <w:szCs w:val="22"/>
          <w:lang w:val="hr-HR"/>
        </w:rPr>
      </w:pPr>
      <w:r w:rsidRPr="0083017F">
        <w:rPr>
          <w:iCs/>
          <w:sz w:val="22"/>
          <w:szCs w:val="22"/>
          <w:vertAlign w:val="superscript"/>
          <w:lang w:val="hr-HR"/>
        </w:rPr>
        <w:t>3</w:t>
      </w:r>
      <w:r w:rsidRPr="0083017F">
        <w:rPr>
          <w:iCs/>
          <w:sz w:val="22"/>
          <w:szCs w:val="22"/>
          <w:lang w:val="hr-HR"/>
        </w:rPr>
        <w:t xml:space="preserve"> od 3 do 36 sati nakon doziranja</w:t>
      </w:r>
    </w:p>
    <w:p w:rsidR="0097639F" w:rsidRPr="0083017F" w:rsidRDefault="0097639F" w:rsidP="00B947F2">
      <w:pPr>
        <w:pStyle w:val="NoSpacing"/>
        <w:jc w:val="both"/>
        <w:rPr>
          <w:iCs/>
          <w:sz w:val="22"/>
          <w:szCs w:val="22"/>
          <w:lang w:val="hr-HR"/>
        </w:rPr>
      </w:pPr>
      <w:r w:rsidRPr="0083017F">
        <w:rPr>
          <w:iCs/>
          <w:sz w:val="22"/>
          <w:szCs w:val="22"/>
          <w:vertAlign w:val="superscript"/>
          <w:lang w:val="hr-HR"/>
        </w:rPr>
        <w:t>4</w:t>
      </w:r>
      <w:r w:rsidRPr="0083017F">
        <w:rPr>
          <w:iCs/>
          <w:sz w:val="22"/>
          <w:szCs w:val="22"/>
          <w:lang w:val="hr-HR"/>
        </w:rPr>
        <w:t xml:space="preserve"> na kraju infuzije</w:t>
      </w:r>
    </w:p>
    <w:p w:rsidR="0097639F" w:rsidRPr="0083017F" w:rsidRDefault="0097639F" w:rsidP="00B947F2">
      <w:pPr>
        <w:pStyle w:val="NoSpacing"/>
        <w:jc w:val="both"/>
        <w:rPr>
          <w:iCs/>
          <w:sz w:val="22"/>
          <w:szCs w:val="22"/>
          <w:u w:val="single"/>
          <w:lang w:val="hr-HR"/>
        </w:rPr>
      </w:pPr>
    </w:p>
    <w:p w:rsidR="0097639F" w:rsidRPr="0083017F" w:rsidRDefault="0097639F" w:rsidP="00B947F2">
      <w:pPr>
        <w:pStyle w:val="NoSpacing"/>
        <w:jc w:val="both"/>
        <w:rPr>
          <w:iCs/>
          <w:sz w:val="22"/>
          <w:szCs w:val="22"/>
          <w:u w:val="single"/>
          <w:lang w:val="hr-HR"/>
        </w:rPr>
      </w:pPr>
    </w:p>
    <w:p w:rsidR="0097639F" w:rsidRPr="0083017F" w:rsidRDefault="0097639F" w:rsidP="00B947F2">
      <w:pPr>
        <w:pStyle w:val="NoSpacing"/>
        <w:jc w:val="both"/>
        <w:rPr>
          <w:iCs/>
          <w:sz w:val="22"/>
          <w:szCs w:val="22"/>
          <w:u w:val="single"/>
          <w:lang w:val="hr-HR"/>
        </w:rPr>
      </w:pPr>
      <w:r w:rsidRPr="0083017F">
        <w:rPr>
          <w:iCs/>
          <w:sz w:val="22"/>
          <w:szCs w:val="22"/>
          <w:u w:val="single"/>
          <w:lang w:val="hr-HR"/>
        </w:rPr>
        <w:t xml:space="preserve">Metabolizam </w:t>
      </w:r>
    </w:p>
    <w:p w:rsidR="0097639F" w:rsidRPr="0083017F" w:rsidRDefault="0097639F" w:rsidP="00B947F2">
      <w:pPr>
        <w:pStyle w:val="NoSpacing"/>
        <w:jc w:val="both"/>
        <w:rPr>
          <w:iCs/>
          <w:sz w:val="22"/>
          <w:szCs w:val="22"/>
          <w:lang w:val="hr-HR"/>
        </w:rPr>
      </w:pPr>
      <w:r w:rsidRPr="0083017F">
        <w:rPr>
          <w:iCs/>
          <w:sz w:val="22"/>
          <w:szCs w:val="22"/>
          <w:lang w:val="hr-HR"/>
        </w:rPr>
        <w:t>Moksifloksacin podliježe II fazi biotransformacije i izlučuje se putem renalnih i bilijarnih/fekalnih puteva nepromijenjenog oblika, tako i u obliku sulfo-jedinjenja (M1) i glukuronida (M2). M1 i M2 jedini su značajni metaboliti kod ljudi, a oba su mikrobiološki neaktivna.</w:t>
      </w:r>
    </w:p>
    <w:p w:rsidR="0097639F" w:rsidRPr="0083017F" w:rsidRDefault="0097639F" w:rsidP="00B947F2">
      <w:pPr>
        <w:pStyle w:val="NoSpacing"/>
        <w:jc w:val="both"/>
        <w:rPr>
          <w:iCs/>
          <w:sz w:val="22"/>
          <w:szCs w:val="22"/>
          <w:lang w:val="hr-HR"/>
        </w:rPr>
      </w:pPr>
    </w:p>
    <w:p w:rsidR="0097639F" w:rsidRPr="0083017F" w:rsidRDefault="0097639F" w:rsidP="00B947F2">
      <w:pPr>
        <w:pStyle w:val="NoSpacing"/>
        <w:jc w:val="both"/>
        <w:rPr>
          <w:iCs/>
          <w:sz w:val="22"/>
          <w:szCs w:val="22"/>
          <w:lang w:val="hr-HR"/>
        </w:rPr>
      </w:pPr>
      <w:r w:rsidRPr="0083017F">
        <w:rPr>
          <w:iCs/>
          <w:sz w:val="22"/>
          <w:szCs w:val="22"/>
          <w:lang w:val="hr-HR"/>
        </w:rPr>
        <w:t xml:space="preserve">U kliničkim ispitivanjima I faze i u ispitivanjima </w:t>
      </w:r>
      <w:r w:rsidRPr="0083017F">
        <w:rPr>
          <w:i/>
          <w:iCs/>
          <w:sz w:val="22"/>
          <w:szCs w:val="22"/>
          <w:lang w:val="hr-HR"/>
        </w:rPr>
        <w:t>in vitro</w:t>
      </w:r>
      <w:r w:rsidRPr="0083017F">
        <w:rPr>
          <w:iCs/>
          <w:sz w:val="22"/>
          <w:szCs w:val="22"/>
          <w:lang w:val="hr-HR"/>
        </w:rPr>
        <w:t xml:space="preserve"> nije</w:t>
      </w:r>
      <w:r w:rsidR="006C0EE1" w:rsidRPr="0083017F">
        <w:rPr>
          <w:iCs/>
          <w:sz w:val="22"/>
          <w:szCs w:val="22"/>
          <w:lang w:val="hr-HR"/>
        </w:rPr>
        <w:t>s</w:t>
      </w:r>
      <w:r w:rsidRPr="0083017F">
        <w:rPr>
          <w:iCs/>
          <w:sz w:val="22"/>
          <w:szCs w:val="22"/>
          <w:lang w:val="hr-HR"/>
        </w:rPr>
        <w:t>u primijećene metaboličke farmakokinetičke interakcije sa drugim ljekovima koji podliježu reakcijama I faze biotransformacije putem citohrom P450 enzima. Nema dokaza za postojanje oksidativnog metabolizma.</w:t>
      </w:r>
    </w:p>
    <w:p w:rsidR="0097639F" w:rsidRPr="0083017F" w:rsidRDefault="0097639F" w:rsidP="00B947F2">
      <w:pPr>
        <w:pStyle w:val="NoSpacing"/>
        <w:jc w:val="both"/>
        <w:rPr>
          <w:iCs/>
          <w:sz w:val="22"/>
          <w:szCs w:val="22"/>
          <w:lang w:val="hr-HR"/>
        </w:rPr>
      </w:pPr>
    </w:p>
    <w:p w:rsidR="0097639F" w:rsidRPr="0083017F" w:rsidRDefault="0097639F" w:rsidP="00B947F2">
      <w:pPr>
        <w:pStyle w:val="NoSpacing"/>
        <w:jc w:val="both"/>
        <w:rPr>
          <w:iCs/>
          <w:sz w:val="22"/>
          <w:szCs w:val="22"/>
          <w:u w:val="single"/>
          <w:lang w:val="hr-HR"/>
        </w:rPr>
      </w:pPr>
      <w:r w:rsidRPr="0083017F">
        <w:rPr>
          <w:iCs/>
          <w:sz w:val="22"/>
          <w:szCs w:val="22"/>
          <w:u w:val="single"/>
          <w:lang w:val="hr-HR"/>
        </w:rPr>
        <w:t>Eliminacija</w:t>
      </w:r>
    </w:p>
    <w:p w:rsidR="0097639F" w:rsidRPr="0083017F" w:rsidRDefault="0097639F" w:rsidP="00B947F2">
      <w:pPr>
        <w:pStyle w:val="NoSpacing"/>
        <w:jc w:val="both"/>
        <w:rPr>
          <w:iCs/>
          <w:sz w:val="22"/>
          <w:szCs w:val="22"/>
          <w:lang w:val="hr-HR"/>
        </w:rPr>
      </w:pPr>
      <w:r w:rsidRPr="0083017F">
        <w:rPr>
          <w:iCs/>
          <w:sz w:val="22"/>
          <w:szCs w:val="22"/>
          <w:lang w:val="hr-HR"/>
        </w:rPr>
        <w:t>Prosječno terminalno poluvrijeme eliminacije moksifloksacina iz plazme je oko 12 sati. Nakon primjen</w:t>
      </w:r>
      <w:r w:rsidR="006C0EE1" w:rsidRPr="0083017F">
        <w:rPr>
          <w:iCs/>
          <w:sz w:val="22"/>
          <w:szCs w:val="22"/>
          <w:lang w:val="hr-HR"/>
        </w:rPr>
        <w:t xml:space="preserve">e doze od </w:t>
      </w:r>
      <w:r w:rsidR="005B249E" w:rsidRPr="0083017F">
        <w:rPr>
          <w:iCs/>
          <w:sz w:val="22"/>
          <w:szCs w:val="22"/>
          <w:lang w:val="hr-HR"/>
        </w:rPr>
        <w:t>400 mg</w:t>
      </w:r>
      <w:r w:rsidRPr="0083017F">
        <w:rPr>
          <w:iCs/>
          <w:sz w:val="22"/>
          <w:szCs w:val="22"/>
          <w:lang w:val="hr-HR"/>
        </w:rPr>
        <w:t>, srednji prividni ukupni klirens iznosi 179-246 ml/min. Renalni klirens je oko 24-53 ml/min, što ukazuje na djelimičnu tubularnu reapsorpciju lijeka.</w:t>
      </w:r>
    </w:p>
    <w:p w:rsidR="0097639F" w:rsidRPr="0083017F" w:rsidRDefault="0097639F" w:rsidP="00B947F2">
      <w:pPr>
        <w:pStyle w:val="NoSpacing"/>
        <w:jc w:val="both"/>
        <w:rPr>
          <w:iCs/>
          <w:sz w:val="22"/>
          <w:szCs w:val="22"/>
          <w:lang w:val="hr-HR"/>
        </w:rPr>
      </w:pPr>
    </w:p>
    <w:p w:rsidR="0097639F" w:rsidRPr="0083017F" w:rsidRDefault="0097639F" w:rsidP="00B947F2">
      <w:pPr>
        <w:pStyle w:val="NoSpacing"/>
        <w:jc w:val="both"/>
        <w:rPr>
          <w:iCs/>
          <w:sz w:val="22"/>
          <w:szCs w:val="22"/>
          <w:lang w:val="hr-HR"/>
        </w:rPr>
      </w:pPr>
      <w:r w:rsidRPr="0083017F">
        <w:rPr>
          <w:iCs/>
          <w:sz w:val="22"/>
          <w:szCs w:val="22"/>
          <w:lang w:val="hr-HR"/>
        </w:rPr>
        <w:t>Nakon p</w:t>
      </w:r>
      <w:r w:rsidR="006C0EE1" w:rsidRPr="0083017F">
        <w:rPr>
          <w:iCs/>
          <w:sz w:val="22"/>
          <w:szCs w:val="22"/>
          <w:lang w:val="hr-HR"/>
        </w:rPr>
        <w:t xml:space="preserve">rimjene doze od </w:t>
      </w:r>
      <w:r w:rsidR="005B249E" w:rsidRPr="0083017F">
        <w:rPr>
          <w:iCs/>
          <w:sz w:val="22"/>
          <w:szCs w:val="22"/>
          <w:lang w:val="hr-HR"/>
        </w:rPr>
        <w:t>400 mg</w:t>
      </w:r>
      <w:r w:rsidRPr="0083017F">
        <w:rPr>
          <w:iCs/>
          <w:sz w:val="22"/>
          <w:szCs w:val="22"/>
          <w:lang w:val="hr-HR"/>
        </w:rPr>
        <w:t>, mokraćom (približno 19% nepromijenjenog lijeka, oko 2,5% u obliku M1, oko 14% u obliku M2) i stolicom (približno 25% nepromijenjenog lijeka, oko 36% u obliku M1, u M2 obliku se ne izlučuje) se izluči približno 96% primijenjene doze.</w:t>
      </w:r>
    </w:p>
    <w:p w:rsidR="0097639F" w:rsidRPr="0083017F" w:rsidRDefault="0097639F" w:rsidP="00B947F2">
      <w:pPr>
        <w:pStyle w:val="NoSpacing"/>
        <w:jc w:val="both"/>
        <w:rPr>
          <w:iCs/>
          <w:sz w:val="22"/>
          <w:szCs w:val="22"/>
          <w:lang w:val="hr-HR"/>
        </w:rPr>
      </w:pPr>
    </w:p>
    <w:p w:rsidR="0097639F" w:rsidRPr="0083017F" w:rsidRDefault="0097639F" w:rsidP="00B947F2">
      <w:pPr>
        <w:pStyle w:val="NoSpacing"/>
        <w:jc w:val="both"/>
        <w:rPr>
          <w:iCs/>
          <w:sz w:val="22"/>
          <w:szCs w:val="22"/>
          <w:lang w:val="hr-HR"/>
        </w:rPr>
      </w:pPr>
      <w:r w:rsidRPr="0083017F">
        <w:rPr>
          <w:iCs/>
          <w:sz w:val="22"/>
          <w:szCs w:val="22"/>
          <w:lang w:val="hr-HR"/>
        </w:rPr>
        <w:t>Kod istovremene primjene moksifloksacina i ranitidina ili probenecida renalni klirens moksifloksacina nije bio promijenjen.</w:t>
      </w:r>
    </w:p>
    <w:p w:rsidR="0097639F" w:rsidRPr="0083017F" w:rsidRDefault="0097639F" w:rsidP="00B947F2">
      <w:pPr>
        <w:pStyle w:val="NoSpacing"/>
        <w:jc w:val="both"/>
        <w:rPr>
          <w:iCs/>
          <w:sz w:val="22"/>
          <w:szCs w:val="22"/>
          <w:lang w:val="hr-HR"/>
        </w:rPr>
      </w:pPr>
    </w:p>
    <w:p w:rsidR="0097639F" w:rsidRPr="0083017F" w:rsidRDefault="0097639F" w:rsidP="00B947F2">
      <w:pPr>
        <w:pStyle w:val="NoSpacing"/>
        <w:jc w:val="both"/>
        <w:rPr>
          <w:iCs/>
          <w:sz w:val="22"/>
          <w:szCs w:val="22"/>
          <w:u w:val="single"/>
          <w:lang w:val="hr-HR"/>
        </w:rPr>
      </w:pPr>
      <w:r w:rsidRPr="0083017F">
        <w:rPr>
          <w:iCs/>
          <w:sz w:val="22"/>
          <w:szCs w:val="22"/>
          <w:u w:val="single"/>
          <w:lang w:val="hr-HR"/>
        </w:rPr>
        <w:lastRenderedPageBreak/>
        <w:t>Starije osobe i pacijenti sa malom tjelesnom masom</w:t>
      </w:r>
    </w:p>
    <w:p w:rsidR="0097639F" w:rsidRPr="0083017F" w:rsidRDefault="0097639F" w:rsidP="00B947F2">
      <w:pPr>
        <w:pStyle w:val="NoSpacing"/>
        <w:jc w:val="both"/>
        <w:rPr>
          <w:iCs/>
          <w:sz w:val="22"/>
          <w:szCs w:val="22"/>
          <w:lang w:val="hr-HR"/>
        </w:rPr>
      </w:pPr>
      <w:r w:rsidRPr="0083017F">
        <w:rPr>
          <w:iCs/>
          <w:sz w:val="22"/>
          <w:szCs w:val="22"/>
          <w:lang w:val="hr-HR"/>
        </w:rPr>
        <w:t>Kod zdravih dobrovoljaca sa manjom tjelesnom masom (npr. kod žena) i kod starijih ispitanika izmjerene su više koncentracije u plazmi.</w:t>
      </w:r>
    </w:p>
    <w:p w:rsidR="0097639F" w:rsidRPr="0083017F" w:rsidRDefault="0097639F" w:rsidP="00B947F2">
      <w:pPr>
        <w:pStyle w:val="NoSpacing"/>
        <w:jc w:val="both"/>
        <w:rPr>
          <w:iCs/>
          <w:sz w:val="22"/>
          <w:szCs w:val="22"/>
          <w:lang w:val="hr-HR"/>
        </w:rPr>
      </w:pPr>
    </w:p>
    <w:p w:rsidR="0097639F" w:rsidRPr="0083017F" w:rsidRDefault="0097639F" w:rsidP="00B947F2">
      <w:pPr>
        <w:pStyle w:val="NoSpacing"/>
        <w:jc w:val="both"/>
        <w:rPr>
          <w:iCs/>
          <w:sz w:val="22"/>
          <w:szCs w:val="22"/>
          <w:u w:val="single"/>
          <w:lang w:val="hr-HR"/>
        </w:rPr>
      </w:pPr>
      <w:r w:rsidRPr="0083017F">
        <w:rPr>
          <w:iCs/>
          <w:sz w:val="22"/>
          <w:szCs w:val="22"/>
          <w:u w:val="single"/>
          <w:lang w:val="hr-HR"/>
        </w:rPr>
        <w:t>Oštećena funkcija bubrega</w:t>
      </w:r>
    </w:p>
    <w:p w:rsidR="0097639F" w:rsidRPr="0083017F" w:rsidRDefault="0097639F" w:rsidP="00B947F2">
      <w:pPr>
        <w:pStyle w:val="NoSpacing"/>
        <w:jc w:val="both"/>
        <w:rPr>
          <w:iCs/>
          <w:sz w:val="22"/>
          <w:szCs w:val="22"/>
          <w:lang w:val="hr-HR"/>
        </w:rPr>
      </w:pPr>
      <w:r w:rsidRPr="0083017F">
        <w:rPr>
          <w:iCs/>
          <w:sz w:val="22"/>
          <w:szCs w:val="22"/>
          <w:lang w:val="hr-HR"/>
        </w:rPr>
        <w:t>Farmakokinetički parametri moksifloksacina nijesu bili značajno različiti kod pacijenata sa poremećajem bubrega (uključujući klirensom kreatinina &gt;20 ml/min/1,73 m2). Sa smanjenjem renalne funkcije koncentracije metabolita M2 (glukuronida) rastu do 2,5 puta (s klirensom kreatinina &lt; 30 ml/min/1,73 m</w:t>
      </w:r>
      <w:r w:rsidRPr="0083017F">
        <w:rPr>
          <w:iCs/>
          <w:sz w:val="22"/>
          <w:szCs w:val="22"/>
          <w:vertAlign w:val="superscript"/>
          <w:lang w:val="hr-HR"/>
        </w:rPr>
        <w:t>2</w:t>
      </w:r>
      <w:r w:rsidRPr="0083017F">
        <w:rPr>
          <w:iCs/>
          <w:sz w:val="22"/>
          <w:szCs w:val="22"/>
          <w:lang w:val="hr-HR"/>
        </w:rPr>
        <w:t>).</w:t>
      </w:r>
    </w:p>
    <w:p w:rsidR="0097639F" w:rsidRPr="0083017F" w:rsidRDefault="0097639F" w:rsidP="00B947F2">
      <w:pPr>
        <w:pStyle w:val="NoSpacing"/>
        <w:jc w:val="both"/>
        <w:rPr>
          <w:iCs/>
          <w:sz w:val="22"/>
          <w:szCs w:val="22"/>
          <w:lang w:val="hr-HR"/>
        </w:rPr>
      </w:pPr>
    </w:p>
    <w:p w:rsidR="0097639F" w:rsidRPr="0083017F" w:rsidRDefault="0097639F" w:rsidP="00B947F2">
      <w:pPr>
        <w:pStyle w:val="NoSpacing"/>
        <w:jc w:val="both"/>
        <w:rPr>
          <w:iCs/>
          <w:sz w:val="22"/>
          <w:szCs w:val="22"/>
          <w:u w:val="single"/>
          <w:lang w:val="hr-HR"/>
        </w:rPr>
      </w:pPr>
      <w:r w:rsidRPr="0083017F">
        <w:rPr>
          <w:iCs/>
          <w:sz w:val="22"/>
          <w:szCs w:val="22"/>
          <w:u w:val="single"/>
          <w:lang w:val="hr-HR"/>
        </w:rPr>
        <w:t>Oštećenja funkcija jetre</w:t>
      </w:r>
    </w:p>
    <w:p w:rsidR="0097639F" w:rsidRPr="0083017F" w:rsidRDefault="0097639F" w:rsidP="00B947F2">
      <w:pPr>
        <w:pStyle w:val="NoSpacing"/>
        <w:jc w:val="both"/>
        <w:rPr>
          <w:iCs/>
          <w:sz w:val="22"/>
          <w:szCs w:val="22"/>
          <w:lang w:val="hr-HR"/>
        </w:rPr>
      </w:pPr>
      <w:r w:rsidRPr="0083017F">
        <w:rPr>
          <w:iCs/>
          <w:sz w:val="22"/>
          <w:szCs w:val="22"/>
          <w:lang w:val="hr-HR"/>
        </w:rPr>
        <w:t>Na bazi do sada sprovedenih farmakokinetičkih ispitivanja kod pacijenata sa insuficijencijom jetre (Child-Pugh A, B) ne može se odrediti da li postoje bilo kakve razlike u poređenju sa zdravim dobrovoljcima. Oslabljena funkcija jetre povezuje se sa većom koncentracijom M1 u plazmi, dok je nepromjenjen lijek bio slične koncentracije kao kod zdravih dobrovoljaca. Ne postoji dovoljno iskustva u kliničkoj primjeni moksifloksacina kod pacijenata sa oštećenom funkcijom jetre.</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b/>
          <w:sz w:val="22"/>
          <w:szCs w:val="22"/>
          <w:lang w:val="hr-HR"/>
        </w:rPr>
      </w:pPr>
      <w:r w:rsidRPr="0083017F">
        <w:rPr>
          <w:b/>
          <w:sz w:val="22"/>
          <w:szCs w:val="22"/>
          <w:lang w:val="hr-HR"/>
        </w:rPr>
        <w:t>5.3. Pretklinički podaci o bezbjednosti</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noProof/>
          <w:sz w:val="22"/>
          <w:szCs w:val="22"/>
          <w:lang w:val="hr-HR"/>
        </w:rPr>
      </w:pPr>
      <w:r w:rsidRPr="0083017F">
        <w:rPr>
          <w:noProof/>
          <w:sz w:val="22"/>
          <w:szCs w:val="22"/>
          <w:lang w:val="hr-HR"/>
        </w:rPr>
        <w:t xml:space="preserve">Efekti na hematopoetski sistem (blago smanjenje broja eritrocita i trombocita) primijećeni su kod pacova i majmuna. Kao i kod drugih hinolona, primijećena je hepatotoksičnost (povećanje vrijednosti enzima jetre i vakuolarna degeneracija) kod pacova, majmuna i pasa. Kod  majmuna je uočeno toksično djelovanje na centralni nervni sistem (konvulzije). Ovi efekti su primijećeni nakon primijene velikih doza moksifloksacina ili nakon njegove dugotrajne primijene.  </w:t>
      </w:r>
    </w:p>
    <w:p w:rsidR="0097639F" w:rsidRPr="0083017F" w:rsidRDefault="0097639F" w:rsidP="00B947F2">
      <w:pPr>
        <w:pStyle w:val="NoSpacing"/>
        <w:jc w:val="both"/>
        <w:rPr>
          <w:noProof/>
          <w:sz w:val="22"/>
          <w:szCs w:val="22"/>
          <w:lang w:val="hr-HR"/>
        </w:rPr>
      </w:pPr>
    </w:p>
    <w:p w:rsidR="0097639F" w:rsidRPr="0083017F" w:rsidRDefault="0097639F" w:rsidP="00B947F2">
      <w:pPr>
        <w:pStyle w:val="NoSpacing"/>
        <w:jc w:val="both"/>
        <w:rPr>
          <w:noProof/>
          <w:sz w:val="22"/>
          <w:szCs w:val="22"/>
          <w:lang w:val="hr-HR"/>
        </w:rPr>
      </w:pPr>
      <w:r w:rsidRPr="0083017F">
        <w:rPr>
          <w:noProof/>
          <w:sz w:val="22"/>
          <w:szCs w:val="22"/>
          <w:lang w:val="hr-HR"/>
        </w:rPr>
        <w:t xml:space="preserve">U </w:t>
      </w:r>
      <w:r w:rsidRPr="0083017F">
        <w:rPr>
          <w:i/>
          <w:noProof/>
          <w:sz w:val="22"/>
          <w:szCs w:val="22"/>
          <w:lang w:val="hr-HR"/>
        </w:rPr>
        <w:t>in vitro</w:t>
      </w:r>
      <w:r w:rsidRPr="0083017F">
        <w:rPr>
          <w:noProof/>
          <w:sz w:val="22"/>
          <w:szCs w:val="22"/>
          <w:lang w:val="hr-HR"/>
        </w:rPr>
        <w:t xml:space="preserve"> ispitivanjima na bakterijama ili na ćelijama sisara utvrđeno je da moksifloksacin, kao i drugi hinoloni, djeluje genotoksično. Budući da se ti efekti mogu objasniti interakcijom s bakterijskom girazom i kod većih koncentracija interakcijom s topoizomerazom II u ćelijama sisara. Na osnovu ovih podataka može se predvidjeti prag koncentracije za genotoksičnost. U </w:t>
      </w:r>
      <w:r w:rsidRPr="0083017F">
        <w:rPr>
          <w:i/>
          <w:noProof/>
          <w:sz w:val="22"/>
          <w:szCs w:val="22"/>
          <w:lang w:val="hr-HR"/>
        </w:rPr>
        <w:t>in vivo</w:t>
      </w:r>
      <w:r w:rsidRPr="0083017F">
        <w:rPr>
          <w:noProof/>
          <w:sz w:val="22"/>
          <w:szCs w:val="22"/>
          <w:lang w:val="hr-HR"/>
        </w:rPr>
        <w:t xml:space="preserve"> ispitivanjima, uprkos primjeni vrlo velikih doza moksifloksacina, genotoksičnost nije ustanovljena. Prema tome, kod ljudi se može obezbjediti dovoljna margina bezbjednosti prilikom primijene terapijskih doza. Moksifloksacin nije ispoljio kancerogeno dejstvo u studijama izvedenim na pacovima.</w:t>
      </w:r>
    </w:p>
    <w:p w:rsidR="0097639F" w:rsidRPr="0083017F" w:rsidRDefault="0097639F" w:rsidP="00B947F2">
      <w:pPr>
        <w:pStyle w:val="NoSpacing"/>
        <w:jc w:val="both"/>
        <w:rPr>
          <w:noProof/>
          <w:sz w:val="22"/>
          <w:szCs w:val="22"/>
          <w:lang w:val="hr-HR"/>
        </w:rPr>
      </w:pPr>
      <w:r w:rsidRPr="0083017F">
        <w:rPr>
          <w:noProof/>
          <w:sz w:val="22"/>
          <w:szCs w:val="22"/>
          <w:lang w:val="hr-HR"/>
        </w:rPr>
        <w:t xml:space="preserve">Većina hinolona je fotoreaktivna i mogu da indukuju fototoksičnost, fotomutagenost i fotokarcinogenost. Za razliku od njih, u opsežnom programu </w:t>
      </w:r>
      <w:r w:rsidRPr="0083017F">
        <w:rPr>
          <w:i/>
          <w:noProof/>
          <w:sz w:val="22"/>
          <w:szCs w:val="22"/>
          <w:lang w:val="hr-HR"/>
        </w:rPr>
        <w:t>in vitro</w:t>
      </w:r>
      <w:r w:rsidRPr="0083017F">
        <w:rPr>
          <w:noProof/>
          <w:sz w:val="22"/>
          <w:szCs w:val="22"/>
          <w:lang w:val="hr-HR"/>
        </w:rPr>
        <w:t xml:space="preserve"> i </w:t>
      </w:r>
      <w:r w:rsidRPr="0083017F">
        <w:rPr>
          <w:i/>
          <w:noProof/>
          <w:sz w:val="22"/>
          <w:szCs w:val="22"/>
          <w:lang w:val="hr-HR"/>
        </w:rPr>
        <w:t>in vivo</w:t>
      </w:r>
      <w:r w:rsidRPr="0083017F">
        <w:rPr>
          <w:noProof/>
          <w:sz w:val="22"/>
          <w:szCs w:val="22"/>
          <w:lang w:val="hr-HR"/>
        </w:rPr>
        <w:t xml:space="preserve"> istrazivanja bilo je dokazano da moksifloksacin nema fototoksična i fotogenotoksična svojstva. Pod istim uslovima, drugi hinoloni su indukovali efekte.</w:t>
      </w:r>
    </w:p>
    <w:p w:rsidR="0097639F" w:rsidRPr="0083017F" w:rsidRDefault="0097639F" w:rsidP="00B947F2">
      <w:pPr>
        <w:pStyle w:val="NoSpacing"/>
        <w:jc w:val="both"/>
        <w:rPr>
          <w:noProof/>
          <w:sz w:val="22"/>
          <w:szCs w:val="22"/>
          <w:lang w:val="hr-HR"/>
        </w:rPr>
      </w:pPr>
    </w:p>
    <w:p w:rsidR="0097639F" w:rsidRPr="0083017F" w:rsidRDefault="0097639F" w:rsidP="00B947F2">
      <w:pPr>
        <w:pStyle w:val="NoSpacing"/>
        <w:jc w:val="both"/>
        <w:rPr>
          <w:noProof/>
          <w:sz w:val="22"/>
          <w:szCs w:val="22"/>
          <w:lang w:val="hr-HR"/>
        </w:rPr>
      </w:pPr>
      <w:r w:rsidRPr="0083017F">
        <w:rPr>
          <w:noProof/>
          <w:sz w:val="22"/>
          <w:szCs w:val="22"/>
          <w:lang w:val="hr-HR"/>
        </w:rPr>
        <w:t>U visokim koncentracijama moksifloksacin inhibiše brzu komponentu zakašnjelog rektifikacijskog dotoka kalijuma u srce</w:t>
      </w:r>
      <w:r w:rsidRPr="0083017F">
        <w:rPr>
          <w:sz w:val="22"/>
          <w:szCs w:val="22"/>
        </w:rPr>
        <w:t xml:space="preserve"> </w:t>
      </w:r>
      <w:r w:rsidRPr="0083017F">
        <w:rPr>
          <w:noProof/>
          <w:sz w:val="22"/>
          <w:szCs w:val="22"/>
          <w:lang w:val="hr-HR"/>
        </w:rPr>
        <w:t>i na taj način može podstaknuti produženje QT intervala. U toksikološkim ispitivanjima na psima kod kojih su primijenjene peroralne doze ≥ 90 mg/kg, koncentracija u plazmi iznosila je ≥16 mg/l, što je uzrokovalo produženje QT intervala, ali ne i aritmije. Samo nakon vrlo velike kumulativne intravenske primijene koja je preko 50 puta veća od doze kod  ljudi (&gt;300 mg/kg), dolazi do porasta koncentracije u plazmi ≥ 200 mg/l (preko 40 puta veća od terapijske koncentracije) primijećena je pojava reverzibilnih ventrikularnih aritmija bez smrtnog ishoda.</w:t>
      </w:r>
    </w:p>
    <w:p w:rsidR="0097639F" w:rsidRPr="0083017F" w:rsidRDefault="0097639F" w:rsidP="00B947F2">
      <w:pPr>
        <w:pStyle w:val="NoSpacing"/>
        <w:jc w:val="both"/>
        <w:rPr>
          <w:noProof/>
          <w:sz w:val="22"/>
          <w:szCs w:val="22"/>
          <w:lang w:val="hr-HR"/>
        </w:rPr>
      </w:pPr>
    </w:p>
    <w:p w:rsidR="0097639F" w:rsidRPr="0083017F" w:rsidRDefault="0097639F" w:rsidP="00B947F2">
      <w:pPr>
        <w:pStyle w:val="NoSpacing"/>
        <w:jc w:val="both"/>
        <w:rPr>
          <w:noProof/>
          <w:sz w:val="22"/>
          <w:szCs w:val="22"/>
          <w:lang w:val="hr-HR"/>
        </w:rPr>
      </w:pPr>
      <w:r w:rsidRPr="0083017F">
        <w:rPr>
          <w:noProof/>
          <w:sz w:val="22"/>
          <w:szCs w:val="22"/>
          <w:lang w:val="hr-HR"/>
        </w:rPr>
        <w:t>Poznato je da hinoloni uzrokuju oštećenja zglobne hrskavice u velikim zglobovima kod nezrelih životinja. Najmanja peroralna doza moksifloksacina, koja je kod pasa djelovala toksično na zglobove, bila je četiri puta veća od najveće pre</w:t>
      </w:r>
      <w:r w:rsidR="006C0EE1" w:rsidRPr="0083017F">
        <w:rPr>
          <w:noProof/>
          <w:sz w:val="22"/>
          <w:szCs w:val="22"/>
          <w:lang w:val="hr-HR"/>
        </w:rPr>
        <w:t xml:space="preserve">poručene terapijske doze od </w:t>
      </w:r>
      <w:r w:rsidR="005B249E" w:rsidRPr="0083017F">
        <w:rPr>
          <w:noProof/>
          <w:sz w:val="22"/>
          <w:szCs w:val="22"/>
          <w:lang w:val="hr-HR"/>
        </w:rPr>
        <w:t>400 mg</w:t>
      </w:r>
      <w:r w:rsidRPr="0083017F">
        <w:rPr>
          <w:noProof/>
          <w:sz w:val="22"/>
          <w:szCs w:val="22"/>
          <w:lang w:val="hr-HR"/>
        </w:rPr>
        <w:t xml:space="preserve"> izražene u mg/kg (uz pretpostavku da je tjelesna masa </w:t>
      </w:r>
      <w:r w:rsidRPr="0083017F">
        <w:rPr>
          <w:noProof/>
          <w:sz w:val="22"/>
          <w:szCs w:val="22"/>
          <w:lang w:val="hr-HR"/>
        </w:rPr>
        <w:lastRenderedPageBreak/>
        <w:t>50 kg) sa koncentracijama u plazmi koje su bile dva do tri puta veće nego nakon primjene maksimalnih terapijskih doza.</w:t>
      </w:r>
    </w:p>
    <w:p w:rsidR="0097639F" w:rsidRPr="0083017F" w:rsidRDefault="0097639F" w:rsidP="00B947F2">
      <w:pPr>
        <w:pStyle w:val="NoSpacing"/>
        <w:jc w:val="both"/>
        <w:rPr>
          <w:noProof/>
          <w:sz w:val="22"/>
          <w:szCs w:val="22"/>
          <w:lang w:val="hr-HR"/>
        </w:rPr>
      </w:pPr>
    </w:p>
    <w:p w:rsidR="0097639F" w:rsidRPr="0083017F" w:rsidRDefault="0097639F" w:rsidP="00B947F2">
      <w:pPr>
        <w:pStyle w:val="NoSpacing"/>
        <w:jc w:val="both"/>
        <w:rPr>
          <w:noProof/>
          <w:sz w:val="22"/>
          <w:szCs w:val="22"/>
          <w:lang w:val="hr-HR"/>
        </w:rPr>
      </w:pPr>
      <w:r w:rsidRPr="0083017F">
        <w:rPr>
          <w:noProof/>
          <w:sz w:val="22"/>
          <w:szCs w:val="22"/>
          <w:lang w:val="hr-HR"/>
        </w:rPr>
        <w:t xml:space="preserve">U toksikološkim ispitivanjima na pacovima i majmunima (ponovljena primjena do šest mjeseci), nije postojao okulotoksični rizik. Kod pasa, velike peroralne doze (≥ </w:t>
      </w:r>
      <w:r w:rsidR="006C0EE1" w:rsidRPr="0083017F">
        <w:rPr>
          <w:noProof/>
          <w:sz w:val="22"/>
          <w:szCs w:val="22"/>
          <w:lang w:val="hr-HR"/>
        </w:rPr>
        <w:t>60</w:t>
      </w:r>
      <w:r w:rsidRPr="0083017F">
        <w:rPr>
          <w:noProof/>
          <w:sz w:val="22"/>
          <w:szCs w:val="22"/>
          <w:lang w:val="hr-HR"/>
        </w:rPr>
        <w:t xml:space="preserve">mg/kg) su dovele do koncentracija </w:t>
      </w:r>
      <w:r w:rsidR="006C0EE1" w:rsidRPr="0083017F">
        <w:rPr>
          <w:noProof/>
          <w:sz w:val="22"/>
          <w:szCs w:val="22"/>
          <w:lang w:val="hr-HR"/>
        </w:rPr>
        <w:t>u plazmi ≥ 20</w:t>
      </w:r>
      <w:r w:rsidRPr="0083017F">
        <w:rPr>
          <w:noProof/>
          <w:sz w:val="22"/>
          <w:szCs w:val="22"/>
          <w:lang w:val="hr-HR"/>
        </w:rPr>
        <w:t>mg/l, koje su uzrokovale promjene u elektroretinogramu i u izolovanim slučajevima atrofiju retine.</w:t>
      </w:r>
    </w:p>
    <w:p w:rsidR="0097639F" w:rsidRPr="0083017F" w:rsidRDefault="0097639F" w:rsidP="00B947F2">
      <w:pPr>
        <w:pStyle w:val="NoSpacing"/>
        <w:jc w:val="both"/>
        <w:rPr>
          <w:noProof/>
          <w:sz w:val="22"/>
          <w:szCs w:val="22"/>
          <w:lang w:val="hr-HR"/>
        </w:rPr>
      </w:pPr>
    </w:p>
    <w:p w:rsidR="0097639F" w:rsidRPr="0083017F" w:rsidRDefault="0097639F" w:rsidP="00B947F2">
      <w:pPr>
        <w:pStyle w:val="NoSpacing"/>
        <w:jc w:val="both"/>
        <w:rPr>
          <w:sz w:val="22"/>
          <w:szCs w:val="22"/>
          <w:lang w:val="hr-HR"/>
        </w:rPr>
      </w:pPr>
      <w:r w:rsidRPr="0083017F">
        <w:rPr>
          <w:noProof/>
          <w:sz w:val="22"/>
          <w:szCs w:val="22"/>
          <w:lang w:val="hr-HR"/>
        </w:rPr>
        <w:t>U reproduktivnim studijama kod pacova, kunića i majmuna utvrđeno je da moksifloksacin prolazi kroz placentnu barijeru. U ispitivanjima na pacovima (oralna i intravenska primjena) i majmunima (oralna primjena) nijesu dokazani teratogenost ili poremećaj fertiliteta nakon primjene moksifloksacina. Primjećeno je blago povećanje incidence malformacija kičme i rebara kod fetusa kunića, ali samo kod primjene doze (20 mg/kg i.v.) koja je izazvala tešku toksičnost kod majke. Incidenca abortusa je bila veća kod majmuna i kunića kod koncentracija koje su bile jednake terapijskim koncentracijama kod ljudi. Nakon primjene doza 63 puta većih od najveće preporučene (u mg/kg), s koncentracijama u plazmi koje su se kretale u rasponu terapijskih doza za ljude, kod pacova je primijećena smanjena težina fetusa, povećanje prenatalne smrtnosti, nešto duže trajanje graviditeta i povećanje spontane aktivnosti kod nekih mladunčadi (mužjaka i ženki).</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p>
    <w:p w:rsidR="0097639F" w:rsidRPr="0083017F" w:rsidRDefault="006C0EE1" w:rsidP="00B947F2">
      <w:pPr>
        <w:pStyle w:val="NoSpacing"/>
        <w:jc w:val="both"/>
        <w:rPr>
          <w:b/>
          <w:sz w:val="22"/>
          <w:szCs w:val="22"/>
          <w:lang w:val="hr-HR"/>
        </w:rPr>
      </w:pPr>
      <w:r w:rsidRPr="0083017F">
        <w:rPr>
          <w:b/>
          <w:sz w:val="22"/>
          <w:szCs w:val="22"/>
          <w:lang w:val="hr-HR"/>
        </w:rPr>
        <w:t xml:space="preserve">6. </w:t>
      </w:r>
      <w:r w:rsidR="0097639F" w:rsidRPr="0083017F">
        <w:rPr>
          <w:b/>
          <w:sz w:val="22"/>
          <w:szCs w:val="22"/>
          <w:lang w:val="hr-HR"/>
        </w:rPr>
        <w:t>FARMACEUTSKI PODACI</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b/>
          <w:sz w:val="22"/>
          <w:szCs w:val="22"/>
          <w:lang w:val="hr-HR"/>
        </w:rPr>
      </w:pPr>
      <w:r w:rsidRPr="0083017F">
        <w:rPr>
          <w:b/>
          <w:sz w:val="22"/>
          <w:szCs w:val="22"/>
          <w:lang w:val="hr-HR"/>
        </w:rPr>
        <w:t>6.1.</w:t>
      </w:r>
      <w:r w:rsidR="006C0EE1" w:rsidRPr="0083017F">
        <w:rPr>
          <w:b/>
          <w:sz w:val="22"/>
          <w:szCs w:val="22"/>
          <w:lang w:val="hr-HR"/>
        </w:rPr>
        <w:t xml:space="preserve"> </w:t>
      </w:r>
      <w:r w:rsidRPr="0083017F">
        <w:rPr>
          <w:b/>
          <w:sz w:val="22"/>
          <w:szCs w:val="22"/>
          <w:lang w:val="hr-HR"/>
        </w:rPr>
        <w:t>Lista pomoćnih supstanci</w:t>
      </w:r>
    </w:p>
    <w:p w:rsidR="0097639F" w:rsidRPr="0083017F" w:rsidRDefault="0097639F" w:rsidP="00B947F2">
      <w:pPr>
        <w:pStyle w:val="NoSpacing"/>
        <w:jc w:val="both"/>
        <w:rPr>
          <w:noProof/>
          <w:sz w:val="22"/>
          <w:szCs w:val="22"/>
          <w:u w:val="single"/>
          <w:lang w:val="hr-HR"/>
        </w:rPr>
      </w:pPr>
    </w:p>
    <w:p w:rsidR="0097639F" w:rsidRPr="0083017F" w:rsidRDefault="0097639F" w:rsidP="00B947F2">
      <w:pPr>
        <w:pStyle w:val="NoSpacing"/>
        <w:jc w:val="both"/>
        <w:rPr>
          <w:noProof/>
          <w:sz w:val="22"/>
          <w:szCs w:val="22"/>
          <w:u w:val="single"/>
          <w:lang w:val="hr-HR"/>
        </w:rPr>
      </w:pPr>
      <w:r w:rsidRPr="0083017F">
        <w:rPr>
          <w:noProof/>
          <w:sz w:val="22"/>
          <w:szCs w:val="22"/>
          <w:u w:val="single"/>
          <w:lang w:val="hr-HR"/>
        </w:rPr>
        <w:t>Jezgro tablete</w:t>
      </w:r>
    </w:p>
    <w:p w:rsidR="0097639F" w:rsidRPr="0083017F" w:rsidRDefault="0097639F" w:rsidP="00B947F2">
      <w:pPr>
        <w:pStyle w:val="NoSpacing"/>
        <w:jc w:val="both"/>
        <w:rPr>
          <w:noProof/>
          <w:sz w:val="22"/>
          <w:szCs w:val="22"/>
          <w:lang w:val="hr-HR"/>
        </w:rPr>
      </w:pPr>
      <w:r w:rsidRPr="0083017F">
        <w:rPr>
          <w:noProof/>
          <w:sz w:val="22"/>
          <w:szCs w:val="22"/>
          <w:lang w:val="hr-HR"/>
        </w:rPr>
        <w:t>celuloza, mikrokristalna</w:t>
      </w:r>
    </w:p>
    <w:p w:rsidR="0097639F" w:rsidRPr="0083017F" w:rsidRDefault="0097639F" w:rsidP="00B947F2">
      <w:pPr>
        <w:pStyle w:val="NoSpacing"/>
        <w:jc w:val="both"/>
        <w:rPr>
          <w:noProof/>
          <w:sz w:val="22"/>
          <w:szCs w:val="22"/>
          <w:lang w:val="hr-HR"/>
        </w:rPr>
      </w:pPr>
      <w:r w:rsidRPr="0083017F">
        <w:rPr>
          <w:noProof/>
          <w:sz w:val="22"/>
          <w:szCs w:val="22"/>
          <w:lang w:val="hr-HR"/>
        </w:rPr>
        <w:t xml:space="preserve">kroskarmeloza natrijum </w:t>
      </w:r>
    </w:p>
    <w:p w:rsidR="0097639F" w:rsidRPr="0083017F" w:rsidRDefault="0097639F" w:rsidP="00B947F2">
      <w:pPr>
        <w:pStyle w:val="NoSpacing"/>
        <w:jc w:val="both"/>
        <w:rPr>
          <w:noProof/>
          <w:sz w:val="22"/>
          <w:szCs w:val="22"/>
          <w:lang w:val="hr-HR"/>
        </w:rPr>
      </w:pPr>
      <w:r w:rsidRPr="0083017F">
        <w:rPr>
          <w:noProof/>
          <w:sz w:val="22"/>
          <w:szCs w:val="22"/>
          <w:lang w:val="hr-HR"/>
        </w:rPr>
        <w:t>magnezijum stearat</w:t>
      </w:r>
    </w:p>
    <w:p w:rsidR="0097639F" w:rsidRPr="0083017F" w:rsidRDefault="0097639F" w:rsidP="00B947F2">
      <w:pPr>
        <w:pStyle w:val="NoSpacing"/>
        <w:jc w:val="both"/>
        <w:rPr>
          <w:noProof/>
          <w:sz w:val="22"/>
          <w:szCs w:val="22"/>
          <w:lang w:val="hr-HR"/>
        </w:rPr>
      </w:pPr>
    </w:p>
    <w:p w:rsidR="0097639F" w:rsidRPr="0083017F" w:rsidRDefault="0097639F" w:rsidP="00B947F2">
      <w:pPr>
        <w:pStyle w:val="NoSpacing"/>
        <w:jc w:val="both"/>
        <w:rPr>
          <w:noProof/>
          <w:sz w:val="22"/>
          <w:szCs w:val="22"/>
          <w:u w:val="single"/>
          <w:lang w:val="hr-HR"/>
        </w:rPr>
      </w:pPr>
      <w:r w:rsidRPr="0083017F">
        <w:rPr>
          <w:noProof/>
          <w:sz w:val="22"/>
          <w:szCs w:val="22"/>
          <w:u w:val="single"/>
          <w:lang w:val="hr-HR"/>
        </w:rPr>
        <w:t>Film obloga tablete</w:t>
      </w:r>
    </w:p>
    <w:p w:rsidR="0097639F" w:rsidRPr="0083017F" w:rsidRDefault="0097639F" w:rsidP="00B947F2">
      <w:pPr>
        <w:pStyle w:val="NoSpacing"/>
        <w:jc w:val="both"/>
        <w:rPr>
          <w:noProof/>
          <w:sz w:val="22"/>
          <w:szCs w:val="22"/>
          <w:lang w:val="hr-HR"/>
        </w:rPr>
      </w:pPr>
      <w:r w:rsidRPr="0083017F">
        <w:rPr>
          <w:noProof/>
          <w:sz w:val="22"/>
          <w:szCs w:val="22"/>
          <w:lang w:val="hr-HR"/>
        </w:rPr>
        <w:t>hipromeloza 6 mPa</w:t>
      </w:r>
      <w:r w:rsidRPr="0083017F">
        <w:rPr>
          <w:sz w:val="22"/>
          <w:szCs w:val="22"/>
          <w:lang w:val="hr-HR"/>
        </w:rPr>
        <w:t>·s</w:t>
      </w:r>
    </w:p>
    <w:p w:rsidR="0097639F" w:rsidRPr="0083017F" w:rsidRDefault="0097639F" w:rsidP="00B947F2">
      <w:pPr>
        <w:pStyle w:val="NoSpacing"/>
        <w:jc w:val="both"/>
        <w:rPr>
          <w:noProof/>
          <w:sz w:val="22"/>
          <w:szCs w:val="22"/>
          <w:lang w:val="hr-HR"/>
        </w:rPr>
      </w:pPr>
      <w:r w:rsidRPr="0083017F">
        <w:rPr>
          <w:noProof/>
          <w:sz w:val="22"/>
          <w:szCs w:val="22"/>
          <w:lang w:val="hr-HR"/>
        </w:rPr>
        <w:t>makrogol 4000</w:t>
      </w:r>
    </w:p>
    <w:p w:rsidR="0097639F" w:rsidRPr="0083017F" w:rsidRDefault="0097639F" w:rsidP="00B947F2">
      <w:pPr>
        <w:pStyle w:val="NoSpacing"/>
        <w:jc w:val="both"/>
        <w:rPr>
          <w:noProof/>
          <w:sz w:val="22"/>
          <w:szCs w:val="22"/>
          <w:lang w:val="hr-HR"/>
        </w:rPr>
      </w:pPr>
      <w:r w:rsidRPr="0083017F">
        <w:rPr>
          <w:noProof/>
          <w:sz w:val="22"/>
          <w:szCs w:val="22"/>
          <w:lang w:val="hr-HR"/>
        </w:rPr>
        <w:t xml:space="preserve">titanijum dioksid (E171) </w:t>
      </w:r>
    </w:p>
    <w:p w:rsidR="0097639F" w:rsidRPr="0083017F" w:rsidRDefault="0097639F" w:rsidP="00B947F2">
      <w:pPr>
        <w:pStyle w:val="NoSpacing"/>
        <w:jc w:val="both"/>
        <w:rPr>
          <w:sz w:val="22"/>
          <w:szCs w:val="22"/>
          <w:lang w:val="hr-HR"/>
        </w:rPr>
      </w:pPr>
      <w:r w:rsidRPr="0083017F">
        <w:rPr>
          <w:sz w:val="22"/>
          <w:szCs w:val="22"/>
          <w:lang w:val="hr-HR"/>
        </w:rPr>
        <w:t>gvožđe (III) oksid, crveni (E172)</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b/>
          <w:sz w:val="22"/>
          <w:szCs w:val="22"/>
          <w:lang w:val="hr-HR"/>
        </w:rPr>
      </w:pPr>
      <w:r w:rsidRPr="0083017F">
        <w:rPr>
          <w:b/>
          <w:sz w:val="22"/>
          <w:szCs w:val="22"/>
          <w:lang w:val="hr-HR"/>
        </w:rPr>
        <w:t>6.2.</w:t>
      </w:r>
      <w:r w:rsidR="006C0EE1" w:rsidRPr="0083017F">
        <w:rPr>
          <w:b/>
          <w:sz w:val="22"/>
          <w:szCs w:val="22"/>
          <w:lang w:val="hr-HR"/>
        </w:rPr>
        <w:t xml:space="preserve"> </w:t>
      </w:r>
      <w:r w:rsidRPr="0083017F">
        <w:rPr>
          <w:b/>
          <w:sz w:val="22"/>
          <w:szCs w:val="22"/>
          <w:lang w:val="hr-HR"/>
        </w:rPr>
        <w:t>Inkompatibilnosti</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Nije primjenjivo.</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b/>
          <w:sz w:val="22"/>
          <w:szCs w:val="22"/>
          <w:lang w:val="hr-HR"/>
        </w:rPr>
      </w:pPr>
      <w:r w:rsidRPr="0083017F">
        <w:rPr>
          <w:b/>
          <w:sz w:val="22"/>
          <w:szCs w:val="22"/>
          <w:lang w:val="hr-HR"/>
        </w:rPr>
        <w:t>6.3.</w:t>
      </w:r>
      <w:r w:rsidR="006C0EE1" w:rsidRPr="0083017F">
        <w:rPr>
          <w:b/>
          <w:sz w:val="22"/>
          <w:szCs w:val="22"/>
          <w:lang w:val="hr-HR"/>
        </w:rPr>
        <w:t xml:space="preserve"> </w:t>
      </w:r>
      <w:r w:rsidRPr="0083017F">
        <w:rPr>
          <w:b/>
          <w:sz w:val="22"/>
          <w:szCs w:val="22"/>
          <w:lang w:val="hr-HR"/>
        </w:rPr>
        <w:t>Rok upotrebe</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2 godine.</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b/>
          <w:sz w:val="22"/>
          <w:szCs w:val="22"/>
          <w:lang w:val="hr-HR"/>
        </w:rPr>
      </w:pPr>
      <w:r w:rsidRPr="0083017F">
        <w:rPr>
          <w:b/>
          <w:sz w:val="22"/>
          <w:szCs w:val="22"/>
          <w:lang w:val="hr-HR"/>
        </w:rPr>
        <w:t>6.4.</w:t>
      </w:r>
      <w:r w:rsidR="006C0EE1" w:rsidRPr="0083017F">
        <w:rPr>
          <w:b/>
          <w:sz w:val="22"/>
          <w:szCs w:val="22"/>
          <w:lang w:val="hr-HR"/>
        </w:rPr>
        <w:t xml:space="preserve"> </w:t>
      </w:r>
      <w:r w:rsidRPr="0083017F">
        <w:rPr>
          <w:b/>
          <w:sz w:val="22"/>
          <w:szCs w:val="22"/>
          <w:lang w:val="hr-HR"/>
        </w:rPr>
        <w:t>Posebne mjere upozorenja pri čuvanju lijeka</w:t>
      </w:r>
    </w:p>
    <w:p w:rsidR="0097639F" w:rsidRPr="0083017F" w:rsidRDefault="0097639F" w:rsidP="00B947F2">
      <w:pPr>
        <w:pStyle w:val="NoSpacing"/>
        <w:jc w:val="both"/>
        <w:rPr>
          <w:b/>
          <w:i/>
          <w:iCs/>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Čuvati u originalnom pakovanju radi zaštite od vlage.</w:t>
      </w:r>
    </w:p>
    <w:p w:rsidR="0097639F" w:rsidRPr="0083017F" w:rsidRDefault="0097639F" w:rsidP="00B947F2">
      <w:pPr>
        <w:pStyle w:val="NoSpacing"/>
        <w:jc w:val="both"/>
        <w:rPr>
          <w:sz w:val="22"/>
          <w:szCs w:val="22"/>
          <w:lang w:val="hr-HR"/>
        </w:rPr>
      </w:pPr>
      <w:r w:rsidRPr="0083017F">
        <w:rPr>
          <w:sz w:val="22"/>
          <w:szCs w:val="22"/>
          <w:lang w:val="hr-HR"/>
        </w:rPr>
        <w:t>Čuvati na temperaturi do 30°C.</w:t>
      </w:r>
    </w:p>
    <w:p w:rsidR="0097639F" w:rsidRPr="0083017F" w:rsidRDefault="0097639F" w:rsidP="00B947F2">
      <w:pPr>
        <w:pStyle w:val="NoSpacing"/>
        <w:jc w:val="both"/>
        <w:rPr>
          <w:noProof/>
          <w:sz w:val="22"/>
          <w:szCs w:val="22"/>
          <w:lang w:val="hr-HR"/>
        </w:rPr>
      </w:pPr>
    </w:p>
    <w:p w:rsidR="00F0157A" w:rsidRPr="0083017F" w:rsidRDefault="00F0157A" w:rsidP="00B947F2">
      <w:pPr>
        <w:pStyle w:val="NoSpacing"/>
        <w:jc w:val="both"/>
        <w:rPr>
          <w:b/>
          <w:sz w:val="22"/>
          <w:szCs w:val="22"/>
          <w:lang w:val="hr-HR"/>
        </w:rPr>
      </w:pPr>
    </w:p>
    <w:p w:rsidR="0097639F" w:rsidRPr="0083017F" w:rsidRDefault="0097639F" w:rsidP="00B947F2">
      <w:pPr>
        <w:pStyle w:val="NoSpacing"/>
        <w:jc w:val="both"/>
        <w:rPr>
          <w:b/>
          <w:sz w:val="22"/>
          <w:szCs w:val="22"/>
          <w:lang w:val="hr-HR"/>
        </w:rPr>
      </w:pPr>
      <w:r w:rsidRPr="0083017F">
        <w:rPr>
          <w:b/>
          <w:sz w:val="22"/>
          <w:szCs w:val="22"/>
          <w:lang w:val="hr-HR"/>
        </w:rPr>
        <w:lastRenderedPageBreak/>
        <w:t>6.5.</w:t>
      </w:r>
      <w:r w:rsidR="006C0EE1" w:rsidRPr="0083017F">
        <w:rPr>
          <w:b/>
          <w:sz w:val="22"/>
          <w:szCs w:val="22"/>
          <w:lang w:val="hr-HR"/>
        </w:rPr>
        <w:t xml:space="preserve"> </w:t>
      </w:r>
      <w:r w:rsidRPr="0083017F">
        <w:rPr>
          <w:b/>
          <w:sz w:val="22"/>
          <w:szCs w:val="22"/>
          <w:lang w:val="hr-HR"/>
        </w:rPr>
        <w:t>Vrsta i sadržaj pakovanja</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Blister pakovanja (OPA/Al/PVC - Al folija): 5 (1x5)</w:t>
      </w:r>
      <w:r w:rsidRPr="0083017F">
        <w:rPr>
          <w:noProof/>
          <w:sz w:val="22"/>
          <w:szCs w:val="22"/>
          <w:lang w:val="hr-HR"/>
        </w:rPr>
        <w:t xml:space="preserve"> ili </w:t>
      </w:r>
      <w:r w:rsidRPr="0083017F">
        <w:rPr>
          <w:sz w:val="22"/>
          <w:szCs w:val="22"/>
          <w:lang w:val="hr-HR"/>
        </w:rPr>
        <w:t>7 (1x7) film tableta</w:t>
      </w:r>
      <w:r w:rsidRPr="0083017F">
        <w:rPr>
          <w:bCs/>
          <w:sz w:val="22"/>
          <w:szCs w:val="22"/>
          <w:lang w:val="hr-HR"/>
        </w:rPr>
        <w:t xml:space="preserve"> </w:t>
      </w:r>
      <w:r w:rsidRPr="0083017F">
        <w:rPr>
          <w:sz w:val="22"/>
          <w:szCs w:val="22"/>
          <w:lang w:val="hr-HR"/>
        </w:rPr>
        <w:t>u kutiji.</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b/>
          <w:bCs/>
          <w:sz w:val="22"/>
          <w:szCs w:val="22"/>
        </w:rPr>
      </w:pPr>
      <w:r w:rsidRPr="0083017F">
        <w:rPr>
          <w:b/>
          <w:sz w:val="22"/>
          <w:szCs w:val="22"/>
          <w:lang w:val="hr-HR"/>
        </w:rPr>
        <w:t>6.6.</w:t>
      </w:r>
      <w:r w:rsidR="006C0EE1" w:rsidRPr="0083017F">
        <w:rPr>
          <w:b/>
          <w:sz w:val="22"/>
          <w:szCs w:val="22"/>
          <w:lang w:val="hr-HR"/>
        </w:rPr>
        <w:t xml:space="preserve"> </w:t>
      </w:r>
      <w:r w:rsidRPr="0083017F">
        <w:rPr>
          <w:b/>
          <w:sz w:val="22"/>
          <w:szCs w:val="22"/>
        </w:rPr>
        <w:t>Posebne mjere opreza pri odlaganju materijala koji treba odbaciti nakon primjene lijeka</w:t>
      </w:r>
      <w:r w:rsidRPr="0083017F">
        <w:rPr>
          <w:b/>
          <w:bCs/>
          <w:sz w:val="22"/>
          <w:szCs w:val="22"/>
        </w:rPr>
        <w:t xml:space="preserve"> </w:t>
      </w:r>
    </w:p>
    <w:p w:rsidR="0097639F" w:rsidRPr="0083017F" w:rsidRDefault="0097639F" w:rsidP="00B947F2">
      <w:pPr>
        <w:pStyle w:val="NoSpacing"/>
        <w:jc w:val="both"/>
        <w:rPr>
          <w:bCs/>
          <w:sz w:val="22"/>
          <w:szCs w:val="22"/>
        </w:rPr>
      </w:pPr>
    </w:p>
    <w:p w:rsidR="0097639F" w:rsidRPr="0083017F" w:rsidRDefault="0097639F" w:rsidP="00B947F2">
      <w:pPr>
        <w:pStyle w:val="NoSpacing"/>
        <w:jc w:val="both"/>
        <w:rPr>
          <w:sz w:val="22"/>
          <w:szCs w:val="22"/>
          <w:lang w:val="hr-HR"/>
        </w:rPr>
      </w:pPr>
      <w:r w:rsidRPr="0083017F">
        <w:rPr>
          <w:sz w:val="22"/>
          <w:szCs w:val="22"/>
          <w:lang w:val="hr-HR"/>
        </w:rPr>
        <w:t>Nema posebnih zahtjeva.</w:t>
      </w:r>
    </w:p>
    <w:p w:rsidR="0097639F" w:rsidRPr="0083017F" w:rsidRDefault="0097639F" w:rsidP="00B947F2">
      <w:pPr>
        <w:pStyle w:val="NoSpacing"/>
        <w:jc w:val="both"/>
        <w:rPr>
          <w:sz w:val="22"/>
          <w:szCs w:val="22"/>
          <w:lang w:val="hr-HR"/>
        </w:rPr>
      </w:pPr>
      <w:r w:rsidRPr="0083017F">
        <w:rPr>
          <w:sz w:val="22"/>
          <w:szCs w:val="22"/>
          <w:lang w:val="hr-HR"/>
        </w:rPr>
        <w:t>Neupotrijebljeni lijek ili otpadni materijal treba odložiti u skladu sa važećim propisima.</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b/>
          <w:sz w:val="22"/>
          <w:szCs w:val="22"/>
          <w:lang w:val="hr-HR"/>
        </w:rPr>
      </w:pPr>
      <w:r w:rsidRPr="0083017F">
        <w:rPr>
          <w:b/>
          <w:sz w:val="22"/>
          <w:szCs w:val="22"/>
          <w:lang w:val="hr-HR"/>
        </w:rPr>
        <w:t>6.7. Režim izdavanja lijeka</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Neobnovljiv (jednokratni) recept.</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p>
    <w:p w:rsidR="0097639F" w:rsidRPr="0083017F" w:rsidRDefault="00652FF1" w:rsidP="00B947F2">
      <w:pPr>
        <w:pStyle w:val="NoSpacing"/>
        <w:jc w:val="both"/>
        <w:rPr>
          <w:b/>
          <w:bCs/>
          <w:sz w:val="22"/>
          <w:szCs w:val="22"/>
        </w:rPr>
      </w:pPr>
      <w:r w:rsidRPr="0083017F">
        <w:rPr>
          <w:b/>
          <w:bCs/>
          <w:sz w:val="22"/>
          <w:szCs w:val="22"/>
        </w:rPr>
        <w:t xml:space="preserve">7. </w:t>
      </w:r>
      <w:r w:rsidR="0097639F" w:rsidRPr="0083017F">
        <w:rPr>
          <w:b/>
          <w:bCs/>
          <w:sz w:val="22"/>
          <w:szCs w:val="22"/>
        </w:rPr>
        <w:t xml:space="preserve">NOSILAC DOZVOLE </w:t>
      </w:r>
    </w:p>
    <w:p w:rsidR="0097639F" w:rsidRPr="0083017F" w:rsidRDefault="0097639F" w:rsidP="00B947F2">
      <w:pPr>
        <w:pStyle w:val="NoSpacing"/>
        <w:jc w:val="both"/>
        <w:rPr>
          <w:sz w:val="22"/>
          <w:szCs w:val="22"/>
          <w:lang w:val="hr-HR"/>
        </w:rPr>
      </w:pPr>
    </w:p>
    <w:p w:rsidR="0097639F" w:rsidRPr="0083017F" w:rsidRDefault="0097639F" w:rsidP="00B947F2">
      <w:pPr>
        <w:pStyle w:val="NoSpacing"/>
        <w:jc w:val="both"/>
        <w:rPr>
          <w:sz w:val="22"/>
          <w:szCs w:val="22"/>
          <w:lang w:val="hr-HR"/>
        </w:rPr>
      </w:pPr>
      <w:r w:rsidRPr="0083017F">
        <w:rPr>
          <w:sz w:val="22"/>
          <w:szCs w:val="22"/>
          <w:lang w:val="hr-HR"/>
        </w:rPr>
        <w:t>DSD „KRKA, d.d., Novo mesto“ - predstavništvo Podgorica</w:t>
      </w:r>
    </w:p>
    <w:p w:rsidR="0097639F" w:rsidRPr="0083017F" w:rsidRDefault="0097639F" w:rsidP="00B947F2">
      <w:pPr>
        <w:pStyle w:val="NoSpacing"/>
        <w:jc w:val="both"/>
        <w:rPr>
          <w:sz w:val="22"/>
          <w:szCs w:val="22"/>
        </w:rPr>
      </w:pPr>
      <w:r w:rsidRPr="0083017F">
        <w:rPr>
          <w:sz w:val="22"/>
          <w:szCs w:val="22"/>
        </w:rPr>
        <w:t>Svetlane Kane Radević br. 3, 81000 Podgorica, Crna Gora</w:t>
      </w:r>
    </w:p>
    <w:p w:rsidR="0097639F" w:rsidRPr="0083017F" w:rsidRDefault="0097639F" w:rsidP="00B947F2">
      <w:pPr>
        <w:pStyle w:val="NoSpacing"/>
        <w:jc w:val="both"/>
        <w:rPr>
          <w:bCs/>
          <w:sz w:val="22"/>
          <w:szCs w:val="22"/>
        </w:rPr>
      </w:pPr>
      <w:r w:rsidRPr="0083017F">
        <w:rPr>
          <w:bCs/>
          <w:sz w:val="22"/>
          <w:szCs w:val="22"/>
        </w:rPr>
        <w:tab/>
      </w:r>
    </w:p>
    <w:p w:rsidR="0097639F" w:rsidRPr="0083017F" w:rsidRDefault="0097639F" w:rsidP="00B947F2">
      <w:pPr>
        <w:pStyle w:val="NoSpacing"/>
        <w:jc w:val="both"/>
        <w:rPr>
          <w:bCs/>
          <w:sz w:val="22"/>
          <w:szCs w:val="22"/>
        </w:rPr>
      </w:pPr>
    </w:p>
    <w:p w:rsidR="0097639F" w:rsidRPr="0083017F" w:rsidRDefault="00652FF1" w:rsidP="00B947F2">
      <w:pPr>
        <w:pStyle w:val="NoSpacing"/>
        <w:jc w:val="both"/>
        <w:rPr>
          <w:b/>
          <w:bCs/>
          <w:sz w:val="22"/>
          <w:szCs w:val="22"/>
        </w:rPr>
      </w:pPr>
      <w:r w:rsidRPr="0083017F">
        <w:rPr>
          <w:b/>
          <w:bCs/>
          <w:sz w:val="22"/>
          <w:szCs w:val="22"/>
        </w:rPr>
        <w:t xml:space="preserve">8. </w:t>
      </w:r>
      <w:r w:rsidR="0097639F" w:rsidRPr="0083017F">
        <w:rPr>
          <w:b/>
          <w:bCs/>
          <w:sz w:val="22"/>
          <w:szCs w:val="22"/>
        </w:rPr>
        <w:t>BROJ PRVE DOZVOLE/ OBNOVE DOZVOLE</w:t>
      </w:r>
    </w:p>
    <w:p w:rsidR="00652FF1" w:rsidRPr="0083017F" w:rsidRDefault="00652FF1" w:rsidP="00B947F2">
      <w:pPr>
        <w:pStyle w:val="NoSpacing"/>
        <w:jc w:val="both"/>
        <w:rPr>
          <w:b/>
          <w:bCs/>
          <w:sz w:val="22"/>
          <w:szCs w:val="22"/>
        </w:rPr>
      </w:pPr>
    </w:p>
    <w:p w:rsidR="0097639F" w:rsidRPr="0083017F" w:rsidRDefault="00652FF1" w:rsidP="00B947F2">
      <w:pPr>
        <w:pStyle w:val="NoSpacing"/>
        <w:jc w:val="both"/>
        <w:rPr>
          <w:bCs/>
          <w:sz w:val="22"/>
          <w:szCs w:val="22"/>
        </w:rPr>
      </w:pPr>
      <w:r w:rsidRPr="0083017F">
        <w:rPr>
          <w:color w:val="000000"/>
          <w:sz w:val="22"/>
          <w:szCs w:val="22"/>
          <w:lang w:val="sr-Latn-ME"/>
        </w:rPr>
        <w:t>Δ</w:t>
      </w:r>
      <w:r w:rsidRPr="0083017F">
        <w:rPr>
          <w:noProof/>
          <w:sz w:val="22"/>
          <w:szCs w:val="22"/>
          <w:lang w:val="hr-HR"/>
        </w:rPr>
        <w:t xml:space="preserve"> Moloxin</w:t>
      </w:r>
      <w:r w:rsidRPr="0083017F">
        <w:rPr>
          <w:noProof/>
          <w:sz w:val="22"/>
          <w:szCs w:val="22"/>
          <w:vertAlign w:val="superscript"/>
        </w:rPr>
        <w:t>®</w:t>
      </w:r>
      <w:r w:rsidRPr="0083017F">
        <w:rPr>
          <w:noProof/>
          <w:sz w:val="22"/>
          <w:szCs w:val="22"/>
        </w:rPr>
        <w:t xml:space="preserve">, film tableta, </w:t>
      </w:r>
      <w:r w:rsidR="005B249E" w:rsidRPr="0083017F">
        <w:rPr>
          <w:noProof/>
          <w:sz w:val="22"/>
          <w:szCs w:val="22"/>
        </w:rPr>
        <w:t>400 mg</w:t>
      </w:r>
      <w:r w:rsidRPr="0083017F">
        <w:rPr>
          <w:noProof/>
          <w:sz w:val="22"/>
          <w:szCs w:val="22"/>
        </w:rPr>
        <w:t xml:space="preserve">, blister, 1x5 film tableta: </w:t>
      </w:r>
      <w:r w:rsidR="00FA54FA" w:rsidRPr="00FA54FA">
        <w:rPr>
          <w:noProof/>
          <w:sz w:val="22"/>
          <w:szCs w:val="22"/>
        </w:rPr>
        <w:t>2030/17/263 - 238</w:t>
      </w:r>
    </w:p>
    <w:p w:rsidR="0097639F" w:rsidRPr="0083017F" w:rsidRDefault="00652FF1" w:rsidP="00B947F2">
      <w:pPr>
        <w:pStyle w:val="NoSpacing"/>
        <w:jc w:val="both"/>
        <w:rPr>
          <w:noProof/>
          <w:sz w:val="22"/>
          <w:szCs w:val="22"/>
        </w:rPr>
      </w:pPr>
      <w:r w:rsidRPr="0083017F">
        <w:rPr>
          <w:color w:val="000000"/>
          <w:sz w:val="22"/>
          <w:szCs w:val="22"/>
          <w:lang w:val="sr-Latn-ME"/>
        </w:rPr>
        <w:t>Δ</w:t>
      </w:r>
      <w:r w:rsidRPr="0083017F">
        <w:rPr>
          <w:noProof/>
          <w:sz w:val="22"/>
          <w:szCs w:val="22"/>
          <w:lang w:val="hr-HR"/>
        </w:rPr>
        <w:t xml:space="preserve"> Moloxin</w:t>
      </w:r>
      <w:r w:rsidRPr="0083017F">
        <w:rPr>
          <w:noProof/>
          <w:sz w:val="22"/>
          <w:szCs w:val="22"/>
          <w:vertAlign w:val="superscript"/>
        </w:rPr>
        <w:t>®</w:t>
      </w:r>
      <w:r w:rsidRPr="0083017F">
        <w:rPr>
          <w:noProof/>
          <w:sz w:val="22"/>
          <w:szCs w:val="22"/>
        </w:rPr>
        <w:t xml:space="preserve">, film tableta, </w:t>
      </w:r>
      <w:r w:rsidR="005B249E" w:rsidRPr="0083017F">
        <w:rPr>
          <w:noProof/>
          <w:sz w:val="22"/>
          <w:szCs w:val="22"/>
        </w:rPr>
        <w:t>400 mg</w:t>
      </w:r>
      <w:r w:rsidRPr="0083017F">
        <w:rPr>
          <w:noProof/>
          <w:sz w:val="22"/>
          <w:szCs w:val="22"/>
        </w:rPr>
        <w:t xml:space="preserve">, blister, 1x7 film tableta: </w:t>
      </w:r>
      <w:r w:rsidR="00FA54FA" w:rsidRPr="00FA54FA">
        <w:rPr>
          <w:noProof/>
          <w:sz w:val="22"/>
          <w:szCs w:val="22"/>
        </w:rPr>
        <w:t>2030/17/264 - 239</w:t>
      </w:r>
      <w:bookmarkStart w:id="1" w:name="_GoBack"/>
      <w:bookmarkEnd w:id="1"/>
    </w:p>
    <w:p w:rsidR="00652FF1" w:rsidRPr="0083017F" w:rsidRDefault="00652FF1" w:rsidP="00B947F2">
      <w:pPr>
        <w:pStyle w:val="NoSpacing"/>
        <w:jc w:val="both"/>
        <w:rPr>
          <w:bCs/>
          <w:sz w:val="22"/>
          <w:szCs w:val="22"/>
        </w:rPr>
      </w:pPr>
    </w:p>
    <w:p w:rsidR="00F0157A" w:rsidRPr="0083017F" w:rsidRDefault="00F0157A" w:rsidP="00B947F2">
      <w:pPr>
        <w:pStyle w:val="NoSpacing"/>
        <w:jc w:val="both"/>
        <w:rPr>
          <w:bCs/>
          <w:sz w:val="22"/>
          <w:szCs w:val="22"/>
        </w:rPr>
      </w:pPr>
    </w:p>
    <w:p w:rsidR="0097639F" w:rsidRPr="0083017F" w:rsidRDefault="00652FF1" w:rsidP="00B947F2">
      <w:pPr>
        <w:pStyle w:val="NoSpacing"/>
        <w:jc w:val="both"/>
        <w:rPr>
          <w:b/>
          <w:bCs/>
          <w:sz w:val="22"/>
          <w:szCs w:val="22"/>
        </w:rPr>
      </w:pPr>
      <w:r w:rsidRPr="0083017F">
        <w:rPr>
          <w:b/>
          <w:bCs/>
          <w:sz w:val="22"/>
          <w:szCs w:val="22"/>
        </w:rPr>
        <w:t xml:space="preserve">9. </w:t>
      </w:r>
      <w:r w:rsidR="0097639F" w:rsidRPr="0083017F">
        <w:rPr>
          <w:b/>
          <w:bCs/>
          <w:sz w:val="22"/>
          <w:szCs w:val="22"/>
        </w:rPr>
        <w:t>DATUM PRVE DOZVOLE/ DATUM OBNOVE DOZVOLE</w:t>
      </w:r>
    </w:p>
    <w:p w:rsidR="00652FF1" w:rsidRPr="0083017F" w:rsidRDefault="00652FF1" w:rsidP="00652FF1">
      <w:pPr>
        <w:pStyle w:val="NoSpacing"/>
        <w:jc w:val="both"/>
        <w:rPr>
          <w:bCs/>
          <w:sz w:val="22"/>
          <w:szCs w:val="22"/>
        </w:rPr>
      </w:pPr>
      <w:r w:rsidRPr="0083017F">
        <w:rPr>
          <w:color w:val="000000"/>
          <w:sz w:val="22"/>
          <w:szCs w:val="22"/>
          <w:lang w:val="sr-Latn-ME"/>
        </w:rPr>
        <w:t>Δ</w:t>
      </w:r>
      <w:r w:rsidRPr="0083017F">
        <w:rPr>
          <w:noProof/>
          <w:sz w:val="22"/>
          <w:szCs w:val="22"/>
          <w:lang w:val="hr-HR"/>
        </w:rPr>
        <w:t xml:space="preserve"> Moloxin</w:t>
      </w:r>
      <w:r w:rsidRPr="0083017F">
        <w:rPr>
          <w:noProof/>
          <w:sz w:val="22"/>
          <w:szCs w:val="22"/>
          <w:vertAlign w:val="superscript"/>
        </w:rPr>
        <w:t>®</w:t>
      </w:r>
      <w:r w:rsidRPr="0083017F">
        <w:rPr>
          <w:noProof/>
          <w:sz w:val="22"/>
          <w:szCs w:val="22"/>
        </w:rPr>
        <w:t xml:space="preserve">, film tableta, </w:t>
      </w:r>
      <w:r w:rsidR="005B249E" w:rsidRPr="0083017F">
        <w:rPr>
          <w:noProof/>
          <w:sz w:val="22"/>
          <w:szCs w:val="22"/>
        </w:rPr>
        <w:t>400 mg</w:t>
      </w:r>
      <w:r w:rsidRPr="0083017F">
        <w:rPr>
          <w:noProof/>
          <w:sz w:val="22"/>
          <w:szCs w:val="22"/>
        </w:rPr>
        <w:t>, blister, 1x5 film tableta: 02.06.2017. godine</w:t>
      </w:r>
    </w:p>
    <w:p w:rsidR="0097639F" w:rsidRPr="0083017F" w:rsidRDefault="00652FF1" w:rsidP="00652FF1">
      <w:pPr>
        <w:pStyle w:val="NoSpacing"/>
        <w:jc w:val="both"/>
        <w:rPr>
          <w:bCs/>
          <w:sz w:val="22"/>
          <w:szCs w:val="22"/>
        </w:rPr>
      </w:pPr>
      <w:r w:rsidRPr="0083017F">
        <w:rPr>
          <w:color w:val="000000"/>
          <w:sz w:val="22"/>
          <w:szCs w:val="22"/>
          <w:lang w:val="sr-Latn-ME"/>
        </w:rPr>
        <w:t>Δ</w:t>
      </w:r>
      <w:r w:rsidRPr="0083017F">
        <w:rPr>
          <w:noProof/>
          <w:sz w:val="22"/>
          <w:szCs w:val="22"/>
          <w:lang w:val="hr-HR"/>
        </w:rPr>
        <w:t xml:space="preserve"> Moloxin</w:t>
      </w:r>
      <w:r w:rsidRPr="0083017F">
        <w:rPr>
          <w:noProof/>
          <w:sz w:val="22"/>
          <w:szCs w:val="22"/>
          <w:vertAlign w:val="superscript"/>
        </w:rPr>
        <w:t>®</w:t>
      </w:r>
      <w:r w:rsidRPr="0083017F">
        <w:rPr>
          <w:noProof/>
          <w:sz w:val="22"/>
          <w:szCs w:val="22"/>
        </w:rPr>
        <w:t xml:space="preserve">, film tableta, </w:t>
      </w:r>
      <w:r w:rsidR="005B249E" w:rsidRPr="0083017F">
        <w:rPr>
          <w:noProof/>
          <w:sz w:val="22"/>
          <w:szCs w:val="22"/>
        </w:rPr>
        <w:t>400 mg</w:t>
      </w:r>
      <w:r w:rsidRPr="0083017F">
        <w:rPr>
          <w:noProof/>
          <w:sz w:val="22"/>
          <w:szCs w:val="22"/>
        </w:rPr>
        <w:t>, blister, 1x7 film tableta: 02.06.2017. godine</w:t>
      </w:r>
    </w:p>
    <w:p w:rsidR="0097639F" w:rsidRPr="0083017F" w:rsidRDefault="0097639F" w:rsidP="00B947F2">
      <w:pPr>
        <w:pStyle w:val="NoSpacing"/>
        <w:jc w:val="both"/>
        <w:rPr>
          <w:bCs/>
          <w:sz w:val="22"/>
          <w:szCs w:val="22"/>
        </w:rPr>
      </w:pPr>
    </w:p>
    <w:p w:rsidR="00652FF1" w:rsidRPr="0083017F" w:rsidRDefault="00652FF1" w:rsidP="00B947F2">
      <w:pPr>
        <w:pStyle w:val="NoSpacing"/>
        <w:jc w:val="both"/>
        <w:rPr>
          <w:bCs/>
          <w:sz w:val="22"/>
          <w:szCs w:val="22"/>
        </w:rPr>
      </w:pPr>
    </w:p>
    <w:p w:rsidR="0097639F" w:rsidRPr="0083017F" w:rsidRDefault="00652FF1" w:rsidP="00652FF1">
      <w:pPr>
        <w:rPr>
          <w:bCs/>
        </w:rPr>
      </w:pPr>
      <w:r w:rsidRPr="0083017F">
        <w:rPr>
          <w:rFonts w:ascii="Times New Roman" w:hAnsi="Times New Roman" w:cs="Times New Roman"/>
          <w:b/>
          <w:bCs/>
        </w:rPr>
        <w:t xml:space="preserve">10. </w:t>
      </w:r>
      <w:r w:rsidRPr="0083017F">
        <w:rPr>
          <w:rFonts w:ascii="Times New Roman" w:hAnsi="Times New Roman" w:cs="Times New Roman"/>
          <w:b/>
        </w:rPr>
        <w:t xml:space="preserve">DATUM </w:t>
      </w:r>
      <w:r w:rsidR="0097639F" w:rsidRPr="0083017F">
        <w:rPr>
          <w:rFonts w:ascii="Times New Roman" w:hAnsi="Times New Roman" w:cs="Times New Roman"/>
          <w:b/>
        </w:rPr>
        <w:t>POSLEDNJE REVIZIJE TEKSTA SAŽETKA OSNOVNIH KARAKTERISTIKA LIJEKA</w:t>
      </w:r>
    </w:p>
    <w:p w:rsidR="00F1527C" w:rsidRPr="00A72C5E" w:rsidRDefault="00652FF1" w:rsidP="00B947F2">
      <w:pPr>
        <w:pStyle w:val="NoSpacing"/>
        <w:jc w:val="both"/>
        <w:rPr>
          <w:sz w:val="22"/>
          <w:szCs w:val="22"/>
        </w:rPr>
      </w:pPr>
      <w:r w:rsidRPr="0083017F">
        <w:rPr>
          <w:sz w:val="22"/>
          <w:szCs w:val="22"/>
        </w:rPr>
        <w:t>Jun, 2017. godine</w:t>
      </w:r>
    </w:p>
    <w:p w:rsidR="00F1527C" w:rsidRPr="00A72C5E" w:rsidRDefault="00F1527C" w:rsidP="00B947F2">
      <w:pPr>
        <w:pStyle w:val="NoSpacing"/>
        <w:jc w:val="both"/>
        <w:rPr>
          <w:sz w:val="22"/>
          <w:szCs w:val="22"/>
        </w:rPr>
      </w:pPr>
    </w:p>
    <w:p w:rsidR="00F1527C" w:rsidRPr="00A72C5E" w:rsidRDefault="00F1527C" w:rsidP="00B947F2">
      <w:pPr>
        <w:pStyle w:val="NoSpacing"/>
        <w:jc w:val="both"/>
        <w:rPr>
          <w:sz w:val="22"/>
          <w:szCs w:val="22"/>
        </w:rPr>
      </w:pPr>
    </w:p>
    <w:p w:rsidR="00F1527C" w:rsidRPr="00A72C5E" w:rsidRDefault="00F1527C" w:rsidP="00B947F2">
      <w:pPr>
        <w:pStyle w:val="NoSpacing"/>
        <w:jc w:val="both"/>
        <w:rPr>
          <w:sz w:val="22"/>
          <w:szCs w:val="22"/>
        </w:rPr>
      </w:pPr>
    </w:p>
    <w:p w:rsidR="00F1527C" w:rsidRPr="00A72C5E" w:rsidRDefault="00F1527C" w:rsidP="00B947F2">
      <w:pPr>
        <w:pStyle w:val="NoSpacing"/>
        <w:jc w:val="both"/>
        <w:rPr>
          <w:sz w:val="22"/>
          <w:szCs w:val="22"/>
        </w:rPr>
      </w:pPr>
    </w:p>
    <w:p w:rsidR="00F1527C" w:rsidRPr="00A72C5E" w:rsidRDefault="00F1527C" w:rsidP="00B947F2">
      <w:pPr>
        <w:pStyle w:val="NoSpacing"/>
        <w:jc w:val="both"/>
        <w:rPr>
          <w:sz w:val="22"/>
          <w:szCs w:val="22"/>
        </w:rPr>
      </w:pPr>
    </w:p>
    <w:p w:rsidR="009318B4" w:rsidRPr="00A72C5E" w:rsidRDefault="00F1527C" w:rsidP="00B947F2">
      <w:pPr>
        <w:pStyle w:val="NoSpacing"/>
        <w:jc w:val="both"/>
        <w:rPr>
          <w:sz w:val="22"/>
          <w:szCs w:val="22"/>
        </w:rPr>
      </w:pPr>
      <w:r w:rsidRPr="00A72C5E">
        <w:rPr>
          <w:sz w:val="22"/>
          <w:szCs w:val="22"/>
        </w:rPr>
        <w:tab/>
      </w:r>
    </w:p>
    <w:sectPr w:rsidR="009318B4" w:rsidRPr="00A72C5E"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829" w:rsidRDefault="00480829" w:rsidP="00FF2B5A">
      <w:pPr>
        <w:spacing w:after="0" w:line="240" w:lineRule="auto"/>
      </w:pPr>
      <w:r>
        <w:separator/>
      </w:r>
    </w:p>
  </w:endnote>
  <w:endnote w:type="continuationSeparator" w:id="0">
    <w:p w:rsidR="00480829" w:rsidRDefault="0048082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49E" w:rsidRPr="00F1527C" w:rsidRDefault="005B249E"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5B249E" w:rsidRPr="00F1527C" w:rsidRDefault="005B249E"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5B249E" w:rsidRPr="00F1527C" w:rsidRDefault="005B249E"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5B249E" w:rsidRPr="00F1527C" w:rsidRDefault="005B249E"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5B249E" w:rsidRPr="00F1527C" w:rsidRDefault="005B249E"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5B249E" w:rsidRPr="009318B4" w:rsidRDefault="005B249E"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FA54FA">
      <w:rPr>
        <w:rFonts w:ascii="Times New Roman" w:eastAsia="Times New Roman" w:hAnsi="Times New Roman" w:cs="Times New Roman"/>
        <w:noProof/>
        <w:sz w:val="20"/>
        <w:szCs w:val="20"/>
        <w:lang w:val="sr-Latn-ME"/>
      </w:rPr>
      <w:t>20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FA54FA">
      <w:rPr>
        <w:rFonts w:ascii="Times New Roman" w:eastAsia="Times New Roman" w:hAnsi="Times New Roman" w:cs="Times New Roman"/>
        <w:noProof/>
        <w:sz w:val="20"/>
        <w:szCs w:val="20"/>
        <w:lang w:val="sr-Latn-ME"/>
      </w:rPr>
      <w:t>20</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49E" w:rsidRPr="00F1527C" w:rsidRDefault="005B249E"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5B249E" w:rsidRPr="00F1527C" w:rsidRDefault="005B249E"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5B249E" w:rsidRPr="00F1527C" w:rsidRDefault="005B249E"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5B249E" w:rsidRPr="00F1527C" w:rsidRDefault="005B249E"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5B249E" w:rsidRPr="00F1527C" w:rsidRDefault="005B249E"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5B249E" w:rsidRPr="009318B4" w:rsidRDefault="005B249E"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829" w:rsidRDefault="00480829" w:rsidP="00FF2B5A">
      <w:pPr>
        <w:spacing w:after="0" w:line="240" w:lineRule="auto"/>
      </w:pPr>
      <w:r>
        <w:separator/>
      </w:r>
    </w:p>
  </w:footnote>
  <w:footnote w:type="continuationSeparator" w:id="0">
    <w:p w:rsidR="00480829" w:rsidRDefault="00480829"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49E" w:rsidRDefault="005B249E" w:rsidP="009318B4">
    <w:pPr>
      <w:pStyle w:val="Header"/>
      <w:rPr>
        <w:sz w:val="16"/>
        <w:szCs w:val="16"/>
      </w:rPr>
    </w:pPr>
  </w:p>
  <w:p w:rsidR="005B249E" w:rsidRDefault="005B249E"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5B249E" w:rsidRDefault="005B24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49E" w:rsidRDefault="005B249E" w:rsidP="009318B4">
    <w:pPr>
      <w:pStyle w:val="Header"/>
      <w:rPr>
        <w:sz w:val="16"/>
        <w:szCs w:val="16"/>
      </w:rPr>
    </w:pPr>
  </w:p>
  <w:p w:rsidR="005B249E" w:rsidRDefault="005B249E"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5B249E" w:rsidRDefault="005B24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8D2E3A"/>
    <w:multiLevelType w:val="hybridMultilevel"/>
    <w:tmpl w:val="33FA7816"/>
    <w:lvl w:ilvl="0" w:tplc="71B0FED2">
      <w:start w:val="1"/>
      <w:numFmt w:val="bullet"/>
      <w:lvlText w:val="-"/>
      <w:lvlJc w:val="left"/>
      <w:pPr>
        <w:ind w:left="720" w:hanging="360"/>
      </w:pPr>
      <w:rPr>
        <w:rFonts w:hAnsi="Arial"/>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9C688C"/>
    <w:multiLevelType w:val="hybridMultilevel"/>
    <w:tmpl w:val="D4E02D0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D7860CA"/>
    <w:multiLevelType w:val="hybridMultilevel"/>
    <w:tmpl w:val="23025388"/>
    <w:lvl w:ilvl="0" w:tplc="2A2A1522">
      <w:start w:val="4"/>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73234D51"/>
    <w:multiLevelType w:val="hybridMultilevel"/>
    <w:tmpl w:val="BB100B5E"/>
    <w:lvl w:ilvl="0" w:tplc="71B0FED2">
      <w:start w:val="1"/>
      <w:numFmt w:val="bullet"/>
      <w:lvlText w:val="-"/>
      <w:lvlJc w:val="left"/>
      <w:pPr>
        <w:ind w:left="720" w:hanging="360"/>
      </w:pPr>
      <w:rPr>
        <w:rFonts w:hAnsi="Arial"/>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0"/>
    <w:lvlOverride w:ilvl="0">
      <w:lvl w:ilvl="0">
        <w:start w:val="1"/>
        <w:numFmt w:val="bullet"/>
        <w:lvlText w:val="-"/>
        <w:legacy w:legacy="1" w:legacySpace="0" w:legacyIndent="360"/>
        <w:lvlJc w:val="left"/>
        <w:pPr>
          <w:ind w:left="360" w:hanging="360"/>
        </w:pPr>
      </w:lvl>
    </w:lvlOverride>
  </w:num>
  <w:num w:numId="5">
    <w:abstractNumId w:val="10"/>
  </w:num>
  <w:num w:numId="6">
    <w:abstractNumId w:val="12"/>
  </w:num>
  <w:num w:numId="7">
    <w:abstractNumId w:val="5"/>
  </w:num>
  <w:num w:numId="8">
    <w:abstractNumId w:val="9"/>
  </w:num>
  <w:num w:numId="9">
    <w:abstractNumId w:val="4"/>
  </w:num>
  <w:num w:numId="10">
    <w:abstractNumId w:val="6"/>
  </w:num>
  <w:num w:numId="11">
    <w:abstractNumId w:val="14"/>
  </w:num>
  <w:num w:numId="12">
    <w:abstractNumId w:val="14"/>
  </w:num>
  <w:num w:numId="13">
    <w:abstractNumId w:val="3"/>
  </w:num>
  <w:num w:numId="14">
    <w:abstractNumId w:val="3"/>
  </w:num>
  <w:num w:numId="15">
    <w:abstractNumId w:val="11"/>
  </w:num>
  <w:num w:numId="16">
    <w:abstractNumId w:val="11"/>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55B9"/>
    <w:rsid w:val="000A7820"/>
    <w:rsid w:val="000B49E9"/>
    <w:rsid w:val="00116FE6"/>
    <w:rsid w:val="001706E8"/>
    <w:rsid w:val="001A26DB"/>
    <w:rsid w:val="0028126A"/>
    <w:rsid w:val="002B3664"/>
    <w:rsid w:val="00461135"/>
    <w:rsid w:val="00480829"/>
    <w:rsid w:val="00493F1E"/>
    <w:rsid w:val="005165DE"/>
    <w:rsid w:val="005B249E"/>
    <w:rsid w:val="00652FF1"/>
    <w:rsid w:val="006C0EE1"/>
    <w:rsid w:val="006F192F"/>
    <w:rsid w:val="00747C4B"/>
    <w:rsid w:val="00787B45"/>
    <w:rsid w:val="00825B52"/>
    <w:rsid w:val="0083017F"/>
    <w:rsid w:val="00883AF2"/>
    <w:rsid w:val="009318B4"/>
    <w:rsid w:val="00932BE6"/>
    <w:rsid w:val="00934541"/>
    <w:rsid w:val="00976066"/>
    <w:rsid w:val="0097639F"/>
    <w:rsid w:val="009D0B1D"/>
    <w:rsid w:val="00A06058"/>
    <w:rsid w:val="00A72C5E"/>
    <w:rsid w:val="00B234CE"/>
    <w:rsid w:val="00B34AF2"/>
    <w:rsid w:val="00B66F64"/>
    <w:rsid w:val="00B77B1E"/>
    <w:rsid w:val="00B947F2"/>
    <w:rsid w:val="00C17D9B"/>
    <w:rsid w:val="00C4240B"/>
    <w:rsid w:val="00C835FC"/>
    <w:rsid w:val="00D45AFE"/>
    <w:rsid w:val="00E0627A"/>
    <w:rsid w:val="00EB2A93"/>
    <w:rsid w:val="00EC4B06"/>
    <w:rsid w:val="00F0157A"/>
    <w:rsid w:val="00F1527C"/>
    <w:rsid w:val="00FA54FA"/>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7639F"/>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Heading2">
    <w:name w:val="heading 2"/>
    <w:basedOn w:val="Normal"/>
    <w:next w:val="Normal"/>
    <w:link w:val="Heading2Char"/>
    <w:qFormat/>
    <w:rsid w:val="0097639F"/>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eastAsia="x-none"/>
    </w:rPr>
  </w:style>
  <w:style w:type="paragraph" w:styleId="Heading3">
    <w:name w:val="heading 3"/>
    <w:basedOn w:val="Normal"/>
    <w:next w:val="Normal"/>
    <w:link w:val="Heading3Char"/>
    <w:qFormat/>
    <w:rsid w:val="0097639F"/>
    <w:pPr>
      <w:keepNext/>
      <w:tabs>
        <w:tab w:val="decimal" w:pos="6760"/>
      </w:tabs>
      <w:spacing w:after="0" w:line="480" w:lineRule="atLeast"/>
      <w:outlineLvl w:val="2"/>
    </w:pPr>
    <w:rPr>
      <w:rFonts w:ascii="Times New Roman" w:eastAsia="Times New Roman" w:hAnsi="Times New Roman" w:cs="Times New Roman"/>
      <w:b/>
      <w:sz w:val="24"/>
      <w:szCs w:val="20"/>
      <w:lang w:eastAsia="x-none"/>
    </w:rPr>
  </w:style>
  <w:style w:type="paragraph" w:styleId="Heading4">
    <w:name w:val="heading 4"/>
    <w:basedOn w:val="Normal"/>
    <w:next w:val="Normal"/>
    <w:link w:val="Heading4Char"/>
    <w:qFormat/>
    <w:rsid w:val="0097639F"/>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Heading6">
    <w:name w:val="heading 6"/>
    <w:basedOn w:val="Normal"/>
    <w:next w:val="Normal"/>
    <w:link w:val="Heading6Char"/>
    <w:qFormat/>
    <w:rsid w:val="0097639F"/>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97639F"/>
    <w:rPr>
      <w:rFonts w:ascii="Arial" w:eastAsia="Times New Roman" w:hAnsi="Arial" w:cs="Times New Roman"/>
      <w:b/>
      <w:bCs/>
      <w:kern w:val="32"/>
      <w:sz w:val="32"/>
      <w:szCs w:val="32"/>
      <w:lang w:val="x-none" w:eastAsia="x-none"/>
    </w:rPr>
  </w:style>
  <w:style w:type="character" w:customStyle="1" w:styleId="Heading2Char">
    <w:name w:val="Heading 2 Char"/>
    <w:basedOn w:val="DefaultParagraphFont"/>
    <w:link w:val="Heading2"/>
    <w:rsid w:val="0097639F"/>
    <w:rPr>
      <w:rFonts w:ascii="Times New Roman" w:eastAsia="Times New Roman" w:hAnsi="Times New Roman" w:cs="Times New Roman"/>
      <w:b/>
      <w:sz w:val="24"/>
      <w:szCs w:val="20"/>
      <w:u w:val="single"/>
      <w:lang w:eastAsia="x-none"/>
    </w:rPr>
  </w:style>
  <w:style w:type="character" w:customStyle="1" w:styleId="Heading3Char">
    <w:name w:val="Heading 3 Char"/>
    <w:basedOn w:val="DefaultParagraphFont"/>
    <w:link w:val="Heading3"/>
    <w:rsid w:val="0097639F"/>
    <w:rPr>
      <w:rFonts w:ascii="Times New Roman" w:eastAsia="Times New Roman" w:hAnsi="Times New Roman" w:cs="Times New Roman"/>
      <w:b/>
      <w:sz w:val="24"/>
      <w:szCs w:val="20"/>
      <w:lang w:eastAsia="x-none"/>
    </w:rPr>
  </w:style>
  <w:style w:type="character" w:customStyle="1" w:styleId="Heading4Char">
    <w:name w:val="Heading 4 Char"/>
    <w:basedOn w:val="DefaultParagraphFont"/>
    <w:link w:val="Heading4"/>
    <w:rsid w:val="0097639F"/>
    <w:rPr>
      <w:rFonts w:ascii="Times New Roman" w:eastAsia="Times New Roman" w:hAnsi="Times New Roman" w:cs="Times New Roman"/>
      <w:b/>
      <w:bCs/>
      <w:sz w:val="28"/>
      <w:szCs w:val="28"/>
      <w:lang w:val="x-none" w:eastAsia="x-none"/>
    </w:rPr>
  </w:style>
  <w:style w:type="character" w:customStyle="1" w:styleId="Heading6Char">
    <w:name w:val="Heading 6 Char"/>
    <w:basedOn w:val="DefaultParagraphFont"/>
    <w:link w:val="Heading6"/>
    <w:rsid w:val="0097639F"/>
    <w:rPr>
      <w:rFonts w:ascii="Times New Roman" w:eastAsia="Times New Roman" w:hAnsi="Times New Roman" w:cs="Times New Roman"/>
      <w:b/>
      <w:sz w:val="24"/>
      <w:szCs w:val="20"/>
      <w:lang w:eastAsia="x-none"/>
    </w:rPr>
  </w:style>
  <w:style w:type="table" w:styleId="TableGrid">
    <w:name w:val="Table Grid"/>
    <w:basedOn w:val="TableNormal"/>
    <w:rsid w:val="0097639F"/>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7639F"/>
  </w:style>
  <w:style w:type="character" w:styleId="Hyperlink">
    <w:name w:val="Hyperlink"/>
    <w:rsid w:val="0097639F"/>
    <w:rPr>
      <w:rFonts w:ascii="Times New Roman" w:hAnsi="Times New Roman"/>
      <w:color w:val="auto"/>
      <w:sz w:val="24"/>
      <w:szCs w:val="24"/>
      <w:u w:val="single"/>
      <w:lang w:val="en-US"/>
    </w:rPr>
  </w:style>
  <w:style w:type="character" w:styleId="FollowedHyperlink">
    <w:name w:val="FollowedHyperlink"/>
    <w:rsid w:val="0097639F"/>
    <w:rPr>
      <w:color w:val="800080"/>
      <w:u w:val="single"/>
    </w:rPr>
  </w:style>
  <w:style w:type="paragraph" w:styleId="PlainText">
    <w:name w:val="Plain Text"/>
    <w:basedOn w:val="Normal"/>
    <w:link w:val="PlainTextChar"/>
    <w:rsid w:val="0097639F"/>
    <w:pPr>
      <w:spacing w:after="0" w:line="240" w:lineRule="auto"/>
    </w:pPr>
    <w:rPr>
      <w:rFonts w:ascii="Courier New" w:eastAsia="Times New Roman" w:hAnsi="Courier New" w:cs="Times New Roman"/>
      <w:sz w:val="20"/>
      <w:szCs w:val="20"/>
      <w:lang w:val="en-GB" w:eastAsia="x-none"/>
    </w:rPr>
  </w:style>
  <w:style w:type="character" w:customStyle="1" w:styleId="PlainTextChar">
    <w:name w:val="Plain Text Char"/>
    <w:basedOn w:val="DefaultParagraphFont"/>
    <w:link w:val="PlainText"/>
    <w:rsid w:val="0097639F"/>
    <w:rPr>
      <w:rFonts w:ascii="Courier New" w:eastAsia="Times New Roman" w:hAnsi="Courier New" w:cs="Times New Roman"/>
      <w:sz w:val="20"/>
      <w:szCs w:val="20"/>
      <w:lang w:val="en-GB" w:eastAsia="x-none"/>
    </w:rPr>
  </w:style>
  <w:style w:type="paragraph" w:styleId="Caption">
    <w:name w:val="caption"/>
    <w:basedOn w:val="Normal"/>
    <w:next w:val="Normal"/>
    <w:qFormat/>
    <w:rsid w:val="0097639F"/>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Heading1"/>
    <w:rsid w:val="0097639F"/>
    <w:pPr>
      <w:spacing w:before="0" w:after="0"/>
    </w:pPr>
    <w:rPr>
      <w:rFonts w:ascii="Times New Roman" w:hAnsi="Times New Roman"/>
      <w:bCs w:val="0"/>
      <w:kern w:val="0"/>
      <w:sz w:val="22"/>
      <w:szCs w:val="20"/>
      <w:u w:val="single"/>
    </w:rPr>
  </w:style>
  <w:style w:type="paragraph" w:styleId="TOC1">
    <w:name w:val="toc 1"/>
    <w:basedOn w:val="Normal"/>
    <w:next w:val="Normal"/>
    <w:autoRedefine/>
    <w:semiHidden/>
    <w:rsid w:val="0097639F"/>
    <w:pPr>
      <w:spacing w:before="120" w:after="0" w:line="240" w:lineRule="auto"/>
    </w:pPr>
    <w:rPr>
      <w:rFonts w:ascii="Times New Roman" w:eastAsia="Times New Roman" w:hAnsi="Times New Roman" w:cs="Times New Roman"/>
      <w:b/>
      <w:bCs/>
      <w:i/>
      <w:iCs/>
      <w:sz w:val="24"/>
      <w:szCs w:val="28"/>
      <w:lang w:val="sl-SI" w:eastAsia="sl-SI"/>
    </w:rPr>
  </w:style>
  <w:style w:type="paragraph" w:styleId="BodyText">
    <w:name w:val="Body Text"/>
    <w:basedOn w:val="Normal"/>
    <w:link w:val="BodyTextChar"/>
    <w:rsid w:val="0097639F"/>
    <w:pPr>
      <w:numPr>
        <w:ilvl w:val="12"/>
      </w:numPr>
      <w:tabs>
        <w:tab w:val="left" w:pos="8505"/>
      </w:tabs>
      <w:spacing w:after="0" w:line="240" w:lineRule="auto"/>
      <w:ind w:right="-2"/>
    </w:pPr>
    <w:rPr>
      <w:rFonts w:ascii="Times New Roman" w:eastAsia="Times New Roman" w:hAnsi="Times New Roman" w:cs="Times New Roman"/>
      <w:szCs w:val="20"/>
      <w:lang w:val="x-none" w:eastAsia="x-none"/>
    </w:rPr>
  </w:style>
  <w:style w:type="character" w:customStyle="1" w:styleId="BodyTextChar">
    <w:name w:val="Body Text Char"/>
    <w:basedOn w:val="DefaultParagraphFont"/>
    <w:link w:val="BodyText"/>
    <w:rsid w:val="0097639F"/>
    <w:rPr>
      <w:rFonts w:ascii="Times New Roman" w:eastAsia="Times New Roman" w:hAnsi="Times New Roman" w:cs="Times New Roman"/>
      <w:szCs w:val="20"/>
      <w:lang w:val="x-none" w:eastAsia="x-none"/>
    </w:rPr>
  </w:style>
  <w:style w:type="paragraph" w:styleId="BodyText2">
    <w:name w:val="Body Text 2"/>
    <w:basedOn w:val="Normal"/>
    <w:link w:val="BodyText2Char"/>
    <w:rsid w:val="0097639F"/>
    <w:pPr>
      <w:spacing w:after="120" w:line="480" w:lineRule="auto"/>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rsid w:val="0097639F"/>
    <w:rPr>
      <w:rFonts w:ascii="Times New Roman" w:eastAsia="Times New Roman" w:hAnsi="Times New Roman" w:cs="Times New Roman"/>
      <w:sz w:val="24"/>
      <w:szCs w:val="20"/>
      <w:lang w:val="x-none" w:eastAsia="x-none"/>
    </w:rPr>
  </w:style>
  <w:style w:type="paragraph" w:customStyle="1" w:styleId="EMEAEnBodyText">
    <w:name w:val="EMEA En Body Text"/>
    <w:basedOn w:val="Normal"/>
    <w:rsid w:val="0097639F"/>
    <w:pPr>
      <w:spacing w:before="120" w:after="120" w:line="240" w:lineRule="auto"/>
      <w:jc w:val="both"/>
    </w:pPr>
    <w:rPr>
      <w:rFonts w:ascii="Times New Roman" w:eastAsia="Times New Roman" w:hAnsi="Times New Roman" w:cs="Times New Roman"/>
      <w:szCs w:val="20"/>
    </w:rPr>
  </w:style>
  <w:style w:type="paragraph" w:customStyle="1" w:styleId="Default">
    <w:name w:val="Default"/>
    <w:rsid w:val="0097639F"/>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HTMLPreformatted">
    <w:name w:val="HTML Preformatted"/>
    <w:basedOn w:val="Normal"/>
    <w:link w:val="HTMLPreformattedChar"/>
    <w:unhideWhenUsed/>
    <w:rsid w:val="0097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rsid w:val="0097639F"/>
    <w:rPr>
      <w:rFonts w:ascii="Courier New" w:eastAsia="Times New Roman" w:hAnsi="Courier New" w:cs="Times New Roman"/>
      <w:sz w:val="20"/>
      <w:szCs w:val="20"/>
      <w:lang w:val="x-none" w:eastAsia="x-none"/>
    </w:rPr>
  </w:style>
  <w:style w:type="paragraph" w:styleId="CommentText">
    <w:name w:val="annotation text"/>
    <w:basedOn w:val="Normal"/>
    <w:link w:val="CommentTextChar"/>
    <w:unhideWhenUsed/>
    <w:rsid w:val="0097639F"/>
    <w:pPr>
      <w:spacing w:after="0" w:line="240" w:lineRule="auto"/>
    </w:pPr>
    <w:rPr>
      <w:rFonts w:ascii="Times New Roman" w:eastAsia="Times New Roman" w:hAnsi="Times New Roman" w:cs="Times New Roman"/>
      <w:sz w:val="20"/>
      <w:szCs w:val="20"/>
      <w:lang w:val="sl-SI" w:eastAsia="sl-SI"/>
    </w:rPr>
  </w:style>
  <w:style w:type="character" w:customStyle="1" w:styleId="CommentTextChar">
    <w:name w:val="Comment Text Char"/>
    <w:basedOn w:val="DefaultParagraphFont"/>
    <w:link w:val="CommentText"/>
    <w:rsid w:val="0097639F"/>
    <w:rPr>
      <w:rFonts w:ascii="Times New Roman" w:eastAsia="Times New Roman" w:hAnsi="Times New Roman" w:cs="Times New Roman"/>
      <w:sz w:val="20"/>
      <w:szCs w:val="20"/>
      <w:lang w:val="sl-SI" w:eastAsia="sl-SI"/>
    </w:rPr>
  </w:style>
  <w:style w:type="paragraph" w:styleId="EndnoteText">
    <w:name w:val="endnote text"/>
    <w:basedOn w:val="Normal"/>
    <w:link w:val="EndnoteTextChar"/>
    <w:unhideWhenUsed/>
    <w:rsid w:val="0097639F"/>
    <w:pPr>
      <w:tabs>
        <w:tab w:val="left" w:pos="567"/>
      </w:tabs>
      <w:spacing w:after="0" w:line="240" w:lineRule="auto"/>
    </w:pPr>
    <w:rPr>
      <w:rFonts w:ascii="Times New Roman" w:eastAsia="Times New Roman" w:hAnsi="Times New Roman" w:cs="Times New Roman"/>
      <w:szCs w:val="20"/>
      <w:lang w:val="en-GB"/>
    </w:rPr>
  </w:style>
  <w:style w:type="character" w:customStyle="1" w:styleId="EndnoteTextChar">
    <w:name w:val="Endnote Text Char"/>
    <w:basedOn w:val="DefaultParagraphFont"/>
    <w:link w:val="EndnoteText"/>
    <w:rsid w:val="0097639F"/>
    <w:rPr>
      <w:rFonts w:ascii="Times New Roman" w:eastAsia="Times New Roman" w:hAnsi="Times New Roman" w:cs="Times New Roman"/>
      <w:szCs w:val="20"/>
      <w:lang w:val="en-GB"/>
    </w:rPr>
  </w:style>
  <w:style w:type="paragraph" w:styleId="Title">
    <w:name w:val="Title"/>
    <w:basedOn w:val="Normal"/>
    <w:link w:val="TitleChar"/>
    <w:qFormat/>
    <w:rsid w:val="0097639F"/>
    <w:pPr>
      <w:spacing w:after="0" w:line="240" w:lineRule="auto"/>
      <w:jc w:val="center"/>
    </w:pPr>
    <w:rPr>
      <w:rFonts w:ascii="Times New Roman" w:eastAsia="Times New Roman" w:hAnsi="Times New Roman" w:cs="Times New Roman"/>
      <w:b/>
      <w:szCs w:val="20"/>
      <w:lang w:val="en-GB"/>
    </w:rPr>
  </w:style>
  <w:style w:type="character" w:customStyle="1" w:styleId="TitleChar">
    <w:name w:val="Title Char"/>
    <w:basedOn w:val="DefaultParagraphFont"/>
    <w:link w:val="Title"/>
    <w:rsid w:val="0097639F"/>
    <w:rPr>
      <w:rFonts w:ascii="Times New Roman" w:eastAsia="Times New Roman" w:hAnsi="Times New Roman" w:cs="Times New Roman"/>
      <w:b/>
      <w:szCs w:val="20"/>
      <w:lang w:val="en-GB"/>
    </w:rPr>
  </w:style>
  <w:style w:type="paragraph" w:styleId="CommentSubject">
    <w:name w:val="annotation subject"/>
    <w:basedOn w:val="CommentText"/>
    <w:next w:val="CommentText"/>
    <w:link w:val="CommentSubjectChar"/>
    <w:unhideWhenUsed/>
    <w:rsid w:val="0097639F"/>
    <w:rPr>
      <w:b/>
      <w:bCs/>
      <w:lang w:val="x-none" w:eastAsia="x-none"/>
    </w:rPr>
  </w:style>
  <w:style w:type="character" w:customStyle="1" w:styleId="CommentSubjectChar">
    <w:name w:val="Comment Subject Char"/>
    <w:basedOn w:val="CommentTextChar"/>
    <w:link w:val="CommentSubject"/>
    <w:rsid w:val="0097639F"/>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nhideWhenUsed/>
    <w:rsid w:val="0097639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97639F"/>
    <w:rPr>
      <w:rFonts w:ascii="Tahoma" w:eastAsia="Times New Roman" w:hAnsi="Tahoma" w:cs="Times New Roman"/>
      <w:sz w:val="16"/>
      <w:szCs w:val="16"/>
      <w:lang w:val="x-none" w:eastAsia="x-none"/>
    </w:rPr>
  </w:style>
  <w:style w:type="paragraph" w:styleId="Revision">
    <w:name w:val="Revision"/>
    <w:uiPriority w:val="99"/>
    <w:semiHidden/>
    <w:rsid w:val="0097639F"/>
    <w:pPr>
      <w:spacing w:after="0" w:line="240" w:lineRule="auto"/>
    </w:pPr>
    <w:rPr>
      <w:rFonts w:ascii="Times New Roman" w:eastAsia="Times New Roman" w:hAnsi="Times New Roman" w:cs="Times New Roman"/>
      <w:sz w:val="24"/>
      <w:szCs w:val="20"/>
      <w:lang w:val="sl-SI" w:eastAsia="sl-SI"/>
    </w:rPr>
  </w:style>
  <w:style w:type="paragraph" w:styleId="ListParagraph">
    <w:name w:val="List Paragraph"/>
    <w:basedOn w:val="Normal"/>
    <w:uiPriority w:val="34"/>
    <w:qFormat/>
    <w:rsid w:val="0097639F"/>
    <w:pPr>
      <w:spacing w:after="0" w:line="240" w:lineRule="auto"/>
      <w:ind w:left="708"/>
    </w:pPr>
    <w:rPr>
      <w:rFonts w:ascii="Times New Roman" w:eastAsia="Times New Roman" w:hAnsi="Times New Roman" w:cs="Times New Roman"/>
      <w:sz w:val="24"/>
      <w:szCs w:val="20"/>
      <w:lang w:val="sl-SI" w:eastAsia="sl-SI"/>
    </w:rPr>
  </w:style>
  <w:style w:type="character" w:styleId="CommentReference">
    <w:name w:val="annotation reference"/>
    <w:unhideWhenUsed/>
    <w:rsid w:val="0097639F"/>
    <w:rPr>
      <w:sz w:val="16"/>
      <w:szCs w:val="16"/>
    </w:rPr>
  </w:style>
  <w:style w:type="paragraph" w:styleId="NoSpacing">
    <w:name w:val="No Spacing"/>
    <w:uiPriority w:val="1"/>
    <w:qFormat/>
    <w:rsid w:val="0097639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0AFE5-EB23-491B-A85D-F4756ACA5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20</Pages>
  <Words>6354</Words>
  <Characters>36222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Tatjana Bankovic</cp:lastModifiedBy>
  <cp:revision>13</cp:revision>
  <dcterms:created xsi:type="dcterms:W3CDTF">2017-06-28T06:25:00Z</dcterms:created>
  <dcterms:modified xsi:type="dcterms:W3CDTF">2017-09-13T06:57:00Z</dcterms:modified>
</cp:coreProperties>
</file>